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87DC8">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Style w:val="19"/>
          <w:rFonts w:hint="eastAsia" w:asciiTheme="minorEastAsia" w:hAnsiTheme="minorEastAsia" w:eastAsiaTheme="minorEastAsia" w:cstheme="minorEastAsia"/>
          <w:b/>
          <w:bCs w:val="0"/>
          <w:sz w:val="32"/>
          <w:szCs w:val="32"/>
          <w:lang w:val="en-US" w:eastAsia="zh-CN"/>
        </w:rPr>
      </w:pPr>
      <w:r>
        <w:rPr>
          <w:rStyle w:val="19"/>
          <w:rFonts w:hint="eastAsia" w:asciiTheme="minorEastAsia" w:hAnsiTheme="minorEastAsia" w:eastAsiaTheme="minorEastAsia" w:cstheme="minorEastAsia"/>
          <w:b/>
          <w:bCs w:val="0"/>
          <w:sz w:val="32"/>
          <w:szCs w:val="32"/>
          <w:lang w:val="en-US" w:eastAsia="zh-CN"/>
        </w:rPr>
        <w:t>2025宿舍楼和教学楼设施设备采购项目（二次）</w:t>
      </w:r>
    </w:p>
    <w:p w14:paraId="53A8B1F6">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Style w:val="19"/>
          <w:rFonts w:hint="eastAsia" w:asciiTheme="minorEastAsia" w:hAnsiTheme="minorEastAsia" w:eastAsiaTheme="minorEastAsia" w:cstheme="minorEastAsia"/>
          <w:b/>
          <w:bCs w:val="0"/>
          <w:sz w:val="32"/>
          <w:szCs w:val="32"/>
          <w:lang w:eastAsia="zh-CN"/>
        </w:rPr>
      </w:pPr>
      <w:r>
        <w:rPr>
          <w:rStyle w:val="19"/>
          <w:rFonts w:hint="eastAsia" w:asciiTheme="minorEastAsia" w:hAnsiTheme="minorEastAsia" w:eastAsiaTheme="minorEastAsia" w:cstheme="minorEastAsia"/>
          <w:b/>
          <w:bCs w:val="0"/>
          <w:sz w:val="32"/>
          <w:szCs w:val="32"/>
          <w:lang w:val="en-US" w:eastAsia="zh-CN"/>
        </w:rPr>
        <w:t>需求公示附件</w:t>
      </w:r>
    </w:p>
    <w:p w14:paraId="606805C7">
      <w:pPr>
        <w:pStyle w:val="26"/>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一、</w:t>
      </w:r>
      <w:r>
        <w:rPr>
          <w:rFonts w:hint="eastAsia" w:asciiTheme="minorEastAsia" w:hAnsiTheme="minorEastAsia" w:cstheme="minorEastAsia"/>
          <w:b/>
          <w:bCs/>
          <w:sz w:val="28"/>
          <w:szCs w:val="28"/>
        </w:rPr>
        <w:t>项目基本情况</w:t>
      </w:r>
    </w:p>
    <w:p w14:paraId="22EA7CE3">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1.采购方式：竞争性谈判</w:t>
      </w:r>
    </w:p>
    <w:p w14:paraId="3B20D321">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2.项目名称：</w:t>
      </w:r>
      <w:r>
        <w:rPr>
          <w:rFonts w:hint="eastAsia" w:asciiTheme="minorEastAsia" w:hAnsiTheme="minorEastAsia" w:cstheme="minorEastAsia"/>
          <w:sz w:val="28"/>
          <w:szCs w:val="28"/>
          <w:lang w:val="en-US" w:eastAsia="zh-CN"/>
        </w:rPr>
        <w:t>2025宿舍楼和教学楼设施设备采购项目（二次）</w:t>
      </w:r>
    </w:p>
    <w:p w14:paraId="15E93DD0">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3.预算金额（元）：216479.00</w:t>
      </w:r>
    </w:p>
    <w:p w14:paraId="755CEA27">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4.最高限价（元）：216479.00</w:t>
      </w:r>
    </w:p>
    <w:p w14:paraId="1F710FF1">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asciiTheme="majorEastAsia" w:hAnsiTheme="majorEastAsia" w:eastAsiaTheme="majorEastAsia" w:cstheme="majorEastAsia"/>
          <w:sz w:val="28"/>
          <w:szCs w:val="32"/>
          <w:lang w:val="en-US" w:eastAsia="zh-CN"/>
        </w:rPr>
      </w:pPr>
      <w:r>
        <w:rPr>
          <w:rFonts w:hint="eastAsia" w:eastAsia="宋体" w:asciiTheme="minorEastAsia" w:hAnsiTheme="minorEastAsia" w:cstheme="minorEastAsia"/>
          <w:sz w:val="28"/>
          <w:szCs w:val="28"/>
          <w:lang w:val="en-US" w:eastAsia="zh-CN"/>
        </w:rPr>
        <w:t>5.采购内容：</w:t>
      </w:r>
      <w:r>
        <w:rPr>
          <w:rFonts w:hint="eastAsia" w:asciiTheme="minorEastAsia" w:hAnsiTheme="minorEastAsia" w:cstheme="minorEastAsia"/>
          <w:sz w:val="28"/>
          <w:szCs w:val="28"/>
          <w:lang w:val="en-US" w:eastAsia="zh-CN"/>
        </w:rPr>
        <w:t>2025宿舍楼和教学楼设施设备采购项目</w:t>
      </w:r>
      <w:r>
        <w:rPr>
          <w:rFonts w:hint="eastAsia" w:eastAsia="宋体" w:asciiTheme="minorEastAsia" w:hAnsiTheme="minorEastAsia" w:cstheme="minorEastAsia"/>
          <w:sz w:val="28"/>
          <w:szCs w:val="28"/>
          <w:lang w:val="en-US" w:eastAsia="zh-CN"/>
        </w:rPr>
        <w:t>，具体详见采购文件。</w:t>
      </w:r>
    </w:p>
    <w:p w14:paraId="5A485AAA">
      <w:pPr>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rPr>
        <w:t>二、本项目供应商资格条件要求</w:t>
      </w:r>
    </w:p>
    <w:p w14:paraId="6F4153D3">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（一）符合政府采购法第二十二条规定，提供政府采购法实施条例第十七条规定资料。</w:t>
      </w:r>
    </w:p>
    <w:p w14:paraId="6E5484F7">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1.具有独立承担民事责任的能力：提供法人或其他组织的营业执照等证明文件，或自然人身份证明；</w:t>
      </w:r>
    </w:p>
    <w:p w14:paraId="2B519F3A">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2.具有良好的商业信誉和健全的财务会计制度：</w:t>
      </w:r>
    </w:p>
    <w:p w14:paraId="1F17367E">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供应商是法人的，提供2023年度或2024年度经会计师事务所出具的审计报告（成立不满一年的提供其基本开户银行出具的2025年1月至投标截止时间前任意时间的银行资信证明），审计报告应盖有会计师事务所单位章和注册会计师的执业专用章，并附会计师事务所的营业执照及执业证书；自然人或其他组织，没有经审计的财务报告，可提供其基本开户银行出具的2025年1月至投标截止时间前任意时间的银行资信证明（须附基本户银行开户许可证）；</w:t>
      </w:r>
    </w:p>
    <w:p w14:paraId="2C8C8E08">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3.具有履行合同所必需的设备和专业技术能力：</w:t>
      </w:r>
    </w:p>
    <w:p w14:paraId="724A4FE8">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提供具有履行合同所必需的设备和专业技术能力的证明材料或承诺函（承诺函格式自拟）；</w:t>
      </w:r>
    </w:p>
    <w:p w14:paraId="7AF6C6E8">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4.具有依法缴纳税收和社会保障资金的良好记录：</w:t>
      </w:r>
    </w:p>
    <w:p w14:paraId="5947FC8E">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提供2024年1月至今任意3个月依法缴纳税收和社会保障资金的相关材料；成立不满3个月的供应商，提供承诺依法缴纳税收和社保的承诺函，承诺函须由法定代表人签名并加盖供应商公章（承诺函格式自拟）；（依法免税或不需缴纳税收的应提供相关证明材料）</w:t>
      </w:r>
    </w:p>
    <w:p w14:paraId="51396CDF">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5.参加本次投标活动前三年内，在经营活动中没有违法违规记录：</w:t>
      </w:r>
    </w:p>
    <w:p w14:paraId="002C4543">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提供参加本次投标活动前3年内在经营活动中没有重大违法记录的书面声明（格式文件详见投标文件范本）；</w:t>
      </w:r>
    </w:p>
    <w:p w14:paraId="6AC3AC9B">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6.法律、行政法规规定的其他条件：</w:t>
      </w:r>
    </w:p>
    <w:p w14:paraId="72DFF62C">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1）供应商须承诺：在“信用中国”网站（www.creditchina.gov.cn）、中国政府采购网（www.ccgp.gov.cn）等渠道查询中未被列入失信被执行人名单、重大税收违法失信主体名单、政府采购严重违法失信行为记录名单中，如被列入失信被执行人、重大税收违法失信主体名单、政府采购严重违法失信行为记录名单中的供应商取消其投标资格，并承担由此造成的一切法律责任及后果）。（格式文件详见投标文件范本）</w:t>
      </w:r>
    </w:p>
    <w:p w14:paraId="64C89607">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4B7304DB">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7.本项目不专门面向中小企业。</w:t>
      </w:r>
    </w:p>
    <w:p w14:paraId="4714054A">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（二）特殊资格要求:无。</w:t>
      </w:r>
    </w:p>
    <w:p w14:paraId="23F16C8E">
      <w:pPr>
        <w:rPr>
          <w:rFonts w:hint="eastAsia" w:eastAsia="宋体" w:asciiTheme="minorEastAsia" w:hAnsiTheme="minorEastAsia" w:cstheme="minorEastAsia"/>
          <w:sz w:val="28"/>
          <w:szCs w:val="28"/>
          <w:lang w:val="en-US" w:eastAsia="zh-CN"/>
        </w:rPr>
        <w:sectPr>
          <w:headerReference r:id="rId5" w:type="default"/>
          <w:footerReference r:id="rId6" w:type="default"/>
          <w:pgSz w:w="11907" w:h="16840"/>
          <w:pgMar w:top="2098" w:right="1531" w:bottom="1984" w:left="1531" w:header="454" w:footer="720" w:gutter="0"/>
          <w:pgNumType w:fmt="decimal"/>
          <w:cols w:space="0" w:num="1"/>
          <w:rtlGutter w:val="0"/>
          <w:docGrid w:linePitch="285" w:charSpace="0"/>
        </w:sectPr>
      </w:pPr>
      <w:r>
        <w:rPr>
          <w:rFonts w:hint="eastAsia" w:eastAsia="宋体" w:asciiTheme="minorEastAsia" w:hAnsiTheme="minorEastAsia" w:cstheme="minorEastAsia"/>
          <w:sz w:val="28"/>
          <w:szCs w:val="28"/>
          <w:lang w:val="en-US" w:eastAsia="zh-CN"/>
        </w:rPr>
        <w:br w:type="page"/>
      </w:r>
    </w:p>
    <w:p w14:paraId="3A21ACE7">
      <w:pPr>
        <w:pStyle w:val="2"/>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firstLine="562" w:firstLineChars="200"/>
        <w:textAlignment w:val="auto"/>
        <w:rPr>
          <w:rFonts w:hint="default" w:cs="宋体" w:asciiTheme="minorEastAsia" w:hAnsiTheme="minorEastAsia" w:eastAsiaTheme="minorEastAsia"/>
          <w:color w:val="auto"/>
          <w:kern w:val="2"/>
          <w:sz w:val="28"/>
          <w:szCs w:val="28"/>
          <w:lang w:val="en-US" w:eastAsia="zh-CN"/>
        </w:rPr>
      </w:pPr>
      <w:bookmarkStart w:id="0" w:name="_Toc18558"/>
      <w:r>
        <w:rPr>
          <w:rFonts w:cs="宋体" w:asciiTheme="minorEastAsia" w:hAnsiTheme="minorEastAsia" w:eastAsiaTheme="minorEastAsia"/>
          <w:color w:val="auto"/>
          <w:kern w:val="2"/>
          <w:sz w:val="28"/>
          <w:szCs w:val="28"/>
        </w:rPr>
        <w:t>三、</w:t>
      </w:r>
      <w:bookmarkEnd w:id="0"/>
      <w:bookmarkStart w:id="1" w:name="_Toc424213015"/>
      <w:bookmarkStart w:id="2" w:name="_Toc406671094"/>
      <w:bookmarkStart w:id="3" w:name="_Toc406670723"/>
      <w:bookmarkStart w:id="4" w:name="_Toc406671682"/>
      <w:bookmarkStart w:id="5" w:name="_Toc406672387"/>
      <w:r>
        <w:rPr>
          <w:rFonts w:hint="eastAsia" w:cs="宋体" w:asciiTheme="minorEastAsia" w:hAnsiTheme="minorEastAsia" w:eastAsiaTheme="minorEastAsia"/>
          <w:color w:val="auto"/>
          <w:kern w:val="2"/>
          <w:sz w:val="28"/>
          <w:szCs w:val="28"/>
          <w:lang w:val="en-US" w:eastAsia="zh-CN"/>
        </w:rPr>
        <w:t>采购清单及技术要求</w:t>
      </w:r>
    </w:p>
    <w:p w14:paraId="0092FD42">
      <w:pPr>
        <w:ind w:left="0" w:leftChars="0" w:firstLine="0" w:firstLineChars="0"/>
        <w:rPr>
          <w:rFonts w:hint="default" w:ascii="黑体" w:hAnsi="黑体" w:eastAsia="黑体" w:cs="黑体"/>
          <w:sz w:val="32"/>
          <w:szCs w:val="40"/>
          <w:lang w:val="en-US" w:eastAsia="zh-CN"/>
        </w:rPr>
      </w:pPr>
      <w:bookmarkStart w:id="6" w:name="OLE_LINK29"/>
      <w:r>
        <w:rPr>
          <w:rFonts w:hint="eastAsia" w:ascii="黑体" w:hAnsi="黑体" w:eastAsia="黑体" w:cs="黑体"/>
          <w:sz w:val="32"/>
          <w:szCs w:val="40"/>
          <w:lang w:val="en-US" w:eastAsia="zh-CN"/>
        </w:rPr>
        <w:t>2025年宿舍楼和教学楼设施设备采购项目—家用电器采购（B包）</w:t>
      </w:r>
    </w:p>
    <w:p w14:paraId="49EA0CCE">
      <w:pPr>
        <w:ind w:left="0" w:leftChars="0" w:firstLine="0" w:firstLineChars="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采购清单</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3"/>
        <w:gridCol w:w="1644"/>
        <w:gridCol w:w="4452"/>
        <w:gridCol w:w="861"/>
        <w:gridCol w:w="828"/>
        <w:gridCol w:w="862"/>
      </w:tblGrid>
      <w:tr w14:paraId="298C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7F5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 号</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BDE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货物名称</w:t>
            </w:r>
          </w:p>
        </w:tc>
        <w:tc>
          <w:tcPr>
            <w:tcW w:w="2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FD0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 格</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09D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C36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B59E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1006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3B8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98C7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热水器</w:t>
            </w:r>
          </w:p>
        </w:tc>
        <w:tc>
          <w:tcPr>
            <w:tcW w:w="2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6C31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1.温度调节范围30°—75°。                                                                                                                  2.特护加热棒，双驱动变频速热，独立双棒分离式安装。                                          3.加热功率：≥2000W。                                                             4.控制方式：微电脑式。                                                  5.能效等级1级。                                                                    6.最大溶容积60L。                                                                  7.含安装所需的连接管。                                                                   8.含3C证书。</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D9C4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A2EA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64B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0EDB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04E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805D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全自动洗衣机</w:t>
            </w:r>
          </w:p>
        </w:tc>
        <w:tc>
          <w:tcPr>
            <w:tcW w:w="2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5310F">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1.产品类型：波轮洗衣机                                                                  2.能效等级：一级 。                                                                                                                                     3.电机类型：直驱变频电机。                                                             4.尺寸：宽高深约550*570*930mm。                                                       5.排水方式：下排水。                                                                   6.使用方式：全自动。                                                                   7.洗涤容量：≥10kg。                                                                    8.洗涤功率≥400W；脱水功率≥300W。                                                   9.脱水转速：≥700转/分钟。                                                          10.显示屏类型：LED。                                                                   11.控制方式：电脑式。                                                                  12.含3C证书。</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0DD5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6501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71D5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2EBA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856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F4B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EC2A4">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22"/>
                <w:szCs w:val="22"/>
                <w:u w:val="none"/>
              </w:rPr>
            </w:pPr>
            <w:r>
              <w:rPr>
                <w:rStyle w:val="28"/>
                <w:rFonts w:hint="eastAsia" w:ascii="宋体" w:hAnsi="宋体" w:eastAsia="宋体" w:cs="宋体"/>
                <w:sz w:val="22"/>
                <w:szCs w:val="22"/>
                <w:lang w:val="en-US" w:eastAsia="zh-CN" w:bidi="ar"/>
              </w:rPr>
              <w:t>1.空调类型：立柜式；                                                             2.空调功率：3匹；                                                                  3.适用面积：31</w:t>
            </w:r>
            <w:r>
              <w:rPr>
                <w:rStyle w:val="29"/>
                <w:rFonts w:hint="eastAsia" w:ascii="宋体" w:hAnsi="宋体" w:eastAsia="宋体" w:cs="宋体"/>
                <w:sz w:val="22"/>
                <w:szCs w:val="22"/>
                <w:lang w:val="en-US" w:eastAsia="zh-CN" w:bidi="ar"/>
              </w:rPr>
              <w:t>㎡</w:t>
            </w:r>
            <w:r>
              <w:rPr>
                <w:rStyle w:val="28"/>
                <w:rFonts w:hint="eastAsia" w:ascii="宋体" w:hAnsi="宋体" w:eastAsia="宋体" w:cs="宋体"/>
                <w:sz w:val="22"/>
                <w:szCs w:val="22"/>
                <w:lang w:val="en-US" w:eastAsia="zh-CN" w:bidi="ar"/>
              </w:rPr>
              <w:t>-40</w:t>
            </w:r>
            <w:r>
              <w:rPr>
                <w:rStyle w:val="29"/>
                <w:rFonts w:hint="eastAsia" w:ascii="宋体" w:hAnsi="宋体" w:eastAsia="宋体" w:cs="宋体"/>
                <w:sz w:val="22"/>
                <w:szCs w:val="22"/>
                <w:lang w:val="en-US" w:eastAsia="zh-CN" w:bidi="ar"/>
              </w:rPr>
              <w:t>㎡；</w:t>
            </w:r>
            <w:r>
              <w:rPr>
                <w:rStyle w:val="28"/>
                <w:rFonts w:hint="eastAsia" w:ascii="宋体" w:hAnsi="宋体" w:eastAsia="宋体" w:cs="宋体"/>
                <w:sz w:val="22"/>
                <w:szCs w:val="22"/>
                <w:lang w:val="en-US" w:eastAsia="zh-CN" w:bidi="ar"/>
              </w:rPr>
              <w:t xml:space="preserve">                                                           4.能效等级：三级；                                                              5.面板材料：ABS塑料；                                                                                                                         5.室内机最大噪音：45dB; 外机最大噪音：56dB;                                                         6.制热功率：约3000W，制冷功率：约2300W;                                              7.制冷量：≥7200W，制热量：≥9000W；                                                 8.扫风方式：上下左右扫风；                                                          9.循环风量：≥1200m3/h;                                                           10.电源插头规格：32A；                                                              11.电压/频率220V/50Hz;                                                         12.变频，冷暖，自清洁；                                                                                  13.操控方式：键控/遥控；                                                        14.含3C证书。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1EE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0C7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7205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14B99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25E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7F1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挂式空调</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560A">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22"/>
                <w:szCs w:val="22"/>
                <w:u w:val="none"/>
              </w:rPr>
            </w:pPr>
            <w:r>
              <w:rPr>
                <w:rStyle w:val="28"/>
                <w:rFonts w:hint="eastAsia" w:ascii="宋体" w:hAnsi="宋体" w:eastAsia="宋体" w:cs="宋体"/>
                <w:sz w:val="22"/>
                <w:szCs w:val="22"/>
                <w:lang w:val="en-US" w:eastAsia="zh-CN" w:bidi="ar"/>
              </w:rPr>
              <w:t>1.匹数：1.5匹；                                                                 2.适用面积：16—20</w:t>
            </w:r>
            <w:r>
              <w:rPr>
                <w:rStyle w:val="29"/>
                <w:rFonts w:hint="eastAsia" w:ascii="宋体" w:hAnsi="宋体" w:eastAsia="宋体" w:cs="宋体"/>
                <w:sz w:val="22"/>
                <w:szCs w:val="22"/>
                <w:lang w:val="en-US" w:eastAsia="zh-CN" w:bidi="ar"/>
              </w:rPr>
              <w:t>㎡</w:t>
            </w:r>
            <w:r>
              <w:rPr>
                <w:rStyle w:val="28"/>
                <w:rFonts w:hint="eastAsia" w:ascii="宋体" w:hAnsi="宋体" w:eastAsia="宋体" w:cs="宋体"/>
                <w:sz w:val="22"/>
                <w:szCs w:val="22"/>
                <w:lang w:val="en-US" w:eastAsia="zh-CN" w:bidi="ar"/>
              </w:rPr>
              <w:t xml:space="preserve">;                                                           3.能效等级：一级能效；                                                            4.面板材质：普通塑料；                                                               5.内机最大噪音：41dB; 外机最大噪音：51dB;                                                         6.制热功率：约1200W，制冷功率：约800W;                                                7.制冷量：≥3500W，制热量：≥5000W；                                                  8.循环风量：600m3/h；                                                            9.电源插头规格：16A；                                                              10.电压/频率220V/50Hz;                                                         11.变频，冷暖，自清洁；                                                                                  12.操控方式：键控/遥控；                                                        13.含3C证书。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4F9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328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EF58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77EF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44B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FCF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冰柜</w:t>
            </w:r>
          </w:p>
        </w:tc>
        <w:tc>
          <w:tcPr>
            <w:tcW w:w="2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C482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1.类别：制冷子母柜, 带双层钢化玻璃，自动回弹门。                                       2.尺寸：≥1800mm*800mm*2100mm                                                             3.功能：冷冻、冷藏等;                                    4.除雾方式：电热丝除雾；                                                                                            5.制冷方式：风冷双温;                                                                 6.总容量：≥1000L;                                           7.总功率：约1400w;                                       8.温控：上风冷冷藏：2～8℃；下直冷冷冻：-18～-25℃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01D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739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top"/>
          </w:tcPr>
          <w:p w14:paraId="699EE83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14:paraId="2FFDC4A1">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br w:type="page"/>
      </w:r>
    </w:p>
    <w:bookmarkEnd w:id="6"/>
    <w:p w14:paraId="0C370BF3">
      <w:pPr>
        <w:pageBreakBefore w:val="0"/>
        <w:widowControl w:val="0"/>
        <w:numPr>
          <w:ilvl w:val="0"/>
          <w:numId w:val="1"/>
        </w:numPr>
        <w:kinsoku/>
        <w:wordWrap/>
        <w:overflowPunct/>
        <w:topLinePunct w:val="0"/>
        <w:autoSpaceDE/>
        <w:autoSpaceDN/>
        <w:bidi w:val="0"/>
        <w:adjustRightInd/>
        <w:snapToGrid/>
        <w:spacing w:before="0" w:beforeAutospacing="0" w:after="0" w:afterAutospacing="0" w:line="240" w:lineRule="auto"/>
        <w:ind w:left="0" w:firstLine="562" w:firstLineChars="200"/>
        <w:textAlignment w:val="auto"/>
        <w:rPr>
          <w:rFonts w:hint="eastAsia" w:cs="宋体" w:asciiTheme="minorEastAsia" w:hAnsiTheme="minorEastAsia"/>
          <w:b/>
          <w:bCs/>
          <w:sz w:val="28"/>
          <w:szCs w:val="28"/>
        </w:rPr>
      </w:pPr>
      <w:r>
        <w:rPr>
          <w:rFonts w:hint="eastAsia" w:cs="宋体" w:asciiTheme="minorEastAsia" w:hAnsiTheme="minorEastAsia"/>
          <w:b/>
          <w:bCs/>
          <w:sz w:val="28"/>
          <w:szCs w:val="28"/>
        </w:rPr>
        <w:t>商务要求</w:t>
      </w:r>
    </w:p>
    <w:p w14:paraId="79FC37BC">
      <w:pPr>
        <w:pageBreakBefore w:val="0"/>
        <w:kinsoku/>
        <w:overflowPunct/>
        <w:topLinePunct w:val="0"/>
        <w:bidi w:val="0"/>
        <w:spacing w:line="520" w:lineRule="exact"/>
        <w:ind w:left="0" w:leftChars="0" w:firstLine="0" w:firstLineChars="0"/>
        <w:rPr>
          <w:rStyle w:val="19"/>
          <w:rFonts w:hint="eastAsia" w:ascii="黑体" w:hAnsi="黑体" w:eastAsia="黑体" w:cs="黑体"/>
          <w:b w:val="0"/>
          <w:bCs/>
          <w:color w:val="auto"/>
          <w:sz w:val="32"/>
          <w:szCs w:val="32"/>
          <w:lang w:eastAsia="zh-CN"/>
        </w:rPr>
      </w:pPr>
      <w:bookmarkStart w:id="7" w:name="_Toc11035"/>
      <w:bookmarkStart w:id="8" w:name="_Toc25240"/>
      <w:r>
        <w:rPr>
          <w:rStyle w:val="19"/>
          <w:rFonts w:hint="eastAsia" w:ascii="黑体" w:hAnsi="黑体" w:eastAsia="黑体" w:cs="黑体"/>
          <w:b w:val="0"/>
          <w:bCs/>
          <w:color w:val="auto"/>
          <w:sz w:val="32"/>
          <w:szCs w:val="32"/>
        </w:rPr>
        <w:t>2025年宿舍楼和教学楼设施设备采购项目—家用电器采购</w:t>
      </w:r>
      <w:r>
        <w:rPr>
          <w:rStyle w:val="19"/>
          <w:rFonts w:hint="eastAsia" w:ascii="黑体" w:hAnsi="黑体" w:eastAsia="黑体" w:cs="黑体"/>
          <w:b w:val="0"/>
          <w:bCs/>
          <w:color w:val="auto"/>
          <w:sz w:val="32"/>
          <w:szCs w:val="32"/>
          <w:lang w:eastAsia="zh-CN"/>
        </w:rPr>
        <w:t>（</w:t>
      </w:r>
      <w:r>
        <w:rPr>
          <w:rStyle w:val="19"/>
          <w:rFonts w:hint="eastAsia" w:ascii="黑体" w:hAnsi="黑体" w:eastAsia="黑体" w:cs="黑体"/>
          <w:b w:val="0"/>
          <w:bCs/>
          <w:color w:val="auto"/>
          <w:sz w:val="32"/>
          <w:szCs w:val="32"/>
          <w:lang w:val="en-US" w:eastAsia="zh-CN"/>
        </w:rPr>
        <w:t>B</w:t>
      </w:r>
      <w:r>
        <w:rPr>
          <w:rStyle w:val="19"/>
          <w:rFonts w:hint="eastAsia" w:ascii="黑体" w:hAnsi="黑体" w:eastAsia="黑体" w:cs="黑体"/>
          <w:b w:val="0"/>
          <w:bCs/>
          <w:color w:val="auto"/>
          <w:sz w:val="32"/>
          <w:szCs w:val="32"/>
        </w:rPr>
        <w:t>包</w:t>
      </w:r>
      <w:r>
        <w:rPr>
          <w:rStyle w:val="19"/>
          <w:rFonts w:hint="eastAsia" w:ascii="黑体" w:hAnsi="黑体" w:eastAsia="黑体" w:cs="黑体"/>
          <w:b w:val="0"/>
          <w:bCs/>
          <w:color w:val="auto"/>
          <w:sz w:val="32"/>
          <w:szCs w:val="32"/>
          <w:lang w:eastAsia="zh-CN"/>
        </w:rPr>
        <w:t>）</w:t>
      </w:r>
    </w:p>
    <w:p w14:paraId="4B208E59">
      <w:pPr>
        <w:pageBreakBefore w:val="0"/>
        <w:kinsoku/>
        <w:overflowPunct/>
        <w:topLinePunct w:val="0"/>
        <w:bidi w:val="0"/>
        <w:spacing w:line="520" w:lineRule="exact"/>
        <w:ind w:left="0" w:leftChars="0" w:firstLine="0" w:firstLineChars="0"/>
        <w:rPr>
          <w:rStyle w:val="19"/>
          <w:rFonts w:hint="eastAsia" w:ascii="黑体" w:hAnsi="黑体" w:eastAsia="黑体" w:cs="黑体"/>
          <w:b w:val="0"/>
          <w:bCs/>
          <w:color w:val="auto"/>
          <w:sz w:val="32"/>
          <w:szCs w:val="32"/>
          <w:lang w:eastAsia="zh-CN"/>
        </w:rPr>
      </w:pPr>
      <w:r>
        <w:rPr>
          <w:rStyle w:val="19"/>
          <w:rFonts w:hint="eastAsia" w:ascii="黑体" w:hAnsi="黑体" w:eastAsia="黑体" w:cs="黑体"/>
          <w:b w:val="0"/>
          <w:bCs/>
          <w:sz w:val="32"/>
          <w:szCs w:val="32"/>
        </w:rPr>
        <w:t>一、</w:t>
      </w:r>
      <w:r>
        <w:rPr>
          <w:rStyle w:val="19"/>
          <w:rFonts w:hint="eastAsia" w:ascii="黑体" w:hAnsi="黑体" w:eastAsia="黑体" w:cs="黑体"/>
          <w:b w:val="0"/>
          <w:bCs/>
          <w:sz w:val="32"/>
          <w:szCs w:val="32"/>
          <w:lang w:eastAsia="zh-CN"/>
        </w:rPr>
        <w:t>交货</w:t>
      </w:r>
      <w:r>
        <w:rPr>
          <w:rStyle w:val="19"/>
          <w:rFonts w:hint="eastAsia" w:ascii="黑体" w:hAnsi="黑体" w:eastAsia="黑体" w:cs="黑体"/>
          <w:b w:val="0"/>
          <w:bCs/>
          <w:color w:val="auto"/>
          <w:sz w:val="32"/>
          <w:szCs w:val="32"/>
          <w:lang w:eastAsia="zh-CN"/>
        </w:rPr>
        <w:t>期</w:t>
      </w:r>
      <w:r>
        <w:rPr>
          <w:rStyle w:val="19"/>
          <w:rFonts w:hint="eastAsia" w:ascii="黑体" w:hAnsi="黑体" w:eastAsia="黑体" w:cs="黑体"/>
          <w:b w:val="0"/>
          <w:bCs/>
          <w:color w:val="auto"/>
          <w:sz w:val="32"/>
          <w:szCs w:val="32"/>
        </w:rPr>
        <w:t>及</w:t>
      </w:r>
      <w:r>
        <w:rPr>
          <w:rStyle w:val="19"/>
          <w:rFonts w:hint="eastAsia" w:ascii="黑体" w:hAnsi="黑体" w:eastAsia="黑体" w:cs="黑体"/>
          <w:b w:val="0"/>
          <w:bCs/>
          <w:color w:val="auto"/>
          <w:sz w:val="32"/>
          <w:szCs w:val="32"/>
          <w:lang w:eastAsia="zh-CN"/>
        </w:rPr>
        <w:t>交货地点</w:t>
      </w:r>
    </w:p>
    <w:p w14:paraId="08A221D1">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交货期：合同签订之日起2个月内。</w:t>
      </w:r>
    </w:p>
    <w:p w14:paraId="26EE8075">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交货地点：贵州特殊教育中等职业技术学校校园内。</w:t>
      </w:r>
    </w:p>
    <w:p w14:paraId="461FB94B">
      <w:pPr>
        <w:pageBreakBefore w:val="0"/>
        <w:kinsoku/>
        <w:overflowPunct/>
        <w:topLinePunct w:val="0"/>
        <w:bidi w:val="0"/>
        <w:spacing w:line="520" w:lineRule="exact"/>
        <w:ind w:left="0" w:leftChars="0" w:firstLine="0" w:firstLineChars="0"/>
        <w:rPr>
          <w:rStyle w:val="19"/>
          <w:rFonts w:hint="eastAsia" w:ascii="黑体" w:hAnsi="黑体" w:eastAsia="黑体" w:cs="黑体"/>
          <w:b w:val="0"/>
          <w:bCs/>
          <w:color w:val="000000"/>
          <w:sz w:val="32"/>
          <w:szCs w:val="32"/>
        </w:rPr>
      </w:pPr>
      <w:r>
        <w:rPr>
          <w:rStyle w:val="19"/>
          <w:rFonts w:hint="eastAsia" w:ascii="黑体" w:hAnsi="黑体" w:eastAsia="黑体" w:cs="黑体"/>
          <w:b w:val="0"/>
          <w:bCs/>
          <w:sz w:val="32"/>
          <w:szCs w:val="32"/>
        </w:rPr>
        <w:t>二、验收标准、规范及验收方式</w:t>
      </w:r>
    </w:p>
    <w:p w14:paraId="72B55FE7">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符合行业标准、国家相关标准，并符合采购文件及合同的相关要求。</w:t>
      </w:r>
    </w:p>
    <w:p w14:paraId="3D54462D">
      <w:pPr>
        <w:pageBreakBefore w:val="0"/>
        <w:kinsoku/>
        <w:overflowPunct/>
        <w:topLinePunct w:val="0"/>
        <w:bidi w:val="0"/>
        <w:spacing w:line="520" w:lineRule="exact"/>
        <w:ind w:left="0" w:leftChars="0" w:firstLine="0" w:firstLineChars="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三、付款方式</w:t>
      </w:r>
    </w:p>
    <w:p w14:paraId="0330471E">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供应商完成所有供货、安装和调试，通过验收后，采购人收到供应商提交的请款函和增值税普通发票后15个工作日内，一次性向成交供应商支付合同总金额。</w:t>
      </w:r>
    </w:p>
    <w:p w14:paraId="258AB398">
      <w:pPr>
        <w:pageBreakBefore w:val="0"/>
        <w:kinsoku/>
        <w:overflowPunct/>
        <w:topLinePunct w:val="0"/>
        <w:bidi w:val="0"/>
        <w:spacing w:line="520" w:lineRule="exact"/>
        <w:ind w:left="0" w:leftChars="0" w:firstLine="0" w:firstLineChars="0"/>
        <w:rPr>
          <w:rStyle w:val="19"/>
          <w:rFonts w:hint="eastAsia" w:ascii="黑体" w:hAnsi="黑体" w:eastAsia="黑体" w:cs="黑体"/>
          <w:b w:val="0"/>
          <w:bCs/>
          <w:sz w:val="32"/>
          <w:szCs w:val="32"/>
        </w:rPr>
      </w:pPr>
      <w:r>
        <w:rPr>
          <w:rStyle w:val="19"/>
          <w:rFonts w:hint="eastAsia" w:ascii="黑体" w:hAnsi="黑体" w:eastAsia="黑体" w:cs="黑体"/>
          <w:b w:val="0"/>
          <w:bCs/>
          <w:sz w:val="32"/>
          <w:szCs w:val="32"/>
        </w:rPr>
        <w:t>四、投标有效期</w:t>
      </w:r>
    </w:p>
    <w:p w14:paraId="3C9DB587">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default" w:eastAsia="宋体" w:asciiTheme="minorEastAsia" w:hAnsiTheme="minorEastAsia" w:cstheme="minorEastAsia"/>
          <w:sz w:val="28"/>
          <w:szCs w:val="28"/>
          <w:lang w:val="en-US" w:eastAsia="zh-CN"/>
        </w:rPr>
        <w:t>90</w:t>
      </w:r>
      <w:r>
        <w:rPr>
          <w:rFonts w:hint="eastAsia" w:eastAsia="宋体" w:asciiTheme="minorEastAsia" w:hAnsiTheme="minorEastAsia" w:cstheme="minorEastAsia"/>
          <w:sz w:val="28"/>
          <w:szCs w:val="28"/>
          <w:lang w:val="en-US" w:eastAsia="zh-CN"/>
        </w:rPr>
        <w:t>日历天（从投标截止之日算起）在此期限内，所有响应文件均保持有效。</w:t>
      </w:r>
    </w:p>
    <w:p w14:paraId="7B5B2570">
      <w:pPr>
        <w:pageBreakBefore w:val="0"/>
        <w:kinsoku/>
        <w:overflowPunct/>
        <w:topLinePunct w:val="0"/>
        <w:bidi w:val="0"/>
        <w:spacing w:line="520" w:lineRule="exact"/>
        <w:ind w:left="0" w:leftChars="0" w:firstLine="0" w:firstLineChars="0"/>
        <w:rPr>
          <w:rStyle w:val="19"/>
          <w:rFonts w:hint="eastAsia" w:ascii="黑体" w:hAnsi="黑体" w:eastAsia="黑体" w:cs="黑体"/>
          <w:b w:val="0"/>
          <w:bCs/>
          <w:sz w:val="32"/>
          <w:szCs w:val="32"/>
          <w:lang w:eastAsia="zh-CN"/>
        </w:rPr>
      </w:pPr>
      <w:r>
        <w:rPr>
          <w:rStyle w:val="19"/>
          <w:rFonts w:hint="eastAsia" w:ascii="黑体" w:hAnsi="黑体" w:eastAsia="黑体" w:cs="黑体"/>
          <w:b w:val="0"/>
          <w:bCs/>
          <w:sz w:val="32"/>
          <w:szCs w:val="32"/>
          <w:lang w:eastAsia="zh-CN"/>
        </w:rPr>
        <w:t>五、售后服务</w:t>
      </w:r>
    </w:p>
    <w:p w14:paraId="2325901D">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（一）成交供应商在供货时须无偿对不符合采购人验收标准的所有货物于72小时内换新送达，并符合验收标准。</w:t>
      </w:r>
    </w:p>
    <w:p w14:paraId="29BA2A50">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（二）成交供应商应做好本项目的售后工作，提供7×24小时响应服务。对于须维修或更换的货物，需在3个小时内抵达采购人处，确定故障原因并解决故障问题。</w:t>
      </w:r>
    </w:p>
    <w:p w14:paraId="58E6DF48">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三）本项目质保期为三年，如部分产品质保期大于三年的，两者按最长质保期执行。在产品质保期（保修期）内，如发生质量问题，供应商在接到通知后，到达现场无法维修或不能立即修复至正常使用的须提供同类产品进行更换，所产生的费用由供应商承担。如供应商未按照约定的时间答复或处理问题的，则视为供应商承认质量问题并承担由此而发生的一切费用，保修期间产品的一切质量问题，更换部件及产品本身质量原因造成的直接经济损失由供应商自行负责。</w:t>
      </w:r>
    </w:p>
    <w:p w14:paraId="494291E0">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 xml:space="preserve">（四）供应商承诺：产品质保期满后发生的维修服务只收取零部件、配品配件及人工的成本费用。 </w:t>
      </w:r>
    </w:p>
    <w:p w14:paraId="33567059">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（五）供应商承诺：若后期产生维修或质量问题无法使用时所更换的产品或配品配件均为原厂的全新未使用的。</w:t>
      </w:r>
    </w:p>
    <w:p w14:paraId="0584483D">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（六）供应商承诺：给投标的家用电器货物购买安全保险，以防采购人在使用过程中出现安全事故。</w:t>
      </w:r>
    </w:p>
    <w:p w14:paraId="5C984BFA">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（七）供应商须提供售后服务机构的名称、地址、联系人、联系电话等信息。</w:t>
      </w:r>
    </w:p>
    <w:p w14:paraId="6105BD86">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（八）成交供应商送货时应提交产品的质检报告给采购人。</w:t>
      </w:r>
    </w:p>
    <w:p w14:paraId="2994B1EA">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（九）供应商所投产品的生产厂家，近5年内不得存在行政处罚，否则供应商须承担相应责任。</w:t>
      </w:r>
    </w:p>
    <w:p w14:paraId="2A7C332E">
      <w:pPr>
        <w:pageBreakBefore w:val="0"/>
        <w:kinsoku/>
        <w:overflowPunct/>
        <w:topLinePunct w:val="0"/>
        <w:bidi w:val="0"/>
        <w:spacing w:line="520" w:lineRule="exact"/>
        <w:ind w:left="0" w:leftChars="0" w:firstLine="0" w:firstLineChars="0"/>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、投标报价说明</w:t>
      </w:r>
    </w:p>
    <w:p w14:paraId="3172FEF4">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投标报价为验收合格并交付使用价。供应商投标报价中应包含但不限于本项目产品费用、搬运费、维修保障费、运输费、人工费、安装费、通讯服务费、验收费、公司管理费及利润、增值税及各项税费等完成本项目所需的一切费用，采购人不再另行支付任何费用。</w:t>
      </w:r>
    </w:p>
    <w:p w14:paraId="7F61C5CA">
      <w:pPr>
        <w:pageBreakBefore w:val="0"/>
        <w:kinsoku/>
        <w:overflowPunct/>
        <w:topLinePunct w:val="0"/>
        <w:bidi w:val="0"/>
        <w:spacing w:line="520" w:lineRule="exact"/>
        <w:ind w:left="0" w:leftChars="0" w:firstLine="0" w:firstLineChars="0"/>
        <w:rPr>
          <w:rStyle w:val="19"/>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、现场踏勘</w:t>
      </w:r>
    </w:p>
    <w:p w14:paraId="295DA20B">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本项目不组织探勘，投标供应商自行踏勘。承担踏勘现场的责任、风险和费用。</w:t>
      </w:r>
    </w:p>
    <w:p w14:paraId="3FDD313D">
      <w:pPr>
        <w:pageBreakBefore w:val="0"/>
        <w:kinsoku/>
        <w:overflowPunct/>
        <w:topLinePunct w:val="0"/>
        <w:bidi w:val="0"/>
        <w:spacing w:line="520" w:lineRule="exact"/>
        <w:ind w:left="0" w:leftChars="0" w:firstLine="0" w:firstLineChars="0"/>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lang w:eastAsia="zh-CN"/>
        </w:rPr>
        <w:t>、其他要求</w:t>
      </w:r>
    </w:p>
    <w:p w14:paraId="36267799">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一）投标人应对其提供的投标文件及相关资料的真实性负责，在签订合同之前或合同履行期间，如发现供应商在招投标过程中有任何弄虚作假或违法违规行为的，一经查实，采购人予以取消其投标资格或中标/成交资格，且保留将此行为上报上级监督管理部门的权力，给采购人造成的损失，中标人/成交人应当予以承担赔偿责任。</w:t>
      </w:r>
    </w:p>
    <w:p w14:paraId="59E31CF8">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（二）投标供应商与参与本项目的其他投标供应商不得存在单位负责人为同一人或者存在直接控股、管理关系；</w:t>
      </w:r>
    </w:p>
    <w:p w14:paraId="66246C27">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（三）本项目不接受以任何形式的分包、转包；</w:t>
      </w:r>
    </w:p>
    <w:p w14:paraId="10950660">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（四）执行送货、安装等工作时，以采购人通知为准，并严格遵守采购人单位规章或管理制度。</w:t>
      </w:r>
    </w:p>
    <w:p w14:paraId="2AE337C1">
      <w:pPr>
        <w:pageBreakBefore w:val="0"/>
        <w:widowControl w:val="0"/>
        <w:kinsoku/>
        <w:wordWrap/>
        <w:overflowPunct/>
        <w:topLinePunct w:val="0"/>
        <w:autoSpaceDE/>
        <w:autoSpaceDN/>
        <w:bidi w:val="0"/>
        <w:adjustRightInd/>
        <w:snapToGrid/>
        <w:spacing w:before="32" w:beforeLines="10" w:beforeAutospacing="0" w:after="32" w:afterLines="10" w:afterAutospacing="0" w:line="360" w:lineRule="auto"/>
        <w:ind w:firstLine="560" w:firstLineChars="200"/>
        <w:textAlignment w:val="auto"/>
        <w:rPr>
          <w:rFonts w:hint="eastAsia" w:eastAsia="宋体" w:asciiTheme="minorEastAsia" w:hAnsiTheme="minorEastAsia" w:cstheme="minorEastAsia"/>
          <w:sz w:val="28"/>
          <w:szCs w:val="28"/>
          <w:lang w:val="en-US" w:eastAsia="zh-CN"/>
        </w:rPr>
      </w:pPr>
      <w:r>
        <w:rPr>
          <w:rFonts w:hint="eastAsia" w:eastAsia="宋体" w:asciiTheme="minorEastAsia" w:hAnsiTheme="minorEastAsia" w:cstheme="minorEastAsia"/>
          <w:sz w:val="28"/>
          <w:szCs w:val="28"/>
          <w:lang w:val="en-US" w:eastAsia="zh-CN"/>
        </w:rPr>
        <w:t>（五）其他未尽事宜，待签订合同时双方再议。</w:t>
      </w:r>
    </w:p>
    <w:bookmarkEnd w:id="1"/>
    <w:bookmarkEnd w:id="2"/>
    <w:bookmarkEnd w:id="3"/>
    <w:bookmarkEnd w:id="4"/>
    <w:bookmarkEnd w:id="5"/>
    <w:bookmarkEnd w:id="7"/>
    <w:bookmarkEnd w:id="8"/>
    <w:p w14:paraId="025E8E09">
      <w:pPr>
        <w:pageBreakBefore w:val="0"/>
        <w:kinsoku/>
        <w:overflowPunct/>
        <w:topLinePunct w:val="0"/>
        <w:bidi w:val="0"/>
        <w:spacing w:line="520" w:lineRule="exact"/>
        <w:ind w:left="0" w:leftChars="0" w:firstLine="0" w:firstLineChars="0"/>
        <w:rPr>
          <w:rFonts w:hint="eastAsia" w:ascii="Times New Roman" w:hAnsi="Times New Roman" w:cs="仿宋_GB2312"/>
          <w:b w:val="0"/>
          <w:bCs/>
          <w:sz w:val="32"/>
          <w:szCs w:val="32"/>
          <w:lang w:val="en-US" w:eastAsia="zh-CN"/>
        </w:rPr>
      </w:pPr>
    </w:p>
    <w:p w14:paraId="525AEA3D">
      <w:pPr>
        <w:pageBreakBefore w:val="0"/>
        <w:kinsoku/>
        <w:overflowPunct/>
        <w:topLinePunct w:val="0"/>
        <w:bidi w:val="0"/>
        <w:spacing w:line="520" w:lineRule="exact"/>
        <w:ind w:left="0" w:leftChars="0" w:firstLine="0" w:firstLineChars="0"/>
        <w:rPr>
          <w:rFonts w:hint="eastAsia" w:ascii="Times New Roman" w:hAnsi="Times New Roman" w:cs="仿宋_GB2312"/>
          <w:b w:val="0"/>
          <w:bCs/>
          <w:sz w:val="32"/>
          <w:szCs w:val="32"/>
          <w:lang w:val="en-US" w:eastAsia="zh-CN"/>
        </w:rPr>
      </w:pPr>
      <w:bookmarkStart w:id="9" w:name="_GoBack"/>
      <w:r>
        <w:drawing>
          <wp:anchor distT="0" distB="0" distL="114300" distR="114300" simplePos="0" relativeHeight="251659264" behindDoc="0" locked="0" layoutInCell="1" allowOverlap="1">
            <wp:simplePos x="0" y="0"/>
            <wp:positionH relativeFrom="column">
              <wp:posOffset>-17145</wp:posOffset>
            </wp:positionH>
            <wp:positionV relativeFrom="paragraph">
              <wp:posOffset>76835</wp:posOffset>
            </wp:positionV>
            <wp:extent cx="6155055" cy="4572000"/>
            <wp:effectExtent l="0" t="0" r="1714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6155055" cy="4572000"/>
                    </a:xfrm>
                    <a:prstGeom prst="rect">
                      <a:avLst/>
                    </a:prstGeom>
                    <a:noFill/>
                    <a:ln>
                      <a:noFill/>
                    </a:ln>
                  </pic:spPr>
                </pic:pic>
              </a:graphicData>
            </a:graphic>
          </wp:anchor>
        </w:drawing>
      </w:r>
      <w:bookmarkEnd w:id="9"/>
    </w:p>
    <w:p w14:paraId="0398241A">
      <w:pPr>
        <w:pageBreakBefore w:val="0"/>
        <w:kinsoku/>
        <w:overflowPunct/>
        <w:topLinePunct w:val="0"/>
        <w:bidi w:val="0"/>
        <w:spacing w:line="520" w:lineRule="exact"/>
        <w:ind w:left="0" w:leftChars="0" w:firstLine="0" w:firstLineChars="0"/>
        <w:rPr>
          <w:rFonts w:hint="eastAsia" w:ascii="Times New Roman" w:hAnsi="Times New Roman" w:cs="仿宋_GB2312"/>
          <w:b w:val="0"/>
          <w:bCs/>
          <w:sz w:val="32"/>
          <w:szCs w:val="32"/>
          <w:lang w:val="en-US" w:eastAsia="zh-CN"/>
        </w:rPr>
      </w:pPr>
    </w:p>
    <w:sectPr>
      <w:headerReference r:id="rId7" w:type="default"/>
      <w:footerReference r:id="rId8" w:type="default"/>
      <w:pgSz w:w="11906" w:h="16838"/>
      <w:pgMar w:top="1134" w:right="1179" w:bottom="1157" w:left="117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3511">
    <w:pPr>
      <w:pStyle w:val="6"/>
      <w:spacing w:line="209" w:lineRule="auto"/>
      <w:ind w:left="360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DBD3">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1217">
    <w:pPr>
      <w:pStyle w:val="6"/>
      <w:pBdr>
        <w:bottom w:val="none" w:color="auto" w:sz="0" w:space="0"/>
      </w:pBdr>
      <w:spacing w:before="40" w:line="219" w:lineRule="auto"/>
      <w:ind w:right="10"/>
      <w:jc w:val="right"/>
      <w:rPr>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DFF3">
    <w:pPr>
      <w:pStyle w:val="13"/>
      <w:pBdr>
        <w:bottom w:val="none" w:color="auto" w:sz="0" w:space="1"/>
      </w:pBdr>
      <w:tabs>
        <w:tab w:val="left" w:pos="3985"/>
        <w:tab w:val="clear" w:pos="4153"/>
      </w:tabs>
      <w:ind w:firstLine="0" w:firstLineChars="0"/>
      <w:jc w:val="both"/>
      <w:rPr>
        <w:rFonts w:hint="eastAsia" w:eastAsia="宋体"/>
        <w:lang w:eastAsia="zh-CN"/>
      </w:rPr>
    </w:pPr>
    <w:r>
      <w:rPr>
        <w:rFonts w:hint="eastAsia"/>
      </w:rPr>
      <w:t xml:space="preserve"> </w:t>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40488"/>
    <w:multiLevelType w:val="singleLevel"/>
    <w:tmpl w:val="5B14048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zI5ZWIxZTU5OTQ5ZmEzZTJlMzMzZTVhNzk0MWMifQ=="/>
  </w:docVars>
  <w:rsids>
    <w:rsidRoot w:val="69FA44A4"/>
    <w:rsid w:val="009F61ED"/>
    <w:rsid w:val="057665B4"/>
    <w:rsid w:val="0BE20321"/>
    <w:rsid w:val="0C342BD0"/>
    <w:rsid w:val="11355F72"/>
    <w:rsid w:val="166D15EC"/>
    <w:rsid w:val="17121AA3"/>
    <w:rsid w:val="1B242B82"/>
    <w:rsid w:val="1D6372A4"/>
    <w:rsid w:val="1F772700"/>
    <w:rsid w:val="1FF8565B"/>
    <w:rsid w:val="212D214E"/>
    <w:rsid w:val="289F2AC2"/>
    <w:rsid w:val="2BFB1B9B"/>
    <w:rsid w:val="2FCD0E49"/>
    <w:rsid w:val="329A4729"/>
    <w:rsid w:val="330D3AE3"/>
    <w:rsid w:val="35C67251"/>
    <w:rsid w:val="3637637B"/>
    <w:rsid w:val="378E71D8"/>
    <w:rsid w:val="39A13B77"/>
    <w:rsid w:val="3FC542C8"/>
    <w:rsid w:val="40EC02E6"/>
    <w:rsid w:val="42422DB1"/>
    <w:rsid w:val="46D149CF"/>
    <w:rsid w:val="49EF447C"/>
    <w:rsid w:val="4A561E76"/>
    <w:rsid w:val="4AC41C85"/>
    <w:rsid w:val="4B7844B8"/>
    <w:rsid w:val="4BA8188C"/>
    <w:rsid w:val="538E2997"/>
    <w:rsid w:val="53BF3E04"/>
    <w:rsid w:val="56F036C3"/>
    <w:rsid w:val="57195018"/>
    <w:rsid w:val="586035A5"/>
    <w:rsid w:val="5894304C"/>
    <w:rsid w:val="5E3C67B9"/>
    <w:rsid w:val="5EC26173"/>
    <w:rsid w:val="64F064A0"/>
    <w:rsid w:val="680A6137"/>
    <w:rsid w:val="69FA44A4"/>
    <w:rsid w:val="6A575068"/>
    <w:rsid w:val="6A7C062B"/>
    <w:rsid w:val="6D7277CF"/>
    <w:rsid w:val="6EAF586A"/>
    <w:rsid w:val="6F1110F2"/>
    <w:rsid w:val="6F88152C"/>
    <w:rsid w:val="70C40F7D"/>
    <w:rsid w:val="73274B67"/>
    <w:rsid w:val="75944554"/>
    <w:rsid w:val="7664774C"/>
    <w:rsid w:val="76C123FB"/>
    <w:rsid w:val="78277DE1"/>
    <w:rsid w:val="7EA62FA7"/>
    <w:rsid w:val="7F01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jc w:val="center"/>
      <w:outlineLvl w:val="2"/>
    </w:pPr>
    <w:rPr>
      <w:rFonts w:eastAsia="黑体"/>
      <w:bCs/>
      <w:kern w:val="0"/>
      <w:sz w:val="24"/>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autoRedefine/>
    <w:unhideWhenUsed/>
    <w:qFormat/>
    <w:uiPriority w:val="99"/>
    <w:pPr>
      <w:spacing w:after="120"/>
    </w:pPr>
    <w:rPr>
      <w:rFonts w:ascii="Calibri" w:hAnsi="Calibri"/>
      <w:szCs w:val="22"/>
    </w:rPr>
  </w:style>
  <w:style w:type="paragraph" w:styleId="7">
    <w:name w:val="Body Text Indent"/>
    <w:basedOn w:val="1"/>
    <w:next w:val="8"/>
    <w:autoRedefine/>
    <w:qFormat/>
    <w:uiPriority w:val="0"/>
    <w:pPr>
      <w:spacing w:line="380" w:lineRule="exact"/>
      <w:ind w:firstLine="480"/>
    </w:pPr>
    <w:rPr>
      <w:rFonts w:eastAsia="方正书宋简体"/>
      <w:kern w:val="0"/>
      <w:sz w:val="24"/>
      <w:szCs w:val="20"/>
    </w:rPr>
  </w:style>
  <w:style w:type="paragraph" w:styleId="8">
    <w:name w:val="envelope return"/>
    <w:basedOn w:val="1"/>
    <w:autoRedefine/>
    <w:qFormat/>
    <w:uiPriority w:val="99"/>
    <w:pPr>
      <w:snapToGrid w:val="0"/>
    </w:pPr>
    <w:rPr>
      <w:rFonts w:ascii="Arial" w:hAnsi="Arial"/>
    </w:rPr>
  </w:style>
  <w:style w:type="paragraph" w:styleId="9">
    <w:name w:val="List 2"/>
    <w:basedOn w:val="1"/>
    <w:next w:val="10"/>
    <w:autoRedefine/>
    <w:unhideWhenUsed/>
    <w:qFormat/>
    <w:uiPriority w:val="99"/>
    <w:pPr>
      <w:ind w:left="100" w:leftChars="200" w:hanging="200" w:hangingChars="200"/>
    </w:pPr>
  </w:style>
  <w:style w:type="paragraph" w:styleId="10">
    <w:name w:val="Plain Text"/>
    <w:basedOn w:val="1"/>
    <w:next w:val="1"/>
    <w:autoRedefine/>
    <w:qFormat/>
    <w:uiPriority w:val="0"/>
    <w:rPr>
      <w:rFonts w:ascii="宋体" w:hAnsi="Courier New"/>
      <w:kern w:val="0"/>
      <w:sz w:val="20"/>
      <w:szCs w:val="20"/>
    </w:rPr>
  </w:style>
  <w:style w:type="paragraph" w:styleId="11">
    <w:name w:val="Block Text"/>
    <w:basedOn w:val="1"/>
    <w:autoRedefine/>
    <w:unhideWhenUsed/>
    <w:qFormat/>
    <w:uiPriority w:val="99"/>
    <w:pPr>
      <w:adjustRightInd w:val="0"/>
      <w:spacing w:line="300" w:lineRule="auto"/>
      <w:ind w:left="958" w:right="-120" w:rightChars="-120"/>
      <w:jc w:val="left"/>
    </w:pPr>
    <w:rPr>
      <w:rFonts w:ascii="宋体" w:hAnsi="宋体"/>
      <w:sz w:val="28"/>
    </w:rPr>
  </w:style>
  <w:style w:type="paragraph" w:styleId="12">
    <w:name w:val="footer"/>
    <w:basedOn w:val="1"/>
    <w:autoRedefine/>
    <w:qFormat/>
    <w:uiPriority w:val="99"/>
    <w:pPr>
      <w:tabs>
        <w:tab w:val="center" w:pos="4153"/>
        <w:tab w:val="right" w:pos="8306"/>
      </w:tabs>
      <w:snapToGrid w:val="0"/>
    </w:pPr>
    <w:rPr>
      <w:sz w:val="18"/>
      <w:szCs w:val="18"/>
    </w:rPr>
  </w:style>
  <w:style w:type="paragraph" w:styleId="1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autoRedefine/>
    <w:qFormat/>
    <w:uiPriority w:val="0"/>
    <w:pPr>
      <w:snapToGrid w:val="0"/>
      <w:spacing w:line="240" w:lineRule="auto"/>
    </w:pPr>
    <w:rPr>
      <w:rFonts w:ascii="宋体" w:hAnsi="宋体"/>
      <w:szCs w:val="21"/>
    </w:rPr>
  </w:style>
  <w:style w:type="table" w:styleId="17">
    <w:name w:val="Table Grid"/>
    <w:basedOn w:val="1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basedOn w:val="18"/>
    <w:autoRedefine/>
    <w:qFormat/>
    <w:uiPriority w:val="22"/>
    <w:rPr>
      <w:rFonts w:eastAsia="黑体"/>
      <w:bCs/>
    </w:rPr>
  </w:style>
  <w:style w:type="paragraph" w:customStyle="1" w:styleId="20">
    <w:name w:val="Body Text 21"/>
    <w:basedOn w:val="1"/>
    <w:autoRedefine/>
    <w:qFormat/>
    <w:uiPriority w:val="0"/>
    <w:pPr>
      <w:spacing w:after="120" w:line="480" w:lineRule="auto"/>
      <w:ind w:firstLine="640"/>
    </w:pPr>
    <w:rPr>
      <w:sz w:val="28"/>
      <w:szCs w:val="22"/>
    </w:rPr>
  </w:style>
  <w:style w:type="paragraph" w:customStyle="1" w:styleId="21">
    <w:name w:val="正文缩进1"/>
    <w:basedOn w:val="1"/>
    <w:qFormat/>
    <w:uiPriority w:val="0"/>
    <w:pPr>
      <w:ind w:firstLine="420"/>
    </w:pPr>
  </w:style>
  <w:style w:type="paragraph" w:customStyle="1" w:styleId="22">
    <w:name w:val="正文文本 21"/>
    <w:basedOn w:val="1"/>
    <w:next w:val="1"/>
    <w:autoRedefine/>
    <w:qFormat/>
    <w:uiPriority w:val="0"/>
    <w:rPr>
      <w:rFonts w:eastAsia="仿宋_GB2312"/>
      <w:sz w:val="32"/>
      <w:szCs w:val="32"/>
    </w:rPr>
  </w:style>
  <w:style w:type="paragraph" w:customStyle="1" w:styleId="23">
    <w:name w:val="__正文"/>
    <w:autoRedefine/>
    <w:qFormat/>
    <w:uiPriority w:val="0"/>
    <w:pPr>
      <w:spacing w:line="360" w:lineRule="auto"/>
      <w:ind w:firstLine="200" w:firstLineChars="200"/>
    </w:pPr>
    <w:rPr>
      <w:rFonts w:ascii="Times New Roman" w:hAnsi="Times New Roman" w:eastAsia="宋体" w:cs="Times New Roman"/>
      <w:kern w:val="2"/>
      <w:sz w:val="21"/>
      <w:szCs w:val="21"/>
      <w:lang w:val="en-US" w:eastAsia="zh-CN" w:bidi="ar-SA"/>
    </w:rPr>
  </w:style>
  <w:style w:type="paragraph" w:customStyle="1" w:styleId="24">
    <w:name w:val="表格文字"/>
    <w:basedOn w:val="1"/>
    <w:autoRedefine/>
    <w:qFormat/>
    <w:uiPriority w:val="99"/>
    <w:pPr>
      <w:spacing w:before="25" w:after="25"/>
      <w:jc w:val="left"/>
    </w:pPr>
    <w:rPr>
      <w:bCs/>
      <w:spacing w:val="10"/>
      <w:kern w:val="0"/>
      <w:sz w:val="24"/>
    </w:rPr>
  </w:style>
  <w:style w:type="paragraph" w:customStyle="1" w:styleId="25">
    <w:name w:val="Table Paragraph"/>
    <w:basedOn w:val="1"/>
    <w:autoRedefine/>
    <w:qFormat/>
    <w:uiPriority w:val="1"/>
    <w:rPr>
      <w:rFonts w:ascii="宋体" w:hAnsi="宋体" w:cs="宋体"/>
      <w:lang w:val="zh-CN" w:bidi="zh-CN"/>
    </w:rPr>
  </w:style>
  <w:style w:type="paragraph" w:styleId="26">
    <w:name w:val="List Paragraph"/>
    <w:basedOn w:val="1"/>
    <w:autoRedefine/>
    <w:unhideWhenUsed/>
    <w:qFormat/>
    <w:uiPriority w:val="99"/>
    <w:pPr>
      <w:ind w:firstLine="420" w:firstLineChars="200"/>
    </w:pPr>
  </w:style>
  <w:style w:type="paragraph" w:customStyle="1" w:styleId="27">
    <w:name w:val="Normal Indent1"/>
    <w:basedOn w:val="1"/>
    <w:autoRedefine/>
    <w:qFormat/>
    <w:uiPriority w:val="0"/>
    <w:pPr>
      <w:ind w:firstLine="420"/>
    </w:pPr>
  </w:style>
  <w:style w:type="character" w:customStyle="1" w:styleId="28">
    <w:name w:val="font21"/>
    <w:basedOn w:val="18"/>
    <w:qFormat/>
    <w:uiPriority w:val="0"/>
    <w:rPr>
      <w:rFonts w:hint="eastAsia" w:ascii="宋体" w:hAnsi="宋体" w:eastAsia="宋体" w:cs="宋体"/>
      <w:color w:val="000000"/>
      <w:sz w:val="28"/>
      <w:szCs w:val="28"/>
      <w:u w:val="none"/>
    </w:rPr>
  </w:style>
  <w:style w:type="character" w:customStyle="1" w:styleId="29">
    <w:name w:val="font41"/>
    <w:basedOn w:val="18"/>
    <w:qFormat/>
    <w:uiPriority w:val="0"/>
    <w:rPr>
      <w:rFonts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1218</Words>
  <Characters>1331</Characters>
  <Lines>0</Lines>
  <Paragraphs>0</Paragraphs>
  <TotalTime>0</TotalTime>
  <ScaleCrop>false</ScaleCrop>
  <LinksUpToDate>false</LinksUpToDate>
  <CharactersWithSpaces>1803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2022-02-28T06:15:00Z</dcterms:created>
  <dc:creator>Sonreír</dc:creator>
  <cp:lastModifiedBy>陈雯博</cp:lastModifiedBy>
  <dcterms:modified xsi:type="dcterms:W3CDTF">2025-07-23T08:58:55Z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40058CB6D2A64418A0ADDBF101FF196C</vt:lpwstr>
  </property>
  <property fmtid="{D5CDD505-2E9C-101B-9397-08002B2CF9AE}" pid="4" name="KSOTemplateDocerSaveRecord">
    <vt:lpwstr>eyJoZGlkIjoiYjhhYWM2MTExODMwZjQxMDY0MWU2MjgzNmQxODU2NGEiLCJ1c2VySWQiOiIzMjIxMDY1MTYifQ==</vt:lpwstr>
  </property>
</Properties>
</file>