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4BB06D">
      <w:pPr>
        <w:pStyle w:val="3"/>
        <w:pageBreakBefore w:val="0"/>
        <w:kinsoku/>
        <w:overflowPunct/>
        <w:topLinePunct w:val="0"/>
        <w:bidi w:val="0"/>
        <w:spacing w:beforeLines="0" w:beforeAutospacing="0" w:afterLines="0" w:afterAutospacing="0" w:line="360" w:lineRule="auto"/>
        <w:ind w:left="0" w:leftChars="0" w:right="0" w:rightChars="0" w:firstLine="60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sz w:val="30"/>
          <w:szCs w:val="30"/>
          <w:lang w:val="en-US" w:eastAsia="zh-CN"/>
        </w:rPr>
        <w:t xml:space="preserve"> </w:t>
      </w:r>
      <w:r>
        <w:rPr>
          <w:rFonts w:hint="eastAsia" w:ascii="仿宋" w:hAnsi="仿宋" w:eastAsia="仿宋" w:cs="仿宋"/>
          <w:color w:val="auto"/>
          <w:spacing w:val="0"/>
          <w:w w:val="100"/>
          <w:sz w:val="30"/>
          <w:szCs w:val="30"/>
        </w:rPr>
        <w:t>采购项目概述</w:t>
      </w:r>
    </w:p>
    <w:p w14:paraId="0C63F268">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Style w:val="7"/>
          <w:rFonts w:hint="eastAsia" w:ascii="仿宋" w:hAnsi="仿宋" w:eastAsia="仿宋" w:cs="仿宋"/>
          <w:color w:val="auto"/>
          <w:spacing w:val="0"/>
          <w:w w:val="100"/>
          <w:sz w:val="24"/>
          <w:szCs w:val="24"/>
        </w:rPr>
      </w:pPr>
      <w:r>
        <w:rPr>
          <w:rStyle w:val="7"/>
          <w:rFonts w:hint="eastAsia" w:ascii="仿宋" w:hAnsi="仿宋" w:eastAsia="仿宋" w:cs="仿宋"/>
          <w:color w:val="auto"/>
          <w:spacing w:val="0"/>
          <w:w w:val="100"/>
          <w:sz w:val="24"/>
          <w:szCs w:val="24"/>
        </w:rPr>
        <w:t>一、项目概述</w:t>
      </w:r>
    </w:p>
    <w:p w14:paraId="5A79F5F8">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本项目根据</w:t>
      </w:r>
      <w:r>
        <w:rPr>
          <w:rFonts w:hint="eastAsia" w:ascii="仿宋" w:hAnsi="仿宋" w:eastAsia="仿宋" w:cs="仿宋"/>
          <w:color w:val="auto"/>
          <w:spacing w:val="0"/>
          <w:w w:val="100"/>
          <w:sz w:val="24"/>
          <w:szCs w:val="24"/>
          <w:lang w:val="en-US" w:eastAsia="zh-CN"/>
        </w:rPr>
        <w:t>我校</w:t>
      </w:r>
      <w:r>
        <w:rPr>
          <w:rFonts w:hint="eastAsia" w:ascii="仿宋" w:hAnsi="仿宋" w:eastAsia="仿宋" w:cs="仿宋"/>
          <w:color w:val="auto"/>
          <w:spacing w:val="0"/>
          <w:w w:val="100"/>
          <w:sz w:val="24"/>
          <w:szCs w:val="24"/>
        </w:rPr>
        <w:t>学生的反馈，学院体育馆、羽毛球场及网球场等运动场所的照明设备似乎存在不足，尤其是在夜间进行体育训练时，照明不足的问题尤为突出，这给</w:t>
      </w:r>
      <w:r>
        <w:rPr>
          <w:rFonts w:hint="eastAsia" w:ascii="仿宋" w:hAnsi="仿宋" w:eastAsia="仿宋" w:cs="仿宋"/>
          <w:color w:val="auto"/>
          <w:spacing w:val="0"/>
          <w:w w:val="100"/>
          <w:sz w:val="24"/>
          <w:szCs w:val="24"/>
          <w:lang w:val="en-US" w:eastAsia="zh-CN"/>
        </w:rPr>
        <w:t>学生</w:t>
      </w:r>
      <w:r>
        <w:rPr>
          <w:rFonts w:hint="eastAsia" w:ascii="仿宋" w:hAnsi="仿宋" w:eastAsia="仿宋" w:cs="仿宋"/>
          <w:color w:val="auto"/>
          <w:spacing w:val="0"/>
          <w:w w:val="100"/>
          <w:sz w:val="24"/>
          <w:szCs w:val="24"/>
        </w:rPr>
        <w:t>的安全带来了潜在风险。为贯彻学院党委“三个蔚然成风”的指导思想，做好运动场馆的后勤保障工作拟对学院体育场馆的灯光照明进行相应的改造升级工作，以满足夜间使用需求，减少师生们因夜间活动造成的运动损伤。</w:t>
      </w:r>
    </w:p>
    <w:p w14:paraId="0AD73C4B">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拟改造范围：田径运动场、室外篮球场、礼堂羽毛球场、风雨操场、网球场等，具体要求详见采购清单。</w:t>
      </w:r>
    </w:p>
    <w:p w14:paraId="57128585">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Style w:val="7"/>
          <w:rFonts w:hint="eastAsia" w:ascii="仿宋" w:hAnsi="仿宋" w:eastAsia="仿宋" w:cs="仿宋"/>
          <w:color w:val="auto"/>
          <w:spacing w:val="0"/>
          <w:w w:val="100"/>
          <w:sz w:val="24"/>
          <w:szCs w:val="24"/>
        </w:rPr>
      </w:pPr>
      <w:r>
        <w:rPr>
          <w:rStyle w:val="7"/>
          <w:rFonts w:hint="eastAsia" w:ascii="仿宋" w:hAnsi="仿宋" w:eastAsia="仿宋" w:cs="仿宋"/>
          <w:color w:val="auto"/>
          <w:spacing w:val="0"/>
          <w:w w:val="100"/>
          <w:sz w:val="24"/>
          <w:szCs w:val="24"/>
        </w:rPr>
        <w:t>二、资金来源</w:t>
      </w:r>
    </w:p>
    <w:p w14:paraId="2274EE4E">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本项目资金来源为财政性资金。项目采购预算为</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壹佰壹拾叁万元整</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1130000.00</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w:t>
      </w:r>
    </w:p>
    <w:p w14:paraId="0F2EA39D">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本项目的最高限价为：</w:t>
      </w:r>
    </w:p>
    <w:p w14:paraId="62F55D20">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大写：</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壹佰壹拾叁万元整</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rPr>
        <w:t xml:space="preserve">                     </w:t>
      </w:r>
    </w:p>
    <w:p w14:paraId="44FAB48C">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小写：</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1130000.00元</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rPr>
        <w:t xml:space="preserve">     </w:t>
      </w:r>
    </w:p>
    <w:p w14:paraId="52594BD2">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三、采购合同管理：</w:t>
      </w:r>
    </w:p>
    <w:p w14:paraId="16D3D595">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1.是否允许分包：</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  否</w:t>
      </w:r>
      <w:r>
        <w:rPr>
          <w:rFonts w:hint="eastAsia" w:ascii="仿宋" w:hAnsi="仿宋" w:eastAsia="仿宋" w:cs="仿宋"/>
          <w:color w:val="auto"/>
          <w:spacing w:val="0"/>
          <w:w w:val="100"/>
          <w:sz w:val="24"/>
          <w:szCs w:val="24"/>
          <w:u w:val="single"/>
        </w:rPr>
        <w:t xml:space="preserve">             </w:t>
      </w:r>
    </w:p>
    <w:p w14:paraId="3C3BD5F1">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2.</w:t>
      </w:r>
      <w:r>
        <w:rPr>
          <w:rFonts w:hint="eastAsia" w:ascii="仿宋" w:hAnsi="仿宋" w:eastAsia="仿宋" w:cs="仿宋"/>
          <w:color w:val="auto"/>
          <w:spacing w:val="0"/>
          <w:w w:val="100"/>
          <w:kern w:val="0"/>
          <w:sz w:val="24"/>
          <w:szCs w:val="24"/>
        </w:rPr>
        <w:t xml:space="preserve"> </w:t>
      </w:r>
      <w:r>
        <w:rPr>
          <w:rFonts w:hint="eastAsia" w:ascii="仿宋" w:hAnsi="仿宋" w:eastAsia="仿宋" w:cs="仿宋"/>
          <w:color w:val="auto"/>
          <w:spacing w:val="0"/>
          <w:w w:val="100"/>
          <w:sz w:val="24"/>
          <w:szCs w:val="24"/>
        </w:rPr>
        <w:t>分包履行的具体内容、金额或者比例：</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 xml:space="preserve">       </w:t>
      </w:r>
    </w:p>
    <w:p w14:paraId="55929EB8">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highlight w:val="none"/>
        </w:rPr>
      </w:pPr>
      <w:r>
        <w:rPr>
          <w:rFonts w:hint="eastAsia" w:ascii="仿宋" w:hAnsi="仿宋" w:eastAsia="仿宋" w:cs="仿宋"/>
          <w:color w:val="auto"/>
          <w:spacing w:val="0"/>
          <w:w w:val="100"/>
          <w:sz w:val="24"/>
          <w:szCs w:val="24"/>
          <w:highlight w:val="none"/>
        </w:rPr>
        <w:t>四、根据《政府采购促进中小企业发展管理办法》财库〔2020〕46号规定</w:t>
      </w:r>
    </w:p>
    <w:p w14:paraId="65A1CA30">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sz w:val="24"/>
          <w:szCs w:val="24"/>
          <w:highlight w:val="none"/>
          <w:u w:val="single"/>
        </w:rPr>
      </w:pPr>
      <w:r>
        <w:rPr>
          <w:rFonts w:hint="eastAsia" w:ascii="仿宋" w:hAnsi="仿宋" w:eastAsia="仿宋" w:cs="仿宋"/>
          <w:color w:val="auto"/>
          <w:spacing w:val="0"/>
          <w:w w:val="100"/>
          <w:sz w:val="24"/>
          <w:szCs w:val="24"/>
          <w:highlight w:val="none"/>
        </w:rPr>
        <w:t>本项目是否专门面向中小企业采购：</w:t>
      </w:r>
      <w:r>
        <w:rPr>
          <w:rFonts w:hint="eastAsia" w:ascii="仿宋" w:hAnsi="仿宋" w:eastAsia="仿宋" w:cs="仿宋"/>
          <w:color w:val="auto"/>
          <w:spacing w:val="0"/>
          <w:w w:val="100"/>
          <w:sz w:val="24"/>
          <w:szCs w:val="24"/>
          <w:highlight w:val="none"/>
          <w:u w:val="single"/>
        </w:rPr>
        <w:t xml:space="preserve">  是  ，</w:t>
      </w:r>
      <w:r>
        <w:rPr>
          <w:rFonts w:hint="eastAsia" w:ascii="仿宋" w:hAnsi="仿宋" w:eastAsia="仿宋" w:cs="仿宋"/>
          <w:color w:val="auto"/>
          <w:spacing w:val="0"/>
          <w:w w:val="100"/>
          <w:sz w:val="24"/>
          <w:szCs w:val="24"/>
          <w:highlight w:val="none"/>
        </w:rPr>
        <w:t>具体内容为：</w:t>
      </w:r>
      <w:r>
        <w:rPr>
          <w:rFonts w:hint="eastAsia" w:ascii="仿宋" w:hAnsi="仿宋" w:eastAsia="仿宋" w:cs="仿宋"/>
          <w:color w:val="auto"/>
          <w:spacing w:val="0"/>
          <w:w w:val="100"/>
          <w:kern w:val="0"/>
          <w:sz w:val="24"/>
          <w:szCs w:val="24"/>
          <w:u w:val="single"/>
          <w:lang w:val="en-US" w:eastAsia="zh-CN" w:bidi="ar"/>
        </w:rPr>
        <w:t>贵州经贸职业技术学院体育场馆智慧照明工作系统改造提升项目</w:t>
      </w:r>
      <w:r>
        <w:rPr>
          <w:rFonts w:hint="eastAsia" w:ascii="仿宋" w:hAnsi="仿宋" w:eastAsia="仿宋" w:cs="仿宋"/>
          <w:color w:val="auto"/>
          <w:spacing w:val="0"/>
          <w:w w:val="100"/>
          <w:sz w:val="24"/>
          <w:szCs w:val="24"/>
          <w:highlight w:val="none"/>
          <w:u w:val="single"/>
        </w:rPr>
        <w:t xml:space="preserve">  </w:t>
      </w:r>
    </w:p>
    <w:p w14:paraId="60B881D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kern w:val="0"/>
          <w:sz w:val="24"/>
          <w:szCs w:val="24"/>
          <w:lang w:val="en-US" w:eastAsia="zh-CN" w:bidi="ar"/>
        </w:rPr>
      </w:pPr>
      <w:r>
        <w:rPr>
          <w:rFonts w:hint="eastAsia" w:ascii="仿宋" w:hAnsi="仿宋" w:eastAsia="仿宋" w:cs="仿宋"/>
          <w:color w:val="auto"/>
          <w:spacing w:val="0"/>
          <w:w w:val="100"/>
          <w:kern w:val="0"/>
          <w:sz w:val="24"/>
          <w:szCs w:val="24"/>
          <w:highlight w:val="none"/>
        </w:rPr>
        <w:t>特别提示：如采购项目或品目涉及中小企业采购的，采购文件应当遵守</w:t>
      </w:r>
      <w:r>
        <w:rPr>
          <w:rFonts w:hint="eastAsia" w:ascii="仿宋" w:hAnsi="仿宋" w:eastAsia="仿宋" w:cs="仿宋"/>
          <w:color w:val="auto"/>
          <w:spacing w:val="0"/>
          <w:w w:val="100"/>
          <w:sz w:val="24"/>
          <w:szCs w:val="24"/>
          <w:highlight w:val="none"/>
        </w:rPr>
        <w:t>《政府采购促进中小企业发展管理办法》财库〔2020〕46号第十二条规定。</w:t>
      </w:r>
    </w:p>
    <w:p w14:paraId="48ACA17D">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五</w:t>
      </w:r>
      <w:r>
        <w:rPr>
          <w:rStyle w:val="7"/>
          <w:rFonts w:hint="eastAsia" w:ascii="仿宋" w:hAnsi="仿宋" w:eastAsia="仿宋" w:cs="仿宋"/>
          <w:color w:val="auto"/>
          <w:spacing w:val="0"/>
          <w:w w:val="100"/>
          <w:sz w:val="24"/>
          <w:szCs w:val="24"/>
        </w:rPr>
        <w:t>、</w:t>
      </w:r>
      <w:r>
        <w:rPr>
          <w:rFonts w:hint="eastAsia" w:ascii="仿宋" w:hAnsi="仿宋" w:eastAsia="仿宋" w:cs="仿宋"/>
          <w:color w:val="auto"/>
          <w:spacing w:val="0"/>
          <w:w w:val="100"/>
          <w:sz w:val="24"/>
          <w:szCs w:val="24"/>
        </w:rPr>
        <w:t>竞争性磋商文件解释权</w:t>
      </w:r>
    </w:p>
    <w:p w14:paraId="5C983882">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本项目竞争性磋商文件的最终解释权归采购人。</w:t>
      </w:r>
    </w:p>
    <w:p w14:paraId="28F96301">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lang w:eastAsia="zh-CN"/>
        </w:rPr>
        <w:t>六</w:t>
      </w:r>
      <w:r>
        <w:rPr>
          <w:rFonts w:hint="eastAsia" w:ascii="仿宋" w:hAnsi="仿宋" w:eastAsia="仿宋" w:cs="仿宋"/>
          <w:color w:val="auto"/>
          <w:spacing w:val="0"/>
          <w:w w:val="100"/>
          <w:sz w:val="24"/>
          <w:szCs w:val="24"/>
        </w:rPr>
        <w:t>、采 购 人</w:t>
      </w:r>
    </w:p>
    <w:p w14:paraId="20C9128D">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1.采购人名称：</w:t>
      </w:r>
      <w:r>
        <w:rPr>
          <w:rFonts w:hint="eastAsia" w:ascii="仿宋" w:hAnsi="仿宋" w:eastAsia="仿宋" w:cs="仿宋"/>
          <w:color w:val="auto"/>
          <w:spacing w:val="0"/>
          <w:w w:val="100"/>
          <w:sz w:val="24"/>
          <w:szCs w:val="24"/>
          <w:u w:val="single"/>
        </w:rPr>
        <w:t xml:space="preserve">  贵州经贸职业技术学院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 xml:space="preserve">   </w:t>
      </w:r>
    </w:p>
    <w:p w14:paraId="6F52860B">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2.地      址：</w:t>
      </w:r>
      <w:r>
        <w:rPr>
          <w:rFonts w:hint="eastAsia" w:ascii="仿宋" w:hAnsi="仿宋" w:eastAsia="仿宋" w:cs="仿宋"/>
          <w:color w:val="auto"/>
          <w:spacing w:val="0"/>
          <w:w w:val="100"/>
          <w:sz w:val="24"/>
          <w:szCs w:val="24"/>
          <w:u w:val="single"/>
        </w:rPr>
        <w:t xml:space="preserve">  贵州省都匀市绿茵湖产业园区               </w:t>
      </w:r>
    </w:p>
    <w:p w14:paraId="09466083">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3.联  系  人：</w:t>
      </w:r>
      <w:r>
        <w:rPr>
          <w:rFonts w:hint="eastAsia" w:ascii="仿宋" w:hAnsi="仿宋" w:eastAsia="仿宋" w:cs="仿宋"/>
          <w:color w:val="auto"/>
          <w:spacing w:val="0"/>
          <w:w w:val="100"/>
          <w:sz w:val="24"/>
          <w:szCs w:val="24"/>
          <w:u w:val="single"/>
        </w:rPr>
        <w:t xml:space="preserve">  雷昊                                    </w:t>
      </w:r>
    </w:p>
    <w:p w14:paraId="68F6632A">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rPr>
        <w:t>4.联系电话/传真：</w:t>
      </w:r>
      <w:r>
        <w:rPr>
          <w:rFonts w:hint="eastAsia" w:ascii="仿宋" w:hAnsi="仿宋" w:eastAsia="仿宋" w:cs="仿宋"/>
          <w:color w:val="auto"/>
          <w:spacing w:val="0"/>
          <w:w w:val="100"/>
          <w:sz w:val="24"/>
          <w:szCs w:val="24"/>
          <w:u w:val="single"/>
        </w:rPr>
        <w:t xml:space="preserve">  16687880001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 xml:space="preserve"> </w:t>
      </w:r>
    </w:p>
    <w:p w14:paraId="7F8C8895">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5.电子邮箱：</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 xml:space="preserve">  </w:t>
      </w:r>
    </w:p>
    <w:p w14:paraId="31EA8D17">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rPr>
      </w:pPr>
      <w:bookmarkStart w:id="0" w:name="_Toc406671087"/>
      <w:bookmarkStart w:id="1" w:name="_Toc406670716"/>
      <w:bookmarkStart w:id="2" w:name="_Toc406671677"/>
      <w:r>
        <w:rPr>
          <w:rFonts w:hint="eastAsia" w:ascii="仿宋" w:hAnsi="仿宋" w:eastAsia="仿宋" w:cs="仿宋"/>
          <w:color w:val="auto"/>
          <w:spacing w:val="0"/>
          <w:w w:val="100"/>
          <w:sz w:val="24"/>
          <w:szCs w:val="24"/>
          <w:lang w:eastAsia="zh-CN"/>
        </w:rPr>
        <w:t>七</w:t>
      </w:r>
      <w:r>
        <w:rPr>
          <w:rFonts w:hint="eastAsia" w:ascii="仿宋" w:hAnsi="仿宋" w:eastAsia="仿宋" w:cs="仿宋"/>
          <w:color w:val="auto"/>
          <w:spacing w:val="0"/>
          <w:w w:val="100"/>
          <w:sz w:val="24"/>
          <w:szCs w:val="24"/>
        </w:rPr>
        <w:t>、代理机构</w:t>
      </w:r>
      <w:bookmarkEnd w:id="0"/>
      <w:bookmarkEnd w:id="1"/>
      <w:bookmarkEnd w:id="2"/>
    </w:p>
    <w:p w14:paraId="6D7B33FF">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1.名称：</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贵州百川工程项目管理有限公司</w:t>
      </w:r>
      <w:r>
        <w:rPr>
          <w:rFonts w:hint="eastAsia" w:ascii="仿宋" w:hAnsi="仿宋" w:eastAsia="仿宋" w:cs="仿宋"/>
          <w:color w:val="auto"/>
          <w:spacing w:val="0"/>
          <w:w w:val="100"/>
          <w:sz w:val="24"/>
          <w:szCs w:val="24"/>
          <w:u w:val="single"/>
        </w:rPr>
        <w:t xml:space="preserve">                  </w:t>
      </w:r>
    </w:p>
    <w:p w14:paraId="78B9BF6B">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lang w:val="en-US" w:eastAsia="zh-CN"/>
        </w:rPr>
      </w:pPr>
      <w:r>
        <w:rPr>
          <w:rFonts w:hint="eastAsia" w:ascii="仿宋" w:hAnsi="仿宋" w:eastAsia="仿宋" w:cs="仿宋"/>
          <w:color w:val="auto"/>
          <w:spacing w:val="0"/>
          <w:w w:val="100"/>
          <w:sz w:val="24"/>
          <w:szCs w:val="24"/>
        </w:rPr>
        <w:t>2.地址：</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贵阳市南明区南厂路22号南岳大院写字楼16楼   </w:t>
      </w:r>
    </w:p>
    <w:p w14:paraId="32EC4450">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lang w:val="en-US" w:eastAsia="zh-CN"/>
        </w:rPr>
      </w:pPr>
      <w:r>
        <w:rPr>
          <w:rFonts w:hint="eastAsia" w:ascii="仿宋" w:hAnsi="仿宋" w:eastAsia="仿宋" w:cs="仿宋"/>
          <w:color w:val="auto"/>
          <w:spacing w:val="0"/>
          <w:w w:val="100"/>
          <w:sz w:val="24"/>
          <w:szCs w:val="24"/>
          <w:u w:val="none"/>
          <w:lang w:val="en-US" w:eastAsia="zh-CN"/>
        </w:rPr>
        <w:t>3.联系人：</w:t>
      </w:r>
      <w:r>
        <w:rPr>
          <w:rFonts w:hint="eastAsia" w:ascii="仿宋" w:hAnsi="仿宋" w:eastAsia="仿宋" w:cs="仿宋"/>
          <w:color w:val="auto"/>
          <w:spacing w:val="0"/>
          <w:w w:val="100"/>
          <w:sz w:val="24"/>
          <w:szCs w:val="24"/>
          <w:u w:val="single"/>
          <w:lang w:val="en-US" w:eastAsia="zh-CN"/>
        </w:rPr>
        <w:t xml:space="preserve"> 孙谨、包良才、吴雨亭                         </w:t>
      </w:r>
    </w:p>
    <w:p w14:paraId="538E5DBF">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lang w:val="en-US" w:eastAsia="zh-CN"/>
        </w:rPr>
      </w:pPr>
      <w:r>
        <w:rPr>
          <w:rFonts w:hint="eastAsia" w:ascii="仿宋" w:hAnsi="仿宋" w:eastAsia="仿宋" w:cs="仿宋"/>
          <w:color w:val="auto"/>
          <w:spacing w:val="0"/>
          <w:w w:val="100"/>
          <w:sz w:val="24"/>
          <w:szCs w:val="24"/>
          <w:u w:val="none"/>
          <w:lang w:val="en-US" w:eastAsia="zh-CN"/>
        </w:rPr>
        <w:t>4.联系电话/传真：</w:t>
      </w:r>
      <w:r>
        <w:rPr>
          <w:rFonts w:hint="eastAsia" w:ascii="仿宋" w:hAnsi="仿宋" w:eastAsia="仿宋" w:cs="仿宋"/>
          <w:color w:val="auto"/>
          <w:spacing w:val="0"/>
          <w:w w:val="100"/>
          <w:sz w:val="24"/>
          <w:szCs w:val="24"/>
          <w:u w:val="single"/>
          <w:lang w:val="en-US" w:eastAsia="zh-CN"/>
        </w:rPr>
        <w:t xml:space="preserve"> 15180866468、18198105873、15579002835 </w:t>
      </w:r>
    </w:p>
    <w:p w14:paraId="64AD0E27">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u w:val="none"/>
          <w:lang w:val="en-US" w:eastAsia="zh-CN"/>
        </w:rPr>
        <w:t>5.电子邮箱：</w:t>
      </w:r>
      <w:r>
        <w:rPr>
          <w:rFonts w:hint="eastAsia" w:ascii="仿宋" w:hAnsi="仿宋" w:eastAsia="仿宋" w:cs="仿宋"/>
          <w:color w:val="auto"/>
          <w:spacing w:val="0"/>
          <w:w w:val="100"/>
          <w:sz w:val="24"/>
          <w:szCs w:val="24"/>
          <w:u w:val="single"/>
          <w:lang w:val="en-US" w:eastAsia="zh-CN"/>
        </w:rPr>
        <w:t xml:space="preserve">   18096053353@163.com                </w:t>
      </w:r>
      <w:r>
        <w:rPr>
          <w:rFonts w:hint="eastAsia" w:ascii="仿宋" w:hAnsi="仿宋" w:eastAsia="仿宋" w:cs="仿宋"/>
          <w:color w:val="auto"/>
          <w:spacing w:val="0"/>
          <w:w w:val="100"/>
          <w:sz w:val="24"/>
          <w:szCs w:val="24"/>
          <w:u w:val="single"/>
        </w:rPr>
        <w:t xml:space="preserve">     </w:t>
      </w:r>
    </w:p>
    <w:p w14:paraId="571A5852">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lang w:eastAsia="zh-CN"/>
        </w:rPr>
        <w:t>八</w:t>
      </w:r>
      <w:r>
        <w:rPr>
          <w:rFonts w:hint="eastAsia" w:ascii="仿宋" w:hAnsi="仿宋" w:eastAsia="仿宋" w:cs="仿宋"/>
          <w:color w:val="auto"/>
          <w:spacing w:val="0"/>
          <w:w w:val="100"/>
          <w:sz w:val="24"/>
          <w:szCs w:val="24"/>
        </w:rPr>
        <w:t>、监督部门</w:t>
      </w:r>
    </w:p>
    <w:p w14:paraId="74B398A6">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监督部门：</w:t>
      </w:r>
      <w:r>
        <w:rPr>
          <w:rFonts w:hint="eastAsia" w:ascii="仿宋" w:hAnsi="仿宋" w:eastAsia="仿宋" w:cs="仿宋"/>
          <w:color w:val="auto"/>
          <w:spacing w:val="0"/>
          <w:w w:val="100"/>
          <w:sz w:val="24"/>
          <w:szCs w:val="24"/>
          <w:u w:val="single"/>
          <w:lang w:val="en-US" w:eastAsia="zh-CN"/>
        </w:rPr>
        <w:t>贵州省财政厅</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 xml:space="preserve">  </w:t>
      </w:r>
    </w:p>
    <w:p w14:paraId="73D9861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监督电话：</w:t>
      </w:r>
      <w:r>
        <w:rPr>
          <w:rFonts w:hint="eastAsia" w:ascii="仿宋" w:hAnsi="仿宋" w:eastAsia="仿宋" w:cs="仿宋"/>
          <w:color w:val="auto"/>
          <w:spacing w:val="0"/>
          <w:w w:val="100"/>
          <w:kern w:val="0"/>
          <w:sz w:val="24"/>
          <w:szCs w:val="24"/>
          <w:u w:val="single"/>
          <w:lang w:val="en-US" w:eastAsia="zh-CN" w:bidi="ar"/>
        </w:rPr>
        <w:t>0851-86892180</w:t>
      </w:r>
      <w:r>
        <w:rPr>
          <w:rFonts w:hint="eastAsia" w:ascii="仿宋" w:hAnsi="仿宋" w:eastAsia="仿宋" w:cs="仿宋"/>
          <w:color w:val="auto"/>
          <w:spacing w:val="0"/>
          <w:w w:val="100"/>
          <w:sz w:val="24"/>
          <w:szCs w:val="24"/>
          <w:u w:val="single"/>
        </w:rPr>
        <w:t xml:space="preserve">  </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 xml:space="preserve"> </w:t>
      </w:r>
    </w:p>
    <w:p w14:paraId="7756AB75">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u w:val="single"/>
        </w:rPr>
      </w:pPr>
      <w:r>
        <w:rPr>
          <w:rFonts w:hint="eastAsia" w:ascii="仿宋" w:hAnsi="仿宋" w:eastAsia="仿宋" w:cs="仿宋"/>
          <w:color w:val="auto"/>
          <w:spacing w:val="0"/>
          <w:w w:val="100"/>
          <w:sz w:val="24"/>
          <w:szCs w:val="24"/>
        </w:rPr>
        <w:t>详细地址：</w:t>
      </w:r>
      <w:r>
        <w:rPr>
          <w:rFonts w:hint="eastAsia" w:ascii="仿宋" w:hAnsi="仿宋" w:eastAsia="仿宋" w:cs="仿宋"/>
          <w:color w:val="auto"/>
          <w:spacing w:val="0"/>
          <w:w w:val="100"/>
          <w:sz w:val="24"/>
          <w:szCs w:val="24"/>
          <w:u w:val="single"/>
        </w:rPr>
        <w:t xml:space="preserve">贵州省贵阳市中华北路242号省政府大院7号楼312室、308室    </w:t>
      </w:r>
    </w:p>
    <w:p w14:paraId="1F06E29F">
      <w:pPr>
        <w:rPr>
          <w:rFonts w:hint="eastAsia" w:ascii="仿宋" w:hAnsi="仿宋" w:eastAsia="仿宋" w:cs="仿宋"/>
          <w:color w:val="auto"/>
          <w:spacing w:val="0"/>
          <w:w w:val="100"/>
          <w:sz w:val="30"/>
          <w:szCs w:val="30"/>
        </w:rPr>
      </w:pPr>
      <w:r>
        <w:rPr>
          <w:rFonts w:hint="eastAsia" w:ascii="仿宋" w:hAnsi="仿宋" w:eastAsia="仿宋" w:cs="仿宋"/>
          <w:color w:val="auto"/>
          <w:spacing w:val="0"/>
          <w:w w:val="100"/>
          <w:sz w:val="30"/>
          <w:szCs w:val="30"/>
        </w:rPr>
        <w:br w:type="page"/>
      </w:r>
    </w:p>
    <w:p w14:paraId="11CEE791">
      <w:pPr>
        <w:pStyle w:val="3"/>
        <w:pageBreakBefore w:val="0"/>
        <w:kinsoku/>
        <w:overflowPunct/>
        <w:topLinePunct w:val="0"/>
        <w:bidi w:val="0"/>
        <w:spacing w:beforeLines="0" w:beforeAutospacing="0" w:afterLines="0" w:afterAutospacing="0" w:line="360" w:lineRule="auto"/>
        <w:ind w:left="0" w:leftChars="0" w:right="0" w:rightChars="0" w:firstLine="60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sz w:val="30"/>
          <w:szCs w:val="30"/>
          <w:lang w:val="en-US" w:eastAsia="zh-CN"/>
        </w:rPr>
        <w:t xml:space="preserve"> </w:t>
      </w:r>
      <w:r>
        <w:rPr>
          <w:rFonts w:hint="eastAsia" w:ascii="仿宋" w:hAnsi="仿宋" w:eastAsia="仿宋" w:cs="仿宋"/>
          <w:color w:val="auto"/>
          <w:spacing w:val="0"/>
          <w:w w:val="100"/>
          <w:sz w:val="30"/>
          <w:szCs w:val="30"/>
        </w:rPr>
        <w:t>供应商资格条件</w:t>
      </w:r>
    </w:p>
    <w:p w14:paraId="79819E52">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本项目供应商资格条件要求如下：</w:t>
      </w:r>
    </w:p>
    <w:p w14:paraId="68923E61">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一、供应商属于企业法人、其他组织或自然人</w:t>
      </w:r>
    </w:p>
    <w:p w14:paraId="02FC5FBA">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（一）符合政府采购法第二十二条规定，提供政府采购法实施条例第十七条规定资料。</w:t>
      </w:r>
    </w:p>
    <w:p w14:paraId="22C8D164">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1.具有独立承担民事责任的能力：</w:t>
      </w:r>
    </w:p>
    <w:p w14:paraId="57FB9EED">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u w:val="none"/>
        </w:rPr>
      </w:pPr>
      <w:r>
        <w:rPr>
          <w:rFonts w:hint="eastAsia" w:ascii="仿宋" w:hAnsi="仿宋" w:eastAsia="仿宋" w:cs="仿宋"/>
          <w:b w:val="0"/>
          <w:bCs w:val="0"/>
          <w:color w:val="auto"/>
          <w:spacing w:val="0"/>
          <w:w w:val="100"/>
          <w:u w:val="none"/>
        </w:rPr>
        <w:t>提供法人或其他组织的营业执照等证明文件，或自然人身份证明【复印件加盖单位公章】；</w:t>
      </w:r>
    </w:p>
    <w:p w14:paraId="5C8AAEF1">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u w:val="none"/>
        </w:rPr>
      </w:pPr>
      <w:r>
        <w:rPr>
          <w:rFonts w:hint="eastAsia" w:ascii="仿宋" w:hAnsi="仿宋" w:eastAsia="仿宋" w:cs="仿宋"/>
          <w:color w:val="auto"/>
          <w:spacing w:val="0"/>
          <w:w w:val="100"/>
          <w:u w:val="none"/>
        </w:rPr>
        <w:t>2.具有良好的商业信誉和健全的财务会计制度：</w:t>
      </w:r>
    </w:p>
    <w:p w14:paraId="085E6AAC">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b/>
          <w:bCs/>
          <w:color w:val="auto"/>
          <w:spacing w:val="0"/>
          <w:w w:val="100"/>
          <w:u w:val="none"/>
          <w:lang w:eastAsia="zh-CN"/>
        </w:rPr>
      </w:pPr>
      <w:r>
        <w:rPr>
          <w:rFonts w:hint="eastAsia" w:ascii="仿宋" w:hAnsi="仿宋" w:eastAsia="仿宋" w:cs="仿宋"/>
          <w:b w:val="0"/>
          <w:bCs w:val="0"/>
          <w:color w:val="auto"/>
          <w:spacing w:val="0"/>
          <w:w w:val="100"/>
          <w:u w:val="none"/>
          <w:lang w:val="en-US" w:eastAsia="zh-CN"/>
        </w:rPr>
        <w:t>具体要求：</w:t>
      </w:r>
      <w:r>
        <w:rPr>
          <w:rFonts w:hint="eastAsia" w:ascii="仿宋" w:hAnsi="仿宋" w:eastAsia="仿宋" w:cs="仿宋"/>
          <w:b w:val="0"/>
          <w:bCs w:val="0"/>
          <w:strike w:val="0"/>
          <w:dstrike w:val="0"/>
          <w:color w:val="auto"/>
          <w:spacing w:val="0"/>
          <w:w w:val="100"/>
          <w:u w:val="none"/>
        </w:rPr>
        <w:t>供应商是法人的，应提供202</w:t>
      </w:r>
      <w:r>
        <w:rPr>
          <w:rFonts w:hint="eastAsia" w:ascii="仿宋" w:hAnsi="仿宋" w:eastAsia="仿宋" w:cs="仿宋"/>
          <w:b w:val="0"/>
          <w:bCs w:val="0"/>
          <w:strike w:val="0"/>
          <w:dstrike w:val="0"/>
          <w:color w:val="auto"/>
          <w:spacing w:val="0"/>
          <w:w w:val="100"/>
          <w:u w:val="none"/>
          <w:lang w:val="en-US" w:eastAsia="zh-CN"/>
        </w:rPr>
        <w:t>4</w:t>
      </w:r>
      <w:r>
        <w:rPr>
          <w:rFonts w:hint="eastAsia" w:ascii="仿宋" w:hAnsi="仿宋" w:eastAsia="仿宋" w:cs="仿宋"/>
          <w:b w:val="0"/>
          <w:bCs w:val="0"/>
          <w:strike w:val="0"/>
          <w:dstrike w:val="0"/>
          <w:color w:val="auto"/>
          <w:spacing w:val="0"/>
          <w:w w:val="100"/>
          <w:u w:val="none"/>
        </w:rPr>
        <w:t>年或202</w:t>
      </w:r>
      <w:r>
        <w:rPr>
          <w:rFonts w:hint="eastAsia" w:ascii="仿宋" w:hAnsi="仿宋" w:eastAsia="仿宋" w:cs="仿宋"/>
          <w:b w:val="0"/>
          <w:bCs w:val="0"/>
          <w:strike w:val="0"/>
          <w:dstrike w:val="0"/>
          <w:color w:val="auto"/>
          <w:spacing w:val="0"/>
          <w:w w:val="100"/>
          <w:u w:val="none"/>
          <w:lang w:val="en-US" w:eastAsia="zh-CN"/>
        </w:rPr>
        <w:t>5</w:t>
      </w:r>
      <w:r>
        <w:rPr>
          <w:rFonts w:hint="eastAsia" w:ascii="仿宋" w:hAnsi="仿宋" w:eastAsia="仿宋" w:cs="仿宋"/>
          <w:b w:val="0"/>
          <w:bCs w:val="0"/>
          <w:strike w:val="0"/>
          <w:dstrike w:val="0"/>
          <w:color w:val="auto"/>
          <w:spacing w:val="0"/>
          <w:w w:val="100"/>
          <w:u w:val="none"/>
        </w:rPr>
        <w:t>年经审计的财务报告，包括“三表一注，资产负债表、利润表、现金流量表及其附注”或2024年基本开户银行出具的资信证明。部分其他组织和自然人，没有经审计的财务报告，可以提供银行出具的资信证明【复印件加盖单位公章</w:t>
      </w:r>
      <w:r>
        <w:rPr>
          <w:rFonts w:hint="eastAsia" w:ascii="仿宋" w:hAnsi="仿宋" w:eastAsia="仿宋" w:cs="仿宋"/>
          <w:b/>
          <w:bCs/>
          <w:strike w:val="0"/>
          <w:dstrike w:val="0"/>
          <w:color w:val="auto"/>
          <w:spacing w:val="0"/>
          <w:w w:val="100"/>
          <w:u w:val="none"/>
        </w:rPr>
        <w:t>】</w:t>
      </w:r>
      <w:r>
        <w:rPr>
          <w:rFonts w:hint="eastAsia" w:ascii="仿宋" w:hAnsi="仿宋" w:eastAsia="仿宋" w:cs="仿宋"/>
          <w:b/>
          <w:bCs/>
          <w:strike w:val="0"/>
          <w:dstrike w:val="0"/>
          <w:color w:val="auto"/>
          <w:spacing w:val="0"/>
          <w:w w:val="100"/>
          <w:u w:val="none"/>
          <w:lang w:eastAsia="zh-CN"/>
        </w:rPr>
        <w:t>；</w:t>
      </w:r>
    </w:p>
    <w:p w14:paraId="52C266E6">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3.具有履行合同所必需的设备和专业技术能力：</w:t>
      </w:r>
    </w:p>
    <w:p w14:paraId="2538ADB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具体要求：</w:t>
      </w:r>
      <w:r>
        <w:rPr>
          <w:rFonts w:hint="eastAsia" w:ascii="仿宋" w:hAnsi="仿宋" w:eastAsia="仿宋" w:cs="仿宋"/>
          <w:color w:val="auto"/>
          <w:spacing w:val="0"/>
          <w:w w:val="100"/>
          <w:kern w:val="0"/>
          <w:sz w:val="24"/>
          <w:szCs w:val="24"/>
          <w:lang w:val="en-US" w:eastAsia="zh-CN" w:bidi="ar"/>
        </w:rPr>
        <w:t>提供具备履行合同所必需的设备和专业技术能力的证明材料或承诺函（格式自拟）</w:t>
      </w:r>
      <w:r>
        <w:rPr>
          <w:rFonts w:hint="eastAsia" w:ascii="仿宋" w:hAnsi="仿宋" w:eastAsia="仿宋" w:cs="仿宋"/>
          <w:color w:val="auto"/>
          <w:spacing w:val="0"/>
          <w:w w:val="100"/>
        </w:rPr>
        <w:t>；</w:t>
      </w:r>
    </w:p>
    <w:p w14:paraId="54447893">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4.具有依法缴纳税收和社会保障资金的良好记录：</w:t>
      </w:r>
    </w:p>
    <w:p w14:paraId="7D12E46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具体要求：</w:t>
      </w:r>
      <w:r>
        <w:rPr>
          <w:rFonts w:hint="eastAsia" w:ascii="仿宋" w:hAnsi="仿宋" w:eastAsia="仿宋" w:cs="仿宋"/>
          <w:color w:val="auto"/>
          <w:spacing w:val="0"/>
          <w:w w:val="100"/>
          <w:kern w:val="0"/>
          <w:sz w:val="24"/>
          <w:szCs w:val="24"/>
          <w:lang w:val="en-US" w:eastAsia="zh-CN" w:bidi="ar"/>
        </w:rPr>
        <w:t>提供 2024年1月至今任意三个月依法缴纳税收和社会保障资金的相关材料；如不需要缴纳税收和社保的供应商需提供真实有效的证明材料</w:t>
      </w:r>
      <w:r>
        <w:rPr>
          <w:rFonts w:hint="eastAsia" w:ascii="仿宋" w:hAnsi="仿宋" w:eastAsia="仿宋" w:cs="仿宋"/>
          <w:b w:val="0"/>
          <w:bCs w:val="0"/>
          <w:strike w:val="0"/>
          <w:dstrike w:val="0"/>
          <w:color w:val="auto"/>
          <w:spacing w:val="0"/>
          <w:w w:val="100"/>
          <w:u w:val="none"/>
        </w:rPr>
        <w:t>【复印件加盖单位公章</w:t>
      </w:r>
      <w:r>
        <w:rPr>
          <w:rFonts w:hint="eastAsia" w:ascii="仿宋" w:hAnsi="仿宋" w:eastAsia="仿宋" w:cs="仿宋"/>
          <w:b/>
          <w:bCs/>
          <w:strike w:val="0"/>
          <w:dstrike w:val="0"/>
          <w:color w:val="auto"/>
          <w:spacing w:val="0"/>
          <w:w w:val="100"/>
          <w:u w:val="none"/>
        </w:rPr>
        <w:t>】</w:t>
      </w:r>
      <w:r>
        <w:rPr>
          <w:rFonts w:hint="eastAsia" w:ascii="仿宋" w:hAnsi="仿宋" w:eastAsia="仿宋" w:cs="仿宋"/>
          <w:color w:val="auto"/>
          <w:spacing w:val="0"/>
          <w:w w:val="100"/>
        </w:rPr>
        <w:t>；</w:t>
      </w:r>
    </w:p>
    <w:p w14:paraId="54DEAC08">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5.参加本次政府采购活动前三年内，在经营活动中没有违法违规记录：</w:t>
      </w:r>
    </w:p>
    <w:p w14:paraId="6FBD32DC">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提供参加政府采购活动前3年内在经营活动中没有重大违法记录的书面声明（格式文件详见投标文件范本）；</w:t>
      </w:r>
    </w:p>
    <w:p w14:paraId="037E8ECE">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6.法律、行政法规规定的其他条件：</w:t>
      </w:r>
    </w:p>
    <w:p w14:paraId="0350A638">
      <w:pPr>
        <w:pageBreakBefore w:val="0"/>
        <w:tabs>
          <w:tab w:val="left" w:pos="312"/>
        </w:tabs>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供应商须承诺：在“信用中国”网站（www.creditchina.gov.cn）、中国政府采购网（www.ccgp.gov.cn）等渠道查询中未被列入失信被执行人名单、重大税收违法案件当事人名单、政府采购严重违法失信行为记录名单中，如被列入失信被执行人、重大税收违法案件当事人名单、政府采购严重违法失信行为记录名单中的供应商取消其投标资格，并承担由此造成的一切法律责任及后果。</w:t>
      </w:r>
    </w:p>
    <w:p w14:paraId="03382B6C">
      <w:pPr>
        <w:pageBreakBefore w:val="0"/>
        <w:tabs>
          <w:tab w:val="left" w:pos="312"/>
        </w:tabs>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（2）根据《省发展改革委 省法院 省公共资源交易中心关于推进全省公共资源交易领域对法院失信被执行人实施信用联合惩戒的通知》黔发改财金（2020）421号文件要求，采购人或代理机构在递交投标文件截止时间后现场根据</w:t>
      </w:r>
      <w:r>
        <w:rPr>
          <w:rFonts w:hint="eastAsia" w:ascii="仿宋" w:hAnsi="仿宋" w:eastAsia="仿宋" w:cs="仿宋"/>
          <w:color w:val="auto"/>
          <w:spacing w:val="0"/>
          <w:w w:val="100"/>
          <w:u w:val="single"/>
        </w:rPr>
        <w:t>贵州信用联合惩戒平台</w:t>
      </w:r>
      <w:r>
        <w:rPr>
          <w:rFonts w:hint="eastAsia" w:ascii="仿宋" w:hAnsi="仿宋" w:eastAsia="仿宋" w:cs="仿宋"/>
          <w:color w:val="auto"/>
          <w:spacing w:val="0"/>
          <w:w w:val="100"/>
        </w:rPr>
        <w:t>反馈信息，查询供应商是否属于法院失信被执行人，如被列入取消其投标资格。</w:t>
      </w:r>
    </w:p>
    <w:p w14:paraId="70A2DC48">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（二）本项目所需特殊行业资质或要求</w:t>
      </w:r>
    </w:p>
    <w:p w14:paraId="386E271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lang w:eastAsia="zh-CN"/>
        </w:rPr>
      </w:pPr>
      <w:r>
        <w:rPr>
          <w:rFonts w:hint="eastAsia" w:ascii="仿宋" w:hAnsi="仿宋" w:eastAsia="仿宋" w:cs="仿宋"/>
          <w:color w:val="auto"/>
          <w:spacing w:val="0"/>
          <w:w w:val="100"/>
          <w:sz w:val="24"/>
          <w:szCs w:val="24"/>
        </w:rPr>
        <w:t>本次招标要求</w:t>
      </w:r>
      <w:r>
        <w:rPr>
          <w:rFonts w:hint="eastAsia" w:ascii="仿宋" w:hAnsi="仿宋" w:eastAsia="仿宋" w:cs="仿宋"/>
          <w:color w:val="auto"/>
          <w:spacing w:val="0"/>
          <w:w w:val="100"/>
          <w:sz w:val="24"/>
          <w:szCs w:val="24"/>
          <w:lang w:val="en-US" w:eastAsia="zh-CN"/>
        </w:rPr>
        <w:t>磋商</w:t>
      </w:r>
      <w:r>
        <w:rPr>
          <w:rFonts w:hint="eastAsia" w:ascii="仿宋" w:hAnsi="仿宋" w:eastAsia="仿宋" w:cs="仿宋"/>
          <w:color w:val="auto"/>
          <w:spacing w:val="0"/>
          <w:w w:val="100"/>
          <w:sz w:val="24"/>
          <w:szCs w:val="24"/>
        </w:rPr>
        <w:t>供应商须具备建设行政主管部门颁发的</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u w:val="single"/>
        </w:rPr>
        <w:t>建筑工程施工总承包三级及以上资质</w:t>
      </w:r>
      <w:r>
        <w:rPr>
          <w:rFonts w:hint="eastAsia" w:ascii="仿宋" w:hAnsi="仿宋" w:eastAsia="仿宋" w:cs="仿宋"/>
          <w:color w:val="auto"/>
          <w:spacing w:val="0"/>
          <w:w w:val="100"/>
          <w:sz w:val="24"/>
          <w:szCs w:val="24"/>
          <w:lang w:val="en-US" w:eastAsia="zh-CN"/>
        </w:rPr>
        <w:t>或</w:t>
      </w:r>
      <w:r>
        <w:rPr>
          <w:rFonts w:hint="eastAsia" w:ascii="仿宋" w:hAnsi="仿宋" w:eastAsia="仿宋" w:cs="仿宋"/>
          <w:color w:val="auto"/>
          <w:spacing w:val="0"/>
          <w:w w:val="100"/>
          <w:sz w:val="24"/>
          <w:szCs w:val="24"/>
          <w:u w:val="single"/>
          <w:lang w:val="en-US" w:eastAsia="zh-CN"/>
        </w:rPr>
        <w:t>市政公用工程施工总承包三级及以上资质</w:t>
      </w:r>
      <w:r>
        <w:rPr>
          <w:rFonts w:hint="eastAsia" w:ascii="仿宋" w:hAnsi="仿宋" w:eastAsia="仿宋" w:cs="仿宋"/>
          <w:color w:val="auto"/>
          <w:spacing w:val="0"/>
          <w:w w:val="100"/>
          <w:sz w:val="24"/>
          <w:szCs w:val="24"/>
        </w:rPr>
        <w:t>，具备有效的安全生产许可证，在人员、设备、资金等方面具备相应的施工能力。拟派的项目经理须具备</w:t>
      </w:r>
      <w:r>
        <w:rPr>
          <w:rFonts w:hint="eastAsia" w:ascii="仿宋" w:hAnsi="仿宋" w:eastAsia="仿宋" w:cs="仿宋"/>
          <w:color w:val="auto"/>
          <w:spacing w:val="0"/>
          <w:w w:val="100"/>
          <w:sz w:val="24"/>
          <w:szCs w:val="24"/>
          <w:u w:val="single"/>
          <w:lang w:val="en-US" w:eastAsia="zh-CN"/>
        </w:rPr>
        <w:t xml:space="preserve"> 建筑工程 </w:t>
      </w:r>
      <w:r>
        <w:rPr>
          <w:rFonts w:hint="eastAsia" w:ascii="仿宋" w:hAnsi="仿宋" w:eastAsia="仿宋" w:cs="仿宋"/>
          <w:color w:val="auto"/>
          <w:spacing w:val="0"/>
          <w:w w:val="100"/>
          <w:sz w:val="24"/>
          <w:szCs w:val="24"/>
          <w:lang w:val="en-US" w:eastAsia="zh-CN"/>
        </w:rPr>
        <w:t>或</w:t>
      </w:r>
      <w:r>
        <w:rPr>
          <w:rFonts w:hint="eastAsia" w:ascii="仿宋" w:hAnsi="仿宋" w:eastAsia="仿宋" w:cs="仿宋"/>
          <w:color w:val="auto"/>
          <w:spacing w:val="0"/>
          <w:w w:val="100"/>
          <w:sz w:val="24"/>
          <w:szCs w:val="24"/>
          <w:u w:val="single"/>
          <w:lang w:val="en-US" w:eastAsia="zh-CN"/>
        </w:rPr>
        <w:t xml:space="preserve">市政公用工程 </w:t>
      </w:r>
      <w:r>
        <w:rPr>
          <w:rFonts w:hint="eastAsia" w:ascii="仿宋" w:hAnsi="仿宋" w:eastAsia="仿宋" w:cs="仿宋"/>
          <w:color w:val="auto"/>
          <w:spacing w:val="0"/>
          <w:w w:val="100"/>
          <w:sz w:val="24"/>
          <w:szCs w:val="24"/>
          <w:lang w:val="en-US" w:eastAsia="zh-CN"/>
        </w:rPr>
        <w:t>或</w:t>
      </w:r>
      <w:r>
        <w:rPr>
          <w:rFonts w:hint="eastAsia" w:ascii="仿宋" w:hAnsi="仿宋" w:eastAsia="仿宋" w:cs="仿宋"/>
          <w:color w:val="auto"/>
          <w:spacing w:val="0"/>
          <w:w w:val="100"/>
          <w:sz w:val="24"/>
          <w:szCs w:val="24"/>
          <w:u w:val="single"/>
          <w:lang w:val="en-US" w:eastAsia="zh-CN"/>
        </w:rPr>
        <w:t xml:space="preserve"> 机电</w:t>
      </w:r>
      <w:r>
        <w:rPr>
          <w:rFonts w:hint="eastAsia" w:ascii="仿宋" w:hAnsi="仿宋" w:eastAsia="仿宋" w:cs="仿宋"/>
          <w:color w:val="auto"/>
          <w:spacing w:val="0"/>
          <w:w w:val="100"/>
          <w:sz w:val="24"/>
          <w:szCs w:val="24"/>
          <w:u w:val="single"/>
        </w:rPr>
        <w:t>工程</w:t>
      </w:r>
      <w:r>
        <w:rPr>
          <w:rFonts w:hint="eastAsia" w:ascii="仿宋" w:hAnsi="仿宋" w:eastAsia="仿宋" w:cs="仿宋"/>
          <w:color w:val="auto"/>
          <w:spacing w:val="0"/>
          <w:w w:val="100"/>
          <w:sz w:val="24"/>
          <w:szCs w:val="24"/>
          <w:u w:val="single"/>
          <w:lang w:val="en-US" w:eastAsia="zh-CN"/>
        </w:rPr>
        <w:t xml:space="preserve"> </w:t>
      </w:r>
      <w:r>
        <w:rPr>
          <w:rFonts w:hint="eastAsia" w:ascii="仿宋" w:hAnsi="仿宋" w:eastAsia="仿宋" w:cs="仿宋"/>
          <w:color w:val="auto"/>
          <w:spacing w:val="0"/>
          <w:w w:val="100"/>
          <w:sz w:val="24"/>
          <w:szCs w:val="24"/>
        </w:rPr>
        <w:t>二级及以上（含二级）建造师资格，具备有效的安全生产考核合格证书（B类），且未担任其他在建建设工程的项目经理</w:t>
      </w:r>
      <w:r>
        <w:rPr>
          <w:rFonts w:hint="eastAsia" w:ascii="仿宋" w:hAnsi="仿宋" w:eastAsia="仿宋" w:cs="仿宋"/>
          <w:color w:val="auto"/>
          <w:spacing w:val="0"/>
          <w:w w:val="100"/>
          <w:sz w:val="24"/>
          <w:szCs w:val="24"/>
          <w:lang w:eastAsia="zh-CN"/>
        </w:rPr>
        <w:t>。</w:t>
      </w:r>
    </w:p>
    <w:p w14:paraId="020D37D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sz w:val="24"/>
          <w:szCs w:val="24"/>
          <w:lang w:eastAsia="zh-CN"/>
        </w:rPr>
        <w:t>（</w:t>
      </w:r>
      <w:r>
        <w:rPr>
          <w:rFonts w:hint="eastAsia" w:ascii="仿宋" w:hAnsi="仿宋" w:eastAsia="仿宋" w:cs="仿宋"/>
          <w:color w:val="auto"/>
          <w:spacing w:val="0"/>
          <w:w w:val="100"/>
          <w:sz w:val="24"/>
          <w:szCs w:val="24"/>
          <w:lang w:val="en-US" w:eastAsia="zh-CN"/>
        </w:rPr>
        <w:t>三</w:t>
      </w:r>
      <w:r>
        <w:rPr>
          <w:rFonts w:hint="eastAsia" w:ascii="仿宋" w:hAnsi="仿宋" w:eastAsia="仿宋" w:cs="仿宋"/>
          <w:color w:val="auto"/>
          <w:spacing w:val="0"/>
          <w:w w:val="100"/>
          <w:sz w:val="24"/>
          <w:szCs w:val="24"/>
          <w:lang w:eastAsia="zh-CN"/>
        </w:rPr>
        <w:t>）</w:t>
      </w:r>
      <w:r>
        <w:rPr>
          <w:rFonts w:hint="eastAsia" w:ascii="仿宋" w:hAnsi="仿宋" w:eastAsia="仿宋" w:cs="仿宋"/>
          <w:color w:val="auto"/>
          <w:spacing w:val="0"/>
          <w:w w:val="100"/>
        </w:rPr>
        <w:t>本项目</w:t>
      </w:r>
      <w:r>
        <w:rPr>
          <w:rFonts w:hint="eastAsia" w:ascii="仿宋" w:hAnsi="仿宋" w:eastAsia="仿宋" w:cs="仿宋"/>
          <w:color w:val="auto"/>
          <w:spacing w:val="0"/>
          <w:w w:val="100"/>
          <w:u w:val="single"/>
        </w:rPr>
        <w:t xml:space="preserve">  不接受  </w:t>
      </w:r>
      <w:r>
        <w:rPr>
          <w:rFonts w:hint="eastAsia" w:ascii="仿宋" w:hAnsi="仿宋" w:eastAsia="仿宋" w:cs="仿宋"/>
          <w:color w:val="auto"/>
          <w:spacing w:val="0"/>
          <w:w w:val="100"/>
        </w:rPr>
        <w:t>联合体投标</w:t>
      </w:r>
    </w:p>
    <w:p w14:paraId="777E165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kern w:val="0"/>
          <w:sz w:val="24"/>
          <w:szCs w:val="24"/>
          <w:lang w:val="en-US" w:eastAsia="zh-CN" w:bidi="ar"/>
        </w:rPr>
      </w:pPr>
      <w:r>
        <w:rPr>
          <w:rFonts w:hint="eastAsia" w:ascii="仿宋" w:hAnsi="仿宋" w:eastAsia="仿宋" w:cs="仿宋"/>
          <w:color w:val="auto"/>
          <w:spacing w:val="0"/>
          <w:w w:val="100"/>
          <w:sz w:val="24"/>
        </w:rPr>
        <w:t>（四）本项目</w:t>
      </w:r>
      <w:r>
        <w:rPr>
          <w:rFonts w:hint="eastAsia" w:ascii="仿宋" w:hAnsi="仿宋" w:eastAsia="仿宋" w:cs="仿宋"/>
          <w:color w:val="auto"/>
          <w:spacing w:val="0"/>
          <w:w w:val="100"/>
          <w:sz w:val="24"/>
          <w:u w:val="single"/>
        </w:rPr>
        <w:t xml:space="preserve">   是  </w:t>
      </w:r>
      <w:r>
        <w:rPr>
          <w:rFonts w:hint="eastAsia" w:ascii="仿宋" w:hAnsi="仿宋" w:eastAsia="仿宋" w:cs="仿宋"/>
          <w:color w:val="auto"/>
          <w:spacing w:val="0"/>
          <w:w w:val="100"/>
          <w:sz w:val="24"/>
        </w:rPr>
        <w:t>专门面向中小企业采购。具体内容为：</w:t>
      </w:r>
      <w:r>
        <w:rPr>
          <w:rFonts w:hint="eastAsia" w:ascii="仿宋" w:hAnsi="仿宋" w:eastAsia="仿宋" w:cs="仿宋"/>
          <w:color w:val="auto"/>
          <w:spacing w:val="0"/>
          <w:w w:val="100"/>
          <w:kern w:val="0"/>
          <w:sz w:val="24"/>
          <w:szCs w:val="24"/>
          <w:u w:val="single"/>
          <w:lang w:val="en-US" w:eastAsia="zh-CN" w:bidi="ar"/>
        </w:rPr>
        <w:t>贵州经贸职业技术学院体育场馆智慧照明工作系统改造提升项目</w:t>
      </w:r>
      <w:r>
        <w:rPr>
          <w:rFonts w:hint="eastAsia" w:ascii="仿宋" w:hAnsi="仿宋" w:eastAsia="仿宋" w:cs="仿宋"/>
          <w:color w:val="auto"/>
          <w:spacing w:val="0"/>
          <w:w w:val="100"/>
          <w:kern w:val="0"/>
          <w:sz w:val="24"/>
          <w:szCs w:val="24"/>
          <w:lang w:val="en-US" w:eastAsia="zh-CN" w:bidi="ar"/>
        </w:rPr>
        <w:t>。</w:t>
      </w:r>
    </w:p>
    <w:p w14:paraId="4120675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rPr>
      </w:pPr>
      <w:bookmarkStart w:id="3" w:name="_Toc407182665"/>
      <w:bookmarkStart w:id="4" w:name="_Toc407169873"/>
      <w:bookmarkStart w:id="5" w:name="_Toc19399"/>
      <w:r>
        <w:rPr>
          <w:rFonts w:hint="eastAsia" w:ascii="仿宋" w:hAnsi="仿宋" w:eastAsia="仿宋" w:cs="仿宋"/>
          <w:color w:val="auto"/>
          <w:spacing w:val="0"/>
          <w:w w:val="100"/>
          <w:sz w:val="24"/>
          <w:szCs w:val="24"/>
          <w:lang w:val="en-US" w:eastAsia="zh-CN"/>
        </w:rPr>
        <w:t xml:space="preserve"> </w:t>
      </w:r>
      <w:r>
        <w:rPr>
          <w:rFonts w:hint="eastAsia" w:ascii="仿宋" w:hAnsi="仿宋" w:eastAsia="仿宋" w:cs="仿宋"/>
          <w:color w:val="auto"/>
          <w:spacing w:val="0"/>
          <w:w w:val="100"/>
          <w:kern w:val="0"/>
          <w:sz w:val="24"/>
          <w:szCs w:val="24"/>
          <w:lang w:val="en-US" w:eastAsia="zh-CN" w:bidi="ar"/>
        </w:rPr>
        <w:t>本项目专门面向符合条件的中小企业采购，（符合条件的监狱企业、戒毒企业以及残疾人福利企业视同中小企业）：符合《财政部工业和信息化部关于印发&lt;政府采购促进中小企业发展管理办法〉的通知》（财库〔2020〕46 号）规定并提供《中小企业声明函》；符合《财政部司法部关于政府采购支持监狱企业发展有关问题的通知》（财库〔2014〕68 号）规定并提供由省级以上监狱管理局、戒毒管理局（含新疆生产建设兵团）出具的属于监狱企业的证明文件；符合《关于促进残疾人就业政府采购政策的通知》（财库〔2017〕141 号）规定并提供《残疾人福利性单位声明函》。本项目采购标的对应的中小企业划分标准所属行业为采购标的物相关行业。落实政策需满足的要求本项目专门面向符合条件的中小企业采购（监狱企业、戒毒企业以及残疾人福利企业符合相关规定的视同中小企业），本项目采购标的对应的中小企业划分标准所属行业为：制造业。</w:t>
      </w:r>
    </w:p>
    <w:p w14:paraId="6A4DF285">
      <w:pPr>
        <w:pStyle w:val="2"/>
        <w:pageBreakBefore w:val="0"/>
        <w:kinsoku/>
        <w:wordWrap/>
        <w:overflowPunct/>
        <w:topLinePunct w:val="0"/>
        <w:autoSpaceDE/>
        <w:autoSpaceDN/>
        <w:bidi w:val="0"/>
        <w:adjustRightInd/>
        <w:snapToGrid/>
        <w:spacing w:beforeLines="0" w:beforeAutospacing="0" w:afterLines="0" w:afterAutospacing="0" w:line="360" w:lineRule="auto"/>
        <w:ind w:left="0" w:leftChars="0" w:right="0" w:rightChars="0" w:firstLine="480" w:firstLineChars="200"/>
        <w:jc w:val="left"/>
        <w:textAlignment w:val="auto"/>
        <w:rPr>
          <w:rFonts w:hint="eastAsia" w:ascii="仿宋" w:hAnsi="仿宋" w:eastAsia="仿宋" w:cs="仿宋"/>
          <w:caps w:val="0"/>
          <w:color w:val="auto"/>
          <w:spacing w:val="0"/>
          <w:w w:val="100"/>
          <w:position w:val="0"/>
          <w:sz w:val="24"/>
          <w:szCs w:val="24"/>
          <w:lang w:eastAsia="zh-CN"/>
        </w:rPr>
      </w:pPr>
    </w:p>
    <w:p w14:paraId="57E26F03">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aps w:val="0"/>
          <w:color w:val="auto"/>
          <w:spacing w:val="0"/>
          <w:w w:val="100"/>
          <w:position w:val="0"/>
          <w:sz w:val="24"/>
          <w:szCs w:val="24"/>
          <w:lang w:eastAsia="zh-CN"/>
        </w:rPr>
      </w:pPr>
      <w:r>
        <w:rPr>
          <w:rFonts w:hint="eastAsia" w:ascii="仿宋" w:hAnsi="仿宋" w:eastAsia="仿宋" w:cs="仿宋"/>
          <w:caps w:val="0"/>
          <w:color w:val="auto"/>
          <w:spacing w:val="0"/>
          <w:w w:val="100"/>
          <w:position w:val="0"/>
          <w:sz w:val="24"/>
          <w:szCs w:val="24"/>
          <w:lang w:eastAsia="zh-CN"/>
        </w:rPr>
        <w:br w:type="page"/>
      </w:r>
    </w:p>
    <w:bookmarkEnd w:id="3"/>
    <w:bookmarkEnd w:id="4"/>
    <w:bookmarkEnd w:id="5"/>
    <w:p w14:paraId="6C4F53B3">
      <w:pPr>
        <w:pStyle w:val="2"/>
        <w:spacing w:before="120" w:after="120"/>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 xml:space="preserve"> </w:t>
      </w:r>
      <w:r>
        <w:rPr>
          <w:rFonts w:hint="eastAsia" w:ascii="仿宋" w:hAnsi="仿宋" w:eastAsia="仿宋" w:cs="仿宋"/>
          <w:color w:val="auto"/>
          <w:sz w:val="30"/>
          <w:szCs w:val="30"/>
        </w:rPr>
        <w:t>采购清单、技术参数及商务要求</w:t>
      </w:r>
    </w:p>
    <w:p w14:paraId="1EE01119">
      <w:pPr>
        <w:pStyle w:val="3"/>
        <w:spacing w:before="240" w:after="240"/>
        <w:rPr>
          <w:rFonts w:hint="eastAsia" w:ascii="仿宋" w:hAnsi="仿宋" w:eastAsia="仿宋" w:cs="仿宋"/>
          <w:color w:val="auto"/>
        </w:rPr>
      </w:pPr>
      <w:bookmarkStart w:id="6" w:name="_Toc22353"/>
      <w:r>
        <w:rPr>
          <w:rFonts w:hint="eastAsia" w:ascii="仿宋" w:hAnsi="仿宋" w:eastAsia="仿宋" w:cs="仿宋"/>
          <w:color w:val="auto"/>
          <w:sz w:val="30"/>
          <w:szCs w:val="30"/>
        </w:rPr>
        <w:t>第一节 采购清单及技术参数</w:t>
      </w:r>
      <w:bookmarkEnd w:id="6"/>
    </w:p>
    <w:tbl>
      <w:tblPr>
        <w:tblStyle w:val="5"/>
        <w:tblpPr w:leftFromText="180" w:rightFromText="180" w:vertAnchor="text" w:horzAnchor="page" w:tblpX="1069" w:tblpY="8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558"/>
        <w:gridCol w:w="3796"/>
        <w:gridCol w:w="903"/>
        <w:gridCol w:w="1154"/>
        <w:gridCol w:w="1879"/>
      </w:tblGrid>
      <w:tr w14:paraId="07A3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6"/>
            <w:vAlign w:val="center"/>
          </w:tcPr>
          <w:p w14:paraId="430760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一、11人制足球场</w:t>
            </w:r>
          </w:p>
        </w:tc>
      </w:tr>
      <w:tr w14:paraId="2394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2C1FA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82" w:type="pct"/>
            <w:vAlign w:val="center"/>
          </w:tcPr>
          <w:p w14:paraId="3CFE60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项目内容</w:t>
            </w:r>
          </w:p>
        </w:tc>
        <w:tc>
          <w:tcPr>
            <w:tcW w:w="1905" w:type="pct"/>
            <w:vAlign w:val="center"/>
          </w:tcPr>
          <w:p w14:paraId="16E561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参数</w:t>
            </w:r>
          </w:p>
        </w:tc>
        <w:tc>
          <w:tcPr>
            <w:tcW w:w="453" w:type="pct"/>
            <w:vAlign w:val="center"/>
          </w:tcPr>
          <w:p w14:paraId="65B756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单位</w:t>
            </w:r>
          </w:p>
        </w:tc>
        <w:tc>
          <w:tcPr>
            <w:tcW w:w="577" w:type="pct"/>
            <w:vAlign w:val="center"/>
          </w:tcPr>
          <w:p w14:paraId="0C3D52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数量</w:t>
            </w:r>
          </w:p>
        </w:tc>
        <w:tc>
          <w:tcPr>
            <w:tcW w:w="942" w:type="pct"/>
            <w:vAlign w:val="center"/>
          </w:tcPr>
          <w:p w14:paraId="1053F7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参考图片</w:t>
            </w:r>
          </w:p>
          <w:p w14:paraId="53FE81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（如有则提供）</w:t>
            </w:r>
          </w:p>
        </w:tc>
      </w:tr>
      <w:tr w14:paraId="5C2C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6F5DA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2" w:type="pct"/>
            <w:vAlign w:val="center"/>
          </w:tcPr>
          <w:p w14:paraId="727059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11人制足球场（LED球场灯 600W）</w:t>
            </w:r>
          </w:p>
        </w:tc>
        <w:tc>
          <w:tcPr>
            <w:tcW w:w="1905" w:type="pct"/>
            <w:vAlign w:val="center"/>
          </w:tcPr>
          <w:p w14:paraId="4E3BC5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体育场照明按照JGJ153-2016《体育场馆照明设计及检测标准》要求，球场照明指标需达到Ⅱ级标准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水平平均照度Eh≥300lux，均匀度U2≥0.5，显色指数Ra≥80，眩光值GR≤55。</w:t>
            </w:r>
          </w:p>
          <w:p w14:paraId="329FD9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zh-CN" w:eastAsia="zh-CN"/>
              </w:rPr>
            </w:pPr>
            <w:r>
              <w:rPr>
                <w:rFonts w:hint="default" w:ascii="仿宋" w:hAnsi="仿宋" w:eastAsia="仿宋" w:cs="仿宋"/>
                <w:kern w:val="2"/>
                <w:sz w:val="24"/>
                <w:szCs w:val="24"/>
                <w:rtl w:val="0"/>
                <w:lang w:val="zh-CN" w:eastAsia="zh-CN" w:bidi="ar-SA"/>
              </w:rPr>
              <w:t>1．</w:t>
            </w:r>
            <w:r>
              <w:rPr>
                <w:rFonts w:hint="eastAsia" w:ascii="仿宋" w:hAnsi="仿宋" w:eastAsia="仿宋" w:cs="仿宋"/>
                <w:sz w:val="24"/>
                <w:szCs w:val="24"/>
                <w:rtl w:val="0"/>
                <w:lang w:val="zh-TW" w:eastAsia="zh-TW"/>
              </w:rPr>
              <w:t>产品须为体育场</w:t>
            </w:r>
            <w:r>
              <w:rPr>
                <w:rFonts w:hint="eastAsia" w:ascii="仿宋" w:hAnsi="仿宋" w:eastAsia="仿宋" w:cs="仿宋"/>
                <w:sz w:val="24"/>
                <w:szCs w:val="24"/>
                <w:rtl w:val="0"/>
                <w:lang w:val="en-US" w:eastAsia="zh-CN"/>
              </w:rPr>
              <w:t>地</w:t>
            </w:r>
            <w:r>
              <w:rPr>
                <w:rFonts w:hint="eastAsia" w:ascii="仿宋" w:hAnsi="仿宋" w:eastAsia="仿宋" w:cs="仿宋"/>
                <w:sz w:val="24"/>
                <w:szCs w:val="24"/>
                <w:rtl w:val="0"/>
                <w:lang w:val="zh-TW" w:eastAsia="zh-TW"/>
              </w:rPr>
              <w:t>照明专业LED灯具，输入电压AC 100V-2</w:t>
            </w:r>
            <w:r>
              <w:rPr>
                <w:rFonts w:hint="eastAsia" w:ascii="仿宋" w:hAnsi="仿宋" w:eastAsia="仿宋" w:cs="仿宋"/>
                <w:sz w:val="24"/>
                <w:szCs w:val="24"/>
                <w:rtl w:val="0"/>
                <w:lang w:val="en-US" w:eastAsia="zh-CN"/>
              </w:rPr>
              <w:t>4</w:t>
            </w:r>
            <w:r>
              <w:rPr>
                <w:rFonts w:hint="eastAsia" w:ascii="仿宋" w:hAnsi="仿宋" w:eastAsia="仿宋" w:cs="仿宋"/>
                <w:sz w:val="24"/>
                <w:szCs w:val="24"/>
                <w:rtl w:val="0"/>
                <w:lang w:val="zh-TW" w:eastAsia="zh-TW"/>
              </w:rPr>
              <w:t>0V，频率50/60Hz</w:t>
            </w:r>
            <w:r>
              <w:rPr>
                <w:rFonts w:hint="eastAsia" w:ascii="仿宋" w:hAnsi="仿宋" w:eastAsia="仿宋" w:cs="仿宋"/>
                <w:sz w:val="24"/>
                <w:szCs w:val="24"/>
                <w:rtl w:val="0"/>
                <w:lang w:val="zh-TW" w:eastAsia="zh-CN"/>
              </w:rPr>
              <w:t>。</w:t>
            </w:r>
          </w:p>
          <w:p w14:paraId="4A6642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en-US" w:eastAsia="zh-CN"/>
              </w:rPr>
            </w:pPr>
            <w:r>
              <w:rPr>
                <w:rFonts w:hint="default" w:ascii="仿宋" w:hAnsi="仿宋" w:eastAsia="仿宋" w:cs="仿宋"/>
                <w:kern w:val="2"/>
                <w:sz w:val="24"/>
                <w:szCs w:val="24"/>
                <w:rtl w:val="0"/>
                <w:lang w:val="en-US" w:eastAsia="zh-CN" w:bidi="ar-SA"/>
              </w:rPr>
              <w:t>2．</w:t>
            </w:r>
            <w:r>
              <w:rPr>
                <w:rFonts w:hint="eastAsia" w:ascii="仿宋" w:hAnsi="仿宋" w:eastAsia="仿宋" w:cs="仿宋"/>
                <w:sz w:val="24"/>
                <w:szCs w:val="24"/>
                <w:rtl w:val="0"/>
                <w:lang w:val="zh-TW" w:eastAsia="zh-TW"/>
              </w:rPr>
              <w:t>灯具实测功率</w:t>
            </w:r>
            <w:r>
              <w:rPr>
                <w:rFonts w:hint="eastAsia" w:ascii="仿宋" w:hAnsi="仿宋" w:eastAsia="仿宋" w:cs="仿宋"/>
                <w:sz w:val="24"/>
                <w:szCs w:val="24"/>
                <w:rtl w:val="0"/>
                <w:lang w:val="en-US" w:eastAsia="zh-CN"/>
              </w:rPr>
              <w:t>6</w:t>
            </w:r>
            <w:r>
              <w:rPr>
                <w:rFonts w:hint="eastAsia" w:ascii="仿宋" w:hAnsi="仿宋" w:eastAsia="仿宋" w:cs="仿宋"/>
                <w:sz w:val="24"/>
                <w:szCs w:val="24"/>
                <w:rtl w:val="0"/>
                <w:lang w:val="zh-TW" w:eastAsia="zh-TW"/>
              </w:rPr>
              <w:t>00W</w:t>
            </w:r>
            <w:r>
              <w:rPr>
                <w:rFonts w:hint="eastAsia" w:ascii="仿宋" w:hAnsi="仿宋" w:eastAsia="仿宋" w:cs="仿宋"/>
                <w:color w:val="000000"/>
                <w:kern w:val="0"/>
                <w:sz w:val="24"/>
                <w:szCs w:val="24"/>
                <w:u w:color="000000"/>
                <w:shd w:val="clear" w:color="auto" w:fill="auto"/>
                <w:rtl w:val="0"/>
                <w:lang w:val="en-US" w:eastAsia="zh-TW"/>
              </w:rPr>
              <w:t>±</w:t>
            </w:r>
            <w:r>
              <w:rPr>
                <w:rFonts w:hint="eastAsia" w:ascii="仿宋" w:hAnsi="仿宋" w:eastAsia="仿宋" w:cs="仿宋"/>
                <w:sz w:val="24"/>
                <w:szCs w:val="24"/>
                <w:rtl w:val="0"/>
                <w:lang w:val="zh-TW" w:eastAsia="zh-TW"/>
              </w:rPr>
              <w:t>1%，灯具功率因数</w:t>
            </w:r>
            <w:r>
              <w:rPr>
                <w:rFonts w:hint="eastAsia" w:ascii="仿宋" w:hAnsi="仿宋" w:eastAsia="仿宋" w:cs="仿宋"/>
                <w:sz w:val="24"/>
                <w:szCs w:val="24"/>
                <w:rtl w:val="0"/>
                <w:lang w:val="en-US" w:eastAsia="zh-TW"/>
              </w:rPr>
              <w:t>≥0.9</w:t>
            </w:r>
            <w:r>
              <w:rPr>
                <w:rFonts w:hint="eastAsia" w:ascii="仿宋" w:hAnsi="仿宋" w:eastAsia="仿宋" w:cs="仿宋"/>
                <w:sz w:val="24"/>
                <w:szCs w:val="24"/>
                <w:rtl w:val="0"/>
                <w:lang w:val="en-US" w:eastAsia="zh-CN"/>
              </w:rPr>
              <w:t>8</w:t>
            </w:r>
            <w:r>
              <w:rPr>
                <w:rFonts w:hint="eastAsia" w:ascii="仿宋" w:hAnsi="仿宋" w:eastAsia="仿宋" w:cs="仿宋"/>
                <w:sz w:val="24"/>
                <w:szCs w:val="24"/>
                <w:rtl w:val="0"/>
                <w:lang w:val="zh-TW" w:eastAsia="zh-TW"/>
              </w:rPr>
              <w:t>，整灯效能</w:t>
            </w:r>
            <w:r>
              <w:rPr>
                <w:rFonts w:hint="eastAsia" w:ascii="仿宋" w:hAnsi="仿宋" w:eastAsia="仿宋" w:cs="仿宋"/>
                <w:sz w:val="24"/>
                <w:szCs w:val="24"/>
                <w:rtl w:val="0"/>
                <w:lang w:val="en-US" w:eastAsia="zh-TW"/>
              </w:rPr>
              <w:t>≥1</w:t>
            </w:r>
            <w:r>
              <w:rPr>
                <w:rFonts w:hint="eastAsia" w:ascii="仿宋" w:hAnsi="仿宋" w:eastAsia="仿宋" w:cs="仿宋"/>
                <w:sz w:val="24"/>
                <w:szCs w:val="24"/>
                <w:rtl w:val="0"/>
                <w:lang w:val="en-US" w:eastAsia="zh-CN"/>
              </w:rPr>
              <w:t>3</w:t>
            </w:r>
            <w:r>
              <w:rPr>
                <w:rFonts w:hint="eastAsia" w:ascii="仿宋" w:hAnsi="仿宋" w:eastAsia="仿宋" w:cs="仿宋"/>
                <w:sz w:val="24"/>
                <w:szCs w:val="24"/>
                <w:rtl w:val="0"/>
                <w:lang w:val="en-US" w:eastAsia="zh-TW"/>
              </w:rPr>
              <w:t>0lm/W</w:t>
            </w:r>
            <w:r>
              <w:rPr>
                <w:rFonts w:hint="eastAsia" w:ascii="仿宋" w:hAnsi="仿宋" w:eastAsia="仿宋" w:cs="仿宋"/>
                <w:sz w:val="24"/>
                <w:szCs w:val="24"/>
                <w:rtl w:val="0"/>
                <w:lang w:val="zh-TW" w:eastAsia="zh-TW"/>
              </w:rPr>
              <w:t>，光通量</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780</w:t>
            </w:r>
            <w:r>
              <w:rPr>
                <w:rFonts w:hint="eastAsia" w:ascii="仿宋" w:hAnsi="仿宋" w:eastAsia="仿宋" w:cs="仿宋"/>
                <w:sz w:val="24"/>
                <w:szCs w:val="24"/>
                <w:rtl w:val="0"/>
                <w:lang w:val="en-US" w:eastAsia="zh-TW"/>
              </w:rPr>
              <w:t>00lm</w:t>
            </w:r>
            <w:r>
              <w:rPr>
                <w:rFonts w:hint="eastAsia" w:ascii="仿宋" w:hAnsi="仿宋" w:eastAsia="仿宋" w:cs="仿宋"/>
                <w:sz w:val="24"/>
                <w:szCs w:val="24"/>
                <w:rtl w:val="0"/>
                <w:lang w:val="zh-TW" w:eastAsia="zh-CN"/>
              </w:rPr>
              <w:t>，</w:t>
            </w:r>
            <w:r>
              <w:rPr>
                <w:rFonts w:hint="eastAsia" w:ascii="仿宋" w:hAnsi="仿宋" w:eastAsia="仿宋" w:cs="仿宋"/>
                <w:sz w:val="24"/>
                <w:szCs w:val="24"/>
                <w:rtl w:val="0"/>
                <w:lang w:val="zh-TW" w:eastAsia="zh-TW"/>
              </w:rPr>
              <w:t>一般显色指数</w:t>
            </w:r>
            <w:r>
              <w:rPr>
                <w:rFonts w:hint="eastAsia" w:ascii="仿宋" w:hAnsi="仿宋" w:eastAsia="仿宋" w:cs="仿宋"/>
                <w:sz w:val="24"/>
                <w:szCs w:val="24"/>
                <w:rtl w:val="0"/>
                <w:lang w:val="en-US" w:eastAsia="zh-TW"/>
              </w:rPr>
              <w:t>Ra≥80</w:t>
            </w:r>
            <w:r>
              <w:rPr>
                <w:rFonts w:hint="eastAsia" w:ascii="仿宋" w:hAnsi="仿宋" w:eastAsia="仿宋" w:cs="仿宋"/>
                <w:sz w:val="24"/>
                <w:szCs w:val="24"/>
                <w:rtl w:val="0"/>
                <w:lang w:val="zh-TW" w:eastAsia="zh-TW"/>
              </w:rPr>
              <w:t>，色温</w:t>
            </w:r>
            <w:r>
              <w:rPr>
                <w:rFonts w:hint="eastAsia" w:ascii="仿宋" w:hAnsi="仿宋" w:eastAsia="仿宋" w:cs="仿宋"/>
                <w:sz w:val="24"/>
                <w:szCs w:val="24"/>
                <w:rtl w:val="0"/>
                <w:lang w:val="en-US" w:eastAsia="zh-TW"/>
              </w:rPr>
              <w:t>≥5000K</w:t>
            </w:r>
            <w:r>
              <w:rPr>
                <w:rFonts w:hint="eastAsia" w:ascii="仿宋" w:hAnsi="仿宋" w:eastAsia="仿宋" w:cs="仿宋"/>
                <w:sz w:val="24"/>
                <w:szCs w:val="24"/>
                <w:rtl w:val="0"/>
                <w:lang w:val="en-US" w:eastAsia="zh-CN"/>
              </w:rPr>
              <w:t>。</w:t>
            </w:r>
          </w:p>
          <w:p w14:paraId="583DAB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en-US" w:eastAsia="zh-CN"/>
              </w:rPr>
            </w:pPr>
            <w:r>
              <w:rPr>
                <w:rFonts w:hint="default" w:ascii="仿宋" w:hAnsi="仿宋" w:eastAsia="仿宋" w:cs="仿宋"/>
                <w:kern w:val="2"/>
                <w:sz w:val="24"/>
                <w:szCs w:val="24"/>
                <w:rtl w:val="0"/>
                <w:lang w:val="en-US" w:eastAsia="zh-CN" w:bidi="ar-SA"/>
              </w:rPr>
              <w:t>3．</w:t>
            </w:r>
            <w:r>
              <w:rPr>
                <w:rFonts w:hint="eastAsia" w:ascii="仿宋" w:hAnsi="仿宋" w:eastAsia="仿宋" w:cs="仿宋"/>
                <w:sz w:val="24"/>
                <w:szCs w:val="24"/>
                <w:rtl w:val="0"/>
                <w:lang w:val="en-US" w:eastAsia="zh-CN"/>
              </w:rPr>
              <w:t>灯具需具有稳定的色度与照度，在使用的过程中不应出现较大的色度与照度的变化，前后照度偏差≤10lx。</w:t>
            </w:r>
          </w:p>
          <w:p w14:paraId="27A1F0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en-US" w:eastAsia="zh-CN"/>
              </w:rPr>
            </w:pPr>
            <w:r>
              <w:rPr>
                <w:rFonts w:hint="default" w:ascii="仿宋" w:hAnsi="仿宋" w:eastAsia="仿宋" w:cs="仿宋"/>
                <w:kern w:val="2"/>
                <w:sz w:val="24"/>
                <w:szCs w:val="24"/>
                <w:rtl w:val="0"/>
                <w:lang w:val="en-US" w:eastAsia="zh-CN" w:bidi="ar-SA"/>
              </w:rPr>
              <w:t>4．</w:t>
            </w:r>
            <w:r>
              <w:rPr>
                <w:rFonts w:hint="eastAsia" w:ascii="仿宋" w:hAnsi="仿宋" w:eastAsia="仿宋" w:cs="仿宋"/>
                <w:sz w:val="24"/>
                <w:szCs w:val="24"/>
                <w:lang w:val="en-US" w:eastAsia="zh-CN"/>
              </w:rPr>
              <w:t>▲灯具符合GB 5080.7-86中的定时截尾试验方案要求，</w:t>
            </w:r>
            <w:r>
              <w:rPr>
                <w:rFonts w:hint="eastAsia" w:ascii="仿宋" w:hAnsi="仿宋" w:eastAsia="仿宋" w:cs="仿宋"/>
                <w:sz w:val="24"/>
                <w:szCs w:val="24"/>
                <w:rtl w:val="0"/>
                <w:lang w:val="en-US" w:eastAsia="zh-CN"/>
              </w:rPr>
              <w:t>平均无故障时间不少于18000H，</w:t>
            </w:r>
            <w:r>
              <w:rPr>
                <w:rFonts w:hint="eastAsia" w:ascii="仿宋" w:hAnsi="仿宋" w:eastAsia="仿宋" w:cs="仿宋"/>
                <w:sz w:val="24"/>
                <w:szCs w:val="24"/>
                <w:rtl w:val="0"/>
                <w:lang w:val="zh-TW" w:eastAsia="zh-CN"/>
              </w:rPr>
              <w:t>送检同功率样品灯具不低于5个且在不低于</w:t>
            </w:r>
            <w:r>
              <w:rPr>
                <w:rFonts w:hint="eastAsia" w:ascii="仿宋" w:hAnsi="仿宋" w:eastAsia="仿宋" w:cs="仿宋"/>
                <w:sz w:val="24"/>
                <w:szCs w:val="24"/>
                <w:rtl w:val="0"/>
                <w:lang w:val="en-US" w:eastAsia="zh-CN"/>
              </w:rPr>
              <w:t>1500小时的连续时间里灯具点亮过程中未出现短路跳闸现象，且各项功能正常，总失效数为0。</w:t>
            </w:r>
          </w:p>
          <w:p w14:paraId="6BCF33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zh-TW" w:eastAsia="zh-TW"/>
              </w:rPr>
            </w:pPr>
            <w:r>
              <w:rPr>
                <w:rFonts w:hint="default" w:ascii="仿宋" w:hAnsi="仿宋" w:eastAsia="仿宋" w:cs="仿宋"/>
                <w:kern w:val="2"/>
                <w:sz w:val="24"/>
                <w:szCs w:val="24"/>
                <w:rtl w:val="0"/>
                <w:lang w:val="zh-TW" w:eastAsia="zh-TW" w:bidi="ar-SA"/>
              </w:rPr>
              <w:t>5．</w:t>
            </w:r>
            <w:r>
              <w:rPr>
                <w:rFonts w:hint="eastAsia" w:ascii="仿宋" w:hAnsi="仿宋" w:eastAsia="仿宋" w:cs="仿宋"/>
                <w:sz w:val="24"/>
                <w:szCs w:val="24"/>
                <w:rtl w:val="0"/>
                <w:lang w:val="en-US" w:eastAsia="zh-CN"/>
              </w:rPr>
              <w:t>灯具符合GB 5080.7-86中的定时截尾试验方案要求，平均无故障时间≥18000H，</w:t>
            </w:r>
            <w:r>
              <w:rPr>
                <w:rFonts w:hint="eastAsia" w:ascii="仿宋" w:hAnsi="仿宋" w:eastAsia="仿宋" w:cs="仿宋"/>
                <w:sz w:val="24"/>
                <w:szCs w:val="24"/>
                <w:rtl w:val="0"/>
                <w:lang w:val="zh-TW" w:eastAsia="zh-CN"/>
              </w:rPr>
              <w:t>送检同功率样品灯具不低于5个且</w:t>
            </w:r>
            <w:r>
              <w:rPr>
                <w:rFonts w:hint="eastAsia" w:ascii="仿宋" w:hAnsi="仿宋" w:eastAsia="仿宋" w:cs="仿宋"/>
                <w:sz w:val="24"/>
                <w:szCs w:val="24"/>
                <w:rtl w:val="0"/>
                <w:lang w:val="en-US" w:eastAsia="zh-CN"/>
              </w:rPr>
              <w:t>单个灯具连续实测时间不少于1500H，测试时间内灯具无不能发光或无部分光源不发光。</w:t>
            </w:r>
          </w:p>
          <w:p w14:paraId="7F183E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zh-TW" w:eastAsia="zh-TW"/>
              </w:rPr>
            </w:pPr>
            <w:r>
              <w:rPr>
                <w:rFonts w:hint="default" w:ascii="仿宋" w:hAnsi="仿宋" w:eastAsia="仿宋" w:cs="仿宋"/>
                <w:kern w:val="2"/>
                <w:sz w:val="24"/>
                <w:szCs w:val="24"/>
                <w:rtl w:val="0"/>
                <w:lang w:val="zh-TW" w:eastAsia="zh-TW" w:bidi="ar-SA"/>
              </w:rPr>
              <w:t>6．</w:t>
            </w:r>
            <w:r>
              <w:rPr>
                <w:rFonts w:hint="eastAsia" w:ascii="仿宋" w:hAnsi="仿宋" w:eastAsia="仿宋" w:cs="仿宋"/>
                <w:sz w:val="24"/>
                <w:szCs w:val="24"/>
                <w:rtl w:val="0"/>
                <w:lang w:val="en-US" w:eastAsia="zh-CN"/>
              </w:rPr>
              <w:t>▲灯具透镜在光辐射总量累计≥4000MJ/ ㎡的情况下无开裂、松脱。</w:t>
            </w:r>
            <w:r>
              <w:rPr>
                <w:rFonts w:hint="eastAsia" w:ascii="仿宋" w:hAnsi="仿宋" w:eastAsia="仿宋" w:cs="仿宋"/>
                <w:b/>
                <w:bCs w:val="0"/>
                <w:sz w:val="24"/>
                <w:szCs w:val="24"/>
                <w:lang w:val="en-US" w:eastAsia="zh-CN"/>
              </w:rPr>
              <w:t xml:space="preserve"> </w:t>
            </w:r>
          </w:p>
          <w:p w14:paraId="43B857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zh-TW" w:eastAsia="zh-TW"/>
              </w:rPr>
            </w:pPr>
            <w:r>
              <w:rPr>
                <w:rFonts w:hint="default" w:ascii="仿宋" w:hAnsi="仿宋" w:eastAsia="仿宋" w:cs="仿宋"/>
                <w:kern w:val="2"/>
                <w:sz w:val="24"/>
                <w:szCs w:val="24"/>
                <w:rtl w:val="0"/>
                <w:lang w:val="zh-TW" w:eastAsia="zh-TW" w:bidi="ar-SA"/>
              </w:rPr>
              <w:t>7．</w:t>
            </w:r>
            <w:r>
              <w:rPr>
                <w:rFonts w:hint="eastAsia" w:ascii="仿宋" w:hAnsi="仿宋" w:eastAsia="仿宋" w:cs="仿宋"/>
                <w:sz w:val="24"/>
                <w:szCs w:val="24"/>
                <w:rtl w:val="0"/>
                <w:lang w:val="zh-TW" w:eastAsia="zh-TW"/>
              </w:rPr>
              <w:t>灯具进行自然试验</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zh-TW" w:eastAsia="zh-TW"/>
              </w:rPr>
              <w:t>持续时间不少于十二月，试验后电源与灯具连接正常，无移位，无脱落，接线处完整</w:t>
            </w:r>
            <w:r>
              <w:rPr>
                <w:rFonts w:hint="eastAsia" w:ascii="仿宋" w:hAnsi="仿宋" w:eastAsia="仿宋" w:cs="仿宋"/>
                <w:sz w:val="24"/>
                <w:szCs w:val="24"/>
                <w:rtl w:val="0"/>
                <w:lang w:val="zh-TW" w:eastAsia="zh-CN"/>
              </w:rPr>
              <w:t>。</w:t>
            </w:r>
          </w:p>
          <w:p w14:paraId="7ADC01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zh-TW" w:eastAsia="zh-TW"/>
              </w:rPr>
            </w:pPr>
            <w:r>
              <w:rPr>
                <w:rFonts w:hint="default" w:ascii="仿宋" w:hAnsi="仿宋" w:eastAsia="仿宋" w:cs="仿宋"/>
                <w:kern w:val="2"/>
                <w:sz w:val="24"/>
                <w:szCs w:val="24"/>
                <w:rtl w:val="0"/>
                <w:lang w:val="zh-TW" w:eastAsia="zh-TW" w:bidi="ar-SA"/>
              </w:rPr>
              <w:t>8．</w:t>
            </w:r>
            <w:r>
              <w:rPr>
                <w:rFonts w:hint="eastAsia" w:ascii="仿宋" w:hAnsi="仿宋" w:eastAsia="仿宋" w:cs="仿宋"/>
                <w:sz w:val="24"/>
                <w:szCs w:val="24"/>
                <w:rtl w:val="0"/>
                <w:lang w:val="en-US" w:eastAsia="zh-CN"/>
              </w:rPr>
              <w:t>▲灯具在总日照时数≥2000h，总降水量≥2000mm环境下连续试验十二个月，散热器未出现开裂、生锈。</w:t>
            </w:r>
            <w:r>
              <w:rPr>
                <w:rFonts w:hint="eastAsia" w:ascii="仿宋" w:hAnsi="仿宋" w:eastAsia="仿宋" w:cs="仿宋"/>
                <w:b/>
                <w:bCs w:val="0"/>
                <w:sz w:val="24"/>
                <w:szCs w:val="24"/>
                <w:lang w:val="en-US" w:eastAsia="zh-CN"/>
              </w:rPr>
              <w:t xml:space="preserve"> </w:t>
            </w:r>
          </w:p>
          <w:p w14:paraId="67ED09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4"/>
                <w:szCs w:val="24"/>
                <w:rtl w:val="0"/>
                <w:lang w:val="zh-TW" w:eastAsia="zh-TW"/>
              </w:rPr>
            </w:pPr>
            <w:r>
              <w:rPr>
                <w:rFonts w:hint="default" w:ascii="仿宋" w:hAnsi="仿宋" w:eastAsia="仿宋" w:cs="仿宋"/>
                <w:kern w:val="2"/>
                <w:sz w:val="24"/>
                <w:szCs w:val="24"/>
                <w:rtl w:val="0"/>
                <w:lang w:val="zh-TW" w:eastAsia="zh-TW" w:bidi="ar-SA"/>
              </w:rPr>
              <w:t>9．</w:t>
            </w:r>
            <w:r>
              <w:rPr>
                <w:rFonts w:hint="eastAsia" w:ascii="仿宋" w:hAnsi="仿宋" w:eastAsia="仿宋" w:cs="仿宋"/>
                <w:sz w:val="24"/>
                <w:szCs w:val="24"/>
                <w:rtl w:val="0"/>
                <w:lang w:val="en-US" w:eastAsia="zh-CN"/>
              </w:rPr>
              <w:t>▲</w:t>
            </w:r>
            <w:r>
              <w:rPr>
                <w:rFonts w:hint="eastAsia" w:ascii="仿宋" w:hAnsi="仿宋" w:eastAsia="仿宋" w:cs="仿宋"/>
                <w:sz w:val="24"/>
                <w:szCs w:val="24"/>
                <w:rtl w:val="0"/>
                <w:lang w:val="zh-TW" w:eastAsia="zh-TW"/>
              </w:rPr>
              <w:t>灯具持续在</w:t>
            </w:r>
            <w:r>
              <w:rPr>
                <w:rFonts w:hint="eastAsia" w:ascii="仿宋" w:hAnsi="仿宋" w:eastAsia="仿宋" w:cs="仿宋"/>
                <w:sz w:val="24"/>
                <w:szCs w:val="24"/>
                <w:rtl w:val="0"/>
                <w:lang w:val="zh-TW" w:eastAsia="zh-CN"/>
              </w:rPr>
              <w:t>平均</w:t>
            </w:r>
            <w:r>
              <w:rPr>
                <w:rFonts w:hint="eastAsia" w:ascii="仿宋" w:hAnsi="仿宋" w:eastAsia="仿宋" w:cs="仿宋"/>
                <w:sz w:val="24"/>
                <w:szCs w:val="24"/>
                <w:rtl w:val="0"/>
                <w:lang w:val="zh-TW" w:eastAsia="zh-TW"/>
              </w:rPr>
              <w:t>温度</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1</w:t>
            </w:r>
            <w:r>
              <w:rPr>
                <w:rFonts w:hint="eastAsia" w:ascii="仿宋" w:hAnsi="仿宋" w:eastAsia="仿宋" w:cs="仿宋"/>
                <w:sz w:val="24"/>
                <w:szCs w:val="24"/>
                <w:rtl w:val="0"/>
                <w:lang w:val="en-US" w:eastAsia="zh-TW"/>
              </w:rPr>
              <w:t>0℃</w:t>
            </w:r>
            <w:r>
              <w:rPr>
                <w:rFonts w:hint="eastAsia" w:ascii="仿宋" w:hAnsi="仿宋" w:eastAsia="仿宋" w:cs="仿宋"/>
                <w:sz w:val="24"/>
                <w:szCs w:val="24"/>
                <w:rtl w:val="0"/>
                <w:lang w:val="zh-TW" w:eastAsia="zh-TW"/>
              </w:rPr>
              <w:t>，平均相对湿度</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50</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zh-TW" w:eastAsia="zh-TW"/>
              </w:rPr>
              <w:t>的自然环境下十二个月内紧固件无生锈，无松动，无脱落</w:t>
            </w:r>
            <w:r>
              <w:rPr>
                <w:rFonts w:hint="eastAsia" w:ascii="仿宋" w:hAnsi="仿宋" w:eastAsia="仿宋" w:cs="仿宋"/>
                <w:sz w:val="24"/>
                <w:szCs w:val="24"/>
                <w:rtl w:val="0"/>
                <w:lang w:val="zh-TW" w:eastAsia="zh-CN"/>
              </w:rPr>
              <w:t>，</w:t>
            </w:r>
            <w:r>
              <w:rPr>
                <w:rFonts w:hint="eastAsia" w:ascii="仿宋" w:hAnsi="仿宋" w:eastAsia="仿宋" w:cs="仿宋"/>
                <w:sz w:val="24"/>
                <w:szCs w:val="24"/>
                <w:rtl w:val="0"/>
                <w:lang w:val="en-US" w:eastAsia="zh-CN"/>
              </w:rPr>
              <w:t>支架无变形。</w:t>
            </w:r>
            <w:r>
              <w:rPr>
                <w:rFonts w:hint="eastAsia" w:ascii="仿宋" w:hAnsi="仿宋" w:eastAsia="仿宋" w:cs="仿宋"/>
                <w:b/>
                <w:bCs w:val="0"/>
                <w:sz w:val="24"/>
                <w:szCs w:val="24"/>
                <w:lang w:val="en-US" w:eastAsia="zh-CN"/>
              </w:rPr>
              <w:t xml:space="preserve"> </w:t>
            </w:r>
          </w:p>
          <w:p w14:paraId="5FE7D8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sz w:val="24"/>
                <w:szCs w:val="24"/>
                <w:rtl w:val="0"/>
                <w:lang w:val="zh-TW" w:eastAsia="zh-TW"/>
              </w:rPr>
              <w:t>灯具经过耐久性试验和热试验、绝缘电阻和电气强度试验、耐热耐火和耐起痕试验</w:t>
            </w:r>
            <w:r>
              <w:rPr>
                <w:rFonts w:hint="eastAsia" w:ascii="仿宋" w:hAnsi="仿宋" w:eastAsia="仿宋" w:cs="仿宋"/>
                <w:sz w:val="24"/>
                <w:szCs w:val="24"/>
                <w:rtl w:val="0"/>
                <w:lang w:val="zh-TW" w:eastAsia="zh-CN"/>
              </w:rPr>
              <w:t>。</w:t>
            </w:r>
          </w:p>
        </w:tc>
        <w:tc>
          <w:tcPr>
            <w:tcW w:w="453" w:type="pct"/>
            <w:vAlign w:val="center"/>
          </w:tcPr>
          <w:p w14:paraId="1A55481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059C4B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44</w:t>
            </w:r>
          </w:p>
        </w:tc>
        <w:tc>
          <w:tcPr>
            <w:tcW w:w="942" w:type="pct"/>
            <w:vAlign w:val="center"/>
          </w:tcPr>
          <w:p w14:paraId="3F9E5F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784860" cy="785495"/>
                  <wp:effectExtent l="0" t="0" r="15240" b="14605"/>
                  <wp:docPr id="3" name="图片 3" descr="微信图片_2023092116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921164020"/>
                          <pic:cNvPicPr>
                            <a:picLocks noChangeAspect="1"/>
                          </pic:cNvPicPr>
                        </pic:nvPicPr>
                        <pic:blipFill>
                          <a:blip r:embed="rId6"/>
                          <a:stretch>
                            <a:fillRect/>
                          </a:stretch>
                        </pic:blipFill>
                        <pic:spPr>
                          <a:xfrm>
                            <a:off x="0" y="0"/>
                            <a:ext cx="784860" cy="785495"/>
                          </a:xfrm>
                          <a:prstGeom prst="rect">
                            <a:avLst/>
                          </a:prstGeom>
                        </pic:spPr>
                      </pic:pic>
                    </a:graphicData>
                  </a:graphic>
                </wp:inline>
              </w:drawing>
            </w:r>
          </w:p>
        </w:tc>
      </w:tr>
      <w:tr w14:paraId="0F9C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442999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82" w:type="pct"/>
            <w:vAlign w:val="center"/>
          </w:tcPr>
          <w:p w14:paraId="023F32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灯杆</w:t>
            </w:r>
          </w:p>
        </w:tc>
        <w:tc>
          <w:tcPr>
            <w:tcW w:w="1905" w:type="pct"/>
            <w:vAlign w:val="center"/>
          </w:tcPr>
          <w:p w14:paraId="57ED24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灯杆高度：25M</w:t>
            </w:r>
          </w:p>
          <w:p w14:paraId="3F2CD2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灯杆规格：</w:t>
            </w:r>
          </w:p>
          <w:p w14:paraId="4B5A11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采用Q235钢材，经模压成型</w:t>
            </w:r>
            <w:r>
              <w:rPr>
                <w:rFonts w:hint="eastAsia" w:ascii="仿宋" w:hAnsi="仿宋" w:eastAsia="仿宋" w:cs="仿宋"/>
                <w:color w:val="auto"/>
                <w:sz w:val="24"/>
                <w:szCs w:val="24"/>
                <w:lang w:eastAsia="zh-CN"/>
              </w:rPr>
              <w:t>；</w:t>
            </w:r>
          </w:p>
          <w:p w14:paraId="6B9F6F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25米爬梯式高杆灯上口径Φ250mm，下口径Φ460mm，三节插入式连接</w:t>
            </w:r>
            <w:r>
              <w:rPr>
                <w:rFonts w:hint="eastAsia" w:ascii="仿宋" w:hAnsi="仿宋" w:eastAsia="仿宋" w:cs="仿宋"/>
                <w:color w:val="auto"/>
                <w:sz w:val="24"/>
                <w:szCs w:val="24"/>
                <w:lang w:eastAsia="zh-CN"/>
              </w:rPr>
              <w:t>；</w:t>
            </w:r>
          </w:p>
          <w:p w14:paraId="61020A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三段壁厚分别为δ6.0mm，δ8.0mm</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δ10.0mm</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第一节9.2米，上口径250mm，下口径338mm，第二节8.8米，上口径318mm，下口径402mm，第三节8.8米，上口径376mm，下口径460mm，经热镀锌防腐处理，再喷塑</w:t>
            </w:r>
            <w:r>
              <w:rPr>
                <w:rFonts w:hint="eastAsia" w:ascii="仿宋" w:hAnsi="仿宋" w:eastAsia="仿宋" w:cs="仿宋"/>
                <w:color w:val="auto"/>
                <w:sz w:val="24"/>
                <w:szCs w:val="24"/>
                <w:lang w:eastAsia="zh-CN"/>
              </w:rPr>
              <w:t>；</w:t>
            </w:r>
          </w:p>
          <w:p w14:paraId="1F969A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灯杆法兰：采用Q235钢材，直径Φ900mm，δ25mm（厚度），经热镀锌防腐处理，再喷塑</w:t>
            </w:r>
            <w:r>
              <w:rPr>
                <w:rFonts w:hint="eastAsia" w:ascii="仿宋" w:hAnsi="仿宋" w:eastAsia="仿宋" w:cs="仿宋"/>
                <w:color w:val="auto"/>
                <w:sz w:val="24"/>
                <w:szCs w:val="24"/>
                <w:lang w:eastAsia="zh-CN"/>
              </w:rPr>
              <w:t>；</w:t>
            </w:r>
          </w:p>
          <w:p w14:paraId="53E523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eastAsia="zh-CN"/>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灯盘：采用Q235钢材，经热镀锌防腐处理，再喷塑</w:t>
            </w:r>
            <w:r>
              <w:rPr>
                <w:rFonts w:hint="eastAsia" w:ascii="仿宋" w:hAnsi="仿宋" w:eastAsia="仿宋" w:cs="仿宋"/>
                <w:color w:val="auto"/>
                <w:sz w:val="24"/>
                <w:szCs w:val="24"/>
                <w:lang w:eastAsia="zh-CN"/>
              </w:rPr>
              <w:t>；</w:t>
            </w:r>
          </w:p>
          <w:p w14:paraId="5117A4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eastAsia="zh-CN"/>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爬梯：采用20*40方管</w:t>
            </w:r>
            <w:r>
              <w:rPr>
                <w:rFonts w:hint="eastAsia" w:ascii="仿宋" w:hAnsi="仿宋" w:eastAsia="仿宋" w:cs="仿宋"/>
                <w:color w:val="auto"/>
                <w:sz w:val="24"/>
                <w:szCs w:val="24"/>
                <w:lang w:eastAsia="zh-CN"/>
              </w:rPr>
              <w:t>；</w:t>
            </w:r>
          </w:p>
          <w:p w14:paraId="5469A4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eastAsia="zh-CN"/>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维修平台：方管制作</w:t>
            </w:r>
            <w:r>
              <w:rPr>
                <w:rFonts w:hint="eastAsia" w:ascii="仿宋" w:hAnsi="仿宋" w:eastAsia="仿宋" w:cs="仿宋"/>
                <w:color w:val="auto"/>
                <w:sz w:val="24"/>
                <w:szCs w:val="24"/>
                <w:lang w:eastAsia="zh-CN"/>
              </w:rPr>
              <w:t>；</w:t>
            </w:r>
          </w:p>
          <w:p w14:paraId="027667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eastAsia="zh-CN"/>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预埋件：12-M36钢筋2.25米下料，含面板900*5.0mm</w:t>
            </w:r>
            <w:r>
              <w:rPr>
                <w:rFonts w:hint="eastAsia" w:ascii="仿宋" w:hAnsi="仿宋" w:eastAsia="仿宋" w:cs="仿宋"/>
                <w:color w:val="auto"/>
                <w:sz w:val="24"/>
                <w:szCs w:val="24"/>
                <w:lang w:eastAsia="zh-CN"/>
              </w:rPr>
              <w:t>。</w:t>
            </w:r>
          </w:p>
        </w:tc>
        <w:tc>
          <w:tcPr>
            <w:tcW w:w="453" w:type="pct"/>
            <w:vAlign w:val="center"/>
          </w:tcPr>
          <w:p w14:paraId="527C68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w:t>
            </w:r>
          </w:p>
        </w:tc>
        <w:tc>
          <w:tcPr>
            <w:tcW w:w="577" w:type="pct"/>
            <w:vAlign w:val="center"/>
          </w:tcPr>
          <w:p w14:paraId="230584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942" w:type="pct"/>
            <w:vAlign w:val="center"/>
          </w:tcPr>
          <w:p w14:paraId="4E7D7D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668655" cy="668655"/>
                  <wp:effectExtent l="0" t="0" r="17145" b="17145"/>
                  <wp:docPr id="2" name="图片 2" descr="微信图片_2025021613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216132227"/>
                          <pic:cNvPicPr>
                            <a:picLocks noChangeAspect="1"/>
                          </pic:cNvPicPr>
                        </pic:nvPicPr>
                        <pic:blipFill>
                          <a:blip r:embed="rId7"/>
                          <a:stretch>
                            <a:fillRect/>
                          </a:stretch>
                        </pic:blipFill>
                        <pic:spPr>
                          <a:xfrm>
                            <a:off x="0" y="0"/>
                            <a:ext cx="668655" cy="668655"/>
                          </a:xfrm>
                          <a:prstGeom prst="rect">
                            <a:avLst/>
                          </a:prstGeom>
                        </pic:spPr>
                      </pic:pic>
                    </a:graphicData>
                  </a:graphic>
                </wp:inline>
              </w:drawing>
            </w:r>
          </w:p>
        </w:tc>
      </w:tr>
      <w:tr w14:paraId="093C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08AEC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82" w:type="pct"/>
            <w:vAlign w:val="center"/>
          </w:tcPr>
          <w:p w14:paraId="351B7A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配电箱</w:t>
            </w:r>
          </w:p>
        </w:tc>
        <w:tc>
          <w:tcPr>
            <w:tcW w:w="1905" w:type="pct"/>
            <w:vAlign w:val="center"/>
          </w:tcPr>
          <w:p w14:paraId="1D5409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lang w:val="en-US" w:eastAsia="zh-CN"/>
              </w:rPr>
              <w:t>名称：室外配电箱</w:t>
            </w:r>
          </w:p>
          <w:p w14:paraId="6FB8B7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7F0B1F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宽*高*深800*1000*250</w:t>
            </w:r>
          </w:p>
          <w:p w14:paraId="4540DD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基础形式、材质、规格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防护等级IP65</w:t>
            </w:r>
          </w:p>
          <w:p w14:paraId="7FB7BB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接线端子材质、规格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详</w:t>
            </w:r>
            <w:r>
              <w:rPr>
                <w:rFonts w:hint="eastAsia" w:ascii="仿宋" w:hAnsi="仿宋" w:eastAsia="仿宋" w:cs="仿宋"/>
                <w:color w:val="auto"/>
                <w:sz w:val="24"/>
                <w:szCs w:val="24"/>
                <w:lang w:val="en-US" w:eastAsia="zh-CN"/>
              </w:rPr>
              <w:t>见</w:t>
            </w:r>
            <w:r>
              <w:rPr>
                <w:rFonts w:hint="eastAsia" w:ascii="仿宋" w:hAnsi="仿宋" w:eastAsia="仿宋" w:cs="仿宋"/>
                <w:color w:val="auto"/>
                <w:sz w:val="24"/>
                <w:szCs w:val="24"/>
              </w:rPr>
              <w:t>设计</w:t>
            </w:r>
          </w:p>
          <w:p w14:paraId="5E7EB4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安装方式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落地安装</w:t>
            </w:r>
          </w:p>
          <w:p w14:paraId="5DD3C4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本体安装</w:t>
            </w:r>
          </w:p>
          <w:p w14:paraId="519F1B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基础型钢制作、安装</w:t>
            </w:r>
          </w:p>
          <w:p w14:paraId="4C3219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焊、压接线端子</w:t>
            </w:r>
          </w:p>
          <w:p w14:paraId="63C432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p w14:paraId="5473B8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11．</w:t>
            </w:r>
            <w:r>
              <w:rPr>
                <w:rFonts w:hint="eastAsia" w:ascii="仿宋" w:hAnsi="仿宋" w:eastAsia="仿宋" w:cs="仿宋"/>
                <w:color w:val="auto"/>
                <w:sz w:val="24"/>
                <w:szCs w:val="24"/>
              </w:rPr>
              <w:t>接地</w:t>
            </w:r>
          </w:p>
        </w:tc>
        <w:tc>
          <w:tcPr>
            <w:tcW w:w="453" w:type="pct"/>
            <w:vAlign w:val="center"/>
          </w:tcPr>
          <w:p w14:paraId="0542004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748A627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784E196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3AC7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1A9F42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82" w:type="pct"/>
            <w:vAlign w:val="center"/>
          </w:tcPr>
          <w:p w14:paraId="2A89A4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灯具固定支架</w:t>
            </w:r>
          </w:p>
        </w:tc>
        <w:tc>
          <w:tcPr>
            <w:tcW w:w="1905" w:type="pct"/>
            <w:vAlign w:val="center"/>
          </w:tcPr>
          <w:p w14:paraId="0AF1FB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灯具固定支架</w:t>
            </w:r>
          </w:p>
          <w:p w14:paraId="041D92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5B31E6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本体安装</w:t>
            </w:r>
          </w:p>
          <w:p w14:paraId="581740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eastAsia="zh-CN"/>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tc>
        <w:tc>
          <w:tcPr>
            <w:tcW w:w="453" w:type="pct"/>
            <w:vAlign w:val="center"/>
          </w:tcPr>
          <w:p w14:paraId="2A28214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66B66AA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44</w:t>
            </w:r>
          </w:p>
        </w:tc>
        <w:tc>
          <w:tcPr>
            <w:tcW w:w="942" w:type="pct"/>
            <w:vAlign w:val="center"/>
          </w:tcPr>
          <w:p w14:paraId="0DADBA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783F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F3509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c>
          <w:tcPr>
            <w:tcW w:w="782" w:type="pct"/>
            <w:vAlign w:val="center"/>
          </w:tcPr>
          <w:p w14:paraId="61000D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电力电缆</w:t>
            </w:r>
          </w:p>
        </w:tc>
        <w:tc>
          <w:tcPr>
            <w:tcW w:w="1905" w:type="pct"/>
            <w:vAlign w:val="center"/>
          </w:tcPr>
          <w:p w14:paraId="39669C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电力电缆</w:t>
            </w:r>
          </w:p>
          <w:p w14:paraId="136FC77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5*6mm2</w:t>
            </w:r>
          </w:p>
          <w:p w14:paraId="40C97E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73B42B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揭</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盖</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盖板</w:t>
            </w:r>
          </w:p>
        </w:tc>
        <w:tc>
          <w:tcPr>
            <w:tcW w:w="453" w:type="pct"/>
            <w:vAlign w:val="center"/>
          </w:tcPr>
          <w:p w14:paraId="079F55E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395F038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900</w:t>
            </w:r>
          </w:p>
        </w:tc>
        <w:tc>
          <w:tcPr>
            <w:tcW w:w="942" w:type="pct"/>
            <w:vAlign w:val="center"/>
          </w:tcPr>
          <w:p w14:paraId="1951679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0860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57FEAE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p>
        </w:tc>
        <w:tc>
          <w:tcPr>
            <w:tcW w:w="782" w:type="pct"/>
            <w:vAlign w:val="center"/>
          </w:tcPr>
          <w:p w14:paraId="7D0E88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电缆套管</w:t>
            </w:r>
          </w:p>
        </w:tc>
        <w:tc>
          <w:tcPr>
            <w:tcW w:w="1905" w:type="pct"/>
            <w:vAlign w:val="center"/>
          </w:tcPr>
          <w:p w14:paraId="425460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PVC50</w:t>
            </w:r>
          </w:p>
          <w:p w14:paraId="4AE536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材质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w:t>
            </w:r>
          </w:p>
          <w:p w14:paraId="60252C9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50</w:t>
            </w:r>
          </w:p>
          <w:p w14:paraId="7FE496D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敷设方式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埋地</w:t>
            </w:r>
          </w:p>
          <w:p w14:paraId="57AE18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电线管路敷设</w:t>
            </w:r>
          </w:p>
          <w:p w14:paraId="48E893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70AFFB1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0A17F9D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900</w:t>
            </w:r>
          </w:p>
        </w:tc>
        <w:tc>
          <w:tcPr>
            <w:tcW w:w="942" w:type="pct"/>
            <w:vAlign w:val="center"/>
          </w:tcPr>
          <w:p w14:paraId="7204AA2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606C1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310EBE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p>
        </w:tc>
        <w:tc>
          <w:tcPr>
            <w:tcW w:w="782" w:type="pct"/>
            <w:vAlign w:val="center"/>
          </w:tcPr>
          <w:p w14:paraId="0DDB0E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电力电缆</w:t>
            </w:r>
          </w:p>
        </w:tc>
        <w:tc>
          <w:tcPr>
            <w:tcW w:w="1905" w:type="pct"/>
            <w:vAlign w:val="center"/>
          </w:tcPr>
          <w:p w14:paraId="471C31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电力电缆</w:t>
            </w:r>
          </w:p>
          <w:p w14:paraId="097792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3*4mm2</w:t>
            </w:r>
          </w:p>
          <w:p w14:paraId="32A8AE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1FAF00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揭</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盖</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盖板</w:t>
            </w:r>
          </w:p>
        </w:tc>
        <w:tc>
          <w:tcPr>
            <w:tcW w:w="453" w:type="pct"/>
            <w:vAlign w:val="center"/>
          </w:tcPr>
          <w:p w14:paraId="693AAEE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552347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360</w:t>
            </w:r>
          </w:p>
        </w:tc>
        <w:tc>
          <w:tcPr>
            <w:tcW w:w="942" w:type="pct"/>
            <w:vAlign w:val="center"/>
          </w:tcPr>
          <w:p w14:paraId="55A794D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4FCF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0B594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8</w:t>
            </w:r>
          </w:p>
        </w:tc>
        <w:tc>
          <w:tcPr>
            <w:tcW w:w="782" w:type="pct"/>
            <w:vAlign w:val="center"/>
          </w:tcPr>
          <w:p w14:paraId="1C13E7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金属软管</w:t>
            </w:r>
          </w:p>
        </w:tc>
        <w:tc>
          <w:tcPr>
            <w:tcW w:w="1905" w:type="pct"/>
            <w:vAlign w:val="center"/>
          </w:tcPr>
          <w:p w14:paraId="3CE355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金属软管</w:t>
            </w:r>
          </w:p>
          <w:p w14:paraId="292674C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Φ20</w:t>
            </w:r>
          </w:p>
          <w:p w14:paraId="792C9A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55CB28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4D187D8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687CD9A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220</w:t>
            </w:r>
          </w:p>
        </w:tc>
        <w:tc>
          <w:tcPr>
            <w:tcW w:w="942" w:type="pct"/>
            <w:vAlign w:val="center"/>
          </w:tcPr>
          <w:p w14:paraId="36E3C0E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41C1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0D2BD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9</w:t>
            </w:r>
          </w:p>
        </w:tc>
        <w:tc>
          <w:tcPr>
            <w:tcW w:w="782" w:type="pct"/>
            <w:vAlign w:val="center"/>
          </w:tcPr>
          <w:p w14:paraId="3B6D60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电缆沟开挖及回填</w:t>
            </w:r>
          </w:p>
        </w:tc>
        <w:tc>
          <w:tcPr>
            <w:tcW w:w="1905" w:type="pct"/>
            <w:vAlign w:val="center"/>
          </w:tcPr>
          <w:p w14:paraId="1D2882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开挖方式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综合考虑</w:t>
            </w:r>
          </w:p>
          <w:p w14:paraId="1CF624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lang w:val="en-US" w:eastAsia="zh-CN"/>
              </w:rPr>
              <w:t>规格尺寸：宽350mm*深700mm</w:t>
            </w:r>
          </w:p>
          <w:p w14:paraId="152009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运输距离</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综合考虑（含密闭运输及渣场费）</w:t>
            </w:r>
          </w:p>
          <w:p w14:paraId="4C57E7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基础、垫层</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材料品种、厚度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C15商品砼100mm厚 </w:t>
            </w:r>
          </w:p>
          <w:p w14:paraId="7DFD72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土（石）方开挖、外运</w:t>
            </w:r>
          </w:p>
          <w:p w14:paraId="14EC0F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模板制作、安装、拆除</w:t>
            </w:r>
          </w:p>
          <w:p w14:paraId="2C294D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基础、垫层铺筑</w:t>
            </w:r>
          </w:p>
          <w:p w14:paraId="53C816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混凝土</w:t>
            </w:r>
            <w:r>
              <w:rPr>
                <w:rFonts w:hint="eastAsia" w:ascii="仿宋" w:hAnsi="仿宋" w:eastAsia="仿宋" w:cs="仿宋"/>
                <w:color w:val="auto"/>
                <w:sz w:val="24"/>
                <w:szCs w:val="24"/>
                <w:lang w:eastAsia="zh-CN"/>
              </w:rPr>
              <w:t>拌和</w:t>
            </w:r>
            <w:r>
              <w:rPr>
                <w:rFonts w:hint="eastAsia" w:ascii="仿宋" w:hAnsi="仿宋" w:eastAsia="仿宋" w:cs="仿宋"/>
                <w:color w:val="auto"/>
                <w:sz w:val="24"/>
                <w:szCs w:val="24"/>
              </w:rPr>
              <w:t>、运输、浇筑</w:t>
            </w:r>
          </w:p>
        </w:tc>
        <w:tc>
          <w:tcPr>
            <w:tcW w:w="453" w:type="pct"/>
            <w:vAlign w:val="center"/>
          </w:tcPr>
          <w:p w14:paraId="5DC0EA4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142AF99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300</w:t>
            </w:r>
          </w:p>
        </w:tc>
        <w:tc>
          <w:tcPr>
            <w:tcW w:w="942" w:type="pct"/>
            <w:vAlign w:val="center"/>
          </w:tcPr>
          <w:p w14:paraId="06F1CE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5BEE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A3A10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782" w:type="pct"/>
            <w:vAlign w:val="center"/>
          </w:tcPr>
          <w:p w14:paraId="0149B0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手孔井制作</w:t>
            </w:r>
          </w:p>
        </w:tc>
        <w:tc>
          <w:tcPr>
            <w:tcW w:w="1905" w:type="pct"/>
            <w:vAlign w:val="center"/>
          </w:tcPr>
          <w:p w14:paraId="422BC0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材料品种</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砖砌检查井 水泥砂浆 </w:t>
            </w:r>
            <w:r>
              <w:rPr>
                <w:rFonts w:hint="eastAsia" w:ascii="仿宋" w:hAnsi="仿宋" w:eastAsia="仿宋" w:cs="仿宋"/>
                <w:color w:val="auto"/>
                <w:sz w:val="24"/>
                <w:szCs w:val="24"/>
                <w:lang w:eastAsia="zh-CN"/>
              </w:rPr>
              <w:t>预拌砂浆</w:t>
            </w:r>
            <w:r>
              <w:rPr>
                <w:rFonts w:hint="eastAsia" w:ascii="仿宋" w:hAnsi="仿宋" w:eastAsia="仿宋" w:cs="仿宋"/>
                <w:color w:val="auto"/>
                <w:sz w:val="24"/>
                <w:szCs w:val="24"/>
              </w:rPr>
              <w:t>M5</w:t>
            </w:r>
          </w:p>
          <w:p w14:paraId="5EE8C2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规格尺寸</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800mm*800mm*900mm</w:t>
            </w:r>
          </w:p>
          <w:p w14:paraId="36A042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盖板材质、规格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钢塑复合盖板</w:t>
            </w:r>
          </w:p>
          <w:p w14:paraId="19514F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基础、垫层：材料品种、厚度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C20混凝土垫层、100mm</w:t>
            </w:r>
          </w:p>
          <w:p w14:paraId="6984FA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基础、垫层铺筑</w:t>
            </w:r>
          </w:p>
          <w:p w14:paraId="3ACEAF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井身砌筑</w:t>
            </w:r>
          </w:p>
          <w:p w14:paraId="4C187D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勾缝</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抹面</w:t>
            </w:r>
            <w:r>
              <w:rPr>
                <w:rFonts w:hint="eastAsia" w:ascii="仿宋" w:hAnsi="仿宋" w:eastAsia="仿宋" w:cs="仿宋"/>
                <w:color w:val="auto"/>
                <w:sz w:val="24"/>
                <w:szCs w:val="24"/>
                <w:lang w:eastAsia="zh-CN"/>
              </w:rPr>
              <w:t>）</w:t>
            </w:r>
          </w:p>
          <w:p w14:paraId="3DF0C3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井盖安装</w:t>
            </w:r>
          </w:p>
        </w:tc>
        <w:tc>
          <w:tcPr>
            <w:tcW w:w="453" w:type="pct"/>
            <w:vAlign w:val="center"/>
          </w:tcPr>
          <w:p w14:paraId="266908A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77" w:type="pct"/>
            <w:vAlign w:val="center"/>
          </w:tcPr>
          <w:p w14:paraId="4B05140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942" w:type="pct"/>
            <w:vAlign w:val="center"/>
          </w:tcPr>
          <w:p w14:paraId="5422DC8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2C8A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4EE62D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782" w:type="pct"/>
            <w:vAlign w:val="center"/>
          </w:tcPr>
          <w:p w14:paraId="672173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25m灯杆基础制作（开挖及回填，钢筋笼制作，混凝土浇灌，基础防雷）</w:t>
            </w:r>
          </w:p>
        </w:tc>
        <w:tc>
          <w:tcPr>
            <w:tcW w:w="1905" w:type="pct"/>
            <w:vAlign w:val="center"/>
          </w:tcPr>
          <w:p w14:paraId="4F192B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lang w:val="en-US" w:eastAsia="zh-CN"/>
              </w:rPr>
              <w:t>基础水泥强度等级满足GB175规范，水泥凝聚满足GB/T14684标准，基础材料配比应符合GB8076要求；</w:t>
            </w:r>
          </w:p>
          <w:p w14:paraId="7E97C4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lang w:val="en-US" w:eastAsia="zh-CN"/>
              </w:rPr>
              <w:t>水泥浇筑用水需符合JGJ63规范，不得使用海水；</w:t>
            </w:r>
          </w:p>
          <w:p w14:paraId="3237E8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lang w:val="en-US" w:eastAsia="zh-CN"/>
              </w:rPr>
              <w:t>基础应内置加强钢筋，材质满足YB/T111标准。</w:t>
            </w:r>
          </w:p>
          <w:p w14:paraId="0B1113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土壤类别</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综合考虑</w:t>
            </w:r>
          </w:p>
          <w:p w14:paraId="1FBD3F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开挖方式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综合考虑</w:t>
            </w:r>
          </w:p>
          <w:p w14:paraId="6769D0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基础浇筑</w:t>
            </w:r>
          </w:p>
          <w:p w14:paraId="6614DE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立灯杆</w:t>
            </w:r>
          </w:p>
          <w:p w14:paraId="2D4CAE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杆座安装</w:t>
            </w:r>
          </w:p>
          <w:p w14:paraId="0B05FF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灯架及灯具附件安装</w:t>
            </w:r>
          </w:p>
          <w:p w14:paraId="358540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color w:val="auto"/>
                <w:sz w:val="24"/>
                <w:szCs w:val="24"/>
              </w:rPr>
              <w:t>焊、压接线端子</w:t>
            </w:r>
          </w:p>
          <w:p w14:paraId="73C8B6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11．</w:t>
            </w:r>
            <w:r>
              <w:rPr>
                <w:rFonts w:hint="eastAsia" w:ascii="仿宋" w:hAnsi="仿宋" w:eastAsia="仿宋" w:cs="仿宋"/>
                <w:color w:val="auto"/>
                <w:sz w:val="24"/>
                <w:szCs w:val="24"/>
              </w:rPr>
              <w:t>铁构件安装</w:t>
            </w:r>
          </w:p>
          <w:p w14:paraId="1F9F90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12．</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p w14:paraId="2E3F70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13．</w:t>
            </w:r>
            <w:r>
              <w:rPr>
                <w:rFonts w:hint="eastAsia" w:ascii="仿宋" w:hAnsi="仿宋" w:eastAsia="仿宋" w:cs="仿宋"/>
                <w:color w:val="auto"/>
                <w:sz w:val="24"/>
                <w:szCs w:val="24"/>
              </w:rPr>
              <w:t>灯杆编号</w:t>
            </w:r>
          </w:p>
          <w:p w14:paraId="3E5F56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14．</w:t>
            </w:r>
            <w:r>
              <w:rPr>
                <w:rFonts w:hint="eastAsia" w:ascii="仿宋" w:hAnsi="仿宋" w:eastAsia="仿宋" w:cs="仿宋"/>
                <w:color w:val="auto"/>
                <w:sz w:val="24"/>
                <w:szCs w:val="24"/>
              </w:rPr>
              <w:t>接地</w:t>
            </w:r>
          </w:p>
        </w:tc>
        <w:tc>
          <w:tcPr>
            <w:tcW w:w="453" w:type="pct"/>
            <w:vAlign w:val="center"/>
          </w:tcPr>
          <w:p w14:paraId="0D36AD1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77" w:type="pct"/>
            <w:vAlign w:val="center"/>
          </w:tcPr>
          <w:p w14:paraId="07527E6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942" w:type="pct"/>
            <w:vAlign w:val="center"/>
          </w:tcPr>
          <w:p w14:paraId="7647D0D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5262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5357FB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782" w:type="pct"/>
            <w:vAlign w:val="center"/>
          </w:tcPr>
          <w:p w14:paraId="1B1503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余土外运</w:t>
            </w:r>
          </w:p>
        </w:tc>
        <w:tc>
          <w:tcPr>
            <w:tcW w:w="1905" w:type="pct"/>
            <w:vAlign w:val="center"/>
          </w:tcPr>
          <w:p w14:paraId="5A107F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废</w:t>
            </w:r>
            <w:r>
              <w:rPr>
                <w:rFonts w:hint="eastAsia" w:ascii="仿宋" w:hAnsi="仿宋" w:eastAsia="仿宋" w:cs="仿宋"/>
                <w:color w:val="auto"/>
                <w:sz w:val="24"/>
                <w:szCs w:val="24"/>
                <w:lang w:eastAsia="zh-CN"/>
              </w:rPr>
              <w:t>弃材</w:t>
            </w:r>
            <w:r>
              <w:rPr>
                <w:rFonts w:hint="eastAsia" w:ascii="仿宋" w:hAnsi="仿宋" w:eastAsia="仿宋" w:cs="仿宋"/>
                <w:color w:val="auto"/>
                <w:sz w:val="24"/>
                <w:szCs w:val="24"/>
              </w:rPr>
              <w:t>料品种</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综合考虑</w:t>
            </w:r>
          </w:p>
          <w:p w14:paraId="0CEBD3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运距</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综合考虑</w:t>
            </w:r>
          </w:p>
          <w:p w14:paraId="43AC26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余方点装料运输至弃置点</w:t>
            </w:r>
          </w:p>
        </w:tc>
        <w:tc>
          <w:tcPr>
            <w:tcW w:w="453" w:type="pct"/>
            <w:vAlign w:val="center"/>
          </w:tcPr>
          <w:p w14:paraId="318B826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vAlign w:val="center"/>
          </w:tcPr>
          <w:p w14:paraId="1EC9E7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67BBE63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689D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42" w:type="pct"/>
          <w:trHeight w:val="0" w:hRule="atLeast"/>
        </w:trPr>
        <w:tc>
          <w:tcPr>
            <w:tcW w:w="4057" w:type="pct"/>
            <w:gridSpan w:val="5"/>
            <w:vAlign w:val="center"/>
          </w:tcPr>
          <w:p w14:paraId="2756A31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智能调光系统</w:t>
            </w:r>
          </w:p>
        </w:tc>
      </w:tr>
      <w:tr w14:paraId="77F4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F2C72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782" w:type="pct"/>
            <w:vAlign w:val="center"/>
          </w:tcPr>
          <w:p w14:paraId="534EA5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智能控制系统</w:t>
            </w:r>
          </w:p>
        </w:tc>
        <w:tc>
          <w:tcPr>
            <w:tcW w:w="1905" w:type="pct"/>
            <w:vAlign w:val="center"/>
          </w:tcPr>
          <w:p w14:paraId="7F963E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触摸屏12寸</w:t>
            </w:r>
          </w:p>
          <w:p w14:paraId="0CC0ED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lang w:val="en-US" w:eastAsia="zh-CN"/>
              </w:rPr>
              <w:t>四</w:t>
            </w:r>
            <w:r>
              <w:rPr>
                <w:rFonts w:hint="eastAsia" w:ascii="仿宋" w:hAnsi="仿宋" w:eastAsia="仿宋" w:cs="仿宋"/>
                <w:color w:val="auto"/>
                <w:sz w:val="24"/>
                <w:szCs w:val="24"/>
              </w:rPr>
              <w:t>路485集线器</w:t>
            </w:r>
          </w:p>
          <w:p w14:paraId="47AE6A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智能开关模块6路20A</w:t>
            </w:r>
          </w:p>
          <w:p w14:paraId="2C1876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0-10v调光模块6路</w:t>
            </w:r>
          </w:p>
          <w:p w14:paraId="25613C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调光模块箱TG</w:t>
            </w:r>
          </w:p>
          <w:p w14:paraId="170907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光电转换收发器</w:t>
            </w:r>
          </w:p>
          <w:p w14:paraId="580D9C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3P 40A接触器</w:t>
            </w:r>
          </w:p>
          <w:p w14:paraId="7CBB44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modbus网关</w:t>
            </w:r>
          </w:p>
          <w:p w14:paraId="1CEE9E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多主机共享器</w:t>
            </w:r>
          </w:p>
          <w:p w14:paraId="05271F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color w:val="auto"/>
                <w:sz w:val="24"/>
                <w:szCs w:val="24"/>
              </w:rPr>
              <w:t>12V开关电源</w:t>
            </w:r>
          </w:p>
          <w:p w14:paraId="427F11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11．</w:t>
            </w:r>
            <w:r>
              <w:rPr>
                <w:rFonts w:hint="eastAsia" w:ascii="仿宋" w:hAnsi="仿宋" w:eastAsia="仿宋" w:cs="仿宋"/>
                <w:color w:val="auto"/>
                <w:sz w:val="24"/>
                <w:szCs w:val="24"/>
              </w:rPr>
              <w:t>主控箱（含1个2P 16A开关）</w:t>
            </w:r>
          </w:p>
          <w:p w14:paraId="58A6C9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12．</w:t>
            </w:r>
            <w:r>
              <w:rPr>
                <w:rFonts w:hint="eastAsia" w:ascii="仿宋" w:hAnsi="仿宋" w:eastAsia="仿宋" w:cs="仿宋"/>
                <w:color w:val="auto"/>
                <w:sz w:val="24"/>
                <w:szCs w:val="24"/>
              </w:rPr>
              <w:t>云控系统</w:t>
            </w:r>
          </w:p>
          <w:p w14:paraId="2E713A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13．</w:t>
            </w:r>
            <w:r>
              <w:rPr>
                <w:rFonts w:hint="eastAsia" w:ascii="仿宋" w:hAnsi="仿宋" w:eastAsia="仿宋" w:cs="仿宋"/>
                <w:color w:val="auto"/>
                <w:sz w:val="24"/>
                <w:szCs w:val="24"/>
                <w:lang w:val="en-US" w:eastAsia="zh-CN"/>
              </w:rPr>
              <w:t>安装并调试</w:t>
            </w:r>
          </w:p>
        </w:tc>
        <w:tc>
          <w:tcPr>
            <w:tcW w:w="453" w:type="pct"/>
            <w:vAlign w:val="center"/>
          </w:tcPr>
          <w:p w14:paraId="22C677C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637CD5B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61CBB9D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12A4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96584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4</w:t>
            </w:r>
          </w:p>
        </w:tc>
        <w:tc>
          <w:tcPr>
            <w:tcW w:w="782" w:type="pct"/>
            <w:vAlign w:val="center"/>
          </w:tcPr>
          <w:p w14:paraId="31EEE6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传输光缆</w:t>
            </w:r>
          </w:p>
        </w:tc>
        <w:tc>
          <w:tcPr>
            <w:tcW w:w="1905" w:type="pct"/>
            <w:vAlign w:val="center"/>
          </w:tcPr>
          <w:p w14:paraId="3F6E0F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val="en-US" w:eastAsia="zh-CN"/>
              </w:rPr>
              <w:t>传输光缆</w:t>
            </w:r>
            <w:r>
              <w:rPr>
                <w:rFonts w:hint="eastAsia" w:ascii="仿宋" w:hAnsi="仿宋" w:eastAsia="仿宋" w:cs="仿宋"/>
                <w:color w:val="auto"/>
                <w:sz w:val="24"/>
                <w:szCs w:val="24"/>
              </w:rPr>
              <w:t>（4芯）</w:t>
            </w:r>
          </w:p>
          <w:p w14:paraId="5D97E5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敷设方式：综合考虑</w:t>
            </w:r>
          </w:p>
        </w:tc>
        <w:tc>
          <w:tcPr>
            <w:tcW w:w="453" w:type="pct"/>
            <w:vAlign w:val="center"/>
          </w:tcPr>
          <w:p w14:paraId="56D8AA0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7DCEE4E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960</w:t>
            </w:r>
          </w:p>
        </w:tc>
        <w:tc>
          <w:tcPr>
            <w:tcW w:w="942" w:type="pct"/>
            <w:vAlign w:val="center"/>
          </w:tcPr>
          <w:p w14:paraId="4C3913F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7859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5566B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p>
        </w:tc>
        <w:tc>
          <w:tcPr>
            <w:tcW w:w="782" w:type="pct"/>
            <w:vAlign w:val="center"/>
          </w:tcPr>
          <w:p w14:paraId="71B2C4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0-10V调光线</w:t>
            </w:r>
          </w:p>
        </w:tc>
        <w:tc>
          <w:tcPr>
            <w:tcW w:w="1905" w:type="pct"/>
            <w:vAlign w:val="center"/>
          </w:tcPr>
          <w:p w14:paraId="36B2D6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0-10V调光线</w:t>
            </w:r>
          </w:p>
          <w:p w14:paraId="39C9B6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lang w:val="en-US" w:eastAsia="zh-CN"/>
              </w:rPr>
              <w:t>规格：</w:t>
            </w:r>
            <w:r>
              <w:rPr>
                <w:rFonts w:hint="eastAsia" w:ascii="仿宋" w:hAnsi="仿宋" w:eastAsia="仿宋" w:cs="仿宋"/>
                <w:color w:val="auto"/>
                <w:sz w:val="24"/>
                <w:szCs w:val="24"/>
              </w:rPr>
              <w:t>2*1mm2</w:t>
            </w:r>
          </w:p>
          <w:p w14:paraId="1AED60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lang w:val="en-US" w:eastAsia="zh-CN"/>
              </w:rPr>
              <w:t>线缆</w:t>
            </w:r>
            <w:r>
              <w:rPr>
                <w:rFonts w:hint="eastAsia" w:ascii="仿宋" w:hAnsi="仿宋" w:eastAsia="仿宋" w:cs="仿宋"/>
                <w:color w:val="auto"/>
                <w:sz w:val="24"/>
                <w:szCs w:val="24"/>
              </w:rPr>
              <w:t>敷设</w:t>
            </w:r>
          </w:p>
        </w:tc>
        <w:tc>
          <w:tcPr>
            <w:tcW w:w="453" w:type="pct"/>
            <w:vAlign w:val="center"/>
          </w:tcPr>
          <w:p w14:paraId="3843728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347F562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600</w:t>
            </w:r>
          </w:p>
        </w:tc>
        <w:tc>
          <w:tcPr>
            <w:tcW w:w="942" w:type="pct"/>
            <w:vAlign w:val="center"/>
          </w:tcPr>
          <w:p w14:paraId="3F9D115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5950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8BC0E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782" w:type="pct"/>
            <w:vAlign w:val="center"/>
          </w:tcPr>
          <w:p w14:paraId="0A4623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485总线（智控线）</w:t>
            </w:r>
          </w:p>
        </w:tc>
        <w:tc>
          <w:tcPr>
            <w:tcW w:w="1905" w:type="pct"/>
            <w:vAlign w:val="center"/>
          </w:tcPr>
          <w:p w14:paraId="4B079B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485总线（智控线）</w:t>
            </w:r>
          </w:p>
          <w:p w14:paraId="22A058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lang w:val="en-US" w:eastAsia="zh-CN"/>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2*1.0mm2</w:t>
            </w:r>
          </w:p>
          <w:p w14:paraId="124A40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lang w:val="en-US" w:eastAsia="zh-CN"/>
              </w:rPr>
              <w:t>线缆</w:t>
            </w:r>
            <w:r>
              <w:rPr>
                <w:rFonts w:hint="eastAsia" w:ascii="仿宋" w:hAnsi="仿宋" w:eastAsia="仿宋" w:cs="仿宋"/>
                <w:color w:val="auto"/>
                <w:sz w:val="24"/>
                <w:szCs w:val="24"/>
              </w:rPr>
              <w:t>敷设</w:t>
            </w:r>
          </w:p>
          <w:p w14:paraId="38666E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他未作详尽描述的均满足设计施工验收规范要求</w:t>
            </w:r>
          </w:p>
        </w:tc>
        <w:tc>
          <w:tcPr>
            <w:tcW w:w="453" w:type="pct"/>
            <w:vAlign w:val="center"/>
          </w:tcPr>
          <w:p w14:paraId="2A16D7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2A93A87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250</w:t>
            </w:r>
          </w:p>
        </w:tc>
        <w:tc>
          <w:tcPr>
            <w:tcW w:w="942" w:type="pct"/>
            <w:vAlign w:val="center"/>
          </w:tcPr>
          <w:p w14:paraId="7112510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583C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7C7C1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782" w:type="pct"/>
            <w:vAlign w:val="center"/>
          </w:tcPr>
          <w:p w14:paraId="0C5774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电缆套管</w:t>
            </w:r>
          </w:p>
        </w:tc>
        <w:tc>
          <w:tcPr>
            <w:tcW w:w="1905" w:type="pct"/>
            <w:vAlign w:val="center"/>
          </w:tcPr>
          <w:p w14:paraId="50053DD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电缆套管</w:t>
            </w:r>
          </w:p>
          <w:p w14:paraId="15B2A3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PVC20</w:t>
            </w:r>
          </w:p>
          <w:p w14:paraId="7F494D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327486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27B75CC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3541706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1200</w:t>
            </w:r>
          </w:p>
        </w:tc>
        <w:tc>
          <w:tcPr>
            <w:tcW w:w="942" w:type="pct"/>
            <w:vAlign w:val="center"/>
          </w:tcPr>
          <w:p w14:paraId="7BFA1B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327B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14CB7E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782" w:type="pct"/>
            <w:vAlign w:val="center"/>
          </w:tcPr>
          <w:p w14:paraId="7CC1A0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电缆套管</w:t>
            </w:r>
          </w:p>
        </w:tc>
        <w:tc>
          <w:tcPr>
            <w:tcW w:w="1905" w:type="pct"/>
            <w:vAlign w:val="center"/>
          </w:tcPr>
          <w:p w14:paraId="106301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电缆套管</w:t>
            </w:r>
          </w:p>
          <w:p w14:paraId="7D562B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0</w:t>
            </w:r>
          </w:p>
          <w:p w14:paraId="63CC4A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44364A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51623BF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2C7B2A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120</w:t>
            </w:r>
          </w:p>
        </w:tc>
        <w:tc>
          <w:tcPr>
            <w:tcW w:w="942" w:type="pct"/>
            <w:vAlign w:val="center"/>
          </w:tcPr>
          <w:p w14:paraId="6B2DB12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5ECB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tcBorders>
              <w:bottom w:val="single" w:color="auto" w:sz="4" w:space="0"/>
            </w:tcBorders>
            <w:vAlign w:val="center"/>
          </w:tcPr>
          <w:p w14:paraId="2C0178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w:t>
            </w:r>
          </w:p>
        </w:tc>
        <w:tc>
          <w:tcPr>
            <w:tcW w:w="782" w:type="pct"/>
            <w:tcBorders>
              <w:bottom w:val="single" w:color="auto" w:sz="4" w:space="0"/>
            </w:tcBorders>
            <w:vAlign w:val="center"/>
          </w:tcPr>
          <w:p w14:paraId="244858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施工费用</w:t>
            </w:r>
          </w:p>
        </w:tc>
        <w:tc>
          <w:tcPr>
            <w:tcW w:w="1905" w:type="pct"/>
            <w:tcBorders>
              <w:bottom w:val="single" w:color="auto" w:sz="4" w:space="0"/>
            </w:tcBorders>
            <w:vAlign w:val="center"/>
          </w:tcPr>
          <w:p w14:paraId="090F38C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综合考虑</w:t>
            </w:r>
          </w:p>
        </w:tc>
        <w:tc>
          <w:tcPr>
            <w:tcW w:w="453" w:type="pct"/>
            <w:tcBorders>
              <w:bottom w:val="single" w:color="auto" w:sz="4" w:space="0"/>
            </w:tcBorders>
            <w:vAlign w:val="center"/>
          </w:tcPr>
          <w:p w14:paraId="717A3F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tcBorders>
              <w:bottom w:val="single" w:color="auto" w:sz="4" w:space="0"/>
            </w:tcBorders>
            <w:vAlign w:val="center"/>
          </w:tcPr>
          <w:p w14:paraId="0311806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24963E9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3F58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42" w:type="pct"/>
          <w:trHeight w:val="0" w:hRule="atLeast"/>
        </w:trPr>
        <w:tc>
          <w:tcPr>
            <w:tcW w:w="4057" w:type="pct"/>
            <w:gridSpan w:val="5"/>
            <w:tcBorders>
              <w:top w:val="single" w:color="auto" w:sz="4" w:space="0"/>
              <w:bottom w:val="single" w:color="auto" w:sz="4" w:space="0"/>
            </w:tcBorders>
            <w:vAlign w:val="center"/>
          </w:tcPr>
          <w:p w14:paraId="1BA1EBA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二、户外8片篮球场</w:t>
            </w:r>
          </w:p>
        </w:tc>
      </w:tr>
      <w:tr w14:paraId="6C92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tcBorders>
              <w:top w:val="single" w:color="auto" w:sz="4" w:space="0"/>
            </w:tcBorders>
            <w:vAlign w:val="center"/>
          </w:tcPr>
          <w:p w14:paraId="09462F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782" w:type="pct"/>
            <w:tcBorders>
              <w:top w:val="single" w:color="auto" w:sz="4" w:space="0"/>
            </w:tcBorders>
            <w:vAlign w:val="center"/>
          </w:tcPr>
          <w:p w14:paraId="4F73D3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项目内容</w:t>
            </w:r>
          </w:p>
        </w:tc>
        <w:tc>
          <w:tcPr>
            <w:tcW w:w="1905" w:type="pct"/>
            <w:tcBorders>
              <w:top w:val="single" w:color="auto" w:sz="4" w:space="0"/>
            </w:tcBorders>
            <w:vAlign w:val="center"/>
          </w:tcPr>
          <w:p w14:paraId="6FDBB6B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参数</w:t>
            </w:r>
          </w:p>
        </w:tc>
        <w:tc>
          <w:tcPr>
            <w:tcW w:w="453" w:type="pct"/>
            <w:tcBorders>
              <w:top w:val="single" w:color="auto" w:sz="4" w:space="0"/>
            </w:tcBorders>
            <w:vAlign w:val="center"/>
          </w:tcPr>
          <w:p w14:paraId="6B2528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单位</w:t>
            </w:r>
          </w:p>
        </w:tc>
        <w:tc>
          <w:tcPr>
            <w:tcW w:w="577" w:type="pct"/>
            <w:tcBorders>
              <w:top w:val="single" w:color="auto" w:sz="4" w:space="0"/>
            </w:tcBorders>
            <w:vAlign w:val="center"/>
          </w:tcPr>
          <w:p w14:paraId="6D1E30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数量</w:t>
            </w:r>
          </w:p>
        </w:tc>
        <w:tc>
          <w:tcPr>
            <w:tcW w:w="942" w:type="pct"/>
            <w:vAlign w:val="center"/>
          </w:tcPr>
          <w:p w14:paraId="7311C7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参考图片</w:t>
            </w:r>
          </w:p>
          <w:p w14:paraId="7C11DA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（如有则提供）</w:t>
            </w:r>
          </w:p>
        </w:tc>
      </w:tr>
      <w:tr w14:paraId="0C92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80506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2" w:type="pct"/>
            <w:vAlign w:val="center"/>
          </w:tcPr>
          <w:p w14:paraId="62F917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户外8片篮球场</w:t>
            </w:r>
          </w:p>
          <w:p w14:paraId="617185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（LED球场灯200W）</w:t>
            </w:r>
          </w:p>
          <w:p w14:paraId="79638F0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c>
          <w:tcPr>
            <w:tcW w:w="1905" w:type="pct"/>
            <w:vAlign w:val="center"/>
          </w:tcPr>
          <w:p w14:paraId="35781EC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篮球</w:t>
            </w:r>
            <w:r>
              <w:rPr>
                <w:rFonts w:hint="eastAsia" w:ascii="仿宋" w:hAnsi="仿宋" w:eastAsia="仿宋" w:cs="仿宋"/>
                <w:color w:val="auto"/>
                <w:sz w:val="24"/>
                <w:szCs w:val="24"/>
              </w:rPr>
              <w:t>场照明按照JGJ153-2016 《体育场馆照明设计及检测标准》要求，球场照明指标需达到</w:t>
            </w:r>
            <w:r>
              <w:rPr>
                <w:rFonts w:hint="eastAsia" w:ascii="仿宋" w:hAnsi="仿宋" w:eastAsia="仿宋" w:cs="仿宋"/>
                <w:color w:val="auto"/>
                <w:sz w:val="24"/>
                <w:szCs w:val="24"/>
                <w:lang w:val="en-US" w:eastAsia="zh-CN"/>
              </w:rPr>
              <w:t>Ⅰ</w:t>
            </w:r>
            <w:r>
              <w:rPr>
                <w:rFonts w:hint="eastAsia" w:ascii="仿宋" w:hAnsi="仿宋" w:eastAsia="仿宋" w:cs="仿宋"/>
                <w:color w:val="auto"/>
                <w:sz w:val="24"/>
                <w:szCs w:val="24"/>
              </w:rPr>
              <w:t>级标准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水平平均照度Eh≥300lux，均匀度U2≥0.</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，显色指数Ra≥80，眩光值GR≤55。</w:t>
            </w:r>
          </w:p>
          <w:p w14:paraId="727604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额定功率：200W</w:t>
            </w:r>
          </w:p>
          <w:p w14:paraId="0C4D91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灯珠型号和数量：3030-150</w:t>
            </w:r>
          </w:p>
          <w:p w14:paraId="19ABC2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允许工作电压范围：AC 198-242V</w:t>
            </w:r>
          </w:p>
          <w:p w14:paraId="6ADC15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灯具效率≥90%</w:t>
            </w:r>
          </w:p>
          <w:p w14:paraId="187B61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功率因数PF≥0.99</w:t>
            </w:r>
          </w:p>
          <w:p w14:paraId="40ED5B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总谐波≤15%</w:t>
            </w:r>
          </w:p>
          <w:p w14:paraId="5AEDEC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电气强度：1500V</w:t>
            </w:r>
          </w:p>
          <w:p w14:paraId="2C52B7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发光角度（°）：49*92</w:t>
            </w:r>
          </w:p>
          <w:p w14:paraId="39EFB8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显色指数Ra≥80/70</w:t>
            </w:r>
          </w:p>
          <w:p w14:paraId="7D432E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color w:val="auto"/>
                <w:sz w:val="24"/>
                <w:szCs w:val="24"/>
              </w:rPr>
              <w:t>色 温：5700K-6500K</w:t>
            </w:r>
          </w:p>
          <w:p w14:paraId="56DB64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11．</w:t>
            </w:r>
            <w:r>
              <w:rPr>
                <w:rFonts w:hint="eastAsia" w:ascii="仿宋" w:hAnsi="仿宋" w:eastAsia="仿宋" w:cs="仿宋"/>
                <w:color w:val="auto"/>
                <w:sz w:val="24"/>
                <w:szCs w:val="24"/>
              </w:rPr>
              <w:t>整灯光效：100-110 lm /W</w:t>
            </w:r>
          </w:p>
          <w:p w14:paraId="5922D0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12．</w:t>
            </w:r>
            <w:r>
              <w:rPr>
                <w:rFonts w:hint="eastAsia" w:ascii="仿宋" w:hAnsi="仿宋" w:eastAsia="仿宋" w:cs="仿宋"/>
                <w:color w:val="auto"/>
                <w:sz w:val="24"/>
                <w:szCs w:val="24"/>
              </w:rPr>
              <w:t>工作环境温度：-40~45° C</w:t>
            </w:r>
          </w:p>
          <w:p w14:paraId="523FE4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13．</w:t>
            </w:r>
            <w:r>
              <w:rPr>
                <w:rFonts w:hint="eastAsia" w:ascii="仿宋" w:hAnsi="仿宋" w:eastAsia="仿宋" w:cs="仿宋"/>
                <w:color w:val="auto"/>
                <w:sz w:val="24"/>
                <w:szCs w:val="24"/>
              </w:rPr>
              <w:t xml:space="preserve">预期寿命：30000 小时 </w:t>
            </w:r>
          </w:p>
          <w:p w14:paraId="309BD6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14．</w:t>
            </w:r>
            <w:r>
              <w:rPr>
                <w:rFonts w:hint="eastAsia" w:ascii="仿宋" w:hAnsi="仿宋" w:eastAsia="仿宋" w:cs="仿宋"/>
                <w:color w:val="auto"/>
                <w:sz w:val="24"/>
                <w:szCs w:val="24"/>
              </w:rPr>
              <w:t>防雷等级</w:t>
            </w:r>
            <w:r>
              <w:rPr>
                <w:rFonts w:hint="eastAsia" w:ascii="仿宋" w:hAnsi="仿宋" w:eastAsia="仿宋" w:cs="仿宋"/>
                <w:color w:val="auto"/>
                <w:sz w:val="24"/>
                <w:szCs w:val="24"/>
              </w:rPr>
              <w:tab/>
            </w:r>
            <w:r>
              <w:rPr>
                <w:rFonts w:hint="eastAsia" w:ascii="仿宋" w:hAnsi="仿宋" w:eastAsia="仿宋" w:cs="仿宋"/>
                <w:color w:val="auto"/>
                <w:sz w:val="24"/>
                <w:szCs w:val="24"/>
              </w:rPr>
              <w:t>≥10KV</w:t>
            </w:r>
          </w:p>
          <w:p w14:paraId="054D69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15．</w:t>
            </w:r>
            <w:r>
              <w:rPr>
                <w:rFonts w:hint="eastAsia" w:ascii="仿宋" w:hAnsi="仿宋" w:eastAsia="仿宋" w:cs="仿宋"/>
                <w:color w:val="auto"/>
                <w:sz w:val="24"/>
                <w:szCs w:val="24"/>
              </w:rPr>
              <w:t>防护等级</w:t>
            </w:r>
            <w:r>
              <w:rPr>
                <w:rFonts w:hint="eastAsia" w:ascii="仿宋" w:hAnsi="仿宋" w:eastAsia="仿宋" w:cs="仿宋"/>
                <w:color w:val="auto"/>
                <w:sz w:val="24"/>
                <w:szCs w:val="24"/>
              </w:rPr>
              <w:tab/>
            </w:r>
            <w:r>
              <w:rPr>
                <w:rFonts w:hint="eastAsia" w:ascii="仿宋" w:hAnsi="仿宋" w:eastAsia="仿宋" w:cs="仿宋"/>
                <w:color w:val="auto"/>
                <w:sz w:val="24"/>
                <w:szCs w:val="24"/>
              </w:rPr>
              <w:t>：IP</w:t>
            </w:r>
            <w:r>
              <w:rPr>
                <w:rFonts w:hint="eastAsia" w:ascii="仿宋" w:hAnsi="仿宋" w:eastAsia="仿宋" w:cs="仿宋"/>
                <w:color w:val="auto"/>
                <w:sz w:val="24"/>
                <w:szCs w:val="24"/>
                <w:lang w:val="en-US" w:eastAsia="zh-CN"/>
              </w:rPr>
              <w:t>66</w:t>
            </w:r>
          </w:p>
          <w:p w14:paraId="7AAFDA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16．</w:t>
            </w:r>
            <w:r>
              <w:rPr>
                <w:rFonts w:hint="eastAsia" w:ascii="仿宋" w:hAnsi="仿宋" w:eastAsia="仿宋" w:cs="仿宋"/>
                <w:color w:val="auto"/>
                <w:sz w:val="24"/>
                <w:szCs w:val="24"/>
              </w:rPr>
              <w:t>产品净重</w:t>
            </w:r>
            <w:r>
              <w:rPr>
                <w:rFonts w:hint="eastAsia" w:ascii="仿宋" w:hAnsi="仿宋" w:eastAsia="仿宋" w:cs="仿宋"/>
                <w:color w:val="auto"/>
                <w:sz w:val="24"/>
                <w:szCs w:val="24"/>
              </w:rPr>
              <w:tab/>
            </w:r>
            <w:r>
              <w:rPr>
                <w:rFonts w:hint="eastAsia" w:ascii="仿宋" w:hAnsi="仿宋" w:eastAsia="仿宋" w:cs="仿宋"/>
                <w:color w:val="auto"/>
                <w:sz w:val="24"/>
                <w:szCs w:val="24"/>
              </w:rPr>
              <w:t>：≥4.</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 xml:space="preserve"> kg</w:t>
            </w:r>
          </w:p>
        </w:tc>
        <w:tc>
          <w:tcPr>
            <w:tcW w:w="453" w:type="pct"/>
            <w:vAlign w:val="center"/>
          </w:tcPr>
          <w:p w14:paraId="0D177B1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0CD5479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48</w:t>
            </w:r>
          </w:p>
        </w:tc>
        <w:tc>
          <w:tcPr>
            <w:tcW w:w="942" w:type="pct"/>
            <w:vAlign w:val="center"/>
          </w:tcPr>
          <w:p w14:paraId="2C21E37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773430" cy="605790"/>
                  <wp:effectExtent l="0" t="0" r="7620" b="3810"/>
                  <wp:docPr id="53" name="图片 53" descr="微信图片_2025021323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50213231219"/>
                          <pic:cNvPicPr>
                            <a:picLocks noChangeAspect="1"/>
                          </pic:cNvPicPr>
                        </pic:nvPicPr>
                        <pic:blipFill>
                          <a:blip r:embed="rId8"/>
                          <a:stretch>
                            <a:fillRect/>
                          </a:stretch>
                        </pic:blipFill>
                        <pic:spPr>
                          <a:xfrm>
                            <a:off x="0" y="0"/>
                            <a:ext cx="773430" cy="605790"/>
                          </a:xfrm>
                          <a:prstGeom prst="rect">
                            <a:avLst/>
                          </a:prstGeom>
                        </pic:spPr>
                      </pic:pic>
                    </a:graphicData>
                  </a:graphic>
                </wp:inline>
              </w:drawing>
            </w:r>
          </w:p>
        </w:tc>
      </w:tr>
      <w:tr w14:paraId="1729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6BECB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782" w:type="pct"/>
            <w:vAlign w:val="center"/>
          </w:tcPr>
          <w:p w14:paraId="4F112D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配电箱</w:t>
            </w:r>
          </w:p>
        </w:tc>
        <w:tc>
          <w:tcPr>
            <w:tcW w:w="1905" w:type="pct"/>
            <w:vAlign w:val="center"/>
          </w:tcPr>
          <w:p w14:paraId="25C5D3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室外配电箱</w:t>
            </w:r>
          </w:p>
          <w:p w14:paraId="25EE77B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51F70B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基础形式、材质、规格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防护等级IP65</w:t>
            </w:r>
          </w:p>
          <w:p w14:paraId="22E3CE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接线端子材质、规格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详</w:t>
            </w:r>
            <w:r>
              <w:rPr>
                <w:rFonts w:hint="eastAsia" w:ascii="仿宋" w:hAnsi="仿宋" w:eastAsia="仿宋" w:cs="仿宋"/>
                <w:color w:val="auto"/>
                <w:sz w:val="24"/>
                <w:szCs w:val="24"/>
                <w:lang w:val="en-US" w:eastAsia="zh-CN"/>
              </w:rPr>
              <w:t>见</w:t>
            </w:r>
            <w:r>
              <w:rPr>
                <w:rFonts w:hint="eastAsia" w:ascii="仿宋" w:hAnsi="仿宋" w:eastAsia="仿宋" w:cs="仿宋"/>
                <w:color w:val="auto"/>
                <w:sz w:val="24"/>
                <w:szCs w:val="24"/>
              </w:rPr>
              <w:t>设计</w:t>
            </w:r>
          </w:p>
          <w:p w14:paraId="02E1C4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本体安装</w:t>
            </w:r>
          </w:p>
          <w:p w14:paraId="4B5B24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基础型钢制作、安装</w:t>
            </w:r>
          </w:p>
          <w:p w14:paraId="388FB0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焊、压接线端子</w:t>
            </w:r>
          </w:p>
          <w:p w14:paraId="4CDB23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p w14:paraId="69B4CC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接地</w:t>
            </w:r>
          </w:p>
        </w:tc>
        <w:tc>
          <w:tcPr>
            <w:tcW w:w="453" w:type="pct"/>
            <w:vAlign w:val="center"/>
          </w:tcPr>
          <w:p w14:paraId="1A6E12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3588033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5BFE9DA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6215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57C0D5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p>
        </w:tc>
        <w:tc>
          <w:tcPr>
            <w:tcW w:w="782" w:type="pct"/>
            <w:vAlign w:val="center"/>
          </w:tcPr>
          <w:p w14:paraId="6BE444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电力电缆</w:t>
            </w:r>
          </w:p>
        </w:tc>
        <w:tc>
          <w:tcPr>
            <w:tcW w:w="1905" w:type="pct"/>
            <w:vAlign w:val="center"/>
          </w:tcPr>
          <w:p w14:paraId="32826B9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电力电缆</w:t>
            </w:r>
          </w:p>
          <w:p w14:paraId="4815A0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3*4mm2</w:t>
            </w:r>
          </w:p>
          <w:p w14:paraId="20B7D5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160707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揭</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盖</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盖板</w:t>
            </w:r>
          </w:p>
        </w:tc>
        <w:tc>
          <w:tcPr>
            <w:tcW w:w="453" w:type="pct"/>
            <w:vAlign w:val="center"/>
          </w:tcPr>
          <w:p w14:paraId="5545CD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0D3562C3">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1920</w:t>
            </w:r>
          </w:p>
        </w:tc>
        <w:tc>
          <w:tcPr>
            <w:tcW w:w="942" w:type="pct"/>
            <w:vAlign w:val="center"/>
          </w:tcPr>
          <w:p w14:paraId="5177CDE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134E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53962E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p>
        </w:tc>
        <w:tc>
          <w:tcPr>
            <w:tcW w:w="782" w:type="pct"/>
            <w:vAlign w:val="center"/>
          </w:tcPr>
          <w:p w14:paraId="72C869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电缆套管</w:t>
            </w:r>
          </w:p>
        </w:tc>
        <w:tc>
          <w:tcPr>
            <w:tcW w:w="1905" w:type="pct"/>
            <w:vAlign w:val="center"/>
          </w:tcPr>
          <w:p w14:paraId="6115C7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w:t>
            </w:r>
            <w:r>
              <w:rPr>
                <w:rFonts w:hint="eastAsia" w:ascii="仿宋" w:hAnsi="仿宋" w:eastAsia="仿宋" w:cs="仿宋"/>
                <w:color w:val="auto"/>
                <w:sz w:val="24"/>
                <w:szCs w:val="24"/>
                <w:lang w:val="en-US" w:eastAsia="zh-CN"/>
              </w:rPr>
              <w:t>32</w:t>
            </w:r>
          </w:p>
          <w:p w14:paraId="0509EE8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材质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w:t>
            </w:r>
          </w:p>
          <w:p w14:paraId="60AEB5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32</w:t>
            </w:r>
          </w:p>
          <w:p w14:paraId="4EBFAA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敷设方式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埋地</w:t>
            </w:r>
          </w:p>
          <w:p w14:paraId="18E247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电线管路敷设</w:t>
            </w:r>
          </w:p>
          <w:p w14:paraId="73396D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2760D67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6920647F">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1500</w:t>
            </w:r>
          </w:p>
        </w:tc>
        <w:tc>
          <w:tcPr>
            <w:tcW w:w="942" w:type="pct"/>
            <w:vAlign w:val="center"/>
          </w:tcPr>
          <w:p w14:paraId="6B43A81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13DE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34B11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c>
          <w:tcPr>
            <w:tcW w:w="782" w:type="pct"/>
            <w:vAlign w:val="center"/>
          </w:tcPr>
          <w:p w14:paraId="675EB1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金属软管</w:t>
            </w:r>
          </w:p>
        </w:tc>
        <w:tc>
          <w:tcPr>
            <w:tcW w:w="1905" w:type="pct"/>
            <w:vAlign w:val="center"/>
          </w:tcPr>
          <w:p w14:paraId="260BD6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金属软管</w:t>
            </w:r>
          </w:p>
          <w:p w14:paraId="1FD6C5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Φ20</w:t>
            </w:r>
          </w:p>
          <w:p w14:paraId="54355D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1A972D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3F42370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5AC7A2F4">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300</w:t>
            </w:r>
          </w:p>
        </w:tc>
        <w:tc>
          <w:tcPr>
            <w:tcW w:w="942" w:type="pct"/>
            <w:vAlign w:val="center"/>
          </w:tcPr>
          <w:p w14:paraId="299DEBE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7158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5EB9C6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p>
        </w:tc>
        <w:tc>
          <w:tcPr>
            <w:tcW w:w="782" w:type="pct"/>
            <w:vAlign w:val="center"/>
          </w:tcPr>
          <w:p w14:paraId="183F51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防水接线盒</w:t>
            </w:r>
          </w:p>
        </w:tc>
        <w:tc>
          <w:tcPr>
            <w:tcW w:w="1905" w:type="pct"/>
            <w:vAlign w:val="center"/>
          </w:tcPr>
          <w:p w14:paraId="1894CB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防水接线盒</w:t>
            </w:r>
          </w:p>
          <w:p w14:paraId="206EA7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86型</w:t>
            </w:r>
          </w:p>
          <w:p w14:paraId="3A7548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lang w:val="en-US" w:eastAsia="zh-CN"/>
              </w:rPr>
              <w:t>密封打胶</w:t>
            </w:r>
          </w:p>
          <w:p w14:paraId="680C69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15D5E0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77" w:type="pct"/>
            <w:vAlign w:val="center"/>
          </w:tcPr>
          <w:p w14:paraId="5EE05E2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68</w:t>
            </w:r>
          </w:p>
        </w:tc>
        <w:tc>
          <w:tcPr>
            <w:tcW w:w="942" w:type="pct"/>
            <w:vAlign w:val="center"/>
          </w:tcPr>
          <w:p w14:paraId="198852D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25A2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tcBorders>
              <w:bottom w:val="single" w:color="auto" w:sz="4" w:space="0"/>
            </w:tcBorders>
            <w:vAlign w:val="center"/>
          </w:tcPr>
          <w:p w14:paraId="7D82FD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p>
        </w:tc>
        <w:tc>
          <w:tcPr>
            <w:tcW w:w="782" w:type="pct"/>
            <w:tcBorders>
              <w:bottom w:val="single" w:color="auto" w:sz="4" w:space="0"/>
            </w:tcBorders>
            <w:vAlign w:val="center"/>
          </w:tcPr>
          <w:p w14:paraId="5121E6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施工费用</w:t>
            </w:r>
          </w:p>
        </w:tc>
        <w:tc>
          <w:tcPr>
            <w:tcW w:w="1905" w:type="pct"/>
            <w:tcBorders>
              <w:bottom w:val="single" w:color="auto" w:sz="4" w:space="0"/>
            </w:tcBorders>
            <w:vAlign w:val="center"/>
          </w:tcPr>
          <w:p w14:paraId="5E55847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综合考虑</w:t>
            </w:r>
          </w:p>
        </w:tc>
        <w:tc>
          <w:tcPr>
            <w:tcW w:w="453" w:type="pct"/>
            <w:tcBorders>
              <w:bottom w:val="single" w:color="auto" w:sz="4" w:space="0"/>
            </w:tcBorders>
            <w:vAlign w:val="center"/>
          </w:tcPr>
          <w:p w14:paraId="4B320F8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tcBorders>
              <w:bottom w:val="single" w:color="auto" w:sz="4" w:space="0"/>
            </w:tcBorders>
            <w:vAlign w:val="center"/>
          </w:tcPr>
          <w:p w14:paraId="5427481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073E6DD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37CE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42" w:type="pct"/>
          <w:trHeight w:val="0" w:hRule="atLeast"/>
        </w:trPr>
        <w:tc>
          <w:tcPr>
            <w:tcW w:w="4057" w:type="pct"/>
            <w:gridSpan w:val="5"/>
            <w:tcBorders>
              <w:top w:val="single" w:color="auto" w:sz="4" w:space="0"/>
              <w:left w:val="single" w:color="auto" w:sz="4" w:space="0"/>
              <w:bottom w:val="single" w:color="auto" w:sz="4" w:space="0"/>
              <w:right w:val="single" w:color="auto" w:sz="4" w:space="0"/>
            </w:tcBorders>
            <w:vAlign w:val="center"/>
          </w:tcPr>
          <w:p w14:paraId="292270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三、室外2片篮球场</w:t>
            </w:r>
          </w:p>
        </w:tc>
      </w:tr>
      <w:tr w14:paraId="7020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tcBorders>
              <w:top w:val="single" w:color="auto" w:sz="4" w:space="0"/>
            </w:tcBorders>
            <w:vAlign w:val="center"/>
          </w:tcPr>
          <w:p w14:paraId="318CE1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782" w:type="pct"/>
            <w:tcBorders>
              <w:top w:val="single" w:color="auto" w:sz="4" w:space="0"/>
            </w:tcBorders>
            <w:vAlign w:val="center"/>
          </w:tcPr>
          <w:p w14:paraId="017FFE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项目内容</w:t>
            </w:r>
          </w:p>
        </w:tc>
        <w:tc>
          <w:tcPr>
            <w:tcW w:w="1905" w:type="pct"/>
            <w:tcBorders>
              <w:top w:val="single" w:color="auto" w:sz="4" w:space="0"/>
            </w:tcBorders>
            <w:vAlign w:val="center"/>
          </w:tcPr>
          <w:p w14:paraId="6E80774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参数</w:t>
            </w:r>
          </w:p>
        </w:tc>
        <w:tc>
          <w:tcPr>
            <w:tcW w:w="453" w:type="pct"/>
            <w:tcBorders>
              <w:top w:val="single" w:color="auto" w:sz="4" w:space="0"/>
            </w:tcBorders>
            <w:vAlign w:val="center"/>
          </w:tcPr>
          <w:p w14:paraId="632979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单位</w:t>
            </w:r>
          </w:p>
        </w:tc>
        <w:tc>
          <w:tcPr>
            <w:tcW w:w="577" w:type="pct"/>
            <w:tcBorders>
              <w:top w:val="single" w:color="auto" w:sz="4" w:space="0"/>
            </w:tcBorders>
            <w:vAlign w:val="center"/>
          </w:tcPr>
          <w:p w14:paraId="662AB2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数量</w:t>
            </w:r>
          </w:p>
        </w:tc>
        <w:tc>
          <w:tcPr>
            <w:tcW w:w="942" w:type="pct"/>
            <w:vAlign w:val="center"/>
          </w:tcPr>
          <w:p w14:paraId="161D00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参考图片</w:t>
            </w:r>
          </w:p>
          <w:p w14:paraId="7CC52F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（如有则提供）</w:t>
            </w:r>
          </w:p>
        </w:tc>
      </w:tr>
      <w:tr w14:paraId="0470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40EBFE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2" w:type="pct"/>
            <w:vAlign w:val="center"/>
          </w:tcPr>
          <w:p w14:paraId="235029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室外2片篮球场</w:t>
            </w:r>
          </w:p>
          <w:p w14:paraId="0B1D39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（LED球场灯300W）</w:t>
            </w:r>
          </w:p>
        </w:tc>
        <w:tc>
          <w:tcPr>
            <w:tcW w:w="1905" w:type="pct"/>
            <w:vAlign w:val="center"/>
          </w:tcPr>
          <w:p w14:paraId="427B86E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篮球场照明按照JGJ153-2016 《体育场馆照明设计及检测标准》要求，球场照明指标需达到水平平均照度Eh≥</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00lux，均匀度U2≥0.3，显色指数Ra≥80。</w:t>
            </w:r>
          </w:p>
          <w:p w14:paraId="4C33B8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CN" w:eastAsia="zh-CN"/>
              </w:rPr>
            </w:pPr>
            <w:r>
              <w:rPr>
                <w:rFonts w:hint="default" w:ascii="仿宋" w:hAnsi="仿宋" w:eastAsia="仿宋" w:cs="仿宋"/>
                <w:b w:val="0"/>
                <w:bCs w:val="0"/>
                <w:kern w:val="2"/>
                <w:sz w:val="24"/>
                <w:szCs w:val="24"/>
                <w:rtl w:val="0"/>
                <w:lang w:val="zh-CN" w:eastAsia="zh-CN" w:bidi="ar-SA"/>
              </w:rPr>
              <w:t>1．</w:t>
            </w:r>
            <w:r>
              <w:rPr>
                <w:rFonts w:hint="eastAsia" w:ascii="仿宋" w:hAnsi="仿宋" w:eastAsia="仿宋" w:cs="仿宋"/>
                <w:sz w:val="24"/>
                <w:szCs w:val="24"/>
                <w:rtl w:val="0"/>
                <w:lang w:val="zh-TW" w:eastAsia="zh-TW"/>
              </w:rPr>
              <w:t>产品须为体育场</w:t>
            </w:r>
            <w:r>
              <w:rPr>
                <w:rFonts w:hint="eastAsia" w:ascii="仿宋" w:hAnsi="仿宋" w:eastAsia="仿宋" w:cs="仿宋"/>
                <w:sz w:val="24"/>
                <w:szCs w:val="24"/>
                <w:rtl w:val="0"/>
                <w:lang w:val="en-US" w:eastAsia="zh-CN"/>
              </w:rPr>
              <w:t>地</w:t>
            </w:r>
            <w:r>
              <w:rPr>
                <w:rFonts w:hint="eastAsia" w:ascii="仿宋" w:hAnsi="仿宋" w:eastAsia="仿宋" w:cs="仿宋"/>
                <w:sz w:val="24"/>
                <w:szCs w:val="24"/>
                <w:rtl w:val="0"/>
                <w:lang w:val="zh-TW" w:eastAsia="zh-TW"/>
              </w:rPr>
              <w:t>照明专业LED灯具，输入电压AC 100V-220V，频率50/60Hz</w:t>
            </w:r>
            <w:r>
              <w:rPr>
                <w:rFonts w:hint="eastAsia" w:ascii="仿宋" w:hAnsi="仿宋" w:eastAsia="仿宋" w:cs="仿宋"/>
                <w:sz w:val="24"/>
                <w:szCs w:val="24"/>
                <w:rtl w:val="0"/>
                <w:lang w:val="zh-TW" w:eastAsia="zh-CN"/>
              </w:rPr>
              <w:t>。</w:t>
            </w:r>
          </w:p>
          <w:p w14:paraId="54081B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2．</w:t>
            </w:r>
            <w:r>
              <w:rPr>
                <w:rFonts w:hint="eastAsia" w:ascii="仿宋" w:hAnsi="仿宋" w:eastAsia="仿宋" w:cs="仿宋"/>
                <w:sz w:val="24"/>
                <w:szCs w:val="24"/>
                <w:rtl w:val="0"/>
                <w:lang w:val="en-US" w:eastAsia="zh-CN"/>
              </w:rPr>
              <w:t>灯具SMD封装方式，矩阵排列，一体化设计，透镜选用高透光的PC材质。</w:t>
            </w:r>
          </w:p>
          <w:p w14:paraId="239855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en-US" w:eastAsia="zh-CN"/>
              </w:rPr>
            </w:pPr>
            <w:r>
              <w:rPr>
                <w:rFonts w:hint="default" w:ascii="仿宋" w:hAnsi="仿宋" w:eastAsia="仿宋" w:cs="仿宋"/>
                <w:b w:val="0"/>
                <w:bCs w:val="0"/>
                <w:kern w:val="2"/>
                <w:sz w:val="24"/>
                <w:szCs w:val="24"/>
                <w:rtl w:val="0"/>
                <w:lang w:val="en-US" w:eastAsia="zh-CN" w:bidi="ar-SA"/>
              </w:rPr>
              <w:t>3．</w:t>
            </w:r>
            <w:r>
              <w:rPr>
                <w:rFonts w:hint="eastAsia" w:ascii="仿宋" w:hAnsi="仿宋" w:eastAsia="仿宋" w:cs="仿宋"/>
                <w:sz w:val="24"/>
                <w:szCs w:val="24"/>
                <w:rtl w:val="0"/>
                <w:lang w:val="zh-TW" w:eastAsia="zh-TW"/>
              </w:rPr>
              <w:t>灯具实测功率</w:t>
            </w:r>
            <w:r>
              <w:rPr>
                <w:rFonts w:hint="eastAsia" w:ascii="仿宋" w:hAnsi="仿宋" w:eastAsia="仿宋" w:cs="仿宋"/>
                <w:sz w:val="24"/>
                <w:szCs w:val="24"/>
                <w:rtl w:val="0"/>
                <w:lang w:val="en-US" w:eastAsia="zh-CN"/>
              </w:rPr>
              <w:t>3</w:t>
            </w:r>
            <w:r>
              <w:rPr>
                <w:rFonts w:hint="eastAsia" w:ascii="仿宋" w:hAnsi="仿宋" w:eastAsia="仿宋" w:cs="仿宋"/>
                <w:sz w:val="24"/>
                <w:szCs w:val="24"/>
                <w:rtl w:val="0"/>
                <w:lang w:val="zh-TW" w:eastAsia="zh-TW"/>
              </w:rPr>
              <w:t>00W</w:t>
            </w:r>
            <w:r>
              <w:rPr>
                <w:rFonts w:hint="eastAsia" w:ascii="仿宋" w:hAnsi="仿宋" w:eastAsia="仿宋" w:cs="仿宋"/>
                <w:color w:val="000000"/>
                <w:kern w:val="0"/>
                <w:sz w:val="24"/>
                <w:szCs w:val="24"/>
                <w:u w:color="000000"/>
                <w:shd w:val="clear" w:color="auto" w:fill="auto"/>
                <w:rtl w:val="0"/>
                <w:lang w:val="en-US" w:eastAsia="zh-TW"/>
              </w:rPr>
              <w:t>±</w:t>
            </w:r>
            <w:r>
              <w:rPr>
                <w:rFonts w:hint="eastAsia" w:ascii="仿宋" w:hAnsi="仿宋" w:eastAsia="仿宋" w:cs="仿宋"/>
                <w:sz w:val="24"/>
                <w:szCs w:val="24"/>
                <w:rtl w:val="0"/>
                <w:lang w:val="zh-TW" w:eastAsia="zh-TW"/>
              </w:rPr>
              <w:t>1%，灯具功率因数</w:t>
            </w:r>
            <w:r>
              <w:rPr>
                <w:rFonts w:hint="eastAsia" w:ascii="仿宋" w:hAnsi="仿宋" w:eastAsia="仿宋" w:cs="仿宋"/>
                <w:sz w:val="24"/>
                <w:szCs w:val="24"/>
                <w:rtl w:val="0"/>
                <w:lang w:val="en-US" w:eastAsia="zh-TW"/>
              </w:rPr>
              <w:t>≥0.9</w:t>
            </w:r>
            <w:r>
              <w:rPr>
                <w:rFonts w:hint="eastAsia" w:ascii="仿宋" w:hAnsi="仿宋" w:eastAsia="仿宋" w:cs="仿宋"/>
                <w:sz w:val="24"/>
                <w:szCs w:val="24"/>
                <w:rtl w:val="0"/>
                <w:lang w:val="en-US" w:eastAsia="zh-CN"/>
              </w:rPr>
              <w:t>8</w:t>
            </w:r>
            <w:r>
              <w:rPr>
                <w:rFonts w:hint="eastAsia" w:ascii="仿宋" w:hAnsi="仿宋" w:eastAsia="仿宋" w:cs="仿宋"/>
                <w:sz w:val="24"/>
                <w:szCs w:val="24"/>
                <w:rtl w:val="0"/>
                <w:lang w:val="zh-TW" w:eastAsia="zh-TW"/>
              </w:rPr>
              <w:t>，整灯效能</w:t>
            </w:r>
            <w:r>
              <w:rPr>
                <w:rFonts w:hint="eastAsia" w:ascii="仿宋" w:hAnsi="仿宋" w:eastAsia="仿宋" w:cs="仿宋"/>
                <w:sz w:val="24"/>
                <w:szCs w:val="24"/>
                <w:rtl w:val="0"/>
                <w:lang w:val="en-US" w:eastAsia="zh-TW"/>
              </w:rPr>
              <w:t>≥1</w:t>
            </w:r>
            <w:r>
              <w:rPr>
                <w:rFonts w:hint="eastAsia" w:ascii="仿宋" w:hAnsi="仿宋" w:eastAsia="仿宋" w:cs="仿宋"/>
                <w:sz w:val="24"/>
                <w:szCs w:val="24"/>
                <w:rtl w:val="0"/>
                <w:lang w:val="en-US" w:eastAsia="zh-CN"/>
              </w:rPr>
              <w:t>3</w:t>
            </w:r>
            <w:r>
              <w:rPr>
                <w:rFonts w:hint="eastAsia" w:ascii="仿宋" w:hAnsi="仿宋" w:eastAsia="仿宋" w:cs="仿宋"/>
                <w:sz w:val="24"/>
                <w:szCs w:val="24"/>
                <w:rtl w:val="0"/>
                <w:lang w:val="en-US" w:eastAsia="zh-TW"/>
              </w:rPr>
              <w:t>0lm/W</w:t>
            </w:r>
            <w:r>
              <w:rPr>
                <w:rFonts w:hint="eastAsia" w:ascii="仿宋" w:hAnsi="仿宋" w:eastAsia="仿宋" w:cs="仿宋"/>
                <w:sz w:val="24"/>
                <w:szCs w:val="24"/>
                <w:rtl w:val="0"/>
                <w:lang w:val="zh-TW" w:eastAsia="zh-TW"/>
              </w:rPr>
              <w:t>，光通量</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390</w:t>
            </w:r>
            <w:r>
              <w:rPr>
                <w:rFonts w:hint="eastAsia" w:ascii="仿宋" w:hAnsi="仿宋" w:eastAsia="仿宋" w:cs="仿宋"/>
                <w:sz w:val="24"/>
                <w:szCs w:val="24"/>
                <w:rtl w:val="0"/>
                <w:lang w:val="en-US" w:eastAsia="zh-TW"/>
              </w:rPr>
              <w:t>00lm</w:t>
            </w:r>
            <w:r>
              <w:rPr>
                <w:rFonts w:hint="eastAsia" w:ascii="仿宋" w:hAnsi="仿宋" w:eastAsia="仿宋" w:cs="仿宋"/>
                <w:sz w:val="24"/>
                <w:szCs w:val="24"/>
                <w:rtl w:val="0"/>
                <w:lang w:val="en-US" w:eastAsia="zh-CN"/>
              </w:rPr>
              <w:t>，</w:t>
            </w:r>
            <w:r>
              <w:rPr>
                <w:rFonts w:hint="eastAsia" w:ascii="仿宋" w:hAnsi="仿宋" w:eastAsia="仿宋" w:cs="仿宋"/>
                <w:sz w:val="24"/>
                <w:szCs w:val="24"/>
                <w:rtl w:val="0"/>
                <w:lang w:val="zh-TW" w:eastAsia="zh-TW"/>
              </w:rPr>
              <w:t>一般显色指数</w:t>
            </w:r>
            <w:r>
              <w:rPr>
                <w:rFonts w:hint="eastAsia" w:ascii="仿宋" w:hAnsi="仿宋" w:eastAsia="仿宋" w:cs="仿宋"/>
                <w:sz w:val="24"/>
                <w:szCs w:val="24"/>
                <w:rtl w:val="0"/>
                <w:lang w:val="en-US" w:eastAsia="zh-TW"/>
              </w:rPr>
              <w:t>Ra≥80</w:t>
            </w:r>
            <w:r>
              <w:rPr>
                <w:rFonts w:hint="eastAsia" w:ascii="仿宋" w:hAnsi="仿宋" w:eastAsia="仿宋" w:cs="仿宋"/>
                <w:sz w:val="24"/>
                <w:szCs w:val="24"/>
                <w:rtl w:val="0"/>
                <w:lang w:val="zh-TW" w:eastAsia="zh-TW"/>
              </w:rPr>
              <w:t>，色温</w:t>
            </w:r>
            <w:r>
              <w:rPr>
                <w:rFonts w:hint="eastAsia" w:ascii="仿宋" w:hAnsi="仿宋" w:eastAsia="仿宋" w:cs="仿宋"/>
                <w:sz w:val="24"/>
                <w:szCs w:val="24"/>
                <w:rtl w:val="0"/>
                <w:lang w:val="en-US" w:eastAsia="zh-TW"/>
              </w:rPr>
              <w:t>≥5000K</w:t>
            </w:r>
            <w:r>
              <w:rPr>
                <w:rFonts w:hint="eastAsia" w:ascii="仿宋" w:hAnsi="仿宋" w:eastAsia="仿宋" w:cs="仿宋"/>
                <w:sz w:val="24"/>
                <w:szCs w:val="24"/>
                <w:rtl w:val="0"/>
                <w:lang w:val="en-US" w:eastAsia="zh-CN"/>
              </w:rPr>
              <w:t>。</w:t>
            </w:r>
          </w:p>
          <w:p w14:paraId="412351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en-US" w:eastAsia="zh-CN"/>
              </w:rPr>
            </w:pPr>
            <w:r>
              <w:rPr>
                <w:rFonts w:hint="default" w:ascii="仿宋" w:hAnsi="仿宋" w:eastAsia="仿宋" w:cs="仿宋"/>
                <w:b w:val="0"/>
                <w:bCs w:val="0"/>
                <w:kern w:val="2"/>
                <w:sz w:val="24"/>
                <w:szCs w:val="24"/>
                <w:rtl w:val="0"/>
                <w:lang w:val="en-US" w:eastAsia="zh-CN" w:bidi="ar-SA"/>
              </w:rPr>
              <w:t>4．</w:t>
            </w:r>
            <w:r>
              <w:rPr>
                <w:rFonts w:hint="eastAsia" w:ascii="仿宋" w:hAnsi="仿宋" w:eastAsia="仿宋" w:cs="仿宋"/>
                <w:sz w:val="24"/>
                <w:szCs w:val="24"/>
                <w:lang w:val="en-US" w:eastAsia="zh-CN"/>
              </w:rPr>
              <w:t>▲灯具符合GB 5080.7-86中的定时截尾试验方案要求，</w:t>
            </w:r>
            <w:r>
              <w:rPr>
                <w:rFonts w:hint="eastAsia" w:ascii="仿宋" w:hAnsi="仿宋" w:eastAsia="仿宋" w:cs="仿宋"/>
                <w:sz w:val="24"/>
                <w:szCs w:val="24"/>
                <w:rtl w:val="0"/>
                <w:lang w:val="en-US" w:eastAsia="zh-CN"/>
              </w:rPr>
              <w:t>平均无故障时间不少于20000H，</w:t>
            </w:r>
            <w:r>
              <w:rPr>
                <w:rFonts w:hint="eastAsia" w:ascii="仿宋" w:hAnsi="仿宋" w:eastAsia="仿宋" w:cs="仿宋"/>
                <w:sz w:val="24"/>
                <w:szCs w:val="24"/>
                <w:rtl w:val="0"/>
                <w:lang w:val="zh-TW" w:eastAsia="zh-CN"/>
              </w:rPr>
              <w:t>送检同功率样品灯具不低于5个且在不低于</w:t>
            </w:r>
            <w:r>
              <w:rPr>
                <w:rFonts w:hint="eastAsia" w:ascii="仿宋" w:hAnsi="仿宋" w:eastAsia="仿宋" w:cs="仿宋"/>
                <w:sz w:val="24"/>
                <w:szCs w:val="24"/>
                <w:rtl w:val="0"/>
                <w:lang w:val="en-US" w:eastAsia="zh-CN"/>
              </w:rPr>
              <w:t>1700小时的连续时间里灯具点亮过程中未出现短路跳闸现象，且各项功能正常，总失效数为0</w:t>
            </w:r>
            <w:r>
              <w:rPr>
                <w:rFonts w:hint="eastAsia" w:ascii="仿宋" w:hAnsi="仿宋" w:eastAsia="仿宋" w:cs="仿宋"/>
                <w:color w:val="000000"/>
                <w:kern w:val="2"/>
                <w:sz w:val="24"/>
                <w:szCs w:val="24"/>
                <w:u w:color="000000"/>
                <w:shd w:val="clear" w:color="auto" w:fill="auto"/>
                <w:rtl w:val="0"/>
                <w:lang w:val="zh-TW" w:eastAsia="zh-TW"/>
              </w:rPr>
              <w:t>。</w:t>
            </w:r>
          </w:p>
          <w:p w14:paraId="687C45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5．</w:t>
            </w:r>
            <w:r>
              <w:rPr>
                <w:rFonts w:hint="eastAsia" w:ascii="仿宋" w:hAnsi="仿宋" w:eastAsia="仿宋" w:cs="仿宋"/>
                <w:sz w:val="24"/>
                <w:szCs w:val="24"/>
                <w:lang w:val="en-US" w:eastAsia="zh-CN"/>
              </w:rPr>
              <w:t>灯具符合GB 5080.7-86中的定时截尾试验方案要求，</w:t>
            </w:r>
            <w:r>
              <w:rPr>
                <w:rFonts w:hint="eastAsia" w:ascii="仿宋" w:hAnsi="仿宋" w:eastAsia="仿宋" w:cs="仿宋"/>
                <w:sz w:val="24"/>
                <w:szCs w:val="24"/>
                <w:rtl w:val="0"/>
                <w:lang w:val="en-US" w:eastAsia="zh-CN"/>
              </w:rPr>
              <w:t>平均无故障时间≥20000H，</w:t>
            </w:r>
            <w:r>
              <w:rPr>
                <w:rFonts w:hint="eastAsia" w:ascii="仿宋" w:hAnsi="仿宋" w:eastAsia="仿宋" w:cs="仿宋"/>
                <w:sz w:val="24"/>
                <w:szCs w:val="24"/>
                <w:rtl w:val="0"/>
                <w:lang w:val="zh-TW" w:eastAsia="zh-CN"/>
              </w:rPr>
              <w:t>送检同功率样品灯具不低于5个且</w:t>
            </w:r>
            <w:r>
              <w:rPr>
                <w:rFonts w:hint="eastAsia" w:ascii="仿宋" w:hAnsi="仿宋" w:eastAsia="仿宋" w:cs="仿宋"/>
                <w:sz w:val="24"/>
                <w:szCs w:val="24"/>
                <w:rtl w:val="0"/>
                <w:lang w:val="en-US" w:eastAsia="zh-CN"/>
              </w:rPr>
              <w:t>单个灯具连续实测时间不少于1700H，测试时间内灯具无不能发光或无部分光源不发光。</w:t>
            </w:r>
          </w:p>
          <w:p w14:paraId="36E5CE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6．</w:t>
            </w:r>
            <w:r>
              <w:rPr>
                <w:rFonts w:hint="eastAsia" w:ascii="仿宋" w:hAnsi="仿宋" w:eastAsia="仿宋" w:cs="仿宋"/>
                <w:sz w:val="24"/>
                <w:szCs w:val="24"/>
                <w:lang w:val="en-US" w:eastAsia="zh-CN"/>
              </w:rPr>
              <w:t>▲</w:t>
            </w:r>
            <w:r>
              <w:rPr>
                <w:rFonts w:hint="eastAsia" w:ascii="仿宋" w:hAnsi="仿宋" w:eastAsia="仿宋" w:cs="仿宋"/>
                <w:sz w:val="24"/>
                <w:szCs w:val="24"/>
                <w:rtl w:val="0"/>
                <w:lang w:val="en-US" w:eastAsia="zh-CN"/>
              </w:rPr>
              <w:t>灯具透镜在光辐射总量累计≥4000MJ/ ㎡的情况下无开裂、松脱。</w:t>
            </w:r>
          </w:p>
          <w:p w14:paraId="4C1206A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7．</w:t>
            </w:r>
            <w:r>
              <w:rPr>
                <w:rFonts w:hint="eastAsia" w:ascii="仿宋" w:hAnsi="仿宋" w:eastAsia="仿宋" w:cs="仿宋"/>
                <w:sz w:val="24"/>
                <w:szCs w:val="24"/>
                <w:rtl w:val="0"/>
                <w:lang w:val="zh-TW" w:eastAsia="zh-TW"/>
              </w:rPr>
              <w:t>灯具进行自然试验</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zh-TW" w:eastAsia="zh-TW"/>
              </w:rPr>
              <w:t>持续时间不少于十二月，试验后电源与灯具连接正常，无移位，无脱落，接线处完整</w:t>
            </w:r>
            <w:r>
              <w:rPr>
                <w:rFonts w:hint="eastAsia" w:ascii="仿宋" w:hAnsi="仿宋" w:eastAsia="仿宋" w:cs="仿宋"/>
                <w:sz w:val="24"/>
                <w:szCs w:val="24"/>
                <w:rtl w:val="0"/>
                <w:lang w:val="zh-TW" w:eastAsia="zh-CN"/>
              </w:rPr>
              <w:t>。</w:t>
            </w:r>
          </w:p>
          <w:p w14:paraId="184F57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8．</w:t>
            </w:r>
            <w:r>
              <w:rPr>
                <w:rFonts w:hint="eastAsia" w:ascii="仿宋" w:hAnsi="仿宋" w:eastAsia="仿宋" w:cs="仿宋"/>
                <w:sz w:val="24"/>
                <w:szCs w:val="24"/>
                <w:lang w:val="en-US" w:eastAsia="zh-CN"/>
              </w:rPr>
              <w:t>▲</w:t>
            </w:r>
            <w:r>
              <w:rPr>
                <w:rFonts w:hint="eastAsia" w:ascii="仿宋" w:hAnsi="仿宋" w:eastAsia="仿宋" w:cs="仿宋"/>
                <w:sz w:val="24"/>
                <w:szCs w:val="24"/>
                <w:rtl w:val="0"/>
                <w:lang w:val="zh-TW" w:eastAsia="zh-TW"/>
              </w:rPr>
              <w:t>灯具持续在</w:t>
            </w:r>
            <w:r>
              <w:rPr>
                <w:rFonts w:hint="eastAsia" w:ascii="仿宋" w:hAnsi="仿宋" w:eastAsia="仿宋" w:cs="仿宋"/>
                <w:sz w:val="24"/>
                <w:szCs w:val="24"/>
                <w:rtl w:val="0"/>
                <w:lang w:val="zh-TW" w:eastAsia="zh-CN"/>
              </w:rPr>
              <w:t>平均</w:t>
            </w:r>
            <w:r>
              <w:rPr>
                <w:rFonts w:hint="eastAsia" w:ascii="仿宋" w:hAnsi="仿宋" w:eastAsia="仿宋" w:cs="仿宋"/>
                <w:sz w:val="24"/>
                <w:szCs w:val="24"/>
                <w:rtl w:val="0"/>
                <w:lang w:val="zh-TW" w:eastAsia="zh-TW"/>
              </w:rPr>
              <w:t>温度</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1</w:t>
            </w:r>
            <w:r>
              <w:rPr>
                <w:rFonts w:hint="eastAsia" w:ascii="仿宋" w:hAnsi="仿宋" w:eastAsia="仿宋" w:cs="仿宋"/>
                <w:sz w:val="24"/>
                <w:szCs w:val="24"/>
                <w:rtl w:val="0"/>
                <w:lang w:val="en-US" w:eastAsia="zh-TW"/>
              </w:rPr>
              <w:t>0℃</w:t>
            </w:r>
            <w:r>
              <w:rPr>
                <w:rFonts w:hint="eastAsia" w:ascii="仿宋" w:hAnsi="仿宋" w:eastAsia="仿宋" w:cs="仿宋"/>
                <w:sz w:val="24"/>
                <w:szCs w:val="24"/>
                <w:rtl w:val="0"/>
                <w:lang w:val="zh-TW" w:eastAsia="zh-TW"/>
              </w:rPr>
              <w:t>，平均相对湿度</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50</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zh-TW" w:eastAsia="zh-TW"/>
              </w:rPr>
              <w:t>的自然环境下十二个月内灯具</w:t>
            </w:r>
            <w:r>
              <w:rPr>
                <w:rFonts w:hint="eastAsia" w:ascii="仿宋" w:hAnsi="仿宋" w:eastAsia="仿宋" w:cs="仿宋"/>
                <w:color w:val="000000"/>
                <w:spacing w:val="0"/>
                <w:w w:val="100"/>
                <w:kern w:val="2"/>
                <w:position w:val="0"/>
                <w:sz w:val="24"/>
                <w:szCs w:val="24"/>
                <w:u w:val="none" w:color="000000"/>
                <w:shd w:val="clear" w:color="auto" w:fill="auto"/>
                <w:vertAlign w:val="baseline"/>
                <w:rtl w:val="0"/>
                <w:lang w:val="en-US" w:eastAsia="zh-CN"/>
              </w:rPr>
              <w:t>散热器未出现开裂、生锈</w:t>
            </w:r>
            <w:r>
              <w:rPr>
                <w:rFonts w:hint="eastAsia" w:ascii="仿宋" w:hAnsi="仿宋" w:eastAsia="仿宋" w:cs="仿宋"/>
                <w:sz w:val="24"/>
                <w:szCs w:val="24"/>
                <w:rtl w:val="0"/>
                <w:lang w:val="zh-TW" w:eastAsia="zh-TW"/>
              </w:rPr>
              <w:t>，紧固件无生锈，无松动，无脱落</w:t>
            </w:r>
            <w:r>
              <w:rPr>
                <w:rFonts w:hint="eastAsia" w:ascii="仿宋" w:hAnsi="仿宋" w:eastAsia="仿宋" w:cs="仿宋"/>
                <w:sz w:val="24"/>
                <w:szCs w:val="24"/>
                <w:rtl w:val="0"/>
                <w:lang w:val="zh-TW" w:eastAsia="zh-CN"/>
              </w:rPr>
              <w:t>。</w:t>
            </w:r>
            <w:r>
              <w:rPr>
                <w:rFonts w:hint="eastAsia" w:ascii="仿宋" w:hAnsi="仿宋" w:eastAsia="仿宋" w:cs="仿宋"/>
                <w:b/>
                <w:bCs w:val="0"/>
                <w:sz w:val="24"/>
                <w:szCs w:val="24"/>
                <w:lang w:val="en-US" w:eastAsia="zh-CN"/>
              </w:rPr>
              <w:t xml:space="preserve"> </w:t>
            </w:r>
          </w:p>
          <w:p w14:paraId="194229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val="0"/>
                <w:sz w:val="24"/>
                <w:szCs w:val="24"/>
                <w:lang w:val="en-US" w:eastAsia="zh-CN"/>
              </w:rPr>
            </w:pPr>
            <w:r>
              <w:rPr>
                <w:rFonts w:hint="default" w:ascii="仿宋" w:hAnsi="仿宋" w:eastAsia="仿宋" w:cs="仿宋"/>
                <w:b w:val="0"/>
                <w:bCs w:val="0"/>
                <w:kern w:val="2"/>
                <w:sz w:val="24"/>
                <w:szCs w:val="24"/>
                <w:lang w:val="en-US" w:eastAsia="zh-CN" w:bidi="ar-SA"/>
              </w:rPr>
              <w:t>9．</w:t>
            </w:r>
            <w:r>
              <w:rPr>
                <w:rFonts w:hint="eastAsia" w:ascii="仿宋" w:hAnsi="仿宋" w:eastAsia="仿宋" w:cs="仿宋"/>
                <w:color w:val="000000"/>
                <w:sz w:val="24"/>
                <w:szCs w:val="24"/>
                <w:u w:color="000000"/>
                <w:rtl w:val="0"/>
                <w:lang w:val="zh-TW" w:eastAsia="zh-TW"/>
              </w:rPr>
              <w:t>灯具经过耐久性试验和热试验、绝缘电阻和电气强度试验、耐热耐火和耐起痕试验</w:t>
            </w:r>
            <w:r>
              <w:rPr>
                <w:rFonts w:hint="eastAsia" w:ascii="仿宋" w:hAnsi="仿宋" w:eastAsia="仿宋" w:cs="仿宋"/>
                <w:sz w:val="24"/>
                <w:szCs w:val="24"/>
                <w:rtl w:val="0"/>
                <w:lang w:val="zh-TW" w:eastAsia="zh-TW"/>
              </w:rPr>
              <w:t>。</w:t>
            </w:r>
          </w:p>
          <w:p w14:paraId="1304FA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b w:val="0"/>
                <w:bCs w:val="0"/>
                <w:color w:val="auto"/>
                <w:kern w:val="2"/>
                <w:sz w:val="24"/>
                <w:szCs w:val="24"/>
                <w:lang w:val="en-US" w:eastAsia="zh-CN" w:bidi="ar-SA"/>
              </w:rPr>
              <w:t>10．</w:t>
            </w:r>
            <w:r>
              <w:rPr>
                <w:rFonts w:hint="eastAsia" w:ascii="仿宋" w:hAnsi="仿宋" w:eastAsia="仿宋" w:cs="仿宋"/>
                <w:sz w:val="24"/>
                <w:szCs w:val="24"/>
                <w:rtl w:val="0"/>
                <w:lang w:val="zh-TW" w:eastAsia="zh-TW"/>
              </w:rPr>
              <w:t>灯具应具备创新型的散热器通风孔设计，满足散热的同时，增加空气对流性及降低风阻。</w:t>
            </w:r>
          </w:p>
        </w:tc>
        <w:tc>
          <w:tcPr>
            <w:tcW w:w="453" w:type="pct"/>
            <w:vAlign w:val="center"/>
          </w:tcPr>
          <w:p w14:paraId="41171B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705BE92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w:t>
            </w:r>
          </w:p>
        </w:tc>
        <w:tc>
          <w:tcPr>
            <w:tcW w:w="942" w:type="pct"/>
            <w:vAlign w:val="center"/>
          </w:tcPr>
          <w:p w14:paraId="1722FA7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762000" cy="429260"/>
                  <wp:effectExtent l="0" t="0" r="0" b="8890"/>
                  <wp:docPr id="55" name="图片 55" descr="微信图片_202502161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50216135748"/>
                          <pic:cNvPicPr>
                            <a:picLocks noChangeAspect="1"/>
                          </pic:cNvPicPr>
                        </pic:nvPicPr>
                        <pic:blipFill>
                          <a:blip r:embed="rId9"/>
                          <a:stretch>
                            <a:fillRect/>
                          </a:stretch>
                        </pic:blipFill>
                        <pic:spPr>
                          <a:xfrm>
                            <a:off x="0" y="0"/>
                            <a:ext cx="762000" cy="429260"/>
                          </a:xfrm>
                          <a:prstGeom prst="rect">
                            <a:avLst/>
                          </a:prstGeom>
                        </pic:spPr>
                      </pic:pic>
                    </a:graphicData>
                  </a:graphic>
                </wp:inline>
              </w:drawing>
            </w:r>
          </w:p>
        </w:tc>
      </w:tr>
      <w:tr w14:paraId="2E0D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00052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82" w:type="pct"/>
            <w:vAlign w:val="center"/>
          </w:tcPr>
          <w:p w14:paraId="3483E3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灯具固定支架</w:t>
            </w:r>
          </w:p>
        </w:tc>
        <w:tc>
          <w:tcPr>
            <w:tcW w:w="1905" w:type="pct"/>
            <w:vAlign w:val="center"/>
          </w:tcPr>
          <w:p w14:paraId="4999D5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灯具固定支架</w:t>
            </w:r>
          </w:p>
          <w:p w14:paraId="7CD9FA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358A40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本体安装</w:t>
            </w:r>
          </w:p>
          <w:p w14:paraId="0EA699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tc>
        <w:tc>
          <w:tcPr>
            <w:tcW w:w="453" w:type="pct"/>
            <w:vAlign w:val="center"/>
          </w:tcPr>
          <w:p w14:paraId="3ADD3C4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2B57C5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w:t>
            </w:r>
          </w:p>
        </w:tc>
        <w:tc>
          <w:tcPr>
            <w:tcW w:w="942" w:type="pct"/>
            <w:vAlign w:val="center"/>
          </w:tcPr>
          <w:p w14:paraId="54451FB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5D26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14420A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82" w:type="pct"/>
            <w:vAlign w:val="center"/>
          </w:tcPr>
          <w:p w14:paraId="3F926B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配电箱</w:t>
            </w:r>
          </w:p>
        </w:tc>
        <w:tc>
          <w:tcPr>
            <w:tcW w:w="1905" w:type="pct"/>
            <w:vAlign w:val="center"/>
          </w:tcPr>
          <w:p w14:paraId="51609B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室外配电箱</w:t>
            </w:r>
          </w:p>
          <w:p w14:paraId="6B9E43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61B8CE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基础形式、材质、规格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防护等级IP65</w:t>
            </w:r>
          </w:p>
          <w:p w14:paraId="6EE796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接线端子材质、规格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详</w:t>
            </w:r>
            <w:r>
              <w:rPr>
                <w:rFonts w:hint="eastAsia" w:ascii="仿宋" w:hAnsi="仿宋" w:eastAsia="仿宋" w:cs="仿宋"/>
                <w:color w:val="auto"/>
                <w:sz w:val="24"/>
                <w:szCs w:val="24"/>
                <w:lang w:val="en-US" w:eastAsia="zh-CN"/>
              </w:rPr>
              <w:t>见</w:t>
            </w:r>
            <w:r>
              <w:rPr>
                <w:rFonts w:hint="eastAsia" w:ascii="仿宋" w:hAnsi="仿宋" w:eastAsia="仿宋" w:cs="仿宋"/>
                <w:color w:val="auto"/>
                <w:sz w:val="24"/>
                <w:szCs w:val="24"/>
              </w:rPr>
              <w:t>设计</w:t>
            </w:r>
          </w:p>
          <w:p w14:paraId="723295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本体安装</w:t>
            </w:r>
          </w:p>
          <w:p w14:paraId="1E0C42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基础型钢制作、安装</w:t>
            </w:r>
          </w:p>
          <w:p w14:paraId="23A825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焊、压接线端子</w:t>
            </w:r>
          </w:p>
          <w:p w14:paraId="5C2455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p w14:paraId="6A30A6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接地</w:t>
            </w:r>
          </w:p>
        </w:tc>
        <w:tc>
          <w:tcPr>
            <w:tcW w:w="453" w:type="pct"/>
            <w:vAlign w:val="center"/>
          </w:tcPr>
          <w:p w14:paraId="315C3D9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6B938A5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331EA3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2B38E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4D4F4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82" w:type="pct"/>
            <w:vAlign w:val="center"/>
          </w:tcPr>
          <w:p w14:paraId="23DCBA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电力电缆</w:t>
            </w:r>
          </w:p>
        </w:tc>
        <w:tc>
          <w:tcPr>
            <w:tcW w:w="1905" w:type="pct"/>
            <w:vAlign w:val="center"/>
          </w:tcPr>
          <w:p w14:paraId="2B5C81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电力电缆</w:t>
            </w:r>
          </w:p>
          <w:p w14:paraId="19B400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3*4mm2</w:t>
            </w:r>
          </w:p>
          <w:p w14:paraId="0098D3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6E351C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27CB025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2F88A7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360</w:t>
            </w:r>
          </w:p>
        </w:tc>
        <w:tc>
          <w:tcPr>
            <w:tcW w:w="942" w:type="pct"/>
            <w:vAlign w:val="center"/>
          </w:tcPr>
          <w:p w14:paraId="411BC15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5DF9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D6E54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782" w:type="pct"/>
            <w:vAlign w:val="center"/>
          </w:tcPr>
          <w:p w14:paraId="2C95EF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电缆套管</w:t>
            </w:r>
          </w:p>
        </w:tc>
        <w:tc>
          <w:tcPr>
            <w:tcW w:w="1905" w:type="pct"/>
            <w:vAlign w:val="center"/>
          </w:tcPr>
          <w:p w14:paraId="7C2921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w:t>
            </w:r>
            <w:r>
              <w:rPr>
                <w:rFonts w:hint="eastAsia" w:ascii="仿宋" w:hAnsi="仿宋" w:eastAsia="仿宋" w:cs="仿宋"/>
                <w:color w:val="auto"/>
                <w:sz w:val="24"/>
                <w:szCs w:val="24"/>
                <w:lang w:val="en-US" w:eastAsia="zh-CN"/>
              </w:rPr>
              <w:t>32</w:t>
            </w:r>
          </w:p>
          <w:p w14:paraId="6F4FE2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材质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PVC</w:t>
            </w:r>
          </w:p>
          <w:p w14:paraId="3CF93B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32</w:t>
            </w:r>
          </w:p>
          <w:p w14:paraId="0944A9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敷设方式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埋地</w:t>
            </w:r>
          </w:p>
          <w:p w14:paraId="461746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电线管路敷设</w:t>
            </w:r>
          </w:p>
          <w:p w14:paraId="45B8FD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1FAB1C6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48E7612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360</w:t>
            </w:r>
          </w:p>
        </w:tc>
        <w:tc>
          <w:tcPr>
            <w:tcW w:w="942" w:type="pct"/>
            <w:vAlign w:val="center"/>
          </w:tcPr>
          <w:p w14:paraId="1BF6E1B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03AE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183DAE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82" w:type="pct"/>
            <w:vAlign w:val="center"/>
          </w:tcPr>
          <w:p w14:paraId="5BB203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金属软管</w:t>
            </w:r>
          </w:p>
        </w:tc>
        <w:tc>
          <w:tcPr>
            <w:tcW w:w="1905" w:type="pct"/>
            <w:vAlign w:val="center"/>
          </w:tcPr>
          <w:p w14:paraId="47F50A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金属软管</w:t>
            </w:r>
          </w:p>
          <w:p w14:paraId="5E02FBA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Φ20</w:t>
            </w:r>
          </w:p>
          <w:p w14:paraId="2E8E6C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2D43387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5224538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314D24A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48</w:t>
            </w:r>
          </w:p>
        </w:tc>
        <w:tc>
          <w:tcPr>
            <w:tcW w:w="942" w:type="pct"/>
            <w:vAlign w:val="center"/>
          </w:tcPr>
          <w:p w14:paraId="67BE51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20AA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C6C55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782" w:type="pct"/>
            <w:vAlign w:val="center"/>
          </w:tcPr>
          <w:p w14:paraId="69ABC0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防水接线盒</w:t>
            </w:r>
          </w:p>
        </w:tc>
        <w:tc>
          <w:tcPr>
            <w:tcW w:w="1905" w:type="pct"/>
            <w:vAlign w:val="center"/>
          </w:tcPr>
          <w:p w14:paraId="165188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防水接线盒</w:t>
            </w:r>
          </w:p>
          <w:p w14:paraId="5A558E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86型</w:t>
            </w:r>
          </w:p>
          <w:p w14:paraId="0399B3C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lang w:val="en-US" w:eastAsia="zh-CN"/>
              </w:rPr>
              <w:t>密封打胶</w:t>
            </w:r>
          </w:p>
          <w:p w14:paraId="26D80D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4BE4DB8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77" w:type="pct"/>
            <w:vAlign w:val="center"/>
          </w:tcPr>
          <w:p w14:paraId="3F84D89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26</w:t>
            </w:r>
          </w:p>
        </w:tc>
        <w:tc>
          <w:tcPr>
            <w:tcW w:w="942" w:type="pct"/>
            <w:vAlign w:val="center"/>
          </w:tcPr>
          <w:p w14:paraId="0AB270F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3485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1B21BF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782" w:type="pct"/>
            <w:vAlign w:val="center"/>
          </w:tcPr>
          <w:p w14:paraId="25E840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施工费用</w:t>
            </w:r>
          </w:p>
        </w:tc>
        <w:tc>
          <w:tcPr>
            <w:tcW w:w="1905" w:type="pct"/>
            <w:vAlign w:val="center"/>
          </w:tcPr>
          <w:p w14:paraId="511002C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综合考虑</w:t>
            </w:r>
          </w:p>
        </w:tc>
        <w:tc>
          <w:tcPr>
            <w:tcW w:w="453" w:type="pct"/>
            <w:vAlign w:val="center"/>
          </w:tcPr>
          <w:p w14:paraId="5DEF6DD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vAlign w:val="center"/>
          </w:tcPr>
          <w:p w14:paraId="7D6B2C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557EEAD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09B9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42" w:type="pct"/>
          <w:trHeight w:val="0" w:hRule="atLeast"/>
        </w:trPr>
        <w:tc>
          <w:tcPr>
            <w:tcW w:w="4057" w:type="pct"/>
            <w:gridSpan w:val="5"/>
            <w:vAlign w:val="center"/>
          </w:tcPr>
          <w:p w14:paraId="0049CDE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四、体育馆室内2片篮球场</w:t>
            </w:r>
          </w:p>
        </w:tc>
      </w:tr>
      <w:tr w14:paraId="0348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F7F96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782" w:type="pct"/>
            <w:vAlign w:val="center"/>
          </w:tcPr>
          <w:p w14:paraId="6E361B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项目内容</w:t>
            </w:r>
          </w:p>
        </w:tc>
        <w:tc>
          <w:tcPr>
            <w:tcW w:w="1905" w:type="pct"/>
            <w:vAlign w:val="center"/>
          </w:tcPr>
          <w:p w14:paraId="08CAA2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参数</w:t>
            </w:r>
          </w:p>
        </w:tc>
        <w:tc>
          <w:tcPr>
            <w:tcW w:w="453" w:type="pct"/>
            <w:vAlign w:val="center"/>
          </w:tcPr>
          <w:p w14:paraId="3B6DA1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单位</w:t>
            </w:r>
          </w:p>
        </w:tc>
        <w:tc>
          <w:tcPr>
            <w:tcW w:w="577" w:type="pct"/>
            <w:vAlign w:val="center"/>
          </w:tcPr>
          <w:p w14:paraId="14D3A2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数量</w:t>
            </w:r>
          </w:p>
        </w:tc>
        <w:tc>
          <w:tcPr>
            <w:tcW w:w="942" w:type="pct"/>
            <w:vAlign w:val="center"/>
          </w:tcPr>
          <w:p w14:paraId="089403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参考图片</w:t>
            </w:r>
          </w:p>
          <w:p w14:paraId="4ADF38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（如有则提供）</w:t>
            </w:r>
          </w:p>
        </w:tc>
      </w:tr>
      <w:tr w14:paraId="5166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1747A7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2" w:type="pct"/>
            <w:vAlign w:val="center"/>
          </w:tcPr>
          <w:p w14:paraId="2664A8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室内2片篮球场</w:t>
            </w:r>
          </w:p>
          <w:p w14:paraId="5C3D04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（LED球场灯300W）</w:t>
            </w:r>
          </w:p>
        </w:tc>
        <w:tc>
          <w:tcPr>
            <w:tcW w:w="1905" w:type="pct"/>
            <w:vAlign w:val="center"/>
          </w:tcPr>
          <w:p w14:paraId="665536F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篮球</w:t>
            </w:r>
            <w:r>
              <w:rPr>
                <w:rFonts w:hint="eastAsia" w:ascii="仿宋" w:hAnsi="仿宋" w:eastAsia="仿宋" w:cs="仿宋"/>
                <w:color w:val="auto"/>
                <w:sz w:val="24"/>
                <w:szCs w:val="24"/>
              </w:rPr>
              <w:t>馆球场照明按照JGJ153-2016 《体育场馆照明设计及检测标准》要求，球场照明指标需达到Ⅱ级标准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水平平均照度Eh≥500lux，均匀度U2≥0.6，显色指数Ra≥80，眩光值GR≤30。</w:t>
            </w:r>
          </w:p>
          <w:p w14:paraId="4224F3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CN" w:eastAsia="zh-CN"/>
              </w:rPr>
            </w:pPr>
            <w:r>
              <w:rPr>
                <w:rFonts w:hint="default" w:ascii="仿宋" w:hAnsi="仿宋" w:eastAsia="仿宋" w:cs="仿宋"/>
                <w:b w:val="0"/>
                <w:bCs w:val="0"/>
                <w:kern w:val="2"/>
                <w:sz w:val="24"/>
                <w:szCs w:val="24"/>
                <w:rtl w:val="0"/>
                <w:lang w:val="zh-CN" w:eastAsia="zh-CN" w:bidi="ar-SA"/>
              </w:rPr>
              <w:t>1．</w:t>
            </w:r>
            <w:r>
              <w:rPr>
                <w:rFonts w:hint="eastAsia" w:ascii="仿宋" w:hAnsi="仿宋" w:eastAsia="仿宋" w:cs="仿宋"/>
                <w:sz w:val="24"/>
                <w:szCs w:val="24"/>
                <w:rtl w:val="0"/>
                <w:lang w:val="zh-TW" w:eastAsia="zh-TW"/>
              </w:rPr>
              <w:t>产品须为体育场</w:t>
            </w:r>
            <w:r>
              <w:rPr>
                <w:rFonts w:hint="eastAsia" w:ascii="仿宋" w:hAnsi="仿宋" w:eastAsia="仿宋" w:cs="仿宋"/>
                <w:sz w:val="24"/>
                <w:szCs w:val="24"/>
                <w:rtl w:val="0"/>
                <w:lang w:val="en-US" w:eastAsia="zh-CN"/>
              </w:rPr>
              <w:t>地</w:t>
            </w:r>
            <w:r>
              <w:rPr>
                <w:rFonts w:hint="eastAsia" w:ascii="仿宋" w:hAnsi="仿宋" w:eastAsia="仿宋" w:cs="仿宋"/>
                <w:sz w:val="24"/>
                <w:szCs w:val="24"/>
                <w:rtl w:val="0"/>
                <w:lang w:val="zh-TW" w:eastAsia="zh-TW"/>
              </w:rPr>
              <w:t>照明专业LED灯具，输入电压AC 100V-220V，频率50/60Hz</w:t>
            </w:r>
            <w:r>
              <w:rPr>
                <w:rFonts w:hint="eastAsia" w:ascii="仿宋" w:hAnsi="仿宋" w:eastAsia="仿宋" w:cs="仿宋"/>
                <w:sz w:val="24"/>
                <w:szCs w:val="24"/>
                <w:rtl w:val="0"/>
                <w:lang w:val="zh-TW" w:eastAsia="zh-CN"/>
              </w:rPr>
              <w:t>。</w:t>
            </w:r>
          </w:p>
          <w:p w14:paraId="163A167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2．</w:t>
            </w:r>
            <w:r>
              <w:rPr>
                <w:rFonts w:hint="eastAsia" w:ascii="仿宋" w:hAnsi="仿宋" w:eastAsia="仿宋" w:cs="仿宋"/>
                <w:sz w:val="24"/>
                <w:szCs w:val="24"/>
                <w:rtl w:val="0"/>
                <w:lang w:val="en-US" w:eastAsia="zh-CN"/>
              </w:rPr>
              <w:t>灯具SMD封装方式，矩阵排列，一体化设计，透镜选用高透光的PC材质。</w:t>
            </w:r>
          </w:p>
          <w:p w14:paraId="44F066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en-US" w:eastAsia="zh-CN"/>
              </w:rPr>
            </w:pPr>
            <w:r>
              <w:rPr>
                <w:rFonts w:hint="default" w:ascii="仿宋" w:hAnsi="仿宋" w:eastAsia="仿宋" w:cs="仿宋"/>
                <w:b w:val="0"/>
                <w:bCs w:val="0"/>
                <w:kern w:val="2"/>
                <w:sz w:val="24"/>
                <w:szCs w:val="24"/>
                <w:rtl w:val="0"/>
                <w:lang w:val="en-US" w:eastAsia="zh-CN" w:bidi="ar-SA"/>
              </w:rPr>
              <w:t>3．</w:t>
            </w:r>
            <w:r>
              <w:rPr>
                <w:rFonts w:hint="eastAsia" w:ascii="仿宋" w:hAnsi="仿宋" w:eastAsia="仿宋" w:cs="仿宋"/>
                <w:sz w:val="24"/>
                <w:szCs w:val="24"/>
                <w:rtl w:val="0"/>
                <w:lang w:val="zh-TW" w:eastAsia="zh-TW"/>
              </w:rPr>
              <w:t>灯具实测功率</w:t>
            </w:r>
            <w:r>
              <w:rPr>
                <w:rFonts w:hint="eastAsia" w:ascii="仿宋" w:hAnsi="仿宋" w:eastAsia="仿宋" w:cs="仿宋"/>
                <w:sz w:val="24"/>
                <w:szCs w:val="24"/>
                <w:rtl w:val="0"/>
                <w:lang w:val="en-US" w:eastAsia="zh-CN"/>
              </w:rPr>
              <w:t>3</w:t>
            </w:r>
            <w:r>
              <w:rPr>
                <w:rFonts w:hint="eastAsia" w:ascii="仿宋" w:hAnsi="仿宋" w:eastAsia="仿宋" w:cs="仿宋"/>
                <w:sz w:val="24"/>
                <w:szCs w:val="24"/>
                <w:rtl w:val="0"/>
                <w:lang w:val="zh-TW" w:eastAsia="zh-TW"/>
              </w:rPr>
              <w:t>00W</w:t>
            </w:r>
            <w:r>
              <w:rPr>
                <w:rFonts w:hint="eastAsia" w:ascii="仿宋" w:hAnsi="仿宋" w:eastAsia="仿宋" w:cs="仿宋"/>
                <w:color w:val="000000"/>
                <w:kern w:val="0"/>
                <w:sz w:val="24"/>
                <w:szCs w:val="24"/>
                <w:u w:color="000000"/>
                <w:shd w:val="clear" w:color="auto" w:fill="auto"/>
                <w:rtl w:val="0"/>
                <w:lang w:val="en-US" w:eastAsia="zh-TW"/>
              </w:rPr>
              <w:t>±</w:t>
            </w:r>
            <w:r>
              <w:rPr>
                <w:rFonts w:hint="eastAsia" w:ascii="仿宋" w:hAnsi="仿宋" w:eastAsia="仿宋" w:cs="仿宋"/>
                <w:sz w:val="24"/>
                <w:szCs w:val="24"/>
                <w:rtl w:val="0"/>
                <w:lang w:val="zh-TW" w:eastAsia="zh-TW"/>
              </w:rPr>
              <w:t>1%，灯具功率因数</w:t>
            </w:r>
            <w:r>
              <w:rPr>
                <w:rFonts w:hint="eastAsia" w:ascii="仿宋" w:hAnsi="仿宋" w:eastAsia="仿宋" w:cs="仿宋"/>
                <w:sz w:val="24"/>
                <w:szCs w:val="24"/>
                <w:rtl w:val="0"/>
                <w:lang w:val="en-US" w:eastAsia="zh-TW"/>
              </w:rPr>
              <w:t>≥0.9</w:t>
            </w:r>
            <w:r>
              <w:rPr>
                <w:rFonts w:hint="eastAsia" w:ascii="仿宋" w:hAnsi="仿宋" w:eastAsia="仿宋" w:cs="仿宋"/>
                <w:sz w:val="24"/>
                <w:szCs w:val="24"/>
                <w:rtl w:val="0"/>
                <w:lang w:val="en-US" w:eastAsia="zh-CN"/>
              </w:rPr>
              <w:t>8</w:t>
            </w:r>
            <w:r>
              <w:rPr>
                <w:rFonts w:hint="eastAsia" w:ascii="仿宋" w:hAnsi="仿宋" w:eastAsia="仿宋" w:cs="仿宋"/>
                <w:sz w:val="24"/>
                <w:szCs w:val="24"/>
                <w:rtl w:val="0"/>
                <w:lang w:val="zh-TW" w:eastAsia="zh-TW"/>
              </w:rPr>
              <w:t>，整灯效能</w:t>
            </w:r>
            <w:r>
              <w:rPr>
                <w:rFonts w:hint="eastAsia" w:ascii="仿宋" w:hAnsi="仿宋" w:eastAsia="仿宋" w:cs="仿宋"/>
                <w:sz w:val="24"/>
                <w:szCs w:val="24"/>
                <w:rtl w:val="0"/>
                <w:lang w:val="en-US" w:eastAsia="zh-TW"/>
              </w:rPr>
              <w:t>≥1</w:t>
            </w:r>
            <w:r>
              <w:rPr>
                <w:rFonts w:hint="eastAsia" w:ascii="仿宋" w:hAnsi="仿宋" w:eastAsia="仿宋" w:cs="仿宋"/>
                <w:sz w:val="24"/>
                <w:szCs w:val="24"/>
                <w:rtl w:val="0"/>
                <w:lang w:val="en-US" w:eastAsia="zh-CN"/>
              </w:rPr>
              <w:t>3</w:t>
            </w:r>
            <w:r>
              <w:rPr>
                <w:rFonts w:hint="eastAsia" w:ascii="仿宋" w:hAnsi="仿宋" w:eastAsia="仿宋" w:cs="仿宋"/>
                <w:sz w:val="24"/>
                <w:szCs w:val="24"/>
                <w:rtl w:val="0"/>
                <w:lang w:val="en-US" w:eastAsia="zh-TW"/>
              </w:rPr>
              <w:t>0lm/W</w:t>
            </w:r>
            <w:r>
              <w:rPr>
                <w:rFonts w:hint="eastAsia" w:ascii="仿宋" w:hAnsi="仿宋" w:eastAsia="仿宋" w:cs="仿宋"/>
                <w:sz w:val="24"/>
                <w:szCs w:val="24"/>
                <w:rtl w:val="0"/>
                <w:lang w:val="zh-TW" w:eastAsia="zh-TW"/>
              </w:rPr>
              <w:t>，光通量</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390</w:t>
            </w:r>
            <w:r>
              <w:rPr>
                <w:rFonts w:hint="eastAsia" w:ascii="仿宋" w:hAnsi="仿宋" w:eastAsia="仿宋" w:cs="仿宋"/>
                <w:sz w:val="24"/>
                <w:szCs w:val="24"/>
                <w:rtl w:val="0"/>
                <w:lang w:val="en-US" w:eastAsia="zh-TW"/>
              </w:rPr>
              <w:t>00lm</w:t>
            </w:r>
            <w:r>
              <w:rPr>
                <w:rFonts w:hint="eastAsia" w:ascii="仿宋" w:hAnsi="仿宋" w:eastAsia="仿宋" w:cs="仿宋"/>
                <w:sz w:val="24"/>
                <w:szCs w:val="24"/>
                <w:rtl w:val="0"/>
                <w:lang w:val="en-US" w:eastAsia="zh-CN"/>
              </w:rPr>
              <w:t>，</w:t>
            </w:r>
            <w:r>
              <w:rPr>
                <w:rFonts w:hint="eastAsia" w:ascii="仿宋" w:hAnsi="仿宋" w:eastAsia="仿宋" w:cs="仿宋"/>
                <w:sz w:val="24"/>
                <w:szCs w:val="24"/>
                <w:rtl w:val="0"/>
                <w:lang w:val="zh-TW" w:eastAsia="zh-TW"/>
              </w:rPr>
              <w:t>一般显色指数</w:t>
            </w:r>
            <w:r>
              <w:rPr>
                <w:rFonts w:hint="eastAsia" w:ascii="仿宋" w:hAnsi="仿宋" w:eastAsia="仿宋" w:cs="仿宋"/>
                <w:sz w:val="24"/>
                <w:szCs w:val="24"/>
                <w:rtl w:val="0"/>
                <w:lang w:val="en-US" w:eastAsia="zh-TW"/>
              </w:rPr>
              <w:t>Ra≥80</w:t>
            </w:r>
            <w:r>
              <w:rPr>
                <w:rFonts w:hint="eastAsia" w:ascii="仿宋" w:hAnsi="仿宋" w:eastAsia="仿宋" w:cs="仿宋"/>
                <w:sz w:val="24"/>
                <w:szCs w:val="24"/>
                <w:rtl w:val="0"/>
                <w:lang w:val="zh-TW" w:eastAsia="zh-TW"/>
              </w:rPr>
              <w:t>，色温</w:t>
            </w:r>
            <w:r>
              <w:rPr>
                <w:rFonts w:hint="eastAsia" w:ascii="仿宋" w:hAnsi="仿宋" w:eastAsia="仿宋" w:cs="仿宋"/>
                <w:sz w:val="24"/>
                <w:szCs w:val="24"/>
                <w:rtl w:val="0"/>
                <w:lang w:val="en-US" w:eastAsia="zh-TW"/>
              </w:rPr>
              <w:t>≥5000K</w:t>
            </w:r>
            <w:r>
              <w:rPr>
                <w:rFonts w:hint="eastAsia" w:ascii="仿宋" w:hAnsi="仿宋" w:eastAsia="仿宋" w:cs="仿宋"/>
                <w:sz w:val="24"/>
                <w:szCs w:val="24"/>
                <w:rtl w:val="0"/>
                <w:lang w:val="en-US" w:eastAsia="zh-CN"/>
              </w:rPr>
              <w:t>。</w:t>
            </w:r>
          </w:p>
          <w:p w14:paraId="4B82C7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en-US" w:eastAsia="zh-CN"/>
              </w:rPr>
            </w:pPr>
            <w:r>
              <w:rPr>
                <w:rFonts w:hint="default" w:ascii="仿宋" w:hAnsi="仿宋" w:eastAsia="仿宋" w:cs="仿宋"/>
                <w:b w:val="0"/>
                <w:bCs w:val="0"/>
                <w:kern w:val="2"/>
                <w:sz w:val="24"/>
                <w:szCs w:val="24"/>
                <w:rtl w:val="0"/>
                <w:lang w:val="en-US" w:eastAsia="zh-CN" w:bidi="ar-SA"/>
              </w:rPr>
              <w:t>4．</w:t>
            </w:r>
            <w:r>
              <w:rPr>
                <w:rFonts w:hint="eastAsia" w:ascii="仿宋" w:hAnsi="仿宋" w:eastAsia="仿宋" w:cs="仿宋"/>
                <w:sz w:val="24"/>
                <w:szCs w:val="24"/>
                <w:lang w:val="en-US" w:eastAsia="zh-CN"/>
              </w:rPr>
              <w:t>灯具符合GB 5080.7-86中的定时截尾试验方案要求，</w:t>
            </w:r>
            <w:r>
              <w:rPr>
                <w:rFonts w:hint="eastAsia" w:ascii="仿宋" w:hAnsi="仿宋" w:eastAsia="仿宋" w:cs="仿宋"/>
                <w:sz w:val="24"/>
                <w:szCs w:val="24"/>
                <w:rtl w:val="0"/>
                <w:lang w:val="en-US" w:eastAsia="zh-CN"/>
              </w:rPr>
              <w:t>平均无故障时间不少于20000H，</w:t>
            </w:r>
            <w:r>
              <w:rPr>
                <w:rFonts w:hint="eastAsia" w:ascii="仿宋" w:hAnsi="仿宋" w:eastAsia="仿宋" w:cs="仿宋"/>
                <w:sz w:val="24"/>
                <w:szCs w:val="24"/>
                <w:rtl w:val="0"/>
                <w:lang w:val="zh-TW" w:eastAsia="zh-CN"/>
              </w:rPr>
              <w:t>送检同功率样品灯具不低于5个且在不低于</w:t>
            </w:r>
            <w:r>
              <w:rPr>
                <w:rFonts w:hint="eastAsia" w:ascii="仿宋" w:hAnsi="仿宋" w:eastAsia="仿宋" w:cs="仿宋"/>
                <w:sz w:val="24"/>
                <w:szCs w:val="24"/>
                <w:rtl w:val="0"/>
                <w:lang w:val="en-US" w:eastAsia="zh-CN"/>
              </w:rPr>
              <w:t>1700小时的连续时间里灯具点亮过程中未出现短路跳闸现象，且各项功能正常，总失效数为0</w:t>
            </w:r>
            <w:r>
              <w:rPr>
                <w:rFonts w:hint="eastAsia" w:ascii="仿宋" w:hAnsi="仿宋" w:eastAsia="仿宋" w:cs="仿宋"/>
                <w:color w:val="000000"/>
                <w:kern w:val="2"/>
                <w:sz w:val="24"/>
                <w:szCs w:val="24"/>
                <w:u w:color="000000"/>
                <w:shd w:val="clear" w:color="auto" w:fill="auto"/>
                <w:rtl w:val="0"/>
                <w:lang w:val="zh-TW" w:eastAsia="zh-TW"/>
              </w:rPr>
              <w:t>。</w:t>
            </w:r>
          </w:p>
          <w:p w14:paraId="44323D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5．</w:t>
            </w:r>
            <w:r>
              <w:rPr>
                <w:rFonts w:hint="eastAsia" w:ascii="仿宋" w:hAnsi="仿宋" w:eastAsia="仿宋" w:cs="仿宋"/>
                <w:sz w:val="24"/>
                <w:szCs w:val="24"/>
                <w:lang w:val="en-US" w:eastAsia="zh-CN"/>
              </w:rPr>
              <w:t>灯具符合GB 5080.7-86中的定时截尾试验方案要求，</w:t>
            </w:r>
            <w:r>
              <w:rPr>
                <w:rFonts w:hint="eastAsia" w:ascii="仿宋" w:hAnsi="仿宋" w:eastAsia="仿宋" w:cs="仿宋"/>
                <w:sz w:val="24"/>
                <w:szCs w:val="24"/>
                <w:rtl w:val="0"/>
                <w:lang w:val="en-US" w:eastAsia="zh-CN"/>
              </w:rPr>
              <w:t>平均无故障时间≥20000H，</w:t>
            </w:r>
            <w:r>
              <w:rPr>
                <w:rFonts w:hint="eastAsia" w:ascii="仿宋" w:hAnsi="仿宋" w:eastAsia="仿宋" w:cs="仿宋"/>
                <w:sz w:val="24"/>
                <w:szCs w:val="24"/>
                <w:rtl w:val="0"/>
                <w:lang w:val="zh-TW" w:eastAsia="zh-CN"/>
              </w:rPr>
              <w:t>送检同功率样品灯具不低于5个且</w:t>
            </w:r>
            <w:r>
              <w:rPr>
                <w:rFonts w:hint="eastAsia" w:ascii="仿宋" w:hAnsi="仿宋" w:eastAsia="仿宋" w:cs="仿宋"/>
                <w:sz w:val="24"/>
                <w:szCs w:val="24"/>
                <w:rtl w:val="0"/>
                <w:lang w:val="en-US" w:eastAsia="zh-CN"/>
              </w:rPr>
              <w:t>单个灯具连续实测时间不少于1700H，测试时间内灯具无不能发光或无部分光源不发光。</w:t>
            </w:r>
          </w:p>
          <w:p w14:paraId="5D137D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6．</w:t>
            </w:r>
            <w:r>
              <w:rPr>
                <w:rFonts w:hint="eastAsia" w:ascii="仿宋" w:hAnsi="仿宋" w:eastAsia="仿宋" w:cs="仿宋"/>
                <w:sz w:val="24"/>
                <w:szCs w:val="24"/>
                <w:rtl w:val="0"/>
                <w:lang w:val="en-US" w:eastAsia="zh-CN"/>
              </w:rPr>
              <w:t>灯具透镜在光辐射总量累计≥4000MJ/ ㎡的情况下无开裂、松脱。</w:t>
            </w:r>
          </w:p>
          <w:p w14:paraId="3B9604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7．</w:t>
            </w:r>
            <w:r>
              <w:rPr>
                <w:rFonts w:hint="eastAsia" w:ascii="仿宋" w:hAnsi="仿宋" w:eastAsia="仿宋" w:cs="仿宋"/>
                <w:sz w:val="24"/>
                <w:szCs w:val="24"/>
                <w:rtl w:val="0"/>
                <w:lang w:val="zh-TW" w:eastAsia="zh-TW"/>
              </w:rPr>
              <w:t>灯具进行自然试验</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zh-TW" w:eastAsia="zh-TW"/>
              </w:rPr>
              <w:t>持续时间不少于十二月，试验后电源与灯具连接正常，无移位，无脱落，接线处完整</w:t>
            </w:r>
            <w:r>
              <w:rPr>
                <w:rFonts w:hint="eastAsia" w:ascii="仿宋" w:hAnsi="仿宋" w:eastAsia="仿宋" w:cs="仿宋"/>
                <w:sz w:val="24"/>
                <w:szCs w:val="24"/>
                <w:rtl w:val="0"/>
                <w:lang w:val="zh-TW" w:eastAsia="zh-CN"/>
              </w:rPr>
              <w:t>。</w:t>
            </w:r>
          </w:p>
          <w:p w14:paraId="31BE07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TW" w:eastAsia="zh-TW"/>
              </w:rPr>
            </w:pPr>
            <w:r>
              <w:rPr>
                <w:rFonts w:hint="default" w:ascii="仿宋" w:hAnsi="仿宋" w:eastAsia="仿宋" w:cs="仿宋"/>
                <w:b w:val="0"/>
                <w:bCs w:val="0"/>
                <w:kern w:val="2"/>
                <w:sz w:val="24"/>
                <w:szCs w:val="24"/>
                <w:rtl w:val="0"/>
                <w:lang w:val="zh-TW" w:eastAsia="zh-TW" w:bidi="ar-SA"/>
              </w:rPr>
              <w:t>8．</w:t>
            </w:r>
            <w:r>
              <w:rPr>
                <w:rFonts w:hint="eastAsia" w:ascii="仿宋" w:hAnsi="仿宋" w:eastAsia="仿宋" w:cs="仿宋"/>
                <w:sz w:val="24"/>
                <w:szCs w:val="24"/>
                <w:rtl w:val="0"/>
                <w:lang w:val="zh-TW" w:eastAsia="zh-TW"/>
              </w:rPr>
              <w:t>灯具持续在</w:t>
            </w:r>
            <w:r>
              <w:rPr>
                <w:rFonts w:hint="eastAsia" w:ascii="仿宋" w:hAnsi="仿宋" w:eastAsia="仿宋" w:cs="仿宋"/>
                <w:sz w:val="24"/>
                <w:szCs w:val="24"/>
                <w:rtl w:val="0"/>
                <w:lang w:val="zh-TW" w:eastAsia="zh-CN"/>
              </w:rPr>
              <w:t>平均</w:t>
            </w:r>
            <w:r>
              <w:rPr>
                <w:rFonts w:hint="eastAsia" w:ascii="仿宋" w:hAnsi="仿宋" w:eastAsia="仿宋" w:cs="仿宋"/>
                <w:sz w:val="24"/>
                <w:szCs w:val="24"/>
                <w:rtl w:val="0"/>
                <w:lang w:val="zh-TW" w:eastAsia="zh-TW"/>
              </w:rPr>
              <w:t>温度</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1</w:t>
            </w:r>
            <w:r>
              <w:rPr>
                <w:rFonts w:hint="eastAsia" w:ascii="仿宋" w:hAnsi="仿宋" w:eastAsia="仿宋" w:cs="仿宋"/>
                <w:sz w:val="24"/>
                <w:szCs w:val="24"/>
                <w:rtl w:val="0"/>
                <w:lang w:val="en-US" w:eastAsia="zh-TW"/>
              </w:rPr>
              <w:t>0℃</w:t>
            </w:r>
            <w:r>
              <w:rPr>
                <w:rFonts w:hint="eastAsia" w:ascii="仿宋" w:hAnsi="仿宋" w:eastAsia="仿宋" w:cs="仿宋"/>
                <w:sz w:val="24"/>
                <w:szCs w:val="24"/>
                <w:rtl w:val="0"/>
                <w:lang w:val="zh-TW" w:eastAsia="zh-TW"/>
              </w:rPr>
              <w:t>，平均相对湿度</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50</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zh-TW" w:eastAsia="zh-TW"/>
              </w:rPr>
              <w:t>的自然环境下十二个月内灯具</w:t>
            </w:r>
            <w:r>
              <w:rPr>
                <w:rFonts w:hint="eastAsia" w:ascii="仿宋" w:hAnsi="仿宋" w:eastAsia="仿宋" w:cs="仿宋"/>
                <w:color w:val="000000"/>
                <w:spacing w:val="0"/>
                <w:w w:val="100"/>
                <w:kern w:val="2"/>
                <w:position w:val="0"/>
                <w:sz w:val="24"/>
                <w:szCs w:val="24"/>
                <w:u w:val="none" w:color="000000"/>
                <w:shd w:val="clear" w:color="auto" w:fill="auto"/>
                <w:vertAlign w:val="baseline"/>
                <w:rtl w:val="0"/>
                <w:lang w:val="en-US" w:eastAsia="zh-CN"/>
              </w:rPr>
              <w:t>散热器未出现开裂、生锈</w:t>
            </w:r>
            <w:r>
              <w:rPr>
                <w:rFonts w:hint="eastAsia" w:ascii="仿宋" w:hAnsi="仿宋" w:eastAsia="仿宋" w:cs="仿宋"/>
                <w:sz w:val="24"/>
                <w:szCs w:val="24"/>
                <w:rtl w:val="0"/>
                <w:lang w:val="zh-TW" w:eastAsia="zh-TW"/>
              </w:rPr>
              <w:t>，紧固件无生锈，无松动，无脱落</w:t>
            </w:r>
            <w:r>
              <w:rPr>
                <w:rFonts w:hint="eastAsia" w:ascii="仿宋" w:hAnsi="仿宋" w:eastAsia="仿宋" w:cs="仿宋"/>
                <w:sz w:val="24"/>
                <w:szCs w:val="24"/>
                <w:rtl w:val="0"/>
                <w:lang w:val="zh-TW" w:eastAsia="zh-CN"/>
              </w:rPr>
              <w:t>。</w:t>
            </w:r>
          </w:p>
          <w:p w14:paraId="75573B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val="0"/>
                <w:sz w:val="24"/>
                <w:szCs w:val="24"/>
                <w:lang w:val="en-US" w:eastAsia="zh-CN"/>
              </w:rPr>
            </w:pPr>
            <w:r>
              <w:rPr>
                <w:rFonts w:hint="default" w:ascii="仿宋" w:hAnsi="仿宋" w:eastAsia="仿宋" w:cs="仿宋"/>
                <w:b w:val="0"/>
                <w:bCs w:val="0"/>
                <w:kern w:val="2"/>
                <w:sz w:val="24"/>
                <w:szCs w:val="24"/>
                <w:lang w:val="en-US" w:eastAsia="zh-CN" w:bidi="ar-SA"/>
              </w:rPr>
              <w:t>9．</w:t>
            </w:r>
            <w:r>
              <w:rPr>
                <w:rFonts w:hint="eastAsia" w:ascii="仿宋" w:hAnsi="仿宋" w:eastAsia="仿宋" w:cs="仿宋"/>
                <w:color w:val="000000"/>
                <w:sz w:val="24"/>
                <w:szCs w:val="24"/>
                <w:u w:color="000000"/>
                <w:rtl w:val="0"/>
                <w:lang w:val="zh-TW" w:eastAsia="zh-TW"/>
              </w:rPr>
              <w:t>灯具经过耐久性试验和热试验、绝缘电阻和电气强度试验、耐热耐火和耐起痕试验</w:t>
            </w:r>
            <w:r>
              <w:rPr>
                <w:rFonts w:hint="eastAsia" w:ascii="仿宋" w:hAnsi="仿宋" w:eastAsia="仿宋" w:cs="仿宋"/>
                <w:color w:val="000000"/>
                <w:sz w:val="24"/>
                <w:szCs w:val="24"/>
                <w:u w:color="000000"/>
                <w:rtl w:val="0"/>
                <w:lang w:val="zh-TW" w:eastAsia="zh-CN"/>
              </w:rPr>
              <w:t>。</w:t>
            </w:r>
          </w:p>
          <w:p w14:paraId="03250B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b w:val="0"/>
                <w:bCs w:val="0"/>
                <w:color w:val="auto"/>
                <w:kern w:val="2"/>
                <w:sz w:val="24"/>
                <w:szCs w:val="24"/>
                <w:lang w:val="en-US" w:eastAsia="zh-CN" w:bidi="ar-SA"/>
              </w:rPr>
              <w:t>10．</w:t>
            </w:r>
            <w:r>
              <w:rPr>
                <w:rFonts w:hint="eastAsia" w:ascii="仿宋" w:hAnsi="仿宋" w:eastAsia="仿宋" w:cs="仿宋"/>
                <w:sz w:val="24"/>
                <w:szCs w:val="24"/>
                <w:rtl w:val="0"/>
                <w:lang w:val="zh-TW" w:eastAsia="zh-TW"/>
              </w:rPr>
              <w:t>灯具应具备创新型的散热器通风孔设计，满足散热的同时，增加空气对流性及降低风阻。</w:t>
            </w:r>
          </w:p>
        </w:tc>
        <w:tc>
          <w:tcPr>
            <w:tcW w:w="453" w:type="pct"/>
            <w:vAlign w:val="center"/>
          </w:tcPr>
          <w:p w14:paraId="74EDF7C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1676A1C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942" w:type="pct"/>
            <w:vAlign w:val="center"/>
          </w:tcPr>
          <w:p w14:paraId="1E5182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762000" cy="429260"/>
                  <wp:effectExtent l="0" t="0" r="0" b="8890"/>
                  <wp:docPr id="57" name="图片 57" descr="微信图片_202502161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50216135748"/>
                          <pic:cNvPicPr>
                            <a:picLocks noChangeAspect="1"/>
                          </pic:cNvPicPr>
                        </pic:nvPicPr>
                        <pic:blipFill>
                          <a:blip r:embed="rId9"/>
                          <a:stretch>
                            <a:fillRect/>
                          </a:stretch>
                        </pic:blipFill>
                        <pic:spPr>
                          <a:xfrm>
                            <a:off x="0" y="0"/>
                            <a:ext cx="762000" cy="429260"/>
                          </a:xfrm>
                          <a:prstGeom prst="rect">
                            <a:avLst/>
                          </a:prstGeom>
                        </pic:spPr>
                      </pic:pic>
                    </a:graphicData>
                  </a:graphic>
                </wp:inline>
              </w:drawing>
            </w:r>
          </w:p>
        </w:tc>
      </w:tr>
      <w:tr w14:paraId="5F7B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2E1A2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82" w:type="pct"/>
            <w:vAlign w:val="center"/>
          </w:tcPr>
          <w:p w14:paraId="33F92D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灯具固定支架</w:t>
            </w:r>
          </w:p>
        </w:tc>
        <w:tc>
          <w:tcPr>
            <w:tcW w:w="1905" w:type="pct"/>
            <w:vAlign w:val="center"/>
          </w:tcPr>
          <w:p w14:paraId="4C0AA5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灯具固定支架</w:t>
            </w:r>
          </w:p>
          <w:p w14:paraId="1C1ADC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1D953C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本体安装</w:t>
            </w:r>
          </w:p>
          <w:p w14:paraId="24723C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tc>
        <w:tc>
          <w:tcPr>
            <w:tcW w:w="453" w:type="pct"/>
            <w:vAlign w:val="center"/>
          </w:tcPr>
          <w:p w14:paraId="7F6C954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13C3CF7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942" w:type="pct"/>
            <w:vAlign w:val="center"/>
          </w:tcPr>
          <w:p w14:paraId="200F25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718D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34A170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82" w:type="pct"/>
            <w:vAlign w:val="center"/>
          </w:tcPr>
          <w:p w14:paraId="31AE06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配电箱</w:t>
            </w:r>
          </w:p>
        </w:tc>
        <w:tc>
          <w:tcPr>
            <w:tcW w:w="1905" w:type="pct"/>
            <w:vAlign w:val="center"/>
          </w:tcPr>
          <w:p w14:paraId="6E701D4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室内</w:t>
            </w:r>
            <w:r>
              <w:rPr>
                <w:rFonts w:hint="eastAsia" w:ascii="仿宋" w:hAnsi="仿宋" w:eastAsia="仿宋" w:cs="仿宋"/>
                <w:color w:val="auto"/>
                <w:sz w:val="24"/>
                <w:szCs w:val="24"/>
              </w:rPr>
              <w:t>配电箱</w:t>
            </w:r>
          </w:p>
          <w:p w14:paraId="6D7B36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5C21BBF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基础形式、材质、规格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防护等级IP65</w:t>
            </w:r>
          </w:p>
          <w:p w14:paraId="7CF819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接线端子材质、规格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详</w:t>
            </w:r>
            <w:r>
              <w:rPr>
                <w:rFonts w:hint="eastAsia" w:ascii="仿宋" w:hAnsi="仿宋" w:eastAsia="仿宋" w:cs="仿宋"/>
                <w:color w:val="auto"/>
                <w:sz w:val="24"/>
                <w:szCs w:val="24"/>
                <w:lang w:val="en-US" w:eastAsia="zh-CN"/>
              </w:rPr>
              <w:t>见</w:t>
            </w:r>
            <w:r>
              <w:rPr>
                <w:rFonts w:hint="eastAsia" w:ascii="仿宋" w:hAnsi="仿宋" w:eastAsia="仿宋" w:cs="仿宋"/>
                <w:color w:val="auto"/>
                <w:sz w:val="24"/>
                <w:szCs w:val="24"/>
              </w:rPr>
              <w:t>设计</w:t>
            </w:r>
          </w:p>
          <w:p w14:paraId="7B1C3F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本体安装</w:t>
            </w:r>
          </w:p>
          <w:p w14:paraId="6A3C741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基础型钢制作、安装</w:t>
            </w:r>
          </w:p>
          <w:p w14:paraId="633AA8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焊、压接线端子</w:t>
            </w:r>
          </w:p>
          <w:p w14:paraId="03E889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p w14:paraId="5ECD62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接地</w:t>
            </w:r>
          </w:p>
        </w:tc>
        <w:tc>
          <w:tcPr>
            <w:tcW w:w="453" w:type="pct"/>
            <w:vAlign w:val="center"/>
          </w:tcPr>
          <w:p w14:paraId="2511615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4899D03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15DD592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72A4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7C2B7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82" w:type="pct"/>
            <w:vAlign w:val="center"/>
          </w:tcPr>
          <w:p w14:paraId="1775A6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电力电缆</w:t>
            </w:r>
          </w:p>
        </w:tc>
        <w:tc>
          <w:tcPr>
            <w:tcW w:w="1905" w:type="pct"/>
            <w:vAlign w:val="center"/>
          </w:tcPr>
          <w:p w14:paraId="57FD03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电力电缆</w:t>
            </w:r>
          </w:p>
          <w:p w14:paraId="563116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3*4mm2</w:t>
            </w:r>
          </w:p>
          <w:p w14:paraId="7F04F2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60A8B0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621FE9B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65C0B19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430</w:t>
            </w:r>
          </w:p>
        </w:tc>
        <w:tc>
          <w:tcPr>
            <w:tcW w:w="942" w:type="pct"/>
            <w:vAlign w:val="center"/>
          </w:tcPr>
          <w:p w14:paraId="4FD4EC1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0E9F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DC0E6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782" w:type="pct"/>
            <w:vAlign w:val="center"/>
          </w:tcPr>
          <w:p w14:paraId="3B123E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电缆套管</w:t>
            </w:r>
          </w:p>
        </w:tc>
        <w:tc>
          <w:tcPr>
            <w:tcW w:w="1905" w:type="pct"/>
            <w:vAlign w:val="center"/>
          </w:tcPr>
          <w:p w14:paraId="7DD8B6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电缆套管</w:t>
            </w:r>
          </w:p>
          <w:p w14:paraId="71C5CF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材质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JDG</w:t>
            </w:r>
          </w:p>
          <w:p w14:paraId="1FCBB2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25</w:t>
            </w:r>
          </w:p>
          <w:p w14:paraId="41C70C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敷设方式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埋地</w:t>
            </w:r>
          </w:p>
          <w:p w14:paraId="1EE229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电线管路敷设</w:t>
            </w:r>
          </w:p>
          <w:p w14:paraId="525372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45BECAF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31B2D16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430</w:t>
            </w:r>
          </w:p>
        </w:tc>
        <w:tc>
          <w:tcPr>
            <w:tcW w:w="942" w:type="pct"/>
            <w:vAlign w:val="center"/>
          </w:tcPr>
          <w:p w14:paraId="3DF3D85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74A9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353C96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82" w:type="pct"/>
            <w:vAlign w:val="center"/>
          </w:tcPr>
          <w:p w14:paraId="2175D0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金属软管</w:t>
            </w:r>
          </w:p>
        </w:tc>
        <w:tc>
          <w:tcPr>
            <w:tcW w:w="1905" w:type="pct"/>
            <w:vAlign w:val="center"/>
          </w:tcPr>
          <w:p w14:paraId="07D614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金属软管</w:t>
            </w:r>
          </w:p>
          <w:p w14:paraId="0A169C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Φ20</w:t>
            </w:r>
          </w:p>
          <w:p w14:paraId="30C99F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5AAC57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79FB6F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4B904CE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36</w:t>
            </w:r>
          </w:p>
        </w:tc>
        <w:tc>
          <w:tcPr>
            <w:tcW w:w="942" w:type="pct"/>
            <w:vAlign w:val="center"/>
          </w:tcPr>
          <w:p w14:paraId="55AE96E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74E4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DC6F6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782" w:type="pct"/>
            <w:vAlign w:val="center"/>
          </w:tcPr>
          <w:p w14:paraId="27911F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接线盒</w:t>
            </w:r>
          </w:p>
        </w:tc>
        <w:tc>
          <w:tcPr>
            <w:tcW w:w="1905" w:type="pct"/>
            <w:vAlign w:val="center"/>
          </w:tcPr>
          <w:p w14:paraId="345BC2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防水接线盒</w:t>
            </w:r>
          </w:p>
          <w:p w14:paraId="59D3A8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86型</w:t>
            </w:r>
          </w:p>
          <w:p w14:paraId="67B9F7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lang w:val="en-US" w:eastAsia="zh-CN"/>
              </w:rPr>
              <w:t>密封打胶</w:t>
            </w:r>
          </w:p>
          <w:p w14:paraId="24887D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51E9545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个</w:t>
            </w:r>
          </w:p>
        </w:tc>
        <w:tc>
          <w:tcPr>
            <w:tcW w:w="577" w:type="pct"/>
            <w:vAlign w:val="center"/>
          </w:tcPr>
          <w:p w14:paraId="3B60249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w:t>
            </w:r>
          </w:p>
        </w:tc>
        <w:tc>
          <w:tcPr>
            <w:tcW w:w="942" w:type="pct"/>
            <w:vAlign w:val="center"/>
          </w:tcPr>
          <w:p w14:paraId="5A4AD2B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7CC6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3B86DE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782" w:type="pct"/>
            <w:vAlign w:val="center"/>
          </w:tcPr>
          <w:p w14:paraId="0B9675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施工费用</w:t>
            </w:r>
          </w:p>
        </w:tc>
        <w:tc>
          <w:tcPr>
            <w:tcW w:w="1905" w:type="pct"/>
            <w:vAlign w:val="center"/>
          </w:tcPr>
          <w:p w14:paraId="10E3E5A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综合考虑</w:t>
            </w:r>
          </w:p>
        </w:tc>
        <w:tc>
          <w:tcPr>
            <w:tcW w:w="453" w:type="pct"/>
            <w:vAlign w:val="center"/>
          </w:tcPr>
          <w:p w14:paraId="090669B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vAlign w:val="center"/>
          </w:tcPr>
          <w:p w14:paraId="52117F6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0631817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36CC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42" w:type="pct"/>
          <w:trHeight w:val="0" w:hRule="atLeast"/>
        </w:trPr>
        <w:tc>
          <w:tcPr>
            <w:tcW w:w="4057" w:type="pct"/>
            <w:gridSpan w:val="5"/>
            <w:vAlign w:val="center"/>
          </w:tcPr>
          <w:p w14:paraId="209340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五、室内6片羽毛球场</w:t>
            </w:r>
          </w:p>
        </w:tc>
      </w:tr>
      <w:tr w14:paraId="39E7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86CED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782" w:type="pct"/>
            <w:vAlign w:val="center"/>
          </w:tcPr>
          <w:p w14:paraId="4318E0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项目内容</w:t>
            </w:r>
          </w:p>
        </w:tc>
        <w:tc>
          <w:tcPr>
            <w:tcW w:w="1905" w:type="pct"/>
            <w:vAlign w:val="center"/>
          </w:tcPr>
          <w:p w14:paraId="4D3431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参数</w:t>
            </w:r>
          </w:p>
        </w:tc>
        <w:tc>
          <w:tcPr>
            <w:tcW w:w="453" w:type="pct"/>
            <w:vAlign w:val="center"/>
          </w:tcPr>
          <w:p w14:paraId="2BE5A3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单位</w:t>
            </w:r>
          </w:p>
        </w:tc>
        <w:tc>
          <w:tcPr>
            <w:tcW w:w="577" w:type="pct"/>
            <w:vAlign w:val="center"/>
          </w:tcPr>
          <w:p w14:paraId="7A8E7A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数量</w:t>
            </w:r>
          </w:p>
        </w:tc>
        <w:tc>
          <w:tcPr>
            <w:tcW w:w="942" w:type="pct"/>
            <w:vAlign w:val="center"/>
          </w:tcPr>
          <w:p w14:paraId="538C15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参考图片</w:t>
            </w:r>
          </w:p>
          <w:p w14:paraId="44CFB2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（如有则提供）</w:t>
            </w:r>
          </w:p>
        </w:tc>
      </w:tr>
      <w:tr w14:paraId="05BB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B5582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2" w:type="pct"/>
            <w:vAlign w:val="center"/>
          </w:tcPr>
          <w:p w14:paraId="45C5AB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室内6片羽毛球场</w:t>
            </w:r>
          </w:p>
          <w:p w14:paraId="4F1FA4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（LED球场灯240W）</w:t>
            </w:r>
          </w:p>
        </w:tc>
        <w:tc>
          <w:tcPr>
            <w:tcW w:w="1905" w:type="pct"/>
            <w:vAlign w:val="center"/>
          </w:tcPr>
          <w:p w14:paraId="182692B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产品要求：</w:t>
            </w:r>
            <w:r>
              <w:rPr>
                <w:rFonts w:hint="eastAsia" w:ascii="仿宋" w:hAnsi="仿宋" w:eastAsia="仿宋" w:cs="仿宋"/>
                <w:color w:val="auto"/>
                <w:sz w:val="24"/>
                <w:szCs w:val="24"/>
                <w:lang w:val="en-US" w:eastAsia="zh-CN"/>
              </w:rPr>
              <w:t>羽毛球</w:t>
            </w:r>
            <w:r>
              <w:rPr>
                <w:rFonts w:hint="eastAsia" w:ascii="仿宋" w:hAnsi="仿宋" w:eastAsia="仿宋" w:cs="仿宋"/>
                <w:color w:val="auto"/>
                <w:sz w:val="24"/>
                <w:szCs w:val="24"/>
              </w:rPr>
              <w:t>馆球场照明按照JGJ153-2016 《体育场馆照明设计及检测标准》要求，球场照明指标需达到Ⅱ级标准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水平平均照度Eh≥500lux，均匀度U2≥0.6，显色指数Ra≥80，眩光值GR≤30。</w:t>
            </w:r>
          </w:p>
          <w:p w14:paraId="479887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功率：240W</w:t>
            </w:r>
          </w:p>
          <w:p w14:paraId="100273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色温：5000K±200K</w:t>
            </w:r>
          </w:p>
          <w:p w14:paraId="1DA91C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显色指数≥80</w:t>
            </w:r>
          </w:p>
          <w:p w14:paraId="7B7953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发光角度：专场定制</w:t>
            </w:r>
          </w:p>
          <w:p w14:paraId="664541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灯具出光效率&gt;90%</w:t>
            </w:r>
          </w:p>
          <w:p w14:paraId="50575C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工作环境温度：-30C-+55℃</w:t>
            </w:r>
          </w:p>
          <w:p w14:paraId="6DD1DA7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储存环境温度：-30C-+60℃</w:t>
            </w:r>
          </w:p>
          <w:p w14:paraId="250817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输入电压：AC100-240V</w:t>
            </w:r>
          </w:p>
          <w:p w14:paraId="3904D1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总谐波失真≤15%</w:t>
            </w:r>
          </w:p>
          <w:p w14:paraId="1C2AFC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color w:val="auto"/>
                <w:sz w:val="24"/>
                <w:szCs w:val="24"/>
              </w:rPr>
              <w:t>电源效率</w:t>
            </w:r>
            <w:r>
              <w:rPr>
                <w:rFonts w:hint="eastAsia" w:ascii="仿宋" w:hAnsi="仿宋" w:eastAsia="仿宋" w:cs="仿宋"/>
                <w:color w:val="auto"/>
                <w:sz w:val="24"/>
                <w:szCs w:val="24"/>
              </w:rPr>
              <w:tab/>
            </w:r>
            <w:r>
              <w:rPr>
                <w:rFonts w:hint="eastAsia" w:ascii="仿宋" w:hAnsi="仿宋" w:eastAsia="仿宋" w:cs="仿宋"/>
                <w:color w:val="auto"/>
                <w:sz w:val="24"/>
                <w:szCs w:val="24"/>
              </w:rPr>
              <w:t>&gt;95%</w:t>
            </w:r>
          </w:p>
          <w:p w14:paraId="3E055F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11．</w:t>
            </w:r>
            <w:r>
              <w:rPr>
                <w:rFonts w:hint="eastAsia" w:ascii="仿宋" w:hAnsi="仿宋" w:eastAsia="仿宋" w:cs="仿宋"/>
                <w:color w:val="auto"/>
                <w:sz w:val="24"/>
                <w:szCs w:val="24"/>
              </w:rPr>
              <w:t>配光方式：LED+PC防眩光罩+防眩格栅</w:t>
            </w:r>
          </w:p>
          <w:p w14:paraId="1AA2A8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12．</w:t>
            </w:r>
            <w:r>
              <w:rPr>
                <w:rFonts w:hint="eastAsia" w:ascii="仿宋" w:hAnsi="仿宋" w:eastAsia="仿宋" w:cs="仿宋"/>
                <w:color w:val="auto"/>
                <w:sz w:val="24"/>
                <w:szCs w:val="24"/>
              </w:rPr>
              <w:t>功率因数：0.95</w:t>
            </w:r>
          </w:p>
          <w:p w14:paraId="3F9C60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13．</w:t>
            </w:r>
            <w:r>
              <w:rPr>
                <w:rFonts w:hint="eastAsia" w:ascii="仿宋" w:hAnsi="仿宋" w:eastAsia="仿宋" w:cs="仿宋"/>
                <w:color w:val="auto"/>
                <w:sz w:val="24"/>
                <w:szCs w:val="24"/>
              </w:rPr>
              <w:t>系统功耗：200-240W</w:t>
            </w:r>
          </w:p>
          <w:p w14:paraId="29BED1A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14．</w:t>
            </w:r>
            <w:r>
              <w:rPr>
                <w:rFonts w:hint="eastAsia" w:ascii="仿宋" w:hAnsi="仿宋" w:eastAsia="仿宋" w:cs="仿宋"/>
                <w:color w:val="auto"/>
                <w:sz w:val="24"/>
                <w:szCs w:val="24"/>
              </w:rPr>
              <w:t>初始光通量：26000-31000LM</w:t>
            </w:r>
          </w:p>
          <w:p w14:paraId="6C0AA7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15．</w:t>
            </w:r>
            <w:r>
              <w:rPr>
                <w:rFonts w:hint="eastAsia" w:ascii="仿宋" w:hAnsi="仿宋" w:eastAsia="仿宋" w:cs="仿宋"/>
                <w:color w:val="auto"/>
                <w:sz w:val="24"/>
                <w:szCs w:val="24"/>
              </w:rPr>
              <w:t>使用寿命</w:t>
            </w:r>
            <w:r>
              <w:rPr>
                <w:rFonts w:hint="eastAsia" w:ascii="仿宋" w:hAnsi="仿宋" w:eastAsia="仿宋" w:cs="仿宋"/>
                <w:color w:val="auto"/>
                <w:sz w:val="24"/>
                <w:szCs w:val="24"/>
              </w:rPr>
              <w:tab/>
            </w:r>
            <w:r>
              <w:rPr>
                <w:rFonts w:hint="eastAsia" w:ascii="仿宋" w:hAnsi="仿宋" w:eastAsia="仿宋" w:cs="仿宋"/>
                <w:color w:val="auto"/>
                <w:sz w:val="24"/>
                <w:szCs w:val="24"/>
              </w:rPr>
              <w:t>&gt;50000小时</w:t>
            </w:r>
          </w:p>
          <w:p w14:paraId="748D5E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16．</w:t>
            </w:r>
            <w:r>
              <w:rPr>
                <w:rFonts w:hint="eastAsia" w:ascii="仿宋" w:hAnsi="仿宋" w:eastAsia="仿宋" w:cs="仿宋"/>
                <w:color w:val="auto"/>
                <w:sz w:val="24"/>
                <w:szCs w:val="24"/>
              </w:rPr>
              <w:t>IP等级：IP50</w:t>
            </w:r>
          </w:p>
          <w:p w14:paraId="5DF2A0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17．</w:t>
            </w:r>
            <w:r>
              <w:rPr>
                <w:rFonts w:hint="eastAsia" w:ascii="仿宋" w:hAnsi="仿宋" w:eastAsia="仿宋" w:cs="仿宋"/>
                <w:color w:val="auto"/>
                <w:sz w:val="24"/>
                <w:szCs w:val="24"/>
              </w:rPr>
              <w:t>材质</w:t>
            </w:r>
            <w:r>
              <w:rPr>
                <w:rFonts w:hint="eastAsia" w:ascii="仿宋" w:hAnsi="仿宋" w:eastAsia="仿宋" w:cs="仿宋"/>
                <w:color w:val="auto"/>
                <w:sz w:val="24"/>
                <w:szCs w:val="24"/>
              </w:rPr>
              <w:tab/>
            </w:r>
            <w:r>
              <w:rPr>
                <w:rFonts w:hint="eastAsia" w:ascii="仿宋" w:hAnsi="仿宋" w:eastAsia="仿宋" w:cs="仿宋"/>
                <w:color w:val="auto"/>
                <w:sz w:val="24"/>
                <w:szCs w:val="24"/>
              </w:rPr>
              <w:t>：6063-T5航空铝</w:t>
            </w:r>
          </w:p>
          <w:p w14:paraId="19E860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18．</w:t>
            </w:r>
            <w:r>
              <w:rPr>
                <w:rFonts w:hint="eastAsia" w:ascii="仿宋" w:hAnsi="仿宋" w:eastAsia="仿宋" w:cs="仿宋"/>
                <w:color w:val="auto"/>
                <w:sz w:val="24"/>
                <w:szCs w:val="24"/>
              </w:rPr>
              <w:t>灯具尺寸：1200*300*120MM</w:t>
            </w:r>
          </w:p>
        </w:tc>
        <w:tc>
          <w:tcPr>
            <w:tcW w:w="453" w:type="pct"/>
            <w:vAlign w:val="center"/>
          </w:tcPr>
          <w:p w14:paraId="2B916B7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盏</w:t>
            </w:r>
          </w:p>
        </w:tc>
        <w:tc>
          <w:tcPr>
            <w:tcW w:w="577" w:type="pct"/>
            <w:vAlign w:val="center"/>
          </w:tcPr>
          <w:p w14:paraId="2FF8BAF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60</w:t>
            </w:r>
          </w:p>
        </w:tc>
        <w:tc>
          <w:tcPr>
            <w:tcW w:w="942" w:type="pct"/>
            <w:vAlign w:val="center"/>
          </w:tcPr>
          <w:p w14:paraId="1776F6C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784860" cy="311785"/>
                  <wp:effectExtent l="0" t="0" r="15240" b="12065"/>
                  <wp:docPr id="58" name="图片 58" descr="微信图片_2025021614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50216141556"/>
                          <pic:cNvPicPr>
                            <a:picLocks noChangeAspect="1"/>
                          </pic:cNvPicPr>
                        </pic:nvPicPr>
                        <pic:blipFill>
                          <a:blip r:embed="rId10"/>
                          <a:stretch>
                            <a:fillRect/>
                          </a:stretch>
                        </pic:blipFill>
                        <pic:spPr>
                          <a:xfrm>
                            <a:off x="0" y="0"/>
                            <a:ext cx="784860" cy="311785"/>
                          </a:xfrm>
                          <a:prstGeom prst="rect">
                            <a:avLst/>
                          </a:prstGeom>
                        </pic:spPr>
                      </pic:pic>
                    </a:graphicData>
                  </a:graphic>
                </wp:inline>
              </w:drawing>
            </w:r>
          </w:p>
        </w:tc>
      </w:tr>
      <w:tr w14:paraId="1D4F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E6EA0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82" w:type="pct"/>
            <w:vAlign w:val="center"/>
          </w:tcPr>
          <w:p w14:paraId="100CAF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灯具固定支架</w:t>
            </w:r>
          </w:p>
        </w:tc>
        <w:tc>
          <w:tcPr>
            <w:tcW w:w="1905" w:type="pct"/>
            <w:vAlign w:val="center"/>
          </w:tcPr>
          <w:p w14:paraId="793B56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灯具固定支架</w:t>
            </w:r>
          </w:p>
          <w:p w14:paraId="0AC2B4F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456753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本体安装</w:t>
            </w:r>
          </w:p>
          <w:p w14:paraId="301840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tc>
        <w:tc>
          <w:tcPr>
            <w:tcW w:w="453" w:type="pct"/>
            <w:vAlign w:val="center"/>
          </w:tcPr>
          <w:p w14:paraId="24AC24C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5ED7AE1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120</w:t>
            </w:r>
          </w:p>
        </w:tc>
        <w:tc>
          <w:tcPr>
            <w:tcW w:w="942" w:type="pct"/>
            <w:vAlign w:val="center"/>
          </w:tcPr>
          <w:p w14:paraId="4A34E80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4CBF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5929D1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82" w:type="pct"/>
            <w:vAlign w:val="center"/>
          </w:tcPr>
          <w:p w14:paraId="58F146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配电箱</w:t>
            </w:r>
          </w:p>
        </w:tc>
        <w:tc>
          <w:tcPr>
            <w:tcW w:w="1905" w:type="pct"/>
            <w:vAlign w:val="center"/>
          </w:tcPr>
          <w:p w14:paraId="1EEDB7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室内</w:t>
            </w:r>
            <w:r>
              <w:rPr>
                <w:rFonts w:hint="eastAsia" w:ascii="仿宋" w:hAnsi="仿宋" w:eastAsia="仿宋" w:cs="仿宋"/>
                <w:color w:val="auto"/>
                <w:sz w:val="24"/>
                <w:szCs w:val="24"/>
              </w:rPr>
              <w:t>配电箱</w:t>
            </w:r>
          </w:p>
          <w:p w14:paraId="136403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381397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基础形式、材质、规格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防护等级IP65</w:t>
            </w:r>
          </w:p>
          <w:p w14:paraId="6425D6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接线端子材质、规格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详</w:t>
            </w:r>
            <w:r>
              <w:rPr>
                <w:rFonts w:hint="eastAsia" w:ascii="仿宋" w:hAnsi="仿宋" w:eastAsia="仿宋" w:cs="仿宋"/>
                <w:color w:val="auto"/>
                <w:sz w:val="24"/>
                <w:szCs w:val="24"/>
                <w:lang w:val="en-US" w:eastAsia="zh-CN"/>
              </w:rPr>
              <w:t>见</w:t>
            </w:r>
            <w:r>
              <w:rPr>
                <w:rFonts w:hint="eastAsia" w:ascii="仿宋" w:hAnsi="仿宋" w:eastAsia="仿宋" w:cs="仿宋"/>
                <w:color w:val="auto"/>
                <w:sz w:val="24"/>
                <w:szCs w:val="24"/>
              </w:rPr>
              <w:t>设计</w:t>
            </w:r>
          </w:p>
          <w:p w14:paraId="27F7A6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本体安装</w:t>
            </w:r>
          </w:p>
          <w:p w14:paraId="528B1B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基础型钢制作、安装</w:t>
            </w:r>
          </w:p>
          <w:p w14:paraId="204EA9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焊、压接线端子</w:t>
            </w:r>
          </w:p>
          <w:p w14:paraId="12174D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p w14:paraId="23F074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接地</w:t>
            </w:r>
          </w:p>
        </w:tc>
        <w:tc>
          <w:tcPr>
            <w:tcW w:w="453" w:type="pct"/>
            <w:vAlign w:val="center"/>
          </w:tcPr>
          <w:p w14:paraId="12E1C43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4410063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3C0F55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77DA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5F6716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82" w:type="pct"/>
            <w:vAlign w:val="center"/>
          </w:tcPr>
          <w:p w14:paraId="08AC8F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电力电缆</w:t>
            </w:r>
          </w:p>
        </w:tc>
        <w:tc>
          <w:tcPr>
            <w:tcW w:w="1905" w:type="pct"/>
            <w:vAlign w:val="center"/>
          </w:tcPr>
          <w:p w14:paraId="0368BAC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电力电缆</w:t>
            </w:r>
          </w:p>
          <w:p w14:paraId="728A6D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3*4mm2</w:t>
            </w:r>
          </w:p>
          <w:p w14:paraId="3BE011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27634D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36EBF0C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2CA5C8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1450</w:t>
            </w:r>
          </w:p>
        </w:tc>
        <w:tc>
          <w:tcPr>
            <w:tcW w:w="942" w:type="pct"/>
            <w:vAlign w:val="center"/>
          </w:tcPr>
          <w:p w14:paraId="3BAE449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08C3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62ADB8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782" w:type="pct"/>
            <w:vAlign w:val="center"/>
          </w:tcPr>
          <w:p w14:paraId="41C74A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电缆桥架</w:t>
            </w:r>
          </w:p>
        </w:tc>
        <w:tc>
          <w:tcPr>
            <w:tcW w:w="1905" w:type="pct"/>
            <w:vAlign w:val="center"/>
          </w:tcPr>
          <w:p w14:paraId="16B819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电缆桥架</w:t>
            </w:r>
          </w:p>
          <w:p w14:paraId="70A42A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150*75</w:t>
            </w:r>
          </w:p>
          <w:p w14:paraId="791128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2C697D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1AEC9D8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38F6F5C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310</w:t>
            </w:r>
          </w:p>
        </w:tc>
        <w:tc>
          <w:tcPr>
            <w:tcW w:w="942" w:type="pct"/>
            <w:vAlign w:val="center"/>
          </w:tcPr>
          <w:p w14:paraId="5602B4A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39A1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14A14D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82" w:type="pct"/>
            <w:vAlign w:val="center"/>
          </w:tcPr>
          <w:p w14:paraId="281423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桥架固定支架</w:t>
            </w:r>
          </w:p>
        </w:tc>
        <w:tc>
          <w:tcPr>
            <w:tcW w:w="1905" w:type="pct"/>
            <w:vAlign w:val="center"/>
          </w:tcPr>
          <w:p w14:paraId="251EB0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桥架固定支架</w:t>
            </w:r>
          </w:p>
          <w:p w14:paraId="469527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3035F9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本体安装</w:t>
            </w:r>
          </w:p>
          <w:p w14:paraId="548DD3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tc>
        <w:tc>
          <w:tcPr>
            <w:tcW w:w="453" w:type="pct"/>
            <w:vAlign w:val="center"/>
          </w:tcPr>
          <w:p w14:paraId="14DF9F2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vAlign w:val="center"/>
          </w:tcPr>
          <w:p w14:paraId="0A2D0E1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3EE4BC3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5C1B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0D2676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782" w:type="pct"/>
            <w:vAlign w:val="center"/>
          </w:tcPr>
          <w:p w14:paraId="77848B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金属软管</w:t>
            </w:r>
          </w:p>
        </w:tc>
        <w:tc>
          <w:tcPr>
            <w:tcW w:w="1905" w:type="pct"/>
            <w:vAlign w:val="center"/>
          </w:tcPr>
          <w:p w14:paraId="24EDA2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金属软管</w:t>
            </w:r>
          </w:p>
          <w:p w14:paraId="4A84B26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Φ20</w:t>
            </w:r>
          </w:p>
          <w:p w14:paraId="6EC0DC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3CD3F1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195D9F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20C1310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180</w:t>
            </w:r>
          </w:p>
        </w:tc>
        <w:tc>
          <w:tcPr>
            <w:tcW w:w="942" w:type="pct"/>
            <w:vAlign w:val="center"/>
          </w:tcPr>
          <w:p w14:paraId="61190AA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5673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2ADCC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782" w:type="pct"/>
            <w:vAlign w:val="center"/>
          </w:tcPr>
          <w:p w14:paraId="679786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施工费用</w:t>
            </w:r>
          </w:p>
        </w:tc>
        <w:tc>
          <w:tcPr>
            <w:tcW w:w="1905" w:type="pct"/>
            <w:vAlign w:val="center"/>
          </w:tcPr>
          <w:p w14:paraId="5E94D4F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综合考虑</w:t>
            </w:r>
          </w:p>
        </w:tc>
        <w:tc>
          <w:tcPr>
            <w:tcW w:w="453" w:type="pct"/>
            <w:vAlign w:val="center"/>
          </w:tcPr>
          <w:p w14:paraId="3D269A5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vAlign w:val="center"/>
          </w:tcPr>
          <w:p w14:paraId="3708B2C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0F2B750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p>
        </w:tc>
      </w:tr>
      <w:tr w14:paraId="6630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42" w:type="pct"/>
          <w:trHeight w:val="0" w:hRule="atLeast"/>
        </w:trPr>
        <w:tc>
          <w:tcPr>
            <w:tcW w:w="4057" w:type="pct"/>
            <w:gridSpan w:val="5"/>
            <w:vAlign w:val="center"/>
          </w:tcPr>
          <w:p w14:paraId="630161B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六、2片风雨网球场</w:t>
            </w:r>
          </w:p>
        </w:tc>
      </w:tr>
      <w:tr w14:paraId="1DEB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3F3A80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782" w:type="pct"/>
            <w:vAlign w:val="center"/>
          </w:tcPr>
          <w:p w14:paraId="765A03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项目内容</w:t>
            </w:r>
          </w:p>
        </w:tc>
        <w:tc>
          <w:tcPr>
            <w:tcW w:w="1905" w:type="pct"/>
            <w:vAlign w:val="center"/>
          </w:tcPr>
          <w:p w14:paraId="34E025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参数</w:t>
            </w:r>
          </w:p>
        </w:tc>
        <w:tc>
          <w:tcPr>
            <w:tcW w:w="453" w:type="pct"/>
            <w:vAlign w:val="center"/>
          </w:tcPr>
          <w:p w14:paraId="187820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单位</w:t>
            </w:r>
          </w:p>
        </w:tc>
        <w:tc>
          <w:tcPr>
            <w:tcW w:w="577" w:type="pct"/>
            <w:vAlign w:val="center"/>
          </w:tcPr>
          <w:p w14:paraId="6E84BB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数量</w:t>
            </w:r>
          </w:p>
        </w:tc>
        <w:tc>
          <w:tcPr>
            <w:tcW w:w="942" w:type="pct"/>
            <w:vAlign w:val="center"/>
          </w:tcPr>
          <w:p w14:paraId="4806F5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参考图片</w:t>
            </w:r>
          </w:p>
          <w:p w14:paraId="484263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（如有则提供）</w:t>
            </w:r>
          </w:p>
        </w:tc>
      </w:tr>
      <w:tr w14:paraId="2094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63E13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2" w:type="pct"/>
            <w:vAlign w:val="center"/>
          </w:tcPr>
          <w:p w14:paraId="2067F0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2片风雨网球场</w:t>
            </w:r>
          </w:p>
          <w:p w14:paraId="443A99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（LED球场灯280W）</w:t>
            </w:r>
          </w:p>
        </w:tc>
        <w:tc>
          <w:tcPr>
            <w:tcW w:w="1905" w:type="pct"/>
            <w:vAlign w:val="center"/>
          </w:tcPr>
          <w:p w14:paraId="66D93FF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产品要求：体育馆球场照明按照JGJ153-2016 《体育场馆照明设计及检测标准》要求，球场照明指标需达到Ⅱ级标准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水平平均照度Eh≥500lux，均匀度U2≥0.5，显色指数Ra≥65，眩光值GR≤35。</w:t>
            </w:r>
          </w:p>
          <w:p w14:paraId="2BBE72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zh-CN" w:eastAsia="zh-CN"/>
              </w:rPr>
            </w:pPr>
            <w:r>
              <w:rPr>
                <w:rFonts w:hint="default" w:ascii="仿宋" w:hAnsi="仿宋" w:eastAsia="仿宋" w:cs="仿宋"/>
                <w:kern w:val="2"/>
                <w:sz w:val="24"/>
                <w:szCs w:val="24"/>
                <w:rtl w:val="0"/>
                <w:lang w:val="zh-CN" w:eastAsia="zh-CN" w:bidi="ar-SA"/>
              </w:rPr>
              <w:t>1．</w:t>
            </w:r>
            <w:r>
              <w:rPr>
                <w:rFonts w:hint="eastAsia" w:ascii="仿宋" w:hAnsi="仿宋" w:eastAsia="仿宋" w:cs="仿宋"/>
                <w:sz w:val="24"/>
                <w:szCs w:val="24"/>
                <w:rtl w:val="0"/>
                <w:lang w:val="zh-TW" w:eastAsia="zh-TW"/>
              </w:rPr>
              <w:t>产品须为体育场</w:t>
            </w:r>
            <w:r>
              <w:rPr>
                <w:rFonts w:hint="eastAsia" w:ascii="仿宋" w:hAnsi="仿宋" w:eastAsia="仿宋" w:cs="仿宋"/>
                <w:sz w:val="24"/>
                <w:szCs w:val="24"/>
                <w:rtl w:val="0"/>
                <w:lang w:val="en-US" w:eastAsia="zh-CN"/>
              </w:rPr>
              <w:t>地</w:t>
            </w:r>
            <w:r>
              <w:rPr>
                <w:rFonts w:hint="eastAsia" w:ascii="仿宋" w:hAnsi="仿宋" w:eastAsia="仿宋" w:cs="仿宋"/>
                <w:sz w:val="24"/>
                <w:szCs w:val="24"/>
                <w:rtl w:val="0"/>
                <w:lang w:val="zh-TW" w:eastAsia="zh-TW"/>
              </w:rPr>
              <w:t>照明专业LED灯具，输入电压AC 100V-220V，频率50/60Hz</w:t>
            </w:r>
            <w:r>
              <w:rPr>
                <w:rFonts w:hint="eastAsia" w:ascii="仿宋" w:hAnsi="仿宋" w:eastAsia="仿宋" w:cs="仿宋"/>
                <w:sz w:val="24"/>
                <w:szCs w:val="24"/>
                <w:rtl w:val="0"/>
                <w:lang w:val="zh-TW" w:eastAsia="zh-CN"/>
              </w:rPr>
              <w:t>。</w:t>
            </w:r>
          </w:p>
          <w:p w14:paraId="56185A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000000"/>
                <w:kern w:val="0"/>
                <w:sz w:val="24"/>
                <w:szCs w:val="24"/>
                <w:u w:color="000000"/>
                <w:shd w:val="clear" w:color="auto" w:fill="auto"/>
                <w:rtl w:val="0"/>
                <w:lang w:val="zh-TW" w:eastAsia="zh-TW"/>
              </w:rPr>
            </w:pPr>
            <w:r>
              <w:rPr>
                <w:rFonts w:hint="default" w:ascii="仿宋" w:hAnsi="仿宋" w:eastAsia="仿宋" w:cs="仿宋"/>
                <w:color w:val="000000"/>
                <w:kern w:val="0"/>
                <w:sz w:val="24"/>
                <w:szCs w:val="24"/>
                <w:u w:color="000000"/>
                <w:shd w:val="clear" w:fill="auto"/>
                <w:rtl w:val="0"/>
                <w:lang w:val="zh-TW" w:eastAsia="zh-TW" w:bidi="ar-SA"/>
              </w:rPr>
              <w:t>2．</w:t>
            </w:r>
            <w:r>
              <w:rPr>
                <w:rFonts w:hint="eastAsia" w:ascii="仿宋" w:hAnsi="仿宋" w:eastAsia="仿宋" w:cs="仿宋"/>
                <w:color w:val="000000"/>
                <w:kern w:val="0"/>
                <w:sz w:val="24"/>
                <w:szCs w:val="24"/>
                <w:u w:color="000000"/>
                <w:shd w:val="clear" w:color="auto" w:fill="auto"/>
                <w:rtl w:val="0"/>
                <w:lang w:val="zh-CN" w:eastAsia="zh-CN"/>
              </w:rPr>
              <w:t>灯具</w:t>
            </w:r>
            <w:r>
              <w:rPr>
                <w:rFonts w:hint="eastAsia" w:ascii="仿宋" w:hAnsi="仿宋" w:eastAsia="仿宋" w:cs="仿宋"/>
                <w:color w:val="000000"/>
                <w:kern w:val="0"/>
                <w:sz w:val="24"/>
                <w:szCs w:val="24"/>
                <w:u w:color="000000"/>
                <w:shd w:val="clear" w:color="auto" w:fill="auto"/>
                <w:rtl w:val="0"/>
                <w:lang w:val="en-US" w:eastAsia="zh-TW"/>
              </w:rPr>
              <w:t>宜采用便于维护的模组化散热结构设计，光源选用封装空洞率更低、导热性能更好、出光更柔和的COB封装工艺</w:t>
            </w:r>
            <w:r>
              <w:rPr>
                <w:rFonts w:hint="eastAsia" w:ascii="仿宋" w:hAnsi="仿宋" w:eastAsia="仿宋" w:cs="仿宋"/>
                <w:color w:val="000000"/>
                <w:kern w:val="0"/>
                <w:sz w:val="24"/>
                <w:szCs w:val="24"/>
                <w:u w:color="000000"/>
                <w:shd w:val="clear" w:color="auto" w:fill="auto"/>
                <w:rtl w:val="0"/>
                <w:lang w:val="en-US" w:eastAsia="zh-CN"/>
              </w:rPr>
              <w:t>。</w:t>
            </w:r>
          </w:p>
          <w:p w14:paraId="7B3236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en-US" w:eastAsia="zh-CN"/>
              </w:rPr>
            </w:pPr>
            <w:r>
              <w:rPr>
                <w:rFonts w:hint="default" w:ascii="仿宋" w:hAnsi="仿宋" w:eastAsia="仿宋" w:cs="仿宋"/>
                <w:kern w:val="2"/>
                <w:sz w:val="24"/>
                <w:szCs w:val="24"/>
                <w:rtl w:val="0"/>
                <w:lang w:val="en-US" w:eastAsia="zh-CN" w:bidi="ar-SA"/>
              </w:rPr>
              <w:t>3．</w:t>
            </w:r>
            <w:r>
              <w:rPr>
                <w:rFonts w:hint="eastAsia" w:ascii="仿宋" w:hAnsi="仿宋" w:eastAsia="仿宋" w:cs="仿宋"/>
                <w:sz w:val="24"/>
                <w:szCs w:val="24"/>
                <w:rtl w:val="0"/>
                <w:lang w:val="zh-TW" w:eastAsia="zh-TW"/>
              </w:rPr>
              <w:t>灯具实测功率</w:t>
            </w:r>
            <w:r>
              <w:rPr>
                <w:rFonts w:hint="eastAsia" w:ascii="仿宋" w:hAnsi="仿宋" w:eastAsia="仿宋" w:cs="仿宋"/>
                <w:sz w:val="24"/>
                <w:szCs w:val="24"/>
                <w:rtl w:val="0"/>
                <w:lang w:val="en-US" w:eastAsia="zh-CN"/>
              </w:rPr>
              <w:t>28</w:t>
            </w:r>
            <w:r>
              <w:rPr>
                <w:rFonts w:hint="eastAsia" w:ascii="仿宋" w:hAnsi="仿宋" w:eastAsia="仿宋" w:cs="仿宋"/>
                <w:sz w:val="24"/>
                <w:szCs w:val="24"/>
                <w:rtl w:val="0"/>
                <w:lang w:val="zh-TW" w:eastAsia="zh-TW"/>
              </w:rPr>
              <w:t>0W</w:t>
            </w:r>
            <w:r>
              <w:rPr>
                <w:rFonts w:hint="eastAsia" w:ascii="仿宋" w:hAnsi="仿宋" w:eastAsia="仿宋" w:cs="仿宋"/>
                <w:color w:val="000000"/>
                <w:kern w:val="0"/>
                <w:sz w:val="24"/>
                <w:szCs w:val="24"/>
                <w:u w:color="000000"/>
                <w:shd w:val="clear" w:color="auto" w:fill="auto"/>
                <w:rtl w:val="0"/>
                <w:lang w:val="en-US" w:eastAsia="zh-TW"/>
              </w:rPr>
              <w:t>±</w:t>
            </w:r>
            <w:r>
              <w:rPr>
                <w:rFonts w:hint="eastAsia" w:ascii="仿宋" w:hAnsi="仿宋" w:eastAsia="仿宋" w:cs="仿宋"/>
                <w:sz w:val="24"/>
                <w:szCs w:val="24"/>
                <w:rtl w:val="0"/>
                <w:lang w:val="zh-TW" w:eastAsia="zh-TW"/>
              </w:rPr>
              <w:t>1%，灯具功率因数</w:t>
            </w:r>
            <w:r>
              <w:rPr>
                <w:rFonts w:hint="eastAsia" w:ascii="仿宋" w:hAnsi="仿宋" w:eastAsia="仿宋" w:cs="仿宋"/>
                <w:sz w:val="24"/>
                <w:szCs w:val="24"/>
                <w:rtl w:val="0"/>
                <w:lang w:val="en-US" w:eastAsia="zh-TW"/>
              </w:rPr>
              <w:t>≥0.9</w:t>
            </w:r>
            <w:r>
              <w:rPr>
                <w:rFonts w:hint="eastAsia" w:ascii="仿宋" w:hAnsi="仿宋" w:eastAsia="仿宋" w:cs="仿宋"/>
                <w:sz w:val="24"/>
                <w:szCs w:val="24"/>
                <w:rtl w:val="0"/>
                <w:lang w:val="en-US" w:eastAsia="zh-CN"/>
              </w:rPr>
              <w:t>8</w:t>
            </w:r>
            <w:r>
              <w:rPr>
                <w:rFonts w:hint="eastAsia" w:ascii="仿宋" w:hAnsi="仿宋" w:eastAsia="仿宋" w:cs="仿宋"/>
                <w:sz w:val="24"/>
                <w:szCs w:val="24"/>
                <w:rtl w:val="0"/>
                <w:lang w:val="zh-TW" w:eastAsia="zh-TW"/>
              </w:rPr>
              <w:t>，整灯效能</w:t>
            </w:r>
            <w:r>
              <w:rPr>
                <w:rFonts w:hint="eastAsia" w:ascii="仿宋" w:hAnsi="仿宋" w:eastAsia="仿宋" w:cs="仿宋"/>
                <w:sz w:val="24"/>
                <w:szCs w:val="24"/>
                <w:rtl w:val="0"/>
                <w:lang w:val="en-US" w:eastAsia="zh-TW"/>
              </w:rPr>
              <w:t>≥1</w:t>
            </w:r>
            <w:r>
              <w:rPr>
                <w:rFonts w:hint="eastAsia" w:ascii="仿宋" w:hAnsi="仿宋" w:eastAsia="仿宋" w:cs="仿宋"/>
                <w:sz w:val="24"/>
                <w:szCs w:val="24"/>
                <w:rtl w:val="0"/>
                <w:lang w:val="en-US" w:eastAsia="zh-CN"/>
              </w:rPr>
              <w:t>2</w:t>
            </w:r>
            <w:r>
              <w:rPr>
                <w:rFonts w:hint="eastAsia" w:ascii="仿宋" w:hAnsi="仿宋" w:eastAsia="仿宋" w:cs="仿宋"/>
                <w:sz w:val="24"/>
                <w:szCs w:val="24"/>
                <w:rtl w:val="0"/>
                <w:lang w:val="en-US" w:eastAsia="zh-TW"/>
              </w:rPr>
              <w:t>0lm/W</w:t>
            </w:r>
            <w:r>
              <w:rPr>
                <w:rFonts w:hint="eastAsia" w:ascii="仿宋" w:hAnsi="仿宋" w:eastAsia="仿宋" w:cs="仿宋"/>
                <w:sz w:val="24"/>
                <w:szCs w:val="24"/>
                <w:rtl w:val="0"/>
                <w:lang w:val="zh-TW" w:eastAsia="zh-TW"/>
              </w:rPr>
              <w:t>，光通量</w:t>
            </w:r>
            <w:r>
              <w:rPr>
                <w:rFonts w:hint="eastAsia" w:ascii="仿宋" w:hAnsi="仿宋" w:eastAsia="仿宋" w:cs="仿宋"/>
                <w:sz w:val="24"/>
                <w:szCs w:val="24"/>
                <w:rtl w:val="0"/>
                <w:lang w:val="en-US" w:eastAsia="zh-TW"/>
              </w:rPr>
              <w:t>≥</w:t>
            </w:r>
            <w:r>
              <w:rPr>
                <w:rFonts w:hint="eastAsia" w:ascii="仿宋" w:hAnsi="仿宋" w:eastAsia="仿宋" w:cs="仿宋"/>
                <w:sz w:val="24"/>
                <w:szCs w:val="24"/>
                <w:rtl w:val="0"/>
                <w:lang w:val="en-US" w:eastAsia="zh-CN"/>
              </w:rPr>
              <w:t>336</w:t>
            </w:r>
            <w:r>
              <w:rPr>
                <w:rFonts w:hint="eastAsia" w:ascii="仿宋" w:hAnsi="仿宋" w:eastAsia="仿宋" w:cs="仿宋"/>
                <w:sz w:val="24"/>
                <w:szCs w:val="24"/>
                <w:rtl w:val="0"/>
                <w:lang w:val="en-US" w:eastAsia="zh-TW"/>
              </w:rPr>
              <w:t>00lm</w:t>
            </w:r>
            <w:r>
              <w:rPr>
                <w:rFonts w:hint="eastAsia" w:ascii="仿宋" w:hAnsi="仿宋" w:eastAsia="仿宋" w:cs="仿宋"/>
                <w:sz w:val="24"/>
                <w:szCs w:val="24"/>
                <w:rtl w:val="0"/>
                <w:lang w:val="en-US" w:eastAsia="zh-CN"/>
              </w:rPr>
              <w:t>，</w:t>
            </w:r>
            <w:r>
              <w:rPr>
                <w:rFonts w:hint="eastAsia" w:ascii="仿宋" w:hAnsi="仿宋" w:eastAsia="仿宋" w:cs="仿宋"/>
                <w:sz w:val="24"/>
                <w:szCs w:val="24"/>
                <w:rtl w:val="0"/>
                <w:lang w:val="zh-TW" w:eastAsia="zh-TW"/>
              </w:rPr>
              <w:t>一般显色指数</w:t>
            </w:r>
            <w:r>
              <w:rPr>
                <w:rFonts w:hint="eastAsia" w:ascii="仿宋" w:hAnsi="仿宋" w:eastAsia="仿宋" w:cs="仿宋"/>
                <w:sz w:val="24"/>
                <w:szCs w:val="24"/>
                <w:rtl w:val="0"/>
                <w:lang w:val="en-US" w:eastAsia="zh-TW"/>
              </w:rPr>
              <w:t>Ra≥80</w:t>
            </w:r>
            <w:r>
              <w:rPr>
                <w:rFonts w:hint="eastAsia" w:ascii="仿宋" w:hAnsi="仿宋" w:eastAsia="仿宋" w:cs="仿宋"/>
                <w:sz w:val="24"/>
                <w:szCs w:val="24"/>
                <w:rtl w:val="0"/>
                <w:lang w:val="zh-TW" w:eastAsia="zh-TW"/>
              </w:rPr>
              <w:t>，色温</w:t>
            </w:r>
            <w:r>
              <w:rPr>
                <w:rFonts w:hint="eastAsia" w:ascii="仿宋" w:hAnsi="仿宋" w:eastAsia="仿宋" w:cs="仿宋"/>
                <w:sz w:val="24"/>
                <w:szCs w:val="24"/>
                <w:rtl w:val="0"/>
                <w:lang w:val="en-US" w:eastAsia="zh-TW"/>
              </w:rPr>
              <w:t>≥5000K</w:t>
            </w:r>
            <w:r>
              <w:rPr>
                <w:rFonts w:hint="eastAsia" w:ascii="仿宋" w:hAnsi="仿宋" w:eastAsia="仿宋" w:cs="仿宋"/>
                <w:sz w:val="24"/>
                <w:szCs w:val="24"/>
                <w:rtl w:val="0"/>
                <w:lang w:val="en-US" w:eastAsia="zh-CN"/>
              </w:rPr>
              <w:t>。</w:t>
            </w:r>
          </w:p>
          <w:p w14:paraId="77205E4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sz w:val="24"/>
                <w:szCs w:val="24"/>
                <w:rtl w:val="0"/>
                <w:lang w:val="en-US" w:eastAsia="zh-CN"/>
              </w:rPr>
            </w:pPr>
            <w:r>
              <w:rPr>
                <w:rFonts w:hint="default" w:ascii="仿宋" w:hAnsi="仿宋" w:eastAsia="仿宋" w:cs="仿宋"/>
                <w:kern w:val="2"/>
                <w:sz w:val="24"/>
                <w:szCs w:val="24"/>
                <w:rtl w:val="0"/>
                <w:lang w:val="en-US" w:eastAsia="zh-CN" w:bidi="ar-SA"/>
              </w:rPr>
              <w:t>4．</w:t>
            </w:r>
            <w:r>
              <w:rPr>
                <w:rFonts w:hint="eastAsia" w:ascii="仿宋" w:hAnsi="仿宋" w:eastAsia="仿宋" w:cs="仿宋"/>
                <w:sz w:val="24"/>
                <w:szCs w:val="24"/>
                <w:lang w:val="en-US" w:eastAsia="zh-CN"/>
              </w:rPr>
              <w:t>▲灯具符合GB 5080.7-86中的定时截尾试验方案要求，</w:t>
            </w:r>
            <w:r>
              <w:rPr>
                <w:rFonts w:hint="eastAsia" w:ascii="仿宋" w:hAnsi="仿宋" w:eastAsia="仿宋" w:cs="仿宋"/>
                <w:sz w:val="24"/>
                <w:szCs w:val="24"/>
                <w:rtl w:val="0"/>
                <w:lang w:val="en-US" w:eastAsia="zh-CN"/>
              </w:rPr>
              <w:t>平均无故障时间不少于20000H，</w:t>
            </w:r>
            <w:r>
              <w:rPr>
                <w:rFonts w:hint="eastAsia" w:ascii="仿宋" w:hAnsi="仿宋" w:eastAsia="仿宋" w:cs="仿宋"/>
                <w:sz w:val="24"/>
                <w:szCs w:val="24"/>
                <w:rtl w:val="0"/>
                <w:lang w:val="zh-TW" w:eastAsia="zh-CN"/>
              </w:rPr>
              <w:t>送检同功率样品灯具不低于5个且在不低于</w:t>
            </w:r>
            <w:r>
              <w:rPr>
                <w:rFonts w:hint="eastAsia" w:ascii="仿宋" w:hAnsi="仿宋" w:eastAsia="仿宋" w:cs="仿宋"/>
                <w:sz w:val="24"/>
                <w:szCs w:val="24"/>
                <w:rtl w:val="0"/>
                <w:lang w:val="en-US" w:eastAsia="zh-CN"/>
              </w:rPr>
              <w:t>1700小时的连续时间里灯具点亮过程中未出现短路跳闸现象，且各项功能正常，总失效数为0</w:t>
            </w:r>
            <w:r>
              <w:rPr>
                <w:rFonts w:hint="eastAsia" w:ascii="仿宋" w:hAnsi="仿宋" w:eastAsia="仿宋" w:cs="仿宋"/>
                <w:color w:val="000000"/>
                <w:kern w:val="2"/>
                <w:sz w:val="24"/>
                <w:szCs w:val="24"/>
                <w:u w:color="000000"/>
                <w:shd w:val="clear" w:color="auto" w:fill="auto"/>
                <w:rtl w:val="0"/>
                <w:lang w:val="zh-TW" w:eastAsia="zh-TW"/>
              </w:rPr>
              <w:t>。</w:t>
            </w:r>
          </w:p>
          <w:p w14:paraId="3E5C087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000000"/>
                <w:kern w:val="0"/>
                <w:sz w:val="24"/>
                <w:szCs w:val="24"/>
                <w:u w:color="000000"/>
                <w:shd w:val="clear" w:color="auto" w:fill="auto"/>
                <w:rtl w:val="0"/>
                <w:lang w:val="zh-TW" w:eastAsia="zh-TW"/>
              </w:rPr>
            </w:pPr>
            <w:r>
              <w:rPr>
                <w:rFonts w:hint="default" w:ascii="仿宋" w:hAnsi="仿宋" w:eastAsia="仿宋" w:cs="仿宋"/>
                <w:color w:val="000000"/>
                <w:kern w:val="0"/>
                <w:sz w:val="24"/>
                <w:szCs w:val="24"/>
                <w:u w:color="000000"/>
                <w:shd w:val="clear" w:fill="auto"/>
                <w:rtl w:val="0"/>
                <w:lang w:val="zh-TW" w:eastAsia="zh-TW" w:bidi="ar-SA"/>
              </w:rPr>
              <w:t>5．</w:t>
            </w:r>
            <w:r>
              <w:rPr>
                <w:rFonts w:hint="eastAsia" w:ascii="仿宋" w:hAnsi="仿宋" w:eastAsia="仿宋" w:cs="仿宋"/>
                <w:sz w:val="24"/>
                <w:szCs w:val="24"/>
                <w:lang w:val="en-US" w:eastAsia="zh-CN"/>
              </w:rPr>
              <w:t>灯具符合GB 5080.7-86中的定时截尾试验方案要求，</w:t>
            </w:r>
            <w:r>
              <w:rPr>
                <w:rFonts w:hint="eastAsia" w:ascii="仿宋" w:hAnsi="仿宋" w:eastAsia="仿宋" w:cs="仿宋"/>
                <w:sz w:val="24"/>
                <w:szCs w:val="24"/>
                <w:rtl w:val="0"/>
                <w:lang w:val="en-US" w:eastAsia="zh-CN"/>
              </w:rPr>
              <w:t>平均无故障时间≥20000H，</w:t>
            </w:r>
            <w:r>
              <w:rPr>
                <w:rFonts w:hint="eastAsia" w:ascii="仿宋" w:hAnsi="仿宋" w:eastAsia="仿宋" w:cs="仿宋"/>
                <w:sz w:val="24"/>
                <w:szCs w:val="24"/>
                <w:rtl w:val="0"/>
                <w:lang w:val="zh-TW" w:eastAsia="zh-CN"/>
              </w:rPr>
              <w:t>送检同功率样品灯具不低于5个且</w:t>
            </w:r>
            <w:r>
              <w:rPr>
                <w:rFonts w:hint="eastAsia" w:ascii="仿宋" w:hAnsi="仿宋" w:eastAsia="仿宋" w:cs="仿宋"/>
                <w:sz w:val="24"/>
                <w:szCs w:val="24"/>
                <w:rtl w:val="0"/>
                <w:lang w:val="en-US" w:eastAsia="zh-CN"/>
              </w:rPr>
              <w:t>单个灯具连续实测时间不少于1700H，测试时间内灯具无不能发光或无部分光源不发光</w:t>
            </w:r>
            <w:r>
              <w:rPr>
                <w:rFonts w:hint="eastAsia" w:ascii="仿宋" w:hAnsi="仿宋" w:eastAsia="仿宋" w:cs="仿宋"/>
                <w:sz w:val="24"/>
                <w:szCs w:val="24"/>
                <w:rtl w:val="0"/>
                <w:lang w:val="zh-TW" w:eastAsia="zh-TW"/>
              </w:rPr>
              <w:t>。</w:t>
            </w:r>
          </w:p>
          <w:p w14:paraId="74D324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000000"/>
                <w:kern w:val="0"/>
                <w:sz w:val="24"/>
                <w:szCs w:val="24"/>
                <w:u w:color="000000"/>
                <w:shd w:val="clear" w:color="auto" w:fill="auto"/>
                <w:rtl w:val="0"/>
                <w:lang w:val="zh-TW" w:eastAsia="zh-TW"/>
              </w:rPr>
            </w:pPr>
            <w:r>
              <w:rPr>
                <w:rFonts w:hint="default" w:ascii="仿宋" w:hAnsi="仿宋" w:eastAsia="仿宋" w:cs="仿宋"/>
                <w:color w:val="000000"/>
                <w:kern w:val="0"/>
                <w:sz w:val="24"/>
                <w:szCs w:val="24"/>
                <w:u w:color="000000"/>
                <w:shd w:val="clear" w:fill="auto"/>
                <w:rtl w:val="0"/>
                <w:lang w:val="zh-TW" w:eastAsia="zh-TW" w:bidi="ar-SA"/>
              </w:rPr>
              <w:t>6．</w:t>
            </w:r>
            <w:r>
              <w:rPr>
                <w:rFonts w:hint="eastAsia" w:ascii="仿宋" w:hAnsi="仿宋" w:eastAsia="仿宋" w:cs="仿宋"/>
                <w:sz w:val="24"/>
                <w:szCs w:val="24"/>
                <w:lang w:val="en-US" w:eastAsia="zh-CN"/>
              </w:rPr>
              <w:t>▲</w:t>
            </w:r>
            <w:r>
              <w:rPr>
                <w:rFonts w:hint="eastAsia" w:ascii="仿宋" w:hAnsi="仿宋" w:eastAsia="仿宋" w:cs="仿宋"/>
                <w:color w:val="000000"/>
                <w:kern w:val="0"/>
                <w:sz w:val="24"/>
                <w:szCs w:val="24"/>
                <w:u w:color="000000"/>
                <w:shd w:val="clear" w:color="auto" w:fill="auto"/>
                <w:rtl w:val="0"/>
                <w:lang w:val="en-US" w:eastAsia="zh-TW"/>
              </w:rPr>
              <w:t>灯具散热器持续在</w:t>
            </w:r>
            <w:r>
              <w:rPr>
                <w:rFonts w:hint="eastAsia" w:ascii="仿宋" w:hAnsi="仿宋" w:eastAsia="仿宋" w:cs="仿宋"/>
                <w:color w:val="000000"/>
                <w:kern w:val="0"/>
                <w:sz w:val="24"/>
                <w:szCs w:val="24"/>
                <w:u w:color="000000"/>
                <w:shd w:val="clear" w:color="auto" w:fill="auto"/>
                <w:rtl w:val="0"/>
                <w:lang w:val="en-US" w:eastAsia="zh-CN"/>
              </w:rPr>
              <w:t>平均</w:t>
            </w:r>
            <w:r>
              <w:rPr>
                <w:rFonts w:hint="eastAsia" w:ascii="仿宋" w:hAnsi="仿宋" w:eastAsia="仿宋" w:cs="仿宋"/>
                <w:color w:val="000000"/>
                <w:kern w:val="0"/>
                <w:sz w:val="24"/>
                <w:szCs w:val="24"/>
                <w:u w:color="000000"/>
                <w:shd w:val="clear" w:color="auto" w:fill="auto"/>
                <w:rtl w:val="0"/>
                <w:lang w:val="en-US" w:eastAsia="zh-TW"/>
              </w:rPr>
              <w:t>温度≥</w:t>
            </w:r>
            <w:r>
              <w:rPr>
                <w:rFonts w:hint="eastAsia" w:ascii="仿宋" w:hAnsi="仿宋" w:eastAsia="仿宋" w:cs="仿宋"/>
                <w:color w:val="000000"/>
                <w:kern w:val="0"/>
                <w:sz w:val="24"/>
                <w:szCs w:val="24"/>
                <w:u w:color="000000"/>
                <w:shd w:val="clear" w:color="auto" w:fill="auto"/>
                <w:rtl w:val="0"/>
                <w:lang w:val="en-US" w:eastAsia="zh-CN"/>
              </w:rPr>
              <w:t>1</w:t>
            </w:r>
            <w:r>
              <w:rPr>
                <w:rFonts w:hint="eastAsia" w:ascii="仿宋" w:hAnsi="仿宋" w:eastAsia="仿宋" w:cs="仿宋"/>
                <w:color w:val="000000"/>
                <w:kern w:val="0"/>
                <w:sz w:val="24"/>
                <w:szCs w:val="24"/>
                <w:u w:color="000000"/>
                <w:shd w:val="clear" w:color="auto" w:fill="auto"/>
                <w:rtl w:val="0"/>
                <w:lang w:val="en-US" w:eastAsia="zh-TW"/>
              </w:rPr>
              <w:t>0℃，平均相对湿度≥</w:t>
            </w:r>
            <w:r>
              <w:rPr>
                <w:rFonts w:hint="eastAsia" w:ascii="仿宋" w:hAnsi="仿宋" w:eastAsia="仿宋" w:cs="仿宋"/>
                <w:color w:val="000000"/>
                <w:kern w:val="0"/>
                <w:sz w:val="24"/>
                <w:szCs w:val="24"/>
                <w:u w:color="000000"/>
                <w:shd w:val="clear" w:color="auto" w:fill="auto"/>
                <w:rtl w:val="0"/>
                <w:lang w:val="en-US" w:eastAsia="zh-CN"/>
              </w:rPr>
              <w:t>5</w:t>
            </w:r>
            <w:r>
              <w:rPr>
                <w:rFonts w:hint="eastAsia" w:ascii="仿宋" w:hAnsi="仿宋" w:eastAsia="仿宋" w:cs="仿宋"/>
                <w:color w:val="000000"/>
                <w:kern w:val="0"/>
                <w:sz w:val="24"/>
                <w:szCs w:val="24"/>
                <w:u w:color="000000"/>
                <w:shd w:val="clear" w:color="auto" w:fill="auto"/>
                <w:rtl w:val="0"/>
                <w:lang w:val="en-US" w:eastAsia="zh-TW"/>
              </w:rPr>
              <w:t>0%的自然环境下十二个月以上散热器无开裂，无生锈</w:t>
            </w:r>
            <w:r>
              <w:rPr>
                <w:rFonts w:hint="eastAsia" w:ascii="仿宋" w:hAnsi="仿宋" w:eastAsia="仿宋" w:cs="仿宋"/>
                <w:color w:val="000000"/>
                <w:kern w:val="0"/>
                <w:sz w:val="24"/>
                <w:szCs w:val="24"/>
                <w:u w:color="000000"/>
                <w:shd w:val="clear" w:color="auto" w:fill="auto"/>
                <w:rtl w:val="0"/>
                <w:lang w:val="zh-CN" w:eastAsia="zh-CN"/>
              </w:rPr>
              <w:t>。</w:t>
            </w:r>
          </w:p>
          <w:p w14:paraId="5EC60C7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000000"/>
                <w:kern w:val="0"/>
                <w:sz w:val="24"/>
                <w:szCs w:val="24"/>
                <w:u w:color="000000"/>
                <w:shd w:val="clear" w:color="auto" w:fill="auto"/>
                <w:rtl w:val="0"/>
                <w:lang w:val="zh-TW" w:eastAsia="zh-TW"/>
              </w:rPr>
            </w:pPr>
            <w:r>
              <w:rPr>
                <w:rFonts w:hint="default" w:ascii="仿宋" w:hAnsi="仿宋" w:eastAsia="仿宋" w:cs="仿宋"/>
                <w:color w:val="000000"/>
                <w:kern w:val="0"/>
                <w:sz w:val="24"/>
                <w:szCs w:val="24"/>
                <w:u w:color="000000"/>
                <w:shd w:val="clear" w:fill="auto"/>
                <w:rtl w:val="0"/>
                <w:lang w:val="zh-TW" w:eastAsia="zh-TW" w:bidi="ar-SA"/>
              </w:rPr>
              <w:t>7．</w:t>
            </w:r>
            <w:r>
              <w:rPr>
                <w:rFonts w:hint="eastAsia" w:ascii="仿宋" w:hAnsi="仿宋" w:eastAsia="仿宋" w:cs="仿宋"/>
                <w:sz w:val="24"/>
                <w:szCs w:val="24"/>
                <w:lang w:val="en-US" w:eastAsia="zh-CN"/>
              </w:rPr>
              <w:t>灯具进行自然试验时长应不低于12个月，试验后灯具外壳无开裂，无生锈，无变形，无穿孔，电源线无剥离，电源与灯具连接正常，无移位，无脱落，接线处完整，灯具通电可正常点亮</w:t>
            </w:r>
            <w:r>
              <w:rPr>
                <w:rFonts w:hint="eastAsia" w:ascii="仿宋" w:hAnsi="仿宋" w:eastAsia="仿宋" w:cs="仿宋"/>
                <w:color w:val="000000"/>
                <w:kern w:val="0"/>
                <w:sz w:val="24"/>
                <w:szCs w:val="24"/>
                <w:u w:color="000000"/>
                <w:shd w:val="clear" w:color="auto" w:fill="auto"/>
                <w:rtl w:val="0"/>
                <w:lang w:val="zh-TW" w:eastAsia="zh-TW"/>
              </w:rPr>
              <w:t>。</w:t>
            </w:r>
          </w:p>
          <w:p w14:paraId="55A247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000000"/>
                <w:kern w:val="0"/>
                <w:sz w:val="24"/>
                <w:szCs w:val="24"/>
                <w:u w:color="000000"/>
                <w:shd w:val="clear" w:color="auto" w:fill="auto"/>
                <w:rtl w:val="0"/>
                <w:lang w:val="zh-TW" w:eastAsia="zh-TW"/>
              </w:rPr>
            </w:pPr>
            <w:r>
              <w:rPr>
                <w:rFonts w:hint="default" w:ascii="仿宋" w:hAnsi="仿宋" w:eastAsia="仿宋" w:cs="仿宋"/>
                <w:color w:val="000000"/>
                <w:kern w:val="0"/>
                <w:sz w:val="24"/>
                <w:szCs w:val="24"/>
                <w:u w:color="000000"/>
                <w:shd w:val="clear" w:fill="auto"/>
                <w:rtl w:val="0"/>
                <w:lang w:val="zh-TW" w:eastAsia="zh-TW" w:bidi="ar-SA"/>
              </w:rPr>
              <w:t>8．</w:t>
            </w:r>
            <w:r>
              <w:rPr>
                <w:rFonts w:hint="eastAsia" w:ascii="仿宋" w:hAnsi="仿宋" w:eastAsia="仿宋" w:cs="仿宋"/>
                <w:sz w:val="24"/>
                <w:szCs w:val="24"/>
                <w:lang w:val="en-US" w:eastAsia="zh-CN"/>
              </w:rPr>
              <w:t>▲</w:t>
            </w:r>
            <w:r>
              <w:rPr>
                <w:rFonts w:hint="eastAsia" w:ascii="仿宋" w:hAnsi="仿宋" w:eastAsia="仿宋" w:cs="仿宋"/>
                <w:color w:val="000000"/>
                <w:kern w:val="0"/>
                <w:sz w:val="24"/>
                <w:szCs w:val="24"/>
                <w:u w:color="000000"/>
                <w:shd w:val="clear" w:color="auto" w:fill="auto"/>
                <w:rtl w:val="0"/>
                <w:lang w:val="zh-TW" w:eastAsia="zh-TW"/>
              </w:rPr>
              <w:t>灯具</w:t>
            </w:r>
            <w:r>
              <w:rPr>
                <w:rFonts w:hint="eastAsia" w:ascii="仿宋" w:hAnsi="仿宋" w:eastAsia="仿宋" w:cs="仿宋"/>
                <w:color w:val="000000"/>
                <w:kern w:val="0"/>
                <w:sz w:val="24"/>
                <w:szCs w:val="24"/>
                <w:u w:color="000000"/>
                <w:shd w:val="clear" w:color="auto" w:fill="auto"/>
                <w:rtl w:val="0"/>
                <w:lang w:val="zh-TW" w:eastAsia="zh-CN"/>
              </w:rPr>
              <w:t>透镜</w:t>
            </w:r>
            <w:r>
              <w:rPr>
                <w:rFonts w:hint="eastAsia" w:ascii="仿宋" w:hAnsi="仿宋" w:eastAsia="仿宋" w:cs="仿宋"/>
                <w:color w:val="000000"/>
                <w:kern w:val="0"/>
                <w:sz w:val="24"/>
                <w:szCs w:val="24"/>
                <w:u w:color="000000"/>
                <w:shd w:val="clear" w:color="auto" w:fill="auto"/>
                <w:rtl w:val="0"/>
                <w:lang w:val="zh-TW" w:eastAsia="zh-TW"/>
              </w:rPr>
              <w:t>在光辐射总量累计</w:t>
            </w:r>
            <w:r>
              <w:rPr>
                <w:rFonts w:hint="eastAsia" w:ascii="仿宋" w:hAnsi="仿宋" w:eastAsia="仿宋" w:cs="仿宋"/>
                <w:color w:val="000000"/>
                <w:kern w:val="0"/>
                <w:sz w:val="24"/>
                <w:szCs w:val="24"/>
                <w:u w:color="000000"/>
                <w:shd w:val="clear" w:color="auto" w:fill="auto"/>
                <w:rtl w:val="0"/>
                <w:lang w:val="en-US" w:eastAsia="zh-TW"/>
              </w:rPr>
              <w:t>≥</w:t>
            </w:r>
            <w:r>
              <w:rPr>
                <w:rFonts w:hint="eastAsia" w:ascii="仿宋" w:hAnsi="仿宋" w:eastAsia="仿宋" w:cs="仿宋"/>
                <w:sz w:val="24"/>
                <w:szCs w:val="24"/>
                <w:lang w:val="en-US" w:eastAsia="zh-CN"/>
              </w:rPr>
              <w:t>4000MJ/㎡</w:t>
            </w:r>
            <w:r>
              <w:rPr>
                <w:rFonts w:hint="eastAsia" w:ascii="仿宋" w:hAnsi="仿宋" w:eastAsia="仿宋" w:cs="仿宋"/>
                <w:color w:val="000000"/>
                <w:kern w:val="0"/>
                <w:sz w:val="24"/>
                <w:szCs w:val="24"/>
                <w:u w:color="000000"/>
                <w:shd w:val="clear" w:color="auto" w:fill="auto"/>
                <w:rtl w:val="0"/>
                <w:lang w:val="zh-TW" w:eastAsia="zh-TW"/>
              </w:rPr>
              <w:t>的情况下无开裂、</w:t>
            </w:r>
            <w:r>
              <w:rPr>
                <w:rFonts w:hint="eastAsia" w:ascii="仿宋" w:hAnsi="仿宋" w:eastAsia="仿宋" w:cs="仿宋"/>
                <w:color w:val="000000"/>
                <w:kern w:val="0"/>
                <w:sz w:val="24"/>
                <w:szCs w:val="24"/>
                <w:u w:color="000000"/>
                <w:shd w:val="clear" w:color="auto" w:fill="auto"/>
                <w:rtl w:val="0"/>
                <w:lang w:val="zh-TW" w:eastAsia="zh-CN"/>
              </w:rPr>
              <w:t>破损</w:t>
            </w:r>
            <w:r>
              <w:rPr>
                <w:rFonts w:hint="eastAsia" w:ascii="仿宋" w:hAnsi="仿宋" w:eastAsia="仿宋" w:cs="仿宋"/>
                <w:color w:val="000000"/>
                <w:kern w:val="0"/>
                <w:sz w:val="24"/>
                <w:szCs w:val="24"/>
                <w:u w:color="000000"/>
                <w:shd w:val="clear" w:color="auto" w:fill="auto"/>
                <w:rtl w:val="0"/>
                <w:lang w:val="zh-TW" w:eastAsia="zh-TW"/>
              </w:rPr>
              <w:t>。</w:t>
            </w:r>
          </w:p>
          <w:p w14:paraId="1C99DD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000000"/>
                <w:kern w:val="0"/>
                <w:sz w:val="24"/>
                <w:szCs w:val="24"/>
                <w:u w:color="000000"/>
                <w:shd w:val="clear" w:color="auto" w:fill="auto"/>
                <w:rtl w:val="0"/>
                <w:lang w:val="zh-TW" w:eastAsia="zh-TW"/>
              </w:rPr>
            </w:pPr>
            <w:r>
              <w:rPr>
                <w:rFonts w:hint="default" w:ascii="仿宋" w:hAnsi="仿宋" w:eastAsia="仿宋" w:cs="仿宋"/>
                <w:color w:val="000000"/>
                <w:kern w:val="0"/>
                <w:sz w:val="24"/>
                <w:szCs w:val="24"/>
                <w:u w:color="000000"/>
                <w:shd w:val="clear" w:fill="auto"/>
                <w:rtl w:val="0"/>
                <w:lang w:val="zh-TW" w:eastAsia="zh-TW" w:bidi="ar-SA"/>
              </w:rPr>
              <w:t>9．</w:t>
            </w:r>
            <w:r>
              <w:rPr>
                <w:rFonts w:hint="eastAsia" w:ascii="仿宋" w:hAnsi="仿宋" w:eastAsia="仿宋" w:cs="仿宋"/>
                <w:color w:val="000000"/>
                <w:kern w:val="0"/>
                <w:sz w:val="24"/>
                <w:szCs w:val="24"/>
                <w:u w:color="000000"/>
                <w:shd w:val="clear" w:color="auto" w:fill="auto"/>
                <w:rtl w:val="0"/>
                <w:lang w:val="zh-CN" w:eastAsia="zh-CN"/>
              </w:rPr>
              <w:t>灯具6000小时光通量维持率不少于98%</w:t>
            </w:r>
            <w:r>
              <w:rPr>
                <w:rFonts w:hint="eastAsia" w:ascii="仿宋" w:hAnsi="仿宋" w:eastAsia="仿宋" w:cs="仿宋"/>
                <w:color w:val="000000"/>
                <w:kern w:val="0"/>
                <w:sz w:val="24"/>
                <w:szCs w:val="24"/>
                <w:u w:color="000000"/>
                <w:shd w:val="clear" w:color="auto" w:fill="auto"/>
                <w:rtl w:val="0"/>
                <w:lang w:val="zh-TW" w:eastAsia="zh-TW"/>
              </w:rPr>
              <w:t>。</w:t>
            </w:r>
          </w:p>
          <w:p w14:paraId="1AFE20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10．</w:t>
            </w:r>
            <w:r>
              <w:rPr>
                <w:rFonts w:hint="eastAsia" w:ascii="仿宋" w:hAnsi="仿宋" w:eastAsia="仿宋" w:cs="仿宋"/>
                <w:color w:val="000000"/>
                <w:kern w:val="0"/>
                <w:sz w:val="24"/>
                <w:szCs w:val="24"/>
                <w:u w:color="000000"/>
                <w:shd w:val="clear" w:color="auto" w:fill="auto"/>
                <w:rtl w:val="0"/>
                <w:lang w:val="zh-TW" w:eastAsia="zh-TW"/>
              </w:rPr>
              <w:t>配光采用防眩光磨砂透镜方式，以达到增大光效的同时降低眩光影响。</w:t>
            </w:r>
          </w:p>
        </w:tc>
        <w:tc>
          <w:tcPr>
            <w:tcW w:w="453" w:type="pct"/>
            <w:vAlign w:val="center"/>
          </w:tcPr>
          <w:p w14:paraId="2C18BF6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77A18BE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942" w:type="pct"/>
            <w:vAlign w:val="center"/>
          </w:tcPr>
          <w:p w14:paraId="1A17A38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787400" cy="748030"/>
                  <wp:effectExtent l="0" t="0" r="12700" b="13970"/>
                  <wp:docPr id="59" name="图片 59" descr="微信图片_2025021614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50216142337"/>
                          <pic:cNvPicPr>
                            <a:picLocks noChangeAspect="1"/>
                          </pic:cNvPicPr>
                        </pic:nvPicPr>
                        <pic:blipFill>
                          <a:blip r:embed="rId11"/>
                          <a:stretch>
                            <a:fillRect/>
                          </a:stretch>
                        </pic:blipFill>
                        <pic:spPr>
                          <a:xfrm>
                            <a:off x="0" y="0"/>
                            <a:ext cx="787400" cy="748030"/>
                          </a:xfrm>
                          <a:prstGeom prst="rect">
                            <a:avLst/>
                          </a:prstGeom>
                        </pic:spPr>
                      </pic:pic>
                    </a:graphicData>
                  </a:graphic>
                </wp:inline>
              </w:drawing>
            </w:r>
          </w:p>
        </w:tc>
      </w:tr>
      <w:tr w14:paraId="1A23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962FC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82" w:type="pct"/>
            <w:vAlign w:val="center"/>
          </w:tcPr>
          <w:p w14:paraId="65D25A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灯具固定配件</w:t>
            </w:r>
          </w:p>
        </w:tc>
        <w:tc>
          <w:tcPr>
            <w:tcW w:w="1905" w:type="pct"/>
            <w:vAlign w:val="center"/>
          </w:tcPr>
          <w:p w14:paraId="64E78D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灯具固定支架</w:t>
            </w:r>
          </w:p>
          <w:p w14:paraId="25CE2C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166E04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本体安装</w:t>
            </w:r>
          </w:p>
          <w:p w14:paraId="4D6257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tc>
        <w:tc>
          <w:tcPr>
            <w:tcW w:w="453" w:type="pct"/>
            <w:vAlign w:val="center"/>
          </w:tcPr>
          <w:p w14:paraId="4C5744E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37A15ED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w:t>
            </w:r>
          </w:p>
        </w:tc>
        <w:tc>
          <w:tcPr>
            <w:tcW w:w="942" w:type="pct"/>
            <w:vAlign w:val="center"/>
          </w:tcPr>
          <w:p w14:paraId="5F576DD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5036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74199E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82" w:type="pct"/>
            <w:vAlign w:val="center"/>
          </w:tcPr>
          <w:p w14:paraId="1EFD8F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配电箱</w:t>
            </w:r>
          </w:p>
        </w:tc>
        <w:tc>
          <w:tcPr>
            <w:tcW w:w="1905" w:type="pct"/>
            <w:vAlign w:val="center"/>
          </w:tcPr>
          <w:p w14:paraId="298E0F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室内</w:t>
            </w:r>
            <w:r>
              <w:rPr>
                <w:rFonts w:hint="eastAsia" w:ascii="仿宋" w:hAnsi="仿宋" w:eastAsia="仿宋" w:cs="仿宋"/>
                <w:color w:val="auto"/>
                <w:sz w:val="24"/>
                <w:szCs w:val="24"/>
              </w:rPr>
              <w:t>配电箱</w:t>
            </w:r>
          </w:p>
          <w:p w14:paraId="60F99F1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型号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非标定制</w:t>
            </w:r>
          </w:p>
          <w:p w14:paraId="273E30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基础形式、材质、规格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防护等级IP65</w:t>
            </w:r>
          </w:p>
          <w:p w14:paraId="5961CD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接线端子材质、规格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详</w:t>
            </w:r>
            <w:r>
              <w:rPr>
                <w:rFonts w:hint="eastAsia" w:ascii="仿宋" w:hAnsi="仿宋" w:eastAsia="仿宋" w:cs="仿宋"/>
                <w:color w:val="auto"/>
                <w:sz w:val="24"/>
                <w:szCs w:val="24"/>
                <w:lang w:val="en-US" w:eastAsia="zh-CN"/>
              </w:rPr>
              <w:t>见</w:t>
            </w:r>
            <w:r>
              <w:rPr>
                <w:rFonts w:hint="eastAsia" w:ascii="仿宋" w:hAnsi="仿宋" w:eastAsia="仿宋" w:cs="仿宋"/>
                <w:color w:val="auto"/>
                <w:sz w:val="24"/>
                <w:szCs w:val="24"/>
              </w:rPr>
              <w:t>设计</w:t>
            </w:r>
          </w:p>
          <w:p w14:paraId="67FB10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本体安装</w:t>
            </w:r>
          </w:p>
          <w:p w14:paraId="356AE2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基础型钢制作、安装</w:t>
            </w:r>
          </w:p>
          <w:p w14:paraId="48F4D3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7．</w:t>
            </w:r>
            <w:r>
              <w:rPr>
                <w:rFonts w:hint="eastAsia" w:ascii="仿宋" w:hAnsi="仿宋" w:eastAsia="仿宋" w:cs="仿宋"/>
                <w:color w:val="auto"/>
                <w:sz w:val="24"/>
                <w:szCs w:val="24"/>
              </w:rPr>
              <w:t>焊、压接线端子</w:t>
            </w:r>
          </w:p>
          <w:p w14:paraId="3A8630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8．</w:t>
            </w:r>
            <w:r>
              <w:rPr>
                <w:rFonts w:hint="eastAsia" w:ascii="仿宋" w:hAnsi="仿宋" w:eastAsia="仿宋" w:cs="仿宋"/>
                <w:color w:val="auto"/>
                <w:sz w:val="24"/>
                <w:szCs w:val="24"/>
              </w:rPr>
              <w:t>补刷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油漆</w:t>
            </w:r>
          </w:p>
          <w:p w14:paraId="4D188F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9．</w:t>
            </w:r>
            <w:r>
              <w:rPr>
                <w:rFonts w:hint="eastAsia" w:ascii="仿宋" w:hAnsi="仿宋" w:eastAsia="仿宋" w:cs="仿宋"/>
                <w:color w:val="auto"/>
                <w:sz w:val="24"/>
                <w:szCs w:val="24"/>
              </w:rPr>
              <w:t>接地</w:t>
            </w:r>
          </w:p>
        </w:tc>
        <w:tc>
          <w:tcPr>
            <w:tcW w:w="453" w:type="pct"/>
            <w:vAlign w:val="center"/>
          </w:tcPr>
          <w:p w14:paraId="50F8C5E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c>
          <w:tcPr>
            <w:tcW w:w="577" w:type="pct"/>
            <w:vAlign w:val="center"/>
          </w:tcPr>
          <w:p w14:paraId="4AE09BA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4F66781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0727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4ED3D0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82" w:type="pct"/>
            <w:vAlign w:val="center"/>
          </w:tcPr>
          <w:p w14:paraId="7A8FE0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电力电缆</w:t>
            </w:r>
          </w:p>
        </w:tc>
        <w:tc>
          <w:tcPr>
            <w:tcW w:w="1905" w:type="pct"/>
            <w:vAlign w:val="center"/>
          </w:tcPr>
          <w:p w14:paraId="535B95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电力电缆</w:t>
            </w:r>
          </w:p>
          <w:p w14:paraId="54B926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3*4mm2</w:t>
            </w:r>
          </w:p>
          <w:p w14:paraId="566DA05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电缆敷设</w:t>
            </w:r>
          </w:p>
          <w:p w14:paraId="4BD025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5156AE7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24F6C7A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350</w:t>
            </w:r>
          </w:p>
        </w:tc>
        <w:tc>
          <w:tcPr>
            <w:tcW w:w="942" w:type="pct"/>
            <w:vAlign w:val="center"/>
          </w:tcPr>
          <w:p w14:paraId="5F4E8DA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2ABB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335C64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782" w:type="pct"/>
            <w:vAlign w:val="center"/>
          </w:tcPr>
          <w:p w14:paraId="138022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电缆套管</w:t>
            </w:r>
          </w:p>
        </w:tc>
        <w:tc>
          <w:tcPr>
            <w:tcW w:w="1905" w:type="pct"/>
            <w:vAlign w:val="center"/>
          </w:tcPr>
          <w:p w14:paraId="1A1CCF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电缆套管</w:t>
            </w:r>
          </w:p>
          <w:p w14:paraId="4E8093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材质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JDG</w:t>
            </w:r>
          </w:p>
          <w:p w14:paraId="7FE746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25</w:t>
            </w:r>
          </w:p>
          <w:p w14:paraId="18885A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敷设方式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埋地</w:t>
            </w:r>
          </w:p>
          <w:p w14:paraId="675C42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5．</w:t>
            </w:r>
            <w:r>
              <w:rPr>
                <w:rFonts w:hint="eastAsia" w:ascii="仿宋" w:hAnsi="仿宋" w:eastAsia="仿宋" w:cs="仿宋"/>
                <w:color w:val="auto"/>
                <w:sz w:val="24"/>
                <w:szCs w:val="24"/>
              </w:rPr>
              <w:t>电线管路敷设</w:t>
            </w:r>
          </w:p>
          <w:p w14:paraId="28AE21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6．</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64CB768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7557C05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350</w:t>
            </w:r>
          </w:p>
        </w:tc>
        <w:tc>
          <w:tcPr>
            <w:tcW w:w="942" w:type="pct"/>
            <w:vAlign w:val="center"/>
          </w:tcPr>
          <w:p w14:paraId="14CE40C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120D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35A91A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82" w:type="pct"/>
            <w:vAlign w:val="center"/>
          </w:tcPr>
          <w:p w14:paraId="4238A6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金属软管</w:t>
            </w:r>
          </w:p>
        </w:tc>
        <w:tc>
          <w:tcPr>
            <w:tcW w:w="1905" w:type="pct"/>
            <w:vAlign w:val="center"/>
          </w:tcPr>
          <w:p w14:paraId="021339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金属软管</w:t>
            </w:r>
          </w:p>
          <w:p w14:paraId="0339E8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Φ20</w:t>
            </w:r>
          </w:p>
          <w:p w14:paraId="694E72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rPr>
              <w:t>电线管路敷设</w:t>
            </w:r>
          </w:p>
          <w:p w14:paraId="518778D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0604546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m</w:t>
            </w:r>
          </w:p>
        </w:tc>
        <w:tc>
          <w:tcPr>
            <w:tcW w:w="577" w:type="pct"/>
            <w:vAlign w:val="center"/>
          </w:tcPr>
          <w:p w14:paraId="3883723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72</w:t>
            </w:r>
          </w:p>
        </w:tc>
        <w:tc>
          <w:tcPr>
            <w:tcW w:w="942" w:type="pct"/>
            <w:vAlign w:val="center"/>
          </w:tcPr>
          <w:p w14:paraId="33D0154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0ED4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222069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782" w:type="pct"/>
            <w:vAlign w:val="center"/>
          </w:tcPr>
          <w:p w14:paraId="0A945C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防水接线盒</w:t>
            </w:r>
          </w:p>
        </w:tc>
        <w:tc>
          <w:tcPr>
            <w:tcW w:w="1905" w:type="pct"/>
            <w:vAlign w:val="center"/>
          </w:tcPr>
          <w:p w14:paraId="16F195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防水接线盒</w:t>
            </w:r>
          </w:p>
          <w:p w14:paraId="44340C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rPr>
              <w:t>规格</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86型</w:t>
            </w:r>
          </w:p>
          <w:p w14:paraId="061F41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lang w:val="en-US" w:eastAsia="zh-CN"/>
              </w:rPr>
            </w:pPr>
            <w:r>
              <w:rPr>
                <w:rFonts w:hint="default"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lang w:val="en-US" w:eastAsia="zh-CN"/>
              </w:rPr>
              <w:t>密封打胶</w:t>
            </w:r>
          </w:p>
          <w:p w14:paraId="70F04F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sz w:val="24"/>
                <w:szCs w:val="24"/>
              </w:rPr>
            </w:pPr>
            <w:r>
              <w:rPr>
                <w:rFonts w:hint="default" w:ascii="仿宋" w:hAnsi="仿宋" w:eastAsia="仿宋" w:cs="仿宋"/>
                <w:color w:val="auto"/>
                <w:kern w:val="2"/>
                <w:sz w:val="24"/>
                <w:szCs w:val="24"/>
                <w:lang w:val="en-US" w:eastAsia="zh-CN" w:bidi="ar-SA"/>
              </w:rPr>
              <w:t>4．</w:t>
            </w:r>
            <w:r>
              <w:rPr>
                <w:rFonts w:hint="eastAsia" w:ascii="仿宋" w:hAnsi="仿宋" w:eastAsia="仿宋" w:cs="仿宋"/>
                <w:color w:val="auto"/>
                <w:sz w:val="24"/>
                <w:szCs w:val="24"/>
              </w:rPr>
              <w:t>其他未作详尽描述的均满足设计施工验收规范要求</w:t>
            </w:r>
          </w:p>
        </w:tc>
        <w:tc>
          <w:tcPr>
            <w:tcW w:w="453" w:type="pct"/>
            <w:vAlign w:val="center"/>
          </w:tcPr>
          <w:p w14:paraId="5A8F220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个</w:t>
            </w:r>
          </w:p>
        </w:tc>
        <w:tc>
          <w:tcPr>
            <w:tcW w:w="577" w:type="pct"/>
            <w:vAlign w:val="center"/>
          </w:tcPr>
          <w:p w14:paraId="132B838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30</w:t>
            </w:r>
          </w:p>
        </w:tc>
        <w:tc>
          <w:tcPr>
            <w:tcW w:w="942" w:type="pct"/>
            <w:vAlign w:val="center"/>
          </w:tcPr>
          <w:p w14:paraId="5F1AA38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r w14:paraId="4C67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8" w:type="pct"/>
            <w:vAlign w:val="center"/>
          </w:tcPr>
          <w:p w14:paraId="4AC39A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782" w:type="pct"/>
            <w:vAlign w:val="center"/>
          </w:tcPr>
          <w:p w14:paraId="5182AB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施工费用</w:t>
            </w:r>
          </w:p>
        </w:tc>
        <w:tc>
          <w:tcPr>
            <w:tcW w:w="1905" w:type="pct"/>
            <w:vAlign w:val="center"/>
          </w:tcPr>
          <w:p w14:paraId="477B515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综合考虑</w:t>
            </w:r>
          </w:p>
        </w:tc>
        <w:tc>
          <w:tcPr>
            <w:tcW w:w="453" w:type="pct"/>
            <w:vAlign w:val="center"/>
          </w:tcPr>
          <w:p w14:paraId="7A6130F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w:t>
            </w:r>
          </w:p>
        </w:tc>
        <w:tc>
          <w:tcPr>
            <w:tcW w:w="577" w:type="pct"/>
            <w:vAlign w:val="center"/>
          </w:tcPr>
          <w:p w14:paraId="040BAB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42" w:type="pct"/>
            <w:vAlign w:val="center"/>
          </w:tcPr>
          <w:p w14:paraId="2CE9BEA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仿宋" w:hAnsi="仿宋" w:eastAsia="仿宋" w:cs="仿宋"/>
                <w:color w:val="auto"/>
                <w:sz w:val="24"/>
                <w:szCs w:val="24"/>
              </w:rPr>
            </w:pPr>
          </w:p>
        </w:tc>
      </w:tr>
    </w:tbl>
    <w:p w14:paraId="418D1071">
      <w:pPr>
        <w:pStyle w:val="2"/>
        <w:pageBreakBefore w:val="0"/>
        <w:kinsoku/>
        <w:overflowPunct/>
        <w:topLinePunct w:val="0"/>
        <w:bidi w:val="0"/>
        <w:spacing w:beforeLines="0" w:beforeAutospacing="0" w:afterLines="0" w:afterAutospacing="0" w:line="360" w:lineRule="auto"/>
        <w:ind w:left="0" w:leftChars="0" w:right="0" w:rightChars="0" w:firstLine="361" w:firstLineChars="200"/>
        <w:jc w:val="left"/>
        <w:textAlignment w:val="auto"/>
        <w:rPr>
          <w:rFonts w:hint="eastAsia" w:asciiTheme="minorEastAsia" w:hAnsiTheme="minorEastAsia" w:eastAsiaTheme="minorEastAsia" w:cstheme="minorEastAsia"/>
          <w:b/>
          <w:bCs w:val="0"/>
          <w:sz w:val="18"/>
          <w:szCs w:val="18"/>
          <w:lang w:val="en-US" w:eastAsia="zh-CN"/>
        </w:rPr>
      </w:pPr>
    </w:p>
    <w:p w14:paraId="3DB2EC80">
      <w:pPr>
        <w:pStyle w:val="2"/>
        <w:pageBreakBefore w:val="0"/>
        <w:kinsoku/>
        <w:overflowPunct/>
        <w:topLinePunct w:val="0"/>
        <w:bidi w:val="0"/>
        <w:spacing w:beforeLines="0" w:beforeAutospacing="0" w:afterLines="0" w:afterAutospacing="0" w:line="360" w:lineRule="auto"/>
        <w:ind w:left="0" w:leftChars="0" w:right="0" w:rightChars="0" w:firstLine="422" w:firstLineChars="200"/>
        <w:jc w:val="left"/>
        <w:textAlignment w:val="auto"/>
        <w:rPr>
          <w:rFonts w:hint="eastAsia" w:ascii="仿宋" w:hAnsi="仿宋" w:eastAsia="仿宋" w:cs="仿宋"/>
          <w:color w:val="auto"/>
          <w:spacing w:val="0"/>
          <w:w w:val="100"/>
          <w:sz w:val="36"/>
          <w:szCs w:val="36"/>
        </w:rPr>
      </w:pPr>
      <w:r>
        <w:rPr>
          <w:rFonts w:hint="eastAsia" w:ascii="仿宋" w:hAnsi="仿宋" w:eastAsia="仿宋" w:cs="仿宋"/>
          <w:b/>
          <w:bCs w:val="0"/>
          <w:sz w:val="21"/>
          <w:szCs w:val="21"/>
          <w:lang w:val="en-US" w:eastAsia="zh-CN"/>
        </w:rPr>
        <w:t>注：以上标注“▲”需提供第三方检测机构出具的加盖CMA资质章的检测报告和全国认证认可信息公共服务平台网站（http://cx.cnca.cn/）查询截图</w:t>
      </w:r>
    </w:p>
    <w:p w14:paraId="739B642F">
      <w:pPr>
        <w:pageBreakBefore w:val="0"/>
        <w:kinsoku/>
        <w:overflowPunct/>
        <w:topLinePunct w:val="0"/>
        <w:bidi w:val="0"/>
        <w:spacing w:beforeAutospacing="0" w:afterAutospacing="0" w:line="360" w:lineRule="auto"/>
        <w:ind w:left="0" w:leftChars="0" w:right="0" w:rightChars="0" w:firstLine="482" w:firstLineChars="200"/>
        <w:textAlignment w:val="auto"/>
        <w:rPr>
          <w:rFonts w:hint="eastAsia" w:ascii="仿宋" w:hAnsi="仿宋" w:eastAsia="仿宋" w:cs="仿宋"/>
          <w:b/>
          <w:color w:val="auto"/>
          <w:spacing w:val="0"/>
          <w:w w:val="100"/>
        </w:rPr>
      </w:pPr>
    </w:p>
    <w:p w14:paraId="104D1B30">
      <w:pPr>
        <w:rPr>
          <w:rFonts w:hint="eastAsia" w:ascii="仿宋" w:hAnsi="仿宋" w:eastAsia="仿宋" w:cs="仿宋"/>
          <w:color w:val="auto"/>
          <w:spacing w:val="0"/>
          <w:w w:val="100"/>
          <w:sz w:val="30"/>
          <w:szCs w:val="30"/>
        </w:rPr>
      </w:pPr>
      <w:bookmarkStart w:id="7" w:name="_Toc2250"/>
      <w:bookmarkStart w:id="8" w:name="_Toc407182667"/>
      <w:r>
        <w:rPr>
          <w:rFonts w:hint="eastAsia" w:ascii="仿宋" w:hAnsi="仿宋" w:eastAsia="仿宋" w:cs="仿宋"/>
          <w:color w:val="auto"/>
          <w:spacing w:val="0"/>
          <w:w w:val="100"/>
          <w:sz w:val="30"/>
          <w:szCs w:val="30"/>
        </w:rPr>
        <w:br w:type="page"/>
      </w:r>
    </w:p>
    <w:p w14:paraId="49161C1D">
      <w:pPr>
        <w:pStyle w:val="3"/>
        <w:pageBreakBefore w:val="0"/>
        <w:kinsoku/>
        <w:overflowPunct/>
        <w:topLinePunct w:val="0"/>
        <w:bidi w:val="0"/>
        <w:spacing w:beforeLines="0" w:beforeAutospacing="0" w:afterLines="0" w:afterAutospacing="0" w:line="360" w:lineRule="auto"/>
        <w:ind w:left="0" w:leftChars="0" w:right="0" w:rightChars="0" w:firstLine="600" w:firstLineChars="200"/>
        <w:textAlignment w:val="auto"/>
        <w:rPr>
          <w:rFonts w:hint="eastAsia" w:ascii="仿宋" w:hAnsi="仿宋" w:eastAsia="仿宋" w:cs="仿宋"/>
          <w:color w:val="auto"/>
          <w:spacing w:val="0"/>
          <w:w w:val="100"/>
          <w:sz w:val="30"/>
          <w:szCs w:val="30"/>
        </w:rPr>
      </w:pPr>
      <w:r>
        <w:rPr>
          <w:rFonts w:hint="eastAsia" w:ascii="仿宋" w:hAnsi="仿宋" w:eastAsia="仿宋" w:cs="仿宋"/>
          <w:color w:val="auto"/>
          <w:spacing w:val="0"/>
          <w:w w:val="100"/>
          <w:sz w:val="30"/>
          <w:szCs w:val="30"/>
        </w:rPr>
        <w:t>第</w:t>
      </w:r>
      <w:r>
        <w:rPr>
          <w:rFonts w:hint="eastAsia" w:ascii="仿宋" w:hAnsi="仿宋" w:eastAsia="仿宋" w:cs="仿宋"/>
          <w:color w:val="auto"/>
          <w:spacing w:val="0"/>
          <w:w w:val="100"/>
          <w:sz w:val="30"/>
          <w:szCs w:val="30"/>
          <w:lang w:val="en-US" w:eastAsia="zh-CN"/>
        </w:rPr>
        <w:t>二</w:t>
      </w:r>
      <w:r>
        <w:rPr>
          <w:rFonts w:hint="eastAsia" w:ascii="仿宋" w:hAnsi="仿宋" w:eastAsia="仿宋" w:cs="仿宋"/>
          <w:color w:val="auto"/>
          <w:spacing w:val="0"/>
          <w:w w:val="100"/>
          <w:sz w:val="30"/>
          <w:szCs w:val="30"/>
        </w:rPr>
        <w:t>节 商务要求</w:t>
      </w:r>
      <w:bookmarkEnd w:id="7"/>
      <w:bookmarkEnd w:id="8"/>
    </w:p>
    <w:p w14:paraId="070AE3FA">
      <w:pPr>
        <w:keepNext w:val="0"/>
        <w:keepLines w:val="0"/>
        <w:pageBreakBefore w:val="0"/>
        <w:kinsoku/>
        <w:wordWrap/>
        <w:overflowPunct/>
        <w:topLinePunct w:val="0"/>
        <w:autoSpaceDE/>
        <w:autoSpaceDN/>
        <w:bidi w:val="0"/>
        <w:adjustRightInd/>
        <w:snapToGrid/>
        <w:ind w:firstLine="482" w:firstLineChars="200"/>
        <w:textAlignment w:val="auto"/>
        <w:rPr>
          <w:rStyle w:val="7"/>
          <w:rFonts w:hint="eastAsia" w:ascii="仿宋" w:hAnsi="仿宋" w:eastAsia="仿宋" w:cs="仿宋"/>
          <w:b/>
          <w:bCs w:val="0"/>
          <w:color w:val="auto"/>
          <w:sz w:val="24"/>
        </w:rPr>
      </w:pPr>
      <w:r>
        <w:rPr>
          <w:rStyle w:val="7"/>
          <w:rFonts w:hint="eastAsia" w:ascii="仿宋" w:hAnsi="仿宋" w:eastAsia="仿宋" w:cs="仿宋"/>
          <w:b/>
          <w:bCs w:val="0"/>
          <w:color w:val="auto"/>
          <w:sz w:val="24"/>
        </w:rPr>
        <w:t>一、交货期及交货地点</w:t>
      </w:r>
    </w:p>
    <w:p w14:paraId="457681EB">
      <w:pPr>
        <w:keepNext w:val="0"/>
        <w:keepLines w:val="0"/>
        <w:pageBreakBefore w:val="0"/>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pacing w:val="0"/>
          <w:w w:val="100"/>
          <w:kern w:val="0"/>
          <w:sz w:val="24"/>
          <w:szCs w:val="24"/>
          <w:lang w:val="en-US" w:eastAsia="zh-CN" w:bidi="ar"/>
        </w:rPr>
      </w:pPr>
      <w:r>
        <w:rPr>
          <w:rFonts w:hint="eastAsia" w:ascii="仿宋" w:hAnsi="仿宋" w:eastAsia="仿宋" w:cs="仿宋"/>
          <w:color w:val="auto"/>
          <w:sz w:val="24"/>
        </w:rPr>
        <w:t>交货期</w:t>
      </w:r>
      <w:r>
        <w:rPr>
          <w:rFonts w:hint="eastAsia" w:ascii="仿宋" w:hAnsi="仿宋" w:eastAsia="仿宋" w:cs="仿宋"/>
          <w:color w:val="auto"/>
          <w:sz w:val="24"/>
          <w:lang w:eastAsia="zh-CN"/>
        </w:rPr>
        <w:t>：</w:t>
      </w:r>
      <w:r>
        <w:rPr>
          <w:rFonts w:hint="eastAsia" w:ascii="仿宋" w:hAnsi="仿宋" w:eastAsia="仿宋" w:cs="仿宋"/>
          <w:color w:val="auto"/>
          <w:spacing w:val="0"/>
          <w:w w:val="100"/>
          <w:kern w:val="0"/>
          <w:sz w:val="24"/>
          <w:szCs w:val="24"/>
          <w:lang w:val="en-US" w:eastAsia="zh-CN" w:bidi="ar"/>
        </w:rPr>
        <w:t>40日历天。</w:t>
      </w:r>
    </w:p>
    <w:p w14:paraId="0E32901A">
      <w:pPr>
        <w:keepNext w:val="0"/>
        <w:keepLines w:val="0"/>
        <w:pageBreakBefore w:val="0"/>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pacing w:val="0"/>
          <w:w w:val="100"/>
          <w:kern w:val="0"/>
          <w:sz w:val="24"/>
          <w:szCs w:val="24"/>
          <w:lang w:val="en-US" w:eastAsia="zh-CN" w:bidi="ar"/>
        </w:rPr>
      </w:pPr>
      <w:r>
        <w:rPr>
          <w:rFonts w:hint="eastAsia" w:ascii="仿宋" w:hAnsi="仿宋" w:eastAsia="仿宋" w:cs="仿宋"/>
          <w:color w:val="auto"/>
          <w:spacing w:val="0"/>
          <w:w w:val="100"/>
          <w:kern w:val="0"/>
          <w:sz w:val="24"/>
          <w:szCs w:val="24"/>
          <w:lang w:val="en-US" w:eastAsia="zh-CN" w:bidi="ar"/>
        </w:rPr>
        <w:t>交货地点：</w:t>
      </w:r>
      <w:r>
        <w:rPr>
          <w:rFonts w:hint="eastAsia" w:ascii="仿宋" w:hAnsi="仿宋" w:eastAsia="仿宋" w:cs="仿宋"/>
          <w:b w:val="0"/>
          <w:bCs/>
          <w:color w:val="auto"/>
          <w:spacing w:val="0"/>
          <w:w w:val="100"/>
          <w:sz w:val="24"/>
          <w:szCs w:val="24"/>
          <w:lang w:val="en-US" w:eastAsia="zh-CN"/>
        </w:rPr>
        <w:t>采购人指定地点。</w:t>
      </w:r>
    </w:p>
    <w:p w14:paraId="285C3678">
      <w:pPr>
        <w:keepNext w:val="0"/>
        <w:keepLines w:val="0"/>
        <w:pageBreakBefore w:val="0"/>
        <w:kinsoku/>
        <w:wordWrap/>
        <w:overflowPunct/>
        <w:topLinePunct w:val="0"/>
        <w:autoSpaceDE/>
        <w:autoSpaceDN/>
        <w:bidi w:val="0"/>
        <w:adjustRightInd/>
        <w:snapToGrid/>
        <w:ind w:firstLine="482" w:firstLineChars="200"/>
        <w:textAlignment w:val="auto"/>
        <w:rPr>
          <w:rFonts w:hint="eastAsia" w:ascii="仿宋" w:hAnsi="仿宋" w:eastAsia="仿宋" w:cs="仿宋"/>
          <w:b/>
          <w:bCs/>
          <w:color w:val="auto"/>
          <w:sz w:val="24"/>
        </w:rPr>
      </w:pPr>
      <w:r>
        <w:rPr>
          <w:rFonts w:hint="eastAsia" w:ascii="仿宋" w:hAnsi="仿宋" w:eastAsia="仿宋" w:cs="仿宋"/>
          <w:b/>
          <w:bCs/>
          <w:color w:val="auto"/>
          <w:sz w:val="24"/>
        </w:rPr>
        <w:t>二、验收标准、规范及方式</w:t>
      </w:r>
    </w:p>
    <w:p w14:paraId="18CD0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sz w:val="24"/>
          <w:szCs w:val="24"/>
          <w:lang w:eastAsia="zh-CN"/>
        </w:rPr>
      </w:pPr>
      <w:r>
        <w:rPr>
          <w:rFonts w:hint="eastAsia" w:ascii="仿宋" w:hAnsi="仿宋" w:eastAsia="仿宋" w:cs="仿宋"/>
          <w:color w:val="auto"/>
          <w:spacing w:val="0"/>
          <w:w w:val="100"/>
          <w:sz w:val="24"/>
          <w:szCs w:val="24"/>
        </w:rPr>
        <w:t>验收标准</w:t>
      </w:r>
      <w:r>
        <w:rPr>
          <w:rFonts w:hint="eastAsia" w:ascii="仿宋" w:hAnsi="仿宋" w:eastAsia="仿宋" w:cs="仿宋"/>
          <w:color w:val="auto"/>
          <w:spacing w:val="0"/>
          <w:w w:val="100"/>
          <w:sz w:val="24"/>
          <w:szCs w:val="24"/>
          <w:lang w:eastAsia="zh-CN"/>
        </w:rPr>
        <w:t>：</w:t>
      </w:r>
    </w:p>
    <w:p w14:paraId="1396424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kern w:val="0"/>
          <w:sz w:val="24"/>
          <w:szCs w:val="24"/>
          <w:lang w:val="en-US" w:eastAsia="zh-CN" w:bidi="ar"/>
        </w:rPr>
      </w:pPr>
      <w:r>
        <w:rPr>
          <w:rFonts w:hint="eastAsia" w:ascii="仿宋" w:hAnsi="仿宋" w:eastAsia="仿宋" w:cs="仿宋"/>
          <w:color w:val="auto"/>
          <w:spacing w:val="0"/>
          <w:w w:val="100"/>
          <w:sz w:val="24"/>
          <w:szCs w:val="24"/>
          <w:lang w:val="en-US" w:eastAsia="zh-CN"/>
        </w:rPr>
        <w:t>1、</w:t>
      </w:r>
      <w:r>
        <w:rPr>
          <w:rFonts w:hint="eastAsia" w:ascii="仿宋" w:hAnsi="仿宋" w:eastAsia="仿宋" w:cs="仿宋"/>
          <w:color w:val="auto"/>
          <w:spacing w:val="0"/>
          <w:w w:val="100"/>
          <w:kern w:val="0"/>
          <w:sz w:val="24"/>
          <w:szCs w:val="24"/>
          <w:lang w:val="en-US" w:eastAsia="zh-CN" w:bidi="ar"/>
        </w:rPr>
        <w:t>根据本项目采购需求，所有照明系统安装后，由具备照明检验资质及安全检测资质的检测机构出具检测报告。采购人根据检测报告，在省级专家库中抽选具备相应资质的专家对本项目进行竣工验收，</w:t>
      </w:r>
    </w:p>
    <w:p w14:paraId="02EABE0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sz w:val="24"/>
          <w:szCs w:val="24"/>
          <w:lang w:eastAsia="zh-CN"/>
        </w:rPr>
      </w:pPr>
      <w:r>
        <w:rPr>
          <w:rFonts w:hint="eastAsia" w:ascii="仿宋" w:hAnsi="仿宋" w:eastAsia="仿宋" w:cs="仿宋"/>
          <w:color w:val="auto"/>
          <w:spacing w:val="0"/>
          <w:w w:val="100"/>
          <w:kern w:val="2"/>
          <w:sz w:val="24"/>
          <w:szCs w:val="24"/>
          <w:lang w:val="en-US" w:eastAsia="zh-CN" w:bidi="ar-SA"/>
        </w:rPr>
        <w:t>2、</w:t>
      </w:r>
      <w:r>
        <w:rPr>
          <w:rFonts w:hint="eastAsia" w:ascii="仿宋" w:hAnsi="仿宋" w:eastAsia="仿宋" w:cs="仿宋"/>
          <w:color w:val="auto"/>
          <w:spacing w:val="0"/>
          <w:w w:val="100"/>
          <w:sz w:val="24"/>
          <w:szCs w:val="24"/>
          <w:lang w:eastAsia="zh-CN"/>
        </w:rPr>
        <w:t>采购人可以委托第三方机构或专家开展项目验收，中标（成交）供应商必须为验收提供必要的条件，准备好资料，并支付第三方机构或专家费用。</w:t>
      </w:r>
    </w:p>
    <w:p w14:paraId="6786906D">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sz w:val="24"/>
          <w:szCs w:val="24"/>
          <w:lang w:val="en-US" w:eastAsia="zh-CN"/>
        </w:rPr>
        <w:t>验收规范：</w:t>
      </w:r>
      <w:r>
        <w:rPr>
          <w:rFonts w:hint="eastAsia" w:ascii="仿宋" w:hAnsi="仿宋" w:eastAsia="仿宋" w:cs="仿宋"/>
          <w:color w:val="auto"/>
          <w:spacing w:val="0"/>
          <w:w w:val="100"/>
          <w:kern w:val="0"/>
          <w:sz w:val="24"/>
          <w:szCs w:val="24"/>
          <w:lang w:val="en-US" w:eastAsia="zh-CN" w:bidi="ar"/>
        </w:rPr>
        <w:t>达到国家、行业及地方现行相关法律法规、规范、技术标准及采购人有关质量技术要求。</w:t>
      </w:r>
    </w:p>
    <w:p w14:paraId="05309635">
      <w:pPr>
        <w:keepNext w:val="0"/>
        <w:keepLines w:val="0"/>
        <w:pageBreakBefore w:val="0"/>
        <w:numPr>
          <w:ilvl w:val="0"/>
          <w:numId w:val="0"/>
        </w:numPr>
        <w:kinsoku/>
        <w:wordWrap/>
        <w:overflowPunct/>
        <w:topLinePunct w:val="0"/>
        <w:autoSpaceDE/>
        <w:autoSpaceDN/>
        <w:bidi w:val="0"/>
        <w:adjustRightInd/>
        <w:snapToGrid/>
        <w:ind w:firstLine="482" w:firstLineChars="200"/>
        <w:textAlignment w:val="auto"/>
        <w:rPr>
          <w:rStyle w:val="7"/>
          <w:rFonts w:hint="eastAsia" w:ascii="仿宋" w:hAnsi="仿宋" w:eastAsia="仿宋" w:cs="仿宋"/>
          <w:color w:val="auto"/>
          <w:sz w:val="24"/>
        </w:rPr>
      </w:pPr>
      <w:r>
        <w:rPr>
          <w:rFonts w:hint="eastAsia" w:ascii="仿宋" w:hAnsi="仿宋" w:eastAsia="仿宋" w:cs="仿宋"/>
          <w:b/>
          <w:bCs w:val="0"/>
          <w:color w:val="auto"/>
          <w:kern w:val="2"/>
          <w:sz w:val="24"/>
          <w:szCs w:val="24"/>
          <w:lang w:val="en-US" w:eastAsia="zh-CN" w:bidi="ar-SA"/>
        </w:rPr>
        <w:t>三、</w:t>
      </w:r>
      <w:r>
        <w:rPr>
          <w:rStyle w:val="7"/>
          <w:rFonts w:hint="eastAsia" w:ascii="仿宋" w:hAnsi="仿宋" w:eastAsia="仿宋" w:cs="仿宋"/>
          <w:b/>
          <w:bCs w:val="0"/>
          <w:color w:val="auto"/>
          <w:sz w:val="24"/>
        </w:rPr>
        <w:t>售后服务</w:t>
      </w:r>
    </w:p>
    <w:p w14:paraId="2924842A">
      <w:pPr>
        <w:keepNext w:val="0"/>
        <w:keepLines w:val="0"/>
        <w:pageBreakBefore w:val="0"/>
        <w:numPr>
          <w:ilvl w:val="0"/>
          <w:numId w:val="0"/>
        </w:numPr>
        <w:kinsoku/>
        <w:wordWrap/>
        <w:overflowPunct/>
        <w:topLinePunct w:val="0"/>
        <w:autoSpaceDE/>
        <w:autoSpaceDN/>
        <w:bidi w:val="0"/>
        <w:adjustRightInd/>
        <w:snapToGrid/>
        <w:ind w:firstLine="480" w:firstLineChars="200"/>
        <w:textAlignment w:val="auto"/>
        <w:rPr>
          <w:rStyle w:val="7"/>
          <w:rFonts w:hint="eastAsia" w:ascii="仿宋" w:hAnsi="仿宋" w:eastAsia="仿宋" w:cs="仿宋"/>
          <w:color w:val="auto"/>
          <w:sz w:val="24"/>
        </w:rPr>
      </w:pPr>
      <w:r>
        <w:rPr>
          <w:rFonts w:hint="eastAsia" w:ascii="仿宋" w:hAnsi="仿宋" w:eastAsia="仿宋" w:cs="仿宋"/>
          <w:color w:val="auto"/>
          <w:spacing w:val="0"/>
          <w:w w:val="100"/>
          <w:kern w:val="0"/>
          <w:sz w:val="24"/>
          <w:szCs w:val="24"/>
          <w:lang w:val="en-US" w:eastAsia="zh-CN" w:bidi="ar"/>
        </w:rPr>
        <w:t>无要求。</w:t>
      </w:r>
    </w:p>
    <w:p w14:paraId="77526053">
      <w:pPr>
        <w:keepNext w:val="0"/>
        <w:keepLines w:val="0"/>
        <w:pageBreakBefore w:val="0"/>
        <w:kinsoku/>
        <w:wordWrap/>
        <w:overflowPunct/>
        <w:topLinePunct w:val="0"/>
        <w:autoSpaceDE/>
        <w:autoSpaceDN/>
        <w:bidi w:val="0"/>
        <w:adjustRightInd/>
        <w:snapToGrid/>
        <w:ind w:firstLine="482" w:firstLineChars="200"/>
        <w:textAlignment w:val="auto"/>
        <w:rPr>
          <w:rStyle w:val="7"/>
          <w:rFonts w:hint="eastAsia" w:ascii="仿宋" w:hAnsi="仿宋" w:eastAsia="仿宋" w:cs="仿宋"/>
          <w:b/>
          <w:bCs w:val="0"/>
          <w:color w:val="auto"/>
          <w:sz w:val="24"/>
          <w:szCs w:val="24"/>
        </w:rPr>
      </w:pPr>
      <w:r>
        <w:rPr>
          <w:rStyle w:val="7"/>
          <w:rFonts w:hint="eastAsia" w:ascii="仿宋" w:hAnsi="仿宋" w:eastAsia="仿宋" w:cs="仿宋"/>
          <w:b/>
          <w:bCs w:val="0"/>
          <w:color w:val="auto"/>
          <w:sz w:val="24"/>
        </w:rPr>
        <w:t>四</w:t>
      </w:r>
      <w:r>
        <w:rPr>
          <w:rStyle w:val="7"/>
          <w:rFonts w:hint="eastAsia" w:ascii="仿宋" w:hAnsi="仿宋" w:eastAsia="仿宋" w:cs="仿宋"/>
          <w:b/>
          <w:bCs w:val="0"/>
          <w:color w:val="auto"/>
          <w:sz w:val="24"/>
          <w:szCs w:val="24"/>
        </w:rPr>
        <w:t>、质保期</w:t>
      </w:r>
    </w:p>
    <w:p w14:paraId="7EFFE63B">
      <w:pPr>
        <w:keepNext w:val="0"/>
        <w:keepLines w:val="0"/>
        <w:widowControl/>
        <w:suppressLineNumbers w:val="0"/>
        <w:jc w:val="left"/>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（1）2年。</w:t>
      </w:r>
    </w:p>
    <w:p w14:paraId="4294BB8B">
      <w:pPr>
        <w:keepNext w:val="0"/>
        <w:keepLines w:val="0"/>
        <w:widowControl/>
        <w:suppressLineNumbers w:val="0"/>
        <w:jc w:val="left"/>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（2）</w:t>
      </w:r>
      <w:r>
        <w:rPr>
          <w:rFonts w:ascii="仿宋" w:hAnsi="仿宋" w:eastAsia="仿宋" w:cs="仿宋"/>
          <w:color w:val="000000"/>
          <w:kern w:val="0"/>
          <w:sz w:val="24"/>
          <w:szCs w:val="24"/>
          <w:lang w:val="en-US" w:eastAsia="zh-CN" w:bidi="ar"/>
        </w:rPr>
        <w:t>项目竣工验收之日起，即进入质保期</w:t>
      </w:r>
      <w:r>
        <w:rPr>
          <w:rFonts w:hint="eastAsia" w:ascii="仿宋" w:hAnsi="仿宋" w:eastAsia="仿宋" w:cs="仿宋"/>
          <w:color w:val="auto"/>
          <w:spacing w:val="0"/>
          <w:w w:val="100"/>
          <w:sz w:val="24"/>
          <w:szCs w:val="24"/>
          <w:lang w:val="en-US" w:eastAsia="zh-CN"/>
        </w:rPr>
        <w:t>。</w:t>
      </w:r>
    </w:p>
    <w:p w14:paraId="10C2ABD8">
      <w:pPr>
        <w:keepNext w:val="0"/>
        <w:keepLines w:val="0"/>
        <w:pageBreakBefore w:val="0"/>
        <w:kinsoku/>
        <w:wordWrap/>
        <w:overflowPunct/>
        <w:topLinePunct w:val="0"/>
        <w:autoSpaceDE/>
        <w:autoSpaceDN/>
        <w:bidi w:val="0"/>
        <w:adjustRightInd/>
        <w:snapToGrid/>
        <w:ind w:firstLine="482" w:firstLineChars="200"/>
        <w:textAlignment w:val="auto"/>
        <w:rPr>
          <w:rStyle w:val="7"/>
          <w:rFonts w:hint="eastAsia" w:ascii="仿宋" w:hAnsi="仿宋" w:eastAsia="仿宋" w:cs="仿宋"/>
          <w:b/>
          <w:bCs w:val="0"/>
          <w:color w:val="auto"/>
          <w:sz w:val="24"/>
        </w:rPr>
      </w:pPr>
      <w:r>
        <w:rPr>
          <w:rStyle w:val="7"/>
          <w:rFonts w:hint="eastAsia" w:ascii="仿宋" w:hAnsi="仿宋" w:eastAsia="仿宋" w:cs="仿宋"/>
          <w:b/>
          <w:bCs w:val="0"/>
          <w:color w:val="auto"/>
          <w:sz w:val="24"/>
        </w:rPr>
        <w:t>五、付款方式</w:t>
      </w:r>
    </w:p>
    <w:p w14:paraId="1A28530D">
      <w:pPr>
        <w:keepNext w:val="0"/>
        <w:keepLines w:val="0"/>
        <w:pageBreakBefore w:val="0"/>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根据本项目工期安排，合同签订及基本施工材料进场后支付30%预付款，竣工验收后支付剩余70%项目。</w:t>
      </w:r>
    </w:p>
    <w:p w14:paraId="425D9AB7">
      <w:pPr>
        <w:keepNext w:val="0"/>
        <w:keepLines w:val="0"/>
        <w:pageBreakBefore w:val="0"/>
        <w:numPr>
          <w:ilvl w:val="0"/>
          <w:numId w:val="0"/>
        </w:numPr>
        <w:kinsoku/>
        <w:wordWrap/>
        <w:overflowPunct/>
        <w:topLinePunct w:val="0"/>
        <w:autoSpaceDE/>
        <w:autoSpaceDN/>
        <w:bidi w:val="0"/>
        <w:adjustRightInd/>
        <w:snapToGrid/>
        <w:ind w:firstLine="482" w:firstLineChars="200"/>
        <w:textAlignment w:val="auto"/>
        <w:rPr>
          <w:rFonts w:hint="eastAsia" w:ascii="仿宋" w:hAnsi="仿宋" w:eastAsia="仿宋" w:cs="仿宋"/>
          <w:b/>
          <w:bCs/>
          <w:color w:val="auto"/>
          <w:spacing w:val="0"/>
          <w:w w:val="100"/>
          <w:sz w:val="24"/>
          <w:szCs w:val="24"/>
          <w:lang w:val="en-US" w:eastAsia="zh-CN"/>
        </w:rPr>
      </w:pPr>
      <w:r>
        <w:rPr>
          <w:rFonts w:hint="eastAsia" w:ascii="仿宋" w:hAnsi="仿宋" w:eastAsia="仿宋" w:cs="仿宋"/>
          <w:b/>
          <w:bCs/>
          <w:color w:val="auto"/>
          <w:spacing w:val="0"/>
          <w:w w:val="100"/>
          <w:kern w:val="2"/>
          <w:sz w:val="24"/>
          <w:szCs w:val="24"/>
          <w:lang w:val="en-US" w:eastAsia="zh-CN" w:bidi="ar-SA"/>
        </w:rPr>
        <w:t>六、</w:t>
      </w:r>
      <w:r>
        <w:rPr>
          <w:rFonts w:hint="eastAsia" w:ascii="仿宋" w:hAnsi="仿宋" w:eastAsia="仿宋" w:cs="仿宋"/>
          <w:b/>
          <w:bCs/>
          <w:color w:val="auto"/>
          <w:spacing w:val="0"/>
          <w:w w:val="100"/>
          <w:sz w:val="24"/>
          <w:szCs w:val="24"/>
          <w:lang w:val="en-US" w:eastAsia="zh-CN"/>
        </w:rPr>
        <w:t>支付金额</w:t>
      </w:r>
    </w:p>
    <w:p w14:paraId="4BCBE8F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right="0" w:rightChars="0" w:firstLine="480" w:firstLineChars="200"/>
        <w:textAlignment w:val="auto"/>
        <w:outlineLvl w:val="9"/>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①以第三方结算审核机构出具的结算审核报告审定金额为支付依据，当审定金额高于合同金额时，以合同金额为上限支付，当审定金额低于合同金额时，按审定金额支付。</w:t>
      </w:r>
    </w:p>
    <w:p w14:paraId="79636F4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right="0" w:rightChars="0" w:firstLine="480" w:firstLineChars="200"/>
        <w:textAlignment w:val="auto"/>
        <w:outlineLvl w:val="9"/>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②因设计变更或采购人需求变化的情况除外，按清单外增加处理，但不得超过合同金额的10%，必须按金额要求完善变更手续后方可。</w:t>
      </w:r>
    </w:p>
    <w:p w14:paraId="6FF8362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right="0" w:rightChars="0" w:firstLine="480" w:firstLineChars="200"/>
        <w:textAlignment w:val="auto"/>
        <w:outlineLvl w:val="9"/>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③成交供应商支付审减超过率10%部分的审计费用</w:t>
      </w:r>
    </w:p>
    <w:p w14:paraId="6855F936">
      <w:pPr>
        <w:keepNext w:val="0"/>
        <w:keepLines w:val="0"/>
        <w:pageBreakBefore w:val="0"/>
        <w:numPr>
          <w:ilvl w:val="0"/>
          <w:numId w:val="1"/>
        </w:numPr>
        <w:kinsoku/>
        <w:wordWrap/>
        <w:overflowPunct/>
        <w:topLinePunct w:val="0"/>
        <w:autoSpaceDE/>
        <w:autoSpaceDN/>
        <w:bidi w:val="0"/>
        <w:adjustRightInd/>
        <w:snapToGrid/>
        <w:ind w:firstLine="482" w:firstLineChars="200"/>
        <w:textAlignment w:val="auto"/>
        <w:rPr>
          <w:rFonts w:hint="eastAsia" w:ascii="仿宋" w:hAnsi="仿宋" w:eastAsia="仿宋" w:cs="仿宋"/>
          <w:b/>
          <w:bCs/>
          <w:color w:val="auto"/>
          <w:spacing w:val="0"/>
          <w:w w:val="100"/>
          <w:sz w:val="24"/>
          <w:szCs w:val="24"/>
          <w:lang w:val="en-US" w:eastAsia="zh-CN"/>
        </w:rPr>
      </w:pPr>
      <w:r>
        <w:rPr>
          <w:rFonts w:hint="eastAsia" w:ascii="仿宋" w:hAnsi="仿宋" w:eastAsia="仿宋" w:cs="仿宋"/>
          <w:b/>
          <w:bCs/>
          <w:color w:val="auto"/>
          <w:spacing w:val="0"/>
          <w:w w:val="100"/>
          <w:sz w:val="24"/>
          <w:szCs w:val="24"/>
          <w:lang w:val="en-US" w:eastAsia="zh-CN"/>
        </w:rPr>
        <w:t>送审要求</w:t>
      </w:r>
    </w:p>
    <w:p w14:paraId="75B5A6FB">
      <w:pPr>
        <w:keepNext w:val="0"/>
        <w:keepLines w:val="0"/>
        <w:pageBreakBefore w:val="0"/>
        <w:numPr>
          <w:ilvl w:val="0"/>
          <w:numId w:val="0"/>
        </w:numPr>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本次采购清单内送审金额不得超过合同金额的110%，超过部分不予收审</w:t>
      </w:r>
    </w:p>
    <w:p w14:paraId="3273EEA5">
      <w:pPr>
        <w:keepNext w:val="0"/>
        <w:keepLines w:val="0"/>
        <w:pageBreakBefore w:val="0"/>
        <w:kinsoku/>
        <w:wordWrap/>
        <w:overflowPunct/>
        <w:topLinePunct w:val="0"/>
        <w:autoSpaceDE/>
        <w:autoSpaceDN/>
        <w:bidi w:val="0"/>
        <w:adjustRightInd/>
        <w:snapToGrid/>
        <w:ind w:firstLine="482" w:firstLineChars="200"/>
        <w:textAlignment w:val="auto"/>
        <w:rPr>
          <w:rStyle w:val="7"/>
          <w:rFonts w:hint="eastAsia" w:ascii="仿宋" w:hAnsi="仿宋" w:eastAsia="仿宋" w:cs="仿宋"/>
          <w:b/>
          <w:bCs w:val="0"/>
          <w:color w:val="auto"/>
          <w:sz w:val="24"/>
        </w:rPr>
      </w:pPr>
      <w:r>
        <w:rPr>
          <w:rStyle w:val="7"/>
          <w:rFonts w:hint="eastAsia" w:ascii="仿宋" w:hAnsi="仿宋" w:eastAsia="仿宋" w:cs="仿宋"/>
          <w:b/>
          <w:bCs w:val="0"/>
          <w:color w:val="auto"/>
          <w:sz w:val="24"/>
          <w:lang w:val="en-US" w:eastAsia="zh-CN"/>
        </w:rPr>
        <w:t>八</w:t>
      </w:r>
      <w:r>
        <w:rPr>
          <w:rStyle w:val="7"/>
          <w:rFonts w:hint="eastAsia" w:ascii="仿宋" w:hAnsi="仿宋" w:eastAsia="仿宋" w:cs="仿宋"/>
          <w:b/>
          <w:bCs w:val="0"/>
          <w:color w:val="auto"/>
          <w:sz w:val="24"/>
        </w:rPr>
        <w:t>、履约保证金</w:t>
      </w:r>
    </w:p>
    <w:p w14:paraId="56A3CC3E">
      <w:pPr>
        <w:keepNext w:val="0"/>
        <w:keepLines w:val="0"/>
        <w:pageBreakBefore w:val="0"/>
        <w:kinsoku/>
        <w:wordWrap/>
        <w:overflowPunct/>
        <w:topLinePunct w:val="0"/>
        <w:autoSpaceDE/>
        <w:autoSpaceDN/>
        <w:bidi w:val="0"/>
        <w:adjustRightInd/>
        <w:snapToGrid/>
        <w:ind w:firstLine="480" w:firstLineChars="200"/>
        <w:textAlignment w:val="auto"/>
        <w:rPr>
          <w:rStyle w:val="7"/>
          <w:rFonts w:hint="eastAsia" w:ascii="仿宋" w:hAnsi="仿宋" w:eastAsia="仿宋" w:cs="仿宋"/>
          <w:color w:val="auto"/>
          <w:sz w:val="24"/>
        </w:rPr>
      </w:pPr>
      <w:r>
        <w:rPr>
          <w:rFonts w:hint="eastAsia" w:ascii="仿宋" w:hAnsi="仿宋" w:eastAsia="仿宋" w:cs="仿宋"/>
          <w:color w:val="auto"/>
          <w:spacing w:val="0"/>
          <w:w w:val="100"/>
          <w:sz w:val="24"/>
          <w:szCs w:val="24"/>
          <w:lang w:val="en-US" w:eastAsia="zh-CN"/>
        </w:rPr>
        <w:t>本项目无履约保证金</w:t>
      </w:r>
    </w:p>
    <w:p w14:paraId="23065F6E">
      <w:pPr>
        <w:keepNext w:val="0"/>
        <w:keepLines w:val="0"/>
        <w:pageBreakBefore w:val="0"/>
        <w:kinsoku/>
        <w:wordWrap/>
        <w:overflowPunct/>
        <w:topLinePunct w:val="0"/>
        <w:autoSpaceDE/>
        <w:autoSpaceDN/>
        <w:bidi w:val="0"/>
        <w:adjustRightInd/>
        <w:snapToGrid/>
        <w:textAlignment w:val="auto"/>
        <w:rPr>
          <w:rStyle w:val="7"/>
          <w:rFonts w:hint="eastAsia" w:ascii="仿宋" w:hAnsi="仿宋" w:eastAsia="仿宋" w:cs="仿宋"/>
          <w:b/>
          <w:bCs w:val="0"/>
          <w:color w:val="auto"/>
          <w:sz w:val="24"/>
        </w:rPr>
      </w:pPr>
      <w:r>
        <w:rPr>
          <w:rStyle w:val="7"/>
          <w:rFonts w:hint="eastAsia" w:ascii="仿宋" w:hAnsi="仿宋" w:eastAsia="仿宋" w:cs="仿宋"/>
          <w:b/>
          <w:bCs w:val="0"/>
          <w:color w:val="auto"/>
          <w:sz w:val="24"/>
          <w:lang w:val="en-US" w:eastAsia="zh-CN"/>
        </w:rPr>
        <w:t>九</w:t>
      </w:r>
      <w:r>
        <w:rPr>
          <w:rStyle w:val="7"/>
          <w:rFonts w:hint="eastAsia" w:ascii="仿宋" w:hAnsi="仿宋" w:eastAsia="仿宋" w:cs="仿宋"/>
          <w:b/>
          <w:bCs w:val="0"/>
          <w:color w:val="auto"/>
          <w:sz w:val="24"/>
        </w:rPr>
        <w:t>、投标有效期</w:t>
      </w:r>
    </w:p>
    <w:p w14:paraId="558970C4">
      <w:pPr>
        <w:keepNext w:val="0"/>
        <w:keepLines w:val="0"/>
        <w:pageBreakBefore w:val="0"/>
        <w:kinsoku/>
        <w:wordWrap/>
        <w:overflowPunct/>
        <w:topLinePunct w:val="0"/>
        <w:autoSpaceDE/>
        <w:autoSpaceDN/>
        <w:bidi w:val="0"/>
        <w:adjustRightInd/>
        <w:snapToGrid/>
        <w:ind w:firstLine="480" w:firstLineChars="200"/>
        <w:textAlignment w:val="auto"/>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90日历天</w:t>
      </w:r>
    </w:p>
    <w:p w14:paraId="5E6ABADB">
      <w:pPr>
        <w:keepNext w:val="0"/>
        <w:keepLines w:val="0"/>
        <w:pageBreakBefore w:val="0"/>
        <w:kinsoku/>
        <w:wordWrap/>
        <w:overflowPunct/>
        <w:topLinePunct w:val="0"/>
        <w:autoSpaceDE/>
        <w:autoSpaceDN/>
        <w:bidi w:val="0"/>
        <w:adjustRightInd/>
        <w:snapToGrid/>
        <w:ind w:firstLine="482" w:firstLineChars="200"/>
        <w:textAlignment w:val="auto"/>
        <w:rPr>
          <w:rStyle w:val="7"/>
          <w:rFonts w:hint="eastAsia" w:ascii="仿宋" w:hAnsi="仿宋" w:eastAsia="仿宋" w:cs="仿宋"/>
          <w:color w:val="auto"/>
          <w:sz w:val="24"/>
        </w:rPr>
      </w:pPr>
      <w:r>
        <w:rPr>
          <w:rStyle w:val="7"/>
          <w:rFonts w:hint="eastAsia" w:ascii="仿宋" w:hAnsi="仿宋" w:eastAsia="仿宋" w:cs="仿宋"/>
          <w:b/>
          <w:bCs w:val="0"/>
          <w:color w:val="auto"/>
          <w:sz w:val="24"/>
          <w:lang w:val="en-US" w:eastAsia="zh-CN"/>
        </w:rPr>
        <w:t>十</w:t>
      </w:r>
      <w:r>
        <w:rPr>
          <w:rStyle w:val="7"/>
          <w:rFonts w:hint="eastAsia" w:ascii="仿宋" w:hAnsi="仿宋" w:eastAsia="仿宋" w:cs="仿宋"/>
          <w:b/>
          <w:bCs w:val="0"/>
          <w:color w:val="auto"/>
          <w:sz w:val="24"/>
        </w:rPr>
        <w:t>、其他要求</w:t>
      </w:r>
    </w:p>
    <w:p w14:paraId="56EB9EBA">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sz w:val="24"/>
          <w:szCs w:val="24"/>
          <w:lang w:val="en-US" w:eastAsia="zh-CN"/>
        </w:rPr>
      </w:pPr>
      <w:r>
        <w:rPr>
          <w:rFonts w:hint="eastAsia" w:ascii="仿宋" w:hAnsi="仿宋" w:eastAsia="仿宋" w:cs="仿宋"/>
          <w:color w:val="auto"/>
          <w:spacing w:val="0"/>
          <w:w w:val="100"/>
          <w:sz w:val="24"/>
          <w:szCs w:val="24"/>
          <w:lang w:val="en-US" w:eastAsia="zh-CN"/>
        </w:rPr>
        <w:t>1、本项目成交金额为固定总价，甲方、监理单位、供应商共同对进场货物与采购清单逐一核对，进场货物与采购清单完全一致，提交结算审核单位审核，按照结算审核单位意见支付。进场货物未满足采购清单约定，或型号不一致，根据清单价格扣除后提交结算审核单位审核，按照结算审核单位意见支付。</w:t>
      </w:r>
    </w:p>
    <w:p w14:paraId="3ECFF479">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 w:hAnsi="仿宋" w:eastAsia="仿宋" w:cs="仿宋"/>
          <w:b w:val="0"/>
          <w:bCs w:val="0"/>
          <w:color w:val="auto"/>
          <w:spacing w:val="0"/>
          <w:w w:val="100"/>
          <w:sz w:val="24"/>
          <w:szCs w:val="24"/>
          <w:u w:val="none"/>
          <w:lang w:val="en-US" w:eastAsia="zh-CN"/>
        </w:rPr>
      </w:pPr>
      <w:r>
        <w:rPr>
          <w:rFonts w:hint="eastAsia" w:ascii="仿宋" w:hAnsi="仿宋" w:eastAsia="仿宋" w:cs="仿宋"/>
          <w:color w:val="auto"/>
          <w:spacing w:val="0"/>
          <w:w w:val="100"/>
          <w:sz w:val="24"/>
          <w:szCs w:val="24"/>
          <w:lang w:val="en-US" w:eastAsia="zh-CN"/>
        </w:rPr>
        <w:t>2、采购人因不可抗力因素（因施工需要设计变更或采购人需求变化等），需追加与原合</w:t>
      </w:r>
      <w:r>
        <w:rPr>
          <w:rFonts w:hint="eastAsia" w:ascii="仿宋" w:hAnsi="仿宋" w:eastAsia="仿宋" w:cs="仿宋"/>
          <w:b w:val="0"/>
          <w:bCs w:val="0"/>
          <w:color w:val="auto"/>
          <w:spacing w:val="0"/>
          <w:w w:val="100"/>
          <w:sz w:val="24"/>
          <w:szCs w:val="24"/>
          <w:lang w:val="en-US" w:eastAsia="zh-CN"/>
        </w:rPr>
        <w:t>同标的相同（重点）的货物、工程或者服务的，在不改变合同其他条款的前提下，可以与供应商协商签订补充合同，但不得超过原合同金额的10%，</w:t>
      </w:r>
      <w:r>
        <w:rPr>
          <w:rFonts w:hint="eastAsia" w:ascii="仿宋" w:hAnsi="仿宋" w:eastAsia="仿宋" w:cs="仿宋"/>
          <w:b w:val="0"/>
          <w:bCs w:val="0"/>
          <w:color w:val="auto"/>
          <w:spacing w:val="0"/>
          <w:w w:val="100"/>
          <w:sz w:val="24"/>
          <w:szCs w:val="24"/>
          <w:u w:val="none"/>
          <w:lang w:val="en-US" w:eastAsia="zh-CN"/>
        </w:rPr>
        <w:t>需要提前完成学院审批手续，后期完成联系单、签证单签署。</w:t>
      </w:r>
    </w:p>
    <w:p w14:paraId="2EE5684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仿宋" w:hAnsi="仿宋" w:eastAsia="仿宋" w:cs="仿宋"/>
          <w:b w:val="0"/>
          <w:bCs/>
          <w:color w:val="auto"/>
          <w:spacing w:val="0"/>
          <w:w w:val="100"/>
          <w:sz w:val="24"/>
          <w:szCs w:val="24"/>
          <w:highlight w:val="none"/>
          <w:lang w:val="en-US" w:eastAsia="zh-CN"/>
        </w:rPr>
      </w:pPr>
      <w:r>
        <w:rPr>
          <w:rFonts w:hint="eastAsia" w:ascii="仿宋" w:hAnsi="仿宋" w:eastAsia="仿宋" w:cs="仿宋"/>
          <w:b w:val="0"/>
          <w:bCs w:val="0"/>
          <w:color w:val="auto"/>
          <w:spacing w:val="0"/>
          <w:w w:val="100"/>
          <w:sz w:val="24"/>
          <w:szCs w:val="24"/>
          <w:u w:val="none"/>
          <w:lang w:val="en-US" w:eastAsia="zh-CN"/>
        </w:rPr>
        <w:t>3、</w:t>
      </w:r>
      <w:r>
        <w:rPr>
          <w:rFonts w:hint="eastAsia" w:ascii="仿宋" w:hAnsi="仿宋" w:eastAsia="仿宋" w:cs="仿宋"/>
          <w:b w:val="0"/>
          <w:bCs/>
          <w:color w:val="auto"/>
          <w:spacing w:val="0"/>
          <w:w w:val="100"/>
          <w:sz w:val="24"/>
          <w:szCs w:val="24"/>
          <w:highlight w:val="none"/>
          <w:lang w:val="en-US" w:eastAsia="zh-CN"/>
        </w:rPr>
        <w:t>拟投入本项目施工人员在工作期间给他人造成人身伤害、财产损失等，或者在施工期间发生劳动纠纷、意外伤害等一切事项与采购人无关，所有因此产生的责任及赔偿由供应商自行承担。</w:t>
      </w:r>
    </w:p>
    <w:p w14:paraId="457453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仿宋" w:hAnsi="仿宋" w:eastAsia="仿宋" w:cs="仿宋"/>
          <w:b w:val="0"/>
          <w:bCs/>
          <w:caps w:val="0"/>
          <w:color w:val="auto"/>
          <w:spacing w:val="0"/>
          <w:w w:val="100"/>
          <w:position w:val="0"/>
          <w:sz w:val="24"/>
          <w:szCs w:val="24"/>
          <w:lang w:val="en-US" w:eastAsia="zh-CN"/>
        </w:rPr>
      </w:pPr>
      <w:r>
        <w:rPr>
          <w:rFonts w:hint="eastAsia" w:ascii="仿宋" w:hAnsi="仿宋" w:eastAsia="仿宋" w:cs="仿宋"/>
          <w:b w:val="0"/>
          <w:bCs w:val="0"/>
          <w:color w:val="auto"/>
          <w:spacing w:val="0"/>
          <w:w w:val="100"/>
          <w:sz w:val="24"/>
          <w:szCs w:val="24"/>
          <w:u w:val="none"/>
          <w:lang w:val="en-US" w:eastAsia="zh-CN"/>
        </w:rPr>
        <w:t>4、</w:t>
      </w:r>
      <w:r>
        <w:rPr>
          <w:rFonts w:hint="eastAsia" w:ascii="仿宋" w:hAnsi="仿宋" w:eastAsia="仿宋" w:cs="仿宋"/>
          <w:b w:val="0"/>
          <w:bCs/>
          <w:color w:val="auto"/>
          <w:spacing w:val="0"/>
          <w:w w:val="100"/>
          <w:sz w:val="24"/>
          <w:szCs w:val="24"/>
          <w:lang w:val="en-US" w:eastAsia="zh-CN"/>
        </w:rPr>
        <w:t>供应商应按要求提供</w:t>
      </w:r>
      <w:r>
        <w:rPr>
          <w:rFonts w:hint="eastAsia" w:ascii="仿宋" w:hAnsi="仿宋" w:eastAsia="仿宋" w:cs="仿宋"/>
          <w:b w:val="0"/>
          <w:bCs/>
          <w:caps w:val="0"/>
          <w:color w:val="auto"/>
          <w:spacing w:val="0"/>
          <w:w w:val="100"/>
          <w:position w:val="0"/>
          <w:sz w:val="24"/>
          <w:szCs w:val="24"/>
        </w:rPr>
        <w:t>不串标围标承诺书</w:t>
      </w:r>
      <w:r>
        <w:rPr>
          <w:rFonts w:hint="eastAsia" w:ascii="仿宋" w:hAnsi="仿宋" w:eastAsia="仿宋" w:cs="仿宋"/>
          <w:b w:val="0"/>
          <w:bCs/>
          <w:caps w:val="0"/>
          <w:color w:val="auto"/>
          <w:spacing w:val="0"/>
          <w:w w:val="100"/>
          <w:position w:val="0"/>
          <w:sz w:val="24"/>
          <w:szCs w:val="24"/>
          <w:lang w:eastAsia="zh-CN"/>
        </w:rPr>
        <w:t>、</w:t>
      </w:r>
      <w:r>
        <w:rPr>
          <w:rFonts w:hint="eastAsia" w:ascii="仿宋" w:hAnsi="仿宋" w:eastAsia="仿宋" w:cs="仿宋"/>
          <w:b w:val="0"/>
          <w:bCs/>
          <w:caps w:val="0"/>
          <w:color w:val="auto"/>
          <w:spacing w:val="0"/>
          <w:w w:val="100"/>
          <w:position w:val="0"/>
          <w:sz w:val="24"/>
          <w:szCs w:val="24"/>
          <w:lang w:val="en-US" w:eastAsia="zh-CN"/>
        </w:rPr>
        <w:t>不</w:t>
      </w:r>
      <w:r>
        <w:rPr>
          <w:rFonts w:hint="eastAsia" w:ascii="仿宋" w:hAnsi="仿宋" w:eastAsia="仿宋" w:cs="仿宋"/>
          <w:b w:val="0"/>
          <w:bCs/>
          <w:caps w:val="0"/>
          <w:color w:val="auto"/>
          <w:spacing w:val="0"/>
          <w:w w:val="100"/>
          <w:position w:val="0"/>
          <w:sz w:val="24"/>
          <w:szCs w:val="24"/>
        </w:rPr>
        <w:t>拖欠</w:t>
      </w:r>
      <w:r>
        <w:rPr>
          <w:rFonts w:hint="eastAsia" w:ascii="仿宋" w:hAnsi="仿宋" w:eastAsia="仿宋" w:cs="仿宋"/>
          <w:b w:val="0"/>
          <w:bCs/>
          <w:caps w:val="0"/>
          <w:color w:val="auto"/>
          <w:spacing w:val="0"/>
          <w:w w:val="100"/>
          <w:position w:val="0"/>
          <w:sz w:val="24"/>
          <w:szCs w:val="24"/>
          <w:lang w:val="en-US" w:eastAsia="zh-CN"/>
        </w:rPr>
        <w:t>人员（包括</w:t>
      </w:r>
      <w:r>
        <w:rPr>
          <w:rFonts w:hint="eastAsia" w:ascii="仿宋" w:hAnsi="仿宋" w:eastAsia="仿宋" w:cs="仿宋"/>
          <w:b w:val="0"/>
          <w:bCs/>
          <w:caps w:val="0"/>
          <w:color w:val="auto"/>
          <w:spacing w:val="0"/>
          <w:w w:val="100"/>
          <w:position w:val="0"/>
          <w:sz w:val="24"/>
          <w:szCs w:val="24"/>
        </w:rPr>
        <w:t>农民工</w:t>
      </w:r>
      <w:r>
        <w:rPr>
          <w:rFonts w:hint="eastAsia" w:ascii="仿宋" w:hAnsi="仿宋" w:eastAsia="仿宋" w:cs="仿宋"/>
          <w:b w:val="0"/>
          <w:bCs/>
          <w:caps w:val="0"/>
          <w:color w:val="auto"/>
          <w:spacing w:val="0"/>
          <w:w w:val="100"/>
          <w:position w:val="0"/>
          <w:sz w:val="24"/>
          <w:szCs w:val="24"/>
          <w:lang w:eastAsia="zh-CN"/>
        </w:rPr>
        <w:t>）</w:t>
      </w:r>
      <w:r>
        <w:rPr>
          <w:rFonts w:hint="eastAsia" w:ascii="仿宋" w:hAnsi="仿宋" w:eastAsia="仿宋" w:cs="仿宋"/>
          <w:b w:val="0"/>
          <w:bCs/>
          <w:caps w:val="0"/>
          <w:color w:val="auto"/>
          <w:spacing w:val="0"/>
          <w:w w:val="100"/>
          <w:position w:val="0"/>
          <w:sz w:val="24"/>
          <w:szCs w:val="24"/>
        </w:rPr>
        <w:t>工资承诺书</w:t>
      </w:r>
      <w:r>
        <w:rPr>
          <w:rFonts w:hint="eastAsia" w:ascii="仿宋" w:hAnsi="仿宋" w:eastAsia="仿宋" w:cs="仿宋"/>
          <w:b w:val="0"/>
          <w:bCs/>
          <w:caps w:val="0"/>
          <w:color w:val="auto"/>
          <w:spacing w:val="0"/>
          <w:w w:val="100"/>
          <w:position w:val="0"/>
          <w:sz w:val="24"/>
          <w:szCs w:val="24"/>
          <w:lang w:eastAsia="zh-CN"/>
        </w:rPr>
        <w:t>、</w:t>
      </w:r>
      <w:r>
        <w:rPr>
          <w:rFonts w:hint="eastAsia" w:ascii="仿宋" w:hAnsi="仿宋" w:eastAsia="仿宋" w:cs="仿宋"/>
          <w:b w:val="0"/>
          <w:bCs/>
          <w:caps w:val="0"/>
          <w:color w:val="auto"/>
          <w:spacing w:val="0"/>
          <w:w w:val="100"/>
          <w:position w:val="0"/>
          <w:sz w:val="24"/>
          <w:szCs w:val="24"/>
          <w:lang w:val="en-US" w:eastAsia="zh-CN"/>
        </w:rPr>
        <w:t>投标廉政承诺书（格式详见磋商文件响应文件格式范本）。</w:t>
      </w:r>
    </w:p>
    <w:p w14:paraId="0CA56546">
      <w:pPr>
        <w:rPr>
          <w:rFonts w:hint="eastAsia" w:ascii="仿宋" w:hAnsi="仿宋" w:eastAsia="仿宋" w:cs="仿宋"/>
          <w:color w:val="auto"/>
          <w:spacing w:val="0"/>
          <w:w w:val="100"/>
          <w:kern w:val="0"/>
          <w:sz w:val="24"/>
          <w:szCs w:val="24"/>
          <w:lang w:val="en-US" w:eastAsia="zh-CN" w:bidi="ar"/>
        </w:rPr>
      </w:pPr>
      <w:r>
        <w:rPr>
          <w:rFonts w:hint="eastAsia" w:ascii="仿宋" w:hAnsi="仿宋" w:eastAsia="仿宋" w:cs="仿宋"/>
          <w:b w:val="0"/>
          <w:bCs/>
          <w:caps w:val="0"/>
          <w:color w:val="auto"/>
          <w:spacing w:val="0"/>
          <w:w w:val="100"/>
          <w:position w:val="0"/>
          <w:sz w:val="24"/>
          <w:szCs w:val="24"/>
          <w:lang w:val="en-US" w:eastAsia="zh-CN"/>
        </w:rPr>
        <w:t>5、</w:t>
      </w:r>
      <w:r>
        <w:rPr>
          <w:rFonts w:hint="eastAsia" w:ascii="仿宋" w:hAnsi="仿宋" w:eastAsia="仿宋" w:cs="仿宋"/>
          <w:color w:val="auto"/>
          <w:spacing w:val="0"/>
          <w:w w:val="100"/>
          <w:kern w:val="0"/>
          <w:sz w:val="24"/>
          <w:szCs w:val="24"/>
          <w:lang w:val="en-US" w:eastAsia="zh-CN" w:bidi="ar"/>
        </w:rPr>
        <w:t>未尽事宜在采购合同中详细约定，供应商须在签订合同时最大化满足采购人的需求。</w:t>
      </w:r>
    </w:p>
    <w:p w14:paraId="50B4FEB8">
      <w:pPr>
        <w:rPr>
          <w:rFonts w:hint="eastAsia" w:ascii="仿宋" w:hAnsi="仿宋" w:eastAsia="仿宋" w:cs="仿宋"/>
          <w:color w:val="auto"/>
          <w:spacing w:val="0"/>
          <w:w w:val="100"/>
          <w:kern w:val="0"/>
          <w:sz w:val="24"/>
          <w:szCs w:val="24"/>
          <w:lang w:val="en-US" w:eastAsia="zh-CN" w:bidi="ar"/>
        </w:rPr>
      </w:pPr>
      <w:r>
        <w:rPr>
          <w:rFonts w:hint="eastAsia" w:ascii="仿宋" w:hAnsi="仿宋" w:eastAsia="仿宋" w:cs="仿宋"/>
          <w:color w:val="auto"/>
          <w:spacing w:val="0"/>
          <w:w w:val="100"/>
          <w:kern w:val="0"/>
          <w:sz w:val="24"/>
          <w:szCs w:val="24"/>
          <w:lang w:val="en-US" w:eastAsia="zh-CN" w:bidi="ar"/>
        </w:rPr>
        <w:br w:type="page"/>
      </w:r>
    </w:p>
    <w:p w14:paraId="10E86AE8">
      <w:pPr>
        <w:pageBreakBefore w:val="0"/>
        <w:kinsoku/>
        <w:overflowPunct/>
        <w:topLinePunct w:val="0"/>
        <w:bidi w:val="0"/>
        <w:spacing w:beforeAutospacing="0" w:afterAutospacing="0" w:line="360" w:lineRule="auto"/>
        <w:ind w:left="0" w:leftChars="0" w:right="0" w:rightChars="0" w:firstLine="723" w:firstLineChars="200"/>
        <w:jc w:val="center"/>
        <w:textAlignment w:val="auto"/>
        <w:rPr>
          <w:rFonts w:hint="eastAsia" w:ascii="仿宋" w:hAnsi="仿宋" w:eastAsia="仿宋" w:cs="仿宋"/>
          <w:color w:val="auto"/>
          <w:spacing w:val="0"/>
          <w:w w:val="100"/>
        </w:rPr>
      </w:pPr>
      <w:r>
        <w:rPr>
          <w:rFonts w:hint="eastAsia" w:ascii="仿宋" w:hAnsi="仿宋" w:eastAsia="仿宋" w:cs="仿宋"/>
          <w:b/>
          <w:bCs/>
          <w:color w:val="auto"/>
          <w:spacing w:val="0"/>
          <w:w w:val="100"/>
          <w:kern w:val="0"/>
          <w:sz w:val="36"/>
          <w:szCs w:val="36"/>
          <w:u w:val="single"/>
        </w:rPr>
        <w:t>评 分 表</w:t>
      </w:r>
    </w:p>
    <w:p w14:paraId="3E006D63">
      <w:pPr>
        <w:pageBreakBefore w:val="0"/>
        <w:widowControl/>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bCs/>
          <w:i/>
          <w:iCs/>
          <w:color w:val="auto"/>
          <w:spacing w:val="0"/>
          <w:w w:val="100"/>
          <w:sz w:val="24"/>
          <w:szCs w:val="24"/>
          <w:lang w:eastAsia="zh-CN"/>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717"/>
        <w:gridCol w:w="7093"/>
      </w:tblGrid>
      <w:tr w14:paraId="351D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152" w:type="dxa"/>
            <w:vAlign w:val="center"/>
          </w:tcPr>
          <w:p w14:paraId="0DBC10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kern w:val="0"/>
                <w:sz w:val="24"/>
                <w:szCs w:val="24"/>
                <w:lang w:val="en-US" w:eastAsia="zh-CN" w:bidi="ar"/>
              </w:rPr>
              <w:t>评分项目</w:t>
            </w:r>
          </w:p>
        </w:tc>
        <w:tc>
          <w:tcPr>
            <w:tcW w:w="1717" w:type="dxa"/>
            <w:vAlign w:val="center"/>
          </w:tcPr>
          <w:p w14:paraId="756141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kern w:val="0"/>
                <w:sz w:val="24"/>
                <w:szCs w:val="24"/>
                <w:lang w:val="en-US" w:eastAsia="zh-CN" w:bidi="ar"/>
              </w:rPr>
              <w:t>评审内容/分值</w:t>
            </w:r>
          </w:p>
        </w:tc>
        <w:tc>
          <w:tcPr>
            <w:tcW w:w="7094" w:type="dxa"/>
            <w:vAlign w:val="center"/>
          </w:tcPr>
          <w:p w14:paraId="1F00B9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kern w:val="0"/>
                <w:sz w:val="24"/>
                <w:szCs w:val="24"/>
                <w:lang w:val="en-US" w:eastAsia="zh-CN" w:bidi="ar"/>
              </w:rPr>
              <w:t>评分标准</w:t>
            </w:r>
          </w:p>
        </w:tc>
      </w:tr>
      <w:tr w14:paraId="6C8E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jc w:val="center"/>
        </w:trPr>
        <w:tc>
          <w:tcPr>
            <w:tcW w:w="1152" w:type="dxa"/>
            <w:vAlign w:val="center"/>
          </w:tcPr>
          <w:p w14:paraId="74C1A7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kern w:val="0"/>
                <w:sz w:val="24"/>
                <w:szCs w:val="24"/>
                <w:lang w:val="en-US" w:eastAsia="zh-CN" w:bidi="ar"/>
              </w:rPr>
              <w:t>价格分</w:t>
            </w:r>
          </w:p>
          <w:p w14:paraId="1341FA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kern w:val="0"/>
                <w:sz w:val="24"/>
                <w:szCs w:val="24"/>
                <w:lang w:val="en-US" w:eastAsia="zh-CN" w:bidi="ar"/>
              </w:rPr>
              <w:t>(30分）</w:t>
            </w:r>
          </w:p>
          <w:p w14:paraId="45B8A183">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rPr>
            </w:pPr>
          </w:p>
        </w:tc>
        <w:tc>
          <w:tcPr>
            <w:tcW w:w="1717" w:type="dxa"/>
            <w:vAlign w:val="center"/>
          </w:tcPr>
          <w:p w14:paraId="4C0234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投标报价</w:t>
            </w:r>
          </w:p>
          <w:p w14:paraId="210ED4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rPr>
            </w:pPr>
            <w:r>
              <w:rPr>
                <w:rFonts w:hint="eastAsia" w:ascii="仿宋" w:hAnsi="仿宋" w:eastAsia="仿宋" w:cs="仿宋"/>
                <w:b w:val="0"/>
                <w:bCs w:val="0"/>
                <w:color w:val="auto"/>
                <w:spacing w:val="0"/>
                <w:w w:val="100"/>
                <w:kern w:val="0"/>
                <w:sz w:val="24"/>
                <w:szCs w:val="24"/>
                <w:lang w:val="en-US" w:eastAsia="zh-CN" w:bidi="ar"/>
              </w:rPr>
              <w:t>（30分）</w:t>
            </w:r>
          </w:p>
          <w:p w14:paraId="3419AE06">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rPr>
            </w:pPr>
          </w:p>
        </w:tc>
        <w:tc>
          <w:tcPr>
            <w:tcW w:w="7094" w:type="dxa"/>
            <w:vAlign w:val="center"/>
          </w:tcPr>
          <w:p w14:paraId="1E2D52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b w:val="0"/>
                <w:bCs w:val="0"/>
                <w:color w:val="auto"/>
                <w:spacing w:val="0"/>
                <w:w w:val="100"/>
                <w:sz w:val="24"/>
                <w:szCs w:val="24"/>
              </w:rPr>
            </w:pPr>
            <w:r>
              <w:rPr>
                <w:rFonts w:hint="eastAsia" w:ascii="仿宋" w:hAnsi="仿宋" w:eastAsia="仿宋" w:cs="仿宋"/>
                <w:b w:val="0"/>
                <w:bCs w:val="0"/>
                <w:color w:val="auto"/>
                <w:spacing w:val="0"/>
                <w:w w:val="100"/>
                <w:kern w:val="0"/>
                <w:sz w:val="24"/>
                <w:szCs w:val="24"/>
                <w:lang w:val="en-US" w:eastAsia="zh-CN" w:bidi="ar"/>
              </w:rPr>
              <w:t xml:space="preserve">投标报价得分＝（评标基准价／有效投标报价）×30 </w:t>
            </w:r>
          </w:p>
          <w:p w14:paraId="3712B055">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满足采购文件要求的前提下，最低有效投标报价作为评标基准价。</w:t>
            </w:r>
          </w:p>
          <w:p w14:paraId="0642F5A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both"/>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bCs/>
                <w:color w:val="auto"/>
                <w:spacing w:val="0"/>
                <w:w w:val="100"/>
                <w:kern w:val="0"/>
                <w:sz w:val="24"/>
                <w:szCs w:val="24"/>
                <w:lang w:val="en-US" w:eastAsia="zh-CN" w:bidi="ar"/>
              </w:rPr>
              <w:t>注：</w:t>
            </w:r>
            <w:r>
              <w:rPr>
                <w:rFonts w:hint="eastAsia" w:ascii="仿宋" w:hAnsi="仿宋" w:eastAsia="仿宋" w:cs="仿宋"/>
                <w:b/>
                <w:bCs/>
                <w:color w:val="auto"/>
                <w:kern w:val="0"/>
                <w:sz w:val="24"/>
                <w:szCs w:val="24"/>
                <w:lang w:val="en-US" w:eastAsia="zh-CN" w:bidi="ar"/>
              </w:rPr>
              <w:t>评标基准价指满足采购文件要求且投标价格最低的投标报价，投标报价指满足采购文件要求的各投标供应商的投标报价。本项目专门面对中小企业采购，不再享受价格扣除。</w:t>
            </w:r>
          </w:p>
        </w:tc>
      </w:tr>
      <w:tr w14:paraId="379C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2" w:hRule="atLeast"/>
          <w:jc w:val="center"/>
        </w:trPr>
        <w:tc>
          <w:tcPr>
            <w:tcW w:w="1152" w:type="dxa"/>
            <w:vMerge w:val="restart"/>
            <w:vAlign w:val="center"/>
          </w:tcPr>
          <w:p w14:paraId="0887D864">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技术分</w:t>
            </w:r>
          </w:p>
          <w:p w14:paraId="13A12B15">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(35分)</w:t>
            </w:r>
          </w:p>
        </w:tc>
        <w:tc>
          <w:tcPr>
            <w:tcW w:w="1717" w:type="dxa"/>
            <w:vAlign w:val="center"/>
          </w:tcPr>
          <w:p w14:paraId="662BAE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磋商文件技术参数响应</w:t>
            </w:r>
          </w:p>
          <w:p w14:paraId="0E3795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（25分）</w:t>
            </w:r>
          </w:p>
        </w:tc>
        <w:tc>
          <w:tcPr>
            <w:tcW w:w="7094" w:type="dxa"/>
            <w:vAlign w:val="center"/>
          </w:tcPr>
          <w:p w14:paraId="47C08418">
            <w:pPr>
              <w:pStyle w:val="2"/>
              <w:pageBreakBefore w:val="0"/>
              <w:kinsoku/>
              <w:wordWrap/>
              <w:overflowPunct/>
              <w:topLinePunct w:val="0"/>
              <w:autoSpaceDE/>
              <w:autoSpaceDN/>
              <w:bidi w:val="0"/>
              <w:adjustRightInd/>
              <w:snapToGrid/>
              <w:spacing w:beforeLines="0" w:afterLines="0" w:line="312" w:lineRule="auto"/>
              <w:ind w:firstLine="0" w:firstLineChars="0"/>
              <w:jc w:val="both"/>
              <w:textAlignment w:val="auto"/>
              <w:rPr>
                <w:rFonts w:hint="eastAsia" w:ascii="仿宋" w:hAnsi="仿宋" w:eastAsia="仿宋" w:cs="仿宋"/>
                <w:b w:val="0"/>
                <w:bCs/>
                <w:color w:val="auto"/>
                <w:kern w:val="0"/>
                <w:sz w:val="24"/>
                <w:szCs w:val="24"/>
                <w:lang w:val="en-US" w:eastAsia="zh-CN" w:bidi="ar"/>
              </w:rPr>
            </w:pPr>
            <w:r>
              <w:rPr>
                <w:rFonts w:hint="eastAsia" w:ascii="仿宋" w:hAnsi="仿宋" w:eastAsia="仿宋" w:cs="仿宋"/>
                <w:color w:val="000000"/>
                <w:kern w:val="0"/>
                <w:sz w:val="24"/>
                <w:szCs w:val="24"/>
                <w:lang w:val="en-US" w:eastAsia="zh-CN" w:bidi="ar"/>
              </w:rPr>
              <w:t>评标委员会</w:t>
            </w:r>
            <w:r>
              <w:rPr>
                <w:rFonts w:hint="eastAsia" w:ascii="仿宋" w:hAnsi="仿宋" w:eastAsia="仿宋" w:cs="仿宋"/>
                <w:b w:val="0"/>
                <w:bCs/>
                <w:color w:val="auto"/>
                <w:kern w:val="0"/>
                <w:sz w:val="24"/>
                <w:szCs w:val="24"/>
                <w:lang w:val="en-US" w:eastAsia="zh-CN" w:bidi="ar"/>
              </w:rPr>
              <w:t xml:space="preserve">根据供应商提供的投标产品响应竞争性磋商文件情况进行评价： </w:t>
            </w:r>
          </w:p>
          <w:p w14:paraId="0FE15633">
            <w:pPr>
              <w:pStyle w:val="2"/>
              <w:pageBreakBefore w:val="0"/>
              <w:kinsoku/>
              <w:wordWrap/>
              <w:overflowPunct/>
              <w:topLinePunct w:val="0"/>
              <w:autoSpaceDE/>
              <w:autoSpaceDN/>
              <w:bidi w:val="0"/>
              <w:adjustRightInd/>
              <w:snapToGrid/>
              <w:spacing w:beforeLines="0" w:afterLines="0" w:line="312" w:lineRule="auto"/>
              <w:ind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kern w:val="0"/>
                <w:sz w:val="24"/>
                <w:szCs w:val="24"/>
                <w:lang w:val="en-US" w:eastAsia="zh-CN" w:bidi="ar"/>
              </w:rPr>
              <w:t>1、投标产品与磋商文件“</w:t>
            </w:r>
            <w:r>
              <w:rPr>
                <w:rFonts w:hint="eastAsia" w:ascii="仿宋" w:hAnsi="仿宋" w:eastAsia="仿宋" w:cs="仿宋"/>
                <w:b w:val="0"/>
                <w:bCs/>
                <w:color w:val="auto"/>
                <w:spacing w:val="0"/>
                <w:w w:val="100"/>
                <w:sz w:val="24"/>
                <w:szCs w:val="24"/>
              </w:rPr>
              <w:t>第二章</w:t>
            </w:r>
            <w:r>
              <w:rPr>
                <w:rFonts w:hint="eastAsia" w:ascii="仿宋" w:hAnsi="仿宋" w:eastAsia="仿宋" w:cs="仿宋"/>
                <w:b w:val="0"/>
                <w:bCs/>
                <w:color w:val="auto"/>
                <w:spacing w:val="0"/>
                <w:w w:val="100"/>
                <w:sz w:val="24"/>
                <w:szCs w:val="24"/>
                <w:lang w:val="en-US" w:eastAsia="zh-CN"/>
              </w:rPr>
              <w:t xml:space="preserve"> </w:t>
            </w:r>
            <w:r>
              <w:rPr>
                <w:rFonts w:hint="eastAsia" w:ascii="仿宋" w:hAnsi="仿宋" w:eastAsia="仿宋" w:cs="仿宋"/>
                <w:b w:val="0"/>
                <w:bCs/>
                <w:color w:val="auto"/>
                <w:sz w:val="24"/>
                <w:szCs w:val="24"/>
              </w:rPr>
              <w:t>采购清单、技术参数及商务要求</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第一节 采购清单及技术参数</w:t>
            </w:r>
            <w:r>
              <w:rPr>
                <w:rFonts w:hint="eastAsia" w:ascii="仿宋" w:hAnsi="仿宋" w:eastAsia="仿宋" w:cs="仿宋"/>
                <w:b w:val="0"/>
                <w:bCs/>
                <w:color w:val="auto"/>
                <w:kern w:val="0"/>
                <w:sz w:val="24"/>
                <w:szCs w:val="24"/>
                <w:lang w:val="en-US" w:eastAsia="zh-CN" w:bidi="ar"/>
              </w:rPr>
              <w:t xml:space="preserve">”中“的任意一条标注“▲”存在负偏离，每项减1.5分，共15分，扣完为止。 </w:t>
            </w:r>
          </w:p>
          <w:p w14:paraId="7FE4F753">
            <w:pPr>
              <w:pStyle w:val="2"/>
              <w:pageBreakBefore w:val="0"/>
              <w:kinsoku/>
              <w:wordWrap/>
              <w:overflowPunct/>
              <w:topLinePunct w:val="0"/>
              <w:autoSpaceDE/>
              <w:autoSpaceDN/>
              <w:bidi w:val="0"/>
              <w:adjustRightInd/>
              <w:snapToGrid/>
              <w:spacing w:beforeLines="0" w:afterLines="0" w:line="312" w:lineRule="auto"/>
              <w:ind w:firstLine="0" w:firstLineChars="0"/>
              <w:jc w:val="both"/>
              <w:textAlignment w:val="auto"/>
              <w:rPr>
                <w:rFonts w:hint="eastAsia" w:ascii="仿宋" w:hAnsi="仿宋" w:eastAsia="仿宋" w:cs="仿宋"/>
                <w:b w:val="0"/>
                <w:bCs/>
                <w:color w:val="auto"/>
                <w:kern w:val="0"/>
                <w:sz w:val="24"/>
                <w:szCs w:val="24"/>
                <w:lang w:val="en-US" w:eastAsia="zh-CN" w:bidi="ar"/>
              </w:rPr>
            </w:pPr>
            <w:r>
              <w:rPr>
                <w:rFonts w:hint="eastAsia" w:ascii="仿宋" w:hAnsi="仿宋" w:eastAsia="仿宋" w:cs="仿宋"/>
                <w:b w:val="0"/>
                <w:bCs/>
                <w:color w:val="auto"/>
                <w:kern w:val="0"/>
                <w:sz w:val="24"/>
                <w:szCs w:val="24"/>
                <w:lang w:val="en-US" w:eastAsia="zh-CN" w:bidi="ar"/>
              </w:rPr>
              <w:t>2、投标产品与磋商文件“</w:t>
            </w:r>
            <w:r>
              <w:rPr>
                <w:rFonts w:hint="eastAsia" w:ascii="仿宋" w:hAnsi="仿宋" w:eastAsia="仿宋" w:cs="仿宋"/>
                <w:b w:val="0"/>
                <w:bCs/>
                <w:color w:val="auto"/>
                <w:spacing w:val="0"/>
                <w:w w:val="100"/>
                <w:sz w:val="24"/>
                <w:szCs w:val="24"/>
              </w:rPr>
              <w:t xml:space="preserve">第二章 </w:t>
            </w:r>
            <w:r>
              <w:rPr>
                <w:rFonts w:hint="eastAsia" w:ascii="仿宋" w:hAnsi="仿宋" w:eastAsia="仿宋" w:cs="仿宋"/>
                <w:b w:val="0"/>
                <w:bCs/>
                <w:color w:val="auto"/>
                <w:sz w:val="24"/>
                <w:szCs w:val="24"/>
              </w:rPr>
              <w:t>采购清单、技术参数及商务要求</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rPr>
              <w:t>第一节 采购清单及技术参数</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kern w:val="0"/>
                <w:sz w:val="24"/>
                <w:szCs w:val="24"/>
                <w:lang w:val="en-US" w:eastAsia="zh-CN" w:bidi="ar"/>
              </w:rPr>
              <w:t xml:space="preserve">中非标注“▲”存在负偏离，每项减2分，共10分，扣完为止。 </w:t>
            </w:r>
          </w:p>
          <w:p w14:paraId="2CFA51F7">
            <w:pPr>
              <w:keepNext w:val="0"/>
              <w:keepLines w:val="0"/>
              <w:pageBreakBefore w:val="0"/>
              <w:widowControl/>
              <w:suppressLineNumbers w:val="0"/>
              <w:kinsoku/>
              <w:wordWrap/>
              <w:overflowPunct/>
              <w:topLinePunct w:val="0"/>
              <w:autoSpaceDE/>
              <w:autoSpaceDN/>
              <w:bidi w:val="0"/>
              <w:adjustRightInd/>
              <w:snapToGrid/>
              <w:spacing w:line="312" w:lineRule="auto"/>
              <w:ind w:firstLine="0" w:firstLineChars="0"/>
              <w:jc w:val="both"/>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kern w:val="0"/>
                <w:sz w:val="24"/>
                <w:szCs w:val="24"/>
                <w:lang w:val="en-US" w:eastAsia="zh-CN" w:bidi="ar"/>
              </w:rPr>
              <w:t>注：（1）针对</w:t>
            </w:r>
            <w:r>
              <w:rPr>
                <w:rFonts w:hint="eastAsia" w:ascii="仿宋" w:hAnsi="仿宋" w:eastAsia="仿宋" w:cs="仿宋"/>
                <w:b w:val="0"/>
                <w:bCs/>
                <w:color w:val="auto"/>
                <w:sz w:val="24"/>
                <w:szCs w:val="24"/>
              </w:rPr>
              <w:t>采购清单及技术参数</w:t>
            </w:r>
            <w:r>
              <w:rPr>
                <w:rFonts w:hint="eastAsia" w:ascii="仿宋" w:hAnsi="仿宋" w:eastAsia="仿宋" w:cs="仿宋"/>
                <w:b w:val="0"/>
                <w:bCs/>
                <w:color w:val="auto"/>
                <w:kern w:val="0"/>
                <w:sz w:val="24"/>
                <w:szCs w:val="24"/>
                <w:lang w:val="en-US" w:eastAsia="zh-CN" w:bidi="ar"/>
              </w:rPr>
              <w:t xml:space="preserve">中标注“▲”内容要求供应商需提供第三方检测机构出具的加盖CMA资质章检测报告和全国认证认可信息公共服务平台网站（http://cx.cnca.cn）查询截图，否则视为不满足竞争性磋商文件要求做负偏离扣分。 </w:t>
            </w:r>
          </w:p>
          <w:p w14:paraId="3B6E3889">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color w:val="auto"/>
                <w:kern w:val="0"/>
                <w:sz w:val="24"/>
                <w:szCs w:val="24"/>
                <w:lang w:val="en-US" w:eastAsia="zh-CN" w:bidi="ar"/>
              </w:rPr>
              <w:t>（2）针对</w:t>
            </w:r>
            <w:r>
              <w:rPr>
                <w:rFonts w:hint="eastAsia" w:ascii="仿宋" w:hAnsi="仿宋" w:eastAsia="仿宋" w:cs="仿宋"/>
                <w:b w:val="0"/>
                <w:bCs/>
                <w:color w:val="auto"/>
                <w:sz w:val="24"/>
                <w:szCs w:val="24"/>
              </w:rPr>
              <w:t>采购清单及技术参数</w:t>
            </w:r>
            <w:r>
              <w:rPr>
                <w:rFonts w:hint="eastAsia" w:ascii="仿宋" w:hAnsi="仿宋" w:eastAsia="仿宋" w:cs="仿宋"/>
                <w:b w:val="0"/>
                <w:bCs/>
                <w:color w:val="auto"/>
                <w:kern w:val="0"/>
                <w:sz w:val="24"/>
                <w:szCs w:val="24"/>
                <w:lang w:val="en-US" w:eastAsia="zh-CN" w:bidi="ar"/>
              </w:rPr>
              <w:t>中非标注“▲”内容评审以供应商提供的技术偏离表为准，不提供不得分（由供应商对其内容真实性负责）。</w:t>
            </w:r>
          </w:p>
        </w:tc>
      </w:tr>
      <w:tr w14:paraId="4A35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jc w:val="center"/>
        </w:trPr>
        <w:tc>
          <w:tcPr>
            <w:tcW w:w="1152" w:type="dxa"/>
            <w:vMerge w:val="continue"/>
            <w:vAlign w:val="center"/>
          </w:tcPr>
          <w:p w14:paraId="168A8C1D">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p>
        </w:tc>
        <w:tc>
          <w:tcPr>
            <w:tcW w:w="1717" w:type="dxa"/>
            <w:vAlign w:val="center"/>
          </w:tcPr>
          <w:p w14:paraId="22652DB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color w:val="000000"/>
                <w:kern w:val="0"/>
                <w:sz w:val="24"/>
                <w:szCs w:val="24"/>
                <w:lang w:val="en-US" w:eastAsia="zh-CN" w:bidi="ar"/>
              </w:rPr>
              <w:t>供货、安装组织实施方案</w:t>
            </w:r>
          </w:p>
          <w:p w14:paraId="089CE0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val="0"/>
                <w:color w:val="auto"/>
                <w:spacing w:val="0"/>
                <w:w w:val="100"/>
                <w:kern w:val="0"/>
                <w:sz w:val="24"/>
                <w:szCs w:val="24"/>
                <w:lang w:val="en-US" w:eastAsia="zh-CN" w:bidi="ar"/>
              </w:rPr>
              <w:t>（5分）</w:t>
            </w:r>
          </w:p>
        </w:tc>
        <w:tc>
          <w:tcPr>
            <w:tcW w:w="7094" w:type="dxa"/>
            <w:vAlign w:val="center"/>
          </w:tcPr>
          <w:p w14:paraId="725DFACC">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根据供应商提供的实施方案，包括：混凝土施工及养护专项施工方案，供货方案、现场管理、运行方案、验收方案等内容，评标委员会根据方案的完整性、适用性、优越性进行评分：</w:t>
            </w:r>
          </w:p>
          <w:p w14:paraId="09D3466F">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1、实施方案内容完整、完全满足采购要求的，得5分；</w:t>
            </w:r>
          </w:p>
          <w:p w14:paraId="155906CE">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2、实施方案内容基本完整、基本满足采购要求的，得3 分；</w:t>
            </w:r>
          </w:p>
          <w:p w14:paraId="6915F636">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3、实施方案内容不完整、不能满足采购要求的，得2分；</w:t>
            </w:r>
          </w:p>
          <w:p w14:paraId="60D9AFA6">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color w:val="000000"/>
                <w:kern w:val="0"/>
                <w:sz w:val="24"/>
                <w:szCs w:val="24"/>
                <w:lang w:val="en-US" w:eastAsia="zh-CN" w:bidi="ar"/>
              </w:rPr>
              <w:t>4、未提供的不得分。</w:t>
            </w:r>
          </w:p>
        </w:tc>
      </w:tr>
      <w:tr w14:paraId="74AE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152" w:type="dxa"/>
            <w:vMerge w:val="continue"/>
            <w:vAlign w:val="center"/>
          </w:tcPr>
          <w:p w14:paraId="3328138B">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rPr>
            </w:pPr>
          </w:p>
        </w:tc>
        <w:tc>
          <w:tcPr>
            <w:tcW w:w="1717" w:type="dxa"/>
            <w:vAlign w:val="center"/>
          </w:tcPr>
          <w:p w14:paraId="7F4C88F0">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val="0"/>
                <w:color w:val="auto"/>
                <w:spacing w:val="0"/>
                <w:w w:val="100"/>
                <w:sz w:val="24"/>
                <w:szCs w:val="24"/>
                <w:vertAlign w:val="baseline"/>
              </w:rPr>
              <w:t>质量保证措施</w:t>
            </w:r>
          </w:p>
          <w:p w14:paraId="130D0344">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val="0"/>
                <w:color w:val="auto"/>
                <w:spacing w:val="0"/>
                <w:w w:val="100"/>
                <w:sz w:val="24"/>
                <w:szCs w:val="24"/>
                <w:vertAlign w:val="baseline"/>
              </w:rPr>
              <w:t>（</w:t>
            </w:r>
            <w:r>
              <w:rPr>
                <w:rFonts w:hint="eastAsia" w:ascii="仿宋" w:hAnsi="仿宋" w:eastAsia="仿宋" w:cs="仿宋"/>
                <w:b w:val="0"/>
                <w:bCs w:val="0"/>
                <w:color w:val="auto"/>
                <w:spacing w:val="0"/>
                <w:w w:val="100"/>
                <w:sz w:val="24"/>
                <w:szCs w:val="24"/>
                <w:vertAlign w:val="baseline"/>
                <w:lang w:val="en-US" w:eastAsia="zh-CN"/>
              </w:rPr>
              <w:t>3</w:t>
            </w:r>
            <w:r>
              <w:rPr>
                <w:rFonts w:hint="eastAsia" w:ascii="仿宋" w:hAnsi="仿宋" w:eastAsia="仿宋" w:cs="仿宋"/>
                <w:b w:val="0"/>
                <w:bCs w:val="0"/>
                <w:color w:val="auto"/>
                <w:spacing w:val="0"/>
                <w:w w:val="100"/>
                <w:sz w:val="24"/>
                <w:szCs w:val="24"/>
                <w:vertAlign w:val="baseline"/>
              </w:rPr>
              <w:t>分）</w:t>
            </w:r>
          </w:p>
        </w:tc>
        <w:tc>
          <w:tcPr>
            <w:tcW w:w="7094" w:type="dxa"/>
          </w:tcPr>
          <w:p w14:paraId="6E04CF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kern w:val="0"/>
                <w:sz w:val="24"/>
                <w:szCs w:val="24"/>
                <w:lang w:val="en-US" w:eastAsia="zh-CN" w:bidi="ar"/>
              </w:rPr>
              <w:t>对难点、重点认识充分，编制的质量控制方案正确完善，针对性强。质量控制目标明确、可行、完整，质量保证措施周密、合理、有针对性。</w:t>
            </w:r>
          </w:p>
          <w:p w14:paraId="3F9AEE6C">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sz w:val="24"/>
                <w:szCs w:val="24"/>
                <w:vertAlign w:val="baseline"/>
                <w:lang w:val="en-US" w:eastAsia="zh-CN"/>
              </w:rPr>
              <w:t>1、</w:t>
            </w:r>
            <w:r>
              <w:rPr>
                <w:rFonts w:hint="eastAsia" w:ascii="仿宋" w:hAnsi="仿宋" w:eastAsia="仿宋" w:cs="仿宋"/>
                <w:color w:val="auto"/>
                <w:spacing w:val="0"/>
                <w:w w:val="100"/>
                <w:sz w:val="24"/>
                <w:szCs w:val="24"/>
                <w:vertAlign w:val="baseline"/>
              </w:rPr>
              <w:t>措施描述完整清晰、科学合理的得</w:t>
            </w:r>
            <w:r>
              <w:rPr>
                <w:rFonts w:hint="eastAsia" w:ascii="仿宋" w:hAnsi="仿宋" w:eastAsia="仿宋" w:cs="仿宋"/>
                <w:color w:val="auto"/>
                <w:spacing w:val="0"/>
                <w:w w:val="100"/>
                <w:sz w:val="24"/>
                <w:szCs w:val="24"/>
                <w:vertAlign w:val="baseline"/>
                <w:lang w:val="en-US" w:eastAsia="zh-CN"/>
              </w:rPr>
              <w:t>3</w:t>
            </w:r>
            <w:r>
              <w:rPr>
                <w:rFonts w:hint="eastAsia" w:ascii="仿宋" w:hAnsi="仿宋" w:eastAsia="仿宋" w:cs="仿宋"/>
                <w:color w:val="auto"/>
                <w:spacing w:val="0"/>
                <w:w w:val="100"/>
                <w:sz w:val="24"/>
                <w:szCs w:val="24"/>
                <w:vertAlign w:val="baseline"/>
              </w:rPr>
              <w:t>分；</w:t>
            </w:r>
          </w:p>
          <w:p w14:paraId="64D82500">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sz w:val="24"/>
                <w:szCs w:val="24"/>
                <w:vertAlign w:val="baseline"/>
                <w:lang w:val="en-US" w:eastAsia="zh-CN"/>
              </w:rPr>
              <w:t>2、保证</w:t>
            </w:r>
            <w:r>
              <w:rPr>
                <w:rFonts w:hint="eastAsia" w:ascii="仿宋" w:hAnsi="仿宋" w:eastAsia="仿宋" w:cs="仿宋"/>
                <w:color w:val="auto"/>
                <w:spacing w:val="0"/>
                <w:w w:val="100"/>
                <w:sz w:val="24"/>
                <w:szCs w:val="24"/>
                <w:vertAlign w:val="baseline"/>
              </w:rPr>
              <w:t>措施基本可行，基本满足的得</w:t>
            </w:r>
            <w:r>
              <w:rPr>
                <w:rFonts w:hint="eastAsia" w:ascii="仿宋" w:hAnsi="仿宋" w:eastAsia="仿宋" w:cs="仿宋"/>
                <w:color w:val="auto"/>
                <w:spacing w:val="0"/>
                <w:w w:val="100"/>
                <w:sz w:val="24"/>
                <w:szCs w:val="24"/>
                <w:vertAlign w:val="baseline"/>
                <w:lang w:val="en-US" w:eastAsia="zh-CN"/>
              </w:rPr>
              <w:t>2</w:t>
            </w:r>
            <w:r>
              <w:rPr>
                <w:rFonts w:hint="eastAsia" w:ascii="仿宋" w:hAnsi="仿宋" w:eastAsia="仿宋" w:cs="仿宋"/>
                <w:color w:val="auto"/>
                <w:spacing w:val="0"/>
                <w:w w:val="100"/>
                <w:sz w:val="24"/>
                <w:szCs w:val="24"/>
                <w:vertAlign w:val="baseline"/>
              </w:rPr>
              <w:t>分；</w:t>
            </w:r>
          </w:p>
          <w:p w14:paraId="55984025">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color w:val="auto"/>
                <w:spacing w:val="0"/>
                <w:w w:val="100"/>
                <w:sz w:val="24"/>
                <w:szCs w:val="24"/>
                <w:vertAlign w:val="baseline"/>
                <w:lang w:eastAsia="zh-CN"/>
              </w:rPr>
            </w:pPr>
            <w:r>
              <w:rPr>
                <w:rFonts w:hint="eastAsia" w:ascii="仿宋" w:hAnsi="仿宋" w:eastAsia="仿宋" w:cs="仿宋"/>
                <w:color w:val="auto"/>
                <w:spacing w:val="0"/>
                <w:w w:val="100"/>
                <w:sz w:val="24"/>
                <w:szCs w:val="24"/>
                <w:vertAlign w:val="baseline"/>
                <w:lang w:val="en-US" w:eastAsia="zh-CN"/>
              </w:rPr>
              <w:t>3、保证</w:t>
            </w:r>
            <w:r>
              <w:rPr>
                <w:rFonts w:hint="eastAsia" w:ascii="仿宋" w:hAnsi="仿宋" w:eastAsia="仿宋" w:cs="仿宋"/>
                <w:color w:val="auto"/>
                <w:spacing w:val="0"/>
                <w:w w:val="100"/>
                <w:sz w:val="24"/>
                <w:szCs w:val="24"/>
                <w:vertAlign w:val="baseline"/>
              </w:rPr>
              <w:t>措施一般、可行性较差的得</w:t>
            </w:r>
            <w:r>
              <w:rPr>
                <w:rFonts w:hint="eastAsia" w:ascii="仿宋" w:hAnsi="仿宋" w:eastAsia="仿宋" w:cs="仿宋"/>
                <w:color w:val="auto"/>
                <w:spacing w:val="0"/>
                <w:w w:val="100"/>
                <w:sz w:val="24"/>
                <w:szCs w:val="24"/>
                <w:vertAlign w:val="baseline"/>
                <w:lang w:val="en-US" w:eastAsia="zh-CN"/>
              </w:rPr>
              <w:t>1</w:t>
            </w:r>
            <w:r>
              <w:rPr>
                <w:rFonts w:hint="eastAsia" w:ascii="仿宋" w:hAnsi="仿宋" w:eastAsia="仿宋" w:cs="仿宋"/>
                <w:color w:val="auto"/>
                <w:spacing w:val="0"/>
                <w:w w:val="100"/>
                <w:sz w:val="24"/>
                <w:szCs w:val="24"/>
                <w:vertAlign w:val="baseline"/>
              </w:rPr>
              <w:t>分</w:t>
            </w:r>
            <w:r>
              <w:rPr>
                <w:rFonts w:hint="eastAsia" w:ascii="仿宋" w:hAnsi="仿宋" w:eastAsia="仿宋" w:cs="仿宋"/>
                <w:color w:val="auto"/>
                <w:spacing w:val="0"/>
                <w:w w:val="100"/>
                <w:sz w:val="24"/>
                <w:szCs w:val="24"/>
                <w:vertAlign w:val="baseline"/>
                <w:lang w:eastAsia="zh-CN"/>
              </w:rPr>
              <w:t>；</w:t>
            </w:r>
          </w:p>
          <w:p w14:paraId="718CEE81">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sz w:val="24"/>
                <w:szCs w:val="24"/>
                <w:vertAlign w:val="baseline"/>
                <w:lang w:val="en-US" w:eastAsia="zh-CN"/>
              </w:rPr>
              <w:t>4、</w:t>
            </w:r>
            <w:r>
              <w:rPr>
                <w:rFonts w:hint="eastAsia" w:ascii="仿宋" w:hAnsi="仿宋" w:eastAsia="仿宋" w:cs="仿宋"/>
                <w:color w:val="auto"/>
                <w:spacing w:val="0"/>
                <w:w w:val="100"/>
                <w:sz w:val="24"/>
                <w:szCs w:val="24"/>
                <w:vertAlign w:val="baseline"/>
              </w:rPr>
              <w:t>未提供的不得分。</w:t>
            </w:r>
          </w:p>
        </w:tc>
      </w:tr>
      <w:tr w14:paraId="043C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tcPr>
          <w:p w14:paraId="352EFA31">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4AD1A8CC">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val="0"/>
                <w:color w:val="auto"/>
                <w:spacing w:val="0"/>
                <w:w w:val="100"/>
                <w:sz w:val="24"/>
                <w:szCs w:val="24"/>
                <w:vertAlign w:val="baseline"/>
              </w:rPr>
              <w:t>施工安全措施</w:t>
            </w:r>
          </w:p>
          <w:p w14:paraId="6D64E562">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val="0"/>
                <w:color w:val="auto"/>
                <w:spacing w:val="0"/>
                <w:w w:val="100"/>
                <w:sz w:val="24"/>
                <w:szCs w:val="24"/>
                <w:vertAlign w:val="baseline"/>
              </w:rPr>
              <w:t>（</w:t>
            </w:r>
            <w:r>
              <w:rPr>
                <w:rFonts w:hint="eastAsia" w:ascii="仿宋" w:hAnsi="仿宋" w:eastAsia="仿宋" w:cs="仿宋"/>
                <w:b w:val="0"/>
                <w:bCs w:val="0"/>
                <w:color w:val="auto"/>
                <w:spacing w:val="0"/>
                <w:w w:val="100"/>
                <w:sz w:val="24"/>
                <w:szCs w:val="24"/>
                <w:vertAlign w:val="baseline"/>
                <w:lang w:val="en-US" w:eastAsia="zh-CN"/>
              </w:rPr>
              <w:t>2</w:t>
            </w:r>
            <w:r>
              <w:rPr>
                <w:rFonts w:hint="eastAsia" w:ascii="仿宋" w:hAnsi="仿宋" w:eastAsia="仿宋" w:cs="仿宋"/>
                <w:b w:val="0"/>
                <w:bCs w:val="0"/>
                <w:color w:val="auto"/>
                <w:spacing w:val="0"/>
                <w:w w:val="100"/>
                <w:sz w:val="24"/>
                <w:szCs w:val="24"/>
                <w:vertAlign w:val="baseline"/>
              </w:rPr>
              <w:t>分）</w:t>
            </w:r>
          </w:p>
        </w:tc>
        <w:tc>
          <w:tcPr>
            <w:tcW w:w="7094" w:type="dxa"/>
          </w:tcPr>
          <w:p w14:paraId="64289A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color w:val="auto"/>
                <w:spacing w:val="0"/>
                <w:w w:val="100"/>
                <w:sz w:val="24"/>
                <w:szCs w:val="24"/>
              </w:rPr>
            </w:pPr>
            <w:r>
              <w:rPr>
                <w:rFonts w:hint="eastAsia" w:ascii="仿宋" w:hAnsi="仿宋" w:eastAsia="仿宋" w:cs="仿宋"/>
                <w:color w:val="auto"/>
                <w:spacing w:val="0"/>
                <w:w w:val="100"/>
                <w:kern w:val="0"/>
                <w:sz w:val="24"/>
                <w:szCs w:val="24"/>
                <w:lang w:val="en-US" w:eastAsia="zh-CN" w:bidi="ar"/>
              </w:rPr>
              <w:t>有针对本项目的安全管理措施、有施工现场人员及安全设施配备管理措施、有对其他施工安全的管理措施及施工安全管理应急预案、高空作业专项施工方案等。</w:t>
            </w:r>
          </w:p>
          <w:p w14:paraId="27106D1C">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sz w:val="24"/>
                <w:szCs w:val="24"/>
                <w:vertAlign w:val="baseline"/>
                <w:lang w:val="en-US" w:eastAsia="zh-CN"/>
              </w:rPr>
              <w:t>1、</w:t>
            </w:r>
            <w:r>
              <w:rPr>
                <w:rFonts w:hint="eastAsia" w:ascii="仿宋" w:hAnsi="仿宋" w:eastAsia="仿宋" w:cs="仿宋"/>
                <w:color w:val="auto"/>
                <w:spacing w:val="0"/>
                <w:w w:val="100"/>
                <w:sz w:val="24"/>
                <w:szCs w:val="24"/>
                <w:vertAlign w:val="baseline"/>
              </w:rPr>
              <w:t xml:space="preserve">措施描述完整清晰、科学合理的得 </w:t>
            </w:r>
            <w:r>
              <w:rPr>
                <w:rFonts w:hint="eastAsia" w:ascii="仿宋" w:hAnsi="仿宋" w:eastAsia="仿宋" w:cs="仿宋"/>
                <w:color w:val="auto"/>
                <w:spacing w:val="0"/>
                <w:w w:val="100"/>
                <w:sz w:val="24"/>
                <w:szCs w:val="24"/>
                <w:vertAlign w:val="baseline"/>
                <w:lang w:val="en-US" w:eastAsia="zh-CN"/>
              </w:rPr>
              <w:t>2</w:t>
            </w:r>
            <w:r>
              <w:rPr>
                <w:rFonts w:hint="eastAsia" w:ascii="仿宋" w:hAnsi="仿宋" w:eastAsia="仿宋" w:cs="仿宋"/>
                <w:color w:val="auto"/>
                <w:spacing w:val="0"/>
                <w:w w:val="100"/>
                <w:sz w:val="24"/>
                <w:szCs w:val="24"/>
                <w:vertAlign w:val="baseline"/>
              </w:rPr>
              <w:t>分；</w:t>
            </w:r>
          </w:p>
          <w:p w14:paraId="43DFA0D4">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sz w:val="24"/>
                <w:szCs w:val="24"/>
                <w:vertAlign w:val="baseline"/>
                <w:lang w:val="en-US" w:eastAsia="zh-CN"/>
              </w:rPr>
              <w:t>2、</w:t>
            </w:r>
            <w:r>
              <w:rPr>
                <w:rFonts w:hint="eastAsia" w:ascii="仿宋" w:hAnsi="仿宋" w:eastAsia="仿宋" w:cs="仿宋"/>
                <w:color w:val="auto"/>
                <w:spacing w:val="0"/>
                <w:w w:val="100"/>
                <w:sz w:val="24"/>
                <w:szCs w:val="24"/>
                <w:vertAlign w:val="baseline"/>
              </w:rPr>
              <w:t>措施基本可行，基本满足的得</w:t>
            </w:r>
            <w:r>
              <w:rPr>
                <w:rFonts w:hint="eastAsia" w:ascii="仿宋" w:hAnsi="仿宋" w:eastAsia="仿宋" w:cs="仿宋"/>
                <w:color w:val="auto"/>
                <w:spacing w:val="0"/>
                <w:w w:val="100"/>
                <w:sz w:val="24"/>
                <w:szCs w:val="24"/>
                <w:vertAlign w:val="baseline"/>
                <w:lang w:val="en-US" w:eastAsia="zh-CN"/>
              </w:rPr>
              <w:t>1.5</w:t>
            </w:r>
            <w:r>
              <w:rPr>
                <w:rFonts w:hint="eastAsia" w:ascii="仿宋" w:hAnsi="仿宋" w:eastAsia="仿宋" w:cs="仿宋"/>
                <w:color w:val="auto"/>
                <w:spacing w:val="0"/>
                <w:w w:val="100"/>
                <w:sz w:val="24"/>
                <w:szCs w:val="24"/>
                <w:vertAlign w:val="baseline"/>
              </w:rPr>
              <w:t>分；</w:t>
            </w:r>
          </w:p>
          <w:p w14:paraId="348E9EB5">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lang w:eastAsia="zh-CN"/>
              </w:rPr>
            </w:pPr>
            <w:r>
              <w:rPr>
                <w:rFonts w:hint="eastAsia" w:ascii="仿宋" w:hAnsi="仿宋" w:eastAsia="仿宋" w:cs="仿宋"/>
                <w:color w:val="auto"/>
                <w:spacing w:val="0"/>
                <w:w w:val="100"/>
                <w:sz w:val="24"/>
                <w:szCs w:val="24"/>
                <w:vertAlign w:val="baseline"/>
                <w:lang w:val="en-US" w:eastAsia="zh-CN"/>
              </w:rPr>
              <w:t>3、</w:t>
            </w:r>
            <w:r>
              <w:rPr>
                <w:rFonts w:hint="eastAsia" w:ascii="仿宋" w:hAnsi="仿宋" w:eastAsia="仿宋" w:cs="仿宋"/>
                <w:color w:val="auto"/>
                <w:spacing w:val="0"/>
                <w:w w:val="100"/>
                <w:sz w:val="24"/>
                <w:szCs w:val="24"/>
                <w:vertAlign w:val="baseline"/>
              </w:rPr>
              <w:t xml:space="preserve">措施一般、可行性较差的得 </w:t>
            </w:r>
            <w:r>
              <w:rPr>
                <w:rFonts w:hint="eastAsia" w:ascii="仿宋" w:hAnsi="仿宋" w:eastAsia="仿宋" w:cs="仿宋"/>
                <w:color w:val="auto"/>
                <w:spacing w:val="0"/>
                <w:w w:val="100"/>
                <w:sz w:val="24"/>
                <w:szCs w:val="24"/>
                <w:vertAlign w:val="baseline"/>
                <w:lang w:val="en-US" w:eastAsia="zh-CN"/>
              </w:rPr>
              <w:t>1</w:t>
            </w:r>
            <w:r>
              <w:rPr>
                <w:rFonts w:hint="eastAsia" w:ascii="仿宋" w:hAnsi="仿宋" w:eastAsia="仿宋" w:cs="仿宋"/>
                <w:color w:val="auto"/>
                <w:spacing w:val="0"/>
                <w:w w:val="100"/>
                <w:sz w:val="24"/>
                <w:szCs w:val="24"/>
                <w:vertAlign w:val="baseline"/>
              </w:rPr>
              <w:t>分</w:t>
            </w:r>
            <w:r>
              <w:rPr>
                <w:rFonts w:hint="eastAsia" w:ascii="仿宋" w:hAnsi="仿宋" w:eastAsia="仿宋" w:cs="仿宋"/>
                <w:color w:val="auto"/>
                <w:spacing w:val="0"/>
                <w:w w:val="100"/>
                <w:sz w:val="24"/>
                <w:szCs w:val="24"/>
                <w:vertAlign w:val="baseline"/>
                <w:lang w:eastAsia="zh-CN"/>
              </w:rPr>
              <w:t>；</w:t>
            </w:r>
          </w:p>
          <w:p w14:paraId="2402B915">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r>
              <w:rPr>
                <w:rFonts w:hint="eastAsia" w:ascii="仿宋" w:hAnsi="仿宋" w:eastAsia="仿宋" w:cs="仿宋"/>
                <w:color w:val="auto"/>
                <w:spacing w:val="0"/>
                <w:w w:val="100"/>
                <w:sz w:val="24"/>
                <w:szCs w:val="24"/>
                <w:vertAlign w:val="baseline"/>
                <w:lang w:val="en-US" w:eastAsia="zh-CN"/>
              </w:rPr>
              <w:t>4、</w:t>
            </w:r>
            <w:r>
              <w:rPr>
                <w:rFonts w:hint="eastAsia" w:ascii="仿宋" w:hAnsi="仿宋" w:eastAsia="仿宋" w:cs="仿宋"/>
                <w:color w:val="auto"/>
                <w:spacing w:val="0"/>
                <w:w w:val="100"/>
                <w:sz w:val="24"/>
                <w:szCs w:val="24"/>
                <w:vertAlign w:val="baseline"/>
              </w:rPr>
              <w:t>未提供的不得分。</w:t>
            </w:r>
          </w:p>
        </w:tc>
      </w:tr>
      <w:tr w14:paraId="1B9A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2" w:type="dxa"/>
            <w:vMerge w:val="restart"/>
            <w:vAlign w:val="center"/>
          </w:tcPr>
          <w:p w14:paraId="651E25E4">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商务分</w:t>
            </w:r>
          </w:p>
          <w:p w14:paraId="34066718">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（35分）</w:t>
            </w:r>
          </w:p>
        </w:tc>
        <w:tc>
          <w:tcPr>
            <w:tcW w:w="1717" w:type="dxa"/>
            <w:vAlign w:val="center"/>
          </w:tcPr>
          <w:p w14:paraId="2703F557">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项目经理</w:t>
            </w:r>
          </w:p>
          <w:p w14:paraId="45DD26F2">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7094" w:type="dxa"/>
          </w:tcPr>
          <w:p w14:paraId="26C5FF0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1、拟派的项目经理具有中级或中级以上职称的得2分，本项满分2分。</w:t>
            </w:r>
          </w:p>
          <w:p w14:paraId="38FBF21B">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2、拟派的项目经理提供类似项目业绩，每提供 1个业绩合同得1.5分，本项满分3分。</w:t>
            </w:r>
          </w:p>
          <w:p w14:paraId="57B7AAFB">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注：（1）提供身份证、职称证复印件或扫描件、2024年1月至今任意三个月供应商为其缴纳社保缴纳的证明加盖公章，</w:t>
            </w:r>
            <w:r>
              <w:rPr>
                <w:rFonts w:hint="eastAsia" w:ascii="仿宋" w:hAnsi="仿宋" w:eastAsia="仿宋" w:cs="仿宋"/>
                <w:color w:val="auto"/>
                <w:kern w:val="0"/>
                <w:sz w:val="24"/>
                <w:szCs w:val="24"/>
                <w:lang w:val="en-US" w:eastAsia="zh-CN" w:bidi="ar"/>
              </w:rPr>
              <w:t>否则不得分</w:t>
            </w:r>
          </w:p>
          <w:p w14:paraId="6C9FEFA7">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val="0"/>
                <w:color w:val="auto"/>
                <w:spacing w:val="0"/>
                <w:w w:val="100"/>
                <w:kern w:val="0"/>
                <w:sz w:val="24"/>
                <w:szCs w:val="24"/>
                <w:lang w:val="en-US" w:eastAsia="zh-CN" w:bidi="ar"/>
              </w:rPr>
              <w:t>（2）</w:t>
            </w:r>
            <w:r>
              <w:rPr>
                <w:rFonts w:hint="eastAsia" w:ascii="仿宋" w:hAnsi="仿宋" w:eastAsia="仿宋" w:cs="仿宋"/>
                <w:color w:val="auto"/>
                <w:kern w:val="0"/>
                <w:sz w:val="24"/>
                <w:szCs w:val="24"/>
                <w:lang w:val="en-US" w:eastAsia="zh-CN" w:bidi="ar"/>
              </w:rPr>
              <w:t>提供项目经理业绩合同复印件并盖供应商公章，否则不得分。</w:t>
            </w:r>
          </w:p>
        </w:tc>
      </w:tr>
      <w:tr w14:paraId="031B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tcPr>
          <w:p w14:paraId="202ADB0D">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3F1C1CDE">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技术负责人</w:t>
            </w:r>
          </w:p>
          <w:p w14:paraId="6A4CE22E">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7094" w:type="dxa"/>
          </w:tcPr>
          <w:p w14:paraId="0B64DA1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1、拟派的技术负责人具有建筑工程或机电工程中级及以上职称 </w:t>
            </w:r>
          </w:p>
          <w:p w14:paraId="632AB16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的得 2.5 分，本项满分 2.5 分。 </w:t>
            </w:r>
          </w:p>
          <w:p w14:paraId="0980D015">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2、拟派的技术负责人具有 5 年及以上项目管理经验得2.5分，本项满分 2.5分。 </w:t>
            </w:r>
          </w:p>
          <w:p w14:paraId="551B46D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注：（1）提供身份证、职称证复印件或扫描件、2024年1月至今任意三个月供应商为其缴纳社保缴纳的证明加盖公章，否则不得分， </w:t>
            </w:r>
          </w:p>
          <w:p w14:paraId="273E5D8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（2）项目管理经验由投标人自行出具证明材料，以承诺书形式。 </w:t>
            </w:r>
          </w:p>
          <w:p w14:paraId="61CD3F3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b w:val="0"/>
                <w:bCs w:val="0"/>
                <w:color w:val="auto"/>
                <w:spacing w:val="0"/>
                <w:w w:val="100"/>
                <w:kern w:val="0"/>
                <w:sz w:val="24"/>
                <w:szCs w:val="24"/>
                <w:vertAlign w:val="baseline"/>
                <w:lang w:val="en-US" w:eastAsia="zh-CN" w:bidi="ar"/>
              </w:rPr>
            </w:pPr>
            <w:r>
              <w:rPr>
                <w:rFonts w:hint="eastAsia" w:ascii="仿宋" w:hAnsi="仿宋" w:eastAsia="仿宋" w:cs="仿宋"/>
                <w:color w:val="auto"/>
                <w:kern w:val="0"/>
                <w:sz w:val="24"/>
                <w:szCs w:val="24"/>
                <w:lang w:val="en-US" w:eastAsia="zh-CN" w:bidi="ar"/>
              </w:rPr>
              <w:t>不提供不得分。</w:t>
            </w:r>
          </w:p>
        </w:tc>
      </w:tr>
      <w:tr w14:paraId="4CA2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152" w:type="dxa"/>
            <w:vMerge w:val="continue"/>
          </w:tcPr>
          <w:p w14:paraId="0438F635">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445FB5D7">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拟配备的管理人员</w:t>
            </w:r>
          </w:p>
          <w:p w14:paraId="53AD627F">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7094" w:type="dxa"/>
          </w:tcPr>
          <w:p w14:paraId="028851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 xml:space="preserve">供应商拟投入本项目的其他人员（项目经理及技术负责人除外）包含施工员1人、质量员1人、安全员1人、材料员1人、资料员1人的得5分；拟派人员不全或1人兼多职的得0分。 </w:t>
            </w:r>
          </w:p>
          <w:p w14:paraId="60B96F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left"/>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b w:val="0"/>
                <w:bCs w:val="0"/>
                <w:color w:val="auto"/>
                <w:spacing w:val="0"/>
                <w:w w:val="100"/>
                <w:kern w:val="0"/>
                <w:sz w:val="24"/>
                <w:szCs w:val="24"/>
                <w:lang w:val="en-US" w:eastAsia="zh-CN" w:bidi="ar"/>
              </w:rPr>
              <w:t>注：提供以上人员身份证、岗位证明、安全员需提供安全员C证及供应商 2024年 1 月至今任意连续三个月为上述人员缴纳社保证明的复印件加盖供应商公章</w:t>
            </w:r>
            <w:r>
              <w:rPr>
                <w:rFonts w:hint="eastAsia" w:ascii="仿宋" w:hAnsi="仿宋" w:eastAsia="仿宋" w:cs="仿宋"/>
                <w:color w:val="auto"/>
                <w:kern w:val="0"/>
                <w:sz w:val="24"/>
                <w:szCs w:val="24"/>
                <w:lang w:val="en-US" w:eastAsia="zh-CN" w:bidi="ar"/>
              </w:rPr>
              <w:t>。</w:t>
            </w:r>
          </w:p>
        </w:tc>
      </w:tr>
      <w:tr w14:paraId="66F7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tcPr>
          <w:p w14:paraId="692B7363">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397094AF">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特种作业人员</w:t>
            </w:r>
          </w:p>
          <w:p w14:paraId="40CEC22E">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7094" w:type="dxa"/>
          </w:tcPr>
          <w:p w14:paraId="5AF6399E">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本项目涉及高空作业及电工作业，根据项目施工情况，供应商配 </w:t>
            </w:r>
          </w:p>
          <w:p w14:paraId="210946A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备适用于本项目的高空作业证及电工证得 5 分，未提供工种证件的不得分。 </w:t>
            </w:r>
          </w:p>
          <w:p w14:paraId="1A3C7ACB">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注：须提供行政主管部门颁发的高空作业证及电工证等相关证明 </w:t>
            </w:r>
          </w:p>
          <w:p w14:paraId="52DDB79C">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color w:val="auto"/>
                <w:kern w:val="0"/>
                <w:sz w:val="24"/>
                <w:szCs w:val="24"/>
                <w:lang w:val="en-US" w:eastAsia="zh-CN" w:bidi="ar"/>
              </w:rPr>
              <w:t>资料，及供应商 2024 年 1 月至今任意连续三个月为上述人员缴纳社保证明的复印件加盖供应商公章。</w:t>
            </w:r>
          </w:p>
        </w:tc>
      </w:tr>
      <w:tr w14:paraId="5B93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1152" w:type="dxa"/>
            <w:vMerge w:val="continue"/>
          </w:tcPr>
          <w:p w14:paraId="02A27ECE">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04A5F72A">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业绩</w:t>
            </w:r>
          </w:p>
          <w:p w14:paraId="2B67B9B3">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7094" w:type="dxa"/>
            <w:vAlign w:val="center"/>
          </w:tcPr>
          <w:p w14:paraId="6ACFE8E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供应商提供近 3 年（2022 年 05 月至今，以合同签订时间为准） </w:t>
            </w:r>
          </w:p>
          <w:p w14:paraId="70B27327">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类似项目业绩（与项目经理业绩不得重复计算），每提供 1 个业绩合同得 2.5 分，本项满分 5 分； </w:t>
            </w:r>
          </w:p>
          <w:p w14:paraId="24C7E900">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b w:val="0"/>
                <w:bCs w:val="0"/>
                <w:color w:val="auto"/>
                <w:spacing w:val="0"/>
                <w:w w:val="100"/>
                <w:sz w:val="24"/>
                <w:szCs w:val="24"/>
                <w:vertAlign w:val="baseline"/>
              </w:rPr>
            </w:pPr>
            <w:r>
              <w:rPr>
                <w:rFonts w:hint="eastAsia" w:ascii="仿宋" w:hAnsi="仿宋" w:eastAsia="仿宋" w:cs="仿宋"/>
                <w:color w:val="auto"/>
                <w:kern w:val="0"/>
                <w:sz w:val="24"/>
                <w:szCs w:val="24"/>
                <w:lang w:val="en-US" w:eastAsia="zh-CN" w:bidi="ar"/>
              </w:rPr>
              <w:t>注：供应商须提供业绩合同复印件并盖供应商公章，否则不得分；</w:t>
            </w:r>
          </w:p>
        </w:tc>
      </w:tr>
      <w:tr w14:paraId="0826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1152" w:type="dxa"/>
            <w:vMerge w:val="continue"/>
          </w:tcPr>
          <w:p w14:paraId="773A13E5">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697E1C8F">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售后服务</w:t>
            </w:r>
          </w:p>
          <w:p w14:paraId="5C96C0A1">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7094" w:type="dxa"/>
            <w:vAlign w:val="center"/>
          </w:tcPr>
          <w:p w14:paraId="59E901E3">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highlight w:val="none"/>
                <w:lang w:val="en-US" w:eastAsia="zh-CN"/>
              </w:rPr>
              <w:t>供应商承诺在履约期限内按采购人的要求提供售后服务得5分，不提供不得分（加盖供应商公章，格式自拟）。</w:t>
            </w:r>
          </w:p>
        </w:tc>
      </w:tr>
      <w:tr w14:paraId="686F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1152" w:type="dxa"/>
            <w:vMerge w:val="continue"/>
          </w:tcPr>
          <w:p w14:paraId="59F1D4BE">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2B954779">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响应性承诺</w:t>
            </w:r>
          </w:p>
          <w:p w14:paraId="0D6485BA">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7094" w:type="dxa"/>
            <w:vAlign w:val="center"/>
          </w:tcPr>
          <w:p w14:paraId="4E681C5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供应商满足“第二章 商务要求”质保期要求的基础上承诺质保期增加3年，共5年，2年内灯光照度无衰减，2年以上灯光照度衰减达到15%以上无偿更换得5分，</w:t>
            </w:r>
            <w:r>
              <w:rPr>
                <w:rFonts w:hint="eastAsia" w:ascii="仿宋" w:hAnsi="仿宋" w:eastAsia="仿宋" w:cs="仿宋"/>
                <w:color w:val="auto"/>
                <w:kern w:val="0"/>
                <w:sz w:val="24"/>
                <w:szCs w:val="24"/>
                <w:highlight w:val="none"/>
                <w:lang w:val="en-US" w:eastAsia="zh-CN"/>
              </w:rPr>
              <w:t>不提供不得分（加盖供应商公章，格式自拟）。</w:t>
            </w:r>
          </w:p>
        </w:tc>
      </w:tr>
      <w:tr w14:paraId="1721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2" w:type="dxa"/>
            <w:vMerge w:val="restart"/>
            <w:vAlign w:val="center"/>
          </w:tcPr>
          <w:p w14:paraId="7E925CE6">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政策性加分</w:t>
            </w:r>
          </w:p>
          <w:p w14:paraId="5C47F104">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color w:val="auto"/>
                <w:spacing w:val="0"/>
                <w:w w:val="100"/>
                <w:sz w:val="24"/>
                <w:szCs w:val="24"/>
                <w:vertAlign w:val="baseline"/>
                <w:lang w:val="en-US" w:eastAsia="zh-CN"/>
              </w:rPr>
            </w:pPr>
            <w:r>
              <w:rPr>
                <w:rFonts w:hint="eastAsia" w:ascii="仿宋" w:hAnsi="仿宋" w:eastAsia="仿宋" w:cs="仿宋"/>
                <w:color w:val="auto"/>
                <w:spacing w:val="0"/>
                <w:w w:val="100"/>
                <w:sz w:val="24"/>
                <w:szCs w:val="24"/>
                <w:vertAlign w:val="baseline"/>
                <w:lang w:val="en-US" w:eastAsia="zh-CN"/>
              </w:rPr>
              <w:t>（5分）</w:t>
            </w:r>
          </w:p>
        </w:tc>
        <w:tc>
          <w:tcPr>
            <w:tcW w:w="1717" w:type="dxa"/>
            <w:vAlign w:val="center"/>
          </w:tcPr>
          <w:p w14:paraId="08C0AE3B">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lang w:val="en-US" w:eastAsia="zh-CN"/>
              </w:rPr>
            </w:pPr>
            <w:r>
              <w:rPr>
                <w:rFonts w:hint="eastAsia" w:ascii="仿宋" w:hAnsi="仿宋" w:eastAsia="仿宋" w:cs="仿宋"/>
                <w:b w:val="0"/>
                <w:bCs w:val="0"/>
                <w:color w:val="auto"/>
                <w:spacing w:val="0"/>
                <w:w w:val="100"/>
                <w:sz w:val="24"/>
                <w:szCs w:val="24"/>
                <w:vertAlign w:val="baseline"/>
                <w:lang w:val="en-US" w:eastAsia="zh-CN"/>
              </w:rPr>
              <w:t>少数民族加分项</w:t>
            </w:r>
          </w:p>
          <w:p w14:paraId="1FC1250E">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lang w:val="en-US" w:eastAsia="zh-CN"/>
              </w:rPr>
            </w:pPr>
            <w:r>
              <w:rPr>
                <w:rFonts w:hint="eastAsia" w:ascii="仿宋" w:hAnsi="仿宋" w:eastAsia="仿宋" w:cs="仿宋"/>
                <w:b w:val="0"/>
                <w:bCs w:val="0"/>
                <w:color w:val="auto"/>
                <w:spacing w:val="0"/>
                <w:w w:val="100"/>
                <w:sz w:val="24"/>
                <w:szCs w:val="24"/>
                <w:vertAlign w:val="baseline"/>
                <w:lang w:val="en-US" w:eastAsia="zh-CN"/>
              </w:rPr>
              <w:t>（3分）</w:t>
            </w:r>
          </w:p>
        </w:tc>
        <w:tc>
          <w:tcPr>
            <w:tcW w:w="7094" w:type="dxa"/>
            <w:vAlign w:val="center"/>
          </w:tcPr>
          <w:p w14:paraId="18188F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both"/>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b w:val="0"/>
                <w:bCs w:val="0"/>
                <w:color w:val="auto"/>
                <w:spacing w:val="0"/>
                <w:w w:val="100"/>
                <w:kern w:val="0"/>
                <w:sz w:val="24"/>
                <w:szCs w:val="24"/>
                <w:lang w:val="en-US" w:eastAsia="zh-CN" w:bidi="ar"/>
              </w:rPr>
              <w:t>投标货物原产地在少数民族自治区和享受少数民族自治待遇的省份（云南、贵州、青海、内蒙古自治区、新疆维吾尔自治区、宁夏回族自治区、广西壮族自治区及西藏自治区）的投标主产品（不含附带产品）的，每一项加 0.5 分，最高不得超过 3 分（须提供相关证明文件，不提供不得分）。</w:t>
            </w:r>
          </w:p>
        </w:tc>
      </w:tr>
      <w:tr w14:paraId="5B0D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jc w:val="center"/>
        </w:trPr>
        <w:tc>
          <w:tcPr>
            <w:tcW w:w="1152" w:type="dxa"/>
            <w:vMerge w:val="continue"/>
          </w:tcPr>
          <w:p w14:paraId="60D9394B">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textAlignment w:val="auto"/>
              <w:rPr>
                <w:rFonts w:hint="eastAsia" w:ascii="仿宋" w:hAnsi="仿宋" w:eastAsia="仿宋" w:cs="仿宋"/>
                <w:color w:val="auto"/>
                <w:spacing w:val="0"/>
                <w:w w:val="100"/>
                <w:sz w:val="24"/>
                <w:szCs w:val="24"/>
                <w:vertAlign w:val="baseline"/>
              </w:rPr>
            </w:pPr>
          </w:p>
        </w:tc>
        <w:tc>
          <w:tcPr>
            <w:tcW w:w="1717" w:type="dxa"/>
            <w:vAlign w:val="center"/>
          </w:tcPr>
          <w:p w14:paraId="64782663">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lang w:val="en-US" w:eastAsia="zh-CN"/>
              </w:rPr>
            </w:pPr>
            <w:r>
              <w:rPr>
                <w:rFonts w:hint="eastAsia" w:ascii="仿宋" w:hAnsi="仿宋" w:eastAsia="仿宋" w:cs="仿宋"/>
                <w:b w:val="0"/>
                <w:bCs w:val="0"/>
                <w:color w:val="auto"/>
                <w:spacing w:val="0"/>
                <w:w w:val="100"/>
                <w:sz w:val="24"/>
                <w:szCs w:val="24"/>
                <w:vertAlign w:val="baseline"/>
                <w:lang w:val="en-US" w:eastAsia="zh-CN"/>
              </w:rPr>
              <w:t>节能环保产品加分项</w:t>
            </w:r>
          </w:p>
          <w:p w14:paraId="5BA4C3EB">
            <w:pPr>
              <w:keepNext w:val="0"/>
              <w:keepLines w:val="0"/>
              <w:pageBreakBefore w:val="0"/>
              <w:kinsoku/>
              <w:wordWrap/>
              <w:overflowPunct/>
              <w:topLinePunct w:val="0"/>
              <w:autoSpaceDE/>
              <w:autoSpaceDN/>
              <w:bidi w:val="0"/>
              <w:adjustRightInd/>
              <w:snapToGrid/>
              <w:spacing w:beforeAutospacing="0" w:afterAutospacing="0" w:line="312" w:lineRule="auto"/>
              <w:ind w:left="0" w:leftChars="0" w:right="0" w:rightChars="0" w:firstLine="0" w:firstLineChars="0"/>
              <w:jc w:val="center"/>
              <w:textAlignment w:val="auto"/>
              <w:rPr>
                <w:rFonts w:hint="eastAsia" w:ascii="仿宋" w:hAnsi="仿宋" w:eastAsia="仿宋" w:cs="仿宋"/>
                <w:b w:val="0"/>
                <w:bCs w:val="0"/>
                <w:color w:val="auto"/>
                <w:spacing w:val="0"/>
                <w:w w:val="100"/>
                <w:sz w:val="24"/>
                <w:szCs w:val="24"/>
                <w:vertAlign w:val="baseline"/>
                <w:lang w:val="en-US" w:eastAsia="zh-CN"/>
              </w:rPr>
            </w:pPr>
            <w:r>
              <w:rPr>
                <w:rFonts w:hint="eastAsia" w:ascii="仿宋" w:hAnsi="仿宋" w:eastAsia="仿宋" w:cs="仿宋"/>
                <w:b w:val="0"/>
                <w:bCs w:val="0"/>
                <w:color w:val="auto"/>
                <w:spacing w:val="0"/>
                <w:w w:val="100"/>
                <w:sz w:val="24"/>
                <w:szCs w:val="24"/>
                <w:vertAlign w:val="baseline"/>
                <w:lang w:val="en-US" w:eastAsia="zh-CN"/>
              </w:rPr>
              <w:t>（2分）</w:t>
            </w:r>
          </w:p>
        </w:tc>
        <w:tc>
          <w:tcPr>
            <w:tcW w:w="7094" w:type="dxa"/>
            <w:vAlign w:val="center"/>
          </w:tcPr>
          <w:p w14:paraId="7FE8294A">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所投产品属于“节能产品、环境标志产品政府采购品目清单”（财政部等相关部门公示）范围内的产品，投标人提供国家确定的认证机构出具的、处于有效期之内的节能产品、环境标志产品认证证书，在采购评审工作过程中给予加分，在总得分基础上，每一项加 0.3 分；最高不得超过 2 分。</w:t>
            </w:r>
          </w:p>
          <w:p w14:paraId="1A008996">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firstLine="0" w:firstLineChars="0"/>
              <w:jc w:val="left"/>
              <w:textAlignment w:val="auto"/>
              <w:rPr>
                <w:rFonts w:hint="eastAsia" w:ascii="仿宋" w:hAnsi="仿宋" w:eastAsia="仿宋" w:cs="仿宋"/>
                <w:b w:val="0"/>
                <w:bCs w:val="0"/>
                <w:color w:val="auto"/>
                <w:spacing w:val="0"/>
                <w:w w:val="100"/>
                <w:kern w:val="0"/>
                <w:sz w:val="24"/>
                <w:szCs w:val="24"/>
                <w:lang w:val="en-US" w:eastAsia="zh-CN" w:bidi="ar"/>
              </w:rPr>
            </w:pPr>
            <w:r>
              <w:rPr>
                <w:rFonts w:hint="eastAsia" w:ascii="仿宋" w:hAnsi="仿宋" w:eastAsia="仿宋" w:cs="仿宋"/>
                <w:color w:val="auto"/>
                <w:kern w:val="0"/>
                <w:sz w:val="24"/>
                <w:szCs w:val="24"/>
                <w:lang w:val="en-US" w:eastAsia="zh-CN" w:bidi="ar"/>
              </w:rPr>
              <w:t>注：属于“节能产品政府采购品目清单”范围且标注为“政府强制采购产品”实施强制采购的产品，不再进行计分</w:t>
            </w:r>
            <w:r>
              <w:rPr>
                <w:rFonts w:hint="eastAsia" w:ascii="仿宋" w:hAnsi="仿宋" w:eastAsia="仿宋" w:cs="仿宋"/>
                <w:b w:val="0"/>
                <w:bCs w:val="0"/>
                <w:color w:val="auto"/>
                <w:spacing w:val="0"/>
                <w:w w:val="100"/>
                <w:kern w:val="0"/>
                <w:sz w:val="24"/>
                <w:szCs w:val="24"/>
                <w:lang w:val="en-US" w:eastAsia="zh-CN" w:bidi="ar"/>
              </w:rPr>
              <w:t>（须提供相关证明文件，不提供不得分）。</w:t>
            </w:r>
          </w:p>
        </w:tc>
      </w:tr>
    </w:tbl>
    <w:p w14:paraId="332BCA5D">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br w:type="page"/>
      </w:r>
    </w:p>
    <w:p w14:paraId="23C2F856">
      <w:pPr>
        <w:pStyle w:val="3"/>
        <w:pageBreakBefore w:val="0"/>
        <w:kinsoku/>
        <w:overflowPunct/>
        <w:topLinePunct w:val="0"/>
        <w:bidi w:val="0"/>
        <w:spacing w:beforeLines="0" w:beforeAutospacing="0" w:afterLines="0" w:afterAutospacing="0" w:line="360" w:lineRule="auto"/>
        <w:ind w:left="0" w:leftChars="0" w:right="0" w:rightChars="0" w:firstLine="60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sz w:val="30"/>
          <w:szCs w:val="30"/>
        </w:rPr>
        <w:t>废标条款</w:t>
      </w:r>
    </w:p>
    <w:p w14:paraId="28C4BB05">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出现下列情形之一的，本项目/品目给予废标，项目磋商终止：</w:t>
      </w:r>
    </w:p>
    <w:p w14:paraId="69BB5341">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1.符合专业条件的或对采购文件作实质响应的供应商不足三家的；</w:t>
      </w:r>
    </w:p>
    <w:p w14:paraId="22A45B8D">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2.出现影响采购公正的违法、违规行为的；</w:t>
      </w:r>
    </w:p>
    <w:p w14:paraId="5F2DFC31">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3.供应商报价均超过了采购预算，采购人不能支付的；</w:t>
      </w:r>
    </w:p>
    <w:p w14:paraId="2BB71E70">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4.因重大变故，采购任务取消的。</w:t>
      </w:r>
    </w:p>
    <w:p w14:paraId="7A09396B">
      <w:pPr>
        <w:pStyle w:val="3"/>
        <w:pageBreakBefore w:val="0"/>
        <w:kinsoku/>
        <w:overflowPunct/>
        <w:topLinePunct w:val="0"/>
        <w:bidi w:val="0"/>
        <w:spacing w:beforeLines="0" w:beforeAutospacing="0" w:afterLines="0" w:afterAutospacing="0" w:line="360" w:lineRule="auto"/>
        <w:ind w:left="0" w:leftChars="0" w:right="0" w:rightChars="0" w:firstLine="480" w:firstLineChars="200"/>
        <w:textAlignment w:val="auto"/>
        <w:rPr>
          <w:rFonts w:hint="eastAsia" w:ascii="仿宋" w:hAnsi="仿宋" w:eastAsia="仿宋" w:cs="仿宋"/>
          <w:color w:val="auto"/>
          <w:spacing w:val="0"/>
          <w:w w:val="100"/>
        </w:rPr>
      </w:pPr>
      <w:bookmarkStart w:id="9" w:name="_Toc407182672"/>
    </w:p>
    <w:p w14:paraId="1EAEC6DF">
      <w:pPr>
        <w:rPr>
          <w:rFonts w:hint="eastAsia" w:ascii="仿宋" w:hAnsi="仿宋" w:eastAsia="仿宋" w:cs="仿宋"/>
          <w:color w:val="auto"/>
          <w:spacing w:val="0"/>
          <w:w w:val="100"/>
          <w:sz w:val="30"/>
          <w:szCs w:val="30"/>
        </w:rPr>
      </w:pPr>
      <w:bookmarkStart w:id="10" w:name="_Toc23731"/>
      <w:r>
        <w:rPr>
          <w:rFonts w:hint="eastAsia" w:ascii="仿宋" w:hAnsi="仿宋" w:eastAsia="仿宋" w:cs="仿宋"/>
          <w:color w:val="auto"/>
          <w:spacing w:val="0"/>
          <w:w w:val="100"/>
          <w:sz w:val="30"/>
          <w:szCs w:val="30"/>
        </w:rPr>
        <w:br w:type="page"/>
      </w:r>
    </w:p>
    <w:p w14:paraId="53694B09">
      <w:pPr>
        <w:pStyle w:val="3"/>
        <w:pageBreakBefore w:val="0"/>
        <w:kinsoku/>
        <w:overflowPunct/>
        <w:topLinePunct w:val="0"/>
        <w:bidi w:val="0"/>
        <w:spacing w:beforeLines="0" w:beforeAutospacing="0" w:afterLines="0" w:afterAutospacing="0" w:line="360" w:lineRule="auto"/>
        <w:ind w:left="0" w:leftChars="0" w:right="0" w:rightChars="0" w:firstLine="60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sz w:val="30"/>
          <w:szCs w:val="30"/>
        </w:rPr>
        <w:t xml:space="preserve"> 无效标条款</w:t>
      </w:r>
      <w:bookmarkEnd w:id="9"/>
      <w:bookmarkEnd w:id="10"/>
    </w:p>
    <w:p w14:paraId="3424AAFF">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出现下列情形之一的，供应商递交的响应文件作无效投标处理，该供应商的响应文件不参与评审：</w:t>
      </w:r>
    </w:p>
    <w:p w14:paraId="0C42F9CE">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1.递交的响应文件不完整或未按采购文件要求盖公章及签字的；</w:t>
      </w:r>
    </w:p>
    <w:p w14:paraId="2E6CE69F">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2.供应商不符合国家及采购文件规定的资格条件的；</w:t>
      </w:r>
    </w:p>
    <w:p w14:paraId="609266C1">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3.投标联合体未提交联合投标协议的；</w:t>
      </w:r>
    </w:p>
    <w:p w14:paraId="4DE26A0C">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4.竞标初始报价经评审委员会认定低于成本价的；</w:t>
      </w:r>
    </w:p>
    <w:p w14:paraId="5B280054">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5. 最终报价高于采购文件载明的财政预算控制价的；</w:t>
      </w:r>
    </w:p>
    <w:p w14:paraId="1266E9C6">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6.响应文件未对采购文件的实质性要求和条件作出响应的；</w:t>
      </w:r>
    </w:p>
    <w:p w14:paraId="16DFD549">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7.供应商有串通投标、弄虚作假、行贿等违法行为的；</w:t>
      </w:r>
    </w:p>
    <w:p w14:paraId="0223277A">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8.有下列情形之一的，视为投标人串通投标，其投标无效：</w:t>
      </w:r>
    </w:p>
    <w:p w14:paraId="568768AC">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（一）不同投标人的竞争性磋商响应文件由同一单位或者个人编制；</w:t>
      </w:r>
    </w:p>
    <w:p w14:paraId="3E1F3F1B">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（二）不同投标人委托同一单位或者个人办理投标事宜；</w:t>
      </w:r>
    </w:p>
    <w:p w14:paraId="05685F24">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（三）不同投标人的竞争性磋商响应文件载明的项目管理成员</w:t>
      </w:r>
      <w:bookmarkStart w:id="11" w:name="_GoBack"/>
      <w:bookmarkEnd w:id="11"/>
      <w:r>
        <w:rPr>
          <w:rFonts w:hint="eastAsia" w:ascii="仿宋" w:hAnsi="仿宋" w:eastAsia="仿宋" w:cs="仿宋"/>
          <w:color w:val="auto"/>
          <w:spacing w:val="0"/>
          <w:w w:val="100"/>
        </w:rPr>
        <w:t>或者联系人员为同一人；</w:t>
      </w:r>
    </w:p>
    <w:p w14:paraId="6942D95B">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（四）不同投标人的竞争性磋商响应文件异常一致或者投标报价呈规律性差异；</w:t>
      </w:r>
    </w:p>
    <w:p w14:paraId="39C11215">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（五）不同投标人的竞争性磋商响应文件相互混装；</w:t>
      </w:r>
    </w:p>
    <w:p w14:paraId="78912240">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（六）不同投标人的投标保证金从同一单位或者个人的账户转出。</w:t>
      </w:r>
    </w:p>
    <w:p w14:paraId="3124DB07">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9.响应文件未胶装成册的（采用打孔装订、活页夹等方式装订的响应文件作为无效投标处理）；</w:t>
      </w:r>
    </w:p>
    <w:p w14:paraId="6BB0944D">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10.未交纳投标保证金的；</w:t>
      </w:r>
    </w:p>
    <w:p w14:paraId="2EB912A3">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11.投标有效期不足的投标无效。</w:t>
      </w:r>
    </w:p>
    <w:p w14:paraId="6A39A9A8">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12.单位负责人为同一人或者存在直接控股、管理关系的不同供应商，不得参加同一合同项下的政府采购活动。</w:t>
      </w:r>
    </w:p>
    <w:p w14:paraId="5464557A">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13.为本项目提供整体设计、规范编制或者项目管理、监理、检测等服务的供应商参加本采购项目的。</w:t>
      </w:r>
    </w:p>
    <w:p w14:paraId="1419EBE8">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rPr>
      </w:pPr>
      <w:r>
        <w:rPr>
          <w:rFonts w:hint="eastAsia" w:ascii="仿宋" w:hAnsi="仿宋" w:eastAsia="仿宋" w:cs="仿宋"/>
          <w:color w:val="auto"/>
          <w:spacing w:val="0"/>
          <w:w w:val="100"/>
        </w:rPr>
        <w:t>14.违反政府采购法律法规,足以导致响应文件无效的情形。</w:t>
      </w:r>
    </w:p>
    <w:p w14:paraId="44A2B203">
      <w:pPr>
        <w:pageBreakBefore w:val="0"/>
        <w:kinsoku/>
        <w:overflowPunct/>
        <w:topLinePunct w:val="0"/>
        <w:bidi w:val="0"/>
        <w:spacing w:beforeAutospacing="0" w:afterAutospacing="0" w:line="360" w:lineRule="auto"/>
        <w:ind w:left="0" w:leftChars="0" w:right="0" w:rightChars="0" w:firstLine="480" w:firstLineChars="200"/>
        <w:textAlignment w:val="auto"/>
        <w:rPr>
          <w:rFonts w:hint="eastAsia" w:ascii="仿宋" w:hAnsi="仿宋" w:eastAsia="仿宋" w:cs="仿宋"/>
          <w:color w:val="auto"/>
          <w:spacing w:val="0"/>
          <w:w w:val="100"/>
          <w:lang w:val="en-US" w:eastAsia="zh-CN"/>
        </w:rPr>
      </w:pPr>
    </w:p>
    <w:p w14:paraId="2FE22F06">
      <w:pPr>
        <w:snapToGrid w:val="0"/>
        <w:spacing w:line="276" w:lineRule="auto"/>
        <w:ind w:firstLine="569" w:firstLineChars="177"/>
        <w:rPr>
          <w:rFonts w:hint="eastAsia" w:ascii="仿宋" w:hAnsi="仿宋" w:eastAsia="仿宋" w:cs="仿宋"/>
          <w:color w:val="auto"/>
          <w:spacing w:val="0"/>
          <w:w w:val="100"/>
          <w:lang w:val="en-US" w:eastAsia="zh-CN"/>
        </w:rPr>
      </w:pPr>
      <w:r>
        <w:rPr>
          <w:rFonts w:hint="eastAsia" w:ascii="仿宋" w:hAnsi="仿宋" w:eastAsia="仿宋" w:cs="仿宋"/>
          <w:b/>
          <w:bCs/>
          <w:color w:val="auto"/>
          <w:sz w:val="32"/>
          <w:szCs w:val="32"/>
        </w:rPr>
        <w:t>特别说明：本公示内容仅为采购人对本采购项目的需求公示，具体内容以招标文件最终发售版为准。</w:t>
      </w:r>
    </w:p>
    <w:sectPr>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小标宋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C1FD92"/>
    <w:multiLevelType w:val="singleLevel"/>
    <w:tmpl w:val="00C1FD92"/>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895BB4"/>
    <w:rsid w:val="5C895BB4"/>
    <w:rsid w:val="63F826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仿宋_GB2312" w:cs="Times New Roman"/>
      <w:kern w:val="2"/>
      <w:sz w:val="24"/>
      <w:szCs w:val="24"/>
      <w:lang w:val="en-US" w:eastAsia="zh-CN" w:bidi="ar-SA"/>
    </w:rPr>
  </w:style>
  <w:style w:type="paragraph" w:styleId="2">
    <w:name w:val="heading 2"/>
    <w:basedOn w:val="1"/>
    <w:next w:val="1"/>
    <w:unhideWhenUsed/>
    <w:qFormat/>
    <w:uiPriority w:val="9"/>
    <w:pPr>
      <w:keepNext/>
      <w:keepLines/>
      <w:spacing w:beforeLines="50" w:afterLines="50"/>
      <w:ind w:firstLine="0" w:firstLineChars="0"/>
      <w:contextualSpacing/>
      <w:jc w:val="center"/>
      <w:outlineLvl w:val="1"/>
    </w:pPr>
    <w:rPr>
      <w:rFonts w:ascii="Cambria" w:hAnsi="Cambria" w:eastAsia="方正小标宋简体"/>
      <w:bCs/>
      <w:sz w:val="28"/>
      <w:szCs w:val="32"/>
    </w:rPr>
  </w:style>
  <w:style w:type="paragraph" w:styleId="3">
    <w:name w:val="heading 3"/>
    <w:basedOn w:val="1"/>
    <w:next w:val="1"/>
    <w:unhideWhenUsed/>
    <w:qFormat/>
    <w:uiPriority w:val="9"/>
    <w:pPr>
      <w:keepNext/>
      <w:keepLines/>
      <w:tabs>
        <w:tab w:val="left" w:pos="3402"/>
      </w:tabs>
      <w:spacing w:beforeLines="100" w:afterLines="100"/>
      <w:ind w:firstLine="0" w:firstLineChars="0"/>
      <w:contextualSpacing/>
      <w:jc w:val="center"/>
      <w:outlineLvl w:val="2"/>
    </w:pPr>
    <w:rPr>
      <w:rFonts w:eastAsia="黑体"/>
      <w:bCs/>
      <w:szCs w:val="32"/>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table" w:styleId="5">
    <w:name w:val="Table Grid"/>
    <w:basedOn w:val="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7">
    <w:name w:val="Strong"/>
    <w:basedOn w:val="6"/>
    <w:qFormat/>
    <w:uiPriority w:val="22"/>
    <w:rPr>
      <w:rFonts w:eastAsia="黑体"/>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3078</Words>
  <Characters>3492</Characters>
  <Lines>0</Lines>
  <Paragraphs>0</Paragraphs>
  <TotalTime>0</TotalTime>
  <ScaleCrop>false</ScaleCrop>
  <LinksUpToDate>false</LinksUpToDate>
  <CharactersWithSpaces>3904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2025-06-17T03:41:00Z</dcterms:created>
  <dc:creator>㐅丶</dc:creator>
  <cp:lastModifiedBy>㐅丶</cp:lastModifiedBy>
  <dcterms:modified xsi:type="dcterms:W3CDTF">2025-06-17T03:52:33Z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4B119EBCD1A840DDB614933D6B0514FE_11</vt:lpwstr>
  </property>
  <property fmtid="{D5CDD505-2E9C-101B-9397-08002B2CF9AE}" pid="4" name="KSOTemplateDocerSaveRecord">
    <vt:lpwstr>eyJoZGlkIjoiM2FhOTYzOTZhOTdhNzNjNGVmN2M3MGFlOGEwNzhhOTkiLCJ1c2VySWQiOiI5OTU3MjU2OTMifQ==</vt:lpwstr>
  </property>
</Properties>
</file>