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53B76">
      <w:pPr>
        <w:tabs>
          <w:tab w:val="left" w:pos="5820"/>
        </w:tabs>
        <w:autoSpaceDE w:val="0"/>
        <w:autoSpaceDN w:val="0"/>
        <w:adjustRightInd w:val="0"/>
        <w:spacing w:line="360" w:lineRule="auto"/>
        <w:ind w:left="0" w:leftChars="0" w:right="-20"/>
        <w:jc w:val="center"/>
        <w:rPr>
          <w:rFonts w:hint="eastAsia" w:ascii="宋体" w:hAnsi="宋体" w:cs="宋体"/>
          <w:b/>
          <w:color w:val="auto"/>
          <w:sz w:val="32"/>
          <w:szCs w:val="32"/>
          <w:highlight w:val="none"/>
          <w:u w:val="single"/>
        </w:rPr>
      </w:pPr>
    </w:p>
    <w:p w14:paraId="45FA5B7F">
      <w:pPr>
        <w:tabs>
          <w:tab w:val="left" w:pos="5820"/>
        </w:tabs>
        <w:autoSpaceDE w:val="0"/>
        <w:autoSpaceDN w:val="0"/>
        <w:adjustRightInd w:val="0"/>
        <w:spacing w:line="480" w:lineRule="auto"/>
        <w:ind w:left="0" w:leftChars="0"/>
        <w:contextualSpacing/>
        <w:jc w:val="center"/>
        <w:outlineLvl w:val="0"/>
        <w:rPr>
          <w:rFonts w:hint="eastAsia" w:ascii="宋体" w:hAnsi="宋体" w:eastAsia="宋体" w:cs="宋体"/>
          <w:b/>
          <w:color w:val="auto"/>
          <w:sz w:val="32"/>
          <w:szCs w:val="32"/>
          <w:highlight w:val="none"/>
          <w:lang w:eastAsia="zh-CN"/>
        </w:rPr>
      </w:pPr>
      <w:r>
        <w:rPr>
          <w:rFonts w:hint="eastAsia" w:ascii="宋体" w:hAnsi="宋体" w:cs="宋体"/>
          <w:b/>
          <w:color w:val="auto"/>
          <w:sz w:val="40"/>
          <w:szCs w:val="40"/>
          <w:highlight w:val="none"/>
          <w:u w:val="single"/>
          <w:lang w:eastAsia="zh-CN"/>
        </w:rPr>
        <w:t>《低空经济产业学院建设（电子商务系）》</w:t>
      </w:r>
    </w:p>
    <w:p w14:paraId="256657E5">
      <w:pPr>
        <w:tabs>
          <w:tab w:val="left" w:pos="5820"/>
        </w:tabs>
        <w:autoSpaceDE w:val="0"/>
        <w:autoSpaceDN w:val="0"/>
        <w:adjustRightInd w:val="0"/>
        <w:spacing w:line="480" w:lineRule="auto"/>
        <w:ind w:left="0" w:leftChars="0"/>
        <w:contextualSpacing/>
        <w:jc w:val="center"/>
        <w:rPr>
          <w:rFonts w:hint="eastAsia" w:ascii="宋体" w:hAnsi="宋体" w:cs="宋体"/>
          <w:b/>
          <w:color w:val="auto"/>
          <w:sz w:val="32"/>
          <w:szCs w:val="32"/>
          <w:highlight w:val="none"/>
        </w:rPr>
      </w:pPr>
    </w:p>
    <w:p w14:paraId="658B20E1">
      <w:pPr>
        <w:tabs>
          <w:tab w:val="left" w:pos="5820"/>
        </w:tabs>
        <w:autoSpaceDE w:val="0"/>
        <w:autoSpaceDN w:val="0"/>
        <w:adjustRightInd w:val="0"/>
        <w:spacing w:line="480" w:lineRule="auto"/>
        <w:ind w:left="0" w:leftChars="0"/>
        <w:contextualSpacing/>
        <w:jc w:val="center"/>
        <w:outlineLvl w:val="9"/>
        <w:rPr>
          <w:rFonts w:hint="eastAsia" w:ascii="宋体" w:hAnsi="宋体" w:cs="宋体"/>
          <w:b/>
          <w:color w:val="auto"/>
          <w:sz w:val="52"/>
          <w:szCs w:val="52"/>
          <w:highlight w:val="none"/>
        </w:rPr>
      </w:pPr>
    </w:p>
    <w:p w14:paraId="2BF7B754">
      <w:pPr>
        <w:tabs>
          <w:tab w:val="left" w:pos="5820"/>
        </w:tabs>
        <w:autoSpaceDE w:val="0"/>
        <w:autoSpaceDN w:val="0"/>
        <w:adjustRightInd w:val="0"/>
        <w:spacing w:line="480" w:lineRule="auto"/>
        <w:ind w:left="0" w:leftChars="0"/>
        <w:contextualSpacing/>
        <w:jc w:val="center"/>
        <w:outlineLvl w:val="9"/>
        <w:rPr>
          <w:rFonts w:hint="eastAsia" w:ascii="宋体" w:hAnsi="宋体" w:cs="宋体"/>
          <w:b/>
          <w:color w:val="auto"/>
          <w:sz w:val="52"/>
          <w:szCs w:val="52"/>
          <w:highlight w:val="none"/>
        </w:rPr>
      </w:pPr>
      <w:r>
        <w:rPr>
          <w:rFonts w:hint="eastAsia" w:ascii="宋体" w:hAnsi="宋体" w:cs="宋体"/>
          <w:b/>
          <w:color w:val="auto"/>
          <w:sz w:val="52"/>
          <w:szCs w:val="52"/>
          <w:highlight w:val="none"/>
        </w:rPr>
        <w:t>采购文件</w:t>
      </w:r>
    </w:p>
    <w:p w14:paraId="3BDBF776">
      <w:pPr>
        <w:tabs>
          <w:tab w:val="left" w:pos="5820"/>
        </w:tabs>
        <w:autoSpaceDE w:val="0"/>
        <w:autoSpaceDN w:val="0"/>
        <w:adjustRightInd w:val="0"/>
        <w:spacing w:line="341" w:lineRule="exact"/>
        <w:ind w:left="0" w:leftChars="0"/>
        <w:jc w:val="center"/>
        <w:rPr>
          <w:rFonts w:hint="eastAsia" w:ascii="宋体" w:hAnsi="宋体" w:cs="宋体"/>
          <w:b/>
          <w:color w:val="auto"/>
          <w:sz w:val="32"/>
          <w:szCs w:val="32"/>
          <w:highlight w:val="none"/>
        </w:rPr>
      </w:pPr>
    </w:p>
    <w:p w14:paraId="3E6738E4">
      <w:pPr>
        <w:tabs>
          <w:tab w:val="left" w:pos="5820"/>
        </w:tabs>
        <w:autoSpaceDE w:val="0"/>
        <w:autoSpaceDN w:val="0"/>
        <w:adjustRightInd w:val="0"/>
        <w:spacing w:line="341" w:lineRule="exact"/>
        <w:ind w:left="0" w:leftChars="0"/>
        <w:jc w:val="center"/>
        <w:rPr>
          <w:rFonts w:hint="eastAsia" w:ascii="宋体" w:hAnsi="宋体" w:cs="宋体"/>
          <w:b/>
          <w:color w:val="auto"/>
          <w:sz w:val="32"/>
          <w:szCs w:val="32"/>
          <w:highlight w:val="none"/>
        </w:rPr>
      </w:pPr>
    </w:p>
    <w:p w14:paraId="6C49FD6F">
      <w:pPr>
        <w:pStyle w:val="43"/>
        <w:ind w:left="0" w:leftChars="0" w:firstLine="0"/>
        <w:jc w:val="center"/>
        <w:rPr>
          <w:rFonts w:hint="eastAsia" w:ascii="宋体" w:hAnsi="宋体" w:cs="宋体"/>
          <w:b/>
          <w:color w:val="auto"/>
          <w:sz w:val="32"/>
          <w:szCs w:val="32"/>
          <w:highlight w:val="none"/>
        </w:rPr>
      </w:pPr>
    </w:p>
    <w:p w14:paraId="7C9FAEB6">
      <w:pPr>
        <w:tabs>
          <w:tab w:val="left" w:pos="5820"/>
        </w:tabs>
        <w:autoSpaceDE w:val="0"/>
        <w:autoSpaceDN w:val="0"/>
        <w:adjustRightInd w:val="0"/>
        <w:spacing w:line="360" w:lineRule="auto"/>
        <w:ind w:left="0" w:leftChars="0"/>
        <w:jc w:val="center"/>
        <w:outlineLvl w:val="9"/>
        <w:rPr>
          <w:rFonts w:hint="eastAsia" w:ascii="宋体" w:hAnsi="宋体" w:eastAsia="宋体" w:cs="宋体"/>
          <w:b/>
          <w:color w:val="auto"/>
          <w:sz w:val="36"/>
          <w:szCs w:val="36"/>
          <w:highlight w:val="none"/>
          <w:u w:val="single"/>
          <w:lang w:val="en-US" w:eastAsia="zh-CN"/>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eastAsia="zh-CN"/>
        </w:rPr>
        <w:t>2025-CG-034</w:t>
      </w:r>
    </w:p>
    <w:p w14:paraId="790D6AFC">
      <w:pPr>
        <w:autoSpaceDE w:val="0"/>
        <w:autoSpaceDN w:val="0"/>
        <w:adjustRightInd w:val="0"/>
        <w:spacing w:line="200" w:lineRule="exact"/>
        <w:jc w:val="left"/>
        <w:rPr>
          <w:rFonts w:hint="eastAsia" w:ascii="宋体" w:hAnsi="宋体" w:cs="宋体"/>
          <w:color w:val="auto"/>
          <w:kern w:val="0"/>
          <w:sz w:val="20"/>
          <w:szCs w:val="20"/>
          <w:highlight w:val="none"/>
        </w:rPr>
      </w:pPr>
    </w:p>
    <w:p w14:paraId="73EB3D02">
      <w:pPr>
        <w:autoSpaceDE w:val="0"/>
        <w:autoSpaceDN w:val="0"/>
        <w:adjustRightInd w:val="0"/>
        <w:spacing w:line="200" w:lineRule="exact"/>
        <w:jc w:val="left"/>
        <w:rPr>
          <w:rFonts w:hint="eastAsia" w:ascii="宋体" w:hAnsi="宋体" w:cs="宋体"/>
          <w:color w:val="auto"/>
          <w:kern w:val="0"/>
          <w:sz w:val="20"/>
          <w:szCs w:val="20"/>
          <w:highlight w:val="none"/>
        </w:rPr>
      </w:pPr>
    </w:p>
    <w:p w14:paraId="089ED787">
      <w:pPr>
        <w:autoSpaceDE w:val="0"/>
        <w:autoSpaceDN w:val="0"/>
        <w:adjustRightInd w:val="0"/>
        <w:spacing w:line="200" w:lineRule="exact"/>
        <w:jc w:val="left"/>
        <w:rPr>
          <w:rFonts w:hint="eastAsia" w:ascii="宋体" w:hAnsi="宋体" w:cs="宋体"/>
          <w:color w:val="auto"/>
          <w:kern w:val="0"/>
          <w:sz w:val="20"/>
          <w:szCs w:val="20"/>
          <w:highlight w:val="none"/>
        </w:rPr>
      </w:pPr>
    </w:p>
    <w:p w14:paraId="70CCD562">
      <w:pPr>
        <w:autoSpaceDE w:val="0"/>
        <w:autoSpaceDN w:val="0"/>
        <w:adjustRightInd w:val="0"/>
        <w:spacing w:line="200" w:lineRule="exact"/>
        <w:jc w:val="left"/>
        <w:rPr>
          <w:rFonts w:hint="eastAsia" w:ascii="宋体" w:hAnsi="宋体" w:cs="宋体"/>
          <w:color w:val="auto"/>
          <w:kern w:val="0"/>
          <w:sz w:val="20"/>
          <w:szCs w:val="20"/>
          <w:highlight w:val="none"/>
        </w:rPr>
      </w:pPr>
    </w:p>
    <w:p w14:paraId="498C5ABB">
      <w:pPr>
        <w:autoSpaceDE w:val="0"/>
        <w:autoSpaceDN w:val="0"/>
        <w:adjustRightInd w:val="0"/>
        <w:spacing w:line="200" w:lineRule="exact"/>
        <w:jc w:val="left"/>
        <w:rPr>
          <w:rFonts w:hint="eastAsia" w:ascii="宋体" w:hAnsi="宋体" w:cs="宋体"/>
          <w:color w:val="auto"/>
          <w:kern w:val="0"/>
          <w:sz w:val="20"/>
          <w:szCs w:val="20"/>
          <w:highlight w:val="none"/>
        </w:rPr>
      </w:pPr>
    </w:p>
    <w:p w14:paraId="03B4D935">
      <w:pPr>
        <w:pStyle w:val="43"/>
        <w:rPr>
          <w:rFonts w:hint="eastAsia" w:ascii="宋体" w:hAnsi="宋体" w:cs="宋体"/>
          <w:color w:val="auto"/>
          <w:kern w:val="0"/>
          <w:sz w:val="20"/>
          <w:szCs w:val="20"/>
          <w:highlight w:val="none"/>
        </w:rPr>
      </w:pPr>
    </w:p>
    <w:p w14:paraId="0F15632E">
      <w:pPr>
        <w:pStyle w:val="43"/>
        <w:rPr>
          <w:rFonts w:hint="eastAsia" w:ascii="宋体" w:hAnsi="宋体" w:cs="宋体"/>
          <w:color w:val="auto"/>
          <w:kern w:val="0"/>
          <w:sz w:val="20"/>
          <w:szCs w:val="20"/>
          <w:highlight w:val="none"/>
        </w:rPr>
      </w:pPr>
    </w:p>
    <w:p w14:paraId="7D72D2AB">
      <w:pPr>
        <w:pStyle w:val="43"/>
        <w:rPr>
          <w:rFonts w:hint="eastAsia" w:ascii="宋体" w:hAnsi="宋体" w:cs="宋体"/>
          <w:color w:val="auto"/>
          <w:kern w:val="0"/>
          <w:sz w:val="20"/>
          <w:szCs w:val="20"/>
          <w:highlight w:val="none"/>
        </w:rPr>
      </w:pPr>
    </w:p>
    <w:p w14:paraId="376D2A1F">
      <w:pPr>
        <w:pStyle w:val="43"/>
        <w:rPr>
          <w:rFonts w:hint="eastAsia" w:ascii="宋体" w:hAnsi="宋体" w:cs="宋体"/>
          <w:color w:val="auto"/>
          <w:kern w:val="0"/>
          <w:sz w:val="20"/>
          <w:szCs w:val="20"/>
          <w:highlight w:val="none"/>
        </w:rPr>
      </w:pPr>
    </w:p>
    <w:p w14:paraId="41CAAB52">
      <w:pPr>
        <w:autoSpaceDE w:val="0"/>
        <w:autoSpaceDN w:val="0"/>
        <w:adjustRightInd w:val="0"/>
        <w:spacing w:line="200" w:lineRule="exact"/>
        <w:jc w:val="left"/>
        <w:rPr>
          <w:rFonts w:hint="eastAsia" w:ascii="宋体" w:hAnsi="宋体" w:cs="宋体"/>
          <w:color w:val="auto"/>
          <w:kern w:val="0"/>
          <w:sz w:val="20"/>
          <w:szCs w:val="20"/>
          <w:highlight w:val="none"/>
        </w:rPr>
      </w:pPr>
    </w:p>
    <w:p w14:paraId="7D79FD0F">
      <w:pPr>
        <w:autoSpaceDE w:val="0"/>
        <w:autoSpaceDN w:val="0"/>
        <w:adjustRightInd w:val="0"/>
        <w:spacing w:line="200" w:lineRule="exact"/>
        <w:jc w:val="left"/>
        <w:rPr>
          <w:rFonts w:hint="eastAsia" w:ascii="宋体" w:hAnsi="宋体" w:cs="宋体"/>
          <w:color w:val="auto"/>
          <w:kern w:val="0"/>
          <w:sz w:val="20"/>
          <w:szCs w:val="20"/>
          <w:highlight w:val="none"/>
        </w:rPr>
      </w:pPr>
    </w:p>
    <w:p w14:paraId="11E9EC6E">
      <w:pPr>
        <w:tabs>
          <w:tab w:val="left" w:pos="5820"/>
        </w:tabs>
        <w:autoSpaceDE w:val="0"/>
        <w:autoSpaceDN w:val="0"/>
        <w:adjustRightInd w:val="0"/>
        <w:spacing w:line="480" w:lineRule="auto"/>
        <w:ind w:right="-20" w:firstLine="643" w:firstLineChars="2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采购人：贵州电子商务职业技术学院</w:t>
      </w:r>
    </w:p>
    <w:p w14:paraId="257C72B1">
      <w:pPr>
        <w:tabs>
          <w:tab w:val="left" w:pos="5820"/>
        </w:tabs>
        <w:autoSpaceDE w:val="0"/>
        <w:autoSpaceDN w:val="0"/>
        <w:adjustRightInd w:val="0"/>
        <w:spacing w:line="480" w:lineRule="auto"/>
        <w:ind w:right="-20"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采购代理机构：贵州公明建设投资咨询有限公司 </w:t>
      </w:r>
    </w:p>
    <w:p w14:paraId="24FB6773">
      <w:pPr>
        <w:tabs>
          <w:tab w:val="left" w:pos="5820"/>
        </w:tabs>
        <w:autoSpaceDE w:val="0"/>
        <w:autoSpaceDN w:val="0"/>
        <w:adjustRightInd w:val="0"/>
        <w:spacing w:line="480" w:lineRule="auto"/>
        <w:ind w:right="-20"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日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期：202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eastAsia="宋体" w:cs="宋体"/>
          <w:b/>
          <w:color w:val="auto"/>
          <w:sz w:val="32"/>
          <w:szCs w:val="32"/>
          <w:highlight w:val="none"/>
        </w:rPr>
        <w:t>月</w:t>
      </w:r>
    </w:p>
    <w:p w14:paraId="22545572">
      <w:pPr>
        <w:spacing w:line="900" w:lineRule="exact"/>
        <w:ind w:firstLine="1446" w:firstLineChars="450"/>
        <w:rPr>
          <w:rFonts w:hint="eastAsia" w:ascii="宋体" w:hAnsi="宋体" w:eastAsia="宋体" w:cs="宋体"/>
          <w:b/>
          <w:color w:val="auto"/>
          <w:sz w:val="32"/>
          <w:szCs w:val="32"/>
          <w:highlight w:val="none"/>
          <w:lang w:val="en-US" w:eastAsia="zh-CN"/>
        </w:rPr>
        <w:sectPr>
          <w:headerReference r:id="rId5" w:type="default"/>
          <w:headerReference r:id="rId6" w:type="even"/>
          <w:footerReference r:id="rId7" w:type="even"/>
          <w:pgSz w:w="12240" w:h="15840"/>
          <w:pgMar w:top="1440" w:right="1080" w:bottom="1440" w:left="1080" w:header="720" w:footer="720" w:gutter="0"/>
          <w:pgBorders>
            <w:top w:val="none" w:sz="0" w:space="0"/>
            <w:left w:val="none" w:sz="0" w:space="0"/>
            <w:bottom w:val="none" w:sz="0" w:space="0"/>
            <w:right w:val="none" w:sz="0" w:space="0"/>
          </w:pgBorders>
          <w:cols w:space="720" w:num="1"/>
        </w:sectPr>
      </w:pPr>
    </w:p>
    <w:p w14:paraId="6D12A97F">
      <w:pPr>
        <w:spacing w:line="360" w:lineRule="auto"/>
        <w:ind w:left="0" w:leftChars="0"/>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目录</w:t>
      </w:r>
    </w:p>
    <w:p w14:paraId="1AE37923">
      <w:pPr>
        <w:pStyle w:val="43"/>
        <w:rPr>
          <w:rFonts w:hint="eastAsia"/>
          <w:color w:val="auto"/>
          <w:highlight w:val="none"/>
        </w:rPr>
      </w:pPr>
    </w:p>
    <w:p w14:paraId="11B51E90">
      <w:pPr>
        <w:pStyle w:val="22"/>
        <w:tabs>
          <w:tab w:val="right" w:leader="dot" w:pos="9893"/>
        </w:tabs>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"1-3" \h \u </w:instrText>
      </w:r>
      <w:r>
        <w:rPr>
          <w:rFonts w:hint="eastAsia" w:ascii="宋体" w:hAnsi="宋体" w:cs="宋体"/>
          <w:color w:val="auto"/>
          <w:sz w:val="24"/>
          <w:szCs w:val="24"/>
          <w:highlight w:val="none"/>
        </w:rPr>
        <w:fldChar w:fldCharType="separate"/>
      </w:r>
    </w:p>
    <w:p w14:paraId="47B0CD33">
      <w:pPr>
        <w:pStyle w:val="22"/>
        <w:tabs>
          <w:tab w:val="right" w:leader="dot" w:pos="9893"/>
        </w:tabs>
        <w:spacing w:line="480" w:lineRule="auto"/>
        <w:rPr>
          <w:rFonts w:hint="eastAsia" w:ascii="宋体" w:hAnsi="宋体" w:eastAsia="宋体" w:cs="宋体"/>
          <w:sz w:val="24"/>
          <w:szCs w:val="24"/>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_Toc13736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4"/>
          <w:highlight w:val="none"/>
        </w:rPr>
        <w:t>第一章  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_Toc13736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32"/>
          <w:highlight w:val="none"/>
        </w:rPr>
        <w:fldChar w:fldCharType="end"/>
      </w:r>
    </w:p>
    <w:p w14:paraId="1B4B4B76">
      <w:pPr>
        <w:pStyle w:val="22"/>
        <w:tabs>
          <w:tab w:val="right" w:leader="dot" w:pos="9893"/>
        </w:tabs>
        <w:spacing w:line="480" w:lineRule="auto"/>
        <w:rPr>
          <w:rFonts w:hint="eastAsia" w:ascii="宋体" w:hAnsi="宋体" w:eastAsia="宋体" w:cs="宋体"/>
          <w:sz w:val="24"/>
          <w:szCs w:val="24"/>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_Toc28277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eastAsia="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_Toc28277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sz w:val="24"/>
          <w:szCs w:val="32"/>
          <w:highlight w:val="none"/>
        </w:rPr>
        <w:fldChar w:fldCharType="end"/>
      </w:r>
    </w:p>
    <w:p w14:paraId="4216B23B">
      <w:pPr>
        <w:pStyle w:val="22"/>
        <w:tabs>
          <w:tab w:val="right" w:leader="dot" w:pos="9893"/>
        </w:tabs>
        <w:spacing w:line="480" w:lineRule="auto"/>
        <w:rPr>
          <w:rFonts w:hint="eastAsia" w:ascii="宋体" w:hAnsi="宋体" w:eastAsia="宋体" w:cs="宋体"/>
          <w:sz w:val="24"/>
          <w:szCs w:val="24"/>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_Toc969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4"/>
          <w:highlight w:val="none"/>
        </w:rPr>
        <w:t>第三章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须知正文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_Toc969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sz w:val="24"/>
          <w:szCs w:val="32"/>
          <w:highlight w:val="none"/>
        </w:rPr>
        <w:fldChar w:fldCharType="end"/>
      </w:r>
    </w:p>
    <w:p w14:paraId="4CAE9DB5">
      <w:pPr>
        <w:pStyle w:val="22"/>
        <w:tabs>
          <w:tab w:val="right" w:leader="dot" w:pos="9893"/>
        </w:tabs>
        <w:spacing w:line="480" w:lineRule="auto"/>
        <w:rPr>
          <w:rFonts w:hint="eastAsia" w:ascii="宋体" w:hAnsi="宋体" w:eastAsia="宋体" w:cs="宋体"/>
          <w:sz w:val="24"/>
          <w:szCs w:val="24"/>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_Toc21292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4"/>
          <w:highlight w:val="none"/>
        </w:rPr>
        <w:t>第四章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_Toc21292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auto"/>
          <w:sz w:val="24"/>
          <w:szCs w:val="32"/>
          <w:highlight w:val="none"/>
        </w:rPr>
        <w:fldChar w:fldCharType="end"/>
      </w:r>
    </w:p>
    <w:p w14:paraId="03A1B70C">
      <w:pPr>
        <w:pStyle w:val="22"/>
        <w:tabs>
          <w:tab w:val="right" w:leader="dot" w:pos="9893"/>
        </w:tabs>
        <w:spacing w:line="480" w:lineRule="auto"/>
        <w:rPr>
          <w:rFonts w:hint="eastAsia" w:ascii="宋体" w:hAnsi="宋体" w:eastAsia="宋体" w:cs="宋体"/>
          <w:sz w:val="24"/>
          <w:szCs w:val="24"/>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_Toc23827 </w:instrText>
      </w:r>
      <w:r>
        <w:rPr>
          <w:rFonts w:hint="eastAsia" w:ascii="宋体" w:hAnsi="宋体" w:eastAsia="宋体" w:cs="宋体"/>
          <w:sz w:val="24"/>
          <w:szCs w:val="32"/>
          <w:highlight w:val="none"/>
        </w:rPr>
        <w:fldChar w:fldCharType="separate"/>
      </w:r>
      <w:r>
        <w:rPr>
          <w:rFonts w:hint="eastAsia" w:ascii="宋体" w:hAnsi="宋体" w:eastAsia="宋体" w:cs="宋体"/>
          <w:bCs/>
          <w:kern w:val="44"/>
          <w:sz w:val="24"/>
          <w:szCs w:val="52"/>
          <w:lang w:val="en-US" w:eastAsia="zh-CN" w:bidi="ar-SA"/>
        </w:rPr>
        <w:t xml:space="preserve">第五章  </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lang w:val="en-US" w:eastAsia="zh-CN"/>
        </w:rPr>
        <w:t>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_Toc23827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sz w:val="24"/>
          <w:szCs w:val="32"/>
          <w:highlight w:val="none"/>
        </w:rPr>
        <w:fldChar w:fldCharType="end"/>
      </w:r>
    </w:p>
    <w:p w14:paraId="59D0DE94">
      <w:pPr>
        <w:pStyle w:val="22"/>
        <w:tabs>
          <w:tab w:val="right" w:leader="dot" w:pos="9893"/>
        </w:tabs>
        <w:spacing w:line="480" w:lineRule="auto"/>
        <w:rPr>
          <w:rFonts w:hint="eastAsia" w:ascii="宋体" w:hAnsi="宋体" w:eastAsia="宋体" w:cs="宋体"/>
          <w:sz w:val="24"/>
          <w:szCs w:val="24"/>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_Toc19798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4"/>
          <w:highlight w:val="none"/>
        </w:rPr>
        <w:t>第六章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_Toc19798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color w:val="auto"/>
          <w:sz w:val="24"/>
          <w:szCs w:val="32"/>
          <w:highlight w:val="none"/>
        </w:rPr>
        <w:fldChar w:fldCharType="end"/>
      </w:r>
    </w:p>
    <w:p w14:paraId="0705E3A4">
      <w:pPr>
        <w:pStyle w:val="22"/>
        <w:tabs>
          <w:tab w:val="right" w:leader="dot" w:pos="9893"/>
        </w:tabs>
        <w:spacing w:line="480" w:lineRule="auto"/>
        <w:rPr>
          <w:rFonts w:hint="eastAsia" w:ascii="宋体" w:hAnsi="宋体" w:eastAsia="宋体" w:cs="宋体"/>
          <w:sz w:val="24"/>
          <w:szCs w:val="24"/>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_Toc13660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24"/>
          <w:highlight w:val="none"/>
        </w:rPr>
        <w:t>第七章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_Toc13660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color w:val="auto"/>
          <w:sz w:val="24"/>
          <w:szCs w:val="32"/>
          <w:highlight w:val="none"/>
        </w:rPr>
        <w:fldChar w:fldCharType="end"/>
      </w:r>
    </w:p>
    <w:p w14:paraId="49F29722">
      <w:pPr>
        <w:pStyle w:val="23"/>
        <w:tabs>
          <w:tab w:val="right" w:leader="dot" w:pos="9893"/>
        </w:tabs>
      </w:pPr>
    </w:p>
    <w:p w14:paraId="33C3F479">
      <w:pPr>
        <w:spacing w:line="360" w:lineRule="auto"/>
        <w:jc w:val="left"/>
        <w:rPr>
          <w:rFonts w:hint="eastAsia"/>
          <w:color w:val="auto"/>
          <w:sz w:val="48"/>
          <w:szCs w:val="44"/>
          <w:highlight w:val="none"/>
        </w:rPr>
      </w:pPr>
      <w:r>
        <w:rPr>
          <w:rFonts w:hint="eastAsia" w:ascii="宋体" w:hAnsi="宋体" w:cs="宋体"/>
          <w:color w:val="auto"/>
          <w:szCs w:val="24"/>
          <w:highlight w:val="none"/>
        </w:rPr>
        <w:fldChar w:fldCharType="end"/>
      </w:r>
    </w:p>
    <w:p w14:paraId="184BEB21">
      <w:pPr>
        <w:spacing w:line="360" w:lineRule="auto"/>
        <w:ind w:left="0" w:leftChars="0"/>
        <w:jc w:val="center"/>
        <w:outlineLvl w:val="9"/>
        <w:rPr>
          <w:rStyle w:val="33"/>
          <w:rFonts w:hint="eastAsia"/>
          <w:color w:val="auto"/>
          <w:highlight w:val="none"/>
        </w:rPr>
      </w:pPr>
      <w:bookmarkStart w:id="0" w:name="_Toc105"/>
      <w:bookmarkStart w:id="1" w:name="_Toc1406"/>
      <w:bookmarkStart w:id="2" w:name="_Toc31547"/>
    </w:p>
    <w:p w14:paraId="3663F425">
      <w:pPr>
        <w:spacing w:line="360" w:lineRule="auto"/>
        <w:ind w:left="0" w:leftChars="0"/>
        <w:jc w:val="center"/>
        <w:outlineLvl w:val="9"/>
        <w:rPr>
          <w:rStyle w:val="33"/>
          <w:rFonts w:hint="eastAsia"/>
          <w:color w:val="auto"/>
          <w:highlight w:val="none"/>
        </w:rPr>
      </w:pPr>
    </w:p>
    <w:p w14:paraId="599010D3">
      <w:pPr>
        <w:spacing w:line="360" w:lineRule="auto"/>
        <w:ind w:left="0" w:leftChars="0"/>
        <w:jc w:val="center"/>
        <w:outlineLvl w:val="9"/>
        <w:rPr>
          <w:rStyle w:val="33"/>
          <w:rFonts w:hint="eastAsia"/>
          <w:color w:val="auto"/>
          <w:highlight w:val="none"/>
        </w:rPr>
      </w:pPr>
    </w:p>
    <w:p w14:paraId="37D5BD4E">
      <w:pPr>
        <w:spacing w:line="360" w:lineRule="auto"/>
        <w:ind w:left="0" w:leftChars="0"/>
        <w:jc w:val="center"/>
        <w:outlineLvl w:val="9"/>
        <w:rPr>
          <w:rStyle w:val="33"/>
          <w:rFonts w:hint="eastAsia"/>
          <w:color w:val="auto"/>
          <w:highlight w:val="none"/>
        </w:rPr>
      </w:pPr>
    </w:p>
    <w:p w14:paraId="2A868261">
      <w:pPr>
        <w:spacing w:line="360" w:lineRule="auto"/>
        <w:ind w:left="0" w:leftChars="0"/>
        <w:jc w:val="center"/>
        <w:outlineLvl w:val="9"/>
        <w:rPr>
          <w:rStyle w:val="33"/>
          <w:rFonts w:hint="eastAsia"/>
          <w:color w:val="auto"/>
          <w:highlight w:val="none"/>
        </w:rPr>
      </w:pPr>
    </w:p>
    <w:p w14:paraId="3BDD5DF4">
      <w:pPr>
        <w:spacing w:line="360" w:lineRule="auto"/>
        <w:ind w:left="0" w:leftChars="0"/>
        <w:jc w:val="center"/>
        <w:outlineLvl w:val="9"/>
        <w:rPr>
          <w:rStyle w:val="33"/>
          <w:rFonts w:hint="eastAsia"/>
          <w:color w:val="auto"/>
          <w:highlight w:val="none"/>
        </w:rPr>
      </w:pPr>
    </w:p>
    <w:p w14:paraId="4D1FDD18">
      <w:pPr>
        <w:spacing w:line="360" w:lineRule="auto"/>
        <w:ind w:left="0" w:leftChars="0"/>
        <w:jc w:val="center"/>
        <w:outlineLvl w:val="9"/>
        <w:rPr>
          <w:rStyle w:val="33"/>
          <w:rFonts w:hint="eastAsia"/>
          <w:color w:val="auto"/>
          <w:highlight w:val="none"/>
        </w:rPr>
      </w:pPr>
    </w:p>
    <w:p w14:paraId="145A9696">
      <w:pPr>
        <w:spacing w:line="360" w:lineRule="auto"/>
        <w:ind w:left="0" w:leftChars="0"/>
        <w:jc w:val="center"/>
        <w:outlineLvl w:val="9"/>
        <w:rPr>
          <w:rStyle w:val="33"/>
          <w:rFonts w:hint="eastAsia"/>
          <w:color w:val="auto"/>
          <w:highlight w:val="none"/>
        </w:rPr>
      </w:pPr>
    </w:p>
    <w:p w14:paraId="11EFA877">
      <w:pPr>
        <w:spacing w:line="360" w:lineRule="auto"/>
        <w:ind w:left="0" w:leftChars="0"/>
        <w:jc w:val="center"/>
        <w:outlineLvl w:val="0"/>
        <w:rPr>
          <w:rStyle w:val="33"/>
          <w:rFonts w:hint="eastAsia"/>
          <w:color w:val="auto"/>
          <w:highlight w:val="none"/>
        </w:rPr>
        <w:sectPr>
          <w:footerReference r:id="rId8" w:type="default"/>
          <w:footerReference r:id="rId9" w:type="even"/>
          <w:pgSz w:w="12240" w:h="15840"/>
          <w:pgMar w:top="1440" w:right="1080" w:bottom="1440" w:left="1080" w:header="0" w:footer="721" w:gutter="0"/>
          <w:pgBorders>
            <w:top w:val="none" w:sz="0" w:space="0"/>
            <w:left w:val="none" w:sz="0" w:space="0"/>
            <w:bottom w:val="none" w:sz="0" w:space="0"/>
            <w:right w:val="none" w:sz="0" w:space="0"/>
          </w:pgBorders>
          <w:cols w:space="720" w:num="1"/>
        </w:sectPr>
      </w:pPr>
      <w:bookmarkStart w:id="3" w:name="_Toc15415"/>
      <w:bookmarkStart w:id="4" w:name="_Toc13736"/>
    </w:p>
    <w:p w14:paraId="4227EE16">
      <w:pPr>
        <w:spacing w:line="360" w:lineRule="auto"/>
        <w:ind w:left="0" w:leftChars="0"/>
        <w:jc w:val="center"/>
        <w:outlineLvl w:val="0"/>
        <w:rPr>
          <w:rFonts w:hint="eastAsia" w:ascii="宋体" w:hAnsi="宋体" w:cs="宋体"/>
          <w:color w:val="auto"/>
          <w:szCs w:val="24"/>
          <w:highlight w:val="none"/>
        </w:rPr>
      </w:pPr>
      <w:r>
        <w:rPr>
          <w:rStyle w:val="33"/>
          <w:rFonts w:hint="eastAsia"/>
          <w:color w:val="auto"/>
          <w:highlight w:val="none"/>
        </w:rPr>
        <w:t>第一章  采购公告</w:t>
      </w:r>
      <w:bookmarkEnd w:id="0"/>
      <w:bookmarkEnd w:id="1"/>
      <w:bookmarkEnd w:id="2"/>
      <w:bookmarkEnd w:id="3"/>
      <w:bookmarkEnd w:id="4"/>
    </w:p>
    <w:p w14:paraId="59F5E1A3">
      <w:pPr>
        <w:keepNext w:val="0"/>
        <w:keepLines w:val="0"/>
        <w:pageBreakBefore w:val="0"/>
        <w:widowControl w:val="0"/>
        <w:kinsoku/>
        <w:wordWrap/>
        <w:overflowPunct/>
        <w:topLinePunct w:val="0"/>
        <w:autoSpaceDE/>
        <w:autoSpaceDN/>
        <w:bidi w:val="0"/>
        <w:adjustRightInd/>
        <w:snapToGrid/>
        <w:spacing w:after="0" w:afterLines="50" w:line="360" w:lineRule="auto"/>
        <w:ind w:left="0" w:leftChars="0" w:firstLine="0" w:firstLineChars="0"/>
        <w:textAlignment w:val="auto"/>
        <w:rPr>
          <w:rFonts w:hint="eastAsia" w:ascii="宋体" w:hAnsi="宋体" w:cs="宋体"/>
          <w:color w:val="auto"/>
          <w:szCs w:val="24"/>
          <w:highlight w:val="none"/>
        </w:rPr>
      </w:pPr>
      <w:r>
        <w:rPr>
          <w:rFonts w:hint="eastAsia" w:ascii="宋体" w:hAnsi="宋体" w:cs="宋体"/>
          <w:b/>
          <w:bCs/>
          <w:color w:val="auto"/>
          <w:szCs w:val="24"/>
          <w:highlight w:val="none"/>
        </w:rPr>
        <w:t>项目概况</w:t>
      </w:r>
    </w:p>
    <w:p w14:paraId="6716B987">
      <w:pPr>
        <w:wordWrap w:val="0"/>
        <w:spacing w:line="360" w:lineRule="auto"/>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u w:val="single"/>
          <w:lang w:val="en-US" w:eastAsia="zh-CN"/>
        </w:rPr>
        <w:t>《低空经济产业学院建设（电子商务系）》</w:t>
      </w:r>
      <w:r>
        <w:rPr>
          <w:rFonts w:hint="eastAsia" w:ascii="宋体" w:hAnsi="宋体" w:cs="宋体"/>
          <w:color w:val="auto"/>
          <w:szCs w:val="24"/>
          <w:highlight w:val="none"/>
        </w:rPr>
        <w:t>招标项目的潜在</w:t>
      </w:r>
      <w:r>
        <w:rPr>
          <w:rFonts w:hint="eastAsia" w:ascii="宋体" w:hAnsi="宋体" w:cs="宋体"/>
          <w:color w:val="auto"/>
          <w:szCs w:val="24"/>
          <w:highlight w:val="none"/>
          <w:lang w:val="en-US" w:eastAsia="zh-CN"/>
        </w:rPr>
        <w:t>供应商</w:t>
      </w:r>
      <w:r>
        <w:rPr>
          <w:rFonts w:hint="eastAsia" w:ascii="宋体" w:hAnsi="宋体" w:cs="宋体"/>
          <w:color w:val="auto"/>
          <w:szCs w:val="24"/>
          <w:highlight w:val="none"/>
        </w:rPr>
        <w:t>应在</w:t>
      </w:r>
      <w:r>
        <w:rPr>
          <w:rFonts w:hint="eastAsia" w:ascii="宋体" w:hAnsi="宋体" w:cs="宋体"/>
          <w:color w:val="auto"/>
          <w:szCs w:val="24"/>
          <w:highlight w:val="none"/>
          <w:u w:val="single"/>
        </w:rPr>
        <w:t>贵州省公共资源交易中心网上</w:t>
      </w:r>
      <w:r>
        <w:rPr>
          <w:rFonts w:hint="eastAsia" w:ascii="宋体" w:hAnsi="宋体" w:cs="宋体"/>
          <w:color w:val="auto"/>
          <w:szCs w:val="24"/>
          <w:highlight w:val="none"/>
          <w:u w:val="single"/>
          <w:lang w:val="en-US" w:eastAsia="zh-CN"/>
        </w:rPr>
        <w:t>获取</w:t>
      </w:r>
      <w:r>
        <w:rPr>
          <w:rFonts w:hint="eastAsia" w:ascii="宋体" w:hAnsi="宋体" w:cs="宋体"/>
          <w:color w:val="auto"/>
          <w:szCs w:val="24"/>
          <w:highlight w:val="none"/>
          <w:u w:val="single"/>
        </w:rPr>
        <w:t>(交易中心网址：</w:t>
      </w:r>
      <w:r>
        <w:rPr>
          <w:rFonts w:ascii="宋体" w:hAnsi="宋体" w:cs="宋体"/>
          <w:color w:val="auto"/>
          <w:szCs w:val="24"/>
          <w:highlight w:val="none"/>
          <w:u w:val="single"/>
        </w:rPr>
        <w:fldChar w:fldCharType="begin"/>
      </w:r>
      <w:r>
        <w:rPr>
          <w:rFonts w:ascii="宋体" w:hAnsi="宋体" w:cs="宋体"/>
          <w:color w:val="auto"/>
          <w:szCs w:val="24"/>
          <w:highlight w:val="none"/>
          <w:u w:val="single"/>
        </w:rPr>
        <w:instrText xml:space="preserve"> </w:instrText>
      </w:r>
      <w:r>
        <w:rPr>
          <w:rFonts w:hint="eastAsia" w:ascii="宋体" w:hAnsi="宋体" w:cs="宋体"/>
          <w:color w:val="auto"/>
          <w:szCs w:val="24"/>
          <w:highlight w:val="none"/>
          <w:u w:val="single"/>
        </w:rPr>
        <w:instrText xml:space="preserve">HYPERLINK "</w:instrText>
      </w:r>
      <w:r>
        <w:rPr>
          <w:rFonts w:ascii="宋体" w:hAnsi="宋体" w:cs="宋体"/>
          <w:color w:val="auto"/>
          <w:szCs w:val="24"/>
          <w:highlight w:val="none"/>
          <w:u w:val="single"/>
        </w:rPr>
        <w:instrText xml:space="preserve">http://ggzy.guizhou.gov.cn/)获取招标文件，并于2024年</w:instrText>
      </w:r>
      <w:r>
        <w:rPr>
          <w:rFonts w:hint="eastAsia" w:ascii="宋体" w:hAnsi="宋体" w:cs="宋体"/>
          <w:color w:val="auto"/>
          <w:szCs w:val="24"/>
          <w:highlight w:val="none"/>
          <w:u w:val="single"/>
        </w:rPr>
        <w:instrText xml:space="preserve">"</w:instrText>
      </w:r>
      <w:r>
        <w:rPr>
          <w:rFonts w:ascii="宋体" w:hAnsi="宋体" w:cs="宋体"/>
          <w:color w:val="auto"/>
          <w:szCs w:val="24"/>
          <w:highlight w:val="none"/>
          <w:u w:val="single"/>
        </w:rPr>
        <w:instrText xml:space="preserve"> </w:instrText>
      </w:r>
      <w:r>
        <w:rPr>
          <w:rFonts w:ascii="宋体" w:hAnsi="宋体" w:cs="宋体"/>
          <w:color w:val="auto"/>
          <w:szCs w:val="24"/>
          <w:highlight w:val="none"/>
          <w:u w:val="single"/>
        </w:rPr>
        <w:fldChar w:fldCharType="separate"/>
      </w:r>
      <w:r>
        <w:rPr>
          <w:rStyle w:val="32"/>
          <w:rFonts w:hint="eastAsia" w:ascii="宋体" w:hAnsi="宋体" w:cs="宋体"/>
          <w:color w:val="auto"/>
          <w:szCs w:val="24"/>
          <w:highlight w:val="none"/>
        </w:rPr>
        <w:t>http://ggzy.guizhou.gov.cn/)</w:t>
      </w:r>
      <w:r>
        <w:rPr>
          <w:rStyle w:val="32"/>
          <w:rFonts w:hint="eastAsia" w:ascii="宋体" w:hAnsi="宋体" w:cs="宋体"/>
          <w:color w:val="auto"/>
          <w:szCs w:val="24"/>
          <w:highlight w:val="none"/>
          <w:u w:val="none"/>
        </w:rPr>
        <w:t>获取</w:t>
      </w:r>
      <w:r>
        <w:rPr>
          <w:rStyle w:val="32"/>
          <w:rFonts w:hint="eastAsia" w:ascii="宋体" w:hAnsi="宋体" w:cs="宋体"/>
          <w:color w:val="auto"/>
          <w:szCs w:val="24"/>
          <w:highlight w:val="none"/>
          <w:u w:val="none"/>
          <w:lang w:val="en-US" w:eastAsia="zh-CN"/>
        </w:rPr>
        <w:t>采购</w:t>
      </w:r>
      <w:r>
        <w:rPr>
          <w:rStyle w:val="32"/>
          <w:rFonts w:hint="eastAsia" w:ascii="宋体" w:hAnsi="宋体" w:cs="宋体"/>
          <w:color w:val="auto"/>
          <w:szCs w:val="24"/>
          <w:highlight w:val="none"/>
          <w:u w:val="none"/>
        </w:rPr>
        <w:t>文件，并于</w:t>
      </w:r>
      <w:r>
        <w:rPr>
          <w:rStyle w:val="32"/>
          <w:rFonts w:hint="eastAsia" w:ascii="宋体" w:hAnsi="宋体" w:cs="宋体"/>
          <w:color w:val="auto"/>
          <w:szCs w:val="24"/>
          <w:highlight w:val="none"/>
        </w:rPr>
        <w:t>202</w:t>
      </w:r>
      <w:r>
        <w:rPr>
          <w:rStyle w:val="32"/>
          <w:rFonts w:hint="eastAsia" w:ascii="宋体" w:hAnsi="宋体" w:cs="宋体"/>
          <w:color w:val="auto"/>
          <w:szCs w:val="24"/>
          <w:highlight w:val="none"/>
          <w:lang w:val="en-US" w:eastAsia="zh-CN"/>
        </w:rPr>
        <w:t>5</w:t>
      </w:r>
      <w:r>
        <w:rPr>
          <w:rStyle w:val="32"/>
          <w:rFonts w:hint="eastAsia" w:ascii="宋体" w:hAnsi="宋体" w:cs="宋体"/>
          <w:color w:val="auto"/>
          <w:szCs w:val="24"/>
          <w:highlight w:val="none"/>
        </w:rPr>
        <w:t>年</w:t>
      </w:r>
      <w:r>
        <w:rPr>
          <w:rFonts w:ascii="宋体" w:hAnsi="宋体" w:cs="宋体"/>
          <w:color w:val="auto"/>
          <w:szCs w:val="24"/>
          <w:highlight w:val="none"/>
          <w:u w:val="single"/>
        </w:rPr>
        <w:fldChar w:fldCharType="end"/>
      </w:r>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u w:val="single"/>
        </w:rPr>
        <w:t>月</w:t>
      </w:r>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u w:val="single"/>
        </w:rPr>
        <w:t>日</w:t>
      </w:r>
      <w:r>
        <w:rPr>
          <w:rFonts w:hint="eastAsia" w:ascii="宋体" w:hAnsi="宋体" w:cs="宋体"/>
          <w:color w:val="auto"/>
          <w:szCs w:val="24"/>
          <w:highlight w:val="none"/>
          <w:u w:val="single"/>
          <w:lang w:val="en-US" w:eastAsia="zh-CN"/>
        </w:rPr>
        <w:t xml:space="preserve"> 09</w:t>
      </w:r>
      <w:r>
        <w:rPr>
          <w:rFonts w:hint="eastAsia" w:ascii="宋体" w:hAnsi="宋体" w:cs="宋体"/>
          <w:color w:val="auto"/>
          <w:szCs w:val="24"/>
          <w:highlight w:val="none"/>
          <w:u w:val="single"/>
        </w:rPr>
        <w:t>时</w:t>
      </w:r>
      <w:r>
        <w:rPr>
          <w:rFonts w:hint="eastAsia" w:ascii="宋体" w:hAnsi="宋体" w:cs="宋体"/>
          <w:color w:val="auto"/>
          <w:szCs w:val="24"/>
          <w:highlight w:val="none"/>
          <w:u w:val="single"/>
          <w:lang w:val="en-US" w:eastAsia="zh-CN"/>
        </w:rPr>
        <w:t>30</w:t>
      </w:r>
      <w:r>
        <w:rPr>
          <w:rFonts w:hint="eastAsia" w:ascii="宋体" w:hAnsi="宋体" w:cs="宋体"/>
          <w:color w:val="auto"/>
          <w:szCs w:val="24"/>
          <w:highlight w:val="none"/>
          <w:u w:val="single"/>
        </w:rPr>
        <w:t>分</w:t>
      </w:r>
      <w:r>
        <w:rPr>
          <w:rFonts w:hint="eastAsia" w:ascii="宋体" w:hAnsi="宋体" w:cs="宋体"/>
          <w:color w:val="auto"/>
          <w:szCs w:val="24"/>
          <w:highlight w:val="none"/>
        </w:rPr>
        <w:t>（北京时间）前递交投标文件。</w:t>
      </w:r>
    </w:p>
    <w:p w14:paraId="5DD550D5">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outlineLvl w:val="1"/>
        <w:rPr>
          <w:rFonts w:hint="eastAsia" w:ascii="宋体" w:hAnsi="宋体" w:eastAsia="宋体" w:cs="宋体"/>
          <w:color w:val="auto"/>
          <w:szCs w:val="24"/>
          <w:highlight w:val="none"/>
          <w:lang w:eastAsia="zh-CN"/>
        </w:rPr>
      </w:pPr>
      <w:bookmarkStart w:id="5" w:name="_Toc19553"/>
      <w:bookmarkStart w:id="6" w:name="_Toc23243"/>
      <w:bookmarkStart w:id="7" w:name="_Toc30051"/>
      <w:r>
        <w:rPr>
          <w:rFonts w:hint="eastAsia" w:ascii="宋体" w:hAnsi="宋体" w:cs="宋体"/>
          <w:b/>
          <w:bCs/>
          <w:color w:val="auto"/>
          <w:szCs w:val="24"/>
          <w:highlight w:val="none"/>
        </w:rPr>
        <w:t>一、项目基本</w:t>
      </w:r>
      <w:bookmarkEnd w:id="5"/>
      <w:bookmarkEnd w:id="6"/>
      <w:r>
        <w:rPr>
          <w:rFonts w:hint="eastAsia" w:ascii="宋体" w:hAnsi="宋体" w:cs="宋体"/>
          <w:b/>
          <w:bCs/>
          <w:color w:val="auto"/>
          <w:szCs w:val="24"/>
          <w:highlight w:val="none"/>
          <w:lang w:val="en-US" w:eastAsia="zh-CN"/>
        </w:rPr>
        <w:t>情况</w:t>
      </w:r>
      <w:bookmarkEnd w:id="7"/>
    </w:p>
    <w:p w14:paraId="768E997B">
      <w:pPr>
        <w:spacing w:line="360" w:lineRule="auto"/>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采购</w:t>
      </w:r>
      <w:r>
        <w:rPr>
          <w:rFonts w:hint="eastAsia" w:ascii="宋体" w:hAnsi="宋体" w:cs="宋体"/>
          <w:color w:val="auto"/>
          <w:szCs w:val="24"/>
          <w:highlight w:val="none"/>
        </w:rPr>
        <w:t>项目编号（</w:t>
      </w:r>
      <w:r>
        <w:rPr>
          <w:rFonts w:hint="eastAsia" w:ascii="宋体" w:hAnsi="宋体" w:cs="宋体"/>
          <w:color w:val="auto"/>
          <w:szCs w:val="24"/>
          <w:highlight w:val="none"/>
          <w:lang w:val="en-US" w:eastAsia="zh-CN"/>
        </w:rPr>
        <w:t>财政</w:t>
      </w:r>
      <w:r>
        <w:rPr>
          <w:rFonts w:hint="eastAsia" w:ascii="宋体" w:hAnsi="宋体" w:cs="宋体"/>
          <w:color w:val="auto"/>
          <w:szCs w:val="24"/>
          <w:highlight w:val="none"/>
        </w:rPr>
        <w:t>）：2025-CG-034</w:t>
      </w:r>
    </w:p>
    <w:p w14:paraId="5781ACCB">
      <w:pPr>
        <w:spacing w:line="360" w:lineRule="auto"/>
        <w:ind w:left="0" w:leftChars="0" w:firstLine="480" w:firstLineChars="200"/>
        <w:rPr>
          <w:rFonts w:hint="eastAsia" w:ascii="宋体" w:hAnsi="宋体" w:eastAsia="宋体" w:cs="宋体"/>
          <w:color w:val="auto"/>
          <w:szCs w:val="24"/>
          <w:highlight w:val="none"/>
          <w:u w:val="none"/>
          <w:lang w:eastAsia="zh-CN"/>
        </w:rPr>
      </w:pPr>
      <w:r>
        <w:rPr>
          <w:rFonts w:hint="eastAsia" w:ascii="宋体" w:hAnsi="宋体" w:cs="宋体"/>
          <w:color w:val="auto"/>
          <w:szCs w:val="24"/>
          <w:highlight w:val="none"/>
          <w:u w:val="none"/>
        </w:rPr>
        <w:t>项目名称：</w:t>
      </w:r>
      <w:r>
        <w:rPr>
          <w:rFonts w:hint="eastAsia" w:ascii="宋体" w:hAnsi="宋体" w:cs="宋体"/>
          <w:color w:val="auto"/>
          <w:szCs w:val="24"/>
          <w:highlight w:val="none"/>
          <w:u w:val="none"/>
          <w:lang w:eastAsia="zh-CN"/>
        </w:rPr>
        <w:t>《低空经济产业学院建设（电子商务系）》</w:t>
      </w:r>
    </w:p>
    <w:p w14:paraId="5CE4EA83">
      <w:pPr>
        <w:spacing w:line="360" w:lineRule="auto"/>
        <w:ind w:left="0" w:leftChars="0" w:firstLine="480" w:firstLineChars="200"/>
        <w:rPr>
          <w:rFonts w:hint="eastAsia" w:ascii="宋体" w:hAnsi="宋体" w:cs="宋体"/>
          <w:color w:val="auto"/>
          <w:szCs w:val="24"/>
          <w:highlight w:val="none"/>
          <w:u w:val="none"/>
        </w:rPr>
      </w:pPr>
      <w:r>
        <w:rPr>
          <w:rFonts w:hint="eastAsia" w:ascii="宋体" w:hAnsi="宋体" w:cs="宋体"/>
          <w:color w:val="auto"/>
          <w:szCs w:val="24"/>
          <w:highlight w:val="none"/>
          <w:u w:val="none"/>
          <w:lang w:val="en-US" w:eastAsia="zh-CN"/>
        </w:rPr>
        <w:t>交易</w:t>
      </w:r>
      <w:r>
        <w:rPr>
          <w:rFonts w:hint="eastAsia" w:ascii="宋体" w:hAnsi="宋体" w:cs="宋体"/>
          <w:color w:val="auto"/>
          <w:szCs w:val="24"/>
          <w:highlight w:val="none"/>
          <w:u w:val="none"/>
        </w:rPr>
        <w:t>项目</w:t>
      </w:r>
      <w:r>
        <w:rPr>
          <w:rFonts w:hint="eastAsia" w:ascii="宋体" w:hAnsi="宋体" w:cs="宋体"/>
          <w:color w:val="auto"/>
          <w:szCs w:val="24"/>
          <w:highlight w:val="none"/>
          <w:u w:val="none"/>
          <w:lang w:val="en-US" w:eastAsia="zh-CN"/>
        </w:rPr>
        <w:t>编号</w:t>
      </w:r>
      <w:r>
        <w:rPr>
          <w:rFonts w:hint="eastAsia" w:ascii="宋体" w:hAnsi="宋体" w:cs="宋体"/>
          <w:color w:val="auto"/>
          <w:szCs w:val="24"/>
          <w:highlight w:val="none"/>
          <w:u w:val="none"/>
        </w:rPr>
        <w:t>：</w:t>
      </w:r>
    </w:p>
    <w:p w14:paraId="352747FB">
      <w:pPr>
        <w:spacing w:line="360" w:lineRule="auto"/>
        <w:ind w:left="0" w:leftChars="0" w:firstLine="480" w:firstLineChars="200"/>
        <w:rPr>
          <w:rFonts w:hint="default" w:ascii="宋体" w:hAnsi="宋体" w:eastAsia="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预算金额（元）</w:t>
      </w:r>
      <w:r>
        <w:rPr>
          <w:rFonts w:hint="eastAsia" w:ascii="宋体" w:hAnsi="宋体" w:cs="宋体"/>
          <w:color w:val="auto"/>
          <w:szCs w:val="24"/>
          <w:highlight w:val="none"/>
          <w:u w:val="none"/>
        </w:rPr>
        <w:t>：2209347.00</w:t>
      </w:r>
    </w:p>
    <w:p w14:paraId="2BE2BC59">
      <w:pPr>
        <w:spacing w:line="360" w:lineRule="auto"/>
        <w:ind w:left="0" w:leftChars="0" w:firstLine="480" w:firstLineChars="200"/>
        <w:rPr>
          <w:rFonts w:hint="eastAsia" w:ascii="宋体" w:hAnsi="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最高限价（元）：标包1：</w:t>
      </w:r>
      <w:r>
        <w:rPr>
          <w:rFonts w:hint="eastAsia" w:ascii="宋体" w:hAnsi="宋体" w:cs="宋体"/>
          <w:color w:val="auto"/>
          <w:szCs w:val="24"/>
          <w:highlight w:val="none"/>
          <w:u w:val="none"/>
        </w:rPr>
        <w:t>2209347.00</w:t>
      </w:r>
    </w:p>
    <w:p w14:paraId="4D00F678">
      <w:pPr>
        <w:spacing w:line="360" w:lineRule="auto"/>
        <w:ind w:left="0" w:leftChars="0" w:firstLine="480" w:firstLineChars="200"/>
        <w:rPr>
          <w:rFonts w:hint="eastAsia" w:ascii="宋体" w:hAnsi="宋体" w:eastAsia="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采购需求：</w:t>
      </w:r>
    </w:p>
    <w:p w14:paraId="58C381D1">
      <w:pPr>
        <w:widowControl/>
        <w:suppressAutoHyphens/>
        <w:topLinePunct/>
        <w:spacing w:line="360" w:lineRule="auto"/>
        <w:ind w:left="0" w:leftChars="0" w:firstLine="480" w:firstLineChars="200"/>
        <w:contextualSpacing/>
        <w:rPr>
          <w:rFonts w:hint="eastAsia" w:ascii="宋体" w:hAnsi="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标项1</w:t>
      </w:r>
    </w:p>
    <w:p w14:paraId="2C427151">
      <w:pPr>
        <w:widowControl/>
        <w:suppressAutoHyphens/>
        <w:topLinePunct/>
        <w:spacing w:line="360" w:lineRule="auto"/>
        <w:ind w:left="0" w:leftChars="0" w:firstLine="720" w:firstLineChars="300"/>
        <w:contextualSpacing/>
        <w:rPr>
          <w:rFonts w:hint="eastAsia" w:ascii="宋体" w:hAnsi="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 xml:space="preserve">标项名称：《低空经济产业学院建设（电子商务系）》    </w:t>
      </w:r>
    </w:p>
    <w:p w14:paraId="1A1812D2">
      <w:pPr>
        <w:widowControl/>
        <w:suppressAutoHyphens/>
        <w:topLinePunct/>
        <w:spacing w:line="360" w:lineRule="auto"/>
        <w:ind w:left="0" w:leftChars="0" w:firstLine="480" w:firstLineChars="200"/>
        <w:contextualSpacing/>
        <w:rPr>
          <w:rFonts w:hint="eastAsia" w:ascii="宋体" w:hAnsi="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 xml:space="preserve">  数量：1</w:t>
      </w:r>
    </w:p>
    <w:p w14:paraId="146901F3">
      <w:pPr>
        <w:widowControl/>
        <w:suppressAutoHyphens/>
        <w:topLinePunct/>
        <w:spacing w:line="360" w:lineRule="auto"/>
        <w:ind w:left="0" w:leftChars="0" w:firstLine="720" w:firstLineChars="300"/>
        <w:contextualSpacing/>
        <w:rPr>
          <w:rFonts w:hint="eastAsia" w:ascii="宋体" w:hAnsi="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预算金额（元）</w:t>
      </w:r>
      <w:r>
        <w:rPr>
          <w:rFonts w:hint="eastAsia" w:ascii="宋体" w:hAnsi="宋体" w:cs="宋体"/>
          <w:color w:val="auto"/>
          <w:szCs w:val="24"/>
          <w:highlight w:val="none"/>
          <w:u w:val="none"/>
        </w:rPr>
        <w:t>：2209347.00</w:t>
      </w:r>
    </w:p>
    <w:p w14:paraId="72CFD77F">
      <w:pPr>
        <w:widowControl/>
        <w:suppressAutoHyphens/>
        <w:topLinePunct/>
        <w:spacing w:line="360" w:lineRule="auto"/>
        <w:ind w:left="0" w:leftChars="0" w:firstLine="720" w:firstLineChars="300"/>
        <w:contextualSpacing/>
        <w:rPr>
          <w:rFonts w:hint="eastAsia" w:ascii="宋体" w:hAnsi="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简要规格描述：详见采购文件</w:t>
      </w:r>
    </w:p>
    <w:p w14:paraId="6D50F15B">
      <w:pPr>
        <w:widowControl/>
        <w:suppressAutoHyphens/>
        <w:topLinePunct/>
        <w:spacing w:line="360" w:lineRule="auto"/>
        <w:ind w:left="0" w:leftChars="0" w:firstLine="720" w:firstLineChars="300"/>
        <w:contextualSpacing/>
        <w:rPr>
          <w:rFonts w:hint="eastAsia" w:ascii="宋体" w:hAnsi="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备注：</w:t>
      </w:r>
    </w:p>
    <w:p w14:paraId="78DC2EF8">
      <w:pPr>
        <w:widowControl/>
        <w:suppressAutoHyphens/>
        <w:topLinePunct/>
        <w:spacing w:line="360" w:lineRule="auto"/>
        <w:ind w:left="0" w:leftChars="0" w:firstLine="480" w:firstLineChars="200"/>
        <w:contextualSpacing/>
        <w:rPr>
          <w:rFonts w:hint="eastAsia" w:ascii="宋体" w:hAnsi="宋体" w:eastAsia="宋体" w:cs="宋体"/>
          <w:color w:val="auto"/>
          <w:sz w:val="24"/>
        </w:rPr>
      </w:pPr>
      <w:r>
        <w:rPr>
          <w:rFonts w:hint="eastAsia" w:ascii="宋体" w:hAnsi="宋体" w:cs="宋体"/>
          <w:color w:val="auto"/>
          <w:szCs w:val="24"/>
          <w:highlight w:val="none"/>
          <w:u w:val="none"/>
          <w:lang w:val="en-US" w:eastAsia="zh-CN"/>
        </w:rPr>
        <w:t>合同履约期限：标包1：详见采购文件</w:t>
      </w:r>
      <w:r>
        <w:rPr>
          <w:rFonts w:hint="eastAsia" w:ascii="宋体" w:hAnsi="宋体" w:eastAsia="宋体" w:cs="宋体"/>
          <w:color w:val="auto"/>
          <w:sz w:val="24"/>
        </w:rPr>
        <w:t>。</w:t>
      </w:r>
    </w:p>
    <w:p w14:paraId="57148CA5">
      <w:pPr>
        <w:widowControl/>
        <w:suppressAutoHyphens/>
        <w:topLinePunct/>
        <w:spacing w:line="360" w:lineRule="auto"/>
        <w:ind w:left="0" w:leftChars="0" w:firstLine="480" w:firstLineChars="200"/>
        <w:contextualSpacing/>
        <w:rPr>
          <w:rFonts w:hint="eastAsia" w:ascii="宋体" w:hAnsi="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本项目（是/否）接受联合体投标：</w:t>
      </w:r>
    </w:p>
    <w:p w14:paraId="37C5A75C">
      <w:pPr>
        <w:widowControl/>
        <w:suppressAutoHyphens/>
        <w:topLinePunct/>
        <w:spacing w:line="360" w:lineRule="auto"/>
        <w:ind w:left="0" w:leftChars="0" w:firstLine="480" w:firstLineChars="200"/>
        <w:contextualSpacing/>
        <w:rPr>
          <w:rFonts w:hint="eastAsia" w:ascii="宋体" w:hAnsi="宋体" w:cs="宋体"/>
          <w:color w:val="auto"/>
          <w:szCs w:val="24"/>
          <w:highlight w:val="none"/>
        </w:rPr>
      </w:pPr>
      <w:r>
        <w:rPr>
          <w:rFonts w:hint="eastAsia" w:ascii="宋体" w:hAnsi="宋体" w:cs="宋体"/>
          <w:color w:val="auto"/>
          <w:szCs w:val="24"/>
          <w:highlight w:val="none"/>
          <w:u w:val="none"/>
          <w:lang w:val="en-US" w:eastAsia="zh-CN"/>
        </w:rPr>
        <w:t>标项1：否</w:t>
      </w:r>
    </w:p>
    <w:p w14:paraId="0B8B89FA">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outlineLvl w:val="1"/>
        <w:rPr>
          <w:rFonts w:hint="eastAsia" w:ascii="宋体" w:hAnsi="宋体" w:cs="宋体"/>
          <w:color w:val="auto"/>
          <w:szCs w:val="24"/>
          <w:highlight w:val="none"/>
        </w:rPr>
      </w:pPr>
      <w:bookmarkStart w:id="8" w:name="_Toc25484"/>
      <w:bookmarkStart w:id="9" w:name="_Toc29324"/>
      <w:bookmarkStart w:id="10" w:name="_Toc7187"/>
      <w:r>
        <w:rPr>
          <w:rFonts w:hint="eastAsia" w:ascii="宋体" w:hAnsi="宋体" w:cs="宋体"/>
          <w:b/>
          <w:bCs/>
          <w:color w:val="auto"/>
          <w:szCs w:val="24"/>
          <w:highlight w:val="none"/>
        </w:rPr>
        <w:t>二、申请人的资格要求：</w:t>
      </w:r>
      <w:bookmarkEnd w:id="8"/>
      <w:bookmarkEnd w:id="9"/>
      <w:bookmarkEnd w:id="10"/>
    </w:p>
    <w:p w14:paraId="27DC5411">
      <w:pPr>
        <w:spacing w:line="360" w:lineRule="auto"/>
        <w:ind w:left="0" w:leftChars="0" w:firstLine="480" w:firstLineChars="200"/>
        <w:outlineLvl w:val="9"/>
        <w:rPr>
          <w:rFonts w:hint="eastAsia" w:ascii="宋体" w:hAnsi="宋体" w:cs="宋体"/>
          <w:color w:val="auto"/>
          <w:szCs w:val="24"/>
          <w:highlight w:val="none"/>
        </w:rPr>
      </w:pPr>
      <w:r>
        <w:rPr>
          <w:rFonts w:hint="eastAsia" w:ascii="宋体" w:hAnsi="宋体" w:cs="宋体"/>
          <w:color w:val="auto"/>
          <w:szCs w:val="24"/>
          <w:highlight w:val="none"/>
        </w:rPr>
        <w:t>1.一般资格要求：</w:t>
      </w:r>
    </w:p>
    <w:p w14:paraId="26236581">
      <w:pPr>
        <w:kinsoku w:val="0"/>
        <w:wordWrap w:val="0"/>
        <w:spacing w:line="360" w:lineRule="auto"/>
        <w:ind w:left="0" w:leftChars="0" w:firstLine="480" w:firstLineChars="200"/>
        <w:jc w:val="left"/>
        <w:rPr>
          <w:rFonts w:hint="eastAsia" w:ascii="宋体" w:hAnsi="宋体" w:cs="宋体"/>
          <w:color w:val="auto"/>
          <w:sz w:val="24"/>
          <w:highlight w:val="none"/>
        </w:rPr>
      </w:pPr>
      <w:r>
        <w:rPr>
          <w:rFonts w:hint="eastAsia" w:ascii="宋体" w:hAnsi="宋体" w:cs="宋体"/>
          <w:color w:val="auto"/>
          <w:kern w:val="0"/>
          <w:szCs w:val="24"/>
          <w:highlight w:val="none"/>
          <w:u w:val="none"/>
        </w:rPr>
        <w:t>1.1</w:t>
      </w:r>
      <w:r>
        <w:rPr>
          <w:rFonts w:hint="eastAsia" w:ascii="宋体" w:hAnsi="宋体" w:cs="宋体"/>
          <w:color w:val="auto"/>
          <w:sz w:val="24"/>
          <w:highlight w:val="none"/>
        </w:rPr>
        <w:t>具有独立承担民事责任的能力：提供法人或其他组织的营业执照等证明文件，或自然人身份证明（复印件加盖单位公章）。</w:t>
      </w:r>
    </w:p>
    <w:p w14:paraId="141864B6">
      <w:pPr>
        <w:kinsoku w:val="0"/>
        <w:wordWrap w:val="0"/>
        <w:spacing w:line="360" w:lineRule="auto"/>
        <w:ind w:left="0" w:leftChars="0" w:firstLine="480" w:firstLineChars="200"/>
        <w:jc w:val="left"/>
        <w:rPr>
          <w:rFonts w:hint="eastAsia" w:ascii="宋体" w:hAnsi="宋体" w:eastAsia="宋体" w:cs="宋体"/>
          <w:color w:val="auto"/>
          <w:kern w:val="0"/>
          <w:szCs w:val="24"/>
          <w:highlight w:val="none"/>
          <w:u w:val="none"/>
          <w:lang w:eastAsia="zh-CN"/>
        </w:rPr>
      </w:pPr>
      <w:r>
        <w:rPr>
          <w:rFonts w:hint="eastAsia" w:ascii="宋体" w:hAnsi="宋体" w:cs="宋体"/>
          <w:color w:val="auto"/>
          <w:kern w:val="0"/>
          <w:szCs w:val="24"/>
          <w:highlight w:val="none"/>
          <w:u w:val="none"/>
        </w:rPr>
        <w:t>1.2具有良好的商业信誉和健全的财务会计制度：</w:t>
      </w:r>
      <w:r>
        <w:rPr>
          <w:rFonts w:hint="eastAsia" w:ascii="宋体" w:hAnsi="宋体" w:cs="宋体"/>
          <w:color w:val="auto"/>
          <w:kern w:val="0"/>
          <w:szCs w:val="24"/>
          <w:highlight w:val="none"/>
          <w:u w:val="none"/>
          <w:lang w:val="en-US" w:eastAsia="zh-CN"/>
        </w:rPr>
        <w:t>供应商是法人的，提供经合法审计机构出具的2023年或2024年度财务审计报告（含三表一附注）；新成立不满一年的公司，提供基本开户银行出具的有效资信证明</w:t>
      </w:r>
      <w:r>
        <w:rPr>
          <w:rFonts w:hint="eastAsia" w:ascii="宋体" w:hAnsi="宋体" w:cs="宋体"/>
          <w:color w:val="auto"/>
          <w:kern w:val="0"/>
          <w:szCs w:val="24"/>
          <w:highlight w:val="none"/>
          <w:u w:val="none"/>
        </w:rPr>
        <w:t>。部分其他组织和自然人，没有经审计的财务报告，可以提供银行出具的资信证明</w:t>
      </w:r>
      <w:r>
        <w:rPr>
          <w:rFonts w:hint="eastAsia" w:ascii="宋体" w:hAnsi="宋体" w:cs="宋体"/>
          <w:color w:val="auto"/>
          <w:kern w:val="0"/>
          <w:szCs w:val="24"/>
          <w:highlight w:val="none"/>
          <w:u w:val="none"/>
          <w:lang w:eastAsia="zh-CN"/>
        </w:rPr>
        <w:t>。</w:t>
      </w:r>
      <w:r>
        <w:rPr>
          <w:rFonts w:hint="eastAsia" w:ascii="宋体" w:hAnsi="宋体" w:cs="宋体"/>
          <w:color w:val="auto"/>
          <w:kern w:val="0"/>
          <w:szCs w:val="24"/>
          <w:highlight w:val="none"/>
          <w:u w:val="none"/>
        </w:rPr>
        <w:t>（复印件加盖单位公章）</w:t>
      </w:r>
      <w:r>
        <w:rPr>
          <w:rFonts w:hint="eastAsia" w:ascii="宋体" w:hAnsi="宋体" w:cs="宋体"/>
          <w:color w:val="auto"/>
          <w:kern w:val="0"/>
          <w:szCs w:val="24"/>
          <w:highlight w:val="none"/>
          <w:u w:val="none"/>
          <w:lang w:eastAsia="zh-CN"/>
        </w:rPr>
        <w:t>。</w:t>
      </w:r>
    </w:p>
    <w:p w14:paraId="68C8AAD7">
      <w:pPr>
        <w:kinsoku w:val="0"/>
        <w:wordWrap w:val="0"/>
        <w:spacing w:line="360" w:lineRule="auto"/>
        <w:ind w:left="0" w:leftChars="0" w:firstLine="480" w:firstLineChars="200"/>
        <w:jc w:val="left"/>
        <w:rPr>
          <w:rFonts w:hint="eastAsia" w:ascii="宋体" w:hAnsi="宋体" w:cs="宋体"/>
          <w:b/>
          <w:bCs/>
          <w:color w:val="auto"/>
          <w:kern w:val="0"/>
          <w:szCs w:val="24"/>
          <w:highlight w:val="none"/>
          <w:u w:val="none"/>
        </w:rPr>
      </w:pPr>
      <w:r>
        <w:rPr>
          <w:rFonts w:hint="eastAsia" w:ascii="宋体" w:hAnsi="宋体" w:cs="宋体"/>
          <w:color w:val="auto"/>
          <w:kern w:val="0"/>
          <w:szCs w:val="24"/>
          <w:highlight w:val="none"/>
          <w:u w:val="none"/>
        </w:rPr>
        <w:t>1.3 具有履行合同所必需的设备和专业技术能力：提供具备履行合同所必需的设备和专业技术能力的承诺函（格式文件详见响应文件范本，加盖单位公章）。</w:t>
      </w:r>
    </w:p>
    <w:p w14:paraId="55503DF3">
      <w:pPr>
        <w:kinsoku w:val="0"/>
        <w:wordWrap w:val="0"/>
        <w:spacing w:line="360" w:lineRule="auto"/>
        <w:ind w:left="0" w:leftChars="0" w:firstLine="480" w:firstLineChars="200"/>
        <w:jc w:val="left"/>
        <w:rPr>
          <w:rFonts w:hint="eastAsia" w:ascii="宋体" w:hAnsi="宋体" w:cs="宋体"/>
          <w:b/>
          <w:bCs/>
          <w:color w:val="auto"/>
          <w:kern w:val="0"/>
          <w:szCs w:val="24"/>
          <w:highlight w:val="none"/>
          <w:u w:val="none"/>
        </w:rPr>
      </w:pPr>
      <w:r>
        <w:rPr>
          <w:rFonts w:hint="eastAsia" w:ascii="宋体" w:hAnsi="宋体" w:cs="宋体"/>
          <w:color w:val="auto"/>
          <w:kern w:val="0"/>
          <w:szCs w:val="24"/>
          <w:highlight w:val="none"/>
          <w:u w:val="none"/>
        </w:rPr>
        <w:t>1.4 具有依法缴纳税收和社会保障资金的良好记录：提供2025年任意一个月依法缴纳税收和2025年任意一个月依法缴纳社保的证明文件。依法免税的，提供免税证明或</w:t>
      </w:r>
      <w:r>
        <w:rPr>
          <w:rFonts w:hint="eastAsia" w:ascii="宋体" w:hAnsi="宋体" w:cs="宋体"/>
          <w:color w:val="auto"/>
          <w:kern w:val="0"/>
          <w:szCs w:val="24"/>
          <w:highlight w:val="none"/>
          <w:u w:val="none"/>
          <w:lang w:val="en-US" w:eastAsia="zh-CN"/>
        </w:rPr>
        <w:t>相关证明材料。</w:t>
      </w:r>
      <w:r>
        <w:rPr>
          <w:rFonts w:hint="eastAsia" w:ascii="宋体" w:hAnsi="宋体" w:cs="宋体"/>
          <w:color w:val="auto"/>
          <w:kern w:val="0"/>
          <w:szCs w:val="24"/>
          <w:highlight w:val="none"/>
          <w:u w:val="none"/>
        </w:rPr>
        <w:t>（复印件加盖单位公章）。</w:t>
      </w:r>
    </w:p>
    <w:p w14:paraId="3FC36622">
      <w:pPr>
        <w:kinsoku w:val="0"/>
        <w:wordWrap w:val="0"/>
        <w:spacing w:line="360" w:lineRule="auto"/>
        <w:ind w:left="0" w:leftChars="0" w:firstLine="480" w:firstLineChars="200"/>
        <w:jc w:val="left"/>
        <w:rPr>
          <w:rFonts w:hint="default" w:ascii="宋体" w:hAnsi="宋体" w:eastAsia="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1.5 参加本次政府采购活动前三年内，在经营活动中没有违法违规记录：提供参加政府采购活动前3年内在经营活动中没有重大违法记录的书面声明（格式文件详见响应文件范本，加盖单位公章）。</w:t>
      </w:r>
    </w:p>
    <w:p w14:paraId="41077256">
      <w:pPr>
        <w:kinsoku w:val="0"/>
        <w:wordWrap w:val="0"/>
        <w:spacing w:line="360" w:lineRule="auto"/>
        <w:ind w:left="0" w:leftChars="0" w:firstLine="480" w:firstLineChars="200"/>
        <w:jc w:val="left"/>
        <w:rPr>
          <w:rFonts w:hint="eastAsia" w:ascii="宋体" w:hAnsi="宋体" w:cs="宋体"/>
          <w:color w:val="auto"/>
          <w:szCs w:val="24"/>
          <w:highlight w:val="none"/>
          <w:u w:val="none"/>
          <w:lang w:val="en-US" w:eastAsia="zh-CN"/>
        </w:rPr>
      </w:pPr>
      <w:r>
        <w:rPr>
          <w:rFonts w:hint="eastAsia" w:ascii="宋体" w:hAnsi="宋体" w:cs="宋体"/>
          <w:color w:val="auto"/>
          <w:szCs w:val="24"/>
          <w:highlight w:val="none"/>
          <w:u w:val="none"/>
          <w:lang w:val="en-US" w:eastAsia="zh-CN"/>
        </w:rPr>
        <w:t>1.6 法律、行政法规规定的其他条件：</w:t>
      </w:r>
    </w:p>
    <w:p w14:paraId="015A9CD9">
      <w:pPr>
        <w:kinsoku w:val="0"/>
        <w:wordWrap w:val="0"/>
        <w:spacing w:line="360" w:lineRule="auto"/>
        <w:ind w:left="0" w:leftChars="0" w:firstLine="480" w:firstLineChars="200"/>
        <w:jc w:val="left"/>
        <w:outlineLvl w:val="9"/>
        <w:rPr>
          <w:rFonts w:hint="eastAsia" w:ascii="宋体" w:hAnsi="宋体" w:cs="宋体"/>
          <w:color w:val="auto"/>
          <w:szCs w:val="24"/>
          <w:highlight w:val="none"/>
          <w:u w:val="none"/>
        </w:rPr>
      </w:pPr>
      <w:r>
        <w:rPr>
          <w:rFonts w:hint="eastAsia" w:ascii="宋体" w:hAnsi="宋体" w:cs="宋体"/>
          <w:color w:val="auto"/>
          <w:szCs w:val="24"/>
          <w:highlight w:val="none"/>
          <w:u w:val="none"/>
        </w:rPr>
        <w:t>（1）供应商须承诺：在“信用中国”网站（www.creditchina.gov.cn）未被列入失信被执行人名单、重大税收违法案件当事人名单；在中国政府采购网（www.ccgp.gov.cn）未被列入政府采购严重违法失信行为记录名单中，如被列入失信被执行人、重大税收违法案件当事人名单、政府采购严重违法失信行为记录名单中的供应商取消其投标资格，并承担由此造成的一切法律责任及后果（承诺格式文件详见响应文件范本，加盖单位公章）。</w:t>
      </w:r>
    </w:p>
    <w:p w14:paraId="515A5FA1">
      <w:pPr>
        <w:kinsoku w:val="0"/>
        <w:wordWrap w:val="0"/>
        <w:spacing w:line="360" w:lineRule="auto"/>
        <w:ind w:left="0" w:leftChars="0" w:firstLine="480" w:firstLineChars="200"/>
        <w:jc w:val="left"/>
        <w:outlineLvl w:val="9"/>
        <w:rPr>
          <w:rFonts w:hint="eastAsia" w:ascii="宋体" w:hAnsi="宋体" w:cs="宋体"/>
          <w:color w:val="auto"/>
          <w:szCs w:val="24"/>
          <w:highlight w:val="none"/>
          <w:u w:val="none"/>
        </w:rPr>
      </w:pPr>
      <w:r>
        <w:rPr>
          <w:rFonts w:hint="eastAsia" w:ascii="宋体" w:hAnsi="宋体" w:cs="宋体"/>
          <w:color w:val="auto"/>
          <w:szCs w:val="24"/>
          <w:highlight w:val="none"/>
          <w:u w:val="none"/>
        </w:rPr>
        <w:t>（2）根据《省发展改革委 省法院 省公共资源交易中心关于推进全省公共资源交易领域对法院失信被执行人实施信用联合惩戒的通知》黔发改财金（2020）421号文件要求，采购人或代理机构在递交响应文件截止时间后现场根据贵州信用联合惩戒平台反馈信息，查询供应商是否属于法院失信被执行人，如被列入取消其投标资格。</w:t>
      </w:r>
    </w:p>
    <w:p w14:paraId="22652041">
      <w:pPr>
        <w:spacing w:line="360" w:lineRule="auto"/>
        <w:ind w:left="0" w:leftChars="0" w:firstLine="480" w:firstLineChars="200"/>
        <w:jc w:val="left"/>
        <w:outlineLvl w:val="9"/>
        <w:rPr>
          <w:rFonts w:hint="eastAsia" w:ascii="宋体" w:hAnsi="宋体" w:eastAsia="宋体" w:cs="宋体"/>
          <w:color w:val="auto"/>
          <w:szCs w:val="24"/>
          <w:highlight w:val="none"/>
          <w:u w:val="none"/>
          <w:lang w:val="en-US" w:eastAsia="zh-CN"/>
        </w:rPr>
      </w:pPr>
      <w:r>
        <w:rPr>
          <w:rFonts w:hint="eastAsia" w:ascii="宋体" w:hAnsi="宋体" w:cs="宋体"/>
          <w:color w:val="auto"/>
          <w:szCs w:val="24"/>
          <w:highlight w:val="none"/>
          <w:u w:val="none"/>
        </w:rPr>
        <w:t>2.本项目所需特殊行业资质或要求：</w:t>
      </w:r>
      <w:r>
        <w:rPr>
          <w:rFonts w:hint="eastAsia" w:ascii="宋体" w:hAnsi="宋体" w:cs="宋体"/>
          <w:color w:val="auto"/>
          <w:szCs w:val="24"/>
          <w:highlight w:val="none"/>
          <w:u w:val="none"/>
          <w:lang w:val="en-US" w:eastAsia="zh-CN"/>
        </w:rPr>
        <w:t>无</w:t>
      </w:r>
    </w:p>
    <w:p w14:paraId="1303A2C6">
      <w:pPr>
        <w:pStyle w:val="2"/>
        <w:spacing w:before="0" w:beforeAutospacing="0" w:after="0" w:afterAutospacing="0" w:line="360" w:lineRule="auto"/>
        <w:ind w:left="0" w:leftChars="0" w:firstLine="480" w:firstLineChars="200"/>
        <w:rPr>
          <w:rFonts w:hint="eastAsia" w:ascii="宋体" w:hAnsi="宋体" w:cs="宋体"/>
          <w:color w:val="auto"/>
          <w:szCs w:val="24"/>
          <w:highlight w:val="none"/>
          <w:u w:val="single"/>
        </w:rPr>
      </w:pPr>
      <w:r>
        <w:rPr>
          <w:rFonts w:hint="eastAsia" w:ascii="宋体" w:hAnsi="宋体" w:eastAsia="宋体" w:cs="宋体"/>
          <w:color w:val="auto"/>
          <w:kern w:val="2"/>
          <w:sz w:val="24"/>
          <w:szCs w:val="24"/>
          <w:highlight w:val="none"/>
          <w:u w:val="none"/>
          <w:lang w:val="en-US" w:eastAsia="zh-CN" w:bidi="ar-SA"/>
        </w:rPr>
        <w:t>3.本项目</w:t>
      </w:r>
      <w:r>
        <w:rPr>
          <w:rFonts w:hint="eastAsia" w:ascii="宋体" w:hAnsi="宋体" w:eastAsia="宋体" w:cs="宋体"/>
          <w:b/>
          <w:bCs/>
          <w:color w:val="auto"/>
          <w:kern w:val="2"/>
          <w:sz w:val="24"/>
          <w:szCs w:val="24"/>
          <w:highlight w:val="none"/>
          <w:u w:val="none"/>
          <w:lang w:val="en-US" w:eastAsia="zh-CN" w:bidi="ar-SA"/>
        </w:rPr>
        <w:t>不专门</w:t>
      </w:r>
      <w:r>
        <w:rPr>
          <w:rFonts w:hint="eastAsia" w:ascii="宋体" w:hAnsi="宋体" w:eastAsia="宋体" w:cs="宋体"/>
          <w:color w:val="auto"/>
          <w:kern w:val="2"/>
          <w:sz w:val="24"/>
          <w:szCs w:val="24"/>
          <w:highlight w:val="none"/>
          <w:u w:val="none"/>
          <w:lang w:val="en-US" w:eastAsia="zh-CN" w:bidi="ar-SA"/>
        </w:rPr>
        <w:t>面向中小企业采购。</w:t>
      </w:r>
      <w:r>
        <w:rPr>
          <w:rFonts w:hint="eastAsia" w:ascii="宋体" w:hAnsi="宋体" w:cs="宋体"/>
          <w:color w:val="auto"/>
          <w:szCs w:val="24"/>
          <w:highlight w:val="none"/>
        </w:rPr>
        <w:t xml:space="preserve">                                                          </w:t>
      </w:r>
    </w:p>
    <w:p w14:paraId="7C6CB1DF">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outlineLvl w:val="1"/>
        <w:rPr>
          <w:rFonts w:hint="eastAsia" w:ascii="宋体" w:hAnsi="宋体" w:cs="宋体"/>
          <w:color w:val="auto"/>
          <w:szCs w:val="24"/>
          <w:highlight w:val="none"/>
        </w:rPr>
      </w:pPr>
      <w:bookmarkStart w:id="11" w:name="_Toc20573"/>
      <w:bookmarkStart w:id="12" w:name="_Toc23605"/>
      <w:bookmarkStart w:id="13" w:name="_Toc22878"/>
      <w:r>
        <w:rPr>
          <w:rFonts w:hint="eastAsia" w:ascii="宋体" w:hAnsi="宋体" w:cs="宋体"/>
          <w:b/>
          <w:bCs/>
          <w:color w:val="auto"/>
          <w:szCs w:val="24"/>
          <w:highlight w:val="none"/>
        </w:rPr>
        <w:t>三、获取招标文件</w:t>
      </w:r>
      <w:bookmarkEnd w:id="11"/>
      <w:bookmarkEnd w:id="12"/>
      <w:bookmarkEnd w:id="13"/>
    </w:p>
    <w:p w14:paraId="6EB584E5">
      <w:pPr>
        <w:spacing w:line="360" w:lineRule="auto"/>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时间</w:t>
      </w:r>
      <w:r>
        <w:rPr>
          <w:rFonts w:hint="eastAsia" w:ascii="宋体" w:hAnsi="宋体" w:cs="宋体"/>
          <w:color w:val="auto"/>
          <w:szCs w:val="24"/>
          <w:highlight w:val="yellow"/>
        </w:rPr>
        <w:t>：202</w:t>
      </w:r>
      <w:r>
        <w:rPr>
          <w:rFonts w:hint="eastAsia" w:ascii="宋体" w:hAnsi="宋体" w:cs="宋体"/>
          <w:color w:val="auto"/>
          <w:szCs w:val="24"/>
          <w:highlight w:val="yellow"/>
          <w:lang w:val="en-US" w:eastAsia="zh-CN"/>
        </w:rPr>
        <w:t>5</w:t>
      </w:r>
      <w:r>
        <w:rPr>
          <w:rFonts w:hint="eastAsia" w:ascii="宋体" w:hAnsi="宋体" w:cs="宋体"/>
          <w:color w:val="auto"/>
          <w:szCs w:val="24"/>
          <w:highlight w:val="yellow"/>
        </w:rPr>
        <w:t>年</w:t>
      </w:r>
      <w:r>
        <w:rPr>
          <w:rFonts w:hint="eastAsia" w:ascii="宋体" w:hAnsi="宋体" w:cs="宋体"/>
          <w:color w:val="auto"/>
          <w:szCs w:val="24"/>
          <w:highlight w:val="yellow"/>
          <w:lang w:val="en-US" w:eastAsia="zh-CN"/>
        </w:rPr>
        <w:t xml:space="preserve">  </w:t>
      </w:r>
      <w:r>
        <w:rPr>
          <w:rFonts w:hint="eastAsia" w:ascii="宋体" w:hAnsi="宋体" w:cs="宋体"/>
          <w:color w:val="auto"/>
          <w:szCs w:val="24"/>
          <w:highlight w:val="yellow"/>
        </w:rPr>
        <w:t>月</w:t>
      </w:r>
      <w:r>
        <w:rPr>
          <w:rFonts w:hint="eastAsia" w:ascii="宋体" w:hAnsi="宋体" w:cs="宋体"/>
          <w:color w:val="auto"/>
          <w:szCs w:val="24"/>
          <w:highlight w:val="yellow"/>
          <w:lang w:val="en-US" w:eastAsia="zh-CN"/>
        </w:rPr>
        <w:t xml:space="preserve">  </w:t>
      </w:r>
      <w:r>
        <w:rPr>
          <w:rFonts w:hint="eastAsia" w:ascii="宋体" w:hAnsi="宋体" w:cs="宋体"/>
          <w:color w:val="auto"/>
          <w:szCs w:val="24"/>
          <w:highlight w:val="yellow"/>
        </w:rPr>
        <w:t>日至 202</w:t>
      </w:r>
      <w:r>
        <w:rPr>
          <w:rFonts w:hint="eastAsia" w:ascii="宋体" w:hAnsi="宋体" w:cs="宋体"/>
          <w:color w:val="auto"/>
          <w:szCs w:val="24"/>
          <w:highlight w:val="yellow"/>
          <w:lang w:val="en-US" w:eastAsia="zh-CN"/>
        </w:rPr>
        <w:t>5</w:t>
      </w:r>
      <w:r>
        <w:rPr>
          <w:rFonts w:hint="eastAsia" w:ascii="宋体" w:hAnsi="宋体" w:cs="宋体"/>
          <w:color w:val="auto"/>
          <w:szCs w:val="24"/>
          <w:highlight w:val="yellow"/>
        </w:rPr>
        <w:t>年</w:t>
      </w:r>
      <w:r>
        <w:rPr>
          <w:rFonts w:hint="eastAsia" w:ascii="宋体" w:hAnsi="宋体" w:cs="宋体"/>
          <w:color w:val="auto"/>
          <w:szCs w:val="24"/>
          <w:highlight w:val="yellow"/>
          <w:lang w:val="en-US" w:eastAsia="zh-CN"/>
        </w:rPr>
        <w:t xml:space="preserve">  </w:t>
      </w:r>
      <w:r>
        <w:rPr>
          <w:rFonts w:hint="eastAsia" w:ascii="宋体" w:hAnsi="宋体" w:cs="宋体"/>
          <w:color w:val="auto"/>
          <w:szCs w:val="24"/>
          <w:highlight w:val="yellow"/>
        </w:rPr>
        <w:t>月</w:t>
      </w:r>
      <w:r>
        <w:rPr>
          <w:rFonts w:hint="eastAsia" w:ascii="宋体" w:hAnsi="宋体" w:cs="宋体"/>
          <w:color w:val="auto"/>
          <w:szCs w:val="24"/>
          <w:highlight w:val="yellow"/>
          <w:lang w:val="en-US" w:eastAsia="zh-CN"/>
        </w:rPr>
        <w:t xml:space="preserve">  </w:t>
      </w:r>
      <w:r>
        <w:rPr>
          <w:rFonts w:hint="eastAsia" w:ascii="宋体" w:hAnsi="宋体" w:cs="宋体"/>
          <w:color w:val="auto"/>
          <w:szCs w:val="24"/>
          <w:highlight w:val="yellow"/>
        </w:rPr>
        <w:t>日</w:t>
      </w:r>
      <w:r>
        <w:rPr>
          <w:rFonts w:hint="eastAsia" w:ascii="宋体" w:hAnsi="宋体" w:cs="宋体"/>
          <w:color w:val="auto"/>
          <w:szCs w:val="24"/>
          <w:highlight w:val="none"/>
        </w:rPr>
        <w:t>，每天上午00:00至11:59，下午12:00至23:59（北京时间，法定节假日除外）</w:t>
      </w:r>
    </w:p>
    <w:p w14:paraId="1E728974">
      <w:pPr>
        <w:wordWrap w:val="0"/>
        <w:spacing w:line="360" w:lineRule="auto"/>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地点：贵州省公共资源交易中心网上获取（交易中心网址：</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"https://ggzy.guizhou.gov.cn/hallweb/）" </w:instrText>
      </w:r>
      <w:r>
        <w:rPr>
          <w:rFonts w:hint="eastAsia" w:ascii="宋体" w:hAnsi="宋体" w:cs="宋体"/>
          <w:color w:val="auto"/>
          <w:szCs w:val="24"/>
          <w:highlight w:val="none"/>
        </w:rPr>
        <w:fldChar w:fldCharType="separate"/>
      </w:r>
      <w:r>
        <w:rPr>
          <w:rStyle w:val="32"/>
          <w:rFonts w:hint="eastAsia" w:ascii="宋体" w:hAnsi="宋体" w:cs="宋体"/>
          <w:color w:val="auto"/>
          <w:szCs w:val="24"/>
          <w:highlight w:val="none"/>
        </w:rPr>
        <w:t>https://ggzy.guizhou.gov.cn/hallweb/）</w:t>
      </w:r>
      <w:r>
        <w:rPr>
          <w:rFonts w:hint="eastAsia" w:ascii="宋体" w:hAnsi="宋体" w:cs="宋体"/>
          <w:color w:val="auto"/>
          <w:szCs w:val="24"/>
          <w:highlight w:val="none"/>
        </w:rPr>
        <w:fldChar w:fldCharType="end"/>
      </w:r>
    </w:p>
    <w:p w14:paraId="483BCA1C">
      <w:pPr>
        <w:wordWrap w:val="0"/>
        <w:spacing w:line="360" w:lineRule="auto"/>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方式：贵州省公共资源交易网-&gt;使用数字证书登录网上交易大厅-&gt;文件下载板块(交易中心网址:https://ggzy.guizhou.gov.cn/hallweb/)</w:t>
      </w:r>
    </w:p>
    <w:p w14:paraId="67AE0677">
      <w:pPr>
        <w:spacing w:line="360" w:lineRule="auto"/>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售价</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元</w:t>
      </w:r>
      <w:r>
        <w:rPr>
          <w:rFonts w:hint="eastAsia" w:ascii="宋体" w:hAnsi="宋体" w:cs="宋体"/>
          <w:color w:val="auto"/>
          <w:szCs w:val="24"/>
          <w:highlight w:val="none"/>
          <w:lang w:eastAsia="zh-CN"/>
        </w:rPr>
        <w:t>）</w:t>
      </w:r>
      <w:r>
        <w:rPr>
          <w:rFonts w:hint="eastAsia" w:ascii="宋体" w:hAnsi="宋体" w:cs="宋体"/>
          <w:color w:val="auto"/>
          <w:szCs w:val="24"/>
          <w:highlight w:val="none"/>
        </w:rPr>
        <w:t>：0</w:t>
      </w:r>
    </w:p>
    <w:p w14:paraId="7B54AECF">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outlineLvl w:val="1"/>
        <w:rPr>
          <w:rFonts w:hint="eastAsia" w:ascii="宋体" w:hAnsi="宋体" w:cs="宋体"/>
          <w:color w:val="auto"/>
          <w:szCs w:val="24"/>
          <w:highlight w:val="none"/>
        </w:rPr>
      </w:pPr>
      <w:bookmarkStart w:id="14" w:name="_Toc20168"/>
      <w:bookmarkStart w:id="15" w:name="_Toc1852"/>
      <w:bookmarkStart w:id="16" w:name="_Toc6616"/>
      <w:r>
        <w:rPr>
          <w:rFonts w:hint="eastAsia" w:ascii="宋体" w:hAnsi="宋体" w:cs="宋体"/>
          <w:b/>
          <w:bCs/>
          <w:color w:val="auto"/>
          <w:szCs w:val="24"/>
          <w:highlight w:val="none"/>
        </w:rPr>
        <w:t>四、提交投标文件截止时间 、开标时间和地点</w:t>
      </w:r>
      <w:bookmarkEnd w:id="14"/>
      <w:bookmarkEnd w:id="15"/>
      <w:bookmarkEnd w:id="16"/>
    </w:p>
    <w:p w14:paraId="1ACF0F19">
      <w:pPr>
        <w:spacing w:line="360" w:lineRule="auto"/>
        <w:ind w:left="0" w:leftChars="0" w:firstLine="480" w:firstLineChars="200"/>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提交投标文件截止时间：</w:t>
      </w:r>
      <w:r>
        <w:rPr>
          <w:rFonts w:hint="eastAsia" w:ascii="宋体" w:hAnsi="宋体" w:eastAsia="宋体" w:cs="宋体"/>
          <w:i w:val="0"/>
          <w:iCs w:val="0"/>
          <w:caps w:val="0"/>
          <w:color w:val="auto"/>
          <w:spacing w:val="0"/>
          <w:sz w:val="24"/>
          <w:szCs w:val="24"/>
          <w:highlight w:val="yellow"/>
          <w:shd w:val="clear" w:color="auto" w:fill="FFFFFF"/>
        </w:rPr>
        <w:t>2025年07月</w:t>
      </w:r>
      <w:r>
        <w:rPr>
          <w:rFonts w:hint="eastAsia" w:ascii="宋体" w:hAnsi="宋体" w:eastAsia="宋体" w:cs="宋体"/>
          <w:i w:val="0"/>
          <w:iCs w:val="0"/>
          <w:caps w:val="0"/>
          <w:color w:val="auto"/>
          <w:spacing w:val="0"/>
          <w:sz w:val="24"/>
          <w:szCs w:val="24"/>
          <w:highlight w:val="yellow"/>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yellow"/>
          <w:shd w:val="clear" w:color="auto" w:fill="FFFFFF"/>
        </w:rPr>
        <w:t>日 09时30分（北京时间）</w:t>
      </w:r>
    </w:p>
    <w:p w14:paraId="60244022">
      <w:pPr>
        <w:spacing w:line="360" w:lineRule="auto"/>
        <w:ind w:left="0" w:leftChars="0" w:firstLine="480" w:firstLineChars="200"/>
        <w:rPr>
          <w:rFonts w:hint="eastAsia" w:ascii="宋体" w:hAnsi="宋体" w:eastAsia="宋体" w:cs="宋体"/>
          <w:i w:val="0"/>
          <w:iCs w:val="0"/>
          <w:caps w:val="0"/>
          <w:color w:val="auto"/>
          <w:spacing w:val="0"/>
          <w:sz w:val="24"/>
          <w:szCs w:val="24"/>
          <w:shd w:val="clear" w:color="auto" w:fill="FFFFFF"/>
        </w:rPr>
      </w:pPr>
      <w:bookmarkStart w:id="17" w:name="_Toc15376"/>
      <w:bookmarkStart w:id="18" w:name="_Toc12640"/>
      <w:r>
        <w:rPr>
          <w:rFonts w:hint="eastAsia" w:ascii="宋体" w:hAnsi="宋体" w:eastAsia="宋体" w:cs="宋体"/>
          <w:i w:val="0"/>
          <w:iCs w:val="0"/>
          <w:caps w:val="0"/>
          <w:color w:val="auto"/>
          <w:spacing w:val="0"/>
          <w:sz w:val="24"/>
          <w:szCs w:val="24"/>
          <w:shd w:val="clear" w:color="auto" w:fill="FFFFFF"/>
        </w:rPr>
        <w:t>投标地点（网址）：贵州省公共资源交易中心网（交易中心网址：</w:t>
      </w:r>
      <w:r>
        <w:rPr>
          <w:rFonts w:hint="eastAsia" w:ascii="宋体" w:hAnsi="宋体" w:eastAsia="宋体" w:cs="宋体"/>
          <w:i w:val="0"/>
          <w:iCs w:val="0"/>
          <w:caps w:val="0"/>
          <w:color w:val="auto"/>
          <w:spacing w:val="0"/>
          <w:sz w:val="24"/>
          <w:szCs w:val="24"/>
          <w:shd w:val="clear" w:color="auto" w:fill="FFFFFF"/>
        </w:rPr>
        <w:fldChar w:fldCharType="begin"/>
      </w:r>
      <w:r>
        <w:rPr>
          <w:rFonts w:hint="eastAsia" w:ascii="宋体" w:hAnsi="宋体" w:eastAsia="宋体" w:cs="宋体"/>
          <w:i w:val="0"/>
          <w:iCs w:val="0"/>
          <w:caps w:val="0"/>
          <w:color w:val="auto"/>
          <w:spacing w:val="0"/>
          <w:sz w:val="24"/>
          <w:szCs w:val="24"/>
          <w:shd w:val="clear" w:color="auto" w:fill="FFFFFF"/>
        </w:rPr>
        <w:instrText xml:space="preserve"> HYPERLINK "https://ggzy.guizhou.gov.cn/）" </w:instrText>
      </w:r>
      <w:r>
        <w:rPr>
          <w:rFonts w:hint="eastAsia" w:ascii="宋体" w:hAnsi="宋体" w:eastAsia="宋体" w:cs="宋体"/>
          <w:i w:val="0"/>
          <w:iCs w:val="0"/>
          <w:caps w:val="0"/>
          <w:color w:val="auto"/>
          <w:spacing w:val="0"/>
          <w:sz w:val="24"/>
          <w:szCs w:val="24"/>
          <w:shd w:val="clear" w:color="auto" w:fill="FFFFFF"/>
        </w:rPr>
        <w:fldChar w:fldCharType="separate"/>
      </w:r>
      <w:r>
        <w:rPr>
          <w:rFonts w:hint="eastAsia" w:ascii="宋体" w:hAnsi="宋体" w:eastAsia="宋体" w:cs="宋体"/>
          <w:i w:val="0"/>
          <w:iCs w:val="0"/>
          <w:caps w:val="0"/>
          <w:color w:val="auto"/>
          <w:spacing w:val="0"/>
          <w:sz w:val="24"/>
          <w:szCs w:val="24"/>
          <w:shd w:val="clear" w:color="auto" w:fill="FFFFFF"/>
        </w:rPr>
        <w:t>https://ggzy.guizhou.gov.cn/）</w:t>
      </w:r>
      <w:r>
        <w:rPr>
          <w:rFonts w:hint="eastAsia" w:ascii="宋体" w:hAnsi="宋体" w:eastAsia="宋体" w:cs="宋体"/>
          <w:i w:val="0"/>
          <w:iCs w:val="0"/>
          <w:caps w:val="0"/>
          <w:color w:val="auto"/>
          <w:spacing w:val="0"/>
          <w:sz w:val="24"/>
          <w:szCs w:val="24"/>
          <w:shd w:val="clear" w:color="auto" w:fill="FFFFFF"/>
        </w:rPr>
        <w:fldChar w:fldCharType="end"/>
      </w:r>
    </w:p>
    <w:p w14:paraId="608D7624">
      <w:pPr>
        <w:spacing w:line="360" w:lineRule="auto"/>
        <w:ind w:left="0" w:leftChars="0" w:firstLine="480" w:firstLineChars="200"/>
        <w:rPr>
          <w:rFonts w:hint="eastAsia" w:ascii="宋体" w:hAnsi="宋体" w:eastAsia="宋体" w:cs="宋体"/>
          <w:i w:val="0"/>
          <w:iCs w:val="0"/>
          <w:caps w:val="0"/>
          <w:color w:val="auto"/>
          <w:spacing w:val="0"/>
          <w:sz w:val="24"/>
          <w:szCs w:val="24"/>
          <w:highlight w:val="yellow"/>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开标时间</w:t>
      </w:r>
      <w:r>
        <w:rPr>
          <w:rFonts w:hint="eastAsia" w:ascii="宋体" w:hAnsi="宋体" w:eastAsia="宋体" w:cs="宋体"/>
          <w:i w:val="0"/>
          <w:iCs w:val="0"/>
          <w:caps w:val="0"/>
          <w:color w:val="auto"/>
          <w:spacing w:val="0"/>
          <w:sz w:val="24"/>
          <w:szCs w:val="24"/>
          <w:highlight w:val="yellow"/>
          <w:shd w:val="clear" w:color="auto" w:fill="FFFFFF"/>
          <w:lang w:val="en-US" w:eastAsia="zh-CN"/>
        </w:rPr>
        <w:t>：</w:t>
      </w:r>
      <w:r>
        <w:rPr>
          <w:rFonts w:hint="eastAsia" w:ascii="宋体" w:hAnsi="宋体" w:eastAsia="宋体" w:cs="宋体"/>
          <w:i w:val="0"/>
          <w:iCs w:val="0"/>
          <w:caps w:val="0"/>
          <w:color w:val="auto"/>
          <w:spacing w:val="0"/>
          <w:sz w:val="24"/>
          <w:szCs w:val="24"/>
          <w:highlight w:val="yellow"/>
          <w:shd w:val="clear" w:color="auto" w:fill="FFFFFF"/>
        </w:rPr>
        <w:t>2025年07月</w:t>
      </w:r>
      <w:r>
        <w:rPr>
          <w:rFonts w:hint="eastAsia" w:ascii="宋体" w:hAnsi="宋体" w:eastAsia="宋体" w:cs="宋体"/>
          <w:i w:val="0"/>
          <w:iCs w:val="0"/>
          <w:caps w:val="0"/>
          <w:color w:val="auto"/>
          <w:spacing w:val="0"/>
          <w:sz w:val="24"/>
          <w:szCs w:val="24"/>
          <w:highlight w:val="yellow"/>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yellow"/>
          <w:shd w:val="clear" w:color="auto" w:fill="FFFFFF"/>
        </w:rPr>
        <w:t>日 09时30分</w:t>
      </w:r>
    </w:p>
    <w:p w14:paraId="10FA48E3">
      <w:pPr>
        <w:spacing w:line="360" w:lineRule="auto"/>
        <w:ind w:left="0" w:leftChars="0" w:firstLine="480" w:firstLineChars="200"/>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开标地点：贵州省公共资源交易中心</w:t>
      </w:r>
    </w:p>
    <w:p w14:paraId="45CD0282">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outlineLvl w:val="1"/>
        <w:rPr>
          <w:rFonts w:hint="eastAsia" w:ascii="宋体" w:hAnsi="宋体" w:cs="宋体"/>
          <w:b/>
          <w:bCs/>
          <w:color w:val="auto"/>
          <w:szCs w:val="24"/>
          <w:highlight w:val="none"/>
        </w:rPr>
      </w:pPr>
      <w:bookmarkStart w:id="19" w:name="_Toc27601"/>
      <w:r>
        <w:rPr>
          <w:rFonts w:hint="eastAsia" w:ascii="宋体" w:hAnsi="宋体" w:cs="宋体"/>
          <w:b/>
          <w:bCs/>
          <w:color w:val="auto"/>
          <w:szCs w:val="24"/>
          <w:highlight w:val="none"/>
        </w:rPr>
        <w:t>五、公告期限</w:t>
      </w:r>
      <w:bookmarkEnd w:id="17"/>
      <w:bookmarkEnd w:id="18"/>
      <w:bookmarkEnd w:id="19"/>
    </w:p>
    <w:p w14:paraId="59412417">
      <w:pPr>
        <w:spacing w:line="360" w:lineRule="auto"/>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自本公告发布之日起5个工作日。</w:t>
      </w:r>
    </w:p>
    <w:p w14:paraId="29E10F3B">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outlineLvl w:val="1"/>
        <w:rPr>
          <w:rFonts w:hint="eastAsia" w:ascii="宋体" w:hAnsi="宋体" w:eastAsia="宋体" w:cs="宋体"/>
          <w:b/>
          <w:bCs/>
          <w:color w:val="auto"/>
          <w:szCs w:val="24"/>
          <w:highlight w:val="none"/>
        </w:rPr>
      </w:pPr>
      <w:bookmarkStart w:id="20" w:name="_Toc8995"/>
      <w:bookmarkStart w:id="21" w:name="_Toc24320"/>
      <w:bookmarkStart w:id="22" w:name="_Toc8448"/>
      <w:r>
        <w:rPr>
          <w:rFonts w:hint="eastAsia" w:ascii="宋体" w:hAnsi="宋体" w:eastAsia="宋体" w:cs="宋体"/>
          <w:b/>
          <w:bCs/>
          <w:color w:val="auto"/>
          <w:szCs w:val="24"/>
          <w:highlight w:val="none"/>
        </w:rPr>
        <w:t>六、其他补充事宜</w:t>
      </w:r>
      <w:bookmarkEnd w:id="20"/>
      <w:bookmarkEnd w:id="21"/>
      <w:bookmarkEnd w:id="22"/>
    </w:p>
    <w:p w14:paraId="190B0855">
      <w:pPr>
        <w:spacing w:line="360" w:lineRule="auto"/>
        <w:ind w:left="0" w:leftChars="0" w:firstLine="480" w:firstLineChars="200"/>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1.是否需要提交样品或现场踏勘：</w:t>
      </w:r>
    </w:p>
    <w:p w14:paraId="32F97F76">
      <w:pPr>
        <w:spacing w:line="360" w:lineRule="auto"/>
        <w:ind w:left="0" w:leftChars="0" w:firstLine="480" w:firstLineChars="200"/>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标项1：否</w:t>
      </w:r>
    </w:p>
    <w:p w14:paraId="3E9BBF4A">
      <w:pPr>
        <w:spacing w:line="360" w:lineRule="auto"/>
        <w:ind w:left="0" w:leftChars="0" w:firstLine="480" w:firstLineChars="200"/>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2.交货地点或服务地点</w:t>
      </w:r>
    </w:p>
    <w:p w14:paraId="7F4B2D68">
      <w:pPr>
        <w:spacing w:line="360" w:lineRule="auto"/>
        <w:ind w:left="0" w:leftChars="0" w:firstLine="480" w:firstLineChars="200"/>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标项1：</w:t>
      </w:r>
    </w:p>
    <w:p w14:paraId="3D0E7423">
      <w:pPr>
        <w:spacing w:line="360" w:lineRule="auto"/>
        <w:ind w:left="0" w:leftChars="0" w:firstLine="480" w:firstLineChars="200"/>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采购人指定地点</w:t>
      </w:r>
    </w:p>
    <w:p w14:paraId="2F8A7291">
      <w:pPr>
        <w:spacing w:line="360" w:lineRule="auto"/>
        <w:ind w:left="0" w:leftChars="0" w:firstLine="480" w:firstLineChars="200"/>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3.其他事项：详见采购文件</w:t>
      </w:r>
    </w:p>
    <w:p w14:paraId="11F6B51B">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outlineLvl w:val="1"/>
        <w:rPr>
          <w:rFonts w:hint="eastAsia" w:ascii="宋体" w:hAnsi="宋体" w:eastAsia="宋体" w:cs="宋体"/>
          <w:b/>
          <w:bCs/>
          <w:color w:val="auto"/>
          <w:szCs w:val="24"/>
          <w:highlight w:val="none"/>
        </w:rPr>
      </w:pPr>
      <w:bookmarkStart w:id="23" w:name="_Toc27870"/>
      <w:bookmarkStart w:id="24" w:name="_Toc14614"/>
      <w:bookmarkStart w:id="25" w:name="_Toc23203"/>
      <w:r>
        <w:rPr>
          <w:rFonts w:hint="eastAsia" w:ascii="宋体" w:hAnsi="宋体" w:eastAsia="宋体" w:cs="宋体"/>
          <w:b/>
          <w:bCs/>
          <w:color w:val="auto"/>
          <w:szCs w:val="24"/>
          <w:highlight w:val="none"/>
        </w:rPr>
        <w:t>七、对本次招标提出询问，请按以下方式联系</w:t>
      </w:r>
      <w:bookmarkEnd w:id="23"/>
      <w:bookmarkEnd w:id="24"/>
      <w:bookmarkEnd w:id="25"/>
      <w:r>
        <w:rPr>
          <w:rFonts w:hint="eastAsia" w:ascii="宋体" w:hAnsi="宋体" w:eastAsia="宋体" w:cs="宋体"/>
          <w:b/>
          <w:bCs/>
          <w:color w:val="auto"/>
          <w:szCs w:val="24"/>
          <w:highlight w:val="none"/>
        </w:rPr>
        <w:t xml:space="preserve"> </w:t>
      </w:r>
    </w:p>
    <w:p w14:paraId="1C07EA1B">
      <w:pPr>
        <w:spacing w:line="360" w:lineRule="auto"/>
        <w:ind w:left="0" w:leftChars="0" w:firstLine="480" w:firstLineChars="200"/>
        <w:outlineLvl w:val="9"/>
        <w:rPr>
          <w:rFonts w:hint="eastAsia" w:ascii="宋体" w:hAnsi="宋体" w:cs="宋体"/>
          <w:color w:val="auto"/>
          <w:szCs w:val="24"/>
          <w:highlight w:val="none"/>
        </w:rPr>
      </w:pPr>
      <w:r>
        <w:rPr>
          <w:rFonts w:hint="eastAsia" w:ascii="宋体" w:hAnsi="宋体" w:cs="宋体"/>
          <w:color w:val="auto"/>
          <w:szCs w:val="24"/>
          <w:highlight w:val="none"/>
        </w:rPr>
        <w:t>1.采购人信息</w:t>
      </w:r>
    </w:p>
    <w:p w14:paraId="50A08A1D">
      <w:pPr>
        <w:spacing w:line="360" w:lineRule="auto"/>
        <w:ind w:left="0" w:leftChars="0"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名  称：贵州电子商务职业技术学院</w:t>
      </w:r>
    </w:p>
    <w:p w14:paraId="3C1148A0">
      <w:pPr>
        <w:spacing w:line="360" w:lineRule="auto"/>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地  址：</w:t>
      </w:r>
      <w:r>
        <w:rPr>
          <w:rFonts w:hint="eastAsia" w:ascii="宋体" w:hAnsi="宋体" w:eastAsia="宋体" w:cs="宋体"/>
          <w:color w:val="auto"/>
          <w:szCs w:val="24"/>
          <w:highlight w:val="none"/>
          <w:lang w:eastAsia="zh-CN"/>
        </w:rPr>
        <w:t xml:space="preserve">清镇职教城乡愁大道中段 </w:t>
      </w:r>
    </w:p>
    <w:p w14:paraId="742E7B0F">
      <w:pPr>
        <w:spacing w:line="360" w:lineRule="auto"/>
        <w:ind w:left="0" w:leftChars="0" w:firstLine="480" w:firstLineChars="200"/>
        <w:rPr>
          <w:rFonts w:ascii="宋体" w:hAnsi="宋体" w:cs="宋体"/>
          <w:color w:val="auto"/>
          <w:szCs w:val="24"/>
          <w:highlight w:val="none"/>
        </w:rPr>
      </w:pPr>
      <w:r>
        <w:rPr>
          <w:rFonts w:hint="eastAsia" w:ascii="宋体" w:hAnsi="宋体" w:cs="宋体"/>
          <w:color w:val="auto"/>
          <w:szCs w:val="24"/>
          <w:highlight w:val="none"/>
        </w:rPr>
        <w:t>联系人：</w:t>
      </w:r>
      <w:r>
        <w:rPr>
          <w:rFonts w:hint="eastAsia" w:ascii="宋体" w:hAnsi="宋体" w:cs="宋体"/>
          <w:color w:val="auto"/>
          <w:szCs w:val="24"/>
          <w:highlight w:val="none"/>
          <w:lang w:val="en-US" w:eastAsia="zh-CN"/>
        </w:rPr>
        <w:t>刘</w:t>
      </w:r>
      <w:r>
        <w:rPr>
          <w:rFonts w:hint="eastAsia" w:ascii="宋体" w:hAnsi="宋体" w:cs="宋体"/>
          <w:color w:val="auto"/>
          <w:szCs w:val="24"/>
          <w:highlight w:val="none"/>
        </w:rPr>
        <w:t>老师</w:t>
      </w:r>
    </w:p>
    <w:p w14:paraId="6DB3212B">
      <w:pPr>
        <w:spacing w:line="360" w:lineRule="auto"/>
        <w:ind w:left="0" w:leftChars="0" w:firstLine="48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联系方式：</w:t>
      </w:r>
      <w:r>
        <w:rPr>
          <w:rFonts w:hint="eastAsia" w:ascii="宋体" w:hAnsi="宋体" w:cs="宋体"/>
          <w:color w:val="auto"/>
          <w:szCs w:val="24"/>
          <w:highlight w:val="none"/>
          <w:lang w:val="en-US" w:eastAsia="zh-CN"/>
        </w:rPr>
        <w:t>0851-85813579</w:t>
      </w:r>
    </w:p>
    <w:p w14:paraId="529125C3">
      <w:pPr>
        <w:spacing w:line="360" w:lineRule="auto"/>
        <w:ind w:left="0" w:leftChars="0" w:firstLine="480" w:firstLineChars="200"/>
        <w:outlineLvl w:val="9"/>
        <w:rPr>
          <w:rFonts w:hint="eastAsia" w:ascii="宋体" w:hAnsi="宋体" w:cs="宋体"/>
          <w:color w:val="auto"/>
          <w:szCs w:val="24"/>
          <w:highlight w:val="none"/>
        </w:rPr>
      </w:pPr>
      <w:r>
        <w:rPr>
          <w:rFonts w:hint="eastAsia" w:ascii="宋体" w:hAnsi="宋体" w:cs="宋体"/>
          <w:color w:val="auto"/>
          <w:szCs w:val="24"/>
          <w:highlight w:val="none"/>
        </w:rPr>
        <w:t xml:space="preserve">2.采购代理机构信息 </w:t>
      </w:r>
    </w:p>
    <w:p w14:paraId="7BEACC44">
      <w:pPr>
        <w:spacing w:line="360" w:lineRule="auto"/>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名  称：贵州公明建设投资咨询有限公司 </w:t>
      </w:r>
    </w:p>
    <w:p w14:paraId="1FFDBC06">
      <w:pPr>
        <w:spacing w:line="360" w:lineRule="auto"/>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地  址：贵州省贵阳市观山湖区林城西路28号 </w:t>
      </w:r>
    </w:p>
    <w:p w14:paraId="6273258C">
      <w:pPr>
        <w:spacing w:line="360" w:lineRule="auto"/>
        <w:ind w:left="0" w:leftChars="0"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联系人：</w:t>
      </w:r>
      <w:r>
        <w:rPr>
          <w:rFonts w:hint="eastAsia" w:ascii="宋体" w:hAnsi="宋体" w:cs="宋体"/>
          <w:color w:val="auto"/>
          <w:szCs w:val="24"/>
          <w:highlight w:val="none"/>
          <w:lang w:val="en-US" w:eastAsia="zh-CN"/>
        </w:rPr>
        <w:t>杨兴</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李宁</w:t>
      </w:r>
    </w:p>
    <w:p w14:paraId="6BBD65D4">
      <w:pPr>
        <w:spacing w:line="360" w:lineRule="auto"/>
        <w:ind w:left="0" w:leftChars="0" w:firstLine="48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联系方式：0851-85563996、</w:t>
      </w:r>
      <w:r>
        <w:rPr>
          <w:rFonts w:hint="eastAsia" w:ascii="宋体" w:hAnsi="宋体" w:cs="宋体"/>
          <w:color w:val="auto"/>
          <w:szCs w:val="24"/>
          <w:highlight w:val="none"/>
          <w:lang w:val="en-US" w:eastAsia="zh-CN"/>
        </w:rPr>
        <w:t>18585628339</w:t>
      </w:r>
    </w:p>
    <w:p w14:paraId="201234EA">
      <w:pPr>
        <w:spacing w:line="360" w:lineRule="auto"/>
        <w:ind w:left="0" w:leftChars="0" w:firstLine="480" w:firstLineChars="200"/>
        <w:outlineLvl w:val="9"/>
        <w:rPr>
          <w:rFonts w:hint="eastAsia" w:ascii="宋体" w:hAnsi="宋体" w:cs="宋体"/>
          <w:color w:val="auto"/>
          <w:szCs w:val="24"/>
          <w:highlight w:val="none"/>
        </w:rPr>
      </w:pPr>
      <w:r>
        <w:rPr>
          <w:rFonts w:hint="eastAsia" w:ascii="宋体" w:hAnsi="宋体" w:cs="宋体"/>
          <w:color w:val="auto"/>
          <w:szCs w:val="24"/>
          <w:highlight w:val="none"/>
        </w:rPr>
        <w:t>3.项目联系方式</w:t>
      </w:r>
    </w:p>
    <w:p w14:paraId="560B902D">
      <w:pPr>
        <w:spacing w:line="360" w:lineRule="auto"/>
        <w:ind w:left="0" w:leftChars="0" w:firstLine="480" w:firstLineChars="200"/>
        <w:rPr>
          <w:rFonts w:hint="eastAsia" w:ascii="宋体" w:hAnsi="宋体" w:cs="宋体"/>
          <w:color w:val="auto"/>
          <w:szCs w:val="24"/>
          <w:highlight w:val="none"/>
        </w:rPr>
      </w:pPr>
      <w:r>
        <w:rPr>
          <w:rFonts w:hint="eastAsia" w:ascii="宋体" w:hAnsi="宋体" w:cs="宋体"/>
          <w:color w:val="auto"/>
          <w:szCs w:val="24"/>
          <w:highlight w:val="none"/>
        </w:rPr>
        <w:t>项目联系人：</w:t>
      </w:r>
      <w:r>
        <w:rPr>
          <w:rFonts w:hint="eastAsia" w:ascii="宋体" w:hAnsi="宋体" w:cs="宋体"/>
          <w:color w:val="auto"/>
          <w:szCs w:val="24"/>
          <w:highlight w:val="none"/>
          <w:lang w:val="en-US" w:eastAsia="zh-CN"/>
        </w:rPr>
        <w:t>杨兴</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李宁</w:t>
      </w:r>
    </w:p>
    <w:p w14:paraId="1C5DE06A">
      <w:pPr>
        <w:spacing w:line="360" w:lineRule="auto"/>
        <w:ind w:left="0" w:leftChars="0" w:firstLine="480" w:firstLineChars="200"/>
        <w:rPr>
          <w:rFonts w:hint="eastAsia" w:ascii="宋体" w:hAnsi="宋体" w:cs="宋体"/>
          <w:color w:val="auto"/>
          <w:kern w:val="0"/>
          <w:szCs w:val="24"/>
          <w:highlight w:val="none"/>
        </w:rPr>
      </w:pPr>
      <w:r>
        <w:rPr>
          <w:rFonts w:hint="eastAsia" w:ascii="宋体" w:hAnsi="宋体" w:cs="宋体"/>
          <w:color w:val="auto"/>
          <w:szCs w:val="24"/>
          <w:highlight w:val="none"/>
        </w:rPr>
        <w:t>电   话：0851-85563996、</w:t>
      </w:r>
      <w:r>
        <w:rPr>
          <w:rFonts w:hint="eastAsia" w:ascii="宋体" w:hAnsi="宋体" w:cs="宋体"/>
          <w:color w:val="auto"/>
          <w:szCs w:val="24"/>
          <w:highlight w:val="none"/>
          <w:lang w:val="en-US" w:eastAsia="zh-CN"/>
        </w:rPr>
        <w:t>18585628339</w:t>
      </w:r>
    </w:p>
    <w:p w14:paraId="5E98777C">
      <w:pPr>
        <w:pStyle w:val="5"/>
        <w:rPr>
          <w:rFonts w:hint="eastAsia" w:eastAsia="宋体"/>
          <w:color w:val="auto"/>
          <w:highlight w:val="none"/>
          <w:lang w:eastAsia="zh-CN"/>
        </w:rPr>
      </w:pPr>
      <w:bookmarkStart w:id="26" w:name="_Toc27778"/>
      <w:bookmarkStart w:id="27" w:name="_Toc4173"/>
      <w:bookmarkStart w:id="28" w:name="_Toc18438"/>
      <w:r>
        <w:rPr>
          <w:rFonts w:hint="eastAsia"/>
          <w:color w:val="auto"/>
          <w:highlight w:val="none"/>
        </w:rPr>
        <w:br w:type="page"/>
      </w:r>
      <w:bookmarkStart w:id="29" w:name="_Toc28421"/>
      <w:bookmarkStart w:id="30" w:name="_Toc2960"/>
      <w:bookmarkStart w:id="31" w:name="_Toc29801"/>
      <w:bookmarkStart w:id="32" w:name="_Toc28277"/>
      <w:r>
        <w:rPr>
          <w:rFonts w:hint="eastAsia"/>
          <w:color w:val="auto"/>
          <w:highlight w:val="none"/>
        </w:rPr>
        <w:t xml:space="preserve">第二章 </w:t>
      </w:r>
      <w:bookmarkEnd w:id="26"/>
      <w:bookmarkEnd w:id="27"/>
      <w:bookmarkEnd w:id="28"/>
      <w:bookmarkEnd w:id="29"/>
      <w:bookmarkEnd w:id="30"/>
      <w:bookmarkEnd w:id="31"/>
      <w:r>
        <w:rPr>
          <w:rFonts w:hint="eastAsia"/>
          <w:color w:val="auto"/>
          <w:highlight w:val="none"/>
          <w:lang w:eastAsia="zh-CN"/>
        </w:rPr>
        <w:t>供应商须知前附表</w:t>
      </w:r>
      <w:bookmarkEnd w:id="32"/>
    </w:p>
    <w:tbl>
      <w:tblPr>
        <w:tblStyle w:val="28"/>
        <w:tblW w:w="9592" w:type="dxa"/>
        <w:tblInd w:w="102" w:type="dxa"/>
        <w:tblLayout w:type="fixed"/>
        <w:tblCellMar>
          <w:top w:w="0" w:type="dxa"/>
          <w:left w:w="0" w:type="dxa"/>
          <w:bottom w:w="0" w:type="dxa"/>
          <w:right w:w="0" w:type="dxa"/>
        </w:tblCellMar>
      </w:tblPr>
      <w:tblGrid>
        <w:gridCol w:w="1164"/>
        <w:gridCol w:w="2300"/>
        <w:gridCol w:w="6128"/>
      </w:tblGrid>
      <w:tr w14:paraId="2E10B075">
        <w:tblPrEx>
          <w:tblCellMar>
            <w:top w:w="0" w:type="dxa"/>
            <w:left w:w="0" w:type="dxa"/>
            <w:bottom w:w="0" w:type="dxa"/>
            <w:right w:w="0" w:type="dxa"/>
          </w:tblCellMar>
        </w:tblPrEx>
        <w:trPr>
          <w:trHeight w:val="554"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8276E2D">
            <w:pPr>
              <w:autoSpaceDE w:val="0"/>
              <w:autoSpaceDN w:val="0"/>
              <w:adjustRightInd w:val="0"/>
              <w:spacing w:before="49" w:line="240" w:lineRule="auto"/>
              <w:ind w:left="0" w:leftChars="0" w:right="-20"/>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条款号</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AD695AD">
            <w:pPr>
              <w:autoSpaceDE w:val="0"/>
              <w:autoSpaceDN w:val="0"/>
              <w:adjustRightInd w:val="0"/>
              <w:spacing w:before="49" w:line="24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条款名称</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400A5A63">
            <w:pPr>
              <w:autoSpaceDE w:val="0"/>
              <w:autoSpaceDN w:val="0"/>
              <w:adjustRightInd w:val="0"/>
              <w:spacing w:before="49" w:line="240" w:lineRule="auto"/>
              <w:ind w:left="16" w:leftChars="0" w:right="-67" w:rightChars="-28" w:hanging="16" w:hangingChars="7"/>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编列内容</w:t>
            </w:r>
          </w:p>
        </w:tc>
      </w:tr>
      <w:tr w14:paraId="21EE8585">
        <w:tblPrEx>
          <w:tblCellMar>
            <w:top w:w="0" w:type="dxa"/>
            <w:left w:w="0" w:type="dxa"/>
            <w:bottom w:w="0" w:type="dxa"/>
            <w:right w:w="0" w:type="dxa"/>
          </w:tblCellMar>
        </w:tblPrEx>
        <w:trPr>
          <w:trHeight w:val="1162"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93D0FDF">
            <w:pPr>
              <w:autoSpaceDE w:val="0"/>
              <w:autoSpaceDN w:val="0"/>
              <w:adjustRightInd w:val="0"/>
              <w:spacing w:line="36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1.1.</w:t>
            </w:r>
            <w:r>
              <w:rPr>
                <w:rFonts w:hint="eastAsia" w:ascii="宋体" w:hAnsi="宋体" w:cs="宋体"/>
                <w:color w:val="auto"/>
                <w:spacing w:val="-2"/>
                <w:kern w:val="0"/>
                <w:szCs w:val="24"/>
                <w:highlight w:val="none"/>
                <w:lang w:val="en-US" w:eastAsia="zh-CN"/>
              </w:rPr>
              <w:t>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F3062B">
            <w:pPr>
              <w:autoSpaceDE w:val="0"/>
              <w:autoSpaceDN w:val="0"/>
              <w:adjustRightInd w:val="0"/>
              <w:spacing w:before="49" w:line="36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采购人</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64410210">
            <w:pPr>
              <w:autoSpaceDE w:val="0"/>
              <w:autoSpaceDN w:val="0"/>
              <w:adjustRightInd w:val="0"/>
              <w:spacing w:before="49" w:line="360" w:lineRule="auto"/>
              <w:ind w:left="16" w:leftChars="0" w:right="-67" w:rightChars="-28" w:hanging="16" w:hangingChars="7"/>
              <w:jc w:val="left"/>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名称：</w:t>
            </w:r>
            <w:r>
              <w:rPr>
                <w:rFonts w:hint="eastAsia" w:ascii="宋体" w:hAnsi="宋体" w:cs="宋体"/>
                <w:color w:val="auto"/>
                <w:szCs w:val="24"/>
                <w:highlight w:val="none"/>
              </w:rPr>
              <w:t>贵州电子商务职业技术学院</w:t>
            </w:r>
          </w:p>
          <w:p w14:paraId="795CC5B9">
            <w:pPr>
              <w:autoSpaceDE w:val="0"/>
              <w:autoSpaceDN w:val="0"/>
              <w:adjustRightInd w:val="0"/>
              <w:spacing w:before="49" w:line="360" w:lineRule="auto"/>
              <w:ind w:left="16" w:leftChars="0" w:right="-67" w:rightChars="-28" w:hanging="16" w:hangingChars="7"/>
              <w:jc w:val="left"/>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地址：</w:t>
            </w:r>
            <w:r>
              <w:rPr>
                <w:rFonts w:hint="eastAsia" w:ascii="宋体" w:hAnsi="宋体" w:eastAsia="宋体" w:cs="宋体"/>
                <w:color w:val="auto"/>
                <w:szCs w:val="24"/>
                <w:highlight w:val="none"/>
                <w:lang w:eastAsia="zh-CN"/>
              </w:rPr>
              <w:t xml:space="preserve">清镇职教城乡愁大道中段 </w:t>
            </w:r>
          </w:p>
          <w:p w14:paraId="36065EF5">
            <w:pPr>
              <w:autoSpaceDE w:val="0"/>
              <w:autoSpaceDN w:val="0"/>
              <w:adjustRightInd w:val="0"/>
              <w:spacing w:before="49" w:line="360" w:lineRule="auto"/>
              <w:ind w:left="16" w:leftChars="0" w:right="-67" w:rightChars="-28" w:hanging="16" w:hangingChars="7"/>
              <w:jc w:val="left"/>
              <w:rPr>
                <w:rFonts w:ascii="宋体" w:hAnsi="宋体" w:cs="宋体"/>
                <w:color w:val="auto"/>
                <w:kern w:val="0"/>
                <w:szCs w:val="24"/>
                <w:highlight w:val="none"/>
              </w:rPr>
            </w:pPr>
            <w:r>
              <w:rPr>
                <w:rFonts w:hint="eastAsia" w:ascii="宋体" w:hAnsi="宋体" w:cs="宋体"/>
                <w:color w:val="auto"/>
                <w:kern w:val="0"/>
                <w:szCs w:val="24"/>
                <w:highlight w:val="none"/>
              </w:rPr>
              <w:t>联系人：</w:t>
            </w:r>
            <w:r>
              <w:rPr>
                <w:rFonts w:hint="eastAsia" w:ascii="宋体" w:hAnsi="宋体" w:cs="宋体"/>
                <w:color w:val="auto"/>
                <w:kern w:val="0"/>
                <w:szCs w:val="24"/>
                <w:highlight w:val="none"/>
                <w:lang w:val="en-US" w:eastAsia="zh-CN"/>
              </w:rPr>
              <w:t>刘</w:t>
            </w:r>
            <w:r>
              <w:rPr>
                <w:rFonts w:hint="eastAsia" w:ascii="宋体" w:hAnsi="宋体" w:cs="宋体"/>
                <w:color w:val="auto"/>
                <w:kern w:val="0"/>
                <w:szCs w:val="24"/>
                <w:highlight w:val="none"/>
              </w:rPr>
              <w:t>老师</w:t>
            </w:r>
          </w:p>
          <w:p w14:paraId="22FA739B">
            <w:pPr>
              <w:autoSpaceDE w:val="0"/>
              <w:autoSpaceDN w:val="0"/>
              <w:adjustRightInd w:val="0"/>
              <w:spacing w:before="49" w:line="360" w:lineRule="auto"/>
              <w:ind w:left="16" w:leftChars="0" w:right="-67" w:rightChars="-28" w:hanging="16" w:hangingChars="7"/>
              <w:jc w:val="left"/>
              <w:rPr>
                <w:rFonts w:ascii="宋体" w:hAnsi="宋体" w:cs="宋体"/>
                <w:color w:val="auto"/>
                <w:kern w:val="0"/>
                <w:szCs w:val="24"/>
                <w:highlight w:val="none"/>
              </w:rPr>
            </w:pPr>
            <w:r>
              <w:rPr>
                <w:rFonts w:hint="eastAsia" w:ascii="宋体" w:hAnsi="宋体" w:cs="宋体"/>
                <w:color w:val="auto"/>
                <w:kern w:val="0"/>
                <w:szCs w:val="24"/>
                <w:highlight w:val="none"/>
              </w:rPr>
              <w:t>联系电话：</w:t>
            </w:r>
            <w:r>
              <w:rPr>
                <w:rFonts w:hint="eastAsia" w:ascii="宋体" w:hAnsi="宋体" w:cs="宋体"/>
                <w:color w:val="auto"/>
                <w:szCs w:val="24"/>
                <w:highlight w:val="none"/>
                <w:lang w:val="en-US" w:eastAsia="zh-CN"/>
              </w:rPr>
              <w:t>0851-85813579</w:t>
            </w:r>
          </w:p>
        </w:tc>
      </w:tr>
      <w:tr w14:paraId="6668AAED">
        <w:tblPrEx>
          <w:tblCellMar>
            <w:top w:w="0" w:type="dxa"/>
            <w:left w:w="0" w:type="dxa"/>
            <w:bottom w:w="0" w:type="dxa"/>
            <w:right w:w="0" w:type="dxa"/>
          </w:tblCellMar>
        </w:tblPrEx>
        <w:trPr>
          <w:trHeight w:val="2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2974718">
            <w:pPr>
              <w:autoSpaceDE w:val="0"/>
              <w:autoSpaceDN w:val="0"/>
              <w:adjustRightInd w:val="0"/>
              <w:spacing w:line="36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1.1.</w:t>
            </w:r>
            <w:r>
              <w:rPr>
                <w:rFonts w:hint="eastAsia" w:ascii="宋体" w:hAnsi="宋体" w:cs="宋体"/>
                <w:color w:val="auto"/>
                <w:spacing w:val="-2"/>
                <w:kern w:val="0"/>
                <w:szCs w:val="24"/>
                <w:highlight w:val="none"/>
                <w:lang w:val="en-US" w:eastAsia="zh-CN"/>
              </w:rPr>
              <w:t>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B898D1B">
            <w:pPr>
              <w:autoSpaceDE w:val="0"/>
              <w:autoSpaceDN w:val="0"/>
              <w:adjustRightInd w:val="0"/>
              <w:spacing w:before="49" w:line="36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采购代理机构</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5C439870">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名称：贵州公明建设投资咨询有限公司</w:t>
            </w:r>
          </w:p>
          <w:p w14:paraId="19B0E5AD">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地址：</w:t>
            </w:r>
            <w:r>
              <w:rPr>
                <w:rFonts w:hint="eastAsia" w:ascii="宋体" w:hAnsi="宋体" w:cs="宋体"/>
                <w:color w:val="auto"/>
                <w:szCs w:val="24"/>
                <w:highlight w:val="none"/>
              </w:rPr>
              <w:t xml:space="preserve">贵州省贵阳市观山湖区林城西路28号 </w:t>
            </w:r>
          </w:p>
          <w:p w14:paraId="022BED5C">
            <w:pPr>
              <w:spacing w:line="360" w:lineRule="auto"/>
              <w:ind w:left="0" w:leftChars="0" w:firstLine="0" w:firstLineChars="0"/>
              <w:rPr>
                <w:rFonts w:hint="eastAsia" w:ascii="宋体" w:hAnsi="宋体" w:eastAsia="宋体" w:cs="宋体"/>
                <w:color w:val="auto"/>
                <w:szCs w:val="24"/>
                <w:highlight w:val="none"/>
                <w:lang w:eastAsia="zh-CN"/>
              </w:rPr>
            </w:pPr>
            <w:r>
              <w:rPr>
                <w:rFonts w:hint="eastAsia" w:ascii="宋体" w:hAnsi="宋体" w:cs="宋体"/>
                <w:color w:val="auto"/>
                <w:kern w:val="0"/>
                <w:szCs w:val="24"/>
                <w:highlight w:val="none"/>
              </w:rPr>
              <w:t>联系人：</w:t>
            </w:r>
            <w:r>
              <w:rPr>
                <w:rFonts w:hint="eastAsia" w:ascii="宋体" w:hAnsi="宋体" w:cs="宋体"/>
                <w:color w:val="auto"/>
                <w:szCs w:val="24"/>
                <w:highlight w:val="none"/>
                <w:lang w:val="en-US" w:eastAsia="zh-CN"/>
              </w:rPr>
              <w:t>杨兴</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李宁</w:t>
            </w:r>
          </w:p>
          <w:p w14:paraId="7CCB5530">
            <w:pPr>
              <w:autoSpaceDE w:val="0"/>
              <w:autoSpaceDN w:val="0"/>
              <w:adjustRightInd w:val="0"/>
              <w:spacing w:before="49" w:line="360" w:lineRule="auto"/>
              <w:ind w:left="16" w:leftChars="0" w:right="-67" w:rightChars="-28" w:hanging="16" w:hangingChars="7"/>
              <w:jc w:val="left"/>
              <w:rPr>
                <w:rFonts w:ascii="宋体" w:hAnsi="宋体" w:cs="宋体"/>
                <w:color w:val="auto"/>
                <w:kern w:val="0"/>
                <w:szCs w:val="24"/>
                <w:highlight w:val="none"/>
              </w:rPr>
            </w:pPr>
            <w:r>
              <w:rPr>
                <w:rFonts w:hint="eastAsia" w:ascii="宋体" w:hAnsi="宋体" w:cs="宋体"/>
                <w:color w:val="auto"/>
                <w:szCs w:val="24"/>
                <w:highlight w:val="none"/>
              </w:rPr>
              <w:t>联系方式：0851-85563996、</w:t>
            </w:r>
            <w:r>
              <w:rPr>
                <w:rFonts w:hint="eastAsia" w:ascii="宋体" w:hAnsi="宋体" w:cs="宋体"/>
                <w:color w:val="auto"/>
                <w:szCs w:val="24"/>
                <w:highlight w:val="none"/>
                <w:lang w:val="en-US" w:eastAsia="zh-CN"/>
              </w:rPr>
              <w:t>18585628339</w:t>
            </w:r>
          </w:p>
        </w:tc>
      </w:tr>
      <w:tr w14:paraId="7D5FD9E0">
        <w:tblPrEx>
          <w:tblCellMar>
            <w:top w:w="0" w:type="dxa"/>
            <w:left w:w="0" w:type="dxa"/>
            <w:bottom w:w="0" w:type="dxa"/>
            <w:right w:w="0" w:type="dxa"/>
          </w:tblCellMar>
        </w:tblPrEx>
        <w:trPr>
          <w:trHeight w:val="582"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9680C2E">
            <w:pPr>
              <w:autoSpaceDE w:val="0"/>
              <w:autoSpaceDN w:val="0"/>
              <w:adjustRightInd w:val="0"/>
              <w:spacing w:line="24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1.1.</w:t>
            </w:r>
            <w:r>
              <w:rPr>
                <w:rFonts w:hint="eastAsia" w:ascii="宋体" w:hAnsi="宋体" w:cs="宋体"/>
                <w:color w:val="auto"/>
                <w:spacing w:val="-2"/>
                <w:kern w:val="0"/>
                <w:szCs w:val="24"/>
                <w:highlight w:val="none"/>
                <w:lang w:val="en-US" w:eastAsia="zh-CN"/>
              </w:rPr>
              <w:t>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CB8B50">
            <w:pPr>
              <w:autoSpaceDE w:val="0"/>
              <w:autoSpaceDN w:val="0"/>
              <w:adjustRightInd w:val="0"/>
              <w:spacing w:before="49" w:line="24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采购项目名称</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00252C26">
            <w:pPr>
              <w:autoSpaceDE w:val="0"/>
              <w:autoSpaceDN w:val="0"/>
              <w:adjustRightInd w:val="0"/>
              <w:spacing w:before="49" w:line="240" w:lineRule="auto"/>
              <w:ind w:left="16" w:leftChars="0" w:right="-67" w:rightChars="-28" w:hanging="16" w:hangingChars="7"/>
              <w:jc w:val="left"/>
              <w:rPr>
                <w:rFonts w:hint="eastAsia" w:ascii="宋体" w:hAnsi="宋体" w:eastAsia="宋体" w:cs="宋体"/>
                <w:color w:val="auto"/>
                <w:kern w:val="0"/>
                <w:szCs w:val="24"/>
                <w:highlight w:val="none"/>
                <w:lang w:eastAsia="zh-CN"/>
              </w:rPr>
            </w:pPr>
            <w:r>
              <w:rPr>
                <w:rFonts w:hint="eastAsia" w:ascii="宋体" w:hAnsi="宋体" w:cs="宋体"/>
                <w:color w:val="auto"/>
                <w:szCs w:val="24"/>
                <w:highlight w:val="none"/>
                <w:u w:val="none"/>
                <w:lang w:val="en-US" w:eastAsia="zh-CN"/>
              </w:rPr>
              <w:t xml:space="preserve">《低空经济产业学院建设（电子商务系）》 </w:t>
            </w:r>
          </w:p>
        </w:tc>
      </w:tr>
      <w:tr w14:paraId="7AED74FB">
        <w:tblPrEx>
          <w:tblCellMar>
            <w:top w:w="0" w:type="dxa"/>
            <w:left w:w="0" w:type="dxa"/>
            <w:bottom w:w="0" w:type="dxa"/>
            <w:right w:w="0" w:type="dxa"/>
          </w:tblCellMar>
        </w:tblPrEx>
        <w:trPr>
          <w:trHeight w:val="582"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7D9491E">
            <w:pPr>
              <w:autoSpaceDE w:val="0"/>
              <w:autoSpaceDN w:val="0"/>
              <w:adjustRightInd w:val="0"/>
              <w:spacing w:line="240" w:lineRule="auto"/>
              <w:ind w:left="0" w:leftChars="0" w:right="-20"/>
              <w:jc w:val="center"/>
              <w:rPr>
                <w:rFonts w:hint="default" w:ascii="宋体" w:hAnsi="宋体" w:eastAsia="宋体" w:cs="宋体"/>
                <w:color w:val="auto"/>
                <w:spacing w:val="-2"/>
                <w:kern w:val="0"/>
                <w:szCs w:val="24"/>
                <w:highlight w:val="none"/>
                <w:lang w:val="en-US" w:eastAsia="zh-CN"/>
              </w:rPr>
            </w:pPr>
            <w:r>
              <w:rPr>
                <w:rFonts w:hint="eastAsia" w:ascii="宋体" w:hAnsi="宋体" w:cs="宋体"/>
                <w:color w:val="auto"/>
                <w:spacing w:val="-2"/>
                <w:kern w:val="0"/>
                <w:szCs w:val="24"/>
                <w:highlight w:val="none"/>
                <w:lang w:val="en-US" w:eastAsia="zh-CN"/>
              </w:rPr>
              <w:t>1.2.1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6BEFF5">
            <w:pPr>
              <w:autoSpaceDE w:val="0"/>
              <w:autoSpaceDN w:val="0"/>
              <w:adjustRightInd w:val="0"/>
              <w:spacing w:before="49" w:line="240" w:lineRule="auto"/>
              <w:ind w:left="19" w:leftChars="0" w:right="-20" w:hanging="19" w:hangingChars="8"/>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资金来源</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018E9EE6">
            <w:pPr>
              <w:autoSpaceDE w:val="0"/>
              <w:autoSpaceDN w:val="0"/>
              <w:adjustRightInd w:val="0"/>
              <w:spacing w:before="49" w:line="240" w:lineRule="auto"/>
              <w:ind w:left="16" w:leftChars="0" w:right="-67" w:rightChars="-28" w:hanging="16" w:hangingChars="7"/>
              <w:jc w:val="left"/>
              <w:rPr>
                <w:rFonts w:hint="default"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财政性资金</w:t>
            </w:r>
          </w:p>
        </w:tc>
      </w:tr>
      <w:tr w14:paraId="3E023854">
        <w:tblPrEx>
          <w:tblCellMar>
            <w:top w:w="0" w:type="dxa"/>
            <w:left w:w="0" w:type="dxa"/>
            <w:bottom w:w="0" w:type="dxa"/>
            <w:right w:w="0" w:type="dxa"/>
          </w:tblCellMar>
        </w:tblPrEx>
        <w:trPr>
          <w:trHeight w:val="582"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0FC4C61">
            <w:pPr>
              <w:autoSpaceDE w:val="0"/>
              <w:autoSpaceDN w:val="0"/>
              <w:adjustRightInd w:val="0"/>
              <w:spacing w:line="240" w:lineRule="auto"/>
              <w:ind w:left="0" w:leftChars="0" w:right="-20"/>
              <w:jc w:val="center"/>
              <w:rPr>
                <w:rFonts w:hint="default" w:ascii="宋体" w:hAnsi="宋体" w:cs="宋体"/>
                <w:color w:val="auto"/>
                <w:spacing w:val="-2"/>
                <w:kern w:val="0"/>
                <w:szCs w:val="24"/>
                <w:highlight w:val="none"/>
                <w:lang w:val="en-US" w:eastAsia="zh-CN"/>
              </w:rPr>
            </w:pPr>
            <w:r>
              <w:rPr>
                <w:rFonts w:hint="eastAsia" w:ascii="宋体" w:hAnsi="宋体" w:cs="宋体"/>
                <w:color w:val="auto"/>
                <w:spacing w:val="-2"/>
                <w:kern w:val="0"/>
                <w:szCs w:val="24"/>
                <w:highlight w:val="none"/>
                <w:lang w:val="en-US" w:eastAsia="zh-CN"/>
              </w:rPr>
              <w:t>1.2.2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9290EA7">
            <w:pPr>
              <w:autoSpaceDE w:val="0"/>
              <w:autoSpaceDN w:val="0"/>
              <w:adjustRightInd w:val="0"/>
              <w:spacing w:before="49" w:line="240" w:lineRule="auto"/>
              <w:ind w:left="19" w:leftChars="0" w:right="-20" w:hanging="19" w:hangingChars="8"/>
              <w:jc w:val="center"/>
              <w:rPr>
                <w:rFonts w:hint="default"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资金落实情况</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3C80EC53">
            <w:pPr>
              <w:autoSpaceDE w:val="0"/>
              <w:autoSpaceDN w:val="0"/>
              <w:adjustRightInd w:val="0"/>
              <w:spacing w:before="49" w:line="240" w:lineRule="auto"/>
              <w:ind w:left="16" w:leftChars="0" w:right="-67" w:rightChars="-28" w:hanging="16" w:hangingChars="7"/>
              <w:jc w:val="left"/>
              <w:rPr>
                <w:rFonts w:hint="default"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已落实</w:t>
            </w:r>
          </w:p>
        </w:tc>
      </w:tr>
      <w:tr w14:paraId="6EBAABE6">
        <w:tblPrEx>
          <w:tblCellMar>
            <w:top w:w="0" w:type="dxa"/>
            <w:left w:w="0" w:type="dxa"/>
            <w:bottom w:w="0" w:type="dxa"/>
            <w:right w:w="0" w:type="dxa"/>
          </w:tblCellMar>
        </w:tblPrEx>
        <w:trPr>
          <w:trHeight w:val="9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7DB8D63">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1.</w:t>
            </w:r>
            <w:r>
              <w:rPr>
                <w:rFonts w:hint="eastAsia" w:ascii="宋体" w:hAnsi="宋体" w:cs="宋体"/>
                <w:color w:val="auto"/>
                <w:spacing w:val="-2"/>
                <w:kern w:val="0"/>
                <w:szCs w:val="24"/>
                <w:highlight w:val="none"/>
                <w:lang w:val="en-US" w:eastAsia="zh-CN"/>
              </w:rPr>
              <w:t>3</w:t>
            </w:r>
            <w:r>
              <w:rPr>
                <w:rFonts w:hint="eastAsia" w:ascii="宋体" w:hAnsi="宋体" w:cs="宋体"/>
                <w:color w:val="auto"/>
                <w:spacing w:val="-2"/>
                <w:kern w:val="0"/>
                <w:szCs w:val="24"/>
                <w:highlight w:val="none"/>
              </w:rPr>
              <w:t>.1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CEC2131">
            <w:pPr>
              <w:autoSpaceDE w:val="0"/>
              <w:autoSpaceDN w:val="0"/>
              <w:adjustRightInd w:val="0"/>
              <w:spacing w:before="49" w:line="360" w:lineRule="auto"/>
              <w:ind w:left="19" w:leftChars="0" w:right="-20" w:rightChars="0" w:hanging="19" w:hangingChars="8"/>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采购内容</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588724CE">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szCs w:val="24"/>
                <w:highlight w:val="none"/>
                <w:u w:val="single"/>
                <w:lang w:eastAsia="zh-CN"/>
              </w:rPr>
              <w:t>包括：装调实训无人机教学平台（多旋翼）、装调实训无人机备件库（多旋翼）、无人机装调实训工具箱、</w:t>
            </w:r>
            <w:r>
              <w:rPr>
                <w:rFonts w:hint="eastAsia" w:ascii="宋体" w:hAnsi="宋体" w:cs="宋体"/>
                <w:color w:val="auto"/>
                <w:szCs w:val="24"/>
                <w:highlight w:val="none"/>
                <w:u w:val="single"/>
                <w:lang w:val="en-US" w:eastAsia="zh-CN"/>
              </w:rPr>
              <w:t>防静电工作台、货架、室内飞行笼、小型无人机执照飞行实训平台（三类）、中型无人机执照飞行实训平台（四类）、无人机虚拟仿真实训云平台（进阶版），</w:t>
            </w:r>
            <w:r>
              <w:rPr>
                <w:rFonts w:hint="eastAsia" w:ascii="宋体" w:hAnsi="宋体" w:cs="宋体"/>
                <w:color w:val="auto"/>
                <w:szCs w:val="24"/>
                <w:highlight w:val="yellow"/>
                <w:u w:val="single"/>
                <w:lang w:val="en-US" w:eastAsia="zh-CN"/>
              </w:rPr>
              <w:t>及对应的实训教学服务支撑、大赛技术服务支持等，</w:t>
            </w:r>
            <w:r>
              <w:rPr>
                <w:rFonts w:hint="eastAsia" w:ascii="宋体" w:hAnsi="宋体" w:cs="宋体"/>
                <w:color w:val="auto"/>
                <w:szCs w:val="24"/>
                <w:highlight w:val="none"/>
                <w:u w:val="single"/>
                <w:lang w:val="en-US" w:eastAsia="zh-CN"/>
              </w:rPr>
              <w:t>具体详见采购清单</w:t>
            </w:r>
            <w:r>
              <w:rPr>
                <w:rFonts w:hint="eastAsia" w:ascii="宋体" w:hAnsi="宋体" w:cs="宋体"/>
                <w:color w:val="auto"/>
                <w:szCs w:val="24"/>
                <w:highlight w:val="none"/>
                <w:u w:val="single"/>
              </w:rPr>
              <w:t>。</w:t>
            </w:r>
          </w:p>
        </w:tc>
      </w:tr>
      <w:tr w14:paraId="2A3A7FAE">
        <w:tblPrEx>
          <w:tblCellMar>
            <w:top w:w="0" w:type="dxa"/>
            <w:left w:w="0" w:type="dxa"/>
            <w:bottom w:w="0" w:type="dxa"/>
            <w:right w:w="0" w:type="dxa"/>
          </w:tblCellMar>
        </w:tblPrEx>
        <w:trPr>
          <w:trHeight w:val="56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B6CE977">
            <w:pPr>
              <w:autoSpaceDE w:val="0"/>
              <w:autoSpaceDN w:val="0"/>
              <w:adjustRightInd w:val="0"/>
              <w:spacing w:line="24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1.</w:t>
            </w:r>
            <w:r>
              <w:rPr>
                <w:rFonts w:hint="eastAsia" w:ascii="宋体" w:hAnsi="宋体" w:cs="宋体"/>
                <w:color w:val="auto"/>
                <w:spacing w:val="-2"/>
                <w:kern w:val="0"/>
                <w:szCs w:val="24"/>
                <w:highlight w:val="none"/>
                <w:lang w:val="en-US" w:eastAsia="zh-CN"/>
              </w:rPr>
              <w:t>3</w:t>
            </w:r>
            <w:r>
              <w:rPr>
                <w:rFonts w:hint="eastAsia" w:ascii="宋体" w:hAnsi="宋体" w:cs="宋体"/>
                <w:color w:val="auto"/>
                <w:spacing w:val="-2"/>
                <w:kern w:val="0"/>
                <w:szCs w:val="24"/>
                <w:highlight w:val="none"/>
              </w:rPr>
              <w:t>.2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22EBEAF">
            <w:pPr>
              <w:autoSpaceDE w:val="0"/>
              <w:autoSpaceDN w:val="0"/>
              <w:adjustRightInd w:val="0"/>
              <w:spacing w:before="49" w:line="24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交货安装期</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39BDD5CF">
            <w:pPr>
              <w:autoSpaceDE w:val="0"/>
              <w:autoSpaceDN w:val="0"/>
              <w:adjustRightInd w:val="0"/>
              <w:spacing w:before="49" w:line="24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自合同签订之日起30</w:t>
            </w:r>
            <w:r>
              <w:rPr>
                <w:rFonts w:hint="eastAsia" w:ascii="宋体" w:hAnsi="宋体" w:cs="宋体"/>
                <w:color w:val="auto"/>
                <w:kern w:val="0"/>
                <w:szCs w:val="24"/>
                <w:highlight w:val="none"/>
              </w:rPr>
              <w:t>个</w:t>
            </w:r>
            <w:r>
              <w:rPr>
                <w:rFonts w:hint="eastAsia" w:ascii="宋体" w:hAnsi="宋体" w:cs="宋体"/>
                <w:color w:val="auto"/>
                <w:kern w:val="0"/>
                <w:szCs w:val="24"/>
                <w:highlight w:val="none"/>
                <w:lang w:val="en-US" w:eastAsia="zh-CN"/>
              </w:rPr>
              <w:t>日历日</w:t>
            </w:r>
            <w:r>
              <w:rPr>
                <w:rFonts w:hint="eastAsia" w:ascii="宋体" w:hAnsi="宋体" w:cs="宋体"/>
                <w:color w:val="auto"/>
                <w:kern w:val="0"/>
                <w:szCs w:val="24"/>
                <w:highlight w:val="none"/>
              </w:rPr>
              <w:t>内</w:t>
            </w:r>
            <w:r>
              <w:rPr>
                <w:rFonts w:hint="eastAsia" w:ascii="宋体" w:hAnsi="宋体" w:cs="宋体"/>
                <w:color w:val="auto"/>
                <w:kern w:val="0"/>
                <w:szCs w:val="24"/>
                <w:highlight w:val="none"/>
                <w:lang w:eastAsia="zh-CN"/>
              </w:rPr>
              <w:t>供货、安装调试</w:t>
            </w:r>
            <w:r>
              <w:rPr>
                <w:rFonts w:hint="eastAsia" w:ascii="宋体" w:hAnsi="宋体" w:cs="宋体"/>
                <w:color w:val="auto"/>
                <w:kern w:val="0"/>
                <w:szCs w:val="24"/>
                <w:highlight w:val="none"/>
              </w:rPr>
              <w:t>并交付使用。</w:t>
            </w:r>
          </w:p>
        </w:tc>
      </w:tr>
      <w:tr w14:paraId="2F46DB7E">
        <w:tblPrEx>
          <w:tblCellMar>
            <w:top w:w="0" w:type="dxa"/>
            <w:left w:w="0" w:type="dxa"/>
            <w:bottom w:w="0" w:type="dxa"/>
            <w:right w:w="0" w:type="dxa"/>
          </w:tblCellMar>
        </w:tblPrEx>
        <w:trPr>
          <w:trHeight w:val="574"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4273CFC">
            <w:pPr>
              <w:autoSpaceDE w:val="0"/>
              <w:autoSpaceDN w:val="0"/>
              <w:adjustRightInd w:val="0"/>
              <w:spacing w:line="24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1.</w:t>
            </w:r>
            <w:r>
              <w:rPr>
                <w:rFonts w:hint="eastAsia" w:ascii="宋体" w:hAnsi="宋体" w:cs="宋体"/>
                <w:color w:val="auto"/>
                <w:spacing w:val="-2"/>
                <w:kern w:val="0"/>
                <w:szCs w:val="24"/>
                <w:highlight w:val="none"/>
                <w:lang w:val="en-US" w:eastAsia="zh-CN"/>
              </w:rPr>
              <w:t>3</w:t>
            </w:r>
            <w:r>
              <w:rPr>
                <w:rFonts w:hint="eastAsia" w:ascii="宋体" w:hAnsi="宋体" w:cs="宋体"/>
                <w:color w:val="auto"/>
                <w:spacing w:val="-2"/>
                <w:kern w:val="0"/>
                <w:szCs w:val="24"/>
                <w:highlight w:val="none"/>
              </w:rPr>
              <w:t>.3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7245C6">
            <w:pPr>
              <w:autoSpaceDE w:val="0"/>
              <w:autoSpaceDN w:val="0"/>
              <w:adjustRightInd w:val="0"/>
              <w:spacing w:before="49" w:line="24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交货地点</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104B23F7">
            <w:pPr>
              <w:autoSpaceDE w:val="0"/>
              <w:autoSpaceDN w:val="0"/>
              <w:adjustRightInd w:val="0"/>
              <w:spacing w:before="49" w:line="24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采购人指定地点。</w:t>
            </w:r>
          </w:p>
        </w:tc>
      </w:tr>
      <w:tr w14:paraId="05485020">
        <w:tblPrEx>
          <w:tblCellMar>
            <w:top w:w="0" w:type="dxa"/>
            <w:left w:w="0" w:type="dxa"/>
            <w:bottom w:w="0" w:type="dxa"/>
            <w:right w:w="0" w:type="dxa"/>
          </w:tblCellMar>
        </w:tblPrEx>
        <w:trPr>
          <w:trHeight w:val="742"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5CFB940">
            <w:pPr>
              <w:autoSpaceDE w:val="0"/>
              <w:autoSpaceDN w:val="0"/>
              <w:adjustRightInd w:val="0"/>
              <w:spacing w:line="36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1.</w:t>
            </w:r>
            <w:r>
              <w:rPr>
                <w:rFonts w:hint="eastAsia" w:ascii="宋体" w:hAnsi="宋体" w:cs="宋体"/>
                <w:color w:val="auto"/>
                <w:spacing w:val="-2"/>
                <w:kern w:val="0"/>
                <w:szCs w:val="24"/>
                <w:highlight w:val="none"/>
                <w:lang w:val="en-US" w:eastAsia="zh-CN"/>
              </w:rPr>
              <w:t>3</w:t>
            </w:r>
            <w:r>
              <w:rPr>
                <w:rFonts w:hint="eastAsia" w:ascii="宋体" w:hAnsi="宋体" w:cs="宋体"/>
                <w:color w:val="auto"/>
                <w:spacing w:val="-2"/>
                <w:kern w:val="0"/>
                <w:szCs w:val="24"/>
                <w:highlight w:val="none"/>
              </w:rPr>
              <w:t>.</w:t>
            </w:r>
            <w:r>
              <w:rPr>
                <w:rFonts w:hint="eastAsia" w:ascii="宋体" w:hAnsi="宋体" w:cs="宋体"/>
                <w:color w:val="auto"/>
                <w:spacing w:val="-2"/>
                <w:kern w:val="0"/>
                <w:szCs w:val="24"/>
                <w:highlight w:val="none"/>
                <w:lang w:val="en-US" w:eastAsia="zh-CN"/>
              </w:rPr>
              <w:t>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E59AF8D">
            <w:pPr>
              <w:autoSpaceDE w:val="0"/>
              <w:autoSpaceDN w:val="0"/>
              <w:adjustRightInd w:val="0"/>
              <w:spacing w:before="49" w:line="36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质量标准</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3B9C5612">
            <w:pPr>
              <w:autoSpaceDE w:val="0"/>
              <w:autoSpaceDN w:val="0"/>
              <w:adjustRightInd w:val="0"/>
              <w:spacing w:before="49" w:line="360" w:lineRule="auto"/>
              <w:ind w:left="16" w:leftChars="0" w:right="-67" w:rightChars="-28" w:hanging="16" w:hangingChars="7"/>
              <w:jc w:val="left"/>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完全符合采购文件及国家规定的质量标准、规格和性能的要求</w:t>
            </w:r>
            <w:r>
              <w:rPr>
                <w:rFonts w:hint="eastAsia" w:ascii="宋体" w:hAnsi="宋体" w:cs="宋体"/>
                <w:color w:val="auto"/>
                <w:kern w:val="0"/>
                <w:szCs w:val="24"/>
                <w:highlight w:val="none"/>
                <w:lang w:eastAsia="zh-CN"/>
              </w:rPr>
              <w:t>。</w:t>
            </w:r>
          </w:p>
        </w:tc>
      </w:tr>
      <w:tr w14:paraId="0A155530">
        <w:tblPrEx>
          <w:tblCellMar>
            <w:top w:w="0" w:type="dxa"/>
            <w:left w:w="0" w:type="dxa"/>
            <w:bottom w:w="0" w:type="dxa"/>
            <w:right w:w="0" w:type="dxa"/>
          </w:tblCellMar>
        </w:tblPrEx>
        <w:trPr>
          <w:trHeight w:val="50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E5EFC6D">
            <w:pPr>
              <w:autoSpaceDE w:val="0"/>
              <w:autoSpaceDN w:val="0"/>
              <w:adjustRightInd w:val="0"/>
              <w:spacing w:line="24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1.</w:t>
            </w:r>
            <w:r>
              <w:rPr>
                <w:rFonts w:hint="eastAsia" w:ascii="宋体" w:hAnsi="宋体" w:cs="宋体"/>
                <w:color w:val="auto"/>
                <w:spacing w:val="-2"/>
                <w:kern w:val="0"/>
                <w:szCs w:val="24"/>
                <w:highlight w:val="none"/>
                <w:lang w:val="en-US" w:eastAsia="zh-CN"/>
              </w:rPr>
              <w:t>4</w:t>
            </w:r>
            <w:r>
              <w:rPr>
                <w:rFonts w:hint="eastAsia" w:ascii="宋体" w:hAnsi="宋体" w:cs="宋体"/>
                <w:color w:val="auto"/>
                <w:spacing w:val="-2"/>
                <w:kern w:val="0"/>
                <w:szCs w:val="24"/>
                <w:highlight w:val="none"/>
              </w:rPr>
              <w:t>.1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BD1AC0">
            <w:pPr>
              <w:autoSpaceDE w:val="0"/>
              <w:autoSpaceDN w:val="0"/>
              <w:adjustRightInd w:val="0"/>
              <w:spacing w:before="49" w:line="240" w:lineRule="auto"/>
              <w:ind w:left="19" w:leftChars="0" w:right="-20" w:hanging="19" w:hangingChars="8"/>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lang w:val="en-US" w:eastAsia="zh-CN"/>
              </w:rPr>
              <w:t>资格要求</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669509E5">
            <w:pPr>
              <w:autoSpaceDE w:val="0"/>
              <w:autoSpaceDN w:val="0"/>
              <w:adjustRightInd w:val="0"/>
              <w:spacing w:before="49" w:line="24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详见采购公告中“申请人的资格要求”。</w:t>
            </w:r>
          </w:p>
        </w:tc>
      </w:tr>
      <w:tr w14:paraId="521AEBFC">
        <w:tblPrEx>
          <w:tblCellMar>
            <w:top w:w="0" w:type="dxa"/>
            <w:left w:w="0" w:type="dxa"/>
            <w:bottom w:w="0" w:type="dxa"/>
            <w:right w:w="0" w:type="dxa"/>
          </w:tblCellMar>
        </w:tblPrEx>
        <w:trPr>
          <w:trHeight w:val="576"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77B0210">
            <w:pPr>
              <w:autoSpaceDE w:val="0"/>
              <w:autoSpaceDN w:val="0"/>
              <w:adjustRightInd w:val="0"/>
              <w:spacing w:line="24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1.</w:t>
            </w:r>
            <w:r>
              <w:rPr>
                <w:rFonts w:hint="eastAsia" w:ascii="宋体" w:hAnsi="宋体" w:cs="宋体"/>
                <w:color w:val="auto"/>
                <w:spacing w:val="-2"/>
                <w:kern w:val="0"/>
                <w:szCs w:val="24"/>
                <w:highlight w:val="none"/>
                <w:lang w:val="en-US" w:eastAsia="zh-CN"/>
              </w:rPr>
              <w:t>4</w:t>
            </w:r>
            <w:r>
              <w:rPr>
                <w:rFonts w:hint="eastAsia" w:ascii="宋体" w:hAnsi="宋体" w:cs="宋体"/>
                <w:color w:val="auto"/>
                <w:spacing w:val="-2"/>
                <w:kern w:val="0"/>
                <w:szCs w:val="24"/>
                <w:highlight w:val="none"/>
              </w:rPr>
              <w:t>.2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3B568A6">
            <w:pPr>
              <w:autoSpaceDE w:val="0"/>
              <w:autoSpaceDN w:val="0"/>
              <w:adjustRightInd w:val="0"/>
              <w:spacing w:before="49" w:line="24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是否接受联合体投标</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606641AC">
            <w:pPr>
              <w:autoSpaceDE w:val="0"/>
              <w:autoSpaceDN w:val="0"/>
              <w:adjustRightInd w:val="0"/>
              <w:spacing w:before="48" w:line="24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不接受</w:t>
            </w:r>
          </w:p>
        </w:tc>
      </w:tr>
      <w:tr w14:paraId="3C738B2C">
        <w:tblPrEx>
          <w:tblCellMar>
            <w:top w:w="0" w:type="dxa"/>
            <w:left w:w="0" w:type="dxa"/>
            <w:bottom w:w="0" w:type="dxa"/>
            <w:right w:w="0" w:type="dxa"/>
          </w:tblCellMar>
        </w:tblPrEx>
        <w:trPr>
          <w:trHeight w:val="2008"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688ADA2">
            <w:pPr>
              <w:autoSpaceDE w:val="0"/>
              <w:autoSpaceDN w:val="0"/>
              <w:adjustRightInd w:val="0"/>
              <w:spacing w:line="24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1.</w:t>
            </w:r>
            <w:r>
              <w:rPr>
                <w:rFonts w:hint="eastAsia" w:ascii="宋体" w:hAnsi="宋体" w:cs="宋体"/>
                <w:color w:val="auto"/>
                <w:spacing w:val="-2"/>
                <w:kern w:val="0"/>
                <w:szCs w:val="24"/>
                <w:highlight w:val="none"/>
                <w:lang w:val="en-US" w:eastAsia="zh-CN"/>
              </w:rPr>
              <w:t>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49BD06">
            <w:pPr>
              <w:autoSpaceDE w:val="0"/>
              <w:autoSpaceDN w:val="0"/>
              <w:adjustRightInd w:val="0"/>
              <w:spacing w:line="240" w:lineRule="auto"/>
              <w:ind w:left="19" w:leftChars="0" w:hanging="19" w:hangingChars="8"/>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费用承担</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4E7FA5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宋体" w:hAnsi="宋体" w:cs="宋体"/>
                <w:color w:val="auto"/>
                <w:kern w:val="0"/>
                <w:szCs w:val="24"/>
                <w:highlight w:val="none"/>
                <w:lang w:val="en-US" w:eastAsia="zh-CN"/>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Cs w:val="24"/>
                <w:highlight w:val="none"/>
                <w:lang w:val="en-US" w:eastAsia="zh-CN"/>
              </w:rPr>
              <w:t>供应商准备和参加投标活动发生的费用自理。</w:t>
            </w:r>
          </w:p>
          <w:p w14:paraId="58608D5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spacing w:val="-6"/>
                <w:sz w:val="24"/>
                <w:lang w:val="en-US" w:eastAsia="zh-CN"/>
              </w:rPr>
            </w:pPr>
            <w:r>
              <w:rPr>
                <w:rFonts w:hint="eastAsia" w:ascii="宋体" w:hAnsi="宋体" w:cs="宋体"/>
                <w:color w:val="auto"/>
                <w:kern w:val="0"/>
                <w:szCs w:val="24"/>
                <w:highlight w:val="none"/>
                <w:lang w:val="en-US" w:eastAsia="zh-CN"/>
              </w:rPr>
              <w:t>2.中标人</w:t>
            </w:r>
            <w:r>
              <w:rPr>
                <w:spacing w:val="-6"/>
                <w:sz w:val="24"/>
              </w:rPr>
              <w:t>还应承担本项目的采购代理服务费。计费依据</w:t>
            </w:r>
            <w:r>
              <w:rPr>
                <w:rFonts w:hint="eastAsia"/>
                <w:spacing w:val="-6"/>
                <w:sz w:val="24"/>
                <w:lang w:val="en-US" w:eastAsia="zh-CN"/>
              </w:rPr>
              <w:t>以中标价为基数，</w:t>
            </w:r>
            <w:r>
              <w:rPr>
                <w:rFonts w:hint="eastAsia"/>
                <w:spacing w:val="-6"/>
                <w:sz w:val="24"/>
              </w:rPr>
              <w:t>按计价格【2002】1980号文件的标准下浮 20%计取，向</w:t>
            </w:r>
            <w:r>
              <w:rPr>
                <w:rFonts w:hint="eastAsia"/>
                <w:spacing w:val="-6"/>
                <w:sz w:val="24"/>
                <w:lang w:val="en-US" w:eastAsia="zh-CN"/>
              </w:rPr>
              <w:t>中标人</w:t>
            </w:r>
            <w:r>
              <w:rPr>
                <w:rFonts w:hint="eastAsia"/>
                <w:spacing w:val="-6"/>
                <w:sz w:val="24"/>
              </w:rPr>
              <w:t>收取代理服务费，在领取中标通知书时一次性付清。</w:t>
            </w:r>
          </w:p>
          <w:p w14:paraId="15EB83EC">
            <w:pPr>
              <w:numPr>
                <w:ilvl w:val="0"/>
                <w:numId w:val="0"/>
              </w:numPr>
              <w:autoSpaceDE w:val="0"/>
              <w:autoSpaceDN w:val="0"/>
              <w:adjustRightInd w:val="0"/>
              <w:spacing w:line="240" w:lineRule="auto"/>
              <w:ind w:left="-17" w:leftChars="-7" w:right="-67" w:rightChars="-28" w:firstLine="0" w:firstLineChars="0"/>
              <w:jc w:val="both"/>
              <w:rPr>
                <w:rFonts w:hint="eastAsia" w:ascii="宋体" w:hAnsi="宋体" w:cs="宋体"/>
                <w:color w:val="auto"/>
                <w:kern w:val="0"/>
                <w:szCs w:val="24"/>
                <w:highlight w:val="none"/>
                <w:lang w:val="en-US" w:eastAsia="zh-CN"/>
              </w:rPr>
            </w:pPr>
          </w:p>
        </w:tc>
      </w:tr>
      <w:tr w14:paraId="43BA1F48">
        <w:tblPrEx>
          <w:tblCellMar>
            <w:top w:w="0" w:type="dxa"/>
            <w:left w:w="0" w:type="dxa"/>
            <w:bottom w:w="0" w:type="dxa"/>
            <w:right w:w="0" w:type="dxa"/>
          </w:tblCellMar>
        </w:tblPrEx>
        <w:trPr>
          <w:trHeight w:val="514"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C1BFF48">
            <w:pPr>
              <w:autoSpaceDE w:val="0"/>
              <w:autoSpaceDN w:val="0"/>
              <w:adjustRightInd w:val="0"/>
              <w:spacing w:line="240" w:lineRule="auto"/>
              <w:ind w:left="0" w:leftChars="0" w:right="-20"/>
              <w:jc w:val="center"/>
              <w:rPr>
                <w:rFonts w:hint="default" w:ascii="宋体" w:hAnsi="宋体" w:eastAsia="宋体" w:cs="宋体"/>
                <w:color w:val="auto"/>
                <w:spacing w:val="-2"/>
                <w:kern w:val="0"/>
                <w:szCs w:val="24"/>
                <w:highlight w:val="none"/>
                <w:lang w:val="en-US" w:eastAsia="zh-CN"/>
              </w:rPr>
            </w:pPr>
            <w:r>
              <w:rPr>
                <w:rFonts w:hint="eastAsia" w:ascii="宋体" w:hAnsi="宋体" w:cs="宋体"/>
                <w:color w:val="auto"/>
                <w:spacing w:val="-2"/>
                <w:kern w:val="0"/>
                <w:szCs w:val="24"/>
                <w:highlight w:val="none"/>
                <w:lang w:val="en-US" w:eastAsia="zh-CN"/>
              </w:rPr>
              <w:t>1.9.1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77C7E9">
            <w:pPr>
              <w:autoSpaceDE w:val="0"/>
              <w:autoSpaceDN w:val="0"/>
              <w:adjustRightInd w:val="0"/>
              <w:spacing w:line="240" w:lineRule="auto"/>
              <w:ind w:left="19" w:leftChars="0" w:hanging="19" w:hangingChars="8"/>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踏勘现场</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3BBDA0C5">
            <w:pPr>
              <w:autoSpaceDE w:val="0"/>
              <w:autoSpaceDN w:val="0"/>
              <w:adjustRightInd w:val="0"/>
              <w:spacing w:line="240" w:lineRule="auto"/>
              <w:ind w:left="16" w:leftChars="0" w:right="-67" w:rightChars="-28" w:hanging="16" w:hangingChars="7"/>
              <w:jc w:val="left"/>
              <w:rPr>
                <w:rFonts w:hint="default"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自行踏勘</w:t>
            </w:r>
          </w:p>
        </w:tc>
      </w:tr>
      <w:tr w14:paraId="332583ED">
        <w:tblPrEx>
          <w:tblCellMar>
            <w:top w:w="0" w:type="dxa"/>
            <w:left w:w="0" w:type="dxa"/>
            <w:bottom w:w="0" w:type="dxa"/>
            <w:right w:w="0" w:type="dxa"/>
          </w:tblCellMar>
        </w:tblPrEx>
        <w:trPr>
          <w:trHeight w:val="465"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86ED508">
            <w:pPr>
              <w:autoSpaceDE w:val="0"/>
              <w:autoSpaceDN w:val="0"/>
              <w:adjustRightInd w:val="0"/>
              <w:spacing w:line="24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1.10.1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1B24B6">
            <w:pPr>
              <w:autoSpaceDE w:val="0"/>
              <w:autoSpaceDN w:val="0"/>
              <w:adjustRightInd w:val="0"/>
              <w:spacing w:before="49" w:line="240" w:lineRule="auto"/>
              <w:ind w:left="19" w:leftChars="0" w:right="-20" w:hanging="19" w:hangingChars="8"/>
              <w:jc w:val="center"/>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rPr>
              <w:t>分包</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转包</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3D453D1B">
            <w:pPr>
              <w:autoSpaceDE w:val="0"/>
              <w:autoSpaceDN w:val="0"/>
              <w:adjustRightInd w:val="0"/>
              <w:spacing w:before="48" w:line="24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不允许</w:t>
            </w:r>
          </w:p>
        </w:tc>
      </w:tr>
      <w:tr w14:paraId="1A50A9B5">
        <w:tblPrEx>
          <w:tblCellMar>
            <w:top w:w="0" w:type="dxa"/>
            <w:left w:w="0" w:type="dxa"/>
            <w:bottom w:w="0" w:type="dxa"/>
            <w:right w:w="0" w:type="dxa"/>
          </w:tblCellMar>
        </w:tblPrEx>
        <w:trPr>
          <w:trHeight w:val="398" w:hRule="atLeast"/>
        </w:trPr>
        <w:tc>
          <w:tcPr>
            <w:tcW w:w="1164" w:type="dxa"/>
            <w:tcBorders>
              <w:top w:val="single" w:color="000000" w:sz="4" w:space="0"/>
              <w:left w:val="single" w:color="000000" w:sz="4" w:space="0"/>
              <w:bottom w:val="single" w:color="auto" w:sz="4" w:space="0"/>
              <w:right w:val="single" w:color="000000" w:sz="4" w:space="0"/>
            </w:tcBorders>
            <w:noWrap w:val="0"/>
            <w:vAlign w:val="center"/>
          </w:tcPr>
          <w:p w14:paraId="5B2969AB">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2.1</w:t>
            </w:r>
          </w:p>
        </w:tc>
        <w:tc>
          <w:tcPr>
            <w:tcW w:w="2300" w:type="dxa"/>
            <w:tcBorders>
              <w:top w:val="single" w:color="000000" w:sz="4" w:space="0"/>
              <w:left w:val="single" w:color="000000" w:sz="4" w:space="0"/>
              <w:bottom w:val="single" w:color="auto" w:sz="4" w:space="0"/>
              <w:right w:val="single" w:color="000000" w:sz="4" w:space="0"/>
            </w:tcBorders>
            <w:noWrap w:val="0"/>
            <w:vAlign w:val="center"/>
          </w:tcPr>
          <w:p w14:paraId="7E2B8402">
            <w:pPr>
              <w:autoSpaceDE w:val="0"/>
              <w:autoSpaceDN w:val="0"/>
              <w:adjustRightInd w:val="0"/>
              <w:spacing w:before="49" w:line="36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构成采购文件的其他资料</w:t>
            </w:r>
          </w:p>
        </w:tc>
        <w:tc>
          <w:tcPr>
            <w:tcW w:w="6128" w:type="dxa"/>
            <w:tcBorders>
              <w:top w:val="single" w:color="000000" w:sz="4" w:space="0"/>
              <w:left w:val="single" w:color="000000" w:sz="4" w:space="0"/>
              <w:bottom w:val="single" w:color="auto" w:sz="4" w:space="0"/>
              <w:right w:val="single" w:color="000000" w:sz="4" w:space="0"/>
            </w:tcBorders>
            <w:noWrap w:val="0"/>
            <w:vAlign w:val="center"/>
          </w:tcPr>
          <w:p w14:paraId="558653B8">
            <w:pPr>
              <w:autoSpaceDE w:val="0"/>
              <w:autoSpaceDN w:val="0"/>
              <w:adjustRightInd w:val="0"/>
              <w:spacing w:before="49" w:line="360" w:lineRule="auto"/>
              <w:ind w:left="16" w:leftChars="0" w:right="-67" w:rightChars="-28" w:hanging="16" w:hangingChars="7"/>
              <w:jc w:val="left"/>
              <w:rPr>
                <w:rFonts w:hint="eastAsia" w:ascii="宋体" w:hAnsi="宋体" w:cs="宋体"/>
                <w:color w:val="auto"/>
                <w:szCs w:val="24"/>
                <w:highlight w:val="none"/>
              </w:rPr>
            </w:pPr>
            <w:r>
              <w:rPr>
                <w:rFonts w:hint="eastAsia" w:ascii="宋体" w:hAnsi="宋体" w:cs="宋体"/>
                <w:color w:val="auto"/>
                <w:szCs w:val="24"/>
                <w:highlight w:val="none"/>
                <w:lang w:val="en-US" w:eastAsia="zh-CN"/>
              </w:rPr>
              <w:t>采购人发出的澄清、修改</w:t>
            </w:r>
          </w:p>
        </w:tc>
      </w:tr>
      <w:tr w14:paraId="0F4E7E80">
        <w:tblPrEx>
          <w:tblCellMar>
            <w:top w:w="0" w:type="dxa"/>
            <w:left w:w="0" w:type="dxa"/>
            <w:bottom w:w="0" w:type="dxa"/>
            <w:right w:w="0" w:type="dxa"/>
          </w:tblCellMar>
        </w:tblPrEx>
        <w:trPr>
          <w:trHeight w:val="741" w:hRule="atLeast"/>
        </w:trPr>
        <w:tc>
          <w:tcPr>
            <w:tcW w:w="1164" w:type="dxa"/>
            <w:vMerge w:val="restart"/>
            <w:tcBorders>
              <w:top w:val="single" w:color="auto" w:sz="4" w:space="0"/>
              <w:left w:val="single" w:color="auto" w:sz="4" w:space="0"/>
              <w:right w:val="single" w:color="auto" w:sz="4" w:space="0"/>
            </w:tcBorders>
            <w:noWrap w:val="0"/>
            <w:vAlign w:val="center"/>
          </w:tcPr>
          <w:p w14:paraId="31ADB982">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2.2.1</w:t>
            </w:r>
          </w:p>
        </w:tc>
        <w:tc>
          <w:tcPr>
            <w:tcW w:w="2300" w:type="dxa"/>
            <w:vMerge w:val="restart"/>
            <w:tcBorders>
              <w:top w:val="single" w:color="auto" w:sz="4" w:space="0"/>
              <w:left w:val="single" w:color="auto" w:sz="4" w:space="0"/>
              <w:right w:val="single" w:color="auto" w:sz="4" w:space="0"/>
            </w:tcBorders>
            <w:noWrap w:val="0"/>
            <w:vAlign w:val="center"/>
          </w:tcPr>
          <w:p w14:paraId="0B8530B0">
            <w:pPr>
              <w:autoSpaceDE w:val="0"/>
              <w:autoSpaceDN w:val="0"/>
              <w:adjustRightInd w:val="0"/>
              <w:spacing w:before="49" w:line="360" w:lineRule="auto"/>
              <w:ind w:left="19" w:leftChars="0" w:right="-20" w:hanging="19" w:hangingChars="8"/>
              <w:jc w:val="center"/>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采购文件的澄清或</w:t>
            </w:r>
          </w:p>
          <w:p w14:paraId="5E140989">
            <w:pPr>
              <w:autoSpaceDE w:val="0"/>
              <w:autoSpaceDN w:val="0"/>
              <w:adjustRightInd w:val="0"/>
              <w:spacing w:before="49" w:line="360" w:lineRule="auto"/>
              <w:ind w:left="19" w:leftChars="0" w:right="-20" w:hanging="19" w:hangingChars="8"/>
              <w:jc w:val="center"/>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修改</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25973E1">
            <w:pPr>
              <w:autoSpaceDE w:val="0"/>
              <w:autoSpaceDN w:val="0"/>
              <w:adjustRightInd w:val="0"/>
              <w:spacing w:before="50"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eastAsia="宋体" w:cs="宋体"/>
                <w:color w:val="auto"/>
                <w:kern w:val="0"/>
                <w:szCs w:val="24"/>
                <w:highlight w:val="none"/>
              </w:rPr>
              <w:t>采购人或者采购代理机构可以对已发出的</w:t>
            </w:r>
            <w:r>
              <w:rPr>
                <w:rFonts w:hint="eastAsia" w:ascii="宋体" w:hAnsi="宋体" w:eastAsia="宋体" w:cs="宋体"/>
                <w:color w:val="auto"/>
                <w:kern w:val="0"/>
                <w:szCs w:val="24"/>
                <w:highlight w:val="none"/>
                <w:lang w:val="en-US" w:eastAsia="zh-CN"/>
              </w:rPr>
              <w:t>采购</w:t>
            </w:r>
            <w:r>
              <w:rPr>
                <w:rFonts w:hint="eastAsia" w:ascii="宋体" w:hAnsi="宋体" w:eastAsia="宋体" w:cs="宋体"/>
                <w:color w:val="auto"/>
                <w:kern w:val="0"/>
                <w:szCs w:val="24"/>
                <w:highlight w:val="none"/>
              </w:rPr>
              <w:t>文件进行必要的澄清或者修改。澄清或者修改的内容可能影响投标文件编制的，采购人或者采购代理机构应当在投标截止时间至少15日前，</w:t>
            </w:r>
            <w:r>
              <w:rPr>
                <w:rFonts w:hint="eastAsia" w:ascii="宋体" w:hAnsi="宋体" w:eastAsia="宋体" w:cs="宋体"/>
                <w:color w:val="auto"/>
                <w:kern w:val="0"/>
                <w:szCs w:val="24"/>
                <w:highlight w:val="none"/>
                <w:lang w:val="en-US" w:eastAsia="zh-CN"/>
              </w:rPr>
              <w:t>通过电子交易系统</w:t>
            </w:r>
            <w:r>
              <w:rPr>
                <w:rFonts w:hint="eastAsia" w:ascii="宋体" w:hAnsi="宋体" w:eastAsia="宋体" w:cs="宋体"/>
                <w:color w:val="auto"/>
                <w:kern w:val="0"/>
                <w:szCs w:val="24"/>
                <w:highlight w:val="none"/>
              </w:rPr>
              <w:t>通知所有获取</w:t>
            </w:r>
            <w:r>
              <w:rPr>
                <w:rFonts w:hint="eastAsia" w:ascii="宋体" w:hAnsi="宋体" w:eastAsia="宋体" w:cs="宋体"/>
                <w:color w:val="auto"/>
                <w:kern w:val="0"/>
                <w:szCs w:val="24"/>
                <w:highlight w:val="none"/>
                <w:lang w:val="en-US" w:eastAsia="zh-CN"/>
              </w:rPr>
              <w:t>采购</w:t>
            </w:r>
            <w:r>
              <w:rPr>
                <w:rFonts w:hint="eastAsia" w:ascii="宋体" w:hAnsi="宋体" w:eastAsia="宋体" w:cs="宋体"/>
                <w:color w:val="auto"/>
                <w:kern w:val="0"/>
                <w:szCs w:val="24"/>
                <w:highlight w:val="none"/>
              </w:rPr>
              <w:t>文件的潜在</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；不足15日的，采购人或者采购代理机构应当顺延提交投标文件的截止时间。</w:t>
            </w:r>
          </w:p>
        </w:tc>
      </w:tr>
      <w:tr w14:paraId="1FD092A5">
        <w:tblPrEx>
          <w:tblCellMar>
            <w:top w:w="0" w:type="dxa"/>
            <w:left w:w="0" w:type="dxa"/>
            <w:bottom w:w="0" w:type="dxa"/>
            <w:right w:w="0" w:type="dxa"/>
          </w:tblCellMar>
        </w:tblPrEx>
        <w:trPr>
          <w:trHeight w:val="20" w:hRule="atLeast"/>
        </w:trPr>
        <w:tc>
          <w:tcPr>
            <w:tcW w:w="1164" w:type="dxa"/>
            <w:tcBorders>
              <w:top w:val="single" w:color="auto" w:sz="4" w:space="0"/>
              <w:left w:val="single" w:color="000000" w:sz="4" w:space="0"/>
              <w:bottom w:val="single" w:color="000000" w:sz="4" w:space="0"/>
              <w:right w:val="single" w:color="000000" w:sz="4" w:space="0"/>
            </w:tcBorders>
            <w:noWrap w:val="0"/>
            <w:vAlign w:val="center"/>
          </w:tcPr>
          <w:p w14:paraId="48A0F484">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2.2.2</w:t>
            </w:r>
          </w:p>
        </w:tc>
        <w:tc>
          <w:tcPr>
            <w:tcW w:w="2300" w:type="dxa"/>
            <w:tcBorders>
              <w:top w:val="single" w:color="auto" w:sz="4" w:space="0"/>
              <w:left w:val="single" w:color="000000" w:sz="4" w:space="0"/>
              <w:bottom w:val="single" w:color="000000" w:sz="4" w:space="0"/>
              <w:right w:val="single" w:color="000000" w:sz="4" w:space="0"/>
            </w:tcBorders>
            <w:noWrap w:val="0"/>
            <w:vAlign w:val="center"/>
          </w:tcPr>
          <w:p w14:paraId="7897F632">
            <w:pPr>
              <w:autoSpaceDE w:val="0"/>
              <w:autoSpaceDN w:val="0"/>
              <w:adjustRightInd w:val="0"/>
              <w:spacing w:before="49" w:line="360" w:lineRule="auto"/>
              <w:ind w:left="19" w:leftChars="0" w:right="-20" w:hanging="19" w:hangingChars="8"/>
              <w:jc w:val="center"/>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供应商确认收到采购文件澄清或修改的方式</w:t>
            </w:r>
          </w:p>
        </w:tc>
        <w:tc>
          <w:tcPr>
            <w:tcW w:w="6128" w:type="dxa"/>
            <w:tcBorders>
              <w:top w:val="single" w:color="auto" w:sz="4" w:space="0"/>
              <w:left w:val="single" w:color="000000" w:sz="4" w:space="0"/>
              <w:bottom w:val="single" w:color="000000" w:sz="4" w:space="0"/>
              <w:right w:val="single" w:color="000000" w:sz="4" w:space="0"/>
            </w:tcBorders>
            <w:noWrap w:val="0"/>
            <w:vAlign w:val="center"/>
          </w:tcPr>
          <w:p w14:paraId="77B4D18B">
            <w:pPr>
              <w:autoSpaceDE w:val="0"/>
              <w:autoSpaceDN w:val="0"/>
              <w:adjustRightInd w:val="0"/>
              <w:spacing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澄清</w:t>
            </w:r>
            <w:r>
              <w:rPr>
                <w:rFonts w:hint="eastAsia" w:ascii="宋体" w:hAnsi="宋体" w:cs="宋体"/>
                <w:color w:val="auto"/>
                <w:kern w:val="0"/>
                <w:szCs w:val="24"/>
                <w:highlight w:val="none"/>
                <w:lang w:val="en-US" w:eastAsia="zh-CN"/>
              </w:rPr>
              <w:t>或</w:t>
            </w:r>
            <w:r>
              <w:rPr>
                <w:rFonts w:hint="eastAsia" w:ascii="宋体" w:hAnsi="宋体" w:cs="宋体"/>
                <w:color w:val="auto"/>
                <w:kern w:val="0"/>
                <w:szCs w:val="24"/>
                <w:highlight w:val="none"/>
              </w:rPr>
              <w:t>修改文件在</w:t>
            </w:r>
            <w:r>
              <w:rPr>
                <w:rFonts w:hint="eastAsia" w:ascii="宋体" w:hAnsi="宋体" w:cs="宋体"/>
                <w:color w:val="auto"/>
                <w:kern w:val="0"/>
                <w:szCs w:val="24"/>
                <w:highlight w:val="none"/>
                <w:u w:val="single"/>
                <w:lang w:val="en-US" w:eastAsia="zh-CN"/>
              </w:rPr>
              <w:t>贵</w:t>
            </w:r>
            <w:r>
              <w:rPr>
                <w:rFonts w:hint="eastAsia" w:ascii="宋体" w:hAnsi="宋体" w:cs="宋体"/>
                <w:color w:val="auto"/>
                <w:szCs w:val="24"/>
                <w:highlight w:val="none"/>
                <w:u w:val="single"/>
              </w:rPr>
              <w:t>州省公共资源交易中心</w:t>
            </w:r>
            <w:r>
              <w:rPr>
                <w:rFonts w:hint="eastAsia" w:ascii="宋体" w:hAnsi="宋体" w:cs="宋体"/>
                <w:color w:val="auto"/>
                <w:szCs w:val="24"/>
                <w:highlight w:val="none"/>
                <w:u w:val="none"/>
              </w:rPr>
              <w:t>网</w:t>
            </w:r>
            <w:r>
              <w:rPr>
                <w:rFonts w:hint="eastAsia" w:ascii="宋体" w:hAnsi="宋体" w:cs="宋体"/>
                <w:color w:val="auto"/>
                <w:kern w:val="0"/>
                <w:szCs w:val="24"/>
                <w:highlight w:val="none"/>
              </w:rPr>
              <w:t>上发布，自发布之日起，视为</w:t>
            </w:r>
            <w:r>
              <w:rPr>
                <w:rFonts w:hint="eastAsia" w:ascii="宋体" w:hAnsi="宋体" w:cs="宋体"/>
                <w:color w:val="auto"/>
                <w:kern w:val="0"/>
                <w:szCs w:val="24"/>
                <w:highlight w:val="none"/>
                <w:lang w:val="en-US" w:eastAsia="zh-CN"/>
              </w:rPr>
              <w:t>供应商</w:t>
            </w:r>
            <w:r>
              <w:rPr>
                <w:rFonts w:hint="eastAsia" w:ascii="宋体" w:hAnsi="宋体" w:cs="宋体"/>
                <w:color w:val="auto"/>
                <w:kern w:val="0"/>
                <w:szCs w:val="24"/>
                <w:highlight w:val="none"/>
              </w:rPr>
              <w:t>已收到该澄清（修改）。</w:t>
            </w:r>
            <w:r>
              <w:rPr>
                <w:rFonts w:hint="eastAsia" w:ascii="宋体" w:hAnsi="宋体" w:cs="宋体"/>
                <w:color w:val="auto"/>
                <w:kern w:val="0"/>
                <w:szCs w:val="24"/>
                <w:highlight w:val="none"/>
                <w:lang w:val="en-US" w:eastAsia="zh-CN"/>
              </w:rPr>
              <w:t>供应商</w:t>
            </w:r>
            <w:r>
              <w:rPr>
                <w:rFonts w:hint="eastAsia" w:ascii="宋体" w:hAnsi="宋体" w:cs="宋体"/>
                <w:color w:val="auto"/>
                <w:kern w:val="0"/>
                <w:szCs w:val="24"/>
                <w:highlight w:val="none"/>
              </w:rPr>
              <w:t>未及时关注澄清（修改）文件造成的损失，由</w:t>
            </w:r>
            <w:r>
              <w:rPr>
                <w:rFonts w:hint="eastAsia" w:ascii="宋体" w:hAnsi="宋体" w:cs="宋体"/>
                <w:color w:val="auto"/>
                <w:kern w:val="0"/>
                <w:szCs w:val="24"/>
                <w:highlight w:val="none"/>
                <w:lang w:val="en-US" w:eastAsia="zh-CN"/>
              </w:rPr>
              <w:t>供应商</w:t>
            </w:r>
            <w:r>
              <w:rPr>
                <w:rFonts w:hint="eastAsia" w:ascii="宋体" w:hAnsi="宋体" w:cs="宋体"/>
                <w:color w:val="auto"/>
                <w:kern w:val="0"/>
                <w:szCs w:val="24"/>
                <w:highlight w:val="none"/>
              </w:rPr>
              <w:t>自行负责。</w:t>
            </w:r>
          </w:p>
        </w:tc>
      </w:tr>
      <w:tr w14:paraId="27842196">
        <w:tblPrEx>
          <w:tblCellMar>
            <w:top w:w="0" w:type="dxa"/>
            <w:left w:w="0" w:type="dxa"/>
            <w:bottom w:w="0" w:type="dxa"/>
            <w:right w:w="0" w:type="dxa"/>
          </w:tblCellMar>
        </w:tblPrEx>
        <w:trPr>
          <w:trHeight w:val="2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5207DD7">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3.1.1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FB471E6">
            <w:pPr>
              <w:autoSpaceDE w:val="0"/>
              <w:autoSpaceDN w:val="0"/>
              <w:adjustRightInd w:val="0"/>
              <w:spacing w:before="49" w:line="36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构成响应文件的其他资料</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59577456">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投标截止时间前提交的补充文件及按照评委要求进行的相关澄清。</w:t>
            </w:r>
          </w:p>
        </w:tc>
      </w:tr>
      <w:tr w14:paraId="0D8D45EC">
        <w:tblPrEx>
          <w:tblCellMar>
            <w:top w:w="0" w:type="dxa"/>
            <w:left w:w="0" w:type="dxa"/>
            <w:bottom w:w="0" w:type="dxa"/>
            <w:right w:w="0" w:type="dxa"/>
          </w:tblCellMar>
        </w:tblPrEx>
        <w:trPr>
          <w:trHeight w:val="642"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65C9B40">
            <w:pPr>
              <w:autoSpaceDE w:val="0"/>
              <w:autoSpaceDN w:val="0"/>
              <w:adjustRightInd w:val="0"/>
              <w:spacing w:line="240" w:lineRule="auto"/>
              <w:ind w:left="0" w:leftChars="0" w:right="-20"/>
              <w:jc w:val="center"/>
              <w:rPr>
                <w:rFonts w:ascii="宋体" w:hAnsi="宋体" w:cs="宋体"/>
                <w:color w:val="auto"/>
                <w:spacing w:val="-2"/>
                <w:kern w:val="0"/>
                <w:szCs w:val="24"/>
                <w:highlight w:val="none"/>
              </w:rPr>
            </w:pPr>
            <w:r>
              <w:rPr>
                <w:rFonts w:hint="eastAsia" w:ascii="宋体" w:hAnsi="宋体" w:cs="宋体"/>
                <w:color w:val="auto"/>
                <w:spacing w:val="-2"/>
                <w:kern w:val="0"/>
                <w:szCs w:val="24"/>
                <w:highlight w:val="none"/>
              </w:rPr>
              <w:t>3.2.1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F65CCCD">
            <w:pPr>
              <w:autoSpaceDE w:val="0"/>
              <w:autoSpaceDN w:val="0"/>
              <w:adjustRightInd w:val="0"/>
              <w:spacing w:before="49" w:line="24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税金</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604CF58D">
            <w:pPr>
              <w:autoSpaceDE w:val="0"/>
              <w:autoSpaceDN w:val="0"/>
              <w:adjustRightInd w:val="0"/>
              <w:spacing w:before="49" w:line="24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按照采购人要求及国家相关法律法规执行。</w:t>
            </w:r>
          </w:p>
        </w:tc>
      </w:tr>
      <w:tr w14:paraId="067093A4">
        <w:tblPrEx>
          <w:tblCellMar>
            <w:top w:w="0" w:type="dxa"/>
            <w:left w:w="0" w:type="dxa"/>
            <w:bottom w:w="0" w:type="dxa"/>
            <w:right w:w="0" w:type="dxa"/>
          </w:tblCellMar>
        </w:tblPrEx>
        <w:trPr>
          <w:trHeight w:val="471"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0923AA7">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3.2.4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9BF9E95">
            <w:pPr>
              <w:autoSpaceDE w:val="0"/>
              <w:autoSpaceDN w:val="0"/>
              <w:adjustRightInd w:val="0"/>
              <w:spacing w:before="49" w:line="36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最高投标限价</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5D109E2B">
            <w:pPr>
              <w:autoSpaceDE w:val="0"/>
              <w:autoSpaceDN w:val="0"/>
              <w:adjustRightInd w:val="0"/>
              <w:spacing w:before="67" w:line="360" w:lineRule="auto"/>
              <w:ind w:left="17" w:leftChars="0" w:right="-67" w:rightChars="-28" w:hanging="17" w:hangingChars="7"/>
              <w:jc w:val="left"/>
              <w:rPr>
                <w:rFonts w:hint="eastAsia" w:ascii="宋体" w:hAnsi="宋体" w:cs="宋体"/>
                <w:b/>
                <w:color w:val="auto"/>
                <w:kern w:val="0"/>
                <w:szCs w:val="24"/>
                <w:highlight w:val="none"/>
              </w:rPr>
            </w:pPr>
            <w:r>
              <w:rPr>
                <w:rFonts w:hint="eastAsia" w:ascii="宋体" w:hAnsi="宋体" w:cs="宋体"/>
                <w:b/>
                <w:color w:val="auto"/>
                <w:kern w:val="0"/>
                <w:szCs w:val="24"/>
                <w:highlight w:val="none"/>
              </w:rPr>
              <w:t>最高投标限价：</w:t>
            </w:r>
            <w:r>
              <w:rPr>
                <w:rFonts w:hint="eastAsia" w:ascii="宋体" w:hAnsi="宋体" w:cs="宋体"/>
                <w:b/>
                <w:color w:val="auto"/>
                <w:kern w:val="0"/>
                <w:szCs w:val="24"/>
                <w:highlight w:val="none"/>
                <w:u w:val="single"/>
                <w:lang w:val="en-US" w:eastAsia="zh-CN"/>
              </w:rPr>
              <w:t>2209347</w:t>
            </w:r>
            <w:r>
              <w:rPr>
                <w:rFonts w:hint="eastAsia" w:ascii="宋体" w:hAnsi="宋体" w:cs="宋体"/>
                <w:b/>
                <w:color w:val="auto"/>
                <w:kern w:val="0"/>
                <w:szCs w:val="24"/>
                <w:highlight w:val="none"/>
                <w:u w:val="single"/>
              </w:rPr>
              <w:t>.00</w:t>
            </w:r>
            <w:r>
              <w:rPr>
                <w:rFonts w:hint="eastAsia" w:ascii="宋体" w:hAnsi="宋体" w:cs="宋体"/>
                <w:b/>
                <w:color w:val="auto"/>
                <w:kern w:val="0"/>
                <w:szCs w:val="24"/>
                <w:highlight w:val="none"/>
              </w:rPr>
              <w:t>元。</w:t>
            </w:r>
          </w:p>
          <w:p w14:paraId="471BBA99">
            <w:pPr>
              <w:autoSpaceDE w:val="0"/>
              <w:autoSpaceDN w:val="0"/>
              <w:adjustRightInd w:val="0"/>
              <w:spacing w:before="67" w:line="360" w:lineRule="auto"/>
              <w:ind w:left="17" w:leftChars="0" w:right="-67" w:rightChars="-28" w:hanging="17" w:hangingChars="7"/>
              <w:jc w:val="left"/>
              <w:rPr>
                <w:rFonts w:hint="eastAsia" w:ascii="宋体" w:hAnsi="宋体" w:cs="宋体"/>
                <w:b/>
                <w:color w:val="auto"/>
                <w:kern w:val="0"/>
                <w:szCs w:val="24"/>
                <w:highlight w:val="none"/>
              </w:rPr>
            </w:pPr>
            <w:r>
              <w:rPr>
                <w:rFonts w:hint="eastAsia" w:ascii="宋体" w:hAnsi="宋体" w:cs="宋体"/>
                <w:b/>
                <w:color w:val="auto"/>
                <w:kern w:val="0"/>
                <w:szCs w:val="24"/>
                <w:highlight w:val="none"/>
                <w:lang w:val="en-US" w:eastAsia="zh-CN"/>
              </w:rPr>
              <w:t>供应商</w:t>
            </w:r>
            <w:r>
              <w:rPr>
                <w:rFonts w:hint="eastAsia" w:ascii="宋体" w:hAnsi="宋体" w:cs="宋体"/>
                <w:b/>
                <w:color w:val="auto"/>
                <w:kern w:val="0"/>
                <w:szCs w:val="24"/>
                <w:highlight w:val="none"/>
              </w:rPr>
              <w:t>的投标报价不得超过最高投标限价，否则作无效投标处理。</w:t>
            </w:r>
          </w:p>
        </w:tc>
      </w:tr>
      <w:tr w14:paraId="55E16EBD">
        <w:tblPrEx>
          <w:tblCellMar>
            <w:top w:w="0" w:type="dxa"/>
            <w:left w:w="0" w:type="dxa"/>
            <w:bottom w:w="0" w:type="dxa"/>
            <w:right w:w="0" w:type="dxa"/>
          </w:tblCellMar>
        </w:tblPrEx>
        <w:trPr>
          <w:trHeight w:val="2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C8F4964">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3.2.5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015F78F">
            <w:pPr>
              <w:autoSpaceDE w:val="0"/>
              <w:autoSpaceDN w:val="0"/>
              <w:adjustRightInd w:val="0"/>
              <w:spacing w:before="49" w:line="360" w:lineRule="auto"/>
              <w:ind w:left="19" w:leftChars="0" w:right="-20" w:hanging="19" w:hangingChars="8"/>
              <w:jc w:val="center"/>
              <w:rPr>
                <w:rFonts w:ascii="宋体" w:hAnsi="宋体" w:cs="宋体"/>
                <w:color w:val="auto"/>
                <w:kern w:val="0"/>
                <w:szCs w:val="24"/>
                <w:highlight w:val="none"/>
              </w:rPr>
            </w:pPr>
            <w:r>
              <w:rPr>
                <w:rFonts w:hint="eastAsia" w:ascii="宋体" w:hAnsi="宋体" w:cs="宋体"/>
                <w:color w:val="auto"/>
                <w:kern w:val="0"/>
                <w:szCs w:val="24"/>
                <w:highlight w:val="none"/>
              </w:rPr>
              <w:t>投标报价的其他要求</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4480D8FA">
            <w:pPr>
              <w:autoSpaceDE w:val="0"/>
              <w:autoSpaceDN w:val="0"/>
              <w:adjustRightInd w:val="0"/>
              <w:spacing w:before="49" w:line="360" w:lineRule="auto"/>
              <w:ind w:left="16" w:leftChars="0" w:right="-67" w:rightChars="-28" w:hanging="16" w:hangingChars="7"/>
              <w:jc w:val="left"/>
              <w:rPr>
                <w:rFonts w:hint="eastAsia" w:eastAsia="宋体"/>
                <w:color w:val="auto"/>
                <w:szCs w:val="24"/>
                <w:highlight w:val="none"/>
                <w:lang w:eastAsia="zh-CN"/>
              </w:rPr>
            </w:pPr>
            <w:r>
              <w:rPr>
                <w:rFonts w:hint="eastAsia" w:ascii="宋体" w:hAnsi="宋体" w:eastAsia="宋体" w:cs="宋体"/>
                <w:color w:val="auto"/>
                <w:szCs w:val="24"/>
                <w:highlight w:val="none"/>
              </w:rPr>
              <w:t>1.</w:t>
            </w:r>
            <w:r>
              <w:rPr>
                <w:rFonts w:hint="eastAsia"/>
                <w:color w:val="auto"/>
                <w:szCs w:val="24"/>
                <w:highlight w:val="none"/>
              </w:rPr>
              <w:t>报价形式：以人民币报价，报价形式为总价</w:t>
            </w:r>
            <w:r>
              <w:rPr>
                <w:rFonts w:hint="eastAsia"/>
                <w:color w:val="auto"/>
                <w:szCs w:val="24"/>
                <w:highlight w:val="none"/>
                <w:lang w:val="en-US" w:eastAsia="zh-CN"/>
              </w:rPr>
              <w:t>报价</w:t>
            </w:r>
            <w:r>
              <w:rPr>
                <w:rFonts w:hint="eastAsia"/>
                <w:color w:val="auto"/>
                <w:szCs w:val="24"/>
                <w:highlight w:val="none"/>
                <w:lang w:eastAsia="zh-CN"/>
              </w:rPr>
              <w:t>。</w:t>
            </w:r>
          </w:p>
          <w:p w14:paraId="6012EDA9">
            <w:pPr>
              <w:autoSpaceDE w:val="0"/>
              <w:autoSpaceDN w:val="0"/>
              <w:adjustRightInd w:val="0"/>
              <w:spacing w:before="49" w:line="360" w:lineRule="auto"/>
              <w:ind w:left="16" w:leftChars="0" w:right="-67" w:rightChars="-28" w:hanging="16" w:hangingChars="7"/>
              <w:jc w:val="left"/>
              <w:rPr>
                <w:color w:val="auto"/>
                <w:szCs w:val="24"/>
                <w:highlight w:val="none"/>
              </w:rPr>
            </w:pPr>
            <w:r>
              <w:rPr>
                <w:rFonts w:hint="eastAsia" w:ascii="宋体" w:hAnsi="宋体" w:eastAsia="宋体" w:cs="宋体"/>
                <w:color w:val="auto"/>
                <w:szCs w:val="24"/>
                <w:highlight w:val="none"/>
                <w:lang w:val="en-US" w:eastAsia="zh-CN"/>
              </w:rPr>
              <w:t>2.</w:t>
            </w:r>
            <w:r>
              <w:rPr>
                <w:rFonts w:hint="eastAsia"/>
                <w:color w:val="auto"/>
                <w:szCs w:val="24"/>
                <w:highlight w:val="none"/>
              </w:rPr>
              <w:t>供应商的报价应包含采购范围内的人工、材料、产品及备品备件、特殊工具费、包装费、运输费、保险费、装卸费、安装调试费、质量检测费、税金、培训、售后服务及技术支持、不可预见费等所有费用。漏算的费用均认为已包括在投标报价中，供应商不得再要求追加任何费用。</w:t>
            </w:r>
          </w:p>
        </w:tc>
      </w:tr>
      <w:tr w14:paraId="67C19F76">
        <w:tblPrEx>
          <w:tblCellMar>
            <w:top w:w="0" w:type="dxa"/>
            <w:left w:w="0" w:type="dxa"/>
            <w:bottom w:w="0" w:type="dxa"/>
            <w:right w:w="0" w:type="dxa"/>
          </w:tblCellMar>
        </w:tblPrEx>
        <w:trPr>
          <w:trHeight w:val="509"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5D31A80">
            <w:pPr>
              <w:autoSpaceDE w:val="0"/>
              <w:autoSpaceDN w:val="0"/>
              <w:adjustRightInd w:val="0"/>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3.3.1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AB725F">
            <w:pPr>
              <w:autoSpaceDE w:val="0"/>
              <w:autoSpaceDN w:val="0"/>
              <w:adjustRightInd w:val="0"/>
              <w:ind w:left="19" w:leftChars="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投标有效期</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0722C084">
            <w:pPr>
              <w:autoSpaceDE w:val="0"/>
              <w:autoSpaceDN w:val="0"/>
              <w:adjustRightInd w:val="0"/>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90日（自投标截止之日起算）</w:t>
            </w:r>
          </w:p>
        </w:tc>
      </w:tr>
      <w:tr w14:paraId="026AFC3E">
        <w:tblPrEx>
          <w:tblCellMar>
            <w:top w:w="0" w:type="dxa"/>
            <w:left w:w="0" w:type="dxa"/>
            <w:bottom w:w="0" w:type="dxa"/>
            <w:right w:w="0" w:type="dxa"/>
          </w:tblCellMar>
        </w:tblPrEx>
        <w:trPr>
          <w:trHeight w:val="2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1B7D785">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3.4.1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4403284">
            <w:pPr>
              <w:autoSpaceDE w:val="0"/>
              <w:autoSpaceDN w:val="0"/>
              <w:adjustRightInd w:val="0"/>
              <w:spacing w:before="49" w:line="36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投标保证金</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092AD3A9">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提交方式：</w:t>
            </w:r>
            <w:r>
              <w:rPr>
                <w:rFonts w:hint="eastAsia" w:ascii="宋体" w:hAnsi="宋体" w:cs="宋体"/>
                <w:color w:val="auto"/>
                <w:szCs w:val="24"/>
                <w:highlight w:val="none"/>
              </w:rPr>
              <w:t xml:space="preserve">银行转账、银行保函、保证保险、合法担保机构出具的担保  </w:t>
            </w:r>
          </w:p>
          <w:p w14:paraId="689D9746">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投标保证金缴纳要求：</w:t>
            </w:r>
          </w:p>
          <w:p w14:paraId="41AB8B68">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（1）保证金金额：</w:t>
            </w:r>
            <w:r>
              <w:rPr>
                <w:rFonts w:hint="eastAsia" w:ascii="宋体" w:hAnsi="宋体" w:cs="宋体"/>
                <w:color w:val="auto"/>
                <w:kern w:val="0"/>
                <w:szCs w:val="24"/>
                <w:highlight w:val="none"/>
                <w:u w:val="single"/>
                <w:lang w:val="en-US" w:eastAsia="zh-CN"/>
              </w:rPr>
              <w:t>3</w:t>
            </w:r>
            <w:r>
              <w:rPr>
                <w:rFonts w:hint="eastAsia" w:ascii="宋体" w:hAnsi="宋体" w:cs="宋体"/>
                <w:color w:val="auto"/>
                <w:kern w:val="0"/>
                <w:szCs w:val="24"/>
                <w:highlight w:val="none"/>
                <w:u w:val="single"/>
              </w:rPr>
              <w:t>万</w:t>
            </w:r>
            <w:r>
              <w:rPr>
                <w:rFonts w:hint="eastAsia" w:ascii="宋体" w:hAnsi="宋体" w:cs="宋体"/>
                <w:color w:val="auto"/>
                <w:kern w:val="0"/>
                <w:szCs w:val="24"/>
                <w:highlight w:val="none"/>
              </w:rPr>
              <w:t>元整</w:t>
            </w:r>
            <w:r>
              <w:rPr>
                <w:rFonts w:hint="eastAsia" w:ascii="宋体" w:hAnsi="宋体" w:cs="宋体"/>
                <w:b/>
                <w:bCs/>
                <w:color w:val="auto"/>
                <w:kern w:val="0"/>
                <w:szCs w:val="24"/>
                <w:highlight w:val="none"/>
              </w:rPr>
              <w:t>。</w:t>
            </w:r>
          </w:p>
          <w:p w14:paraId="0D78A05A">
            <w:pPr>
              <w:autoSpaceDE w:val="0"/>
              <w:autoSpaceDN w:val="0"/>
              <w:adjustRightInd w:val="0"/>
              <w:spacing w:before="49" w:line="360" w:lineRule="auto"/>
              <w:ind w:left="16" w:leftChars="0" w:right="-67" w:rightChars="-28" w:hanging="16" w:hangingChars="7"/>
              <w:jc w:val="left"/>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（2）保证金收取截止时间：</w:t>
            </w:r>
            <w:r>
              <w:rPr>
                <w:rFonts w:hint="eastAsia" w:ascii="宋体" w:hAnsi="宋体" w:eastAsia="宋体" w:cs="宋体"/>
                <w:i w:val="0"/>
                <w:iCs w:val="0"/>
                <w:caps w:val="0"/>
                <w:color w:val="auto"/>
                <w:spacing w:val="0"/>
                <w:sz w:val="24"/>
                <w:szCs w:val="24"/>
                <w:highlight w:val="none"/>
                <w:shd w:val="clear" w:color="auto" w:fill="FFFFFF"/>
              </w:rPr>
              <w:t>提交投标文件截止时间</w:t>
            </w:r>
            <w:r>
              <w:rPr>
                <w:rFonts w:hint="eastAsia" w:ascii="宋体" w:hAnsi="宋体" w:cs="宋体"/>
                <w:color w:val="auto"/>
                <w:kern w:val="0"/>
                <w:szCs w:val="24"/>
                <w:highlight w:val="none"/>
                <w:lang w:eastAsia="zh-CN"/>
              </w:rPr>
              <w:t>。</w:t>
            </w:r>
          </w:p>
          <w:p w14:paraId="58F55BB8">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（3）保证金缴纳流程：</w:t>
            </w:r>
          </w:p>
          <w:p w14:paraId="7FB03CEA">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①保证金收取（到账）截止时间：开标时间。保证金缴纳后在贵州省公共资源交易公共服务平台中打印保证金缴纳证明材料附响应文件中，否则可视为未缴纳保证金；</w:t>
            </w:r>
          </w:p>
          <w:p w14:paraId="0A37FF60">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②贵州省公共资源交易中心交易系统（2020 试运行版）采用保证金与项目绑定的模式，请交纳保证金后及时绑定要投标的项目，绑定后保证金生效；</w:t>
            </w:r>
          </w:p>
          <w:p w14:paraId="092BBEB8">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③在交纳保证金前，请先在交易系统的“企业诚信管理系统—企业基本信息—银行账户”下验证“开户银行、基本账户号、基本户开户支行号、基本户账户名称”等信息是否正确完善。检查完毕后，通过基本账户将保证金转入贵州省公共资源交易中心保证金账户。</w:t>
            </w:r>
          </w:p>
          <w:p w14:paraId="528355A5">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开户名称：贵州省公共资源交易中心</w:t>
            </w:r>
          </w:p>
          <w:p w14:paraId="7EB4D183">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开 户 行：贵州银行股份有限公司贵阳展览馆支行</w:t>
            </w:r>
          </w:p>
          <w:p w14:paraId="499DDE3B">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 xml:space="preserve">账 号：0109001400000182-0002 </w:t>
            </w:r>
          </w:p>
          <w:p w14:paraId="1E6141CD">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（4）交易中心系统特别提示：贵州省公共资源交易系统2020试运行版以银行转账方式交纳的投标保证</w:t>
            </w:r>
            <w:r>
              <w:rPr>
                <w:rFonts w:hint="eastAsia" w:ascii="宋体" w:hAnsi="宋体" w:cs="宋体"/>
                <w:color w:val="auto"/>
                <w:kern w:val="0"/>
                <w:szCs w:val="24"/>
                <w:highlight w:val="none"/>
                <w:lang w:val="en-US" w:eastAsia="zh-CN"/>
              </w:rPr>
              <w:t>金</w:t>
            </w:r>
            <w:r>
              <w:rPr>
                <w:rFonts w:hint="eastAsia" w:ascii="宋体" w:hAnsi="宋体" w:cs="宋体"/>
                <w:color w:val="auto"/>
                <w:kern w:val="0"/>
                <w:szCs w:val="24"/>
                <w:highlight w:val="none"/>
              </w:rPr>
              <w:t>，须由</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在投标截止时间前自行在系统内与参与投标项目进行绑定。未与绑定的，将视为未交纳投标保证金，不能参加投标。</w:t>
            </w:r>
          </w:p>
          <w:p w14:paraId="4E84037D">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（5）通过公共资源交易综合金融服务平台开具的电子银行保函、合法担保机构出具的担保、保证保险，可直接在交易系统中确认。</w:t>
            </w:r>
          </w:p>
          <w:p w14:paraId="50012CE6">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（6）投标保证金以保函或担保等方式缴纳的：①</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通过贵州省公共资源交易综合金融服务平台PC端或移动端（贵州交易通APP）在线办理的电子保函：包含银行保函、保证保险、担保保函等（注：其内容应载有采购人名称、</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名称、项目名称、标段名称、保证金金额、有效期，且其有效期应不小于投标有效期），可直接在交易系统中确认；②对贵州省公共资源交易综合金融服务平台以外办理的投标保函（含纸质保函），应在交易系统中选择“纸质保函”缴纳方式，并上传保函扫描件，上传内容确保清晰可见。采购人（代理机构）在开标时对其进行真伪验证，通过上传保函中提供的在线官网地址进行查验，检查未通过或不能查验的视为未按规定缴纳投标保证金</w:t>
            </w:r>
            <w:r>
              <w:rPr>
                <w:rFonts w:hint="eastAsia" w:ascii="宋体" w:hAnsi="宋体" w:cs="宋体"/>
                <w:color w:val="auto"/>
                <w:kern w:val="0"/>
                <w:szCs w:val="24"/>
                <w:highlight w:val="none"/>
                <w:lang w:eastAsia="zh-CN"/>
              </w:rPr>
              <w:t>。</w:t>
            </w:r>
          </w:p>
          <w:p w14:paraId="218D88B4">
            <w:pPr>
              <w:wordWrap w:val="0"/>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（7）各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缴纳和退还投标保证金，按贵州省公共资源交易中心相关规定办理；缴纳保证金的流程</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（详见 http://ggzy.guizhou.gov.cn/fwzn/xzzx/czsc/202008/t20200820_62579611.html，“2020版交易系统保证金操作手册”）</w:t>
            </w:r>
          </w:p>
          <w:p w14:paraId="37F596E0">
            <w:pPr>
              <w:wordWrap w:val="0"/>
              <w:autoSpaceDE w:val="0"/>
              <w:autoSpaceDN w:val="0"/>
              <w:adjustRightInd w:val="0"/>
              <w:spacing w:before="49" w:line="360" w:lineRule="auto"/>
              <w:ind w:left="16" w:leftChars="0" w:right="-67" w:rightChars="-28" w:hanging="16" w:hangingChars="7"/>
              <w:jc w:val="left"/>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保证金缴纳咨询电话：0851-85972202、0851-85972802</w:t>
            </w:r>
          </w:p>
        </w:tc>
      </w:tr>
      <w:tr w14:paraId="45F81167">
        <w:tblPrEx>
          <w:tblCellMar>
            <w:top w:w="0" w:type="dxa"/>
            <w:left w:w="0" w:type="dxa"/>
            <w:bottom w:w="0" w:type="dxa"/>
            <w:right w:w="0" w:type="dxa"/>
          </w:tblCellMar>
        </w:tblPrEx>
        <w:trPr>
          <w:trHeight w:val="2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A2AE3A1">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3.4.4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8F9D6D">
            <w:pPr>
              <w:autoSpaceDE w:val="0"/>
              <w:autoSpaceDN w:val="0"/>
              <w:adjustRightInd w:val="0"/>
              <w:spacing w:before="49" w:line="36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其他可以不予退还投标保证金的情形</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7AB50910">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（1）在投标有效期内供应商撤销响应文件的</w:t>
            </w:r>
            <w:r>
              <w:rPr>
                <w:rFonts w:hint="eastAsia" w:ascii="宋体" w:hAnsi="宋体" w:cs="宋体"/>
                <w:color w:val="auto"/>
                <w:kern w:val="0"/>
                <w:szCs w:val="24"/>
                <w:highlight w:val="none"/>
                <w:lang w:eastAsia="zh-CN"/>
              </w:rPr>
              <w:t>。</w:t>
            </w:r>
          </w:p>
          <w:p w14:paraId="112827E3">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（2）中标人在签订合同时向采购人提出附加条件的，或者拒绝提交履约担保的，或者自愿放弃中标的，或者在采购文件规定时间内</w:t>
            </w:r>
            <w:r>
              <w:rPr>
                <w:rFonts w:hint="eastAsia" w:ascii="宋体" w:hAnsi="宋体" w:cs="宋体"/>
                <w:color w:val="auto"/>
                <w:kern w:val="0"/>
                <w:szCs w:val="24"/>
                <w:highlight w:val="none"/>
                <w:lang w:val="en-US" w:eastAsia="zh-CN"/>
              </w:rPr>
              <w:t>无正当理由</w:t>
            </w:r>
            <w:r>
              <w:rPr>
                <w:rFonts w:hint="eastAsia" w:ascii="宋体" w:hAnsi="宋体" w:cs="宋体"/>
                <w:color w:val="auto"/>
                <w:kern w:val="0"/>
                <w:szCs w:val="24"/>
                <w:highlight w:val="none"/>
              </w:rPr>
              <w:t>不签订合同的</w:t>
            </w:r>
            <w:r>
              <w:rPr>
                <w:rFonts w:hint="eastAsia" w:ascii="宋体" w:hAnsi="宋体" w:cs="宋体"/>
                <w:color w:val="auto"/>
                <w:kern w:val="0"/>
                <w:szCs w:val="24"/>
                <w:highlight w:val="none"/>
                <w:lang w:eastAsia="zh-CN"/>
              </w:rPr>
              <w:t>。</w:t>
            </w:r>
          </w:p>
          <w:p w14:paraId="45E1CB52">
            <w:pPr>
              <w:autoSpaceDE w:val="0"/>
              <w:autoSpaceDN w:val="0"/>
              <w:adjustRightInd w:val="0"/>
              <w:spacing w:before="49" w:line="360" w:lineRule="auto"/>
              <w:ind w:left="16" w:leftChars="0" w:right="-67" w:rightChars="-28" w:hanging="16" w:hangingChars="7"/>
              <w:jc w:val="left"/>
              <w:rPr>
                <w:rFonts w:hint="default" w:ascii="宋体" w:hAnsi="宋体" w:cs="宋体"/>
                <w:color w:val="auto"/>
                <w:kern w:val="0"/>
                <w:szCs w:val="24"/>
                <w:highlight w:val="none"/>
                <w:lang w:val="en-US"/>
              </w:rPr>
            </w:pPr>
            <w:r>
              <w:rPr>
                <w:rFonts w:hint="eastAsia" w:ascii="宋体" w:hAnsi="宋体" w:cs="宋体"/>
                <w:color w:val="auto"/>
                <w:kern w:val="0"/>
                <w:szCs w:val="24"/>
                <w:highlight w:val="none"/>
              </w:rPr>
              <w:t>（3）响应文件中提供虚假材料的</w:t>
            </w:r>
            <w:r>
              <w:rPr>
                <w:rFonts w:hint="eastAsia" w:ascii="宋体" w:hAnsi="宋体" w:cs="宋体"/>
                <w:color w:val="auto"/>
                <w:kern w:val="0"/>
                <w:szCs w:val="24"/>
                <w:highlight w:val="none"/>
                <w:lang w:eastAsia="zh-CN"/>
              </w:rPr>
              <w:t>。</w:t>
            </w:r>
          </w:p>
          <w:p w14:paraId="529362F9">
            <w:pPr>
              <w:autoSpaceDE w:val="0"/>
              <w:autoSpaceDN w:val="0"/>
              <w:adjustRightInd w:val="0"/>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（4）</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行贿企图谋取中标的。</w:t>
            </w:r>
          </w:p>
        </w:tc>
      </w:tr>
      <w:tr w14:paraId="19DD3381">
        <w:tblPrEx>
          <w:tblCellMar>
            <w:top w:w="0" w:type="dxa"/>
            <w:left w:w="0" w:type="dxa"/>
            <w:bottom w:w="0" w:type="dxa"/>
            <w:right w:w="0" w:type="dxa"/>
          </w:tblCellMar>
        </w:tblPrEx>
        <w:trPr>
          <w:trHeight w:val="66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25B429E">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3.6.1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052CFD">
            <w:pPr>
              <w:autoSpaceDE w:val="0"/>
              <w:autoSpaceDN w:val="0"/>
              <w:adjustRightInd w:val="0"/>
              <w:spacing w:line="36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是否</w:t>
            </w:r>
            <w:r>
              <w:rPr>
                <w:rFonts w:hint="eastAsia" w:ascii="宋体" w:hAnsi="宋体" w:cs="宋体"/>
                <w:color w:val="auto"/>
                <w:spacing w:val="-2"/>
                <w:kern w:val="0"/>
                <w:szCs w:val="24"/>
                <w:highlight w:val="none"/>
              </w:rPr>
              <w:t>允</w:t>
            </w:r>
            <w:r>
              <w:rPr>
                <w:rFonts w:hint="eastAsia" w:ascii="宋体" w:hAnsi="宋体" w:cs="宋体"/>
                <w:color w:val="auto"/>
                <w:kern w:val="0"/>
                <w:szCs w:val="24"/>
                <w:highlight w:val="none"/>
              </w:rPr>
              <w:t>许</w:t>
            </w:r>
            <w:r>
              <w:rPr>
                <w:rFonts w:hint="eastAsia" w:ascii="宋体" w:hAnsi="宋体" w:cs="宋体"/>
                <w:color w:val="auto"/>
                <w:spacing w:val="-2"/>
                <w:kern w:val="0"/>
                <w:szCs w:val="24"/>
                <w:highlight w:val="none"/>
              </w:rPr>
              <w:t>递</w:t>
            </w:r>
            <w:r>
              <w:rPr>
                <w:rFonts w:hint="eastAsia" w:ascii="宋体" w:hAnsi="宋体" w:cs="宋体"/>
                <w:color w:val="auto"/>
                <w:kern w:val="0"/>
                <w:szCs w:val="24"/>
                <w:highlight w:val="none"/>
              </w:rPr>
              <w:t>交</w:t>
            </w:r>
            <w:r>
              <w:rPr>
                <w:rFonts w:hint="eastAsia" w:ascii="宋体" w:hAnsi="宋体" w:cs="宋体"/>
                <w:color w:val="auto"/>
                <w:spacing w:val="-2"/>
                <w:kern w:val="0"/>
                <w:szCs w:val="24"/>
                <w:highlight w:val="none"/>
              </w:rPr>
              <w:t>备</w:t>
            </w:r>
            <w:r>
              <w:rPr>
                <w:rFonts w:hint="eastAsia" w:ascii="宋体" w:hAnsi="宋体" w:cs="宋体"/>
                <w:color w:val="auto"/>
                <w:kern w:val="0"/>
                <w:szCs w:val="24"/>
                <w:highlight w:val="none"/>
              </w:rPr>
              <w:t>选</w:t>
            </w:r>
            <w:r>
              <w:rPr>
                <w:rFonts w:hint="eastAsia" w:ascii="宋体" w:hAnsi="宋体" w:cs="宋体"/>
                <w:color w:val="auto"/>
                <w:spacing w:val="-2"/>
                <w:kern w:val="0"/>
                <w:szCs w:val="24"/>
                <w:highlight w:val="none"/>
              </w:rPr>
              <w:t>投</w:t>
            </w:r>
            <w:r>
              <w:rPr>
                <w:rFonts w:hint="eastAsia" w:ascii="宋体" w:hAnsi="宋体" w:cs="宋体"/>
                <w:color w:val="auto"/>
                <w:kern w:val="0"/>
                <w:szCs w:val="24"/>
                <w:highlight w:val="none"/>
              </w:rPr>
              <w:t>标</w:t>
            </w:r>
            <w:r>
              <w:rPr>
                <w:rFonts w:hint="eastAsia" w:ascii="宋体" w:hAnsi="宋体" w:cs="宋体"/>
                <w:color w:val="auto"/>
                <w:spacing w:val="-2"/>
                <w:kern w:val="0"/>
                <w:szCs w:val="24"/>
                <w:highlight w:val="none"/>
              </w:rPr>
              <w:t>方</w:t>
            </w:r>
            <w:r>
              <w:rPr>
                <w:rFonts w:hint="eastAsia" w:ascii="宋体" w:hAnsi="宋体" w:cs="宋体"/>
                <w:color w:val="auto"/>
                <w:kern w:val="0"/>
                <w:szCs w:val="24"/>
                <w:highlight w:val="none"/>
              </w:rPr>
              <w:t>案</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24BC53E5">
            <w:pPr>
              <w:autoSpaceDE w:val="0"/>
              <w:autoSpaceDN w:val="0"/>
              <w:adjustRightInd w:val="0"/>
              <w:spacing w:before="46"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不允许</w:t>
            </w:r>
          </w:p>
        </w:tc>
      </w:tr>
      <w:tr w14:paraId="4A456314">
        <w:tblPrEx>
          <w:tblCellMar>
            <w:top w:w="0" w:type="dxa"/>
            <w:left w:w="0" w:type="dxa"/>
            <w:bottom w:w="0" w:type="dxa"/>
            <w:right w:w="0" w:type="dxa"/>
          </w:tblCellMar>
        </w:tblPrEx>
        <w:trPr>
          <w:trHeight w:val="132"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6BA0DAF">
            <w:pPr>
              <w:autoSpaceDE w:val="0"/>
              <w:autoSpaceDN w:val="0"/>
              <w:adjustRightInd w:val="0"/>
              <w:spacing w:line="36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3.7.</w:t>
            </w:r>
            <w:r>
              <w:rPr>
                <w:rFonts w:hint="eastAsia" w:ascii="宋体" w:hAnsi="宋体" w:cs="宋体"/>
                <w:color w:val="auto"/>
                <w:spacing w:val="-2"/>
                <w:kern w:val="0"/>
                <w:szCs w:val="24"/>
                <w:highlight w:val="none"/>
                <w:lang w:val="en-US" w:eastAsia="zh-CN"/>
              </w:rPr>
              <w:t>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5C9E12">
            <w:pPr>
              <w:autoSpaceDE w:val="0"/>
              <w:autoSpaceDN w:val="0"/>
              <w:adjustRightInd w:val="0"/>
              <w:spacing w:line="360" w:lineRule="auto"/>
              <w:ind w:left="19" w:leftChars="0" w:right="-20" w:hanging="19" w:hangingChars="8"/>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响应文件</w:t>
            </w:r>
            <w:r>
              <w:rPr>
                <w:rFonts w:hint="eastAsia" w:ascii="宋体" w:hAnsi="宋体" w:cs="宋体"/>
                <w:color w:val="auto"/>
                <w:kern w:val="0"/>
                <w:szCs w:val="24"/>
                <w:highlight w:val="none"/>
                <w:lang w:val="en-US" w:eastAsia="zh-CN"/>
              </w:rPr>
              <w:t>制作</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5357CF52">
            <w:pPr>
              <w:numPr>
                <w:ilvl w:val="0"/>
                <w:numId w:val="0"/>
              </w:numPr>
              <w:wordWrap w:val="0"/>
              <w:autoSpaceDE w:val="0"/>
              <w:autoSpaceDN w:val="0"/>
              <w:adjustRightInd w:val="0"/>
              <w:spacing w:before="49" w:line="360" w:lineRule="auto"/>
              <w:ind w:left="19" w:leftChars="0" w:right="-23" w:hanging="19" w:hangingChars="8"/>
              <w:jc w:val="left"/>
              <w:rPr>
                <w:rFonts w:hint="eastAsia" w:ascii="宋体" w:hAnsi="宋体" w:cs="宋体"/>
                <w:color w:val="auto"/>
                <w:kern w:val="0"/>
                <w:szCs w:val="24"/>
                <w:highlight w:val="none"/>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Cs w:val="24"/>
                <w:highlight w:val="none"/>
              </w:rPr>
              <w:t>通过贵州省公共资源交易公共服务平台下载“投标文件制作工具”编制投标文件，生成电子投标文件，使用数字（CA）证书或移动（CA）证书（贵州交易通APP、标信通APP）进行加密、签章。</w:t>
            </w:r>
          </w:p>
          <w:p w14:paraId="4BB778FA">
            <w:pPr>
              <w:numPr>
                <w:ilvl w:val="0"/>
                <w:numId w:val="0"/>
              </w:numPr>
              <w:wordWrap w:val="0"/>
              <w:autoSpaceDE w:val="0"/>
              <w:autoSpaceDN w:val="0"/>
              <w:adjustRightInd w:val="0"/>
              <w:spacing w:before="49" w:line="360" w:lineRule="auto"/>
              <w:ind w:left="19" w:leftChars="0" w:right="-23" w:hanging="19" w:hangingChars="8"/>
              <w:jc w:val="left"/>
              <w:rPr>
                <w:rFonts w:ascii="宋体" w:hAnsi="宋体" w:cs="宋体"/>
                <w:color w:val="auto"/>
                <w:kern w:val="0"/>
                <w:szCs w:val="24"/>
                <w:highlight w:val="none"/>
              </w:rPr>
            </w:pPr>
            <w:r>
              <w:rPr>
                <w:rFonts w:hint="eastAsia" w:ascii="宋体" w:hAnsi="宋体" w:eastAsia="宋体" w:cs="宋体"/>
                <w:color w:val="auto"/>
                <w:kern w:val="0"/>
                <w:sz w:val="24"/>
                <w:szCs w:val="24"/>
                <w:lang w:val="en-US" w:eastAsia="zh-CN" w:bidi="ar-SA"/>
              </w:rPr>
              <w:t>2、</w:t>
            </w:r>
            <w:r>
              <w:rPr>
                <w:rFonts w:hint="eastAsia" w:ascii="宋体" w:hAnsi="宋体" w:cs="宋体"/>
                <w:color w:val="auto"/>
                <w:kern w:val="0"/>
                <w:szCs w:val="24"/>
              </w:rPr>
              <w:t>本项目为远程不见面电子招标，供应商须在递交响应文件截止时间前将完整的加密电子响应文件（.GPT 格式）上传到贵 州 省 公 共 资 源 交 易 平 台 （ 网 址 ： http ：//ggzy.guizhou.gov.cn），投标截止时间前未完成响应文件传输或撤回响应文件的，视为未递交响应文件。投标截止时间后，贵州省公共资源交易平台不再接收响应文件。</w:t>
            </w:r>
          </w:p>
        </w:tc>
      </w:tr>
      <w:tr w14:paraId="5702AEAB">
        <w:tblPrEx>
          <w:tblCellMar>
            <w:top w:w="0" w:type="dxa"/>
            <w:left w:w="0" w:type="dxa"/>
            <w:bottom w:w="0" w:type="dxa"/>
            <w:right w:w="0" w:type="dxa"/>
          </w:tblCellMar>
        </w:tblPrEx>
        <w:trPr>
          <w:trHeight w:val="132"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1983920">
            <w:pPr>
              <w:autoSpaceDE w:val="0"/>
              <w:autoSpaceDN w:val="0"/>
              <w:adjustRightInd w:val="0"/>
              <w:spacing w:line="360" w:lineRule="auto"/>
              <w:ind w:left="0" w:leftChars="0" w:right="-20"/>
              <w:jc w:val="center"/>
              <w:rPr>
                <w:rFonts w:hint="default" w:ascii="宋体" w:hAnsi="宋体" w:eastAsia="宋体" w:cs="宋体"/>
                <w:color w:val="auto"/>
                <w:spacing w:val="-2"/>
                <w:kern w:val="0"/>
                <w:szCs w:val="24"/>
                <w:highlight w:val="none"/>
                <w:lang w:val="en-US" w:eastAsia="zh-CN"/>
              </w:rPr>
            </w:pPr>
            <w:r>
              <w:rPr>
                <w:rFonts w:hint="eastAsia" w:ascii="宋体" w:hAnsi="宋体" w:cs="宋体"/>
                <w:color w:val="auto"/>
                <w:spacing w:val="-2"/>
                <w:kern w:val="0"/>
                <w:szCs w:val="24"/>
                <w:highlight w:val="none"/>
                <w:lang w:val="en-US" w:eastAsia="zh-CN"/>
              </w:rPr>
              <w:t>3.7.3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A8A3BC">
            <w:pPr>
              <w:autoSpaceDE w:val="0"/>
              <w:autoSpaceDN w:val="0"/>
              <w:adjustRightInd w:val="0"/>
              <w:spacing w:line="360" w:lineRule="auto"/>
              <w:ind w:left="19" w:leftChars="0" w:right="-20" w:hanging="19" w:hangingChars="8"/>
              <w:jc w:val="center"/>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eastAsia="zh-CN"/>
              </w:rPr>
              <w:t>签字或盖章要求</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2415E4AF">
            <w:pPr>
              <w:numPr>
                <w:ilvl w:val="0"/>
                <w:numId w:val="0"/>
              </w:numPr>
              <w:wordWrap w:val="0"/>
              <w:autoSpaceDE w:val="0"/>
              <w:autoSpaceDN w:val="0"/>
              <w:adjustRightInd w:val="0"/>
              <w:spacing w:before="49" w:line="360" w:lineRule="auto"/>
              <w:ind w:left="19" w:leftChars="0" w:right="-23" w:rightChars="0" w:hanging="19" w:hangingChars="8"/>
              <w:jc w:val="left"/>
              <w:rPr>
                <w:rFonts w:hint="eastAsia" w:ascii="宋体" w:hAnsi="宋体" w:cs="宋体"/>
                <w:b/>
                <w:bCs/>
                <w:color w:val="auto"/>
                <w:kern w:val="0"/>
                <w:szCs w:val="24"/>
                <w:highlight w:val="none"/>
                <w:lang w:val="en-US" w:eastAsia="zh-CN"/>
              </w:rPr>
            </w:pPr>
            <w:r>
              <w:rPr>
                <w:rFonts w:hint="eastAsia" w:ascii="宋体" w:hAnsi="宋体" w:cs="宋体"/>
                <w:b/>
                <w:bCs/>
                <w:color w:val="auto"/>
                <w:kern w:val="0"/>
                <w:sz w:val="24"/>
                <w:szCs w:val="24"/>
                <w:highlight w:val="none"/>
                <w:lang w:val="en-US" w:eastAsia="zh-CN" w:bidi="ar-SA"/>
              </w:rPr>
              <w:t>1、</w:t>
            </w:r>
            <w:r>
              <w:rPr>
                <w:rFonts w:hint="eastAsia" w:ascii="宋体" w:hAnsi="宋体" w:cs="宋体"/>
                <w:b/>
                <w:bCs/>
                <w:color w:val="auto"/>
                <w:kern w:val="0"/>
                <w:szCs w:val="24"/>
                <w:highlight w:val="none"/>
                <w:lang w:val="en-US" w:eastAsia="zh-CN"/>
              </w:rPr>
              <w:t>采购文件格式文本中要求法定代表人或委托代理人签字或盖章的，采用已签字的原件或盖章原件扫描上传或电子签章均可，要求盖单位章的可以盖单位公章或电子印章，都具有同等法律效力。</w:t>
            </w:r>
          </w:p>
          <w:p w14:paraId="171C5326">
            <w:pPr>
              <w:autoSpaceDE w:val="0"/>
              <w:autoSpaceDN w:val="0"/>
              <w:adjustRightInd w:val="0"/>
              <w:spacing w:before="49" w:line="360" w:lineRule="auto"/>
              <w:ind w:left="19" w:leftChars="0" w:right="-20" w:hanging="19" w:hangingChars="8"/>
              <w:jc w:val="left"/>
              <w:rPr>
                <w:rFonts w:hint="eastAsia" w:ascii="宋体" w:hAnsi="宋体" w:cs="宋体"/>
                <w:b/>
                <w:bCs/>
                <w:color w:val="auto"/>
                <w:kern w:val="0"/>
                <w:szCs w:val="24"/>
                <w:highlight w:val="green"/>
              </w:rPr>
            </w:pPr>
            <w:r>
              <w:rPr>
                <w:rFonts w:hint="eastAsia" w:ascii="宋体" w:hAnsi="宋体" w:cs="宋体"/>
                <w:color w:val="auto"/>
                <w:kern w:val="0"/>
                <w:szCs w:val="24"/>
                <w:highlight w:val="none"/>
                <w:lang w:val="en-US" w:eastAsia="zh-CN"/>
              </w:rPr>
              <w:t>2、在评标过程中,因电子系统导致的供应商单位公章或法定代表人印章位置有偏差的，在同一页码范围内具有有效签章的,视为已在指定位置签章，不作为无效标条款。</w:t>
            </w:r>
          </w:p>
        </w:tc>
      </w:tr>
      <w:tr w14:paraId="425773FB">
        <w:tblPrEx>
          <w:tblCellMar>
            <w:top w:w="0" w:type="dxa"/>
            <w:left w:w="0" w:type="dxa"/>
            <w:bottom w:w="0" w:type="dxa"/>
            <w:right w:w="0" w:type="dxa"/>
          </w:tblCellMar>
        </w:tblPrEx>
        <w:trPr>
          <w:trHeight w:val="132"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7B91960">
            <w:pPr>
              <w:autoSpaceDE w:val="0"/>
              <w:autoSpaceDN w:val="0"/>
              <w:adjustRightInd w:val="0"/>
              <w:spacing w:line="360" w:lineRule="auto"/>
              <w:ind w:left="0" w:leftChars="0" w:right="-20"/>
              <w:jc w:val="center"/>
              <w:rPr>
                <w:rFonts w:hint="default" w:ascii="宋体" w:hAnsi="宋体" w:cs="宋体"/>
                <w:color w:val="auto"/>
                <w:spacing w:val="-2"/>
                <w:kern w:val="0"/>
                <w:szCs w:val="24"/>
                <w:highlight w:val="none"/>
                <w:lang w:val="en-US" w:eastAsia="zh-CN"/>
              </w:rPr>
            </w:pPr>
            <w:r>
              <w:rPr>
                <w:rFonts w:hint="eastAsia" w:ascii="宋体" w:hAnsi="宋体" w:cs="宋体"/>
                <w:color w:val="auto"/>
                <w:spacing w:val="-2"/>
                <w:kern w:val="0"/>
                <w:szCs w:val="24"/>
                <w:highlight w:val="none"/>
                <w:lang w:val="en-US" w:eastAsia="zh-CN"/>
              </w:rPr>
              <w:t>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5D3A60A">
            <w:pPr>
              <w:autoSpaceDE w:val="0"/>
              <w:autoSpaceDN w:val="0"/>
              <w:adjustRightInd w:val="0"/>
              <w:spacing w:line="360" w:lineRule="auto"/>
              <w:ind w:left="19" w:leftChars="0" w:right="-20" w:hanging="19" w:hangingChars="8"/>
              <w:jc w:val="center"/>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响应文件的加密</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0A533563">
            <w:pPr>
              <w:autoSpaceDE w:val="0"/>
              <w:autoSpaceDN w:val="0"/>
              <w:adjustRightInd w:val="0"/>
              <w:spacing w:before="49" w:line="360" w:lineRule="auto"/>
              <w:ind w:left="19" w:leftChars="0" w:right="-20" w:hanging="19" w:hangingChars="8"/>
              <w:jc w:val="left"/>
              <w:rPr>
                <w:rFonts w:hint="eastAsia" w:ascii="宋体" w:hAnsi="宋体" w:cs="宋体"/>
                <w:b/>
                <w:bCs/>
                <w:color w:val="auto"/>
                <w:kern w:val="0"/>
                <w:szCs w:val="24"/>
                <w:highlight w:val="none"/>
              </w:rPr>
            </w:pPr>
            <w:r>
              <w:rPr>
                <w:rFonts w:hint="eastAsia" w:ascii="宋体" w:hAnsi="宋体" w:cs="宋体"/>
                <w:b w:val="0"/>
                <w:bCs w:val="0"/>
                <w:color w:val="auto"/>
                <w:kern w:val="0"/>
                <w:szCs w:val="24"/>
                <w:highlight w:val="none"/>
                <w:lang w:val="en-US" w:eastAsia="zh-CN"/>
              </w:rPr>
              <w:t>响应</w:t>
            </w:r>
            <w:r>
              <w:rPr>
                <w:rFonts w:hint="eastAsia" w:ascii="宋体" w:hAnsi="宋体" w:cs="宋体"/>
                <w:b w:val="0"/>
                <w:bCs w:val="0"/>
                <w:color w:val="auto"/>
                <w:kern w:val="0"/>
                <w:szCs w:val="24"/>
                <w:highlight w:val="none"/>
              </w:rPr>
              <w:t>文件应通过投标文件制作</w:t>
            </w:r>
            <w:r>
              <w:rPr>
                <w:rFonts w:hint="eastAsia" w:ascii="宋体" w:hAnsi="宋体" w:cs="宋体"/>
                <w:b w:val="0"/>
                <w:bCs w:val="0"/>
                <w:color w:val="auto"/>
                <w:kern w:val="0"/>
                <w:szCs w:val="24"/>
                <w:highlight w:val="none"/>
                <w:lang w:val="en-US" w:eastAsia="zh-CN"/>
              </w:rPr>
              <w:t>工具</w:t>
            </w:r>
            <w:r>
              <w:rPr>
                <w:rFonts w:hint="eastAsia" w:ascii="宋体" w:hAnsi="宋体" w:cs="宋体"/>
                <w:b w:val="0"/>
                <w:bCs w:val="0"/>
                <w:color w:val="auto"/>
                <w:kern w:val="0"/>
                <w:szCs w:val="24"/>
                <w:highlight w:val="none"/>
              </w:rPr>
              <w:t>进行制作，并通过数字证书认证和加密，最终生成一份加密格式的</w:t>
            </w:r>
            <w:r>
              <w:rPr>
                <w:rFonts w:hint="eastAsia" w:ascii="宋体" w:hAnsi="宋体" w:cs="宋体"/>
                <w:b w:val="0"/>
                <w:bCs w:val="0"/>
                <w:color w:val="auto"/>
                <w:kern w:val="0"/>
                <w:szCs w:val="24"/>
                <w:highlight w:val="none"/>
                <w:lang w:val="en-US" w:eastAsia="zh-CN"/>
              </w:rPr>
              <w:t>响应</w:t>
            </w:r>
            <w:r>
              <w:rPr>
                <w:rFonts w:hint="eastAsia" w:ascii="宋体" w:hAnsi="宋体" w:cs="宋体"/>
                <w:b w:val="0"/>
                <w:bCs w:val="0"/>
                <w:color w:val="auto"/>
                <w:kern w:val="0"/>
                <w:szCs w:val="24"/>
                <w:highlight w:val="none"/>
              </w:rPr>
              <w:t>文件。</w:t>
            </w:r>
          </w:p>
        </w:tc>
      </w:tr>
      <w:tr w14:paraId="1308763E">
        <w:tblPrEx>
          <w:tblCellMar>
            <w:top w:w="0" w:type="dxa"/>
            <w:left w:w="0" w:type="dxa"/>
            <w:bottom w:w="0" w:type="dxa"/>
            <w:right w:w="0" w:type="dxa"/>
          </w:tblCellMar>
        </w:tblPrEx>
        <w:trPr>
          <w:trHeight w:val="521"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167E846">
            <w:pPr>
              <w:autoSpaceDE w:val="0"/>
              <w:autoSpaceDN w:val="0"/>
              <w:adjustRightInd w:val="0"/>
              <w:spacing w:line="24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4.2.1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371721">
            <w:pPr>
              <w:autoSpaceDE w:val="0"/>
              <w:autoSpaceDN w:val="0"/>
              <w:adjustRightInd w:val="0"/>
              <w:spacing w:line="24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投标截止时间</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0194AF00">
            <w:pPr>
              <w:autoSpaceDE w:val="0"/>
              <w:autoSpaceDN w:val="0"/>
              <w:adjustRightInd w:val="0"/>
              <w:spacing w:before="48" w:line="240" w:lineRule="auto"/>
              <w:ind w:left="16" w:leftChars="0" w:right="-67" w:rightChars="-28" w:hanging="16" w:hangingChars="7"/>
              <w:jc w:val="left"/>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详见采购公告</w:t>
            </w:r>
          </w:p>
        </w:tc>
      </w:tr>
      <w:tr w14:paraId="613109CE">
        <w:tblPrEx>
          <w:tblCellMar>
            <w:top w:w="0" w:type="dxa"/>
            <w:left w:w="0" w:type="dxa"/>
            <w:bottom w:w="0" w:type="dxa"/>
            <w:right w:w="0" w:type="dxa"/>
          </w:tblCellMar>
        </w:tblPrEx>
        <w:trPr>
          <w:trHeight w:val="489"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80FA8D7">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4.2.2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65ACF9">
            <w:pPr>
              <w:autoSpaceDE w:val="0"/>
              <w:autoSpaceDN w:val="0"/>
              <w:adjustRightInd w:val="0"/>
              <w:spacing w:before="48" w:line="360" w:lineRule="auto"/>
              <w:ind w:left="18" w:leftChars="0" w:right="-20" w:hanging="18" w:hangingChars="8"/>
              <w:jc w:val="center"/>
              <w:rPr>
                <w:rFonts w:hint="eastAsia" w:ascii="宋体" w:hAnsi="宋体" w:cs="宋体"/>
                <w:color w:val="auto"/>
                <w:kern w:val="0"/>
                <w:szCs w:val="24"/>
                <w:highlight w:val="none"/>
              </w:rPr>
            </w:pPr>
            <w:r>
              <w:rPr>
                <w:rFonts w:hint="eastAsia" w:ascii="宋体" w:hAnsi="宋体" w:cs="宋体"/>
                <w:color w:val="auto"/>
                <w:spacing w:val="-2"/>
                <w:kern w:val="0"/>
                <w:szCs w:val="24"/>
                <w:highlight w:val="none"/>
              </w:rPr>
              <w:t>响应文件</w:t>
            </w:r>
            <w:r>
              <w:rPr>
                <w:rFonts w:hint="eastAsia" w:ascii="宋体" w:hAnsi="宋体" w:cs="宋体"/>
                <w:color w:val="auto"/>
                <w:spacing w:val="-2"/>
                <w:kern w:val="0"/>
                <w:szCs w:val="24"/>
                <w:highlight w:val="none"/>
                <w:lang w:val="en-US" w:eastAsia="zh-CN"/>
              </w:rPr>
              <w:t>上传平台</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3EA5CCE6">
            <w:pPr>
              <w:autoSpaceDE w:val="0"/>
              <w:autoSpaceDN w:val="0"/>
              <w:adjustRightInd w:val="0"/>
              <w:spacing w:before="48" w:line="360" w:lineRule="auto"/>
              <w:ind w:left="16" w:leftChars="0" w:right="-67" w:rightChars="-28" w:hanging="16" w:hangingChars="7"/>
              <w:jc w:val="left"/>
              <w:rPr>
                <w:rFonts w:ascii="宋体" w:hAnsi="宋体" w:cs="宋体"/>
                <w:color w:val="auto"/>
                <w:spacing w:val="-2"/>
                <w:kern w:val="0"/>
                <w:szCs w:val="24"/>
                <w:highlight w:val="none"/>
              </w:rPr>
            </w:pPr>
            <w:r>
              <w:rPr>
                <w:rFonts w:hint="eastAsia" w:ascii="宋体" w:hAnsi="宋体" w:cs="宋体"/>
                <w:color w:val="auto"/>
                <w:spacing w:val="-2"/>
                <w:kern w:val="0"/>
                <w:szCs w:val="24"/>
                <w:highlight w:val="none"/>
              </w:rPr>
              <w:t>使用专用密钥上传至贵州省公共资源交易平台(http://ggzy.guizhou.gov.cn)</w:t>
            </w:r>
          </w:p>
        </w:tc>
      </w:tr>
      <w:tr w14:paraId="1EE39CEB">
        <w:tblPrEx>
          <w:tblCellMar>
            <w:top w:w="0" w:type="dxa"/>
            <w:left w:w="0" w:type="dxa"/>
            <w:bottom w:w="0" w:type="dxa"/>
            <w:right w:w="0" w:type="dxa"/>
          </w:tblCellMar>
        </w:tblPrEx>
        <w:trPr>
          <w:trHeight w:val="489"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086724A">
            <w:pPr>
              <w:autoSpaceDE w:val="0"/>
              <w:autoSpaceDN w:val="0"/>
              <w:adjustRightInd w:val="0"/>
              <w:spacing w:line="360" w:lineRule="auto"/>
              <w:ind w:left="0" w:leftChars="0" w:right="-20"/>
              <w:jc w:val="center"/>
              <w:rPr>
                <w:rFonts w:hint="default" w:ascii="宋体" w:hAnsi="宋体" w:eastAsia="宋体" w:cs="宋体"/>
                <w:color w:val="auto"/>
                <w:spacing w:val="-2"/>
                <w:kern w:val="0"/>
                <w:szCs w:val="24"/>
                <w:highlight w:val="none"/>
                <w:lang w:val="en-US" w:eastAsia="zh-CN"/>
              </w:rPr>
            </w:pPr>
            <w:r>
              <w:rPr>
                <w:rFonts w:hint="eastAsia" w:ascii="宋体" w:hAnsi="宋体" w:cs="宋体"/>
                <w:color w:val="auto"/>
                <w:spacing w:val="-2"/>
                <w:kern w:val="0"/>
                <w:szCs w:val="24"/>
                <w:highlight w:val="none"/>
                <w:lang w:val="en-US" w:eastAsia="zh-CN"/>
              </w:rPr>
              <w:t>4.2.4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EC21EC">
            <w:pPr>
              <w:autoSpaceDE w:val="0"/>
              <w:autoSpaceDN w:val="0"/>
              <w:adjustRightInd w:val="0"/>
              <w:spacing w:before="48" w:line="360" w:lineRule="auto"/>
              <w:ind w:left="19" w:leftChars="0" w:right="-20" w:hanging="19" w:hangingChars="8"/>
              <w:jc w:val="center"/>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响应文件提交</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78C7EE32">
            <w:pPr>
              <w:keepNext w:val="0"/>
              <w:keepLines w:val="0"/>
              <w:widowControl/>
              <w:suppressLineNumbers w:val="0"/>
              <w:shd w:val="clear" w:color="auto" w:fill="auto"/>
              <w:autoSpaceDE w:val="0"/>
              <w:autoSpaceDN w:val="0"/>
              <w:adjustRightInd w:val="0"/>
              <w:spacing w:before="48" w:beforeAutospacing="0" w:after="0" w:afterAutospacing="0" w:line="360" w:lineRule="auto"/>
              <w:ind w:left="16" w:leftChars="0" w:right="-67" w:rightChars="-28" w:hanging="16" w:hangingChars="7"/>
              <w:jc w:val="left"/>
              <w:rPr>
                <w:rFonts w:hint="eastAsia" w:ascii="宋体" w:hAnsi="宋体" w:eastAsia="宋体" w:cs="宋体"/>
                <w:i w:val="0"/>
                <w:iCs w:val="0"/>
                <w:caps w:val="0"/>
                <w:color w:val="auto"/>
                <w:spacing w:val="-2"/>
                <w:kern w:val="0"/>
                <w:sz w:val="24"/>
                <w:szCs w:val="24"/>
                <w:highlight w:val="none"/>
              </w:rPr>
            </w:pPr>
            <w:r>
              <w:rPr>
                <w:rFonts w:hint="eastAsia" w:ascii="宋体" w:hAnsi="宋体" w:eastAsia="宋体" w:cs="宋体"/>
                <w:i w:val="0"/>
                <w:iCs w:val="0"/>
                <w:caps w:val="0"/>
                <w:color w:val="auto"/>
                <w:spacing w:val="-2"/>
                <w:kern w:val="0"/>
                <w:sz w:val="24"/>
                <w:szCs w:val="24"/>
                <w:highlight w:val="none"/>
                <w:shd w:val="clear" w:color="auto" w:fill="auto"/>
                <w:lang w:val="en-US" w:eastAsia="zh-CN" w:bidi="ar"/>
              </w:rPr>
              <w:t>有下列情形之一的，视为未提交：</w:t>
            </w:r>
          </w:p>
          <w:p w14:paraId="01599E9D">
            <w:pPr>
              <w:keepNext w:val="0"/>
              <w:keepLines w:val="0"/>
              <w:widowControl/>
              <w:suppressLineNumbers w:val="0"/>
              <w:shd w:val="clear" w:color="auto" w:fill="auto"/>
              <w:autoSpaceDE w:val="0"/>
              <w:autoSpaceDN w:val="0"/>
              <w:adjustRightInd w:val="0"/>
              <w:spacing w:before="48" w:beforeAutospacing="0" w:after="0" w:afterAutospacing="0" w:line="360" w:lineRule="auto"/>
              <w:ind w:left="16" w:leftChars="0" w:right="-67" w:rightChars="-28" w:hanging="16" w:hangingChars="7"/>
              <w:jc w:val="left"/>
              <w:rPr>
                <w:rFonts w:hint="eastAsia" w:ascii="宋体" w:hAnsi="宋体" w:eastAsia="宋体" w:cs="宋体"/>
                <w:i w:val="0"/>
                <w:iCs w:val="0"/>
                <w:caps w:val="0"/>
                <w:color w:val="auto"/>
                <w:spacing w:val="-2"/>
                <w:kern w:val="0"/>
                <w:sz w:val="24"/>
                <w:szCs w:val="24"/>
                <w:highlight w:val="none"/>
              </w:rPr>
            </w:pPr>
            <w:r>
              <w:rPr>
                <w:rFonts w:hint="eastAsia" w:ascii="宋体" w:hAnsi="宋体" w:eastAsia="宋体" w:cs="宋体"/>
                <w:i w:val="0"/>
                <w:iCs w:val="0"/>
                <w:caps w:val="0"/>
                <w:color w:val="auto"/>
                <w:spacing w:val="-2"/>
                <w:kern w:val="0"/>
                <w:sz w:val="24"/>
                <w:szCs w:val="24"/>
                <w:highlight w:val="none"/>
                <w:shd w:val="clear" w:color="auto" w:fill="auto"/>
                <w:lang w:val="en-US" w:eastAsia="zh-CN" w:bidi="ar"/>
              </w:rPr>
              <w:t>1、截止时间后上传的响应文件；</w:t>
            </w:r>
          </w:p>
          <w:p w14:paraId="7A860771">
            <w:pPr>
              <w:keepNext w:val="0"/>
              <w:keepLines w:val="0"/>
              <w:widowControl/>
              <w:suppressLineNumbers w:val="0"/>
              <w:shd w:val="clear" w:color="auto" w:fill="auto"/>
              <w:autoSpaceDE w:val="0"/>
              <w:autoSpaceDN w:val="0"/>
              <w:adjustRightInd w:val="0"/>
              <w:spacing w:before="48" w:beforeAutospacing="0" w:after="0" w:afterAutospacing="0" w:line="360" w:lineRule="auto"/>
              <w:ind w:left="16" w:leftChars="0" w:right="-67" w:rightChars="-28" w:hanging="16" w:hangingChars="7"/>
              <w:jc w:val="left"/>
              <w:rPr>
                <w:rFonts w:hint="eastAsia" w:ascii="宋体" w:hAnsi="宋体" w:eastAsia="宋体" w:cs="宋体"/>
                <w:i w:val="0"/>
                <w:iCs w:val="0"/>
                <w:caps w:val="0"/>
                <w:color w:val="auto"/>
                <w:spacing w:val="-2"/>
                <w:kern w:val="0"/>
                <w:sz w:val="24"/>
                <w:szCs w:val="24"/>
                <w:highlight w:val="none"/>
              </w:rPr>
            </w:pPr>
            <w:r>
              <w:rPr>
                <w:rFonts w:hint="eastAsia" w:ascii="宋体" w:hAnsi="宋体" w:eastAsia="宋体" w:cs="宋体"/>
                <w:i w:val="0"/>
                <w:iCs w:val="0"/>
                <w:caps w:val="0"/>
                <w:color w:val="auto"/>
                <w:spacing w:val="-2"/>
                <w:kern w:val="0"/>
                <w:sz w:val="24"/>
                <w:szCs w:val="24"/>
                <w:highlight w:val="none"/>
                <w:shd w:val="clear" w:color="auto" w:fill="auto"/>
                <w:lang w:val="en-US" w:eastAsia="zh-CN" w:bidi="ar"/>
              </w:rPr>
              <w:t>2、未按规定加密；</w:t>
            </w:r>
          </w:p>
          <w:p w14:paraId="5B1D6A24">
            <w:pPr>
              <w:keepNext w:val="0"/>
              <w:keepLines w:val="0"/>
              <w:widowControl/>
              <w:suppressLineNumbers w:val="0"/>
              <w:shd w:val="clear" w:color="auto" w:fill="auto"/>
              <w:autoSpaceDE w:val="0"/>
              <w:autoSpaceDN w:val="0"/>
              <w:adjustRightInd w:val="0"/>
              <w:spacing w:before="48" w:beforeAutospacing="0" w:after="0" w:afterAutospacing="0" w:line="360" w:lineRule="auto"/>
              <w:ind w:left="16" w:leftChars="0" w:right="-67" w:rightChars="-28" w:hanging="16" w:hangingChars="7"/>
              <w:jc w:val="left"/>
              <w:rPr>
                <w:rFonts w:hint="eastAsia" w:ascii="宋体" w:hAnsi="宋体" w:eastAsia="宋体" w:cs="宋体"/>
                <w:i w:val="0"/>
                <w:iCs w:val="0"/>
                <w:caps w:val="0"/>
                <w:color w:val="000000"/>
                <w:spacing w:val="0"/>
                <w:kern w:val="2"/>
                <w:sz w:val="21"/>
                <w:szCs w:val="21"/>
                <w:shd w:val="clear" w:color="auto" w:fill="FFFFFF"/>
                <w:lang w:val="en-US" w:eastAsia="zh-CN" w:bidi="ar-SA"/>
              </w:rPr>
            </w:pPr>
            <w:r>
              <w:rPr>
                <w:rFonts w:hint="eastAsia" w:ascii="宋体" w:hAnsi="宋体" w:eastAsia="宋体" w:cs="宋体"/>
                <w:i w:val="0"/>
                <w:iCs w:val="0"/>
                <w:caps w:val="0"/>
                <w:color w:val="auto"/>
                <w:spacing w:val="-2"/>
                <w:kern w:val="0"/>
                <w:sz w:val="24"/>
                <w:szCs w:val="24"/>
                <w:highlight w:val="none"/>
                <w:shd w:val="clear" w:color="auto" w:fill="auto"/>
                <w:lang w:val="en-US" w:eastAsia="zh-CN" w:bidi="ar"/>
              </w:rPr>
              <w:t>3、上传响应文件后，电子招标投标交易平台未发出上传回执凭证，供应商未收到回执凭证。</w:t>
            </w:r>
          </w:p>
        </w:tc>
      </w:tr>
      <w:tr w14:paraId="77C87BB4">
        <w:tblPrEx>
          <w:tblCellMar>
            <w:top w:w="0" w:type="dxa"/>
            <w:left w:w="0" w:type="dxa"/>
            <w:bottom w:w="0" w:type="dxa"/>
            <w:right w:w="0" w:type="dxa"/>
          </w:tblCellMar>
        </w:tblPrEx>
        <w:trPr>
          <w:trHeight w:val="1123"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8D23933">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BB799C3">
            <w:pPr>
              <w:autoSpaceDE w:val="0"/>
              <w:autoSpaceDN w:val="0"/>
              <w:adjustRightInd w:val="0"/>
              <w:spacing w:line="360" w:lineRule="auto"/>
              <w:ind w:left="19" w:leftChars="0" w:right="-20" w:hanging="19" w:hangingChars="8"/>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开标</w:t>
            </w:r>
            <w:r>
              <w:rPr>
                <w:rFonts w:hint="eastAsia" w:ascii="宋体" w:hAnsi="宋体" w:cs="宋体"/>
                <w:color w:val="auto"/>
                <w:spacing w:val="-2"/>
                <w:kern w:val="0"/>
                <w:szCs w:val="24"/>
                <w:highlight w:val="none"/>
              </w:rPr>
              <w:t>时</w:t>
            </w:r>
            <w:r>
              <w:rPr>
                <w:rFonts w:hint="eastAsia" w:ascii="宋体" w:hAnsi="宋体" w:cs="宋体"/>
                <w:color w:val="auto"/>
                <w:kern w:val="0"/>
                <w:szCs w:val="24"/>
                <w:highlight w:val="none"/>
              </w:rPr>
              <w:t>间</w:t>
            </w:r>
            <w:r>
              <w:rPr>
                <w:rFonts w:hint="eastAsia" w:ascii="宋体" w:hAnsi="宋体" w:cs="宋体"/>
                <w:color w:val="auto"/>
                <w:spacing w:val="-2"/>
                <w:kern w:val="0"/>
                <w:szCs w:val="24"/>
                <w:highlight w:val="none"/>
              </w:rPr>
              <w:t>和</w:t>
            </w:r>
            <w:r>
              <w:rPr>
                <w:rFonts w:hint="eastAsia" w:ascii="宋体" w:hAnsi="宋体" w:cs="宋体"/>
                <w:color w:val="auto"/>
                <w:kern w:val="0"/>
                <w:szCs w:val="24"/>
                <w:highlight w:val="none"/>
              </w:rPr>
              <w:t>地点</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09128BD4">
            <w:pPr>
              <w:autoSpaceDE w:val="0"/>
              <w:autoSpaceDN w:val="0"/>
              <w:adjustRightInd w:val="0"/>
              <w:spacing w:before="48"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远程（线上）开标</w:t>
            </w:r>
          </w:p>
          <w:p w14:paraId="36E32976">
            <w:pPr>
              <w:autoSpaceDE w:val="0"/>
              <w:autoSpaceDN w:val="0"/>
              <w:adjustRightInd w:val="0"/>
              <w:spacing w:before="48"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开标时间：同投标截止时间</w:t>
            </w:r>
          </w:p>
          <w:p w14:paraId="35C684FC">
            <w:pPr>
              <w:autoSpaceDE w:val="0"/>
              <w:autoSpaceDN w:val="0"/>
              <w:adjustRightInd w:val="0"/>
              <w:spacing w:before="48"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开标地点：远程开标会</w:t>
            </w:r>
          </w:p>
          <w:p w14:paraId="6E30B2C6">
            <w:pPr>
              <w:autoSpaceDE w:val="0"/>
              <w:autoSpaceDN w:val="0"/>
              <w:adjustRightInd w:val="0"/>
              <w:spacing w:before="83"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的法定代表人或其委托代理人，凭数字证书登录全国公共资源交易平台（贵州省）http：//ggzy.guizhou.gov.cn/）（电子）参加远程开标会。</w:t>
            </w:r>
          </w:p>
        </w:tc>
      </w:tr>
      <w:tr w14:paraId="0D033085">
        <w:tblPrEx>
          <w:tblCellMar>
            <w:top w:w="0" w:type="dxa"/>
            <w:left w:w="0" w:type="dxa"/>
            <w:bottom w:w="0" w:type="dxa"/>
            <w:right w:w="0" w:type="dxa"/>
          </w:tblCellMar>
        </w:tblPrEx>
        <w:trPr>
          <w:trHeight w:val="413"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9AFBB8C">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F0A609">
            <w:pPr>
              <w:autoSpaceDE w:val="0"/>
              <w:autoSpaceDN w:val="0"/>
              <w:adjustRightInd w:val="0"/>
              <w:spacing w:before="48" w:line="360" w:lineRule="auto"/>
              <w:ind w:left="18" w:leftChars="0" w:right="-20" w:hanging="18" w:hangingChars="8"/>
              <w:jc w:val="center"/>
              <w:rPr>
                <w:rFonts w:hint="eastAsia" w:ascii="宋体" w:hAnsi="宋体" w:cs="宋体"/>
                <w:color w:val="auto"/>
                <w:kern w:val="0"/>
                <w:szCs w:val="24"/>
                <w:highlight w:val="none"/>
              </w:rPr>
            </w:pPr>
            <w:r>
              <w:rPr>
                <w:rFonts w:hint="eastAsia" w:ascii="宋体" w:hAnsi="宋体" w:cs="宋体"/>
                <w:color w:val="auto"/>
                <w:spacing w:val="-2"/>
                <w:kern w:val="0"/>
                <w:szCs w:val="24"/>
                <w:highlight w:val="none"/>
              </w:rPr>
              <w:t>开标程序</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3864DCBB">
            <w:pPr>
              <w:autoSpaceDE w:val="0"/>
              <w:autoSpaceDN w:val="0"/>
              <w:adjustRightInd w:val="0"/>
              <w:spacing w:before="42"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1、本项目采用远程不见面方式开标。</w:t>
            </w:r>
          </w:p>
          <w:p w14:paraId="4AC2AEFF">
            <w:pPr>
              <w:autoSpaceDE w:val="0"/>
              <w:autoSpaceDN w:val="0"/>
              <w:adjustRightInd w:val="0"/>
              <w:spacing w:before="42"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2、</w:t>
            </w:r>
            <w:r>
              <w:rPr>
                <w:rFonts w:hint="eastAsia" w:ascii="宋体" w:hAnsi="宋体" w:cs="宋体"/>
                <w:color w:val="auto"/>
                <w:kern w:val="0"/>
                <w:szCs w:val="24"/>
                <w:highlight w:val="none"/>
                <w:lang w:eastAsia="zh-CN"/>
              </w:rPr>
              <w:t>投标供应商</w:t>
            </w:r>
            <w:r>
              <w:rPr>
                <w:rFonts w:hint="eastAsia" w:ascii="宋体" w:hAnsi="宋体" w:cs="宋体"/>
                <w:color w:val="auto"/>
                <w:kern w:val="0"/>
                <w:szCs w:val="24"/>
                <w:highlight w:val="none"/>
              </w:rPr>
              <w:t>须在投标保证金交纳成功后至投标截止时间前将</w:t>
            </w:r>
          </w:p>
          <w:p w14:paraId="173E1027">
            <w:pPr>
              <w:autoSpaceDE w:val="0"/>
              <w:autoSpaceDN w:val="0"/>
              <w:adjustRightInd w:val="0"/>
              <w:spacing w:before="42"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完整的加密电子响应文件（.gpt 格式）上传到贵州省公共资源交易平台(网址：http://ggzy.guizhou.gov.cn），投标截止时间前未完成响应文件传输的，视为响应文件未递交成功。投标截止时间后，贵州省公共资源交易平台不再接收响应文件。</w:t>
            </w:r>
          </w:p>
          <w:p w14:paraId="28FD95D6">
            <w:pPr>
              <w:autoSpaceDE w:val="0"/>
              <w:autoSpaceDN w:val="0"/>
              <w:adjustRightInd w:val="0"/>
              <w:spacing w:before="42" w:line="360" w:lineRule="auto"/>
              <w:ind w:left="16" w:leftChars="0" w:right="-67" w:rightChars="-28" w:hanging="16" w:hangingChars="7"/>
              <w:jc w:val="left"/>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3、代理机构将在开标时间发出响应文件解密指令，</w:t>
            </w:r>
            <w:r>
              <w:rPr>
                <w:rFonts w:hint="eastAsia" w:ascii="宋体" w:hAnsi="宋体" w:cs="宋体"/>
                <w:color w:val="auto"/>
                <w:kern w:val="0"/>
                <w:szCs w:val="24"/>
                <w:highlight w:val="none"/>
                <w:lang w:eastAsia="zh-CN"/>
              </w:rPr>
              <w:t>投标供应商</w:t>
            </w:r>
          </w:p>
          <w:p w14:paraId="6A18A32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left"/>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kern w:val="0"/>
                <w:szCs w:val="24"/>
                <w:highlight w:val="none"/>
              </w:rPr>
              <w:t>应在解密指令发出后使用数字证书或登录“贵州交易通”APP（加密、解密使用的CA锁或“贵州交易通”APP须保持一致）在30分钟之内完成解密。</w:t>
            </w:r>
          </w:p>
        </w:tc>
      </w:tr>
      <w:tr w14:paraId="6851CA9E">
        <w:tblPrEx>
          <w:tblCellMar>
            <w:top w:w="0" w:type="dxa"/>
            <w:left w:w="0" w:type="dxa"/>
            <w:bottom w:w="0" w:type="dxa"/>
            <w:right w:w="0" w:type="dxa"/>
          </w:tblCellMar>
        </w:tblPrEx>
        <w:trPr>
          <w:trHeight w:val="995"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322E63D">
            <w:pPr>
              <w:autoSpaceDE w:val="0"/>
              <w:autoSpaceDN w:val="0"/>
              <w:adjustRightInd w:val="0"/>
              <w:spacing w:line="360" w:lineRule="auto"/>
              <w:ind w:left="0" w:leftChars="0" w:right="-20"/>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6.1.1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FB65A1">
            <w:pPr>
              <w:autoSpaceDE w:val="0"/>
              <w:autoSpaceDN w:val="0"/>
              <w:adjustRightInd w:val="0"/>
              <w:spacing w:before="42" w:line="360" w:lineRule="auto"/>
              <w:ind w:left="16" w:leftChars="0" w:right="-67" w:rightChars="-28" w:hanging="16" w:hangingChars="7"/>
              <w:jc w:val="center"/>
              <w:rPr>
                <w:rFonts w:hint="eastAsia" w:ascii="宋体" w:hAnsi="宋体" w:cs="宋体"/>
                <w:color w:val="auto"/>
                <w:kern w:val="0"/>
                <w:szCs w:val="24"/>
                <w:highlight w:val="none"/>
              </w:rPr>
            </w:pPr>
            <w:r>
              <w:rPr>
                <w:rFonts w:hint="eastAsia" w:ascii="宋体" w:hAnsi="宋体" w:cs="宋体"/>
                <w:color w:val="auto"/>
                <w:kern w:val="0"/>
                <w:szCs w:val="24"/>
                <w:highlight w:val="none"/>
              </w:rPr>
              <w:t>评标委员会的组建</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4F572A1A">
            <w:pPr>
              <w:autoSpaceDE w:val="0"/>
              <w:autoSpaceDN w:val="0"/>
              <w:adjustRightInd w:val="0"/>
              <w:spacing w:before="48" w:line="360" w:lineRule="auto"/>
              <w:ind w:left="16" w:leftChars="0" w:right="-67" w:rightChars="-28" w:hanging="16" w:hangingChars="7"/>
              <w:rPr>
                <w:rFonts w:hint="eastAsia" w:ascii="宋体" w:hAnsi="宋体" w:cs="宋体"/>
                <w:color w:val="auto"/>
                <w:kern w:val="0"/>
                <w:szCs w:val="24"/>
                <w:highlight w:val="none"/>
              </w:rPr>
            </w:pPr>
            <w:r>
              <w:rPr>
                <w:rFonts w:hint="eastAsia" w:ascii="宋体" w:hAnsi="宋体" w:cs="宋体"/>
                <w:color w:val="auto"/>
                <w:kern w:val="0"/>
                <w:szCs w:val="24"/>
                <w:highlight w:val="none"/>
              </w:rPr>
              <w:t>采购人将根据项目特点组建评标委员会，其成员由采购人代表</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名和专家库中随机抽取</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名技术、经济等方面的专家</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共5人</w:t>
            </w:r>
            <w:r>
              <w:rPr>
                <w:rFonts w:hint="eastAsia" w:ascii="宋体" w:hAnsi="宋体" w:cs="宋体"/>
                <w:color w:val="auto"/>
                <w:kern w:val="0"/>
                <w:szCs w:val="24"/>
                <w:highlight w:val="none"/>
              </w:rPr>
              <w:t>组成评标委员会。</w:t>
            </w:r>
          </w:p>
        </w:tc>
      </w:tr>
      <w:tr w14:paraId="77DC64F5">
        <w:tblPrEx>
          <w:tblCellMar>
            <w:top w:w="0" w:type="dxa"/>
            <w:left w:w="0" w:type="dxa"/>
            <w:bottom w:w="0" w:type="dxa"/>
            <w:right w:w="0" w:type="dxa"/>
          </w:tblCellMar>
        </w:tblPrEx>
        <w:trPr>
          <w:trHeight w:val="505"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667C1CC">
            <w:pPr>
              <w:autoSpaceDE w:val="0"/>
              <w:autoSpaceDN w:val="0"/>
              <w:adjustRightInd w:val="0"/>
              <w:spacing w:line="36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7.</w:t>
            </w:r>
            <w:r>
              <w:rPr>
                <w:rFonts w:hint="eastAsia" w:ascii="宋体" w:hAnsi="宋体" w:cs="宋体"/>
                <w:color w:val="auto"/>
                <w:spacing w:val="-2"/>
                <w:kern w:val="0"/>
                <w:szCs w:val="24"/>
                <w:highlight w:val="none"/>
                <w:lang w:val="en-US" w:eastAsia="zh-CN"/>
              </w:rPr>
              <w:t>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3303EDF">
            <w:pPr>
              <w:autoSpaceDE w:val="0"/>
              <w:autoSpaceDN w:val="0"/>
              <w:adjustRightInd w:val="0"/>
              <w:spacing w:line="360" w:lineRule="auto"/>
              <w:ind w:left="19" w:leftChars="0" w:right="-20" w:hanging="19" w:hangingChars="8"/>
              <w:jc w:val="center"/>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中标公示媒介及期限</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74038CEF">
            <w:pPr>
              <w:autoSpaceDE w:val="0"/>
              <w:autoSpaceDN w:val="0"/>
              <w:adjustRightInd w:val="0"/>
              <w:spacing w:before="66" w:line="360" w:lineRule="auto"/>
              <w:ind w:left="16" w:leftChars="0" w:right="-67" w:rightChars="-28" w:hanging="16" w:hangingChars="7"/>
              <w:jc w:val="left"/>
              <w:rPr>
                <w:rFonts w:hint="eastAsia" w:ascii="宋体" w:hAnsi="宋体" w:cs="宋体"/>
                <w:color w:val="auto"/>
                <w:kern w:val="0"/>
                <w:szCs w:val="24"/>
                <w:highlight w:val="none"/>
              </w:rPr>
            </w:pPr>
            <w:r>
              <w:rPr>
                <w:sz w:val="24"/>
              </w:rPr>
              <w:t>公示媒介：采购公告发布的同一媒介</w:t>
            </w:r>
          </w:p>
          <w:p w14:paraId="799B856A">
            <w:pPr>
              <w:autoSpaceDE w:val="0"/>
              <w:autoSpaceDN w:val="0"/>
              <w:adjustRightInd w:val="0"/>
              <w:spacing w:before="66" w:line="360" w:lineRule="auto"/>
              <w:ind w:left="16" w:leftChars="0" w:right="-67" w:rightChars="-28" w:hanging="16" w:hangingChars="7"/>
              <w:jc w:val="left"/>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公告期限：1个工作日</w:t>
            </w:r>
          </w:p>
        </w:tc>
      </w:tr>
      <w:tr w14:paraId="4E6323DF">
        <w:tblPrEx>
          <w:tblCellMar>
            <w:top w:w="0" w:type="dxa"/>
            <w:left w:w="0" w:type="dxa"/>
            <w:bottom w:w="0" w:type="dxa"/>
            <w:right w:w="0" w:type="dxa"/>
          </w:tblCellMar>
        </w:tblPrEx>
        <w:trPr>
          <w:trHeight w:val="2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5E194B1">
            <w:pPr>
              <w:autoSpaceDE w:val="0"/>
              <w:autoSpaceDN w:val="0"/>
              <w:adjustRightInd w:val="0"/>
              <w:spacing w:line="36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7.</w:t>
            </w:r>
            <w:r>
              <w:rPr>
                <w:rFonts w:hint="eastAsia" w:ascii="宋体" w:hAnsi="宋体" w:cs="宋体"/>
                <w:color w:val="auto"/>
                <w:spacing w:val="-2"/>
                <w:kern w:val="0"/>
                <w:szCs w:val="24"/>
                <w:highlight w:val="none"/>
                <w:lang w:val="en-US" w:eastAsia="zh-CN"/>
              </w:rPr>
              <w:t>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D35DC3">
            <w:pPr>
              <w:pStyle w:val="45"/>
              <w:autoSpaceDE/>
              <w:autoSpaceDN/>
              <w:adjustRightInd/>
              <w:spacing w:before="0" w:line="360" w:lineRule="auto"/>
              <w:ind w:left="0" w:leftChars="0" w:right="0" w:firstLine="0" w:firstLineChars="0"/>
              <w:jc w:val="center"/>
              <w:rPr>
                <w:rFonts w:hint="eastAsia" w:ascii="宋体" w:hAnsi="宋体" w:eastAsia="宋体" w:cs="宋体"/>
                <w:color w:val="auto"/>
                <w:spacing w:val="-2"/>
                <w:kern w:val="0"/>
                <w:szCs w:val="24"/>
                <w:highlight w:val="none"/>
                <w:lang w:val="en-US" w:eastAsia="zh-CN"/>
              </w:rPr>
            </w:pPr>
            <w:r>
              <w:rPr>
                <w:rFonts w:hint="eastAsia" w:ascii="宋体" w:hAnsi="宋体" w:cs="宋体"/>
                <w:color w:val="auto"/>
                <w:spacing w:val="-2"/>
                <w:kern w:val="0"/>
                <w:szCs w:val="24"/>
                <w:highlight w:val="none"/>
                <w:lang w:val="en-US" w:eastAsia="zh-CN"/>
              </w:rPr>
              <w:t>是否授权评标委员会确定中标人</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44898E58">
            <w:pPr>
              <w:autoSpaceDE w:val="0"/>
              <w:autoSpaceDN w:val="0"/>
              <w:adjustRightInd w:val="0"/>
              <w:spacing w:before="54"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否</w:t>
            </w:r>
          </w:p>
        </w:tc>
      </w:tr>
      <w:tr w14:paraId="587C5580">
        <w:tblPrEx>
          <w:tblCellMar>
            <w:top w:w="0" w:type="dxa"/>
            <w:left w:w="0" w:type="dxa"/>
            <w:bottom w:w="0" w:type="dxa"/>
            <w:right w:w="0" w:type="dxa"/>
          </w:tblCellMar>
        </w:tblPrEx>
        <w:trPr>
          <w:trHeight w:val="2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3052D07">
            <w:pPr>
              <w:autoSpaceDE w:val="0"/>
              <w:autoSpaceDN w:val="0"/>
              <w:adjustRightInd w:val="0"/>
              <w:spacing w:line="360" w:lineRule="auto"/>
              <w:ind w:left="0" w:leftChars="0" w:right="-20"/>
              <w:jc w:val="center"/>
              <w:rPr>
                <w:rFonts w:hint="default" w:ascii="宋体" w:hAnsi="宋体" w:eastAsia="宋体" w:cs="宋体"/>
                <w:color w:val="auto"/>
                <w:spacing w:val="-2"/>
                <w:kern w:val="0"/>
                <w:szCs w:val="24"/>
                <w:highlight w:val="none"/>
                <w:lang w:val="en-US" w:eastAsia="zh-CN"/>
              </w:rPr>
            </w:pPr>
            <w:r>
              <w:rPr>
                <w:rFonts w:hint="eastAsia" w:ascii="宋体" w:hAnsi="宋体" w:cs="宋体"/>
                <w:color w:val="auto"/>
                <w:spacing w:val="-2"/>
                <w:kern w:val="0"/>
                <w:szCs w:val="24"/>
                <w:highlight w:val="none"/>
                <w:lang w:val="en-US" w:eastAsia="zh-CN"/>
              </w:rPr>
              <w:t>7.4.1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07EA457">
            <w:pPr>
              <w:pStyle w:val="45"/>
              <w:autoSpaceDE/>
              <w:autoSpaceDN/>
              <w:adjustRightInd/>
              <w:spacing w:before="0"/>
              <w:ind w:left="0" w:leftChars="0" w:right="0" w:firstLine="0" w:firstLineChars="0"/>
              <w:jc w:val="center"/>
              <w:rPr>
                <w:rFonts w:hint="eastAsia" w:ascii="宋体" w:hAnsi="宋体" w:eastAsia="宋体" w:cs="宋体"/>
                <w:color w:val="auto"/>
                <w:spacing w:val="-2"/>
                <w:kern w:val="0"/>
                <w:szCs w:val="24"/>
                <w:highlight w:val="none"/>
                <w:lang w:val="en-US" w:eastAsia="zh-CN"/>
              </w:rPr>
            </w:pPr>
            <w:r>
              <w:rPr>
                <w:color w:val="auto"/>
                <w:sz w:val="24"/>
                <w:highlight w:val="none"/>
              </w:rPr>
              <w:t>履约保证金</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73AF4B96">
            <w:pPr>
              <w:autoSpaceDE w:val="0"/>
              <w:autoSpaceDN w:val="0"/>
              <w:adjustRightInd w:val="0"/>
              <w:spacing w:before="54"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中标人</w:t>
            </w:r>
            <w:r>
              <w:rPr>
                <w:rFonts w:hint="eastAsia" w:ascii="宋体" w:hAnsi="宋体" w:cs="宋体"/>
                <w:color w:val="auto"/>
                <w:kern w:val="0"/>
                <w:szCs w:val="24"/>
                <w:highlight w:val="none"/>
              </w:rPr>
              <w:t>在签订项目合同前向采购</w:t>
            </w:r>
            <w:r>
              <w:rPr>
                <w:rFonts w:hint="eastAsia" w:ascii="宋体" w:hAnsi="宋体" w:cs="宋体"/>
                <w:color w:val="auto"/>
                <w:kern w:val="0"/>
                <w:szCs w:val="24"/>
                <w:highlight w:val="none"/>
                <w:lang w:val="en-US" w:eastAsia="zh-CN"/>
              </w:rPr>
              <w:t>人</w:t>
            </w:r>
            <w:r>
              <w:rPr>
                <w:rFonts w:hint="eastAsia" w:ascii="宋体" w:hAnsi="宋体" w:cs="宋体"/>
                <w:color w:val="auto"/>
                <w:kern w:val="0"/>
                <w:szCs w:val="24"/>
                <w:highlight w:val="none"/>
              </w:rPr>
              <w:t>缴纳合同金额5%的履约保证金。</w:t>
            </w:r>
          </w:p>
          <w:p w14:paraId="61E11A11">
            <w:pPr>
              <w:autoSpaceDE w:val="0"/>
              <w:autoSpaceDN w:val="0"/>
              <w:adjustRightInd w:val="0"/>
              <w:spacing w:before="54"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2.</w:t>
            </w:r>
            <w:r>
              <w:rPr>
                <w:rFonts w:hint="eastAsia" w:ascii="宋体" w:hAnsi="宋体" w:cs="宋体"/>
                <w:color w:val="auto"/>
                <w:kern w:val="0"/>
                <w:szCs w:val="24"/>
                <w:highlight w:val="none"/>
                <w:lang w:val="en-US" w:eastAsia="zh-CN"/>
              </w:rPr>
              <w:t>中标人</w:t>
            </w:r>
            <w:r>
              <w:rPr>
                <w:rFonts w:hint="eastAsia" w:ascii="宋体" w:hAnsi="宋体" w:cs="宋体"/>
                <w:color w:val="auto"/>
                <w:kern w:val="0"/>
                <w:szCs w:val="24"/>
                <w:highlight w:val="none"/>
              </w:rPr>
              <w:t>如未按时足额缴纳履约保证金或未在规定限期内签订合同（</w:t>
            </w:r>
            <w:r>
              <w:rPr>
                <w:rFonts w:hint="eastAsia" w:ascii="宋体" w:hAnsi="宋体" w:cs="宋体"/>
                <w:color w:val="auto"/>
                <w:kern w:val="0"/>
                <w:szCs w:val="24"/>
                <w:highlight w:val="none"/>
                <w:lang w:val="en-US" w:eastAsia="zh-CN"/>
              </w:rPr>
              <w:t>中标</w:t>
            </w:r>
            <w:r>
              <w:rPr>
                <w:rFonts w:hint="eastAsia" w:ascii="宋体" w:hAnsi="宋体" w:cs="宋体"/>
                <w:color w:val="auto"/>
                <w:kern w:val="0"/>
                <w:szCs w:val="24"/>
                <w:highlight w:val="none"/>
              </w:rPr>
              <w:t>通知书发出后30个日历日内），采购</w:t>
            </w:r>
            <w:r>
              <w:rPr>
                <w:rFonts w:hint="eastAsia" w:ascii="宋体" w:hAnsi="宋体" w:cs="宋体"/>
                <w:color w:val="auto"/>
                <w:kern w:val="0"/>
                <w:szCs w:val="24"/>
                <w:highlight w:val="none"/>
                <w:lang w:val="en-US" w:eastAsia="zh-CN"/>
              </w:rPr>
              <w:t>人</w:t>
            </w:r>
            <w:r>
              <w:rPr>
                <w:rFonts w:hint="eastAsia" w:ascii="宋体" w:hAnsi="宋体" w:cs="宋体"/>
                <w:color w:val="auto"/>
                <w:kern w:val="0"/>
                <w:szCs w:val="24"/>
                <w:highlight w:val="none"/>
              </w:rPr>
              <w:t>有权取消其</w:t>
            </w:r>
            <w:r>
              <w:rPr>
                <w:rFonts w:hint="eastAsia" w:ascii="宋体" w:hAnsi="宋体" w:cs="宋体"/>
                <w:color w:val="auto"/>
                <w:kern w:val="0"/>
                <w:szCs w:val="24"/>
                <w:highlight w:val="none"/>
                <w:lang w:val="en-US" w:eastAsia="zh-CN"/>
              </w:rPr>
              <w:t>中标</w:t>
            </w:r>
            <w:r>
              <w:rPr>
                <w:rFonts w:hint="eastAsia" w:ascii="宋体" w:hAnsi="宋体" w:cs="宋体"/>
                <w:color w:val="auto"/>
                <w:kern w:val="0"/>
                <w:szCs w:val="24"/>
                <w:highlight w:val="none"/>
              </w:rPr>
              <w:t>资格、撤销其</w:t>
            </w:r>
            <w:r>
              <w:rPr>
                <w:rFonts w:hint="eastAsia" w:ascii="宋体" w:hAnsi="宋体" w:cs="宋体"/>
                <w:color w:val="auto"/>
                <w:kern w:val="0"/>
                <w:szCs w:val="24"/>
                <w:highlight w:val="none"/>
                <w:lang w:val="en-US" w:eastAsia="zh-CN"/>
              </w:rPr>
              <w:t>中标</w:t>
            </w:r>
            <w:r>
              <w:rPr>
                <w:rFonts w:hint="eastAsia" w:ascii="宋体" w:hAnsi="宋体" w:cs="宋体"/>
                <w:color w:val="auto"/>
                <w:kern w:val="0"/>
                <w:szCs w:val="24"/>
                <w:highlight w:val="none"/>
              </w:rPr>
              <w:t>通知书，其所缴纳的投标保证金、履约保证金将不予退还，采购</w:t>
            </w:r>
            <w:r>
              <w:rPr>
                <w:rFonts w:hint="eastAsia" w:ascii="宋体" w:hAnsi="宋体" w:cs="宋体"/>
                <w:color w:val="auto"/>
                <w:kern w:val="0"/>
                <w:szCs w:val="24"/>
                <w:highlight w:val="none"/>
                <w:lang w:val="en-US" w:eastAsia="zh-CN"/>
              </w:rPr>
              <w:t>人</w:t>
            </w:r>
            <w:r>
              <w:rPr>
                <w:rFonts w:hint="eastAsia" w:ascii="宋体" w:hAnsi="宋体" w:cs="宋体"/>
                <w:color w:val="auto"/>
                <w:kern w:val="0"/>
                <w:szCs w:val="24"/>
                <w:highlight w:val="none"/>
              </w:rPr>
              <w:t>有权另选</w:t>
            </w:r>
            <w:r>
              <w:rPr>
                <w:rFonts w:hint="eastAsia" w:ascii="宋体" w:hAnsi="宋体" w:cs="宋体"/>
                <w:color w:val="auto"/>
                <w:kern w:val="0"/>
                <w:szCs w:val="24"/>
                <w:highlight w:val="none"/>
                <w:lang w:val="en-US" w:eastAsia="zh-CN"/>
              </w:rPr>
              <w:t>中标人</w:t>
            </w:r>
            <w:r>
              <w:rPr>
                <w:rFonts w:hint="eastAsia" w:ascii="宋体" w:hAnsi="宋体" w:cs="宋体"/>
                <w:color w:val="auto"/>
                <w:kern w:val="0"/>
                <w:szCs w:val="24"/>
                <w:highlight w:val="none"/>
              </w:rPr>
              <w:t>或重新采购。</w:t>
            </w:r>
          </w:p>
          <w:p w14:paraId="767E245D">
            <w:pPr>
              <w:autoSpaceDE w:val="0"/>
              <w:autoSpaceDN w:val="0"/>
              <w:adjustRightInd w:val="0"/>
              <w:spacing w:before="54"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3.如在合同执行过程中，达不到相应文件的服务承诺，采购</w:t>
            </w:r>
            <w:r>
              <w:rPr>
                <w:rFonts w:hint="eastAsia" w:ascii="宋体" w:hAnsi="宋体" w:cs="宋体"/>
                <w:color w:val="auto"/>
                <w:kern w:val="0"/>
                <w:szCs w:val="24"/>
                <w:highlight w:val="none"/>
                <w:lang w:val="en-US" w:eastAsia="zh-CN"/>
              </w:rPr>
              <w:t>人</w:t>
            </w:r>
            <w:r>
              <w:rPr>
                <w:rFonts w:hint="eastAsia" w:ascii="宋体" w:hAnsi="宋体" w:cs="宋体"/>
                <w:color w:val="auto"/>
                <w:kern w:val="0"/>
                <w:szCs w:val="24"/>
                <w:highlight w:val="none"/>
              </w:rPr>
              <w:t>将扣除履约保证金，履约保证金不足以赔偿损失的，按实际损失金额赔偿。项目正式验收合格12个月后，在无违约情况下，</w:t>
            </w:r>
            <w:r>
              <w:rPr>
                <w:rFonts w:hint="eastAsia" w:ascii="宋体" w:hAnsi="宋体" w:cs="宋体"/>
                <w:color w:val="auto"/>
                <w:kern w:val="0"/>
                <w:szCs w:val="24"/>
                <w:highlight w:val="none"/>
                <w:lang w:val="en-US" w:eastAsia="zh-CN"/>
              </w:rPr>
              <w:t>中标人</w:t>
            </w:r>
            <w:r>
              <w:rPr>
                <w:rFonts w:hint="eastAsia" w:ascii="宋体" w:hAnsi="宋体" w:cs="宋体"/>
                <w:color w:val="auto"/>
                <w:kern w:val="0"/>
                <w:szCs w:val="24"/>
                <w:highlight w:val="none"/>
              </w:rPr>
              <w:t>提交书面申请，采购</w:t>
            </w:r>
            <w:r>
              <w:rPr>
                <w:rFonts w:hint="eastAsia" w:ascii="宋体" w:hAnsi="宋体" w:cs="宋体"/>
                <w:color w:val="auto"/>
                <w:kern w:val="0"/>
                <w:szCs w:val="24"/>
                <w:highlight w:val="none"/>
                <w:lang w:val="en-US" w:eastAsia="zh-CN"/>
              </w:rPr>
              <w:t>人</w:t>
            </w:r>
            <w:r>
              <w:rPr>
                <w:rFonts w:hint="eastAsia" w:ascii="宋体" w:hAnsi="宋体" w:cs="宋体"/>
                <w:color w:val="auto"/>
                <w:kern w:val="0"/>
                <w:szCs w:val="24"/>
                <w:highlight w:val="none"/>
              </w:rPr>
              <w:t>一次性无息退还其履约保证金。</w:t>
            </w:r>
          </w:p>
        </w:tc>
      </w:tr>
      <w:tr w14:paraId="767E8138">
        <w:tblPrEx>
          <w:tblCellMar>
            <w:top w:w="0" w:type="dxa"/>
            <w:left w:w="0" w:type="dxa"/>
            <w:bottom w:w="0" w:type="dxa"/>
            <w:right w:w="0" w:type="dxa"/>
          </w:tblCellMar>
        </w:tblPrEx>
        <w:trPr>
          <w:trHeight w:val="672"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852794F">
            <w:pPr>
              <w:autoSpaceDE w:val="0"/>
              <w:autoSpaceDN w:val="0"/>
              <w:adjustRightInd w:val="0"/>
              <w:spacing w:line="36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723416">
            <w:pPr>
              <w:autoSpaceDE w:val="0"/>
              <w:autoSpaceDN w:val="0"/>
              <w:adjustRightInd w:val="0"/>
              <w:spacing w:line="360" w:lineRule="auto"/>
              <w:ind w:left="18" w:leftChars="0" w:right="-20" w:hanging="18" w:hangingChars="8"/>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是否采用电子招标</w:t>
            </w:r>
          </w:p>
          <w:p w14:paraId="6191CEF9">
            <w:pPr>
              <w:autoSpaceDE w:val="0"/>
              <w:autoSpaceDN w:val="0"/>
              <w:adjustRightInd w:val="0"/>
              <w:spacing w:line="360" w:lineRule="auto"/>
              <w:ind w:left="18" w:leftChars="0" w:right="-20" w:hanging="18" w:hangingChars="8"/>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投标</w:t>
            </w:r>
          </w:p>
        </w:tc>
        <w:tc>
          <w:tcPr>
            <w:tcW w:w="6128" w:type="dxa"/>
            <w:tcBorders>
              <w:top w:val="single" w:color="000000" w:sz="4" w:space="0"/>
              <w:left w:val="single" w:color="000000" w:sz="4" w:space="0"/>
              <w:bottom w:val="single" w:color="000000" w:sz="4" w:space="0"/>
              <w:right w:val="single" w:color="000000" w:sz="4" w:space="0"/>
            </w:tcBorders>
            <w:noWrap w:val="0"/>
            <w:vAlign w:val="center"/>
          </w:tcPr>
          <w:p w14:paraId="03817257">
            <w:pPr>
              <w:autoSpaceDE w:val="0"/>
              <w:autoSpaceDN w:val="0"/>
              <w:adjustRightInd w:val="0"/>
              <w:spacing w:before="24"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position w:val="-1"/>
                <w:szCs w:val="24"/>
                <w:highlight w:val="none"/>
              </w:rPr>
              <w:t>是</w:t>
            </w:r>
          </w:p>
        </w:tc>
      </w:tr>
      <w:tr w14:paraId="3DE1589B">
        <w:tblPrEx>
          <w:tblCellMar>
            <w:top w:w="0" w:type="dxa"/>
            <w:left w:w="0" w:type="dxa"/>
            <w:bottom w:w="0" w:type="dxa"/>
            <w:right w:w="0" w:type="dxa"/>
          </w:tblCellMar>
        </w:tblPrEx>
        <w:trPr>
          <w:trHeight w:val="501"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0044006">
            <w:pPr>
              <w:autoSpaceDE w:val="0"/>
              <w:autoSpaceDN w:val="0"/>
              <w:adjustRightInd w:val="0"/>
              <w:spacing w:line="240" w:lineRule="auto"/>
              <w:ind w:left="0" w:leftChars="0" w:right="-20"/>
              <w:jc w:val="center"/>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10</w:t>
            </w:r>
          </w:p>
        </w:tc>
        <w:tc>
          <w:tcPr>
            <w:tcW w:w="8428" w:type="dxa"/>
            <w:gridSpan w:val="2"/>
            <w:tcBorders>
              <w:top w:val="single" w:color="000000" w:sz="4" w:space="0"/>
              <w:left w:val="single" w:color="000000" w:sz="4" w:space="0"/>
              <w:bottom w:val="single" w:color="000000" w:sz="4" w:space="0"/>
              <w:right w:val="single" w:color="000000" w:sz="4" w:space="0"/>
            </w:tcBorders>
            <w:noWrap w:val="0"/>
            <w:vAlign w:val="center"/>
          </w:tcPr>
          <w:p w14:paraId="1F9EFDA2">
            <w:pPr>
              <w:autoSpaceDE w:val="0"/>
              <w:autoSpaceDN w:val="0"/>
              <w:adjustRightInd w:val="0"/>
              <w:spacing w:line="24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spacing w:val="-2"/>
                <w:kern w:val="0"/>
                <w:szCs w:val="24"/>
                <w:highlight w:val="none"/>
              </w:rPr>
              <w:t>需要补充的其他内容</w:t>
            </w:r>
          </w:p>
        </w:tc>
      </w:tr>
      <w:tr w14:paraId="31809F78">
        <w:tblPrEx>
          <w:tblCellMar>
            <w:top w:w="0" w:type="dxa"/>
            <w:left w:w="0" w:type="dxa"/>
            <w:bottom w:w="0" w:type="dxa"/>
            <w:right w:w="0" w:type="dxa"/>
          </w:tblCellMar>
        </w:tblPrEx>
        <w:trPr>
          <w:trHeight w:val="468"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6874A93">
            <w:pPr>
              <w:autoSpaceDE w:val="0"/>
              <w:autoSpaceDN w:val="0"/>
              <w:adjustRightInd w:val="0"/>
              <w:spacing w:line="24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10.</w:t>
            </w:r>
            <w:r>
              <w:rPr>
                <w:rFonts w:hint="eastAsia" w:ascii="宋体" w:hAnsi="宋体" w:cs="宋体"/>
                <w:color w:val="auto"/>
                <w:spacing w:val="-2"/>
                <w:kern w:val="0"/>
                <w:szCs w:val="24"/>
                <w:highlight w:val="none"/>
                <w:lang w:val="en-US" w:eastAsia="zh-CN"/>
              </w:rPr>
              <w:t>1</w:t>
            </w:r>
          </w:p>
        </w:tc>
        <w:tc>
          <w:tcPr>
            <w:tcW w:w="8428" w:type="dxa"/>
            <w:gridSpan w:val="2"/>
            <w:tcBorders>
              <w:top w:val="single" w:color="000000" w:sz="4" w:space="0"/>
              <w:left w:val="single" w:color="000000" w:sz="4" w:space="0"/>
              <w:bottom w:val="single" w:color="000000" w:sz="4" w:space="0"/>
              <w:right w:val="single" w:color="000000" w:sz="4" w:space="0"/>
            </w:tcBorders>
            <w:noWrap w:val="0"/>
            <w:vAlign w:val="center"/>
          </w:tcPr>
          <w:p w14:paraId="5BCD58E6">
            <w:pPr>
              <w:spacing w:before="49" w:line="24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质保期：</w:t>
            </w:r>
            <w:r>
              <w:rPr>
                <w:rFonts w:hint="eastAsia" w:ascii="宋体" w:hAnsi="宋体" w:eastAsia="宋体" w:cs="宋体"/>
                <w:color w:val="auto"/>
                <w:kern w:val="0"/>
                <w:sz w:val="24"/>
                <w:szCs w:val="24"/>
                <w:highlight w:val="none"/>
                <w:lang w:val="en-US" w:eastAsia="zh-CN"/>
              </w:rPr>
              <w:t>硬件质保</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年，软件质保</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年，自</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整体验收合格之日起计算。</w:t>
            </w:r>
          </w:p>
        </w:tc>
      </w:tr>
      <w:tr w14:paraId="184CEFC0">
        <w:tblPrEx>
          <w:tblCellMar>
            <w:top w:w="0" w:type="dxa"/>
            <w:left w:w="0" w:type="dxa"/>
            <w:bottom w:w="0" w:type="dxa"/>
            <w:right w:w="0" w:type="dxa"/>
          </w:tblCellMar>
        </w:tblPrEx>
        <w:trPr>
          <w:trHeight w:val="2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8336236">
            <w:pPr>
              <w:autoSpaceDE w:val="0"/>
              <w:autoSpaceDN w:val="0"/>
              <w:adjustRightInd w:val="0"/>
              <w:spacing w:line="36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10.</w:t>
            </w:r>
            <w:r>
              <w:rPr>
                <w:rFonts w:hint="eastAsia" w:ascii="宋体" w:hAnsi="宋体" w:cs="宋体"/>
                <w:color w:val="auto"/>
                <w:spacing w:val="-2"/>
                <w:kern w:val="0"/>
                <w:szCs w:val="24"/>
                <w:highlight w:val="none"/>
                <w:lang w:val="en-US" w:eastAsia="zh-CN"/>
              </w:rPr>
              <w:t>2</w:t>
            </w:r>
          </w:p>
        </w:tc>
        <w:tc>
          <w:tcPr>
            <w:tcW w:w="8428" w:type="dxa"/>
            <w:gridSpan w:val="2"/>
            <w:tcBorders>
              <w:top w:val="single" w:color="000000" w:sz="4" w:space="0"/>
              <w:left w:val="single" w:color="000000" w:sz="4" w:space="0"/>
              <w:bottom w:val="single" w:color="000000" w:sz="4" w:space="0"/>
              <w:right w:val="single" w:color="000000" w:sz="4" w:space="0"/>
            </w:tcBorders>
            <w:noWrap w:val="0"/>
            <w:vAlign w:val="center"/>
          </w:tcPr>
          <w:p w14:paraId="16D5666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付款方式：</w:t>
            </w:r>
          </w:p>
          <w:p w14:paraId="47541C0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合同签订后，支付合同总价的30%为预付款</w:t>
            </w:r>
            <w:r>
              <w:rPr>
                <w:rFonts w:hint="eastAsia" w:ascii="宋体" w:hAnsi="宋体" w:cs="宋体"/>
                <w:color w:val="auto"/>
                <w:sz w:val="24"/>
                <w:szCs w:val="24"/>
                <w:highlight w:val="none"/>
                <w:lang w:val="en-US" w:eastAsia="zh-CN"/>
              </w:rPr>
              <w:t>；全部产品交货完成及所有平台搭建完毕，并经安装调试合格后支付合同</w:t>
            </w:r>
            <w:r>
              <w:rPr>
                <w:rFonts w:hint="eastAsia" w:ascii="宋体" w:hAnsi="宋体" w:eastAsia="宋体" w:cs="宋体"/>
                <w:color w:val="auto"/>
                <w:sz w:val="24"/>
                <w:szCs w:val="24"/>
                <w:highlight w:val="none"/>
                <w:lang w:val="en-US" w:eastAsia="zh-CN"/>
              </w:rPr>
              <w:t>总价</w:t>
            </w:r>
            <w:r>
              <w:rPr>
                <w:rFonts w:hint="eastAsia" w:ascii="宋体" w:hAnsi="宋体" w:cs="宋体"/>
                <w:color w:val="auto"/>
                <w:sz w:val="24"/>
                <w:szCs w:val="24"/>
                <w:highlight w:val="none"/>
                <w:lang w:val="en-US" w:eastAsia="zh-CN"/>
              </w:rPr>
              <w:t>的70%。</w:t>
            </w:r>
          </w:p>
          <w:p w14:paraId="5CE649D5">
            <w:pPr>
              <w:spacing w:before="49" w:line="360" w:lineRule="auto"/>
              <w:ind w:left="16" w:leftChars="0" w:right="-67" w:rightChars="-28" w:hanging="16" w:hangingChars="7"/>
              <w:jc w:val="left"/>
              <w:rPr>
                <w:rFonts w:hint="eastAsia" w:ascii="宋体" w:hAnsi="宋体" w:cs="宋体"/>
                <w:color w:val="auto"/>
                <w:kern w:val="0"/>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中标人需向采购人提供合法有效的增值税发票。</w:t>
            </w:r>
          </w:p>
        </w:tc>
      </w:tr>
      <w:tr w14:paraId="673AC0E7">
        <w:tblPrEx>
          <w:tblCellMar>
            <w:top w:w="0" w:type="dxa"/>
            <w:left w:w="0" w:type="dxa"/>
            <w:bottom w:w="0" w:type="dxa"/>
            <w:right w:w="0" w:type="dxa"/>
          </w:tblCellMar>
        </w:tblPrEx>
        <w:trPr>
          <w:trHeight w:val="2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DD8D269">
            <w:pPr>
              <w:autoSpaceDE w:val="0"/>
              <w:autoSpaceDN w:val="0"/>
              <w:adjustRightInd w:val="0"/>
              <w:spacing w:line="36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10.</w:t>
            </w:r>
            <w:r>
              <w:rPr>
                <w:rFonts w:hint="eastAsia" w:ascii="宋体" w:hAnsi="宋体" w:cs="宋体"/>
                <w:color w:val="auto"/>
                <w:spacing w:val="-2"/>
                <w:kern w:val="0"/>
                <w:szCs w:val="24"/>
                <w:highlight w:val="none"/>
                <w:lang w:val="en-US" w:eastAsia="zh-CN"/>
              </w:rPr>
              <w:t>3</w:t>
            </w:r>
          </w:p>
        </w:tc>
        <w:tc>
          <w:tcPr>
            <w:tcW w:w="8428" w:type="dxa"/>
            <w:gridSpan w:val="2"/>
            <w:tcBorders>
              <w:top w:val="single" w:color="000000" w:sz="4" w:space="0"/>
              <w:left w:val="single" w:color="000000" w:sz="4" w:space="0"/>
              <w:bottom w:val="single" w:color="000000" w:sz="4" w:space="0"/>
              <w:right w:val="single" w:color="000000" w:sz="4" w:space="0"/>
            </w:tcBorders>
            <w:noWrap w:val="0"/>
            <w:vAlign w:val="center"/>
          </w:tcPr>
          <w:p w14:paraId="11D87F42">
            <w:pPr>
              <w:pStyle w:val="43"/>
              <w:spacing w:line="360" w:lineRule="auto"/>
              <w:ind w:left="0" w:leftChars="0" w:firstLine="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rPr>
              <w:t>政府采购合同</w:t>
            </w:r>
            <w:r>
              <w:rPr>
                <w:rFonts w:hint="eastAsia" w:ascii="宋体" w:hAnsi="宋体" w:cs="宋体"/>
                <w:color w:val="auto"/>
                <w:szCs w:val="24"/>
                <w:highlight w:val="none"/>
                <w:lang w:val="en-US" w:eastAsia="zh-CN"/>
              </w:rPr>
              <w:t>：中标人自中标通知书发出之日起 30 日内与采购人签订合同，并于合同签订之日起 2 个工作日内递交一份合同扫描件至采购代理机构备案。</w:t>
            </w:r>
          </w:p>
        </w:tc>
      </w:tr>
      <w:tr w14:paraId="1D8E16D5">
        <w:tblPrEx>
          <w:tblCellMar>
            <w:top w:w="0" w:type="dxa"/>
            <w:left w:w="0" w:type="dxa"/>
            <w:bottom w:w="0" w:type="dxa"/>
            <w:right w:w="0" w:type="dxa"/>
          </w:tblCellMar>
        </w:tblPrEx>
        <w:trPr>
          <w:trHeight w:val="544"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7D1D7A5">
            <w:pPr>
              <w:autoSpaceDE w:val="0"/>
              <w:autoSpaceDN w:val="0"/>
              <w:adjustRightInd w:val="0"/>
              <w:spacing w:line="36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10.</w:t>
            </w:r>
            <w:r>
              <w:rPr>
                <w:rFonts w:hint="eastAsia" w:ascii="宋体" w:hAnsi="宋体" w:cs="宋体"/>
                <w:color w:val="auto"/>
                <w:spacing w:val="-2"/>
                <w:kern w:val="0"/>
                <w:szCs w:val="24"/>
                <w:highlight w:val="none"/>
                <w:lang w:val="en-US" w:eastAsia="zh-CN"/>
              </w:rPr>
              <w:t>4</w:t>
            </w:r>
          </w:p>
        </w:tc>
        <w:tc>
          <w:tcPr>
            <w:tcW w:w="8428" w:type="dxa"/>
            <w:gridSpan w:val="2"/>
            <w:tcBorders>
              <w:top w:val="single" w:color="000000" w:sz="4" w:space="0"/>
              <w:left w:val="single" w:color="000000" w:sz="4" w:space="0"/>
              <w:bottom w:val="single" w:color="000000" w:sz="4" w:space="0"/>
              <w:right w:val="single" w:color="000000" w:sz="4" w:space="0"/>
            </w:tcBorders>
            <w:noWrap w:val="0"/>
            <w:vAlign w:val="center"/>
          </w:tcPr>
          <w:p w14:paraId="24BAD0D5">
            <w:pPr>
              <w:autoSpaceDE w:val="0"/>
              <w:autoSpaceDN w:val="0"/>
              <w:adjustRightInd w:val="0"/>
              <w:spacing w:before="55" w:line="360" w:lineRule="auto"/>
              <w:ind w:left="16" w:leftChars="0" w:right="-67" w:rightChars="-28" w:hanging="16" w:hangingChars="7"/>
              <w:jc w:val="left"/>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1、构成本采购文件各个组成部分的文件，未经采购人书面同意，</w:t>
            </w:r>
            <w:r>
              <w:rPr>
                <w:rFonts w:hint="eastAsia" w:ascii="宋体" w:hAnsi="宋体" w:cs="宋体"/>
                <w:color w:val="auto"/>
                <w:spacing w:val="-2"/>
                <w:kern w:val="0"/>
                <w:szCs w:val="24"/>
                <w:highlight w:val="none"/>
                <w:lang w:eastAsia="zh-CN"/>
              </w:rPr>
              <w:t>供应商</w:t>
            </w:r>
            <w:r>
              <w:rPr>
                <w:rFonts w:hint="eastAsia" w:ascii="宋体" w:hAnsi="宋体" w:cs="宋体"/>
                <w:color w:val="auto"/>
                <w:spacing w:val="-2"/>
                <w:kern w:val="0"/>
                <w:szCs w:val="24"/>
                <w:highlight w:val="none"/>
              </w:rPr>
              <w:t>不得擅自复印和用于非本招标项目所需的其他目的。采购人全部或者部分使用未中标人响应文件中的技术成果或技术方案时，需征得其书面同意，并不得擅自复印或提供给第三人。</w:t>
            </w:r>
          </w:p>
          <w:p w14:paraId="2EBDFF30">
            <w:pPr>
              <w:autoSpaceDE w:val="0"/>
              <w:autoSpaceDN w:val="0"/>
              <w:adjustRightInd w:val="0"/>
              <w:spacing w:before="55" w:line="360" w:lineRule="auto"/>
              <w:ind w:left="16" w:leftChars="0" w:right="-67" w:rightChars="-28" w:hanging="16" w:hangingChars="7"/>
              <w:jc w:val="left"/>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rPr>
              <w:t>2、</w:t>
            </w:r>
            <w:r>
              <w:rPr>
                <w:rFonts w:hint="eastAsia" w:ascii="宋体" w:hAnsi="宋体" w:cs="宋体"/>
                <w:color w:val="auto"/>
                <w:spacing w:val="-2"/>
                <w:kern w:val="0"/>
                <w:szCs w:val="24"/>
                <w:highlight w:val="none"/>
                <w:lang w:eastAsia="zh-CN"/>
              </w:rPr>
              <w:t>供应商</w:t>
            </w:r>
            <w:r>
              <w:rPr>
                <w:rFonts w:hint="eastAsia" w:ascii="宋体" w:hAnsi="宋体" w:cs="宋体"/>
                <w:color w:val="auto"/>
                <w:spacing w:val="-2"/>
                <w:kern w:val="0"/>
                <w:szCs w:val="24"/>
                <w:highlight w:val="none"/>
              </w:rPr>
              <w:t>需保证交货产品不侵犯第三方知识产权和其他权益，由此造成的法律责任及经济纠纷由</w:t>
            </w:r>
            <w:r>
              <w:rPr>
                <w:rFonts w:hint="eastAsia" w:ascii="宋体" w:hAnsi="宋体" w:cs="宋体"/>
                <w:color w:val="auto"/>
                <w:spacing w:val="-2"/>
                <w:kern w:val="0"/>
                <w:szCs w:val="24"/>
                <w:highlight w:val="none"/>
                <w:lang w:eastAsia="zh-CN"/>
              </w:rPr>
              <w:t>供应商</w:t>
            </w:r>
            <w:r>
              <w:rPr>
                <w:rFonts w:hint="eastAsia" w:ascii="宋体" w:hAnsi="宋体" w:cs="宋体"/>
                <w:color w:val="auto"/>
                <w:spacing w:val="-2"/>
                <w:kern w:val="0"/>
                <w:szCs w:val="24"/>
                <w:highlight w:val="none"/>
              </w:rPr>
              <w:t>自行处理。给采购人造成损失的，将追究其法律责任。</w:t>
            </w:r>
          </w:p>
        </w:tc>
      </w:tr>
      <w:tr w14:paraId="4E2BB7A0">
        <w:tblPrEx>
          <w:tblCellMar>
            <w:top w:w="0" w:type="dxa"/>
            <w:left w:w="0" w:type="dxa"/>
            <w:bottom w:w="0" w:type="dxa"/>
            <w:right w:w="0" w:type="dxa"/>
          </w:tblCellMar>
        </w:tblPrEx>
        <w:trPr>
          <w:trHeight w:val="90"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2CF9826">
            <w:pPr>
              <w:autoSpaceDE w:val="0"/>
              <w:autoSpaceDN w:val="0"/>
              <w:adjustRightInd w:val="0"/>
              <w:spacing w:line="360" w:lineRule="auto"/>
              <w:ind w:left="0" w:leftChars="0" w:right="-20"/>
              <w:jc w:val="center"/>
              <w:rPr>
                <w:rFonts w:hint="eastAsia" w:ascii="宋体" w:hAnsi="宋体" w:eastAsia="宋体" w:cs="宋体"/>
                <w:color w:val="auto"/>
                <w:spacing w:val="-2"/>
                <w:kern w:val="0"/>
                <w:szCs w:val="24"/>
                <w:highlight w:val="none"/>
                <w:lang w:eastAsia="zh-CN"/>
              </w:rPr>
            </w:pPr>
            <w:r>
              <w:rPr>
                <w:rFonts w:hint="eastAsia" w:ascii="宋体" w:hAnsi="宋体" w:cs="宋体"/>
                <w:color w:val="auto"/>
                <w:spacing w:val="-2"/>
                <w:kern w:val="0"/>
                <w:szCs w:val="24"/>
                <w:highlight w:val="none"/>
              </w:rPr>
              <w:t>10.</w:t>
            </w:r>
            <w:r>
              <w:rPr>
                <w:rFonts w:hint="eastAsia" w:ascii="宋体" w:hAnsi="宋体" w:cs="宋体"/>
                <w:color w:val="auto"/>
                <w:spacing w:val="-2"/>
                <w:kern w:val="0"/>
                <w:szCs w:val="24"/>
                <w:highlight w:val="none"/>
                <w:lang w:val="en-US" w:eastAsia="zh-CN"/>
              </w:rPr>
              <w:t>5</w:t>
            </w:r>
          </w:p>
        </w:tc>
        <w:tc>
          <w:tcPr>
            <w:tcW w:w="8428" w:type="dxa"/>
            <w:gridSpan w:val="2"/>
            <w:tcBorders>
              <w:top w:val="single" w:color="000000" w:sz="4" w:space="0"/>
              <w:left w:val="single" w:color="000000" w:sz="4" w:space="0"/>
              <w:bottom w:val="single" w:color="000000" w:sz="4" w:space="0"/>
              <w:right w:val="single" w:color="000000" w:sz="4" w:space="0"/>
            </w:tcBorders>
            <w:noWrap w:val="0"/>
            <w:vAlign w:val="center"/>
          </w:tcPr>
          <w:p w14:paraId="0999619A">
            <w:pPr>
              <w:autoSpaceDE w:val="0"/>
              <w:autoSpaceDN w:val="0"/>
              <w:adjustRightInd w:val="0"/>
              <w:spacing w:before="55" w:line="360" w:lineRule="auto"/>
              <w:ind w:left="16" w:leftChars="0" w:right="-67" w:rightChars="-28" w:hanging="16" w:hangingChars="7"/>
              <w:jc w:val="left"/>
              <w:rPr>
                <w:rFonts w:hint="eastAsia" w:ascii="宋体" w:hAnsi="宋体" w:cs="宋体"/>
                <w:color w:val="auto"/>
                <w:spacing w:val="-2"/>
                <w:kern w:val="0"/>
                <w:szCs w:val="24"/>
                <w:highlight w:val="none"/>
              </w:rPr>
            </w:pPr>
            <w:r>
              <w:rPr>
                <w:rFonts w:hint="eastAsia" w:ascii="宋体" w:hAnsi="宋体" w:cs="宋体"/>
                <w:color w:val="auto"/>
                <w:spacing w:val="-2"/>
                <w:kern w:val="0"/>
                <w:szCs w:val="24"/>
                <w:highlight w:val="none"/>
                <w:lang w:eastAsia="zh-CN"/>
              </w:rPr>
              <w:t>供应商</w:t>
            </w:r>
            <w:r>
              <w:rPr>
                <w:rFonts w:hint="eastAsia" w:ascii="宋体" w:hAnsi="宋体" w:cs="宋体"/>
                <w:color w:val="auto"/>
                <w:spacing w:val="-2"/>
                <w:kern w:val="0"/>
                <w:szCs w:val="24"/>
                <w:highlight w:val="none"/>
              </w:rPr>
              <w:t>提供虚假证明材料，</w:t>
            </w:r>
            <w:r>
              <w:rPr>
                <w:rFonts w:hint="eastAsia"/>
                <w:color w:val="auto"/>
                <w:szCs w:val="24"/>
                <w:highlight w:val="none"/>
              </w:rPr>
              <w:t>举报属实或经主管部</w:t>
            </w:r>
            <w:r>
              <w:rPr>
                <w:rFonts w:hint="eastAsia" w:ascii="宋体" w:hAnsi="宋体" w:cs="宋体"/>
                <w:color w:val="auto"/>
                <w:spacing w:val="-2"/>
                <w:kern w:val="0"/>
                <w:szCs w:val="24"/>
                <w:highlight w:val="none"/>
              </w:rPr>
              <w:t>门查实，取消中标资格，给采购人造成损失的，依法追究责任。采购人有权依法顺延后续中标候选人为中标人或重新招标。</w:t>
            </w:r>
          </w:p>
        </w:tc>
      </w:tr>
      <w:tr w14:paraId="373BF21E">
        <w:tblPrEx>
          <w:tblCellMar>
            <w:top w:w="0" w:type="dxa"/>
            <w:left w:w="0" w:type="dxa"/>
            <w:bottom w:w="0" w:type="dxa"/>
            <w:right w:w="0" w:type="dxa"/>
          </w:tblCellMar>
        </w:tblPrEx>
        <w:trPr>
          <w:trHeight w:val="1025"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ECB896B">
            <w:pPr>
              <w:autoSpaceDE w:val="0"/>
              <w:autoSpaceDN w:val="0"/>
              <w:adjustRightInd w:val="0"/>
              <w:spacing w:line="360" w:lineRule="auto"/>
              <w:ind w:left="0" w:leftChars="0" w:right="-20"/>
              <w:jc w:val="center"/>
              <w:rPr>
                <w:rFonts w:hint="eastAsia" w:ascii="宋体" w:hAnsi="宋体" w:eastAsia="宋体" w:cs="宋体"/>
                <w:color w:val="auto"/>
                <w:spacing w:val="-2"/>
                <w:kern w:val="0"/>
                <w:szCs w:val="24"/>
                <w:highlight w:val="none"/>
                <w:lang w:eastAsia="zh-CN"/>
              </w:rPr>
            </w:pPr>
            <w:r>
              <w:rPr>
                <w:rFonts w:ascii="宋体" w:hAnsi="宋体" w:cs="宋体"/>
                <w:color w:val="auto"/>
                <w:spacing w:val="-2"/>
                <w:kern w:val="0"/>
                <w:szCs w:val="24"/>
                <w:highlight w:val="none"/>
              </w:rPr>
              <w:t>10.</w:t>
            </w:r>
            <w:r>
              <w:rPr>
                <w:rFonts w:hint="eastAsia" w:ascii="宋体" w:hAnsi="宋体" w:cs="宋体"/>
                <w:color w:val="auto"/>
                <w:spacing w:val="-2"/>
                <w:kern w:val="0"/>
                <w:szCs w:val="24"/>
                <w:highlight w:val="none"/>
                <w:lang w:val="en-US" w:eastAsia="zh-CN"/>
              </w:rPr>
              <w:t>6</w:t>
            </w:r>
          </w:p>
        </w:tc>
        <w:tc>
          <w:tcPr>
            <w:tcW w:w="8428" w:type="dxa"/>
            <w:gridSpan w:val="2"/>
            <w:tcBorders>
              <w:top w:val="single" w:color="000000" w:sz="4" w:space="0"/>
              <w:left w:val="single" w:color="000000" w:sz="4" w:space="0"/>
              <w:bottom w:val="single" w:color="000000" w:sz="4" w:space="0"/>
              <w:right w:val="single" w:color="000000" w:sz="4" w:space="0"/>
            </w:tcBorders>
            <w:noWrap w:val="0"/>
            <w:vAlign w:val="center"/>
          </w:tcPr>
          <w:p w14:paraId="3903D20C">
            <w:pPr>
              <w:pStyle w:val="43"/>
              <w:spacing w:line="360" w:lineRule="auto"/>
              <w:ind w:left="0" w:leftChars="0" w:firstLine="0"/>
              <w:rPr>
                <w:rFonts w:hint="eastAsia" w:ascii="宋体" w:hAnsi="宋体" w:cs="宋体"/>
                <w:color w:val="auto"/>
                <w:spacing w:val="-2"/>
                <w:kern w:val="0"/>
                <w:szCs w:val="24"/>
                <w:highlight w:val="none"/>
                <w:lang w:val="en-US"/>
              </w:rPr>
            </w:pPr>
            <w:r>
              <w:rPr>
                <w:rFonts w:hint="eastAsia" w:ascii="宋体" w:hAnsi="宋体" w:cs="宋体"/>
                <w:b w:val="0"/>
                <w:bCs w:val="0"/>
                <w:color w:val="auto"/>
                <w:spacing w:val="-2"/>
                <w:kern w:val="0"/>
                <w:szCs w:val="24"/>
                <w:highlight w:val="none"/>
                <w:lang w:val="en-US" w:eastAsia="zh-CN"/>
              </w:rPr>
              <w:t>发布公告的媒介：贵州省公共资源交易中心、贵州省政府采购网、贵州省招标投标公共服务平台。</w:t>
            </w:r>
          </w:p>
        </w:tc>
      </w:tr>
      <w:tr w14:paraId="1ACD42F9">
        <w:tblPrEx>
          <w:tblCellMar>
            <w:top w:w="0" w:type="dxa"/>
            <w:left w:w="0" w:type="dxa"/>
            <w:bottom w:w="0" w:type="dxa"/>
            <w:right w:w="0" w:type="dxa"/>
          </w:tblCellMar>
        </w:tblPrEx>
        <w:trPr>
          <w:trHeight w:val="1025"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F18C2AC">
            <w:pPr>
              <w:autoSpaceDE w:val="0"/>
              <w:autoSpaceDN w:val="0"/>
              <w:adjustRightInd w:val="0"/>
              <w:spacing w:line="360" w:lineRule="auto"/>
              <w:ind w:left="0" w:leftChars="0" w:right="-20"/>
              <w:jc w:val="center"/>
              <w:rPr>
                <w:rFonts w:hint="default" w:ascii="宋体" w:hAnsi="宋体" w:eastAsia="宋体" w:cs="宋体"/>
                <w:color w:val="auto"/>
                <w:spacing w:val="-2"/>
                <w:kern w:val="0"/>
                <w:szCs w:val="24"/>
                <w:highlight w:val="none"/>
                <w:lang w:val="en-US" w:eastAsia="zh-CN"/>
              </w:rPr>
            </w:pPr>
            <w:r>
              <w:rPr>
                <w:rFonts w:hint="eastAsia" w:ascii="宋体" w:hAnsi="宋体" w:cs="宋体"/>
                <w:color w:val="auto"/>
                <w:spacing w:val="-2"/>
                <w:kern w:val="0"/>
                <w:szCs w:val="24"/>
                <w:highlight w:val="none"/>
                <w:lang w:val="en-US" w:eastAsia="zh-CN"/>
              </w:rPr>
              <w:t>10.7</w:t>
            </w:r>
          </w:p>
        </w:tc>
        <w:tc>
          <w:tcPr>
            <w:tcW w:w="8428" w:type="dxa"/>
            <w:gridSpan w:val="2"/>
            <w:tcBorders>
              <w:top w:val="single" w:color="000000" w:sz="4" w:space="0"/>
              <w:left w:val="single" w:color="000000" w:sz="4" w:space="0"/>
              <w:bottom w:val="single" w:color="000000" w:sz="4" w:space="0"/>
              <w:right w:val="single" w:color="000000" w:sz="4" w:space="0"/>
            </w:tcBorders>
            <w:noWrap w:val="0"/>
            <w:vAlign w:val="center"/>
          </w:tcPr>
          <w:p w14:paraId="06700174">
            <w:pPr>
              <w:pStyle w:val="43"/>
              <w:spacing w:line="360" w:lineRule="auto"/>
              <w:ind w:left="0" w:leftChars="0" w:firstLine="0"/>
              <w:rPr>
                <w:rFonts w:hint="eastAsia" w:ascii="宋体" w:hAnsi="宋体" w:cs="宋体"/>
                <w:b w:val="0"/>
                <w:bCs w:val="0"/>
                <w:color w:val="auto"/>
                <w:spacing w:val="-2"/>
                <w:kern w:val="0"/>
                <w:szCs w:val="24"/>
                <w:highlight w:val="none"/>
                <w:lang w:val="en-US" w:eastAsia="zh-CN"/>
              </w:rPr>
            </w:pPr>
            <w:r>
              <w:rPr>
                <w:rFonts w:hint="eastAsia" w:ascii="宋体" w:hAnsi="宋体" w:cs="宋体"/>
                <w:b w:val="0"/>
                <w:bCs w:val="0"/>
                <w:color w:val="auto"/>
                <w:spacing w:val="-2"/>
                <w:kern w:val="0"/>
                <w:szCs w:val="24"/>
                <w:highlight w:val="none"/>
                <w:lang w:val="en-US" w:eastAsia="zh-CN"/>
              </w:rPr>
              <w:t>签订合同前，中标人须提供2份纸质文件供采购人存档使用。提供的纸质文件务必与上传系统的电子响应文件一致，不一致的，供应商自行承担责任。</w:t>
            </w:r>
          </w:p>
        </w:tc>
      </w:tr>
      <w:tr w14:paraId="46509034">
        <w:tblPrEx>
          <w:tblCellMar>
            <w:top w:w="0" w:type="dxa"/>
            <w:left w:w="0" w:type="dxa"/>
            <w:bottom w:w="0" w:type="dxa"/>
            <w:right w:w="0" w:type="dxa"/>
          </w:tblCellMar>
        </w:tblPrEx>
        <w:trPr>
          <w:trHeight w:val="606" w:hRule="atLeast"/>
        </w:trPr>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0F92849">
            <w:pPr>
              <w:autoSpaceDE w:val="0"/>
              <w:autoSpaceDN w:val="0"/>
              <w:adjustRightInd w:val="0"/>
              <w:spacing w:line="240" w:lineRule="auto"/>
              <w:ind w:left="0" w:leftChars="0" w:right="-20"/>
              <w:jc w:val="center"/>
              <w:rPr>
                <w:rFonts w:hint="default" w:ascii="宋体" w:hAnsi="宋体" w:cs="宋体"/>
                <w:color w:val="auto"/>
                <w:spacing w:val="-2"/>
                <w:kern w:val="0"/>
                <w:szCs w:val="24"/>
                <w:highlight w:val="none"/>
                <w:lang w:val="en-US" w:eastAsia="zh-CN"/>
              </w:rPr>
            </w:pPr>
            <w:r>
              <w:rPr>
                <w:rFonts w:hint="eastAsia" w:ascii="宋体" w:hAnsi="宋体" w:cs="宋体"/>
                <w:color w:val="auto"/>
                <w:spacing w:val="-2"/>
                <w:kern w:val="0"/>
                <w:szCs w:val="24"/>
                <w:highlight w:val="none"/>
                <w:lang w:val="en-US" w:eastAsia="zh-CN"/>
              </w:rPr>
              <w:t>10.8</w:t>
            </w:r>
          </w:p>
        </w:tc>
        <w:tc>
          <w:tcPr>
            <w:tcW w:w="8428" w:type="dxa"/>
            <w:gridSpan w:val="2"/>
            <w:tcBorders>
              <w:top w:val="single" w:color="000000" w:sz="4" w:space="0"/>
              <w:left w:val="single" w:color="000000" w:sz="4" w:space="0"/>
              <w:bottom w:val="single" w:color="000000" w:sz="4" w:space="0"/>
              <w:right w:val="single" w:color="000000" w:sz="4" w:space="0"/>
            </w:tcBorders>
            <w:noWrap w:val="0"/>
            <w:vAlign w:val="center"/>
          </w:tcPr>
          <w:p w14:paraId="7537D3B7">
            <w:pPr>
              <w:pStyle w:val="43"/>
              <w:spacing w:line="240" w:lineRule="auto"/>
              <w:ind w:left="0" w:leftChars="0" w:firstLine="0"/>
              <w:rPr>
                <w:rFonts w:hint="eastAsia" w:ascii="宋体" w:hAnsi="宋体" w:cs="宋体"/>
                <w:b w:val="0"/>
                <w:bCs w:val="0"/>
                <w:color w:val="auto"/>
                <w:spacing w:val="-2"/>
                <w:kern w:val="0"/>
                <w:szCs w:val="24"/>
                <w:highlight w:val="none"/>
                <w:lang w:val="en-US" w:eastAsia="zh-CN"/>
              </w:rPr>
            </w:pPr>
            <w:r>
              <w:rPr>
                <w:rFonts w:hint="eastAsia" w:ascii="宋体" w:hAnsi="宋体" w:eastAsia="宋体" w:cs="宋体"/>
                <w:color w:val="auto"/>
                <w:kern w:val="2"/>
                <w:sz w:val="24"/>
                <w:szCs w:val="24"/>
                <w:highlight w:val="none"/>
                <w:u w:val="none"/>
                <w:lang w:val="en-US" w:eastAsia="zh-CN" w:bidi="ar-SA"/>
              </w:rPr>
              <w:t>本项目采购标的对应的中小企业划分标准所属行业为：软件和信息技术服务业。</w:t>
            </w:r>
            <w:r>
              <w:rPr>
                <w:rFonts w:hint="eastAsia" w:ascii="宋体" w:hAnsi="宋体" w:cs="宋体"/>
                <w:color w:val="auto"/>
                <w:szCs w:val="24"/>
                <w:highlight w:val="none"/>
              </w:rPr>
              <w:t xml:space="preserve">          </w:t>
            </w:r>
          </w:p>
        </w:tc>
      </w:tr>
      <w:tr w14:paraId="5632CC5F">
        <w:tblPrEx>
          <w:tblCellMar>
            <w:top w:w="0" w:type="dxa"/>
            <w:left w:w="0" w:type="dxa"/>
            <w:bottom w:w="0" w:type="dxa"/>
            <w:right w:w="0" w:type="dxa"/>
          </w:tblCellMar>
        </w:tblPrEx>
        <w:trPr>
          <w:trHeight w:val="1105" w:hRule="atLeast"/>
        </w:trPr>
        <w:tc>
          <w:tcPr>
            <w:tcW w:w="9592" w:type="dxa"/>
            <w:gridSpan w:val="3"/>
            <w:tcBorders>
              <w:top w:val="single" w:color="000000" w:sz="4" w:space="0"/>
              <w:left w:val="single" w:color="000000" w:sz="4" w:space="0"/>
              <w:bottom w:val="single" w:color="000000" w:sz="4" w:space="0"/>
              <w:right w:val="single" w:color="000000" w:sz="4" w:space="0"/>
            </w:tcBorders>
            <w:noWrap w:val="0"/>
            <w:vAlign w:val="center"/>
          </w:tcPr>
          <w:p w14:paraId="044FC27D">
            <w:pPr>
              <w:autoSpaceDE w:val="0"/>
              <w:autoSpaceDN w:val="0"/>
              <w:adjustRightInd w:val="0"/>
              <w:spacing w:before="55" w:line="360" w:lineRule="auto"/>
              <w:ind w:left="0" w:leftChars="0" w:right="-67" w:rightChars="-28" w:firstLine="486" w:firstLineChars="200"/>
              <w:jc w:val="left"/>
              <w:rPr>
                <w:rFonts w:hint="eastAsia" w:ascii="宋体" w:hAnsi="宋体" w:cs="宋体"/>
                <w:color w:val="auto"/>
                <w:spacing w:val="-2"/>
                <w:kern w:val="0"/>
                <w:szCs w:val="24"/>
                <w:highlight w:val="none"/>
              </w:rPr>
            </w:pPr>
            <w:r>
              <w:rPr>
                <w:rFonts w:hint="eastAsia" w:ascii="宋体" w:hAnsi="宋体" w:cs="宋体"/>
                <w:b/>
                <w:bCs/>
                <w:color w:val="auto"/>
                <w:spacing w:val="1"/>
                <w:kern w:val="0"/>
                <w:position w:val="-1"/>
                <w:szCs w:val="24"/>
                <w:highlight w:val="none"/>
              </w:rPr>
              <w:t>备注：</w:t>
            </w:r>
            <w:r>
              <w:rPr>
                <w:rFonts w:hint="eastAsia" w:ascii="宋体" w:hAnsi="宋体" w:cs="宋体"/>
                <w:b/>
                <w:bCs/>
                <w:color w:val="auto"/>
                <w:spacing w:val="1"/>
                <w:kern w:val="0"/>
                <w:position w:val="-1"/>
                <w:szCs w:val="24"/>
                <w:highlight w:val="none"/>
                <w:lang w:eastAsia="zh-CN"/>
              </w:rPr>
              <w:t>供应商须知前附表</w:t>
            </w:r>
            <w:r>
              <w:rPr>
                <w:rFonts w:hint="eastAsia" w:ascii="宋体" w:hAnsi="宋体" w:cs="宋体"/>
                <w:b/>
                <w:bCs/>
                <w:color w:val="auto"/>
                <w:spacing w:val="1"/>
                <w:kern w:val="0"/>
                <w:position w:val="-1"/>
                <w:szCs w:val="24"/>
                <w:highlight w:val="none"/>
              </w:rPr>
              <w:t>是对采购文件的具体补充和修改，如与正文相矛盾的地方，以</w:t>
            </w:r>
            <w:r>
              <w:rPr>
                <w:rFonts w:hint="eastAsia" w:ascii="宋体" w:hAnsi="宋体" w:cs="宋体"/>
                <w:b/>
                <w:bCs/>
                <w:color w:val="auto"/>
                <w:spacing w:val="1"/>
                <w:kern w:val="0"/>
                <w:position w:val="-1"/>
                <w:szCs w:val="24"/>
                <w:highlight w:val="none"/>
                <w:lang w:eastAsia="zh-CN"/>
              </w:rPr>
              <w:t>供应商须知前附表</w:t>
            </w:r>
            <w:r>
              <w:rPr>
                <w:rFonts w:hint="eastAsia" w:ascii="宋体" w:hAnsi="宋体" w:cs="宋体"/>
                <w:b/>
                <w:bCs/>
                <w:color w:val="auto"/>
                <w:spacing w:val="1"/>
                <w:kern w:val="0"/>
                <w:position w:val="-1"/>
                <w:szCs w:val="24"/>
                <w:highlight w:val="none"/>
              </w:rPr>
              <w:t>为准。当采购文件、采购文件的澄清或修改等在同一内容的表述上不一致时，以最后发出的书面文件为准。</w:t>
            </w:r>
          </w:p>
        </w:tc>
      </w:tr>
    </w:tbl>
    <w:p w14:paraId="5F9B0C41">
      <w:pPr>
        <w:autoSpaceDE w:val="0"/>
        <w:autoSpaceDN w:val="0"/>
        <w:adjustRightInd w:val="0"/>
        <w:jc w:val="left"/>
        <w:rPr>
          <w:rFonts w:hint="eastAsia" w:ascii="宋体" w:hAnsi="宋体" w:cs="宋体"/>
          <w:color w:val="auto"/>
          <w:kern w:val="0"/>
          <w:szCs w:val="24"/>
          <w:highlight w:val="none"/>
        </w:rPr>
        <w:sectPr>
          <w:headerReference r:id="rId10" w:type="default"/>
          <w:footerReference r:id="rId11" w:type="default"/>
          <w:footerReference r:id="rId12" w:type="even"/>
          <w:pgSz w:w="12240" w:h="15840"/>
          <w:pgMar w:top="1440" w:right="1080" w:bottom="1440" w:left="1080" w:header="0" w:footer="964" w:gutter="0"/>
          <w:pgBorders>
            <w:top w:val="none" w:sz="0" w:space="0"/>
            <w:left w:val="none" w:sz="0" w:space="0"/>
            <w:bottom w:val="none" w:sz="0" w:space="0"/>
            <w:right w:val="none" w:sz="0" w:space="0"/>
          </w:pgBorders>
          <w:pgNumType w:fmt="decimal" w:start="1"/>
          <w:cols w:space="720" w:num="1"/>
        </w:sectPr>
      </w:pPr>
    </w:p>
    <w:p w14:paraId="072E6AAE">
      <w:pPr>
        <w:autoSpaceDE w:val="0"/>
        <w:autoSpaceDN w:val="0"/>
        <w:adjustRightInd w:val="0"/>
        <w:spacing w:before="9" w:line="90" w:lineRule="exact"/>
        <w:jc w:val="left"/>
        <w:rPr>
          <w:rFonts w:hint="eastAsia" w:ascii="宋体" w:hAnsi="宋体" w:cs="宋体"/>
          <w:color w:val="auto"/>
          <w:kern w:val="0"/>
          <w:sz w:val="9"/>
          <w:szCs w:val="9"/>
          <w:highlight w:val="none"/>
        </w:rPr>
      </w:pPr>
    </w:p>
    <w:p w14:paraId="49924C27">
      <w:pPr>
        <w:pStyle w:val="5"/>
        <w:keepNext/>
        <w:keepLines/>
        <w:pageBreakBefore w:val="0"/>
        <w:widowControl w:val="0"/>
        <w:kinsoku/>
        <w:wordWrap/>
        <w:overflowPunct/>
        <w:topLinePunct w:val="0"/>
        <w:autoSpaceDE/>
        <w:autoSpaceDN/>
        <w:bidi w:val="0"/>
        <w:adjustRightInd/>
        <w:snapToGrid/>
        <w:spacing w:before="0" w:after="0" w:afterLines="100" w:line="360" w:lineRule="auto"/>
        <w:ind w:left="0" w:leftChars="0"/>
        <w:textAlignment w:val="auto"/>
        <w:rPr>
          <w:rFonts w:hint="eastAsia" w:ascii="宋体" w:hAnsi="宋体" w:cs="宋体"/>
          <w:b w:val="0"/>
          <w:bCs w:val="0"/>
          <w:color w:val="auto"/>
          <w:spacing w:val="1"/>
          <w:kern w:val="0"/>
          <w:position w:val="-1"/>
          <w:sz w:val="32"/>
          <w:highlight w:val="none"/>
        </w:rPr>
      </w:pPr>
      <w:bookmarkStart w:id="33" w:name="_Toc17080"/>
      <w:bookmarkStart w:id="34" w:name="_Toc969"/>
      <w:bookmarkStart w:id="35" w:name="_Toc11729"/>
      <w:bookmarkStart w:id="36" w:name="_Toc6607"/>
      <w:bookmarkStart w:id="37" w:name="_Toc19112"/>
      <w:bookmarkStart w:id="38" w:name="_Toc20061"/>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lang w:eastAsia="zh-CN"/>
        </w:rPr>
        <w:t>供应商</w:t>
      </w:r>
      <w:r>
        <w:rPr>
          <w:rFonts w:hint="eastAsia"/>
          <w:color w:val="auto"/>
          <w:highlight w:val="none"/>
        </w:rPr>
        <w:t>须知正文</w:t>
      </w:r>
      <w:bookmarkEnd w:id="33"/>
      <w:bookmarkEnd w:id="34"/>
      <w:bookmarkEnd w:id="35"/>
      <w:bookmarkEnd w:id="36"/>
      <w:bookmarkEnd w:id="37"/>
      <w:bookmarkEnd w:id="38"/>
      <w:bookmarkStart w:id="39" w:name="_Toc22070"/>
    </w:p>
    <w:bookmarkEnd w:id="39"/>
    <w:p w14:paraId="1AD55662">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644" w:firstLineChars="200"/>
        <w:textAlignment w:val="auto"/>
        <w:outlineLvl w:val="1"/>
        <w:rPr>
          <w:rFonts w:hint="eastAsia" w:ascii="宋体" w:hAnsi="宋体" w:cs="宋体"/>
          <w:color w:val="auto"/>
          <w:spacing w:val="2"/>
          <w:kern w:val="0"/>
          <w:position w:val="-1"/>
          <w:sz w:val="32"/>
          <w:highlight w:val="none"/>
        </w:rPr>
      </w:pPr>
      <w:bookmarkStart w:id="40" w:name="_Toc6310"/>
      <w:bookmarkStart w:id="41" w:name="_Toc12774"/>
      <w:bookmarkStart w:id="42" w:name="_Toc10002"/>
      <w:bookmarkStart w:id="43" w:name="_Toc25210"/>
      <w:bookmarkStart w:id="44" w:name="_Toc14824"/>
      <w:bookmarkStart w:id="45" w:name="_Toc12263"/>
      <w:bookmarkStart w:id="46" w:name="_Toc3818"/>
      <w:r>
        <w:rPr>
          <w:rFonts w:hint="eastAsia" w:ascii="宋体" w:hAnsi="宋体" w:cs="宋体"/>
          <w:b w:val="0"/>
          <w:bCs w:val="0"/>
          <w:color w:val="auto"/>
          <w:spacing w:val="1"/>
          <w:kern w:val="0"/>
          <w:position w:val="-1"/>
          <w:sz w:val="32"/>
          <w:highlight w:val="none"/>
        </w:rPr>
        <w:t>1</w:t>
      </w:r>
      <w:r>
        <w:rPr>
          <w:rFonts w:hint="eastAsia" w:ascii="宋体" w:hAnsi="宋体" w:cs="宋体"/>
          <w:b w:val="0"/>
          <w:bCs w:val="0"/>
          <w:color w:val="auto"/>
          <w:kern w:val="0"/>
          <w:position w:val="-1"/>
          <w:sz w:val="32"/>
          <w:highlight w:val="none"/>
        </w:rPr>
        <w:t>.</w:t>
      </w:r>
      <w:r>
        <w:rPr>
          <w:rFonts w:hint="eastAsia" w:ascii="宋体" w:hAnsi="宋体" w:cs="宋体"/>
          <w:color w:val="auto"/>
          <w:spacing w:val="2"/>
          <w:kern w:val="0"/>
          <w:position w:val="-1"/>
          <w:sz w:val="32"/>
          <w:highlight w:val="none"/>
        </w:rPr>
        <w:t>总则</w:t>
      </w:r>
      <w:bookmarkEnd w:id="40"/>
      <w:bookmarkEnd w:id="41"/>
      <w:bookmarkEnd w:id="42"/>
      <w:bookmarkEnd w:id="43"/>
      <w:bookmarkEnd w:id="44"/>
    </w:p>
    <w:p w14:paraId="708CA5B7">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cs="宋体"/>
          <w:color w:val="auto"/>
          <w:kern w:val="0"/>
          <w:sz w:val="28"/>
          <w:highlight w:val="none"/>
        </w:rPr>
      </w:pPr>
      <w:bookmarkStart w:id="47" w:name="_Toc32141"/>
      <w:bookmarkStart w:id="48" w:name="_Toc25489"/>
      <w:r>
        <w:rPr>
          <w:rFonts w:hint="eastAsia" w:ascii="宋体" w:hAnsi="宋体" w:cs="宋体"/>
          <w:color w:val="auto"/>
          <w:spacing w:val="1"/>
          <w:kern w:val="0"/>
          <w:sz w:val="28"/>
          <w:highlight w:val="none"/>
        </w:rPr>
        <w:t>1</w:t>
      </w:r>
      <w:r>
        <w:rPr>
          <w:rFonts w:hint="eastAsia" w:ascii="宋体" w:hAnsi="宋体" w:cs="宋体"/>
          <w:color w:val="auto"/>
          <w:kern w:val="0"/>
          <w:sz w:val="28"/>
          <w:highlight w:val="none"/>
        </w:rPr>
        <w:t>.1</w:t>
      </w:r>
      <w:r>
        <w:rPr>
          <w:rFonts w:hint="eastAsia" w:ascii="宋体" w:hAnsi="宋体" w:cs="宋体"/>
          <w:color w:val="auto"/>
          <w:spacing w:val="68"/>
          <w:kern w:val="0"/>
          <w:sz w:val="28"/>
          <w:highlight w:val="none"/>
        </w:rPr>
        <w:t xml:space="preserve"> </w:t>
      </w:r>
      <w:r>
        <w:rPr>
          <w:rFonts w:hint="eastAsia" w:ascii="宋体" w:hAnsi="宋体" w:cs="宋体"/>
          <w:color w:val="auto"/>
          <w:kern w:val="0"/>
          <w:sz w:val="28"/>
          <w:highlight w:val="none"/>
        </w:rPr>
        <w:t>招标项目</w:t>
      </w:r>
      <w:r>
        <w:rPr>
          <w:rFonts w:hint="eastAsia" w:ascii="宋体" w:hAnsi="宋体" w:cs="宋体"/>
          <w:color w:val="auto"/>
          <w:spacing w:val="-3"/>
          <w:kern w:val="0"/>
          <w:sz w:val="28"/>
          <w:highlight w:val="none"/>
        </w:rPr>
        <w:t>概</w:t>
      </w:r>
      <w:r>
        <w:rPr>
          <w:rFonts w:hint="eastAsia" w:ascii="宋体" w:hAnsi="宋体" w:cs="宋体"/>
          <w:color w:val="auto"/>
          <w:kern w:val="0"/>
          <w:sz w:val="28"/>
          <w:highlight w:val="none"/>
        </w:rPr>
        <w:t>况</w:t>
      </w:r>
      <w:bookmarkEnd w:id="47"/>
      <w:bookmarkEnd w:id="48"/>
    </w:p>
    <w:p w14:paraId="7AD87439">
      <w:pPr>
        <w:pageBreakBefore w:val="0"/>
        <w:kinsoku/>
        <w:wordWrap w:val="0"/>
        <w:overflowPunct/>
        <w:topLinePunct w:val="0"/>
        <w:autoSpaceDE w:val="0"/>
        <w:autoSpaceDN w:val="0"/>
        <w:bidi w:val="0"/>
        <w:adjustRightInd w:val="0"/>
        <w:snapToGrid/>
        <w:spacing w:line="360" w:lineRule="auto"/>
        <w:ind w:left="0" w:leftChars="0" w:right="0" w:firstLine="472" w:firstLineChars="200"/>
        <w:jc w:val="left"/>
        <w:textAlignment w:val="auto"/>
        <w:rPr>
          <w:rFonts w:hint="eastAsia" w:ascii="宋体" w:hAnsi="宋体" w:eastAsia="宋体" w:cs="宋体"/>
          <w:color w:val="auto"/>
          <w:spacing w:val="-2"/>
          <w:kern w:val="0"/>
          <w:szCs w:val="24"/>
          <w:highlight w:val="none"/>
        </w:rPr>
      </w:pPr>
      <w:r>
        <w:rPr>
          <w:rFonts w:hint="eastAsia" w:ascii="宋体" w:hAnsi="宋体" w:eastAsia="宋体" w:cs="宋体"/>
          <w:color w:val="auto"/>
          <w:spacing w:val="-2"/>
          <w:kern w:val="0"/>
          <w:szCs w:val="24"/>
          <w:highlight w:val="none"/>
        </w:rPr>
        <w:t>根据《中华人民共和国政府采购法》</w:t>
      </w:r>
      <w:r>
        <w:rPr>
          <w:rFonts w:hint="eastAsia" w:ascii="宋体" w:hAnsi="宋体" w:cs="宋体"/>
          <w:color w:val="auto"/>
          <w:spacing w:val="-2"/>
          <w:kern w:val="0"/>
          <w:szCs w:val="24"/>
          <w:highlight w:val="none"/>
          <w:lang w:eastAsia="zh-CN"/>
        </w:rPr>
        <w:t>、</w:t>
      </w:r>
      <w:r>
        <w:rPr>
          <w:rFonts w:hint="eastAsia" w:ascii="宋体" w:hAnsi="宋体" w:eastAsia="宋体" w:cs="宋体"/>
          <w:color w:val="auto"/>
          <w:spacing w:val="-2"/>
          <w:kern w:val="0"/>
          <w:szCs w:val="24"/>
          <w:highlight w:val="none"/>
        </w:rPr>
        <w:t>《中华人民共和国政府采购法</w:t>
      </w:r>
      <w:r>
        <w:rPr>
          <w:rFonts w:hint="eastAsia" w:ascii="宋体" w:hAnsi="宋体" w:cs="宋体"/>
          <w:color w:val="auto"/>
          <w:spacing w:val="-2"/>
          <w:kern w:val="0"/>
          <w:szCs w:val="24"/>
          <w:highlight w:val="none"/>
          <w:lang w:val="en-US" w:eastAsia="zh-CN"/>
        </w:rPr>
        <w:t>实施条例</w:t>
      </w:r>
      <w:r>
        <w:rPr>
          <w:rFonts w:hint="eastAsia" w:ascii="宋体" w:hAnsi="宋体" w:eastAsia="宋体" w:cs="宋体"/>
          <w:color w:val="auto"/>
          <w:spacing w:val="-2"/>
          <w:kern w:val="0"/>
          <w:szCs w:val="24"/>
          <w:highlight w:val="none"/>
        </w:rPr>
        <w:t>》等有关法律、法规和规章的规定，现对本项目进行招标。</w:t>
      </w:r>
    </w:p>
    <w:p w14:paraId="29D4DE36">
      <w:pPr>
        <w:pageBreakBefore w:val="0"/>
        <w:kinsoku/>
        <w:wordWrap w:val="0"/>
        <w:overflowPunct/>
        <w:topLinePunct w:val="0"/>
        <w:autoSpaceDE w:val="0"/>
        <w:autoSpaceDN w:val="0"/>
        <w:bidi w:val="0"/>
        <w:adjustRightInd w:val="0"/>
        <w:snapToGrid/>
        <w:spacing w:line="360" w:lineRule="auto"/>
        <w:ind w:left="0" w:leftChars="0" w:right="0" w:firstLine="472" w:firstLineChars="200"/>
        <w:jc w:val="left"/>
        <w:textAlignment w:val="auto"/>
        <w:rPr>
          <w:rFonts w:hint="eastAsia" w:ascii="宋体" w:hAnsi="宋体" w:eastAsia="宋体" w:cs="宋体"/>
          <w:color w:val="auto"/>
          <w:spacing w:val="-2"/>
          <w:kern w:val="0"/>
          <w:szCs w:val="24"/>
          <w:highlight w:val="none"/>
        </w:rPr>
      </w:pPr>
      <w:r>
        <w:rPr>
          <w:rFonts w:hint="eastAsia" w:ascii="宋体" w:hAnsi="宋体" w:eastAsia="宋体" w:cs="宋体"/>
          <w:color w:val="auto"/>
          <w:spacing w:val="-2"/>
          <w:kern w:val="0"/>
          <w:szCs w:val="24"/>
          <w:highlight w:val="none"/>
        </w:rPr>
        <w:t>1.1.</w:t>
      </w:r>
      <w:r>
        <w:rPr>
          <w:rFonts w:hint="eastAsia" w:ascii="宋体" w:hAnsi="宋体" w:eastAsia="宋体" w:cs="宋体"/>
          <w:color w:val="auto"/>
          <w:spacing w:val="-2"/>
          <w:kern w:val="0"/>
          <w:szCs w:val="24"/>
          <w:highlight w:val="none"/>
          <w:lang w:val="en-US" w:eastAsia="zh-CN"/>
        </w:rPr>
        <w:t>1</w:t>
      </w:r>
      <w:r>
        <w:rPr>
          <w:rFonts w:hint="eastAsia" w:ascii="宋体" w:hAnsi="宋体" w:eastAsia="宋体" w:cs="宋体"/>
          <w:color w:val="auto"/>
          <w:spacing w:val="-2"/>
          <w:kern w:val="0"/>
          <w:szCs w:val="24"/>
          <w:highlight w:val="none"/>
        </w:rPr>
        <w:t xml:space="preserve"> 采购人</w:t>
      </w:r>
      <w:r>
        <w:rPr>
          <w:rFonts w:hint="eastAsia" w:ascii="宋体" w:hAnsi="宋体" w:cs="宋体"/>
          <w:color w:val="auto"/>
          <w:spacing w:val="-2"/>
          <w:kern w:val="0"/>
          <w:szCs w:val="24"/>
          <w:highlight w:val="none"/>
          <w:lang w:eastAsia="zh-CN"/>
        </w:rPr>
        <w:t>：</w:t>
      </w:r>
      <w:r>
        <w:rPr>
          <w:rFonts w:hint="eastAsia" w:ascii="宋体" w:hAnsi="宋体" w:eastAsia="宋体" w:cs="宋体"/>
          <w:color w:val="auto"/>
          <w:spacing w:val="-2"/>
          <w:kern w:val="0"/>
          <w:szCs w:val="24"/>
          <w:highlight w:val="none"/>
        </w:rPr>
        <w:t>见供应商须知前附表。</w:t>
      </w:r>
    </w:p>
    <w:p w14:paraId="019393EE">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1.1.</w:t>
      </w:r>
      <w:r>
        <w:rPr>
          <w:rFonts w:hint="eastAsia" w:ascii="宋体" w:hAnsi="宋体" w:cs="宋体"/>
          <w:color w:val="auto"/>
          <w:kern w:val="0"/>
          <w:szCs w:val="24"/>
          <w:highlight w:val="none"/>
          <w:lang w:val="en-US" w:eastAsia="zh-CN"/>
        </w:rPr>
        <w:t xml:space="preserve">2 </w:t>
      </w:r>
      <w:r>
        <w:rPr>
          <w:rFonts w:hint="eastAsia" w:ascii="宋体" w:hAnsi="宋体" w:cs="宋体"/>
          <w:color w:val="auto"/>
          <w:kern w:val="0"/>
          <w:szCs w:val="24"/>
          <w:highlight w:val="none"/>
        </w:rPr>
        <w:t>采购代理机构：</w:t>
      </w:r>
      <w:r>
        <w:rPr>
          <w:rFonts w:hint="eastAsia" w:ascii="宋体" w:hAnsi="宋体" w:cs="宋体"/>
          <w:color w:val="auto"/>
          <w:spacing w:val="-2"/>
          <w:kern w:val="0"/>
          <w:szCs w:val="24"/>
          <w:highlight w:val="none"/>
        </w:rPr>
        <w:t>见供应商须</w:t>
      </w:r>
      <w:r>
        <w:rPr>
          <w:rFonts w:hint="eastAsia" w:ascii="宋体" w:hAnsi="宋体" w:cs="宋体"/>
          <w:color w:val="auto"/>
          <w:kern w:val="0"/>
          <w:szCs w:val="24"/>
          <w:highlight w:val="none"/>
        </w:rPr>
        <w:t>知</w:t>
      </w:r>
      <w:r>
        <w:rPr>
          <w:rFonts w:hint="eastAsia" w:ascii="宋体" w:hAnsi="宋体" w:cs="宋体"/>
          <w:color w:val="auto"/>
          <w:spacing w:val="-2"/>
          <w:kern w:val="0"/>
          <w:szCs w:val="24"/>
          <w:highlight w:val="none"/>
        </w:rPr>
        <w:t>前</w:t>
      </w:r>
      <w:r>
        <w:rPr>
          <w:rFonts w:hint="eastAsia" w:ascii="宋体" w:hAnsi="宋体" w:cs="宋体"/>
          <w:color w:val="auto"/>
          <w:kern w:val="0"/>
          <w:szCs w:val="24"/>
          <w:highlight w:val="none"/>
        </w:rPr>
        <w:t>附</w:t>
      </w:r>
      <w:r>
        <w:rPr>
          <w:rFonts w:hint="eastAsia" w:ascii="宋体" w:hAnsi="宋体" w:cs="宋体"/>
          <w:color w:val="auto"/>
          <w:spacing w:val="-2"/>
          <w:kern w:val="0"/>
          <w:szCs w:val="24"/>
          <w:highlight w:val="none"/>
        </w:rPr>
        <w:t>表</w:t>
      </w:r>
      <w:r>
        <w:rPr>
          <w:rFonts w:hint="eastAsia" w:ascii="宋体" w:hAnsi="宋体" w:cs="宋体"/>
          <w:color w:val="auto"/>
          <w:kern w:val="0"/>
          <w:szCs w:val="24"/>
          <w:highlight w:val="none"/>
        </w:rPr>
        <w:t>。</w:t>
      </w:r>
    </w:p>
    <w:p w14:paraId="5D9DD532">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1.1.</w:t>
      </w:r>
      <w:r>
        <w:rPr>
          <w:rFonts w:hint="eastAsia" w:ascii="宋体" w:hAnsi="宋体" w:cs="宋体"/>
          <w:color w:val="auto"/>
          <w:kern w:val="0"/>
          <w:szCs w:val="24"/>
          <w:highlight w:val="none"/>
          <w:lang w:val="en-US" w:eastAsia="zh-CN"/>
        </w:rPr>
        <w:t>3</w:t>
      </w:r>
      <w:r>
        <w:rPr>
          <w:rFonts w:hint="eastAsia" w:ascii="宋体" w:hAnsi="宋体" w:cs="宋体"/>
          <w:color w:val="auto"/>
          <w:spacing w:val="-2"/>
          <w:kern w:val="0"/>
          <w:szCs w:val="24"/>
          <w:highlight w:val="none"/>
        </w:rPr>
        <w:t xml:space="preserve"> </w:t>
      </w:r>
      <w:r>
        <w:rPr>
          <w:rFonts w:hint="eastAsia" w:ascii="宋体" w:hAnsi="宋体" w:cs="宋体"/>
          <w:color w:val="auto"/>
          <w:kern w:val="0"/>
          <w:szCs w:val="24"/>
          <w:highlight w:val="none"/>
        </w:rPr>
        <w:t>采购项</w:t>
      </w:r>
      <w:r>
        <w:rPr>
          <w:rFonts w:hint="eastAsia" w:ascii="宋体" w:hAnsi="宋体" w:cs="宋体"/>
          <w:color w:val="auto"/>
          <w:spacing w:val="-2"/>
          <w:kern w:val="0"/>
          <w:szCs w:val="24"/>
          <w:highlight w:val="none"/>
        </w:rPr>
        <w:t>目</w:t>
      </w:r>
      <w:r>
        <w:rPr>
          <w:rFonts w:hint="eastAsia" w:ascii="宋体" w:hAnsi="宋体" w:cs="宋体"/>
          <w:color w:val="auto"/>
          <w:kern w:val="0"/>
          <w:szCs w:val="24"/>
          <w:highlight w:val="none"/>
        </w:rPr>
        <w:t>名</w:t>
      </w:r>
      <w:r>
        <w:rPr>
          <w:rFonts w:hint="eastAsia" w:ascii="宋体" w:hAnsi="宋体" w:cs="宋体"/>
          <w:color w:val="auto"/>
          <w:spacing w:val="-2"/>
          <w:kern w:val="0"/>
          <w:szCs w:val="24"/>
          <w:highlight w:val="none"/>
        </w:rPr>
        <w:t>称</w:t>
      </w:r>
      <w:r>
        <w:rPr>
          <w:rFonts w:hint="eastAsia" w:ascii="宋体" w:hAnsi="宋体" w:cs="宋体"/>
          <w:color w:val="auto"/>
          <w:kern w:val="0"/>
          <w:szCs w:val="24"/>
          <w:highlight w:val="none"/>
        </w:rPr>
        <w:t>：</w:t>
      </w:r>
      <w:r>
        <w:rPr>
          <w:rFonts w:hint="eastAsia" w:ascii="宋体" w:hAnsi="宋体" w:cs="宋体"/>
          <w:color w:val="auto"/>
          <w:spacing w:val="-2"/>
          <w:kern w:val="0"/>
          <w:szCs w:val="24"/>
          <w:highlight w:val="none"/>
        </w:rPr>
        <w:t>见供应商须</w:t>
      </w:r>
      <w:r>
        <w:rPr>
          <w:rFonts w:hint="eastAsia" w:ascii="宋体" w:hAnsi="宋体" w:cs="宋体"/>
          <w:color w:val="auto"/>
          <w:kern w:val="0"/>
          <w:szCs w:val="24"/>
          <w:highlight w:val="none"/>
        </w:rPr>
        <w:t>知</w:t>
      </w:r>
      <w:r>
        <w:rPr>
          <w:rFonts w:hint="eastAsia" w:ascii="宋体" w:hAnsi="宋体" w:cs="宋体"/>
          <w:color w:val="auto"/>
          <w:spacing w:val="-2"/>
          <w:kern w:val="0"/>
          <w:szCs w:val="24"/>
          <w:highlight w:val="none"/>
        </w:rPr>
        <w:t>前</w:t>
      </w:r>
      <w:r>
        <w:rPr>
          <w:rFonts w:hint="eastAsia" w:ascii="宋体" w:hAnsi="宋体" w:cs="宋体"/>
          <w:color w:val="auto"/>
          <w:kern w:val="0"/>
          <w:szCs w:val="24"/>
          <w:highlight w:val="none"/>
        </w:rPr>
        <w:t>附</w:t>
      </w:r>
      <w:r>
        <w:rPr>
          <w:rFonts w:hint="eastAsia" w:ascii="宋体" w:hAnsi="宋体" w:cs="宋体"/>
          <w:color w:val="auto"/>
          <w:spacing w:val="-2"/>
          <w:kern w:val="0"/>
          <w:szCs w:val="24"/>
          <w:highlight w:val="none"/>
        </w:rPr>
        <w:t>表</w:t>
      </w:r>
      <w:r>
        <w:rPr>
          <w:rFonts w:hint="eastAsia" w:ascii="宋体" w:hAnsi="宋体" w:cs="宋体"/>
          <w:color w:val="auto"/>
          <w:kern w:val="0"/>
          <w:szCs w:val="24"/>
          <w:highlight w:val="none"/>
        </w:rPr>
        <w:t>。</w:t>
      </w:r>
    </w:p>
    <w:p w14:paraId="6EFD1BD6">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default" w:ascii="宋体" w:hAnsi="宋体" w:eastAsia="宋体" w:cs="宋体"/>
          <w:color w:val="auto"/>
          <w:spacing w:val="1"/>
          <w:kern w:val="0"/>
          <w:sz w:val="28"/>
          <w:highlight w:val="none"/>
          <w:lang w:val="en-US" w:eastAsia="zh-CN"/>
        </w:rPr>
      </w:pPr>
      <w:bookmarkStart w:id="49" w:name="_Toc23869"/>
      <w:bookmarkStart w:id="50" w:name="_Toc14265"/>
      <w:r>
        <w:rPr>
          <w:rFonts w:hint="eastAsia" w:ascii="宋体" w:hAnsi="宋体" w:eastAsia="宋体" w:cs="宋体"/>
          <w:color w:val="auto"/>
          <w:spacing w:val="1"/>
          <w:kern w:val="0"/>
          <w:sz w:val="28"/>
          <w:highlight w:val="none"/>
        </w:rPr>
        <w:t>1.</w:t>
      </w:r>
      <w:r>
        <w:rPr>
          <w:rFonts w:hint="eastAsia" w:ascii="宋体" w:hAnsi="宋体" w:eastAsia="宋体" w:cs="宋体"/>
          <w:color w:val="auto"/>
          <w:spacing w:val="1"/>
          <w:kern w:val="0"/>
          <w:sz w:val="28"/>
          <w:highlight w:val="none"/>
          <w:lang w:val="en-US" w:eastAsia="zh-CN"/>
        </w:rPr>
        <w:t>2</w:t>
      </w:r>
      <w:r>
        <w:rPr>
          <w:rFonts w:hint="eastAsia" w:ascii="宋体" w:hAnsi="宋体" w:eastAsia="宋体" w:cs="宋体"/>
          <w:color w:val="auto"/>
          <w:spacing w:val="1"/>
          <w:kern w:val="0"/>
          <w:sz w:val="28"/>
          <w:highlight w:val="none"/>
        </w:rPr>
        <w:t xml:space="preserve"> </w:t>
      </w:r>
      <w:r>
        <w:rPr>
          <w:rFonts w:hint="eastAsia" w:ascii="宋体" w:hAnsi="宋体" w:eastAsia="宋体" w:cs="宋体"/>
          <w:color w:val="auto"/>
          <w:spacing w:val="1"/>
          <w:kern w:val="0"/>
          <w:sz w:val="28"/>
          <w:highlight w:val="none"/>
          <w:lang w:val="en-US" w:eastAsia="zh-CN"/>
        </w:rPr>
        <w:t>资金来源和落实情况</w:t>
      </w:r>
      <w:bookmarkEnd w:id="49"/>
    </w:p>
    <w:p w14:paraId="797DC21E">
      <w:pPr>
        <w:wordWrap w:val="0"/>
        <w:autoSpaceDE w:val="0"/>
        <w:autoSpaceDN w:val="0"/>
        <w:adjustRightInd w:val="0"/>
        <w:spacing w:line="360" w:lineRule="auto"/>
        <w:ind w:left="0" w:leftChars="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资金来源：见供应商须知前附表。</w:t>
      </w:r>
    </w:p>
    <w:p w14:paraId="7ADB81A8">
      <w:pPr>
        <w:wordWrap w:val="0"/>
        <w:autoSpaceDE w:val="0"/>
        <w:autoSpaceDN w:val="0"/>
        <w:adjustRightInd w:val="0"/>
        <w:spacing w:line="360" w:lineRule="auto"/>
        <w:ind w:left="0" w:leftChars="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资金落实情况：见供应商须知前附表。</w:t>
      </w:r>
    </w:p>
    <w:p w14:paraId="239CC2A3">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default" w:ascii="宋体" w:hAnsi="宋体" w:eastAsia="宋体" w:cs="宋体"/>
          <w:color w:val="auto"/>
          <w:spacing w:val="1"/>
          <w:kern w:val="0"/>
          <w:sz w:val="28"/>
          <w:highlight w:val="none"/>
          <w:lang w:val="en-US" w:eastAsia="zh-CN"/>
        </w:rPr>
      </w:pPr>
      <w:bookmarkStart w:id="51" w:name="_Toc15381"/>
      <w:r>
        <w:rPr>
          <w:rFonts w:hint="eastAsia" w:ascii="宋体" w:hAnsi="宋体" w:eastAsia="宋体" w:cs="宋体"/>
          <w:color w:val="auto"/>
          <w:spacing w:val="1"/>
          <w:kern w:val="0"/>
          <w:sz w:val="28"/>
          <w:highlight w:val="none"/>
          <w:lang w:val="en-US" w:eastAsia="zh-CN"/>
        </w:rPr>
        <w:t>1.3 采购内容</w:t>
      </w:r>
      <w:r>
        <w:rPr>
          <w:rFonts w:hint="eastAsia" w:ascii="宋体" w:hAnsi="宋体" w:eastAsia="宋体" w:cs="宋体"/>
          <w:color w:val="auto"/>
          <w:spacing w:val="1"/>
          <w:kern w:val="0"/>
          <w:sz w:val="28"/>
          <w:highlight w:val="none"/>
        </w:rPr>
        <w:t>、交货安装期、交货地点</w:t>
      </w:r>
      <w:bookmarkEnd w:id="50"/>
      <w:r>
        <w:rPr>
          <w:rFonts w:hint="eastAsia" w:ascii="宋体" w:hAnsi="宋体" w:eastAsia="宋体" w:cs="宋体"/>
          <w:color w:val="auto"/>
          <w:spacing w:val="1"/>
          <w:kern w:val="0"/>
          <w:sz w:val="28"/>
          <w:highlight w:val="none"/>
          <w:lang w:val="en-US" w:eastAsia="zh-CN"/>
        </w:rPr>
        <w:t>和质量标准</w:t>
      </w:r>
      <w:bookmarkEnd w:id="51"/>
    </w:p>
    <w:p w14:paraId="0858ECD4">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 xml:space="preserve">.1 </w:t>
      </w:r>
      <w:r>
        <w:rPr>
          <w:rFonts w:hint="eastAsia" w:ascii="宋体" w:hAnsi="宋体" w:cs="宋体"/>
          <w:color w:val="auto"/>
          <w:kern w:val="0"/>
          <w:szCs w:val="24"/>
          <w:highlight w:val="none"/>
          <w:lang w:val="en-US" w:eastAsia="zh-CN"/>
        </w:rPr>
        <w:t>采购内容</w:t>
      </w:r>
      <w:r>
        <w:rPr>
          <w:rFonts w:hint="eastAsia" w:ascii="宋体" w:hAnsi="宋体" w:cs="宋体"/>
          <w:color w:val="auto"/>
          <w:kern w:val="0"/>
          <w:szCs w:val="24"/>
          <w:highlight w:val="none"/>
        </w:rPr>
        <w:t>：见</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w:t>
      </w:r>
    </w:p>
    <w:p w14:paraId="23D79952">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.2 交货安装期：见</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w:t>
      </w:r>
    </w:p>
    <w:p w14:paraId="551D8302">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.3 交货地点：见</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w:t>
      </w:r>
    </w:p>
    <w:p w14:paraId="40EBE2B6">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 xml:space="preserve"> 质量标准：见</w:t>
      </w:r>
      <w:r>
        <w:rPr>
          <w:rFonts w:hint="eastAsia" w:ascii="宋体" w:hAnsi="宋体" w:cs="宋体"/>
          <w:color w:val="auto"/>
          <w:kern w:val="0"/>
          <w:szCs w:val="24"/>
          <w:highlight w:val="none"/>
          <w:lang w:eastAsia="zh-CN"/>
        </w:rPr>
        <w:t>供应商须知前附表。</w:t>
      </w:r>
    </w:p>
    <w:p w14:paraId="475B48D9">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52" w:name="_Toc27953"/>
      <w:bookmarkStart w:id="53" w:name="_Toc13286"/>
      <w:r>
        <w:rPr>
          <w:rFonts w:hint="eastAsia" w:ascii="宋体" w:hAnsi="宋体" w:eastAsia="宋体" w:cs="宋体"/>
          <w:color w:val="auto"/>
          <w:spacing w:val="1"/>
          <w:kern w:val="0"/>
          <w:sz w:val="28"/>
          <w:highlight w:val="none"/>
        </w:rPr>
        <w:t>1.</w:t>
      </w:r>
      <w:r>
        <w:rPr>
          <w:rFonts w:hint="eastAsia" w:ascii="宋体" w:hAnsi="宋体" w:eastAsia="宋体" w:cs="宋体"/>
          <w:color w:val="auto"/>
          <w:spacing w:val="1"/>
          <w:kern w:val="0"/>
          <w:sz w:val="28"/>
          <w:highlight w:val="none"/>
          <w:lang w:val="en-US" w:eastAsia="zh-CN"/>
        </w:rPr>
        <w:t>4</w:t>
      </w:r>
      <w:r>
        <w:rPr>
          <w:rFonts w:hint="eastAsia" w:ascii="宋体" w:hAnsi="宋体" w:eastAsia="宋体" w:cs="宋体"/>
          <w:color w:val="auto"/>
          <w:spacing w:val="1"/>
          <w:kern w:val="0"/>
          <w:sz w:val="28"/>
          <w:highlight w:val="none"/>
        </w:rPr>
        <w:t xml:space="preserve"> </w:t>
      </w:r>
      <w:r>
        <w:rPr>
          <w:rFonts w:hint="eastAsia" w:ascii="宋体" w:hAnsi="宋体" w:eastAsia="宋体" w:cs="宋体"/>
          <w:color w:val="auto"/>
          <w:spacing w:val="1"/>
          <w:kern w:val="0"/>
          <w:sz w:val="28"/>
          <w:highlight w:val="none"/>
          <w:lang w:val="en-US" w:eastAsia="zh-CN"/>
        </w:rPr>
        <w:t>供应商</w:t>
      </w:r>
      <w:r>
        <w:rPr>
          <w:rFonts w:hint="eastAsia" w:ascii="宋体" w:hAnsi="宋体" w:eastAsia="宋体" w:cs="宋体"/>
          <w:color w:val="auto"/>
          <w:spacing w:val="1"/>
          <w:kern w:val="0"/>
          <w:sz w:val="28"/>
          <w:highlight w:val="none"/>
        </w:rPr>
        <w:t>资格要求</w:t>
      </w:r>
      <w:bookmarkEnd w:id="52"/>
      <w:bookmarkEnd w:id="53"/>
    </w:p>
    <w:p w14:paraId="0C3245D6">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 xml:space="preserve">.1 </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lang w:val="en-US" w:eastAsia="zh-CN"/>
        </w:rPr>
        <w:t>资格要求</w:t>
      </w:r>
      <w:r>
        <w:rPr>
          <w:rFonts w:hint="eastAsia" w:ascii="宋体" w:hAnsi="宋体" w:cs="宋体"/>
          <w:color w:val="auto"/>
          <w:kern w:val="0"/>
          <w:szCs w:val="24"/>
          <w:highlight w:val="none"/>
        </w:rPr>
        <w:t>：见供应商须知前附表</w:t>
      </w:r>
      <w:r>
        <w:rPr>
          <w:rFonts w:hint="eastAsia" w:ascii="宋体" w:hAnsi="宋体" w:cs="宋体"/>
          <w:color w:val="auto"/>
          <w:kern w:val="0"/>
          <w:szCs w:val="24"/>
          <w:highlight w:val="none"/>
          <w:lang w:eastAsia="zh-CN"/>
        </w:rPr>
        <w:t>。</w:t>
      </w:r>
    </w:p>
    <w:p w14:paraId="548979D6">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 xml:space="preserve">.2 联合体：见供应商须知前附表。 </w:t>
      </w:r>
    </w:p>
    <w:p w14:paraId="799D8736">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54" w:name="_Toc26522"/>
      <w:bookmarkStart w:id="55" w:name="_Toc10577"/>
      <w:r>
        <w:rPr>
          <w:rFonts w:hint="eastAsia" w:ascii="宋体" w:hAnsi="宋体" w:eastAsia="宋体" w:cs="宋体"/>
          <w:color w:val="auto"/>
          <w:spacing w:val="1"/>
          <w:kern w:val="0"/>
          <w:sz w:val="28"/>
          <w:highlight w:val="none"/>
        </w:rPr>
        <w:t>1.5 费用承担</w:t>
      </w:r>
      <w:bookmarkEnd w:id="54"/>
      <w:bookmarkEnd w:id="55"/>
    </w:p>
    <w:p w14:paraId="3609C34B">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供应商</w:t>
      </w:r>
      <w:r>
        <w:rPr>
          <w:rFonts w:hint="eastAsia" w:ascii="宋体" w:hAnsi="宋体" w:cs="宋体"/>
          <w:color w:val="auto"/>
          <w:kern w:val="0"/>
          <w:szCs w:val="24"/>
          <w:highlight w:val="none"/>
        </w:rPr>
        <w:t>准</w:t>
      </w:r>
      <w:r>
        <w:rPr>
          <w:rFonts w:hint="eastAsia" w:ascii="宋体" w:hAnsi="宋体" w:cs="宋体"/>
          <w:color w:val="auto"/>
          <w:spacing w:val="-2"/>
          <w:kern w:val="0"/>
          <w:szCs w:val="24"/>
          <w:highlight w:val="none"/>
        </w:rPr>
        <w:t>备</w:t>
      </w:r>
      <w:r>
        <w:rPr>
          <w:rFonts w:hint="eastAsia" w:ascii="宋体" w:hAnsi="宋体" w:cs="宋体"/>
          <w:color w:val="auto"/>
          <w:kern w:val="0"/>
          <w:szCs w:val="24"/>
          <w:highlight w:val="none"/>
        </w:rPr>
        <w:t>和</w:t>
      </w:r>
      <w:r>
        <w:rPr>
          <w:rFonts w:hint="eastAsia" w:ascii="宋体" w:hAnsi="宋体" w:cs="宋体"/>
          <w:color w:val="auto"/>
          <w:spacing w:val="-2"/>
          <w:kern w:val="0"/>
          <w:szCs w:val="24"/>
          <w:highlight w:val="none"/>
        </w:rPr>
        <w:t>参</w:t>
      </w:r>
      <w:r>
        <w:rPr>
          <w:rFonts w:hint="eastAsia" w:ascii="宋体" w:hAnsi="宋体" w:cs="宋体"/>
          <w:color w:val="auto"/>
          <w:kern w:val="0"/>
          <w:szCs w:val="24"/>
          <w:highlight w:val="none"/>
        </w:rPr>
        <w:t>加</w:t>
      </w:r>
      <w:r>
        <w:rPr>
          <w:rFonts w:hint="eastAsia" w:ascii="宋体" w:hAnsi="宋体" w:cs="宋体"/>
          <w:color w:val="auto"/>
          <w:spacing w:val="-2"/>
          <w:kern w:val="0"/>
          <w:szCs w:val="24"/>
          <w:highlight w:val="none"/>
        </w:rPr>
        <w:t>投</w:t>
      </w:r>
      <w:r>
        <w:rPr>
          <w:rFonts w:hint="eastAsia" w:ascii="宋体" w:hAnsi="宋体" w:cs="宋体"/>
          <w:color w:val="auto"/>
          <w:kern w:val="0"/>
          <w:szCs w:val="24"/>
          <w:highlight w:val="none"/>
        </w:rPr>
        <w:t>标</w:t>
      </w:r>
      <w:r>
        <w:rPr>
          <w:rFonts w:hint="eastAsia" w:ascii="宋体" w:hAnsi="宋体" w:cs="宋体"/>
          <w:color w:val="auto"/>
          <w:spacing w:val="-2"/>
          <w:kern w:val="0"/>
          <w:szCs w:val="24"/>
          <w:highlight w:val="none"/>
        </w:rPr>
        <w:t>活</w:t>
      </w:r>
      <w:r>
        <w:rPr>
          <w:rFonts w:hint="eastAsia" w:ascii="宋体" w:hAnsi="宋体" w:cs="宋体"/>
          <w:color w:val="auto"/>
          <w:kern w:val="0"/>
          <w:szCs w:val="24"/>
          <w:highlight w:val="none"/>
        </w:rPr>
        <w:t>动发</w:t>
      </w:r>
      <w:r>
        <w:rPr>
          <w:rFonts w:hint="eastAsia" w:ascii="宋体" w:hAnsi="宋体" w:cs="宋体"/>
          <w:color w:val="auto"/>
          <w:spacing w:val="-2"/>
          <w:kern w:val="0"/>
          <w:szCs w:val="24"/>
          <w:highlight w:val="none"/>
        </w:rPr>
        <w:t>生</w:t>
      </w:r>
      <w:r>
        <w:rPr>
          <w:rFonts w:hint="eastAsia" w:ascii="宋体" w:hAnsi="宋体" w:cs="宋体"/>
          <w:color w:val="auto"/>
          <w:kern w:val="0"/>
          <w:szCs w:val="24"/>
          <w:highlight w:val="none"/>
        </w:rPr>
        <w:t>的</w:t>
      </w:r>
      <w:r>
        <w:rPr>
          <w:rFonts w:hint="eastAsia" w:ascii="宋体" w:hAnsi="宋体" w:cs="宋体"/>
          <w:color w:val="auto"/>
          <w:spacing w:val="-2"/>
          <w:kern w:val="0"/>
          <w:szCs w:val="24"/>
          <w:highlight w:val="none"/>
        </w:rPr>
        <w:t>费</w:t>
      </w:r>
      <w:r>
        <w:rPr>
          <w:rFonts w:hint="eastAsia" w:ascii="宋体" w:hAnsi="宋体" w:cs="宋体"/>
          <w:color w:val="auto"/>
          <w:kern w:val="0"/>
          <w:szCs w:val="24"/>
          <w:highlight w:val="none"/>
        </w:rPr>
        <w:t>用</w:t>
      </w:r>
      <w:r>
        <w:rPr>
          <w:rFonts w:hint="eastAsia" w:ascii="宋体" w:hAnsi="宋体" w:cs="宋体"/>
          <w:color w:val="auto"/>
          <w:spacing w:val="-2"/>
          <w:kern w:val="0"/>
          <w:szCs w:val="24"/>
          <w:highlight w:val="none"/>
        </w:rPr>
        <w:t>自</w:t>
      </w:r>
      <w:r>
        <w:rPr>
          <w:rFonts w:hint="eastAsia" w:ascii="宋体" w:hAnsi="宋体" w:cs="宋体"/>
          <w:color w:val="auto"/>
          <w:kern w:val="0"/>
          <w:szCs w:val="24"/>
          <w:highlight w:val="none"/>
        </w:rPr>
        <w:t>理。</w:t>
      </w:r>
    </w:p>
    <w:p w14:paraId="581323AC">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56" w:name="_Toc12920"/>
      <w:bookmarkStart w:id="57" w:name="_Toc19912"/>
      <w:r>
        <w:rPr>
          <w:rFonts w:hint="eastAsia" w:ascii="宋体" w:hAnsi="宋体" w:eastAsia="宋体" w:cs="宋体"/>
          <w:color w:val="auto"/>
          <w:spacing w:val="1"/>
          <w:kern w:val="0"/>
          <w:sz w:val="28"/>
          <w:highlight w:val="none"/>
        </w:rPr>
        <w:t>1.6 保密</w:t>
      </w:r>
      <w:bookmarkEnd w:id="56"/>
      <w:bookmarkEnd w:id="57"/>
    </w:p>
    <w:p w14:paraId="02C45FD0">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4"/>
          <w:highlight w:val="none"/>
        </w:rPr>
        <w:t>参与招标投标活动</w:t>
      </w:r>
      <w:r>
        <w:rPr>
          <w:rFonts w:hint="eastAsia" w:ascii="宋体" w:hAnsi="宋体" w:cs="宋体"/>
          <w:color w:val="auto"/>
          <w:spacing w:val="-2"/>
          <w:kern w:val="0"/>
          <w:szCs w:val="24"/>
          <w:highlight w:val="none"/>
        </w:rPr>
        <w:t>的</w:t>
      </w:r>
      <w:r>
        <w:rPr>
          <w:rFonts w:hint="eastAsia" w:ascii="宋体" w:hAnsi="宋体" w:cs="宋体"/>
          <w:color w:val="auto"/>
          <w:kern w:val="0"/>
          <w:szCs w:val="24"/>
          <w:highlight w:val="none"/>
        </w:rPr>
        <w:t>各</w:t>
      </w:r>
      <w:r>
        <w:rPr>
          <w:rFonts w:hint="eastAsia" w:ascii="宋体" w:hAnsi="宋体" w:cs="宋体"/>
          <w:color w:val="auto"/>
          <w:spacing w:val="-2"/>
          <w:kern w:val="0"/>
          <w:szCs w:val="24"/>
          <w:highlight w:val="none"/>
        </w:rPr>
        <w:t>方</w:t>
      </w:r>
      <w:r>
        <w:rPr>
          <w:rFonts w:hint="eastAsia" w:ascii="宋体" w:hAnsi="宋体" w:cs="宋体"/>
          <w:color w:val="auto"/>
          <w:kern w:val="0"/>
          <w:szCs w:val="24"/>
          <w:highlight w:val="none"/>
        </w:rPr>
        <w:t>应对采购文件和</w:t>
      </w:r>
      <w:r>
        <w:rPr>
          <w:rFonts w:hint="eastAsia" w:ascii="宋体" w:hAnsi="宋体" w:cs="宋体"/>
          <w:color w:val="auto"/>
          <w:kern w:val="0"/>
          <w:szCs w:val="24"/>
          <w:highlight w:val="none"/>
          <w:lang w:val="en-US" w:eastAsia="zh-CN"/>
        </w:rPr>
        <w:t>投标</w:t>
      </w:r>
      <w:r>
        <w:rPr>
          <w:rFonts w:hint="eastAsia" w:ascii="宋体" w:hAnsi="宋体" w:cs="宋体"/>
          <w:color w:val="auto"/>
          <w:kern w:val="0"/>
          <w:szCs w:val="24"/>
          <w:highlight w:val="none"/>
        </w:rPr>
        <w:t>文件中的商业和技术等</w:t>
      </w:r>
      <w:r>
        <w:rPr>
          <w:rFonts w:hint="eastAsia" w:ascii="宋体" w:hAnsi="宋体" w:cs="宋体"/>
          <w:color w:val="auto"/>
          <w:spacing w:val="-2"/>
          <w:kern w:val="0"/>
          <w:szCs w:val="24"/>
          <w:highlight w:val="none"/>
        </w:rPr>
        <w:t>秘</w:t>
      </w:r>
      <w:r>
        <w:rPr>
          <w:rFonts w:hint="eastAsia" w:ascii="宋体" w:hAnsi="宋体" w:cs="宋体"/>
          <w:color w:val="auto"/>
          <w:kern w:val="0"/>
          <w:szCs w:val="24"/>
          <w:highlight w:val="none"/>
        </w:rPr>
        <w:t>密</w:t>
      </w:r>
      <w:r>
        <w:rPr>
          <w:rFonts w:hint="eastAsia" w:ascii="宋体" w:hAnsi="宋体" w:cs="宋体"/>
          <w:color w:val="auto"/>
          <w:spacing w:val="-2"/>
          <w:kern w:val="0"/>
          <w:szCs w:val="24"/>
          <w:highlight w:val="none"/>
        </w:rPr>
        <w:t>保</w:t>
      </w:r>
      <w:r>
        <w:rPr>
          <w:rFonts w:hint="eastAsia" w:ascii="宋体" w:hAnsi="宋体" w:cs="宋体"/>
          <w:color w:val="auto"/>
          <w:kern w:val="0"/>
          <w:szCs w:val="24"/>
          <w:highlight w:val="none"/>
        </w:rPr>
        <w:t>密，否则应承担相</w:t>
      </w:r>
      <w:r>
        <w:rPr>
          <w:rFonts w:hint="eastAsia" w:ascii="宋体" w:hAnsi="宋体" w:cs="宋体"/>
          <w:color w:val="auto"/>
          <w:spacing w:val="-2"/>
          <w:kern w:val="0"/>
          <w:szCs w:val="24"/>
          <w:highlight w:val="none"/>
        </w:rPr>
        <w:t>应</w:t>
      </w:r>
      <w:r>
        <w:rPr>
          <w:rFonts w:hint="eastAsia" w:ascii="宋体" w:hAnsi="宋体" w:cs="宋体"/>
          <w:color w:val="auto"/>
          <w:kern w:val="0"/>
          <w:szCs w:val="24"/>
          <w:highlight w:val="none"/>
        </w:rPr>
        <w:t>的</w:t>
      </w:r>
      <w:r>
        <w:rPr>
          <w:rFonts w:hint="eastAsia" w:ascii="宋体" w:hAnsi="宋体" w:cs="宋体"/>
          <w:color w:val="auto"/>
          <w:spacing w:val="-2"/>
          <w:kern w:val="0"/>
          <w:szCs w:val="24"/>
          <w:highlight w:val="none"/>
        </w:rPr>
        <w:t>法</w:t>
      </w:r>
      <w:r>
        <w:rPr>
          <w:rFonts w:hint="eastAsia" w:ascii="宋体" w:hAnsi="宋体" w:cs="宋体"/>
          <w:color w:val="auto"/>
          <w:kern w:val="0"/>
          <w:szCs w:val="24"/>
          <w:highlight w:val="none"/>
        </w:rPr>
        <w:t>律</w:t>
      </w:r>
      <w:r>
        <w:rPr>
          <w:rFonts w:hint="eastAsia" w:ascii="宋体" w:hAnsi="宋体" w:cs="宋体"/>
          <w:color w:val="auto"/>
          <w:spacing w:val="-2"/>
          <w:kern w:val="0"/>
          <w:szCs w:val="24"/>
          <w:highlight w:val="none"/>
        </w:rPr>
        <w:t>责</w:t>
      </w:r>
      <w:r>
        <w:rPr>
          <w:rFonts w:hint="eastAsia" w:ascii="宋体" w:hAnsi="宋体" w:cs="宋体"/>
          <w:color w:val="auto"/>
          <w:kern w:val="0"/>
          <w:szCs w:val="24"/>
          <w:highlight w:val="none"/>
        </w:rPr>
        <w:t>任。</w:t>
      </w:r>
    </w:p>
    <w:p w14:paraId="4BCA1860">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58" w:name="_Toc19091"/>
      <w:bookmarkStart w:id="59" w:name="_Toc14749"/>
      <w:r>
        <w:rPr>
          <w:rFonts w:hint="eastAsia" w:ascii="宋体" w:hAnsi="宋体" w:eastAsia="宋体" w:cs="宋体"/>
          <w:color w:val="auto"/>
          <w:spacing w:val="1"/>
          <w:kern w:val="0"/>
          <w:sz w:val="28"/>
          <w:highlight w:val="none"/>
        </w:rPr>
        <w:t>1.7 语言文字</w:t>
      </w:r>
      <w:bookmarkEnd w:id="58"/>
      <w:bookmarkEnd w:id="59"/>
    </w:p>
    <w:p w14:paraId="543BC331">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采购文件、</w:t>
      </w:r>
      <w:r>
        <w:rPr>
          <w:rFonts w:hint="eastAsia" w:ascii="宋体" w:hAnsi="宋体" w:cs="宋体"/>
          <w:color w:val="auto"/>
          <w:kern w:val="0"/>
          <w:szCs w:val="24"/>
          <w:highlight w:val="none"/>
        </w:rPr>
        <w:t>招标</w:t>
      </w:r>
      <w:r>
        <w:rPr>
          <w:rFonts w:hint="eastAsia" w:ascii="宋体" w:hAnsi="宋体" w:cs="宋体"/>
          <w:color w:val="auto"/>
          <w:spacing w:val="-2"/>
          <w:kern w:val="0"/>
          <w:szCs w:val="24"/>
          <w:highlight w:val="none"/>
        </w:rPr>
        <w:t>文件使</w:t>
      </w:r>
      <w:r>
        <w:rPr>
          <w:rFonts w:hint="eastAsia" w:ascii="宋体" w:hAnsi="宋体" w:cs="宋体"/>
          <w:color w:val="auto"/>
          <w:kern w:val="0"/>
          <w:szCs w:val="24"/>
          <w:highlight w:val="none"/>
        </w:rPr>
        <w:t>用</w:t>
      </w:r>
      <w:r>
        <w:rPr>
          <w:rFonts w:hint="eastAsia" w:ascii="宋体" w:hAnsi="宋体" w:cs="宋体"/>
          <w:color w:val="auto"/>
          <w:spacing w:val="-2"/>
          <w:kern w:val="0"/>
          <w:szCs w:val="24"/>
          <w:highlight w:val="none"/>
        </w:rPr>
        <w:t>的</w:t>
      </w:r>
      <w:r>
        <w:rPr>
          <w:rFonts w:hint="eastAsia" w:ascii="宋体" w:hAnsi="宋体" w:cs="宋体"/>
          <w:color w:val="auto"/>
          <w:kern w:val="0"/>
          <w:szCs w:val="24"/>
          <w:highlight w:val="none"/>
        </w:rPr>
        <w:t>语</w:t>
      </w:r>
      <w:r>
        <w:rPr>
          <w:rFonts w:hint="eastAsia" w:ascii="宋体" w:hAnsi="宋体" w:cs="宋体"/>
          <w:color w:val="auto"/>
          <w:spacing w:val="-2"/>
          <w:kern w:val="0"/>
          <w:szCs w:val="24"/>
          <w:highlight w:val="none"/>
        </w:rPr>
        <w:t>言</w:t>
      </w:r>
      <w:r>
        <w:rPr>
          <w:rFonts w:hint="eastAsia" w:ascii="宋体" w:hAnsi="宋体" w:cs="宋体"/>
          <w:color w:val="auto"/>
          <w:kern w:val="0"/>
          <w:szCs w:val="24"/>
          <w:highlight w:val="none"/>
        </w:rPr>
        <w:t>文字</w:t>
      </w:r>
      <w:r>
        <w:rPr>
          <w:rFonts w:hint="eastAsia" w:ascii="宋体" w:hAnsi="宋体" w:cs="宋体"/>
          <w:color w:val="auto"/>
          <w:spacing w:val="-2"/>
          <w:kern w:val="0"/>
          <w:szCs w:val="24"/>
          <w:highlight w:val="none"/>
        </w:rPr>
        <w:t>为</w:t>
      </w:r>
      <w:r>
        <w:rPr>
          <w:rFonts w:hint="eastAsia" w:ascii="宋体" w:hAnsi="宋体" w:cs="宋体"/>
          <w:color w:val="auto"/>
          <w:kern w:val="0"/>
          <w:szCs w:val="24"/>
          <w:highlight w:val="none"/>
        </w:rPr>
        <w:t>中</w:t>
      </w:r>
      <w:r>
        <w:rPr>
          <w:rFonts w:hint="eastAsia" w:ascii="宋体" w:hAnsi="宋体" w:cs="宋体"/>
          <w:color w:val="auto"/>
          <w:spacing w:val="-2"/>
          <w:kern w:val="0"/>
          <w:szCs w:val="24"/>
          <w:highlight w:val="none"/>
        </w:rPr>
        <w:t>文</w:t>
      </w:r>
      <w:r>
        <w:rPr>
          <w:rFonts w:hint="eastAsia" w:ascii="宋体" w:hAnsi="宋体" w:cs="宋体"/>
          <w:color w:val="auto"/>
          <w:kern w:val="0"/>
          <w:szCs w:val="24"/>
          <w:highlight w:val="none"/>
        </w:rPr>
        <w:t>。</w:t>
      </w:r>
      <w:r>
        <w:rPr>
          <w:rFonts w:hint="eastAsia" w:ascii="宋体" w:hAnsi="宋体" w:cs="宋体"/>
          <w:color w:val="auto"/>
          <w:spacing w:val="-2"/>
          <w:kern w:val="0"/>
          <w:szCs w:val="24"/>
          <w:highlight w:val="none"/>
        </w:rPr>
        <w:t>专</w:t>
      </w:r>
      <w:r>
        <w:rPr>
          <w:rFonts w:hint="eastAsia" w:ascii="宋体" w:hAnsi="宋体" w:cs="宋体"/>
          <w:color w:val="auto"/>
          <w:kern w:val="0"/>
          <w:szCs w:val="24"/>
          <w:highlight w:val="none"/>
        </w:rPr>
        <w:t>用</w:t>
      </w:r>
      <w:r>
        <w:rPr>
          <w:rFonts w:hint="eastAsia" w:ascii="宋体" w:hAnsi="宋体" w:cs="宋体"/>
          <w:color w:val="auto"/>
          <w:spacing w:val="-2"/>
          <w:kern w:val="0"/>
          <w:szCs w:val="24"/>
          <w:highlight w:val="none"/>
        </w:rPr>
        <w:t>术</w:t>
      </w:r>
      <w:r>
        <w:rPr>
          <w:rFonts w:hint="eastAsia" w:ascii="宋体" w:hAnsi="宋体" w:cs="宋体"/>
          <w:color w:val="auto"/>
          <w:kern w:val="0"/>
          <w:szCs w:val="24"/>
          <w:highlight w:val="none"/>
        </w:rPr>
        <w:t>语</w:t>
      </w:r>
      <w:r>
        <w:rPr>
          <w:rFonts w:hint="eastAsia" w:ascii="宋体" w:hAnsi="宋体" w:cs="宋体"/>
          <w:color w:val="auto"/>
          <w:spacing w:val="-2"/>
          <w:kern w:val="0"/>
          <w:szCs w:val="24"/>
          <w:highlight w:val="none"/>
        </w:rPr>
        <w:t>使</w:t>
      </w:r>
      <w:r>
        <w:rPr>
          <w:rFonts w:hint="eastAsia" w:ascii="宋体" w:hAnsi="宋体" w:cs="宋体"/>
          <w:color w:val="auto"/>
          <w:kern w:val="0"/>
          <w:szCs w:val="24"/>
          <w:highlight w:val="none"/>
        </w:rPr>
        <w:t>用外</w:t>
      </w:r>
      <w:r>
        <w:rPr>
          <w:rFonts w:hint="eastAsia" w:ascii="宋体" w:hAnsi="宋体" w:cs="宋体"/>
          <w:color w:val="auto"/>
          <w:spacing w:val="-2"/>
          <w:kern w:val="0"/>
          <w:szCs w:val="24"/>
          <w:highlight w:val="none"/>
        </w:rPr>
        <w:t>文</w:t>
      </w:r>
      <w:r>
        <w:rPr>
          <w:rFonts w:hint="eastAsia" w:ascii="宋体" w:hAnsi="宋体" w:cs="宋体"/>
          <w:color w:val="auto"/>
          <w:kern w:val="0"/>
          <w:szCs w:val="24"/>
          <w:highlight w:val="none"/>
        </w:rPr>
        <w:t>的</w:t>
      </w:r>
      <w:r>
        <w:rPr>
          <w:rFonts w:hint="eastAsia" w:ascii="宋体" w:hAnsi="宋体" w:cs="宋体"/>
          <w:color w:val="auto"/>
          <w:spacing w:val="-2"/>
          <w:kern w:val="0"/>
          <w:szCs w:val="24"/>
          <w:highlight w:val="none"/>
        </w:rPr>
        <w:t>，</w:t>
      </w:r>
      <w:r>
        <w:rPr>
          <w:rFonts w:hint="eastAsia" w:ascii="宋体" w:hAnsi="宋体" w:cs="宋体"/>
          <w:color w:val="auto"/>
          <w:kern w:val="0"/>
          <w:szCs w:val="24"/>
          <w:highlight w:val="none"/>
        </w:rPr>
        <w:t>应</w:t>
      </w:r>
      <w:r>
        <w:rPr>
          <w:rFonts w:hint="eastAsia" w:ascii="宋体" w:hAnsi="宋体" w:cs="宋体"/>
          <w:color w:val="auto"/>
          <w:spacing w:val="-2"/>
          <w:kern w:val="0"/>
          <w:szCs w:val="24"/>
          <w:highlight w:val="none"/>
        </w:rPr>
        <w:t>附</w:t>
      </w:r>
      <w:r>
        <w:rPr>
          <w:rFonts w:hint="eastAsia" w:ascii="宋体" w:hAnsi="宋体" w:cs="宋体"/>
          <w:color w:val="auto"/>
          <w:kern w:val="0"/>
          <w:szCs w:val="24"/>
          <w:highlight w:val="none"/>
        </w:rPr>
        <w:t>有</w:t>
      </w:r>
      <w:r>
        <w:rPr>
          <w:rFonts w:hint="eastAsia" w:ascii="宋体" w:hAnsi="宋体" w:cs="宋体"/>
          <w:color w:val="auto"/>
          <w:spacing w:val="-2"/>
          <w:kern w:val="0"/>
          <w:szCs w:val="24"/>
          <w:highlight w:val="none"/>
        </w:rPr>
        <w:t>中</w:t>
      </w:r>
      <w:r>
        <w:rPr>
          <w:rFonts w:hint="eastAsia" w:ascii="宋体" w:hAnsi="宋体" w:cs="宋体"/>
          <w:color w:val="auto"/>
          <w:kern w:val="0"/>
          <w:szCs w:val="24"/>
          <w:highlight w:val="none"/>
        </w:rPr>
        <w:t>文</w:t>
      </w:r>
      <w:r>
        <w:rPr>
          <w:rFonts w:hint="eastAsia" w:ascii="宋体" w:hAnsi="宋体" w:cs="宋体"/>
          <w:color w:val="auto"/>
          <w:spacing w:val="-2"/>
          <w:kern w:val="0"/>
          <w:szCs w:val="24"/>
          <w:highlight w:val="none"/>
        </w:rPr>
        <w:t>注</w:t>
      </w:r>
      <w:r>
        <w:rPr>
          <w:rFonts w:hint="eastAsia" w:ascii="宋体" w:hAnsi="宋体" w:cs="宋体"/>
          <w:color w:val="auto"/>
          <w:kern w:val="0"/>
          <w:szCs w:val="24"/>
          <w:highlight w:val="none"/>
        </w:rPr>
        <w:t>释。</w:t>
      </w:r>
    </w:p>
    <w:p w14:paraId="2AC500F8">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60" w:name="_Toc24544"/>
      <w:bookmarkStart w:id="61" w:name="_Toc30611"/>
      <w:r>
        <w:rPr>
          <w:rFonts w:hint="eastAsia" w:ascii="宋体" w:hAnsi="宋体" w:eastAsia="宋体" w:cs="宋体"/>
          <w:color w:val="auto"/>
          <w:spacing w:val="1"/>
          <w:kern w:val="0"/>
          <w:sz w:val="28"/>
          <w:highlight w:val="none"/>
        </w:rPr>
        <w:t>1.8 计量单位</w:t>
      </w:r>
      <w:bookmarkEnd w:id="60"/>
      <w:bookmarkEnd w:id="61"/>
    </w:p>
    <w:p w14:paraId="7C6B7905">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所有</w:t>
      </w:r>
      <w:r>
        <w:rPr>
          <w:rFonts w:hint="eastAsia" w:ascii="宋体" w:hAnsi="宋体" w:cs="宋体"/>
          <w:color w:val="auto"/>
          <w:spacing w:val="-2"/>
          <w:kern w:val="0"/>
          <w:szCs w:val="24"/>
          <w:highlight w:val="none"/>
        </w:rPr>
        <w:t>计</w:t>
      </w:r>
      <w:r>
        <w:rPr>
          <w:rFonts w:hint="eastAsia" w:ascii="宋体" w:hAnsi="宋体" w:cs="宋体"/>
          <w:color w:val="auto"/>
          <w:kern w:val="0"/>
          <w:szCs w:val="24"/>
          <w:highlight w:val="none"/>
        </w:rPr>
        <w:t>量</w:t>
      </w:r>
      <w:r>
        <w:rPr>
          <w:rFonts w:hint="eastAsia" w:ascii="宋体" w:hAnsi="宋体" w:cs="宋体"/>
          <w:color w:val="auto"/>
          <w:spacing w:val="-2"/>
          <w:kern w:val="0"/>
          <w:szCs w:val="24"/>
          <w:highlight w:val="none"/>
        </w:rPr>
        <w:t>均</w:t>
      </w:r>
      <w:r>
        <w:rPr>
          <w:rFonts w:hint="eastAsia" w:ascii="宋体" w:hAnsi="宋体" w:cs="宋体"/>
          <w:color w:val="auto"/>
          <w:kern w:val="0"/>
          <w:szCs w:val="24"/>
          <w:highlight w:val="none"/>
        </w:rPr>
        <w:t>采</w:t>
      </w:r>
      <w:r>
        <w:rPr>
          <w:rFonts w:hint="eastAsia" w:ascii="宋体" w:hAnsi="宋体" w:cs="宋体"/>
          <w:color w:val="auto"/>
          <w:spacing w:val="-2"/>
          <w:kern w:val="0"/>
          <w:szCs w:val="24"/>
          <w:highlight w:val="none"/>
        </w:rPr>
        <w:t>用</w:t>
      </w:r>
      <w:r>
        <w:rPr>
          <w:rFonts w:hint="eastAsia" w:ascii="宋体" w:hAnsi="宋体" w:cs="宋体"/>
          <w:color w:val="auto"/>
          <w:kern w:val="0"/>
          <w:szCs w:val="24"/>
          <w:highlight w:val="none"/>
        </w:rPr>
        <w:t>中</w:t>
      </w:r>
      <w:r>
        <w:rPr>
          <w:rFonts w:hint="eastAsia" w:ascii="宋体" w:hAnsi="宋体" w:cs="宋体"/>
          <w:color w:val="auto"/>
          <w:spacing w:val="-2"/>
          <w:kern w:val="0"/>
          <w:szCs w:val="24"/>
          <w:highlight w:val="none"/>
        </w:rPr>
        <w:t>华</w:t>
      </w:r>
      <w:r>
        <w:rPr>
          <w:rFonts w:hint="eastAsia" w:ascii="宋体" w:hAnsi="宋体" w:cs="宋体"/>
          <w:color w:val="auto"/>
          <w:kern w:val="0"/>
          <w:szCs w:val="24"/>
          <w:highlight w:val="none"/>
        </w:rPr>
        <w:t>人</w:t>
      </w:r>
      <w:r>
        <w:rPr>
          <w:rFonts w:hint="eastAsia" w:ascii="宋体" w:hAnsi="宋体" w:cs="宋体"/>
          <w:color w:val="auto"/>
          <w:spacing w:val="-2"/>
          <w:kern w:val="0"/>
          <w:szCs w:val="24"/>
          <w:highlight w:val="none"/>
        </w:rPr>
        <w:t>民</w:t>
      </w:r>
      <w:r>
        <w:rPr>
          <w:rFonts w:hint="eastAsia" w:ascii="宋体" w:hAnsi="宋体" w:cs="宋体"/>
          <w:color w:val="auto"/>
          <w:kern w:val="0"/>
          <w:szCs w:val="24"/>
          <w:highlight w:val="none"/>
        </w:rPr>
        <w:t>共和</w:t>
      </w:r>
      <w:r>
        <w:rPr>
          <w:rFonts w:hint="eastAsia" w:ascii="宋体" w:hAnsi="宋体" w:cs="宋体"/>
          <w:color w:val="auto"/>
          <w:spacing w:val="-2"/>
          <w:kern w:val="0"/>
          <w:szCs w:val="24"/>
          <w:highlight w:val="none"/>
        </w:rPr>
        <w:t>国</w:t>
      </w:r>
      <w:r>
        <w:rPr>
          <w:rFonts w:hint="eastAsia" w:ascii="宋体" w:hAnsi="宋体" w:cs="宋体"/>
          <w:color w:val="auto"/>
          <w:kern w:val="0"/>
          <w:szCs w:val="24"/>
          <w:highlight w:val="none"/>
        </w:rPr>
        <w:t>法</w:t>
      </w:r>
      <w:r>
        <w:rPr>
          <w:rFonts w:hint="eastAsia" w:ascii="宋体" w:hAnsi="宋体" w:cs="宋体"/>
          <w:color w:val="auto"/>
          <w:spacing w:val="-2"/>
          <w:kern w:val="0"/>
          <w:szCs w:val="24"/>
          <w:highlight w:val="none"/>
        </w:rPr>
        <w:t>定</w:t>
      </w:r>
      <w:r>
        <w:rPr>
          <w:rFonts w:hint="eastAsia" w:ascii="宋体" w:hAnsi="宋体" w:cs="宋体"/>
          <w:color w:val="auto"/>
          <w:kern w:val="0"/>
          <w:szCs w:val="24"/>
          <w:highlight w:val="none"/>
        </w:rPr>
        <w:t>计</w:t>
      </w:r>
      <w:r>
        <w:rPr>
          <w:rFonts w:hint="eastAsia" w:ascii="宋体" w:hAnsi="宋体" w:cs="宋体"/>
          <w:color w:val="auto"/>
          <w:spacing w:val="-2"/>
          <w:kern w:val="0"/>
          <w:szCs w:val="24"/>
          <w:highlight w:val="none"/>
        </w:rPr>
        <w:t>量</w:t>
      </w:r>
      <w:r>
        <w:rPr>
          <w:rFonts w:hint="eastAsia" w:ascii="宋体" w:hAnsi="宋体" w:cs="宋体"/>
          <w:color w:val="auto"/>
          <w:kern w:val="0"/>
          <w:szCs w:val="24"/>
          <w:highlight w:val="none"/>
        </w:rPr>
        <w:t>单</w:t>
      </w:r>
      <w:r>
        <w:rPr>
          <w:rFonts w:hint="eastAsia" w:ascii="宋体" w:hAnsi="宋体" w:cs="宋体"/>
          <w:color w:val="auto"/>
          <w:spacing w:val="-2"/>
          <w:kern w:val="0"/>
          <w:szCs w:val="24"/>
          <w:highlight w:val="none"/>
        </w:rPr>
        <w:t>位</w:t>
      </w:r>
      <w:r>
        <w:rPr>
          <w:rFonts w:hint="eastAsia" w:ascii="宋体" w:hAnsi="宋体" w:cs="宋体"/>
          <w:color w:val="auto"/>
          <w:kern w:val="0"/>
          <w:szCs w:val="24"/>
          <w:highlight w:val="none"/>
        </w:rPr>
        <w:t>。</w:t>
      </w:r>
    </w:p>
    <w:p w14:paraId="0FA10177">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lang w:eastAsia="zh-CN"/>
        </w:rPr>
      </w:pPr>
      <w:bookmarkStart w:id="62" w:name="_Toc8352"/>
      <w:bookmarkStart w:id="63" w:name="_Toc8502"/>
      <w:r>
        <w:rPr>
          <w:rFonts w:hint="eastAsia" w:ascii="宋体" w:hAnsi="宋体" w:eastAsia="宋体" w:cs="宋体"/>
          <w:color w:val="auto"/>
          <w:spacing w:val="1"/>
          <w:kern w:val="0"/>
          <w:sz w:val="28"/>
          <w:highlight w:val="none"/>
        </w:rPr>
        <w:t xml:space="preserve">1.9 </w:t>
      </w:r>
      <w:bookmarkEnd w:id="62"/>
      <w:r>
        <w:rPr>
          <w:rFonts w:hint="eastAsia" w:ascii="宋体" w:hAnsi="宋体" w:eastAsia="宋体" w:cs="宋体"/>
          <w:color w:val="auto"/>
          <w:spacing w:val="1"/>
          <w:kern w:val="0"/>
          <w:sz w:val="28"/>
          <w:highlight w:val="none"/>
          <w:lang w:val="en-US" w:eastAsia="zh-CN"/>
        </w:rPr>
        <w:t>踏勘现场</w:t>
      </w:r>
      <w:bookmarkEnd w:id="63"/>
    </w:p>
    <w:p w14:paraId="02D4587D">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472" w:firstLineChars="200"/>
        <w:jc w:val="left"/>
        <w:textAlignment w:val="auto"/>
        <w:rPr>
          <w:rFonts w:hint="eastAsia" w:ascii="宋体" w:hAnsi="宋体" w:eastAsia="宋体" w:cs="宋体"/>
          <w:color w:val="auto"/>
          <w:spacing w:val="-2"/>
          <w:kern w:val="0"/>
          <w:sz w:val="24"/>
          <w:szCs w:val="24"/>
          <w:highlight w:val="none"/>
          <w:shd w:val="clear" w:color="auto" w:fill="auto"/>
        </w:rPr>
      </w:pPr>
      <w:r>
        <w:rPr>
          <w:rFonts w:hint="eastAsia" w:ascii="宋体" w:hAnsi="宋体" w:eastAsia="宋体" w:cs="宋体"/>
          <w:color w:val="auto"/>
          <w:spacing w:val="-2"/>
          <w:kern w:val="0"/>
          <w:sz w:val="24"/>
          <w:szCs w:val="24"/>
          <w:highlight w:val="none"/>
          <w:shd w:val="clear" w:color="auto" w:fill="auto"/>
          <w:lang w:val="en-US"/>
        </w:rPr>
        <w:t>1</w:t>
      </w:r>
      <w:r>
        <w:rPr>
          <w:rFonts w:hint="eastAsia" w:ascii="宋体" w:hAnsi="宋体" w:eastAsia="宋体" w:cs="宋体"/>
          <w:color w:val="auto"/>
          <w:spacing w:val="-2"/>
          <w:kern w:val="0"/>
          <w:sz w:val="24"/>
          <w:szCs w:val="24"/>
          <w:highlight w:val="none"/>
          <w:shd w:val="clear" w:color="auto" w:fill="auto"/>
        </w:rPr>
        <w:t>.</w:t>
      </w:r>
      <w:r>
        <w:rPr>
          <w:rFonts w:hint="eastAsia" w:ascii="宋体" w:hAnsi="宋体" w:eastAsia="宋体" w:cs="宋体"/>
          <w:color w:val="auto"/>
          <w:spacing w:val="-2"/>
          <w:kern w:val="0"/>
          <w:sz w:val="24"/>
          <w:szCs w:val="24"/>
          <w:highlight w:val="none"/>
          <w:shd w:val="clear" w:color="auto" w:fill="auto"/>
          <w:lang w:val="en-US"/>
        </w:rPr>
        <w:t>9</w:t>
      </w:r>
      <w:r>
        <w:rPr>
          <w:rFonts w:hint="eastAsia" w:ascii="宋体" w:hAnsi="宋体" w:eastAsia="宋体" w:cs="宋体"/>
          <w:color w:val="auto"/>
          <w:spacing w:val="-2"/>
          <w:kern w:val="0"/>
          <w:sz w:val="24"/>
          <w:szCs w:val="24"/>
          <w:highlight w:val="none"/>
          <w:shd w:val="clear" w:color="auto" w:fill="auto"/>
        </w:rPr>
        <w:t>.</w:t>
      </w:r>
      <w:r>
        <w:rPr>
          <w:rFonts w:hint="eastAsia" w:ascii="宋体" w:hAnsi="宋体" w:eastAsia="宋体" w:cs="宋体"/>
          <w:color w:val="auto"/>
          <w:spacing w:val="-2"/>
          <w:kern w:val="0"/>
          <w:sz w:val="24"/>
          <w:szCs w:val="24"/>
          <w:highlight w:val="none"/>
          <w:shd w:val="clear" w:color="auto" w:fill="auto"/>
          <w:lang w:val="en-US"/>
        </w:rPr>
        <w:t>1</w:t>
      </w:r>
      <w:r>
        <w:rPr>
          <w:rFonts w:hint="eastAsia" w:ascii="宋体" w:hAnsi="宋体" w:eastAsia="宋体" w:cs="宋体"/>
          <w:color w:val="auto"/>
          <w:spacing w:val="-2"/>
          <w:kern w:val="0"/>
          <w:sz w:val="24"/>
          <w:szCs w:val="24"/>
          <w:highlight w:val="none"/>
          <w:shd w:val="clear" w:color="auto" w:fill="auto"/>
          <w:lang w:val="en-US" w:eastAsia="zh-CN"/>
        </w:rPr>
        <w:t xml:space="preserve"> 供应商</w:t>
      </w:r>
      <w:r>
        <w:rPr>
          <w:rFonts w:hint="eastAsia" w:ascii="宋体" w:hAnsi="宋体" w:eastAsia="宋体" w:cs="宋体"/>
          <w:color w:val="auto"/>
          <w:spacing w:val="-2"/>
          <w:kern w:val="0"/>
          <w:sz w:val="24"/>
          <w:szCs w:val="24"/>
          <w:highlight w:val="none"/>
          <w:shd w:val="clear" w:color="auto" w:fill="auto"/>
        </w:rPr>
        <w:t>须知前附表规定踏勘现场的</w:t>
      </w:r>
      <w:r>
        <w:rPr>
          <w:rFonts w:hint="eastAsia" w:ascii="宋体" w:hAnsi="宋体" w:eastAsia="宋体" w:cs="宋体"/>
          <w:color w:val="auto"/>
          <w:spacing w:val="-2"/>
          <w:kern w:val="0"/>
          <w:sz w:val="24"/>
          <w:szCs w:val="24"/>
          <w:highlight w:val="none"/>
          <w:shd w:val="clear" w:color="auto" w:fill="auto"/>
          <w:lang w:val="en-US"/>
        </w:rPr>
        <w:t>，</w:t>
      </w:r>
      <w:r>
        <w:rPr>
          <w:rFonts w:hint="eastAsia" w:ascii="宋体" w:hAnsi="宋体" w:eastAsia="宋体" w:cs="宋体"/>
          <w:color w:val="auto"/>
          <w:spacing w:val="-2"/>
          <w:kern w:val="0"/>
          <w:sz w:val="24"/>
          <w:szCs w:val="24"/>
          <w:highlight w:val="none"/>
          <w:shd w:val="clear" w:color="auto" w:fill="auto"/>
          <w:lang w:val="en-US" w:eastAsia="zh-CN"/>
        </w:rPr>
        <w:t>供应商</w:t>
      </w:r>
      <w:r>
        <w:rPr>
          <w:rFonts w:hint="eastAsia" w:ascii="宋体" w:hAnsi="宋体" w:eastAsia="宋体" w:cs="宋体"/>
          <w:color w:val="auto"/>
          <w:spacing w:val="-2"/>
          <w:kern w:val="0"/>
          <w:sz w:val="24"/>
          <w:szCs w:val="24"/>
          <w:highlight w:val="none"/>
          <w:shd w:val="clear" w:color="auto" w:fill="auto"/>
        </w:rPr>
        <w:t>自行踏勘项目现场。</w:t>
      </w:r>
    </w:p>
    <w:p w14:paraId="64AAFB99">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472" w:firstLineChars="200"/>
        <w:jc w:val="left"/>
        <w:textAlignment w:val="auto"/>
        <w:rPr>
          <w:rFonts w:hint="eastAsia" w:ascii="宋体" w:hAnsi="宋体" w:eastAsia="宋体" w:cs="宋体"/>
          <w:color w:val="auto"/>
          <w:spacing w:val="-2"/>
          <w:kern w:val="0"/>
          <w:sz w:val="24"/>
          <w:szCs w:val="24"/>
          <w:highlight w:val="none"/>
          <w:shd w:val="clear" w:color="auto" w:fill="auto"/>
        </w:rPr>
      </w:pPr>
      <w:r>
        <w:rPr>
          <w:rFonts w:hint="eastAsia" w:ascii="宋体" w:hAnsi="宋体" w:eastAsia="宋体" w:cs="宋体"/>
          <w:color w:val="auto"/>
          <w:spacing w:val="-2"/>
          <w:kern w:val="0"/>
          <w:sz w:val="24"/>
          <w:szCs w:val="24"/>
          <w:highlight w:val="none"/>
          <w:shd w:val="clear" w:color="auto" w:fill="auto"/>
          <w:lang w:val="en-US"/>
        </w:rPr>
        <w:t>1</w:t>
      </w:r>
      <w:r>
        <w:rPr>
          <w:rFonts w:hint="eastAsia" w:ascii="宋体" w:hAnsi="宋体" w:eastAsia="宋体" w:cs="宋体"/>
          <w:color w:val="auto"/>
          <w:spacing w:val="-2"/>
          <w:kern w:val="0"/>
          <w:sz w:val="24"/>
          <w:szCs w:val="24"/>
          <w:highlight w:val="none"/>
          <w:shd w:val="clear" w:color="auto" w:fill="auto"/>
        </w:rPr>
        <w:t>.</w:t>
      </w:r>
      <w:r>
        <w:rPr>
          <w:rFonts w:hint="eastAsia" w:ascii="宋体" w:hAnsi="宋体" w:eastAsia="宋体" w:cs="宋体"/>
          <w:color w:val="auto"/>
          <w:spacing w:val="-2"/>
          <w:kern w:val="0"/>
          <w:sz w:val="24"/>
          <w:szCs w:val="24"/>
          <w:highlight w:val="none"/>
          <w:shd w:val="clear" w:color="auto" w:fill="auto"/>
          <w:lang w:val="en-US"/>
        </w:rPr>
        <w:t>9</w:t>
      </w:r>
      <w:r>
        <w:rPr>
          <w:rFonts w:hint="eastAsia" w:ascii="宋体" w:hAnsi="宋体" w:eastAsia="宋体" w:cs="宋体"/>
          <w:color w:val="auto"/>
          <w:spacing w:val="-2"/>
          <w:kern w:val="0"/>
          <w:sz w:val="24"/>
          <w:szCs w:val="24"/>
          <w:highlight w:val="none"/>
          <w:shd w:val="clear" w:color="auto" w:fill="auto"/>
        </w:rPr>
        <w:t>.</w:t>
      </w:r>
      <w:r>
        <w:rPr>
          <w:rFonts w:hint="eastAsia" w:ascii="宋体" w:hAnsi="宋体" w:eastAsia="宋体" w:cs="宋体"/>
          <w:color w:val="auto"/>
          <w:spacing w:val="-2"/>
          <w:kern w:val="0"/>
          <w:sz w:val="24"/>
          <w:szCs w:val="24"/>
          <w:highlight w:val="none"/>
          <w:shd w:val="clear" w:color="auto" w:fill="auto"/>
          <w:lang w:val="en-US"/>
        </w:rPr>
        <w:t>2</w:t>
      </w:r>
      <w:r>
        <w:rPr>
          <w:rFonts w:hint="eastAsia" w:ascii="宋体" w:hAnsi="宋体" w:eastAsia="宋体" w:cs="宋体"/>
          <w:color w:val="auto"/>
          <w:spacing w:val="-2"/>
          <w:kern w:val="0"/>
          <w:sz w:val="24"/>
          <w:szCs w:val="24"/>
          <w:highlight w:val="none"/>
          <w:shd w:val="clear" w:color="auto" w:fill="auto"/>
          <w:lang w:val="en-US" w:eastAsia="zh-CN"/>
        </w:rPr>
        <w:t xml:space="preserve"> 供应商</w:t>
      </w:r>
      <w:r>
        <w:rPr>
          <w:rFonts w:hint="eastAsia" w:ascii="宋体" w:hAnsi="宋体" w:eastAsia="宋体" w:cs="宋体"/>
          <w:color w:val="auto"/>
          <w:spacing w:val="-2"/>
          <w:kern w:val="0"/>
          <w:sz w:val="24"/>
          <w:szCs w:val="24"/>
          <w:highlight w:val="none"/>
          <w:shd w:val="clear" w:color="auto" w:fill="auto"/>
        </w:rPr>
        <w:t>踏勘现场发生的费用自理。</w:t>
      </w:r>
    </w:p>
    <w:p w14:paraId="51725C44">
      <w:pPr>
        <w:pageBreakBefore w:val="0"/>
        <w:widowControl/>
        <w:kinsoku/>
        <w:wordWrap w:val="0"/>
        <w:overflowPunct/>
        <w:topLinePunct w:val="0"/>
        <w:autoSpaceDE w:val="0"/>
        <w:autoSpaceDN w:val="0"/>
        <w:bidi w:val="0"/>
        <w:adjustRightInd w:val="0"/>
        <w:snapToGrid/>
        <w:spacing w:line="360" w:lineRule="auto"/>
        <w:ind w:left="0" w:leftChars="0" w:right="0" w:firstLine="472" w:firstLineChars="200"/>
        <w:jc w:val="left"/>
        <w:textAlignment w:val="auto"/>
        <w:rPr>
          <w:rFonts w:hint="eastAsia" w:ascii="宋体" w:hAnsi="宋体" w:cs="宋体"/>
          <w:color w:val="auto"/>
          <w:kern w:val="0"/>
          <w:szCs w:val="24"/>
          <w:highlight w:val="none"/>
        </w:rPr>
      </w:pPr>
      <w:r>
        <w:rPr>
          <w:rFonts w:hint="eastAsia" w:ascii="宋体" w:hAnsi="宋体" w:eastAsia="宋体" w:cs="宋体"/>
          <w:color w:val="auto"/>
          <w:spacing w:val="-2"/>
          <w:kern w:val="0"/>
          <w:sz w:val="24"/>
          <w:szCs w:val="24"/>
          <w:highlight w:val="none"/>
          <w:shd w:val="clear" w:color="auto" w:fill="auto"/>
          <w:lang w:val="en-US"/>
        </w:rPr>
        <w:t>1</w:t>
      </w:r>
      <w:r>
        <w:rPr>
          <w:rFonts w:hint="eastAsia" w:ascii="宋体" w:hAnsi="宋体" w:eastAsia="宋体" w:cs="宋体"/>
          <w:color w:val="auto"/>
          <w:spacing w:val="-2"/>
          <w:kern w:val="0"/>
          <w:sz w:val="24"/>
          <w:szCs w:val="24"/>
          <w:highlight w:val="none"/>
          <w:shd w:val="clear" w:color="auto" w:fill="auto"/>
        </w:rPr>
        <w:t>.</w:t>
      </w:r>
      <w:r>
        <w:rPr>
          <w:rFonts w:hint="eastAsia" w:ascii="宋体" w:hAnsi="宋体" w:eastAsia="宋体" w:cs="宋体"/>
          <w:color w:val="auto"/>
          <w:spacing w:val="-2"/>
          <w:kern w:val="0"/>
          <w:sz w:val="24"/>
          <w:szCs w:val="24"/>
          <w:highlight w:val="none"/>
          <w:shd w:val="clear" w:color="auto" w:fill="auto"/>
          <w:lang w:val="en-US"/>
        </w:rPr>
        <w:t>9</w:t>
      </w:r>
      <w:r>
        <w:rPr>
          <w:rFonts w:hint="eastAsia" w:ascii="宋体" w:hAnsi="宋体" w:eastAsia="宋体" w:cs="宋体"/>
          <w:color w:val="auto"/>
          <w:spacing w:val="-2"/>
          <w:kern w:val="0"/>
          <w:sz w:val="24"/>
          <w:szCs w:val="24"/>
          <w:highlight w:val="none"/>
          <w:shd w:val="clear" w:color="auto" w:fill="auto"/>
        </w:rPr>
        <w:t>.</w:t>
      </w:r>
      <w:r>
        <w:rPr>
          <w:rFonts w:hint="eastAsia" w:ascii="宋体" w:hAnsi="宋体" w:eastAsia="宋体" w:cs="宋体"/>
          <w:color w:val="auto"/>
          <w:spacing w:val="-2"/>
          <w:kern w:val="0"/>
          <w:sz w:val="24"/>
          <w:szCs w:val="24"/>
          <w:highlight w:val="none"/>
          <w:shd w:val="clear" w:color="auto" w:fill="auto"/>
          <w:lang w:val="en-US"/>
        </w:rPr>
        <w:t>3</w:t>
      </w:r>
      <w:r>
        <w:rPr>
          <w:rFonts w:hint="eastAsia" w:ascii="宋体" w:hAnsi="宋体" w:eastAsia="宋体" w:cs="宋体"/>
          <w:color w:val="auto"/>
          <w:spacing w:val="-2"/>
          <w:kern w:val="0"/>
          <w:sz w:val="24"/>
          <w:szCs w:val="24"/>
          <w:highlight w:val="none"/>
          <w:shd w:val="clear" w:color="auto" w:fill="auto"/>
          <w:lang w:val="en-US" w:eastAsia="zh-CN"/>
        </w:rPr>
        <w:t xml:space="preserve"> 供应商</w:t>
      </w:r>
      <w:r>
        <w:rPr>
          <w:rFonts w:hint="eastAsia" w:ascii="宋体" w:hAnsi="宋体" w:eastAsia="宋体" w:cs="宋体"/>
          <w:color w:val="auto"/>
          <w:spacing w:val="-2"/>
          <w:kern w:val="0"/>
          <w:sz w:val="24"/>
          <w:szCs w:val="24"/>
          <w:highlight w:val="none"/>
          <w:shd w:val="clear" w:color="auto" w:fill="auto"/>
        </w:rPr>
        <w:t>自行负责在踏勘现场中所发生的人员伤亡和财产损失。</w:t>
      </w:r>
    </w:p>
    <w:p w14:paraId="31D4B807">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default" w:ascii="宋体" w:hAnsi="宋体" w:eastAsia="宋体" w:cs="宋体"/>
          <w:color w:val="auto"/>
          <w:spacing w:val="1"/>
          <w:kern w:val="0"/>
          <w:sz w:val="28"/>
          <w:highlight w:val="none"/>
          <w:lang w:val="en-US" w:eastAsia="zh-CN"/>
        </w:rPr>
      </w:pPr>
      <w:bookmarkStart w:id="64" w:name="_Toc1727"/>
      <w:bookmarkStart w:id="65" w:name="_Toc19269"/>
      <w:r>
        <w:rPr>
          <w:rFonts w:hint="eastAsia" w:ascii="宋体" w:hAnsi="宋体" w:eastAsia="宋体" w:cs="宋体"/>
          <w:color w:val="auto"/>
          <w:spacing w:val="1"/>
          <w:kern w:val="0"/>
          <w:sz w:val="28"/>
          <w:highlight w:val="none"/>
        </w:rPr>
        <w:t>1.10 分包</w:t>
      </w:r>
      <w:bookmarkEnd w:id="64"/>
      <w:r>
        <w:rPr>
          <w:rFonts w:hint="eastAsia" w:ascii="宋体" w:hAnsi="宋体" w:eastAsia="宋体" w:cs="宋体"/>
          <w:color w:val="auto"/>
          <w:spacing w:val="1"/>
          <w:kern w:val="0"/>
          <w:sz w:val="28"/>
          <w:highlight w:val="none"/>
          <w:lang w:eastAsia="zh-CN"/>
        </w:rPr>
        <w:t>、</w:t>
      </w:r>
      <w:r>
        <w:rPr>
          <w:rFonts w:hint="eastAsia" w:ascii="宋体" w:hAnsi="宋体" w:eastAsia="宋体" w:cs="宋体"/>
          <w:color w:val="auto"/>
          <w:spacing w:val="1"/>
          <w:kern w:val="0"/>
          <w:sz w:val="28"/>
          <w:highlight w:val="none"/>
          <w:lang w:val="en-US" w:eastAsia="zh-CN"/>
        </w:rPr>
        <w:t>转包</w:t>
      </w:r>
      <w:bookmarkEnd w:id="65"/>
    </w:p>
    <w:p w14:paraId="2706F6E9">
      <w:pPr>
        <w:spacing w:line="360" w:lineRule="auto"/>
        <w:ind w:left="0" w:leftChars="0" w:firstLine="480" w:firstLineChars="20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1.10.1 不</w:t>
      </w:r>
      <w:r>
        <w:rPr>
          <w:rFonts w:hint="eastAsia" w:ascii="宋体" w:hAnsi="宋体" w:eastAsia="宋体" w:cs="宋体"/>
          <w:color w:val="auto"/>
          <w:kern w:val="0"/>
          <w:szCs w:val="24"/>
          <w:highlight w:val="none"/>
          <w:lang w:val="en-US" w:eastAsia="zh-CN"/>
        </w:rPr>
        <w:t>允许</w:t>
      </w:r>
      <w:r>
        <w:rPr>
          <w:rFonts w:hint="eastAsia" w:ascii="宋体" w:hAnsi="宋体" w:eastAsia="宋体" w:cs="宋体"/>
          <w:color w:val="auto"/>
          <w:kern w:val="0"/>
          <w:szCs w:val="24"/>
          <w:highlight w:val="none"/>
        </w:rPr>
        <w:t>分包、转包</w:t>
      </w:r>
      <w:r>
        <w:rPr>
          <w:rFonts w:hint="eastAsia" w:ascii="宋体" w:hAnsi="宋体" w:eastAsia="宋体" w:cs="宋体"/>
          <w:color w:val="auto"/>
          <w:kern w:val="0"/>
          <w:szCs w:val="24"/>
          <w:highlight w:val="none"/>
          <w:lang w:eastAsia="zh-CN"/>
        </w:rPr>
        <w:t>。</w:t>
      </w:r>
    </w:p>
    <w:p w14:paraId="3BCA76E8">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66" w:name="_Toc9109"/>
      <w:bookmarkStart w:id="67" w:name="_Toc7229"/>
      <w:r>
        <w:rPr>
          <w:rFonts w:hint="eastAsia" w:ascii="宋体" w:hAnsi="宋体" w:eastAsia="宋体" w:cs="宋体"/>
          <w:color w:val="auto"/>
          <w:spacing w:val="1"/>
          <w:kern w:val="0"/>
          <w:sz w:val="28"/>
          <w:highlight w:val="none"/>
        </w:rPr>
        <w:t>1.11 响应和偏差</w:t>
      </w:r>
      <w:bookmarkEnd w:id="66"/>
      <w:bookmarkEnd w:id="67"/>
    </w:p>
    <w:p w14:paraId="71AA905F">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 xml:space="preserve">1.11.1 </w:t>
      </w:r>
      <w:r>
        <w:rPr>
          <w:rFonts w:hint="eastAsia" w:ascii="宋体" w:hAnsi="宋体" w:cs="宋体"/>
          <w:color w:val="auto"/>
          <w:kern w:val="0"/>
          <w:szCs w:val="24"/>
          <w:highlight w:val="none"/>
          <w:lang w:val="en-US" w:eastAsia="zh-CN"/>
        </w:rPr>
        <w:t>投标</w:t>
      </w:r>
      <w:r>
        <w:rPr>
          <w:rFonts w:hint="eastAsia" w:ascii="宋体" w:hAnsi="宋体" w:cs="宋体"/>
          <w:color w:val="auto"/>
          <w:kern w:val="0"/>
          <w:szCs w:val="24"/>
          <w:highlight w:val="none"/>
        </w:rPr>
        <w:t>文件应当对采购文件的实质性要求和条件作出满足性或更有利于采购人的响应，否则，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的投标将被否决。</w:t>
      </w:r>
    </w:p>
    <w:p w14:paraId="7CFADF90">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Cs w:val="24"/>
          <w:highlight w:val="none"/>
        </w:rPr>
        <w:t xml:space="preserve">1.11.2 </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应根据采购文件的要求提供投标设备技术性能指标的详细描述、技术支持资料及技术服务和质保期服务计划等内容以对采购文件作出响应。</w:t>
      </w:r>
    </w:p>
    <w:p w14:paraId="13A3FB3F">
      <w:pPr>
        <w:pStyle w:val="7"/>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647" w:firstLineChars="200"/>
        <w:textAlignment w:val="auto"/>
        <w:outlineLvl w:val="1"/>
        <w:rPr>
          <w:rFonts w:hint="eastAsia" w:ascii="宋体" w:hAnsi="宋体" w:eastAsia="宋体" w:cs="宋体"/>
          <w:b/>
          <w:bCs/>
          <w:color w:val="auto"/>
          <w:spacing w:val="1"/>
          <w:kern w:val="0"/>
          <w:position w:val="-1"/>
          <w:sz w:val="32"/>
          <w:highlight w:val="none"/>
        </w:rPr>
      </w:pPr>
      <w:bookmarkStart w:id="68" w:name="_Toc32341"/>
      <w:bookmarkStart w:id="69" w:name="_Toc28885"/>
      <w:bookmarkStart w:id="70" w:name="_Toc292"/>
      <w:bookmarkStart w:id="71" w:name="_Toc29978"/>
      <w:bookmarkStart w:id="72" w:name="_Toc17727"/>
      <w:bookmarkStart w:id="73" w:name="_Toc17862"/>
      <w:r>
        <w:rPr>
          <w:rFonts w:hint="eastAsia" w:ascii="宋体" w:hAnsi="宋体" w:eastAsia="宋体" w:cs="宋体"/>
          <w:b/>
          <w:bCs/>
          <w:color w:val="auto"/>
          <w:spacing w:val="1"/>
          <w:kern w:val="0"/>
          <w:position w:val="-1"/>
          <w:sz w:val="32"/>
          <w:highlight w:val="none"/>
        </w:rPr>
        <w:t>2.</w:t>
      </w:r>
      <w:bookmarkEnd w:id="68"/>
      <w:bookmarkEnd w:id="69"/>
      <w:r>
        <w:rPr>
          <w:rFonts w:hint="eastAsia" w:ascii="宋体" w:hAnsi="宋体" w:eastAsia="宋体" w:cs="宋体"/>
          <w:b/>
          <w:bCs/>
          <w:color w:val="auto"/>
          <w:spacing w:val="1"/>
          <w:kern w:val="0"/>
          <w:position w:val="-1"/>
          <w:sz w:val="32"/>
          <w:highlight w:val="none"/>
        </w:rPr>
        <w:t>采购文件</w:t>
      </w:r>
      <w:bookmarkEnd w:id="70"/>
      <w:bookmarkEnd w:id="71"/>
      <w:bookmarkEnd w:id="72"/>
      <w:bookmarkEnd w:id="73"/>
    </w:p>
    <w:p w14:paraId="54159B33">
      <w:pPr>
        <w:pStyle w:val="8"/>
        <w:pageBreakBefore w:val="0"/>
        <w:kinsoku/>
        <w:overflowPunct/>
        <w:topLinePunct w:val="0"/>
        <w:bidi w:val="0"/>
        <w:snapToGrid/>
        <w:spacing w:before="0" w:after="0" w:line="360" w:lineRule="auto"/>
        <w:ind w:left="0" w:leftChars="0" w:right="0" w:firstLine="566" w:firstLineChars="200"/>
        <w:textAlignment w:val="auto"/>
        <w:outlineLvl w:val="2"/>
        <w:rPr>
          <w:rFonts w:hint="eastAsia" w:ascii="宋体" w:hAnsi="宋体" w:cs="宋体"/>
          <w:color w:val="auto"/>
          <w:kern w:val="0"/>
          <w:sz w:val="28"/>
          <w:highlight w:val="none"/>
        </w:rPr>
      </w:pPr>
      <w:bookmarkStart w:id="74" w:name="_Toc11134"/>
      <w:bookmarkStart w:id="75" w:name="_Toc5983"/>
      <w:r>
        <w:rPr>
          <w:rFonts w:hint="eastAsia" w:ascii="宋体" w:hAnsi="宋体" w:cs="宋体"/>
          <w:color w:val="auto"/>
          <w:spacing w:val="1"/>
          <w:kern w:val="0"/>
          <w:sz w:val="28"/>
          <w:highlight w:val="none"/>
        </w:rPr>
        <w:t>2</w:t>
      </w:r>
      <w:r>
        <w:rPr>
          <w:rFonts w:hint="eastAsia" w:ascii="宋体" w:hAnsi="宋体" w:cs="宋体"/>
          <w:color w:val="auto"/>
          <w:kern w:val="0"/>
          <w:sz w:val="28"/>
          <w:highlight w:val="none"/>
        </w:rPr>
        <w:t>.1</w:t>
      </w:r>
      <w:r>
        <w:rPr>
          <w:rFonts w:hint="eastAsia" w:ascii="宋体" w:hAnsi="宋体" w:cs="宋体"/>
          <w:color w:val="auto"/>
          <w:spacing w:val="68"/>
          <w:kern w:val="0"/>
          <w:sz w:val="28"/>
          <w:highlight w:val="none"/>
        </w:rPr>
        <w:t xml:space="preserve"> </w:t>
      </w:r>
      <w:r>
        <w:rPr>
          <w:rFonts w:hint="eastAsia" w:ascii="宋体" w:hAnsi="宋体" w:cs="宋体"/>
          <w:color w:val="auto"/>
          <w:kern w:val="0"/>
          <w:sz w:val="28"/>
          <w:highlight w:val="none"/>
        </w:rPr>
        <w:t>采购文件</w:t>
      </w:r>
      <w:r>
        <w:rPr>
          <w:rFonts w:hint="eastAsia" w:ascii="宋体" w:hAnsi="宋体" w:cs="宋体"/>
          <w:color w:val="auto"/>
          <w:spacing w:val="-3"/>
          <w:kern w:val="0"/>
          <w:sz w:val="28"/>
          <w:highlight w:val="none"/>
        </w:rPr>
        <w:t>的</w:t>
      </w:r>
      <w:r>
        <w:rPr>
          <w:rFonts w:hint="eastAsia" w:ascii="宋体" w:hAnsi="宋体" w:cs="宋体"/>
          <w:color w:val="auto"/>
          <w:kern w:val="0"/>
          <w:sz w:val="28"/>
          <w:highlight w:val="none"/>
        </w:rPr>
        <w:t>组成</w:t>
      </w:r>
      <w:bookmarkEnd w:id="74"/>
      <w:bookmarkEnd w:id="75"/>
    </w:p>
    <w:p w14:paraId="1C753267">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 xml:space="preserve">2.1.1 </w:t>
      </w:r>
      <w:r>
        <w:rPr>
          <w:rFonts w:hint="eastAsia" w:ascii="宋体" w:hAnsi="宋体" w:cs="宋体"/>
          <w:color w:val="auto"/>
          <w:kern w:val="0"/>
          <w:szCs w:val="24"/>
          <w:highlight w:val="none"/>
        </w:rPr>
        <w:t>本采购文件包括：</w:t>
      </w:r>
    </w:p>
    <w:p w14:paraId="33ADB6B1">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（1）采购公告；</w:t>
      </w:r>
    </w:p>
    <w:p w14:paraId="7C1834A7">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w:t>
      </w:r>
    </w:p>
    <w:p w14:paraId="29F6F8B2">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（3）</w:t>
      </w:r>
      <w:r>
        <w:rPr>
          <w:rFonts w:hint="eastAsia" w:ascii="宋体" w:hAnsi="宋体" w:cs="宋体"/>
          <w:color w:val="auto"/>
          <w:kern w:val="0"/>
          <w:szCs w:val="24"/>
          <w:highlight w:val="none"/>
          <w:lang w:val="en-US" w:eastAsia="zh-CN"/>
        </w:rPr>
        <w:t>供应商</w:t>
      </w:r>
      <w:r>
        <w:rPr>
          <w:rFonts w:hint="eastAsia" w:ascii="宋体" w:hAnsi="宋体" w:cs="宋体"/>
          <w:color w:val="auto"/>
          <w:kern w:val="0"/>
          <w:szCs w:val="24"/>
          <w:highlight w:val="none"/>
        </w:rPr>
        <w:t>须知正文；</w:t>
      </w:r>
    </w:p>
    <w:p w14:paraId="286D3245">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（4）评标办法；</w:t>
      </w:r>
    </w:p>
    <w:p w14:paraId="6773C7E3">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（5）采购需求</w:t>
      </w:r>
      <w:r>
        <w:rPr>
          <w:rFonts w:hint="eastAsia" w:ascii="宋体" w:hAnsi="宋体" w:cs="宋体"/>
          <w:color w:val="auto"/>
          <w:kern w:val="0"/>
          <w:szCs w:val="24"/>
          <w:highlight w:val="none"/>
          <w:lang w:eastAsia="zh-CN"/>
        </w:rPr>
        <w:t>；</w:t>
      </w:r>
    </w:p>
    <w:p w14:paraId="117F0D30">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（6）合同条款及格式；</w:t>
      </w:r>
    </w:p>
    <w:p w14:paraId="42AF48E8">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（7）响应文件格式</w:t>
      </w:r>
      <w:r>
        <w:rPr>
          <w:rFonts w:hint="eastAsia" w:ascii="宋体" w:hAnsi="宋体" w:cs="宋体"/>
          <w:color w:val="auto"/>
          <w:kern w:val="0"/>
          <w:szCs w:val="24"/>
          <w:highlight w:val="none"/>
          <w:lang w:eastAsia="zh-CN"/>
        </w:rPr>
        <w:t>；</w:t>
      </w:r>
    </w:p>
    <w:p w14:paraId="76C36435">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（8）其他</w:t>
      </w:r>
      <w:r>
        <w:rPr>
          <w:rFonts w:hint="eastAsia" w:ascii="宋体" w:hAnsi="宋体" w:cs="宋体"/>
          <w:color w:val="auto"/>
          <w:kern w:val="0"/>
          <w:szCs w:val="24"/>
          <w:highlight w:val="none"/>
          <w:lang w:eastAsia="zh-CN"/>
        </w:rPr>
        <w:t>。</w:t>
      </w:r>
    </w:p>
    <w:p w14:paraId="00113CE9">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 xml:space="preserve">2.1.2 </w:t>
      </w:r>
      <w:r>
        <w:rPr>
          <w:rFonts w:hint="eastAsia" w:ascii="宋体" w:hAnsi="宋体" w:cs="宋体"/>
          <w:color w:val="auto"/>
          <w:kern w:val="0"/>
          <w:szCs w:val="24"/>
          <w:highlight w:val="none"/>
        </w:rPr>
        <w:t>根据本章第 2.2 款和第 2.3 款对采购文件所作的澄清、修改，构成采购文件的组成部分。</w:t>
      </w:r>
    </w:p>
    <w:p w14:paraId="3DE941F0">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default" w:ascii="宋体" w:hAnsi="宋体" w:eastAsia="宋体" w:cs="宋体"/>
          <w:color w:val="auto"/>
          <w:spacing w:val="1"/>
          <w:kern w:val="0"/>
          <w:sz w:val="28"/>
          <w:highlight w:val="none"/>
          <w:lang w:val="en-US" w:eastAsia="zh-CN"/>
        </w:rPr>
      </w:pPr>
      <w:bookmarkStart w:id="76" w:name="_Toc1461"/>
      <w:bookmarkStart w:id="77" w:name="_Toc14721"/>
      <w:r>
        <w:rPr>
          <w:rFonts w:hint="eastAsia" w:ascii="宋体" w:hAnsi="宋体" w:eastAsia="宋体" w:cs="宋体"/>
          <w:color w:val="auto"/>
          <w:spacing w:val="1"/>
          <w:kern w:val="0"/>
          <w:sz w:val="28"/>
          <w:highlight w:val="none"/>
        </w:rPr>
        <w:t>2.2 采购文件的澄清</w:t>
      </w:r>
      <w:bookmarkEnd w:id="76"/>
      <w:r>
        <w:rPr>
          <w:rFonts w:hint="eastAsia" w:ascii="宋体" w:hAnsi="宋体" w:eastAsia="宋体" w:cs="宋体"/>
          <w:color w:val="auto"/>
          <w:spacing w:val="1"/>
          <w:kern w:val="0"/>
          <w:sz w:val="28"/>
          <w:highlight w:val="none"/>
          <w:lang w:val="en-US" w:eastAsia="zh-CN"/>
        </w:rPr>
        <w:t>或修改</w:t>
      </w:r>
      <w:bookmarkEnd w:id="77"/>
    </w:p>
    <w:p w14:paraId="7F7D0FA0">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 xml:space="preserve">2.2.1 </w:t>
      </w:r>
      <w:r>
        <w:rPr>
          <w:rFonts w:hint="eastAsia" w:ascii="宋体" w:hAnsi="宋体" w:eastAsia="宋体" w:cs="宋体"/>
          <w:color w:val="auto"/>
          <w:kern w:val="0"/>
          <w:szCs w:val="24"/>
          <w:highlight w:val="none"/>
        </w:rPr>
        <w:t>采购人或者采购代理机构可以对已发出的</w:t>
      </w:r>
      <w:r>
        <w:rPr>
          <w:rFonts w:hint="eastAsia" w:ascii="宋体" w:hAnsi="宋体" w:eastAsia="宋体" w:cs="宋体"/>
          <w:color w:val="auto"/>
          <w:kern w:val="0"/>
          <w:szCs w:val="24"/>
          <w:highlight w:val="none"/>
          <w:lang w:val="en-US" w:eastAsia="zh-CN"/>
        </w:rPr>
        <w:t>采购</w:t>
      </w:r>
      <w:r>
        <w:rPr>
          <w:rFonts w:hint="eastAsia" w:ascii="宋体" w:hAnsi="宋体" w:eastAsia="宋体" w:cs="宋体"/>
          <w:color w:val="auto"/>
          <w:kern w:val="0"/>
          <w:szCs w:val="24"/>
          <w:highlight w:val="none"/>
        </w:rPr>
        <w:t>文件进行必要的澄清或者修改。澄清或者修改的内容可能影响投标文件编制的，采购人或者采购代理机构应当在投标截止时间至少15日前，</w:t>
      </w:r>
      <w:r>
        <w:rPr>
          <w:rFonts w:hint="eastAsia" w:ascii="宋体" w:hAnsi="宋体" w:eastAsia="宋体" w:cs="宋体"/>
          <w:color w:val="auto"/>
          <w:kern w:val="0"/>
          <w:szCs w:val="24"/>
          <w:highlight w:val="none"/>
          <w:lang w:val="en-US" w:eastAsia="zh-CN"/>
        </w:rPr>
        <w:t>通过电子交易系统</w:t>
      </w:r>
      <w:r>
        <w:rPr>
          <w:rFonts w:hint="eastAsia" w:ascii="宋体" w:hAnsi="宋体" w:eastAsia="宋体" w:cs="宋体"/>
          <w:color w:val="auto"/>
          <w:kern w:val="0"/>
          <w:szCs w:val="24"/>
          <w:highlight w:val="none"/>
        </w:rPr>
        <w:t>通知所有获取</w:t>
      </w:r>
      <w:r>
        <w:rPr>
          <w:rFonts w:hint="eastAsia" w:ascii="宋体" w:hAnsi="宋体" w:eastAsia="宋体" w:cs="宋体"/>
          <w:color w:val="auto"/>
          <w:kern w:val="0"/>
          <w:szCs w:val="24"/>
          <w:highlight w:val="none"/>
          <w:lang w:val="en-US" w:eastAsia="zh-CN"/>
        </w:rPr>
        <w:t>采购</w:t>
      </w:r>
      <w:r>
        <w:rPr>
          <w:rFonts w:hint="eastAsia" w:ascii="宋体" w:hAnsi="宋体" w:eastAsia="宋体" w:cs="宋体"/>
          <w:color w:val="auto"/>
          <w:kern w:val="0"/>
          <w:szCs w:val="24"/>
          <w:highlight w:val="none"/>
        </w:rPr>
        <w:t>文件的潜在</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；不足15日的，采购人或者采购代理机构应当顺延提交投标文件的截止时间。补充变更文件是采购文件的组成部分，对所有供应商均具有约束力。所有采购文件的补充、变更将以变更公告形式发布。</w:t>
      </w:r>
    </w:p>
    <w:p w14:paraId="031073A8">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 xml:space="preserve">2.2.2 </w:t>
      </w:r>
      <w:r>
        <w:rPr>
          <w:rFonts w:hint="eastAsia" w:ascii="宋体" w:hAnsi="宋体" w:cs="宋体"/>
          <w:color w:val="auto"/>
          <w:kern w:val="0"/>
          <w:szCs w:val="24"/>
          <w:highlight w:val="none"/>
          <w:lang w:val="en-US" w:eastAsia="zh-CN"/>
        </w:rPr>
        <w:t>供应商</w:t>
      </w:r>
      <w:r>
        <w:rPr>
          <w:rFonts w:hint="eastAsia" w:ascii="宋体" w:hAnsi="宋体" w:cs="宋体"/>
          <w:color w:val="auto"/>
          <w:kern w:val="0"/>
          <w:szCs w:val="24"/>
          <w:highlight w:val="none"/>
        </w:rPr>
        <w:t>确认收到</w:t>
      </w:r>
      <w:r>
        <w:rPr>
          <w:rFonts w:hint="eastAsia" w:ascii="宋体" w:hAnsi="宋体" w:cs="宋体"/>
          <w:color w:val="auto"/>
          <w:kern w:val="0"/>
          <w:szCs w:val="24"/>
          <w:highlight w:val="none"/>
          <w:lang w:val="en-US" w:eastAsia="zh-CN"/>
        </w:rPr>
        <w:t>采购</w:t>
      </w:r>
      <w:r>
        <w:rPr>
          <w:rFonts w:hint="eastAsia" w:ascii="宋体" w:hAnsi="宋体" w:cs="宋体"/>
          <w:color w:val="auto"/>
          <w:kern w:val="0"/>
          <w:szCs w:val="24"/>
          <w:highlight w:val="none"/>
        </w:rPr>
        <w:t>文件澄清</w:t>
      </w:r>
      <w:r>
        <w:rPr>
          <w:rFonts w:hint="eastAsia" w:ascii="宋体" w:hAnsi="宋体" w:cs="宋体"/>
          <w:color w:val="auto"/>
          <w:kern w:val="0"/>
          <w:szCs w:val="24"/>
          <w:highlight w:val="none"/>
          <w:lang w:val="en-US" w:eastAsia="zh-CN"/>
        </w:rPr>
        <w:t>或修改</w:t>
      </w:r>
      <w:r>
        <w:rPr>
          <w:rFonts w:hint="eastAsia" w:ascii="宋体" w:hAnsi="宋体" w:cs="宋体"/>
          <w:color w:val="auto"/>
          <w:kern w:val="0"/>
          <w:szCs w:val="24"/>
          <w:highlight w:val="none"/>
        </w:rPr>
        <w:t>内容的方式见</w:t>
      </w:r>
      <w:r>
        <w:rPr>
          <w:rFonts w:hint="eastAsia" w:ascii="宋体" w:hAnsi="宋体" w:cs="宋体"/>
          <w:color w:val="auto"/>
          <w:kern w:val="0"/>
          <w:szCs w:val="24"/>
          <w:highlight w:val="none"/>
          <w:lang w:val="en-US" w:eastAsia="zh-CN"/>
        </w:rPr>
        <w:t>供应商</w:t>
      </w:r>
      <w:r>
        <w:rPr>
          <w:rFonts w:hint="eastAsia" w:ascii="宋体" w:hAnsi="宋体" w:cs="宋体"/>
          <w:color w:val="auto"/>
          <w:kern w:val="0"/>
          <w:szCs w:val="24"/>
          <w:highlight w:val="none"/>
        </w:rPr>
        <w:t>须知前附表。</w:t>
      </w:r>
    </w:p>
    <w:p w14:paraId="4B75E71C">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lang w:eastAsia="zh-CN"/>
        </w:rPr>
      </w:pPr>
      <w:bookmarkStart w:id="78" w:name="_Toc32240"/>
      <w:bookmarkStart w:id="79" w:name="_Toc4085"/>
      <w:r>
        <w:rPr>
          <w:rFonts w:hint="eastAsia" w:ascii="宋体" w:hAnsi="宋体" w:eastAsia="宋体" w:cs="宋体"/>
          <w:color w:val="auto"/>
          <w:spacing w:val="1"/>
          <w:kern w:val="0"/>
          <w:sz w:val="28"/>
          <w:highlight w:val="none"/>
        </w:rPr>
        <w:t>2.3 采购文件的</w:t>
      </w:r>
      <w:bookmarkEnd w:id="78"/>
      <w:r>
        <w:rPr>
          <w:rFonts w:hint="eastAsia" w:ascii="宋体" w:hAnsi="宋体" w:eastAsia="宋体" w:cs="宋体"/>
          <w:color w:val="auto"/>
          <w:spacing w:val="1"/>
          <w:kern w:val="0"/>
          <w:sz w:val="28"/>
          <w:highlight w:val="none"/>
          <w:lang w:val="en-US" w:eastAsia="zh-CN"/>
        </w:rPr>
        <w:t>质疑</w:t>
      </w:r>
      <w:bookmarkEnd w:id="79"/>
    </w:p>
    <w:p w14:paraId="42A16EB8">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2.3.1 供应商或潜在供应商对采购文件中存在的任何含糊、遗漏、相互矛盾之处，或对技术规格及其他条件不清楚，或采购文件具有不合理、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14:paraId="2633B87D">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rPr>
        <w:t>2.3.2 采购文件质疑、投诉的具体要求和流程详见</w:t>
      </w:r>
      <w:r>
        <w:rPr>
          <w:rFonts w:hint="eastAsia" w:ascii="宋体" w:hAnsi="宋体" w:cs="宋体"/>
          <w:color w:val="auto"/>
          <w:kern w:val="0"/>
          <w:szCs w:val="24"/>
          <w:highlight w:val="none"/>
          <w:lang w:val="en-US" w:eastAsia="zh-CN"/>
        </w:rPr>
        <w:t>供应商须知正文“7.2 采购活动的质疑投诉”。</w:t>
      </w:r>
    </w:p>
    <w:p w14:paraId="3EAE6157">
      <w:pPr>
        <w:pStyle w:val="7"/>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647" w:firstLineChars="200"/>
        <w:textAlignment w:val="auto"/>
        <w:outlineLvl w:val="1"/>
        <w:rPr>
          <w:rFonts w:hint="eastAsia" w:ascii="宋体" w:hAnsi="宋体" w:eastAsia="宋体" w:cs="宋体"/>
          <w:b/>
          <w:bCs/>
          <w:color w:val="auto"/>
          <w:spacing w:val="1"/>
          <w:kern w:val="0"/>
          <w:position w:val="-1"/>
          <w:sz w:val="32"/>
          <w:highlight w:val="none"/>
        </w:rPr>
      </w:pPr>
      <w:bookmarkStart w:id="80" w:name="_Toc885"/>
      <w:bookmarkStart w:id="81" w:name="_Toc4503"/>
      <w:bookmarkStart w:id="82" w:name="_Toc14084"/>
      <w:bookmarkStart w:id="83" w:name="_Toc4167"/>
      <w:bookmarkStart w:id="84" w:name="_Toc15331"/>
      <w:bookmarkStart w:id="85" w:name="_Toc3838"/>
      <w:r>
        <w:rPr>
          <w:rFonts w:hint="eastAsia" w:ascii="宋体" w:hAnsi="宋体" w:eastAsia="宋体" w:cs="宋体"/>
          <w:b/>
          <w:bCs/>
          <w:color w:val="auto"/>
          <w:spacing w:val="1"/>
          <w:kern w:val="0"/>
          <w:position w:val="-1"/>
          <w:sz w:val="32"/>
          <w:highlight w:val="none"/>
        </w:rPr>
        <w:t>3.响应文件</w:t>
      </w:r>
      <w:bookmarkEnd w:id="80"/>
      <w:bookmarkEnd w:id="81"/>
      <w:bookmarkEnd w:id="82"/>
      <w:bookmarkEnd w:id="83"/>
      <w:bookmarkEnd w:id="84"/>
      <w:bookmarkEnd w:id="85"/>
    </w:p>
    <w:p w14:paraId="38B381FD">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86" w:name="_Toc8167"/>
      <w:bookmarkStart w:id="87" w:name="_Toc2089"/>
      <w:r>
        <w:rPr>
          <w:rFonts w:hint="eastAsia" w:ascii="宋体" w:hAnsi="宋体" w:eastAsia="宋体" w:cs="宋体"/>
          <w:color w:val="auto"/>
          <w:spacing w:val="1"/>
          <w:kern w:val="0"/>
          <w:sz w:val="28"/>
          <w:highlight w:val="none"/>
        </w:rPr>
        <w:t>3.1 响应文件的组成</w:t>
      </w:r>
      <w:bookmarkEnd w:id="86"/>
      <w:bookmarkEnd w:id="87"/>
    </w:p>
    <w:p w14:paraId="6D11BBD5">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3.1.1 响应文件应按第七章“响应文件格式”进行编写，如有必要，可以增加附页，作为响应文件的组成部分。</w:t>
      </w:r>
    </w:p>
    <w:p w14:paraId="23D12F66">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88" w:name="_Toc26814"/>
      <w:bookmarkStart w:id="89" w:name="_Toc17294"/>
      <w:r>
        <w:rPr>
          <w:rFonts w:hint="eastAsia" w:ascii="宋体" w:hAnsi="宋体" w:eastAsia="宋体" w:cs="宋体"/>
          <w:color w:val="auto"/>
          <w:spacing w:val="1"/>
          <w:kern w:val="0"/>
          <w:sz w:val="28"/>
          <w:highlight w:val="none"/>
        </w:rPr>
        <w:t>3.2 投标报价</w:t>
      </w:r>
      <w:bookmarkEnd w:id="88"/>
      <w:bookmarkEnd w:id="89"/>
    </w:p>
    <w:p w14:paraId="7E22ECC6">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3.2.1 投标报价应包括国家规定的增值税税金，除</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另有规定外，增值税税金按一般计税方法计算。</w:t>
      </w:r>
    </w:p>
    <w:p w14:paraId="1A25BADC">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 xml:space="preserve">3.2.2 </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应充分了解该项目的总体情况以及影响投标报价的其他要素。</w:t>
      </w:r>
    </w:p>
    <w:p w14:paraId="327BAA42">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rPr>
        <w:t xml:space="preserve">3.2.3 </w:t>
      </w:r>
      <w:r>
        <w:rPr>
          <w:rFonts w:hint="eastAsia" w:ascii="宋体" w:hAnsi="宋体" w:cs="宋体"/>
          <w:color w:val="auto"/>
          <w:kern w:val="0"/>
          <w:szCs w:val="24"/>
          <w:highlight w:val="none"/>
          <w:lang w:eastAsia="zh-CN"/>
        </w:rPr>
        <w:t>投标文件报价出现前后不一致的，除招标文件另有规定外，按照下列规定修正：</w:t>
      </w:r>
    </w:p>
    <w:p w14:paraId="0D3D7895">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lang w:eastAsia="zh-CN"/>
        </w:rPr>
        <w:t>（一）投标文件中开标一览表（报价</w:t>
      </w:r>
      <w:r>
        <w:rPr>
          <w:rFonts w:hint="eastAsia" w:ascii="宋体" w:hAnsi="宋体" w:cs="宋体"/>
          <w:color w:val="auto"/>
          <w:kern w:val="0"/>
          <w:szCs w:val="24"/>
          <w:highlight w:val="none"/>
          <w:lang w:val="en-US" w:eastAsia="zh-CN"/>
        </w:rPr>
        <w:t>函</w:t>
      </w:r>
      <w:r>
        <w:rPr>
          <w:rFonts w:hint="eastAsia" w:ascii="宋体" w:hAnsi="宋体" w:cs="宋体"/>
          <w:color w:val="auto"/>
          <w:kern w:val="0"/>
          <w:szCs w:val="24"/>
          <w:highlight w:val="none"/>
          <w:lang w:eastAsia="zh-CN"/>
        </w:rPr>
        <w:t>）内容与投标文件中相应内容不一致的，以开标一览表（</w:t>
      </w:r>
      <w:r>
        <w:rPr>
          <w:rFonts w:hint="eastAsia" w:ascii="宋体" w:hAnsi="宋体" w:cs="宋体"/>
          <w:color w:val="auto"/>
          <w:kern w:val="0"/>
          <w:szCs w:val="24"/>
          <w:highlight w:val="none"/>
          <w:lang w:val="en-US" w:eastAsia="zh-CN"/>
        </w:rPr>
        <w:t>报价函</w:t>
      </w:r>
      <w:r>
        <w:rPr>
          <w:rFonts w:hint="eastAsia" w:ascii="宋体" w:hAnsi="宋体" w:cs="宋体"/>
          <w:color w:val="auto"/>
          <w:kern w:val="0"/>
          <w:szCs w:val="24"/>
          <w:highlight w:val="none"/>
          <w:lang w:eastAsia="zh-CN"/>
        </w:rPr>
        <w:t>）为准；</w:t>
      </w:r>
    </w:p>
    <w:p w14:paraId="5325C40E">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lang w:eastAsia="zh-CN"/>
        </w:rPr>
        <w:t>（二）大写金额和小写金额不一致的，以大写金额为准；</w:t>
      </w:r>
    </w:p>
    <w:p w14:paraId="2C6ABFB7">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lang w:eastAsia="zh-CN"/>
        </w:rPr>
        <w:t>（三）单价金额小数点或者百分比有明显错位的，以开标一览表的总价为准，并修改单价；</w:t>
      </w:r>
    </w:p>
    <w:p w14:paraId="264C8DBF">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lang w:eastAsia="zh-CN"/>
        </w:rPr>
        <w:t>（四）总价金额与按单价汇总金额不一致的，以单价金额计算结果为准。</w:t>
      </w:r>
    </w:p>
    <w:p w14:paraId="5E9A00CB">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green"/>
          <w:lang w:eastAsia="zh-CN"/>
        </w:rPr>
      </w:pPr>
      <w:r>
        <w:rPr>
          <w:rFonts w:hint="eastAsia" w:ascii="宋体" w:hAnsi="宋体" w:cs="宋体"/>
          <w:color w:val="auto"/>
          <w:kern w:val="0"/>
          <w:szCs w:val="24"/>
          <w:highlight w:val="none"/>
          <w:lang w:eastAsia="zh-CN"/>
        </w:rPr>
        <w:t>同时出现2种以上不一致的，按照前款规定的顺序修正。修正后的报价经供应商确认后产生约束力，供应商不确认的，其投标无效。</w:t>
      </w:r>
    </w:p>
    <w:p w14:paraId="56B42E35">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在投标截止时间前修改投标函中的投标报价总额，应同时修改响应文件“投标报价清单”中的相应报价。此修改须符合本章第 4.3 款的有关要求。</w:t>
      </w:r>
    </w:p>
    <w:p w14:paraId="663207F9">
      <w:pPr>
        <w:wordWrap w:val="0"/>
        <w:autoSpaceDE w:val="0"/>
        <w:autoSpaceDN w:val="0"/>
        <w:adjustRightInd w:val="0"/>
        <w:spacing w:line="360" w:lineRule="auto"/>
        <w:ind w:left="0" w:leftChars="0" w:right="0" w:firstLine="480" w:firstLineChars="2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3.2.4 采购人设有最高投标限价的，</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的投标报价不得超过最高投标限价，最高投标限价在</w:t>
      </w:r>
      <w:r>
        <w:rPr>
          <w:rFonts w:hint="eastAsia" w:ascii="宋体" w:hAnsi="宋体" w:eastAsia="宋体" w:cs="宋体"/>
          <w:color w:val="auto"/>
          <w:kern w:val="0"/>
          <w:szCs w:val="24"/>
          <w:highlight w:val="none"/>
          <w:lang w:eastAsia="zh-CN"/>
        </w:rPr>
        <w:t>供应商须知前附表</w:t>
      </w:r>
      <w:r>
        <w:rPr>
          <w:rFonts w:hint="eastAsia" w:ascii="宋体" w:hAnsi="宋体" w:eastAsia="宋体" w:cs="宋体"/>
          <w:color w:val="auto"/>
          <w:kern w:val="0"/>
          <w:szCs w:val="24"/>
          <w:highlight w:val="none"/>
        </w:rPr>
        <w:t>中载明。</w:t>
      </w:r>
    </w:p>
    <w:p w14:paraId="3DD66F10">
      <w:pPr>
        <w:pageBreakBefore w:val="0"/>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宋体" w:hAnsi="宋体" w:eastAsia="宋体" w:cs="宋体"/>
        </w:rPr>
      </w:pPr>
      <w:r>
        <w:rPr>
          <w:rFonts w:hint="eastAsia" w:ascii="宋体" w:hAnsi="宋体" w:eastAsia="宋体" w:cs="宋体"/>
        </w:rPr>
        <w:t>3.2.5 投标报价的其他要求见</w:t>
      </w:r>
      <w:r>
        <w:rPr>
          <w:rFonts w:hint="eastAsia" w:ascii="宋体" w:hAnsi="宋体" w:eastAsia="宋体" w:cs="宋体"/>
          <w:lang w:eastAsia="zh-CN"/>
        </w:rPr>
        <w:t>供应商须知前附表</w:t>
      </w:r>
      <w:r>
        <w:rPr>
          <w:rFonts w:hint="eastAsia" w:ascii="宋体" w:hAnsi="宋体" w:eastAsia="宋体" w:cs="宋体"/>
        </w:rPr>
        <w:t>。</w:t>
      </w:r>
    </w:p>
    <w:p w14:paraId="52030E7D">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90" w:name="_Toc19938"/>
      <w:bookmarkStart w:id="91" w:name="_Toc5161"/>
      <w:r>
        <w:rPr>
          <w:rFonts w:hint="eastAsia" w:ascii="宋体" w:hAnsi="宋体" w:eastAsia="宋体" w:cs="宋体"/>
          <w:color w:val="auto"/>
          <w:spacing w:val="1"/>
          <w:kern w:val="0"/>
          <w:sz w:val="28"/>
          <w:highlight w:val="none"/>
        </w:rPr>
        <w:t>3.3 投标有效期</w:t>
      </w:r>
      <w:bookmarkEnd w:id="90"/>
      <w:bookmarkEnd w:id="91"/>
    </w:p>
    <w:p w14:paraId="2E1C4266">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3.3.1 除</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另有规定外，投标有效期为90日。</w:t>
      </w:r>
    </w:p>
    <w:p w14:paraId="4C3F4C74">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3.3.2 在投标有效期内，</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撤销响应文件的，应承担采购文件和法律规定的责任。</w:t>
      </w:r>
    </w:p>
    <w:p w14:paraId="2340682C">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92" w:name="_Toc29589"/>
      <w:bookmarkStart w:id="93" w:name="_Toc16635"/>
      <w:r>
        <w:rPr>
          <w:rFonts w:hint="eastAsia" w:ascii="宋体" w:hAnsi="宋体" w:eastAsia="宋体" w:cs="宋体"/>
          <w:color w:val="auto"/>
          <w:spacing w:val="1"/>
          <w:kern w:val="0"/>
          <w:sz w:val="28"/>
          <w:highlight w:val="none"/>
        </w:rPr>
        <w:t>3.4 投标保证金</w:t>
      </w:r>
      <w:bookmarkEnd w:id="92"/>
      <w:bookmarkEnd w:id="93"/>
    </w:p>
    <w:p w14:paraId="5C939797">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 xml:space="preserve">3.4.1 </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在递交响应文件的同时，应按</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规定的金额、形式递交投标保证金，并作为其响应文件的组成部分。联合体投标的，其投标保证金可以由牵头人递交，并应符合</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的规定。</w:t>
      </w:r>
    </w:p>
    <w:p w14:paraId="2E93B7B6">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 xml:space="preserve">3.4.2 </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不按本章第3.4.1项要求提交投标保证金的，评标委员会将否决其投标。</w:t>
      </w:r>
    </w:p>
    <w:p w14:paraId="5E8B4851">
      <w:pPr>
        <w:wordWrap w:val="0"/>
        <w:autoSpaceDE w:val="0"/>
        <w:autoSpaceDN w:val="0"/>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3.4.3 投标保证金将由贵州省公共资源交易中心按照保证金管理规定退还</w:t>
      </w:r>
      <w:r>
        <w:rPr>
          <w:rFonts w:hint="eastAsia" w:ascii="宋体" w:hAnsi="宋体" w:cs="宋体"/>
          <w:color w:val="auto"/>
          <w:spacing w:val="-2"/>
          <w:kern w:val="0"/>
          <w:szCs w:val="24"/>
          <w:highlight w:val="none"/>
        </w:rPr>
        <w:t>。</w:t>
      </w:r>
    </w:p>
    <w:p w14:paraId="64A13802">
      <w:pPr>
        <w:wordWrap/>
        <w:autoSpaceDE/>
        <w:autoSpaceDN/>
        <w:adjustRightInd/>
        <w:spacing w:line="360" w:lineRule="auto"/>
        <w:ind w:left="0" w:leftChars="0" w:right="0" w:firstLine="480" w:firstLineChars="200"/>
        <w:jc w:val="left"/>
        <w:outlineLvl w:val="9"/>
        <w:rPr>
          <w:rFonts w:hint="eastAsia" w:ascii="宋体" w:hAnsi="宋体" w:eastAsia="宋体" w:cs="宋体"/>
        </w:rPr>
      </w:pPr>
      <w:r>
        <w:rPr>
          <w:rFonts w:hint="eastAsia" w:ascii="宋体" w:hAnsi="宋体" w:eastAsia="宋体" w:cs="宋体"/>
        </w:rPr>
        <w:t>3.4.4 有下列情形之一的，投标保证金将不予退还：</w:t>
      </w:r>
    </w:p>
    <w:p w14:paraId="03FD351B">
      <w:pPr>
        <w:wordWrap/>
        <w:autoSpaceDE/>
        <w:autoSpaceDN/>
        <w:adjustRightInd/>
        <w:spacing w:line="360" w:lineRule="auto"/>
        <w:ind w:left="0" w:leftChars="0" w:right="0" w:firstLine="480" w:firstLineChars="200"/>
        <w:jc w:val="left"/>
        <w:outlineLvl w:val="9"/>
        <w:rPr>
          <w:rFonts w:hint="eastAsia" w:ascii="宋体" w:hAnsi="宋体" w:eastAsia="宋体" w:cs="宋体"/>
        </w:rPr>
      </w:pPr>
      <w:r>
        <w:rPr>
          <w:rFonts w:hint="eastAsia" w:ascii="宋体" w:hAnsi="宋体" w:eastAsia="宋体" w:cs="宋体"/>
        </w:rPr>
        <w:t>（1）在投标有效期内</w:t>
      </w:r>
      <w:r>
        <w:rPr>
          <w:rFonts w:hint="eastAsia" w:ascii="宋体" w:hAnsi="宋体" w:eastAsia="宋体" w:cs="宋体"/>
          <w:lang w:eastAsia="zh-CN"/>
        </w:rPr>
        <w:t>供应商</w:t>
      </w:r>
      <w:r>
        <w:rPr>
          <w:rFonts w:hint="eastAsia" w:ascii="宋体" w:hAnsi="宋体" w:eastAsia="宋体" w:cs="宋体"/>
        </w:rPr>
        <w:t>撤销响应文件</w:t>
      </w:r>
      <w:r>
        <w:rPr>
          <w:rFonts w:hint="eastAsia" w:ascii="宋体" w:hAnsi="宋体" w:cs="宋体"/>
          <w:lang w:val="en-US" w:eastAsia="zh-CN"/>
        </w:rPr>
        <w:t>的</w:t>
      </w:r>
      <w:r>
        <w:rPr>
          <w:rFonts w:hint="eastAsia" w:ascii="宋体" w:hAnsi="宋体" w:eastAsia="宋体" w:cs="宋体"/>
        </w:rPr>
        <w:t>；</w:t>
      </w:r>
    </w:p>
    <w:p w14:paraId="4AD4A236">
      <w:pPr>
        <w:wordWrap/>
        <w:autoSpaceDE/>
        <w:autoSpaceDN/>
        <w:adjustRightInd/>
        <w:spacing w:line="360" w:lineRule="auto"/>
        <w:ind w:left="0" w:leftChars="0" w:right="0" w:firstLine="480" w:firstLineChars="200"/>
        <w:jc w:val="left"/>
        <w:rPr>
          <w:rFonts w:hint="eastAsia" w:ascii="宋体" w:hAnsi="宋体" w:eastAsia="宋体" w:cs="宋体"/>
        </w:rPr>
      </w:pPr>
      <w:r>
        <w:rPr>
          <w:rFonts w:hint="eastAsia" w:ascii="宋体" w:hAnsi="宋体" w:eastAsia="宋体" w:cs="宋体"/>
        </w:rPr>
        <w:t>（2）中标人在收到中标通知书后，无正当理由不与采购人订立合同，在签订合同时向采购人提出附加条件，或者不按照采购文件要求提交履约担保</w:t>
      </w:r>
      <w:r>
        <w:rPr>
          <w:rFonts w:hint="eastAsia" w:ascii="宋体" w:hAnsi="宋体" w:cs="宋体"/>
          <w:lang w:val="en-US" w:eastAsia="zh-CN"/>
        </w:rPr>
        <w:t>的</w:t>
      </w:r>
      <w:r>
        <w:rPr>
          <w:rFonts w:hint="eastAsia" w:ascii="宋体" w:hAnsi="宋体" w:eastAsia="宋体" w:cs="宋体"/>
        </w:rPr>
        <w:t>；</w:t>
      </w:r>
    </w:p>
    <w:p w14:paraId="1AD57068">
      <w:pPr>
        <w:wordWrap/>
        <w:autoSpaceDE/>
        <w:autoSpaceDN/>
        <w:adjustRightInd/>
        <w:spacing w:line="360" w:lineRule="auto"/>
        <w:ind w:left="0" w:leftChars="0" w:right="0" w:firstLine="480" w:firstLineChars="200"/>
        <w:jc w:val="left"/>
        <w:rPr>
          <w:rFonts w:hint="eastAsia" w:ascii="宋体" w:hAnsi="宋体" w:eastAsia="宋体" w:cs="宋体"/>
          <w:lang w:eastAsia="zh-CN"/>
        </w:rPr>
      </w:pPr>
      <w:r>
        <w:rPr>
          <w:rFonts w:hint="eastAsia" w:ascii="宋体" w:hAnsi="宋体" w:eastAsia="宋体" w:cs="宋体"/>
        </w:rPr>
        <w:t>（3）发生</w:t>
      </w:r>
      <w:r>
        <w:rPr>
          <w:rFonts w:hint="eastAsia" w:ascii="宋体" w:hAnsi="宋体" w:eastAsia="宋体" w:cs="宋体"/>
          <w:lang w:eastAsia="zh-CN"/>
        </w:rPr>
        <w:t>供应商须知前附表</w:t>
      </w:r>
      <w:r>
        <w:rPr>
          <w:rFonts w:hint="eastAsia" w:ascii="宋体" w:hAnsi="宋体" w:eastAsia="宋体" w:cs="宋体"/>
        </w:rPr>
        <w:t>规定的其他可以不予退还投标保证金的情形</w:t>
      </w:r>
      <w:r>
        <w:rPr>
          <w:rFonts w:hint="eastAsia" w:ascii="宋体" w:hAnsi="宋体" w:eastAsia="宋体" w:cs="宋体"/>
          <w:lang w:eastAsia="zh-CN"/>
        </w:rPr>
        <w:t>；</w:t>
      </w:r>
    </w:p>
    <w:p w14:paraId="66D4E1F7">
      <w:pPr>
        <w:wordWrap/>
        <w:autoSpaceDE/>
        <w:autoSpaceDN/>
        <w:adjustRightInd/>
        <w:spacing w:line="360" w:lineRule="auto"/>
        <w:ind w:left="0" w:leftChars="0" w:right="0" w:firstLine="480" w:firstLineChars="200"/>
        <w:jc w:val="left"/>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）法律法规及采购文件规定的其他情形。</w:t>
      </w:r>
    </w:p>
    <w:p w14:paraId="7DD9570D">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94" w:name="_Toc5572"/>
      <w:bookmarkStart w:id="95" w:name="_Toc6805"/>
      <w:r>
        <w:rPr>
          <w:rFonts w:hint="eastAsia" w:ascii="宋体" w:hAnsi="宋体" w:eastAsia="宋体" w:cs="宋体"/>
          <w:color w:val="auto"/>
          <w:spacing w:val="1"/>
          <w:kern w:val="0"/>
          <w:sz w:val="28"/>
          <w:highlight w:val="none"/>
        </w:rPr>
        <w:t>3.5 资格审查资料</w:t>
      </w:r>
      <w:bookmarkEnd w:id="94"/>
      <w:bookmarkEnd w:id="95"/>
    </w:p>
    <w:p w14:paraId="1F665ED7">
      <w:pPr>
        <w:pStyle w:val="13"/>
        <w:pageBreakBefore w:val="0"/>
        <w:kinsoku/>
        <w:overflowPunct/>
        <w:topLinePunct w:val="0"/>
        <w:bidi w:val="0"/>
        <w:snapToGrid/>
        <w:spacing w:after="0" w:line="360" w:lineRule="auto"/>
        <w:ind w:left="0" w:leftChars="0" w:right="0" w:firstLine="480" w:firstLineChars="200"/>
        <w:textAlignment w:val="auto"/>
        <w:rPr>
          <w:color w:val="auto"/>
          <w:highlight w:val="none"/>
        </w:rPr>
      </w:pPr>
      <w:r>
        <w:rPr>
          <w:color w:val="auto"/>
          <w:highlight w:val="none"/>
        </w:rPr>
        <w:t>见供应商须知前附表。</w:t>
      </w:r>
    </w:p>
    <w:p w14:paraId="67FDC90A">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96" w:name="_Toc4434"/>
      <w:bookmarkStart w:id="97" w:name="_Toc26057"/>
      <w:r>
        <w:rPr>
          <w:rFonts w:hint="eastAsia" w:ascii="宋体" w:hAnsi="宋体" w:eastAsia="宋体" w:cs="宋体"/>
          <w:color w:val="auto"/>
          <w:spacing w:val="1"/>
          <w:kern w:val="0"/>
          <w:sz w:val="28"/>
          <w:highlight w:val="none"/>
        </w:rPr>
        <w:t>3.6 备选投标方案</w:t>
      </w:r>
      <w:bookmarkEnd w:id="96"/>
      <w:bookmarkEnd w:id="97"/>
    </w:p>
    <w:p w14:paraId="1A08FDEE">
      <w:pPr>
        <w:bidi w:val="0"/>
        <w:spacing w:line="360" w:lineRule="auto"/>
        <w:rPr>
          <w:rFonts w:hint="eastAsia" w:ascii="宋体" w:hAnsi="宋体" w:eastAsia="宋体" w:cs="宋体"/>
        </w:rPr>
      </w:pPr>
      <w:r>
        <w:rPr>
          <w:rFonts w:hint="eastAsia" w:ascii="宋体" w:hAnsi="宋体" w:eastAsia="宋体" w:cs="宋体"/>
        </w:rPr>
        <w:t xml:space="preserve">3.6.1 </w:t>
      </w:r>
      <w:r>
        <w:rPr>
          <w:rFonts w:hint="eastAsia" w:ascii="宋体" w:hAnsi="宋体" w:eastAsia="宋体" w:cs="宋体"/>
          <w:lang w:eastAsia="zh-CN"/>
        </w:rPr>
        <w:t>供应商</w:t>
      </w:r>
      <w:r>
        <w:rPr>
          <w:rFonts w:hint="eastAsia" w:ascii="宋体" w:hAnsi="宋体" w:eastAsia="宋体" w:cs="宋体"/>
        </w:rPr>
        <w:t>不得递交备选投标方案，否则其投标将被否决。</w:t>
      </w:r>
    </w:p>
    <w:p w14:paraId="4E9A20C1">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98" w:name="_Toc27157"/>
      <w:bookmarkStart w:id="99" w:name="_Toc19978"/>
      <w:r>
        <w:rPr>
          <w:rFonts w:hint="eastAsia" w:ascii="宋体" w:hAnsi="宋体" w:eastAsia="宋体" w:cs="宋体"/>
          <w:color w:val="auto"/>
          <w:spacing w:val="1"/>
          <w:kern w:val="0"/>
          <w:sz w:val="28"/>
          <w:highlight w:val="none"/>
        </w:rPr>
        <w:t>3.7 响应文件的编制</w:t>
      </w:r>
      <w:bookmarkEnd w:id="98"/>
      <w:bookmarkEnd w:id="99"/>
    </w:p>
    <w:p w14:paraId="28B52C5E">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3.7.1 响应文件应按第七章“响应文件格式”进行编写，如有必要，可以增加附页，作为响应文件的组成部分。响应文件采用与公共资源交易平台兼容的投标文件制作软件制作</w:t>
      </w:r>
      <w:r>
        <w:rPr>
          <w:rFonts w:hint="eastAsia" w:ascii="宋体" w:hAnsi="宋体" w:cs="宋体"/>
          <w:color w:val="auto"/>
          <w:kern w:val="0"/>
          <w:szCs w:val="24"/>
          <w:highlight w:val="none"/>
          <w:lang w:eastAsia="zh-CN"/>
        </w:rPr>
        <w:t>。</w:t>
      </w:r>
    </w:p>
    <w:p w14:paraId="4D714643">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3.7.2 响应文件应当对采购文件有关交货安装期、投标有效期、技术性能指标、招标范围等实质性内容作出响应。响应文件在满足采购文件实质性要求的基础上，可以提出比采购文件要求更有利于采购人的承诺。</w:t>
      </w:r>
    </w:p>
    <w:p w14:paraId="223E9D96">
      <w:pPr>
        <w:wordWrap w:val="0"/>
        <w:autoSpaceDE w:val="0"/>
        <w:autoSpaceDN w:val="0"/>
        <w:adjustRightInd w:val="0"/>
        <w:spacing w:line="360" w:lineRule="auto"/>
        <w:ind w:left="0" w:leftChars="0" w:right="0" w:firstLine="480" w:firstLineChars="200"/>
        <w:jc w:val="left"/>
        <w:outlineLvl w:val="9"/>
        <w:rPr>
          <w:rFonts w:ascii="宋体" w:hAnsi="宋体" w:cs="宋体"/>
          <w:color w:val="auto"/>
          <w:kern w:val="0"/>
          <w:szCs w:val="24"/>
          <w:highlight w:val="none"/>
        </w:rPr>
      </w:pPr>
      <w:r>
        <w:rPr>
          <w:rFonts w:hint="eastAsia" w:ascii="宋体" w:hAnsi="宋体" w:cs="宋体"/>
          <w:color w:val="auto"/>
          <w:kern w:val="0"/>
          <w:szCs w:val="24"/>
          <w:highlight w:val="none"/>
        </w:rPr>
        <w:t>3.7.3</w:t>
      </w:r>
      <w:r>
        <w:rPr>
          <w:rFonts w:hint="eastAsia" w:ascii="宋体" w:hAnsi="宋体" w:cs="宋体"/>
          <w:color w:val="auto"/>
          <w:kern w:val="0"/>
          <w:szCs w:val="24"/>
          <w:highlight w:val="none"/>
          <w:lang w:val="en-US" w:eastAsia="zh-CN"/>
        </w:rPr>
        <w:t xml:space="preserve"> </w:t>
      </w:r>
      <w:r>
        <w:rPr>
          <w:rFonts w:hint="eastAsia" w:ascii="宋体" w:hAnsi="宋体" w:cs="宋体"/>
          <w:color w:val="auto"/>
          <w:kern w:val="0"/>
          <w:szCs w:val="24"/>
          <w:highlight w:val="none"/>
        </w:rPr>
        <w:t>响应文件</w:t>
      </w:r>
      <w:r>
        <w:rPr>
          <w:rFonts w:hint="eastAsia" w:ascii="宋体" w:hAnsi="宋体" w:cs="宋体"/>
          <w:color w:val="auto"/>
          <w:kern w:val="0"/>
          <w:szCs w:val="24"/>
          <w:highlight w:val="none"/>
          <w:lang w:val="en-US" w:eastAsia="zh-CN"/>
        </w:rPr>
        <w:t>签字或盖章</w:t>
      </w:r>
      <w:r>
        <w:rPr>
          <w:rFonts w:hint="eastAsia" w:ascii="宋体" w:hAnsi="宋体" w:cs="宋体"/>
          <w:color w:val="auto"/>
          <w:kern w:val="0"/>
          <w:szCs w:val="24"/>
          <w:highlight w:val="none"/>
        </w:rPr>
        <w:t>要求见</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w:t>
      </w:r>
    </w:p>
    <w:p w14:paraId="4FEF5C45">
      <w:pPr>
        <w:pStyle w:val="7"/>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647" w:firstLineChars="200"/>
        <w:textAlignment w:val="auto"/>
        <w:outlineLvl w:val="1"/>
        <w:rPr>
          <w:rFonts w:hint="eastAsia" w:ascii="宋体" w:hAnsi="宋体" w:eastAsia="宋体" w:cs="宋体"/>
          <w:b/>
          <w:bCs/>
          <w:color w:val="auto"/>
          <w:spacing w:val="1"/>
          <w:kern w:val="0"/>
          <w:position w:val="-1"/>
          <w:sz w:val="32"/>
          <w:highlight w:val="none"/>
        </w:rPr>
      </w:pPr>
      <w:bookmarkStart w:id="100" w:name="_Toc8617"/>
      <w:bookmarkStart w:id="101" w:name="_Toc26929"/>
      <w:bookmarkStart w:id="102" w:name="_Toc2956"/>
      <w:bookmarkStart w:id="103" w:name="_Toc460"/>
      <w:bookmarkStart w:id="104" w:name="_Toc18600"/>
      <w:bookmarkStart w:id="105" w:name="_Toc25138"/>
      <w:r>
        <w:rPr>
          <w:rFonts w:hint="eastAsia" w:ascii="宋体" w:hAnsi="宋体" w:eastAsia="宋体" w:cs="宋体"/>
          <w:b/>
          <w:bCs/>
          <w:color w:val="auto"/>
          <w:spacing w:val="1"/>
          <w:kern w:val="0"/>
          <w:position w:val="-1"/>
          <w:sz w:val="32"/>
          <w:highlight w:val="none"/>
        </w:rPr>
        <w:t>4. 投标</w:t>
      </w:r>
      <w:bookmarkEnd w:id="100"/>
      <w:bookmarkEnd w:id="101"/>
      <w:bookmarkEnd w:id="102"/>
      <w:bookmarkEnd w:id="103"/>
      <w:bookmarkEnd w:id="104"/>
      <w:bookmarkEnd w:id="105"/>
    </w:p>
    <w:p w14:paraId="5C2AB169">
      <w:pPr>
        <w:pStyle w:val="8"/>
        <w:pageBreakBefore w:val="0"/>
        <w:kinsoku/>
        <w:overflowPunct/>
        <w:topLinePunct w:val="0"/>
        <w:bidi w:val="0"/>
        <w:snapToGrid/>
        <w:spacing w:before="0" w:after="0" w:line="360" w:lineRule="auto"/>
        <w:ind w:left="0" w:leftChars="0" w:right="0" w:firstLine="566" w:firstLineChars="200"/>
        <w:textAlignment w:val="auto"/>
        <w:outlineLvl w:val="2"/>
        <w:rPr>
          <w:rFonts w:hint="eastAsia" w:ascii="宋体" w:hAnsi="宋体" w:cs="宋体"/>
          <w:color w:val="auto"/>
          <w:kern w:val="0"/>
          <w:sz w:val="28"/>
          <w:highlight w:val="none"/>
        </w:rPr>
      </w:pPr>
      <w:bookmarkStart w:id="106" w:name="_Toc2803"/>
      <w:bookmarkStart w:id="107" w:name="_Toc18859"/>
      <w:r>
        <w:rPr>
          <w:rFonts w:hint="eastAsia" w:ascii="宋体" w:hAnsi="宋体" w:eastAsia="宋体" w:cs="宋体"/>
          <w:color w:val="auto"/>
          <w:spacing w:val="1"/>
          <w:kern w:val="0"/>
          <w:sz w:val="28"/>
          <w:highlight w:val="none"/>
        </w:rPr>
        <w:t>4.1 响应文件的</w:t>
      </w:r>
      <w:r>
        <w:rPr>
          <w:rFonts w:hint="eastAsia" w:ascii="宋体" w:hAnsi="宋体" w:eastAsia="宋体" w:cs="宋体"/>
          <w:color w:val="auto"/>
          <w:spacing w:val="1"/>
          <w:kern w:val="0"/>
          <w:sz w:val="28"/>
          <w:highlight w:val="none"/>
          <w:lang w:val="en-US" w:eastAsia="zh-CN"/>
        </w:rPr>
        <w:t>加密</w:t>
      </w:r>
      <w:bookmarkEnd w:id="106"/>
      <w:bookmarkEnd w:id="107"/>
    </w:p>
    <w:p w14:paraId="213F5D7E">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响应文件</w:t>
      </w:r>
      <w:r>
        <w:rPr>
          <w:rFonts w:hint="eastAsia" w:ascii="宋体" w:hAnsi="宋体" w:cs="宋体"/>
          <w:color w:val="auto"/>
          <w:kern w:val="0"/>
          <w:szCs w:val="24"/>
          <w:highlight w:val="none"/>
          <w:lang w:val="en-US" w:eastAsia="zh-CN"/>
        </w:rPr>
        <w:t>的加密见</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w:t>
      </w:r>
    </w:p>
    <w:p w14:paraId="54608D94">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lang w:eastAsia="zh-CN"/>
        </w:rPr>
      </w:pPr>
      <w:bookmarkStart w:id="108" w:name="_Toc18099"/>
      <w:bookmarkStart w:id="109" w:name="_Toc10882"/>
      <w:r>
        <w:rPr>
          <w:rFonts w:hint="eastAsia" w:ascii="宋体" w:hAnsi="宋体" w:eastAsia="宋体" w:cs="宋体"/>
          <w:color w:val="auto"/>
          <w:spacing w:val="1"/>
          <w:kern w:val="0"/>
          <w:sz w:val="28"/>
          <w:highlight w:val="none"/>
        </w:rPr>
        <w:t>4.2 响应文件的</w:t>
      </w:r>
      <w:bookmarkEnd w:id="108"/>
      <w:r>
        <w:rPr>
          <w:rFonts w:hint="eastAsia" w:ascii="宋体" w:hAnsi="宋体" w:eastAsia="宋体" w:cs="宋体"/>
          <w:color w:val="auto"/>
          <w:spacing w:val="1"/>
          <w:kern w:val="0"/>
          <w:sz w:val="28"/>
          <w:highlight w:val="none"/>
          <w:lang w:val="en-US" w:eastAsia="zh-CN"/>
        </w:rPr>
        <w:t>上传</w:t>
      </w:r>
      <w:bookmarkEnd w:id="109"/>
    </w:p>
    <w:p w14:paraId="514413CD">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4.2.1 </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应在</w:t>
      </w:r>
      <w:r>
        <w:rPr>
          <w:rFonts w:hint="eastAsia" w:ascii="宋体" w:hAnsi="宋体" w:eastAsia="宋体" w:cs="宋体"/>
          <w:color w:val="auto"/>
          <w:kern w:val="0"/>
          <w:szCs w:val="24"/>
          <w:highlight w:val="none"/>
          <w:lang w:eastAsia="zh-CN"/>
        </w:rPr>
        <w:t>供应商须知前附表</w:t>
      </w:r>
      <w:r>
        <w:rPr>
          <w:rFonts w:hint="eastAsia" w:ascii="宋体" w:hAnsi="宋体" w:eastAsia="宋体" w:cs="宋体"/>
          <w:color w:val="auto"/>
          <w:kern w:val="0"/>
          <w:szCs w:val="24"/>
          <w:highlight w:val="none"/>
        </w:rPr>
        <w:t>规定的投标截止时间前</w:t>
      </w:r>
      <w:r>
        <w:rPr>
          <w:rFonts w:hint="eastAsia" w:ascii="宋体" w:hAnsi="宋体" w:eastAsia="宋体" w:cs="宋体"/>
          <w:color w:val="auto"/>
          <w:kern w:val="0"/>
          <w:szCs w:val="24"/>
          <w:highlight w:val="none"/>
          <w:lang w:val="en-US" w:eastAsia="zh-CN"/>
        </w:rPr>
        <w:t>上传</w:t>
      </w:r>
      <w:r>
        <w:rPr>
          <w:rFonts w:hint="eastAsia" w:ascii="宋体" w:hAnsi="宋体" w:eastAsia="宋体" w:cs="宋体"/>
          <w:color w:val="auto"/>
          <w:kern w:val="0"/>
          <w:szCs w:val="24"/>
          <w:highlight w:val="none"/>
        </w:rPr>
        <w:t>响应文件。</w:t>
      </w:r>
    </w:p>
    <w:p w14:paraId="08174C9A">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4.2.2 </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通过下载招标文件的电子招标投标交易平台（网址：见</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须知前附表）上传电子</w:t>
      </w:r>
      <w:r>
        <w:rPr>
          <w:rFonts w:hint="eastAsia" w:ascii="宋体" w:hAnsi="宋体" w:eastAsia="宋体" w:cs="宋体"/>
          <w:color w:val="auto"/>
          <w:kern w:val="0"/>
          <w:szCs w:val="24"/>
          <w:highlight w:val="none"/>
          <w:lang w:val="en-US" w:eastAsia="zh-CN"/>
        </w:rPr>
        <w:t>响应</w:t>
      </w:r>
      <w:r>
        <w:rPr>
          <w:rFonts w:hint="eastAsia" w:ascii="宋体" w:hAnsi="宋体" w:eastAsia="宋体" w:cs="宋体"/>
          <w:color w:val="auto"/>
          <w:kern w:val="0"/>
          <w:szCs w:val="24"/>
          <w:highlight w:val="none"/>
        </w:rPr>
        <w:t>文件。</w:t>
      </w:r>
    </w:p>
    <w:p w14:paraId="3BBB3A01">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4.2.3 </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完成电子</w:t>
      </w:r>
      <w:r>
        <w:rPr>
          <w:rFonts w:hint="eastAsia" w:ascii="宋体" w:hAnsi="宋体" w:eastAsia="宋体" w:cs="宋体"/>
          <w:color w:val="auto"/>
          <w:kern w:val="0"/>
          <w:szCs w:val="24"/>
          <w:highlight w:val="none"/>
          <w:lang w:val="en-US" w:eastAsia="zh-CN"/>
        </w:rPr>
        <w:t>响应</w:t>
      </w:r>
      <w:r>
        <w:rPr>
          <w:rFonts w:hint="eastAsia" w:ascii="宋体" w:hAnsi="宋体" w:eastAsia="宋体" w:cs="宋体"/>
          <w:color w:val="auto"/>
          <w:kern w:val="0"/>
          <w:szCs w:val="24"/>
          <w:highlight w:val="none"/>
        </w:rPr>
        <w:t>文件上传后，电子招标投标交易平台向</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发出上传回执凭证。上传时间以回执凭证载明的传输完成时间为准。</w:t>
      </w:r>
    </w:p>
    <w:p w14:paraId="6F2F23AD">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4.2.4 电子</w:t>
      </w:r>
      <w:r>
        <w:rPr>
          <w:rFonts w:hint="eastAsia" w:ascii="宋体" w:hAnsi="宋体" w:eastAsia="宋体" w:cs="宋体"/>
          <w:color w:val="auto"/>
          <w:kern w:val="0"/>
          <w:szCs w:val="24"/>
          <w:highlight w:val="none"/>
          <w:lang w:val="en-US" w:eastAsia="zh-CN"/>
        </w:rPr>
        <w:t>响应</w:t>
      </w:r>
      <w:r>
        <w:rPr>
          <w:rFonts w:hint="eastAsia" w:ascii="宋体" w:hAnsi="宋体" w:eastAsia="宋体" w:cs="宋体"/>
          <w:color w:val="auto"/>
          <w:kern w:val="0"/>
          <w:szCs w:val="24"/>
          <w:highlight w:val="none"/>
        </w:rPr>
        <w:t>文件的提交情形：见</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须知前附表。</w:t>
      </w:r>
    </w:p>
    <w:p w14:paraId="24D2A2EA">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110" w:name="_Toc30990"/>
      <w:bookmarkStart w:id="111" w:name="_Toc30091"/>
      <w:r>
        <w:rPr>
          <w:rFonts w:hint="eastAsia" w:ascii="宋体" w:hAnsi="宋体" w:eastAsia="宋体" w:cs="宋体"/>
          <w:color w:val="auto"/>
          <w:spacing w:val="1"/>
          <w:kern w:val="0"/>
          <w:sz w:val="28"/>
          <w:highlight w:val="none"/>
        </w:rPr>
        <w:t>4.3 响应文件的修改与撤回</w:t>
      </w:r>
      <w:bookmarkEnd w:id="110"/>
      <w:bookmarkEnd w:id="111"/>
    </w:p>
    <w:p w14:paraId="25D9919D">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4.3.1 在本章第4.2.1项规定的投标截止时间前，</w:t>
      </w:r>
      <w:r>
        <w:rPr>
          <w:rFonts w:hint="eastAsia" w:ascii="宋体" w:hAnsi="宋体" w:cs="宋体"/>
          <w:color w:val="auto"/>
          <w:kern w:val="0"/>
          <w:szCs w:val="24"/>
          <w:highlight w:val="none"/>
          <w:lang w:val="en-US" w:eastAsia="zh-CN"/>
        </w:rPr>
        <w:t>供应商</w:t>
      </w:r>
      <w:r>
        <w:rPr>
          <w:rFonts w:hint="eastAsia" w:ascii="宋体" w:hAnsi="宋体" w:cs="宋体"/>
          <w:color w:val="auto"/>
          <w:kern w:val="0"/>
          <w:szCs w:val="24"/>
          <w:highlight w:val="none"/>
        </w:rPr>
        <w:t>可以修改或撤回已</w:t>
      </w:r>
      <w:r>
        <w:rPr>
          <w:rFonts w:hint="eastAsia" w:ascii="宋体" w:hAnsi="宋体" w:cs="宋体"/>
          <w:color w:val="auto"/>
          <w:kern w:val="0"/>
          <w:szCs w:val="24"/>
          <w:highlight w:val="none"/>
          <w:lang w:val="en-US" w:eastAsia="zh-CN"/>
        </w:rPr>
        <w:t>上传</w:t>
      </w:r>
      <w:r>
        <w:rPr>
          <w:rFonts w:hint="eastAsia" w:ascii="宋体" w:hAnsi="宋体" w:cs="宋体"/>
          <w:color w:val="auto"/>
          <w:kern w:val="0"/>
          <w:szCs w:val="24"/>
          <w:highlight w:val="none"/>
        </w:rPr>
        <w:t>的响应文件。投标截止时间前未完成</w:t>
      </w:r>
      <w:r>
        <w:rPr>
          <w:rFonts w:hint="eastAsia" w:ascii="宋体" w:hAnsi="宋体" w:cs="宋体"/>
          <w:color w:val="auto"/>
          <w:kern w:val="0"/>
          <w:szCs w:val="24"/>
          <w:highlight w:val="none"/>
          <w:lang w:val="en-US" w:eastAsia="zh-CN"/>
        </w:rPr>
        <w:t>响应</w:t>
      </w:r>
      <w:r>
        <w:rPr>
          <w:rFonts w:hint="eastAsia" w:ascii="宋体" w:hAnsi="宋体" w:cs="宋体"/>
          <w:color w:val="auto"/>
          <w:kern w:val="0"/>
          <w:szCs w:val="24"/>
          <w:highlight w:val="none"/>
        </w:rPr>
        <w:t>文件传输的，视为撤回</w:t>
      </w:r>
      <w:r>
        <w:rPr>
          <w:rFonts w:hint="eastAsia" w:ascii="宋体" w:hAnsi="宋体" w:cs="宋体"/>
          <w:color w:val="auto"/>
          <w:kern w:val="0"/>
          <w:szCs w:val="24"/>
          <w:highlight w:val="none"/>
          <w:lang w:val="en-US" w:eastAsia="zh-CN"/>
        </w:rPr>
        <w:t>响应</w:t>
      </w:r>
      <w:r>
        <w:rPr>
          <w:rFonts w:hint="eastAsia" w:ascii="宋体" w:hAnsi="宋体" w:cs="宋体"/>
          <w:color w:val="auto"/>
          <w:kern w:val="0"/>
          <w:szCs w:val="24"/>
          <w:highlight w:val="none"/>
        </w:rPr>
        <w:t>文件。</w:t>
      </w:r>
    </w:p>
    <w:p w14:paraId="7CF7876D">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 xml:space="preserve">4.3.2 </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撤回响应文件的</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投标保证金将于撤回之日起5个工作日内退还。</w:t>
      </w:r>
    </w:p>
    <w:p w14:paraId="0F555810">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4.3.3 修改的内容为</w:t>
      </w:r>
      <w:r>
        <w:rPr>
          <w:rFonts w:hint="eastAsia" w:ascii="宋体" w:hAnsi="宋体" w:cs="宋体"/>
          <w:color w:val="auto"/>
          <w:kern w:val="0"/>
          <w:szCs w:val="24"/>
          <w:highlight w:val="none"/>
          <w:lang w:val="en-US" w:eastAsia="zh-CN"/>
        </w:rPr>
        <w:t>响应</w:t>
      </w:r>
      <w:r>
        <w:rPr>
          <w:rFonts w:hint="eastAsia" w:ascii="宋体" w:hAnsi="宋体" w:cs="宋体"/>
          <w:color w:val="auto"/>
          <w:kern w:val="0"/>
          <w:szCs w:val="24"/>
          <w:highlight w:val="none"/>
        </w:rPr>
        <w:t>文件的组成部分。修改的</w:t>
      </w:r>
      <w:r>
        <w:rPr>
          <w:rFonts w:hint="eastAsia" w:ascii="宋体" w:hAnsi="宋体" w:cs="宋体"/>
          <w:color w:val="auto"/>
          <w:kern w:val="0"/>
          <w:szCs w:val="24"/>
          <w:highlight w:val="none"/>
          <w:lang w:val="en-US" w:eastAsia="zh-CN"/>
        </w:rPr>
        <w:t>响应</w:t>
      </w:r>
      <w:r>
        <w:rPr>
          <w:rFonts w:hint="eastAsia" w:ascii="宋体" w:hAnsi="宋体" w:cs="宋体"/>
          <w:color w:val="auto"/>
          <w:kern w:val="0"/>
          <w:szCs w:val="24"/>
          <w:highlight w:val="none"/>
        </w:rPr>
        <w:t>文件应按照本章第3条、第4条规定进行制作、加密和上传，并标明“修改”字样。</w:t>
      </w:r>
    </w:p>
    <w:p w14:paraId="745615B9">
      <w:pPr>
        <w:pStyle w:val="7"/>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647" w:firstLineChars="200"/>
        <w:textAlignment w:val="auto"/>
        <w:outlineLvl w:val="1"/>
        <w:rPr>
          <w:rFonts w:hint="eastAsia" w:ascii="宋体" w:hAnsi="宋体" w:eastAsia="宋体" w:cs="宋体"/>
          <w:b/>
          <w:bCs/>
          <w:color w:val="auto"/>
          <w:spacing w:val="1"/>
          <w:kern w:val="0"/>
          <w:position w:val="-1"/>
          <w:sz w:val="32"/>
          <w:highlight w:val="none"/>
        </w:rPr>
      </w:pPr>
      <w:bookmarkStart w:id="112" w:name="_Toc26913"/>
      <w:bookmarkStart w:id="113" w:name="_Toc4693"/>
      <w:bookmarkStart w:id="114" w:name="_Toc10219"/>
      <w:bookmarkStart w:id="115" w:name="_Toc5126"/>
      <w:bookmarkStart w:id="116" w:name="_Toc754"/>
      <w:bookmarkStart w:id="117" w:name="_Toc9253"/>
      <w:r>
        <w:rPr>
          <w:rFonts w:hint="eastAsia" w:ascii="宋体" w:hAnsi="宋体" w:eastAsia="宋体" w:cs="宋体"/>
          <w:b/>
          <w:bCs/>
          <w:color w:val="auto"/>
          <w:spacing w:val="1"/>
          <w:kern w:val="0"/>
          <w:position w:val="-1"/>
          <w:sz w:val="32"/>
          <w:highlight w:val="none"/>
        </w:rPr>
        <w:t>5.开标</w:t>
      </w:r>
      <w:bookmarkEnd w:id="112"/>
      <w:bookmarkEnd w:id="113"/>
      <w:bookmarkEnd w:id="114"/>
      <w:bookmarkEnd w:id="115"/>
      <w:bookmarkEnd w:id="116"/>
      <w:bookmarkEnd w:id="117"/>
    </w:p>
    <w:p w14:paraId="3C53BB92">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118" w:name="_Toc24800"/>
      <w:bookmarkStart w:id="119" w:name="_Toc25728"/>
      <w:r>
        <w:rPr>
          <w:rFonts w:hint="eastAsia" w:ascii="宋体" w:hAnsi="宋体" w:eastAsia="宋体" w:cs="宋体"/>
          <w:color w:val="auto"/>
          <w:spacing w:val="1"/>
          <w:kern w:val="0"/>
          <w:sz w:val="28"/>
          <w:highlight w:val="none"/>
        </w:rPr>
        <w:t>5.1 开标时间和地点</w:t>
      </w:r>
      <w:bookmarkEnd w:id="118"/>
      <w:bookmarkEnd w:id="119"/>
    </w:p>
    <w:p w14:paraId="48837A78">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见</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w:t>
      </w:r>
    </w:p>
    <w:p w14:paraId="2B01422D">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120" w:name="_Toc10784"/>
      <w:bookmarkStart w:id="121" w:name="_Toc16981"/>
      <w:r>
        <w:rPr>
          <w:rFonts w:hint="eastAsia" w:ascii="宋体" w:hAnsi="宋体" w:eastAsia="宋体" w:cs="宋体"/>
          <w:color w:val="auto"/>
          <w:spacing w:val="1"/>
          <w:kern w:val="0"/>
          <w:sz w:val="28"/>
          <w:highlight w:val="none"/>
        </w:rPr>
        <w:t>5.2 开标程序</w:t>
      </w:r>
      <w:bookmarkEnd w:id="120"/>
      <w:bookmarkEnd w:id="121"/>
    </w:p>
    <w:p w14:paraId="45C222BF">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见供应商须知前附表。</w:t>
      </w:r>
    </w:p>
    <w:p w14:paraId="19E3F20D">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122" w:name="_Toc25531"/>
      <w:bookmarkStart w:id="123" w:name="_Toc521"/>
      <w:r>
        <w:rPr>
          <w:rFonts w:hint="eastAsia" w:ascii="宋体" w:hAnsi="宋体" w:eastAsia="宋体" w:cs="宋体"/>
          <w:color w:val="auto"/>
          <w:spacing w:val="1"/>
          <w:kern w:val="0"/>
          <w:sz w:val="28"/>
          <w:highlight w:val="none"/>
        </w:rPr>
        <w:t>5.3 开标异议</w:t>
      </w:r>
      <w:bookmarkEnd w:id="122"/>
      <w:bookmarkEnd w:id="123"/>
    </w:p>
    <w:p w14:paraId="07824AA7">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 w:val="14"/>
          <w:szCs w:val="14"/>
          <w:highlight w:val="none"/>
        </w:rPr>
      </w:pPr>
      <w:r>
        <w:rPr>
          <w:rFonts w:hint="eastAsia" w:ascii="宋体" w:hAnsi="宋体" w:cs="宋体"/>
          <w:color w:val="auto"/>
          <w:kern w:val="0"/>
          <w:szCs w:val="24"/>
          <w:highlight w:val="none"/>
          <w:lang w:val="en-US" w:eastAsia="zh-CN"/>
        </w:rPr>
        <w:t>供应商</w:t>
      </w:r>
      <w:r>
        <w:rPr>
          <w:rFonts w:hint="eastAsia" w:ascii="宋体" w:hAnsi="宋体" w:cs="宋体"/>
          <w:color w:val="auto"/>
          <w:kern w:val="0"/>
          <w:szCs w:val="24"/>
          <w:highlight w:val="none"/>
        </w:rPr>
        <w:t>对开标有异议的，应当</w:t>
      </w:r>
      <w:r>
        <w:rPr>
          <w:rFonts w:hint="eastAsia" w:ascii="宋体" w:hAnsi="宋体" w:cs="宋体"/>
          <w:color w:val="auto"/>
          <w:kern w:val="0"/>
          <w:szCs w:val="24"/>
          <w:highlight w:val="none"/>
          <w:lang w:val="en-US" w:eastAsia="zh-CN"/>
        </w:rPr>
        <w:t>线上</w:t>
      </w:r>
      <w:r>
        <w:rPr>
          <w:rFonts w:hint="eastAsia" w:ascii="宋体" w:hAnsi="宋体" w:cs="宋体"/>
          <w:color w:val="auto"/>
          <w:kern w:val="0"/>
          <w:szCs w:val="24"/>
          <w:highlight w:val="none"/>
        </w:rPr>
        <w:t>提出，</w:t>
      </w:r>
      <w:r>
        <w:rPr>
          <w:rFonts w:hint="eastAsia" w:ascii="宋体" w:hAnsi="宋体" w:cs="宋体"/>
          <w:color w:val="auto"/>
          <w:kern w:val="0"/>
          <w:szCs w:val="24"/>
          <w:highlight w:val="none"/>
          <w:lang w:val="en-US" w:eastAsia="zh-CN"/>
        </w:rPr>
        <w:t>采购人即时作出答复，</w:t>
      </w:r>
      <w:r>
        <w:rPr>
          <w:rFonts w:hint="eastAsia" w:ascii="宋体" w:hAnsi="宋体" w:cs="宋体"/>
          <w:color w:val="auto"/>
          <w:kern w:val="0"/>
          <w:szCs w:val="24"/>
          <w:highlight w:val="none"/>
        </w:rPr>
        <w:t>并制作记录。</w:t>
      </w:r>
    </w:p>
    <w:p w14:paraId="71FAE3DE">
      <w:pPr>
        <w:pStyle w:val="7"/>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647" w:firstLineChars="200"/>
        <w:textAlignment w:val="auto"/>
        <w:outlineLvl w:val="1"/>
        <w:rPr>
          <w:rFonts w:hint="eastAsia" w:ascii="宋体" w:hAnsi="宋体" w:eastAsia="宋体" w:cs="宋体"/>
          <w:b/>
          <w:bCs/>
          <w:color w:val="auto"/>
          <w:spacing w:val="1"/>
          <w:kern w:val="0"/>
          <w:position w:val="-1"/>
          <w:sz w:val="32"/>
          <w:highlight w:val="none"/>
        </w:rPr>
      </w:pPr>
      <w:bookmarkStart w:id="124" w:name="_Toc1524"/>
      <w:bookmarkStart w:id="125" w:name="_Toc31683"/>
      <w:bookmarkStart w:id="126" w:name="_Toc29565"/>
      <w:bookmarkStart w:id="127" w:name="_Toc14624"/>
      <w:bookmarkStart w:id="128" w:name="_Toc15236"/>
      <w:bookmarkStart w:id="129" w:name="_Toc25723"/>
      <w:r>
        <w:rPr>
          <w:rFonts w:hint="eastAsia" w:ascii="宋体" w:hAnsi="宋体" w:eastAsia="宋体" w:cs="宋体"/>
          <w:b/>
          <w:bCs/>
          <w:color w:val="auto"/>
          <w:spacing w:val="1"/>
          <w:kern w:val="0"/>
          <w:position w:val="-1"/>
          <w:sz w:val="32"/>
          <w:highlight w:val="none"/>
        </w:rPr>
        <w:t>6. 评标</w:t>
      </w:r>
      <w:bookmarkEnd w:id="124"/>
      <w:bookmarkEnd w:id="125"/>
      <w:bookmarkEnd w:id="126"/>
      <w:bookmarkEnd w:id="127"/>
      <w:bookmarkEnd w:id="128"/>
      <w:bookmarkEnd w:id="129"/>
    </w:p>
    <w:p w14:paraId="072494A8">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130" w:name="_Toc22720"/>
      <w:bookmarkStart w:id="131" w:name="_Toc5708"/>
      <w:r>
        <w:rPr>
          <w:rFonts w:hint="eastAsia" w:ascii="宋体" w:hAnsi="宋体" w:eastAsia="宋体" w:cs="宋体"/>
          <w:color w:val="auto"/>
          <w:spacing w:val="1"/>
          <w:kern w:val="0"/>
          <w:sz w:val="28"/>
          <w:highlight w:val="none"/>
        </w:rPr>
        <w:t>6.1 评标委员会</w:t>
      </w:r>
      <w:bookmarkEnd w:id="130"/>
      <w:bookmarkEnd w:id="131"/>
    </w:p>
    <w:p w14:paraId="26663ABA">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6.1.1 评标委员会成员由采购人代表和有关技术、经济等方面的专家组成，成员人数应当为5人以上单数，其中技术、经济等方面的专家不少于成员总数的三分之二。评标委员会成员人数为单数。评标委员会遵循公平公正、科学择优、经济有效的原则，按照评标程序，依法依规，根据采购文件所列评标标准，独立、认真、负责地开展评审工作，提出评审意见，并对自己的评审意见承担责任。</w:t>
      </w:r>
    </w:p>
    <w:p w14:paraId="7EC8BA2B">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6.1.</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 xml:space="preserve"> </w:t>
      </w:r>
      <w:r>
        <w:rPr>
          <w:rFonts w:hint="eastAsia" w:ascii="宋体" w:hAnsi="宋体" w:cs="宋体"/>
          <w:color w:val="auto"/>
          <w:kern w:val="0"/>
          <w:szCs w:val="24"/>
          <w:highlight w:val="none"/>
          <w:lang w:val="en-US" w:eastAsia="zh-CN"/>
        </w:rPr>
        <w:t>评标委员会</w:t>
      </w:r>
      <w:r>
        <w:rPr>
          <w:rFonts w:hint="eastAsia" w:ascii="宋体" w:hAnsi="宋体" w:cs="宋体"/>
          <w:color w:val="auto"/>
          <w:kern w:val="0"/>
          <w:szCs w:val="24"/>
          <w:highlight w:val="none"/>
        </w:rPr>
        <w:t>享有的权利：</w:t>
      </w:r>
    </w:p>
    <w:p w14:paraId="0759F2BA">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1．对政府采购制度及相关情况的知情权；</w:t>
      </w:r>
    </w:p>
    <w:p w14:paraId="07B35EEF">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2．对供应商所供货物和服务质量的评审权；</w:t>
      </w:r>
    </w:p>
    <w:p w14:paraId="3570B058">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3．推荐中标候选供应商的表决权；</w:t>
      </w:r>
    </w:p>
    <w:p w14:paraId="38577CBB">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4．按规定获得相应的评审劳务报酬；</w:t>
      </w:r>
    </w:p>
    <w:p w14:paraId="3D555A24">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5．法律、法规和规章规定的其他权利。</w:t>
      </w:r>
    </w:p>
    <w:p w14:paraId="0EF71893">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Cs w:val="24"/>
          <w:highlight w:val="none"/>
          <w:lang w:val="en-US" w:eastAsia="zh-CN"/>
        </w:rPr>
      </w:pPr>
      <w:bookmarkStart w:id="132" w:name="_Toc18868"/>
      <w:r>
        <w:rPr>
          <w:rFonts w:hint="eastAsia" w:ascii="宋体" w:hAnsi="宋体" w:eastAsia="宋体" w:cs="宋体"/>
          <w:color w:val="auto"/>
          <w:kern w:val="0"/>
          <w:szCs w:val="24"/>
          <w:highlight w:val="none"/>
          <w:lang w:val="en-US" w:eastAsia="zh-CN"/>
        </w:rPr>
        <w:t>6.1.3 评标委员会承担的义务：</w:t>
      </w:r>
    </w:p>
    <w:p w14:paraId="2167DF2E">
      <w:pPr>
        <w:wordWrap w:val="0"/>
        <w:autoSpaceDE w:val="0"/>
        <w:autoSpaceDN w:val="0"/>
        <w:adjustRightInd w:val="0"/>
        <w:spacing w:line="360" w:lineRule="auto"/>
        <w:ind w:left="0" w:leftChars="0" w:right="0" w:firstLine="480" w:firstLineChars="200"/>
        <w:jc w:val="left"/>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1．为政府采购工作提供科学合理、经济有效的评审意见；</w:t>
      </w:r>
    </w:p>
    <w:p w14:paraId="0445A405">
      <w:pPr>
        <w:wordWrap w:val="0"/>
        <w:autoSpaceDE w:val="0"/>
        <w:autoSpaceDN w:val="0"/>
        <w:adjustRightInd w:val="0"/>
        <w:spacing w:line="360" w:lineRule="auto"/>
        <w:ind w:left="0" w:leftChars="0" w:right="0" w:firstLine="480" w:firstLineChars="200"/>
        <w:jc w:val="left"/>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2．严格遵守政府采购评审工作纪律，不得向外界泄露评审情况；</w:t>
      </w:r>
    </w:p>
    <w:p w14:paraId="4C5FA584">
      <w:pPr>
        <w:wordWrap w:val="0"/>
        <w:autoSpaceDE w:val="0"/>
        <w:autoSpaceDN w:val="0"/>
        <w:adjustRightInd w:val="0"/>
        <w:spacing w:line="360" w:lineRule="auto"/>
        <w:ind w:left="0" w:leftChars="0" w:right="0" w:firstLine="480" w:firstLineChars="200"/>
        <w:jc w:val="left"/>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3．发现供应商在政府采购活动中有不正当竞争或恶意串通等违规行为，应及时向政府采购评审工作的组织者或财政部门报告并加以制止；</w:t>
      </w:r>
    </w:p>
    <w:p w14:paraId="1E6B5AC2">
      <w:pPr>
        <w:wordWrap w:val="0"/>
        <w:autoSpaceDE w:val="0"/>
        <w:autoSpaceDN w:val="0"/>
        <w:adjustRightInd w:val="0"/>
        <w:spacing w:line="360" w:lineRule="auto"/>
        <w:ind w:left="0" w:leftChars="0" w:right="0" w:firstLine="480" w:firstLineChars="200"/>
        <w:jc w:val="left"/>
        <w:rPr>
          <w:rFonts w:hint="eastAsia" w:ascii="宋体" w:hAnsi="宋体" w:eastAsia="宋体" w:cs="宋体"/>
          <w:b w:val="0"/>
          <w:bCs w:val="0"/>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4．解答有关方面对政府采购评审工作中有关问题的咨询或质疑；</w:t>
      </w:r>
    </w:p>
    <w:p w14:paraId="5925DC25">
      <w:pPr>
        <w:wordWrap w:val="0"/>
        <w:autoSpaceDE w:val="0"/>
        <w:autoSpaceDN w:val="0"/>
        <w:adjustRightInd w:val="0"/>
        <w:spacing w:line="360" w:lineRule="auto"/>
        <w:ind w:left="0" w:leftChars="0" w:right="0" w:firstLine="480" w:firstLineChars="200"/>
        <w:jc w:val="left"/>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rPr>
        <w:t>5．法律、法规和规章规定的其他义务。</w:t>
      </w:r>
    </w:p>
    <w:p w14:paraId="62B2E152">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133" w:name="_Toc19266"/>
      <w:r>
        <w:rPr>
          <w:rFonts w:hint="eastAsia" w:ascii="宋体" w:hAnsi="宋体" w:eastAsia="宋体" w:cs="宋体"/>
          <w:color w:val="auto"/>
          <w:spacing w:val="1"/>
          <w:kern w:val="0"/>
          <w:sz w:val="28"/>
          <w:highlight w:val="none"/>
        </w:rPr>
        <w:t>6.2 评标原则</w:t>
      </w:r>
      <w:bookmarkEnd w:id="132"/>
      <w:bookmarkEnd w:id="133"/>
    </w:p>
    <w:p w14:paraId="765EDCE7">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评标活动遵循公平、公正、科学和择优的原则。</w:t>
      </w:r>
    </w:p>
    <w:p w14:paraId="304BC8A6">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lang w:val="en-US" w:eastAsia="zh-CN"/>
        </w:rPr>
      </w:pPr>
      <w:bookmarkStart w:id="134" w:name="_Toc27603"/>
      <w:bookmarkStart w:id="135" w:name="_Toc22882"/>
      <w:r>
        <w:rPr>
          <w:rFonts w:hint="eastAsia" w:ascii="宋体" w:hAnsi="宋体" w:eastAsia="宋体" w:cs="宋体"/>
          <w:color w:val="auto"/>
          <w:spacing w:val="1"/>
          <w:kern w:val="0"/>
          <w:sz w:val="28"/>
          <w:highlight w:val="none"/>
        </w:rPr>
        <w:t>6.3 评标</w:t>
      </w:r>
      <w:bookmarkEnd w:id="134"/>
      <w:r>
        <w:rPr>
          <w:rFonts w:hint="eastAsia" w:ascii="宋体" w:hAnsi="宋体" w:eastAsia="宋体" w:cs="宋体"/>
          <w:color w:val="auto"/>
          <w:spacing w:val="1"/>
          <w:kern w:val="0"/>
          <w:sz w:val="28"/>
          <w:highlight w:val="none"/>
          <w:lang w:val="en-US" w:eastAsia="zh-CN"/>
        </w:rPr>
        <w:t>程序</w:t>
      </w:r>
      <w:bookmarkEnd w:id="135"/>
    </w:p>
    <w:p w14:paraId="4701551E">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评标委员会推选出一名评标组长，由评标组长按照以下流程组织评标：</w:t>
      </w:r>
    </w:p>
    <w:p w14:paraId="6C3D5C3C">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6.3.1符合性审查</w:t>
      </w:r>
    </w:p>
    <w:p w14:paraId="652A14C0">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评标委员会依照《符合性审查表》所列内容对供应商进行符合性审查，审查通过的供应商进入评分环节。未通过符合性审查的投标文件不参与评分和中标候选人推荐。通过初步审查的供应商不足三家的，本项目作废标处理，评标工作结束。</w:t>
      </w:r>
    </w:p>
    <w:p w14:paraId="388AC550">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商务、技术实质性检查：评标委员会审查投标文件是否对采购文件作了实质性响应，即投标文件是否满足或响应采购文件技术、商务方面的要求。技术符合性：投标产品的技术成熟性、适用性、性能、参数和规格等满足采购文件要求，无实质性负偏离、反对、设定条件或提出保留；商务符合性：质保、售后服务、业绩、交货期、投标有效期、付款条件等符合采购文件要求；不低于成本报价，不高于采购预算价；投标文件的组成、投标文件的完整性和有效性等符合采购文件规定，无实质性负偏离、反对、设定条件或提出保留。</w:t>
      </w:r>
    </w:p>
    <w:p w14:paraId="0518BCFE">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无效标检查：依照本采购文件无效标条款规定审查供应商是否为有效投标。</w:t>
      </w:r>
    </w:p>
    <w:p w14:paraId="550586AB">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6.3.2比较与评价</w:t>
      </w:r>
    </w:p>
    <w:p w14:paraId="1B9D6BFE">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评标专家按采购文件中规定的评标方法和标准，对资格性检查和符合性检查合格的投标文件进行商务和技术评估，综合比较与评价。</w:t>
      </w:r>
    </w:p>
    <w:p w14:paraId="7EC19D3C">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6.3.3专家评分</w:t>
      </w:r>
    </w:p>
    <w:p w14:paraId="2B2E29A8">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14:paraId="0A80368A">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6.3.4评分汇总</w:t>
      </w:r>
    </w:p>
    <w:p w14:paraId="6AE96C0F">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14:paraId="68662667">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6.3.5评审复核</w:t>
      </w:r>
    </w:p>
    <w:p w14:paraId="6DE38B38">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评标委员会对评审过程和评审结果进行复核。评标委员会可对评审过程和结果中存在的遗漏或偏差进行修正，完成复核后，确定评标结果及推荐排序。</w:t>
      </w:r>
    </w:p>
    <w:p w14:paraId="774DA437">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6.3.6评标报告</w:t>
      </w:r>
    </w:p>
    <w:p w14:paraId="3CDE9F42">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评标组长根据评分汇总情况及排序情况，主持编写评标报告。评标报告按规定需涵盖公告发布情况、开评标情况、推荐排序及有关需要说明的情况等政府采购法规规定的内容。评标委员会成员须在评标报告上签字确认。</w:t>
      </w:r>
    </w:p>
    <w:p w14:paraId="0F5A6537">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6.3.7评标结束</w:t>
      </w:r>
    </w:p>
    <w:p w14:paraId="0068488D">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评标委员会出具评标报告并复核无误后，由评标组长宣布评标工作结束。待代理机构工作人员收理好评标资料，并发放评审费用后评标专家方可离开评标区。评标过程中评标专家不得擅自离开评标区或进入其他评标室。</w:t>
      </w:r>
    </w:p>
    <w:p w14:paraId="05977EAC">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注：</w:t>
      </w:r>
    </w:p>
    <w:p w14:paraId="0D268185">
      <w:pPr>
        <w:wordWrap w:val="0"/>
        <w:autoSpaceDE/>
        <w:autoSpaceDN/>
        <w:adjustRightInd w:val="0"/>
        <w:spacing w:line="360" w:lineRule="auto"/>
        <w:ind w:left="0" w:leftChars="0" w:right="0" w:firstLine="482" w:firstLineChars="200"/>
        <w:jc w:val="left"/>
        <w:rPr>
          <w:rFonts w:hint="eastAsia" w:ascii="宋体" w:hAnsi="宋体" w:cs="宋体"/>
          <w:b/>
          <w:bCs/>
          <w:color w:val="auto"/>
          <w:kern w:val="0"/>
          <w:szCs w:val="24"/>
          <w:highlight w:val="none"/>
        </w:rPr>
      </w:pPr>
      <w:r>
        <w:rPr>
          <w:rFonts w:hint="eastAsia" w:ascii="宋体" w:hAnsi="宋体" w:cs="宋体"/>
          <w:b/>
          <w:bCs/>
          <w:color w:val="auto"/>
          <w:kern w:val="0"/>
          <w:szCs w:val="24"/>
          <w:highlight w:val="none"/>
        </w:rPr>
        <w:t>（1）当初步审查结果确定有效供应商不足三家，或出现影响采购公正的违法违规行为，或供应商的报价均超过了采购预算采购人不能支付，或因重大变故采购任务取消的，或采购文件存在重大歧义、重大缺陷导致评审工作无法进行时，或采购文件内容违反国家有关规定的，评标程序终止。</w:t>
      </w:r>
    </w:p>
    <w:p w14:paraId="3A4A91AC">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（2）投标文件的评审和比较、中标候选人的推荐以及与评标有关的其他情况，评标委员会成员、采购人和采购代理机构等人员均不得泄露。</w:t>
      </w:r>
    </w:p>
    <w:p w14:paraId="697F7E03">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（3）开标、评标过程由贵州省公共资源交易中心全程同步录音录像，相关录音录像资料由贵州省公共资源交易中心存档，以便为财政、纪检监察等有关部门处理项目相关事宜提供资料。</w:t>
      </w:r>
    </w:p>
    <w:p w14:paraId="6883C6D0">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（4）演示：如项目有演示需求的，由采购代理机构工作人员组织。</w:t>
      </w:r>
    </w:p>
    <w:p w14:paraId="0E4669F1">
      <w:pPr>
        <w:wordWrap w:val="0"/>
        <w:autoSpaceDE/>
        <w:autoSpaceDN/>
        <w:adjustRightInd w:val="0"/>
        <w:spacing w:line="360" w:lineRule="auto"/>
        <w:ind w:left="0" w:leftChars="0" w:right="0" w:firstLine="480" w:firstLineChars="200"/>
        <w:jc w:val="left"/>
        <w:rPr>
          <w:rFonts w:hint="eastAsia" w:ascii="宋体" w:hAnsi="宋体" w:cs="宋体"/>
          <w:color w:val="auto"/>
          <w:kern w:val="0"/>
          <w:szCs w:val="24"/>
          <w:highlight w:val="none"/>
        </w:rPr>
      </w:pPr>
      <w:r>
        <w:rPr>
          <w:rFonts w:hint="eastAsia" w:ascii="宋体" w:hAnsi="宋体" w:cs="宋体"/>
          <w:color w:val="auto"/>
          <w:kern w:val="0"/>
          <w:szCs w:val="24"/>
          <w:highlight w:val="none"/>
        </w:rPr>
        <w:t>（5）评标过程中，如需出具统一意见但评标专家意见不一致的，按照少数服从多数的原则形成决议。</w:t>
      </w:r>
    </w:p>
    <w:p w14:paraId="3BE48E8E">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rPr>
      </w:pPr>
      <w:bookmarkStart w:id="136" w:name="_Toc14313"/>
      <w:r>
        <w:rPr>
          <w:rFonts w:hint="eastAsia" w:ascii="宋体" w:hAnsi="宋体" w:eastAsia="宋体" w:cs="宋体"/>
          <w:color w:val="auto"/>
          <w:spacing w:val="1"/>
          <w:kern w:val="0"/>
          <w:sz w:val="28"/>
          <w:highlight w:val="none"/>
        </w:rPr>
        <w:t>6.4询标与澄清</w:t>
      </w:r>
      <w:bookmarkEnd w:id="136"/>
    </w:p>
    <w:p w14:paraId="3CA77A42">
      <w:pPr>
        <w:wordWrap w:val="0"/>
        <w:autoSpaceDE/>
        <w:autoSpaceDN/>
        <w:adjustRightInd w:val="0"/>
        <w:spacing w:line="360" w:lineRule="auto"/>
        <w:ind w:left="0" w:leftChars="0" w:right="0" w:firstLine="480" w:firstLineChars="200"/>
        <w:jc w:val="left"/>
        <w:rPr>
          <w:rFonts w:hint="eastAsia" w:ascii="宋体" w:hAnsi="宋体" w:eastAsia="宋体" w:cs="宋体"/>
          <w:i w:val="0"/>
          <w:iCs w:val="0"/>
          <w:caps w:val="0"/>
          <w:color w:val="auto"/>
          <w:spacing w:val="0"/>
          <w:sz w:val="24"/>
          <w:szCs w:val="24"/>
        </w:rPr>
      </w:pPr>
      <w:r>
        <w:rPr>
          <w:rFonts w:hint="eastAsia" w:ascii="宋体" w:hAnsi="宋体" w:cs="宋体"/>
          <w:color w:val="auto"/>
          <w:kern w:val="0"/>
          <w:szCs w:val="24"/>
          <w:highlight w:val="none"/>
        </w:rPr>
        <w:t>6.4.1评标过程中，</w:t>
      </w:r>
      <w:r>
        <w:rPr>
          <w:rFonts w:hint="eastAsia" w:ascii="宋体" w:hAnsi="宋体" w:eastAsia="宋体" w:cs="宋体"/>
          <w:i w:val="0"/>
          <w:iCs w:val="0"/>
          <w:caps w:val="0"/>
          <w:color w:val="auto"/>
          <w:spacing w:val="0"/>
          <w:sz w:val="24"/>
          <w:szCs w:val="24"/>
          <w:shd w:val="clear" w:color="auto" w:fill="FFFFFF"/>
        </w:rPr>
        <w:t>对于投标文件中含义不明确、同类问题表述不一致或者有明显文字和计算错误的内容，评标委员会应当要求</w:t>
      </w:r>
      <w:r>
        <w:rPr>
          <w:rFonts w:hint="eastAsia" w:ascii="宋体" w:hAnsi="宋体" w:eastAsia="宋体" w:cs="宋体"/>
          <w:i w:val="0"/>
          <w:iCs w:val="0"/>
          <w:caps w:val="0"/>
          <w:color w:val="auto"/>
          <w:spacing w:val="0"/>
          <w:sz w:val="24"/>
          <w:szCs w:val="24"/>
          <w:shd w:val="clear" w:color="auto" w:fill="FFFFFF"/>
          <w:lang w:val="en-US" w:eastAsia="zh-CN"/>
        </w:rPr>
        <w:t>供应商</w:t>
      </w:r>
      <w:r>
        <w:rPr>
          <w:rFonts w:hint="eastAsia" w:ascii="宋体" w:hAnsi="宋体" w:eastAsia="宋体" w:cs="宋体"/>
          <w:i w:val="0"/>
          <w:iCs w:val="0"/>
          <w:caps w:val="0"/>
          <w:color w:val="auto"/>
          <w:spacing w:val="0"/>
          <w:sz w:val="24"/>
          <w:szCs w:val="24"/>
          <w:shd w:val="clear" w:color="auto" w:fill="FFFFFF"/>
        </w:rPr>
        <w:t>作出必要的澄清、说明或者补正。</w:t>
      </w:r>
      <w:r>
        <w:rPr>
          <w:rFonts w:hint="eastAsia" w:ascii="宋体" w:hAnsi="宋体" w:cs="宋体"/>
          <w:color w:val="auto"/>
          <w:kern w:val="0"/>
          <w:szCs w:val="24"/>
          <w:highlight w:val="none"/>
        </w:rPr>
        <w:t>供应商须在贵州省公共资源交易中心通知的时间内进行答疑和澄清。供应商未在通知的时间内进行答疑和澄清的，视为放弃澄清。</w:t>
      </w:r>
    </w:p>
    <w:p w14:paraId="1F21C299">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480" w:firstLineChars="200"/>
        <w:jc w:val="both"/>
        <w:rPr>
          <w:rFonts w:hint="eastAsia" w:ascii="宋体" w:hAnsi="宋体" w:eastAsia="宋体" w:cs="宋体"/>
          <w:i w:val="0"/>
          <w:iCs w:val="0"/>
          <w:caps w:val="0"/>
          <w:color w:val="auto"/>
          <w:spacing w:val="0"/>
          <w:sz w:val="24"/>
          <w:szCs w:val="24"/>
        </w:rPr>
      </w:pPr>
      <w:r>
        <w:rPr>
          <w:rFonts w:hint="eastAsia" w:ascii="宋体" w:hAnsi="宋体" w:cs="宋体"/>
          <w:color w:val="auto"/>
          <w:kern w:val="0"/>
          <w:szCs w:val="24"/>
          <w:highlight w:val="none"/>
        </w:rPr>
        <w:t>6.4.2</w:t>
      </w:r>
      <w:r>
        <w:rPr>
          <w:rFonts w:hint="eastAsia" w:ascii="宋体" w:hAnsi="宋体" w:eastAsia="宋体" w:cs="宋体"/>
          <w:i w:val="0"/>
          <w:iCs w:val="0"/>
          <w:caps w:val="0"/>
          <w:color w:val="auto"/>
          <w:spacing w:val="0"/>
          <w:sz w:val="24"/>
          <w:szCs w:val="24"/>
          <w:shd w:val="clear" w:color="auto" w:fill="FFFFFF"/>
          <w:lang w:val="en-US" w:eastAsia="zh-CN"/>
        </w:rPr>
        <w:t>供应商</w:t>
      </w:r>
      <w:r>
        <w:rPr>
          <w:rFonts w:hint="eastAsia" w:ascii="宋体" w:hAnsi="宋体" w:eastAsia="宋体" w:cs="宋体"/>
          <w:i w:val="0"/>
          <w:iCs w:val="0"/>
          <w:caps w:val="0"/>
          <w:color w:val="auto"/>
          <w:spacing w:val="0"/>
          <w:sz w:val="24"/>
          <w:szCs w:val="24"/>
          <w:shd w:val="clear" w:color="auto" w:fill="FFFFFF"/>
        </w:rPr>
        <w:t>的澄清、说明或者补正不得超出投标文件的范围或者改变投标文件的实质性内容。</w:t>
      </w:r>
      <w:r>
        <w:rPr>
          <w:rFonts w:hint="eastAsia" w:ascii="宋体" w:hAnsi="宋体" w:cs="宋体"/>
          <w:color w:val="auto"/>
          <w:kern w:val="0"/>
          <w:szCs w:val="24"/>
          <w:highlight w:val="none"/>
        </w:rPr>
        <w:t>澄清和补正应遵循公平公正的原则，供应商的澄清补正不得对其他供应商造成不公平不公正的结果或影响，如有，评标委员会应拒绝其澄清。</w:t>
      </w:r>
    </w:p>
    <w:p w14:paraId="0D90F600">
      <w:pPr>
        <w:wordWrap w:val="0"/>
        <w:autoSpaceDE/>
        <w:autoSpaceDN/>
        <w:adjustRightInd w:val="0"/>
        <w:spacing w:line="360" w:lineRule="auto"/>
        <w:ind w:left="0" w:leftChars="0" w:right="0" w:firstLine="480" w:firstLineChars="200"/>
        <w:jc w:val="left"/>
        <w:rPr>
          <w:rFonts w:hint="eastAsia"/>
          <w:color w:val="auto"/>
          <w:highlight w:val="none"/>
        </w:rPr>
      </w:pPr>
      <w:r>
        <w:rPr>
          <w:rFonts w:hint="eastAsia" w:ascii="宋体" w:hAnsi="宋体" w:cs="宋体"/>
          <w:color w:val="auto"/>
          <w:kern w:val="0"/>
          <w:szCs w:val="24"/>
          <w:highlight w:val="none"/>
        </w:rPr>
        <w:t>6.4.</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供应商的答疑和澄清文件为投标文件的组成部分。</w:t>
      </w:r>
    </w:p>
    <w:p w14:paraId="1A458954">
      <w:pPr>
        <w:pStyle w:val="7"/>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647" w:firstLineChars="200"/>
        <w:textAlignment w:val="auto"/>
        <w:outlineLvl w:val="1"/>
        <w:rPr>
          <w:rFonts w:hint="eastAsia" w:ascii="宋体" w:hAnsi="宋体" w:eastAsia="宋体" w:cs="宋体"/>
          <w:b/>
          <w:bCs/>
          <w:color w:val="auto"/>
          <w:spacing w:val="1"/>
          <w:kern w:val="0"/>
          <w:position w:val="-1"/>
          <w:sz w:val="32"/>
          <w:highlight w:val="none"/>
          <w:lang w:val="en-US" w:eastAsia="zh-CN"/>
        </w:rPr>
      </w:pPr>
      <w:bookmarkStart w:id="137" w:name="_Toc14187"/>
      <w:bookmarkStart w:id="138" w:name="_Toc7397"/>
      <w:bookmarkStart w:id="139" w:name="_Toc28514"/>
      <w:bookmarkStart w:id="140" w:name="_Toc30938"/>
      <w:bookmarkStart w:id="141" w:name="_Toc31157"/>
      <w:bookmarkStart w:id="142" w:name="_Toc4560"/>
      <w:r>
        <w:rPr>
          <w:rFonts w:hint="eastAsia" w:ascii="宋体" w:hAnsi="宋体" w:eastAsia="宋体" w:cs="宋体"/>
          <w:b/>
          <w:bCs/>
          <w:color w:val="auto"/>
          <w:spacing w:val="1"/>
          <w:kern w:val="0"/>
          <w:position w:val="-1"/>
          <w:sz w:val="32"/>
          <w:highlight w:val="none"/>
        </w:rPr>
        <w:t xml:space="preserve">7. </w:t>
      </w:r>
      <w:bookmarkEnd w:id="137"/>
      <w:bookmarkEnd w:id="138"/>
      <w:bookmarkEnd w:id="139"/>
      <w:bookmarkEnd w:id="140"/>
      <w:bookmarkEnd w:id="141"/>
      <w:r>
        <w:rPr>
          <w:rFonts w:hint="eastAsia" w:ascii="宋体" w:hAnsi="宋体" w:eastAsia="宋体" w:cs="宋体"/>
          <w:b/>
          <w:bCs/>
          <w:color w:val="auto"/>
          <w:spacing w:val="1"/>
          <w:kern w:val="0"/>
          <w:position w:val="-1"/>
          <w:sz w:val="32"/>
          <w:highlight w:val="none"/>
          <w:lang w:val="en-US" w:eastAsia="zh-CN"/>
        </w:rPr>
        <w:t>中标</w:t>
      </w:r>
      <w:bookmarkEnd w:id="142"/>
    </w:p>
    <w:p w14:paraId="7FDA0909">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lang w:val="zh-CN" w:eastAsia="zh-CN"/>
        </w:rPr>
      </w:pPr>
      <w:bookmarkStart w:id="143" w:name="_Toc13078"/>
      <w:bookmarkStart w:id="144" w:name="_Toc14786"/>
      <w:r>
        <w:rPr>
          <w:rFonts w:hint="eastAsia" w:ascii="宋体" w:hAnsi="宋体" w:eastAsia="宋体" w:cs="宋体"/>
          <w:color w:val="auto"/>
          <w:spacing w:val="1"/>
          <w:kern w:val="0"/>
          <w:sz w:val="28"/>
          <w:highlight w:val="none"/>
          <w:lang w:val="en-US" w:eastAsia="zh-CN"/>
        </w:rPr>
        <w:t>7</w:t>
      </w:r>
      <w:r>
        <w:rPr>
          <w:rFonts w:hint="default" w:ascii="宋体" w:hAnsi="宋体" w:eastAsia="宋体" w:cs="宋体"/>
          <w:color w:val="auto"/>
          <w:spacing w:val="1"/>
          <w:kern w:val="0"/>
          <w:sz w:val="28"/>
          <w:highlight w:val="none"/>
          <w:lang w:val="zh-CN" w:eastAsia="zh-CN"/>
        </w:rPr>
        <w:t>.1</w:t>
      </w:r>
      <w:r>
        <w:rPr>
          <w:rFonts w:hint="eastAsia" w:ascii="宋体" w:hAnsi="宋体" w:eastAsia="宋体" w:cs="宋体"/>
          <w:color w:val="auto"/>
          <w:spacing w:val="1"/>
          <w:kern w:val="0"/>
          <w:sz w:val="28"/>
          <w:highlight w:val="none"/>
          <w:lang w:val="en-US" w:eastAsia="zh-CN"/>
        </w:rPr>
        <w:t xml:space="preserve"> </w:t>
      </w:r>
      <w:r>
        <w:rPr>
          <w:rFonts w:hint="eastAsia" w:ascii="宋体" w:hAnsi="宋体" w:eastAsia="宋体" w:cs="宋体"/>
          <w:color w:val="auto"/>
          <w:spacing w:val="1"/>
          <w:kern w:val="0"/>
          <w:sz w:val="28"/>
          <w:highlight w:val="none"/>
          <w:lang w:val="zh-CN" w:eastAsia="zh-CN"/>
        </w:rPr>
        <w:t>发布中标公告</w:t>
      </w:r>
      <w:bookmarkEnd w:id="143"/>
    </w:p>
    <w:p w14:paraId="268D6B6F">
      <w:pPr>
        <w:pageBreakBefore w:val="0"/>
        <w:widowControl w:val="0"/>
        <w:numPr>
          <w:ilvl w:val="3"/>
          <w:numId w:val="0"/>
        </w:numPr>
        <w:tabs>
          <w:tab w:val="left" w:pos="1908"/>
        </w:tabs>
        <w:kinsoku/>
        <w:overflowPunct/>
        <w:topLinePunct w:val="0"/>
        <w:autoSpaceDE w:val="0"/>
        <w:autoSpaceDN w:val="0"/>
        <w:bidi w:val="0"/>
        <w:snapToGrid/>
        <w:spacing w:before="0" w:beforeLines="0" w:after="0" w:line="360" w:lineRule="auto"/>
        <w:ind w:left="0" w:leftChars="0" w:right="0" w:firstLine="480" w:firstLineChars="200"/>
        <w:jc w:val="left"/>
        <w:textAlignment w:val="auto"/>
        <w:rPr>
          <w:rFonts w:ascii="宋体" w:hAnsi="宋体" w:eastAsia="宋体" w:cs="宋体"/>
          <w:sz w:val="24"/>
          <w:szCs w:val="22"/>
          <w:lang w:val="zh-CN" w:eastAsia="zh-CN" w:bidi="zh-CN"/>
        </w:rPr>
      </w:pPr>
      <w:bookmarkStart w:id="145" w:name="7.1.1公告发布媒介"/>
      <w:bookmarkEnd w:id="145"/>
      <w:bookmarkStart w:id="146" w:name="7.1.1公告发布媒介"/>
      <w:bookmarkEnd w:id="146"/>
      <w:r>
        <w:rPr>
          <w:rFonts w:hint="eastAsia" w:ascii="宋体" w:hAnsi="宋体" w:eastAsia="宋体" w:cs="宋体"/>
          <w:w w:val="100"/>
          <w:sz w:val="24"/>
          <w:szCs w:val="22"/>
          <w:lang w:val="en-US" w:eastAsia="zh-CN" w:bidi="zh-CN"/>
        </w:rPr>
        <w:t>7</w:t>
      </w:r>
      <w:r>
        <w:rPr>
          <w:rFonts w:hint="default" w:ascii="宋体" w:hAnsi="宋体" w:eastAsia="宋体" w:cs="宋体"/>
          <w:w w:val="100"/>
          <w:sz w:val="24"/>
          <w:szCs w:val="22"/>
          <w:lang w:val="zh-CN" w:eastAsia="zh-CN" w:bidi="zh-CN"/>
        </w:rPr>
        <w:t>.1.1</w:t>
      </w:r>
      <w:r>
        <w:rPr>
          <w:rFonts w:hint="eastAsia" w:ascii="宋体" w:hAnsi="宋体" w:eastAsia="宋体" w:cs="宋体"/>
          <w:w w:val="100"/>
          <w:sz w:val="24"/>
          <w:szCs w:val="22"/>
          <w:lang w:val="en-US" w:eastAsia="zh-CN" w:bidi="zh-CN"/>
        </w:rPr>
        <w:t xml:space="preserve"> </w:t>
      </w:r>
      <w:r>
        <w:rPr>
          <w:rFonts w:ascii="宋体" w:hAnsi="宋体" w:eastAsia="宋体" w:cs="宋体"/>
          <w:spacing w:val="-5"/>
          <w:sz w:val="24"/>
          <w:szCs w:val="22"/>
          <w:lang w:val="zh-CN" w:eastAsia="zh-CN" w:bidi="zh-CN"/>
        </w:rPr>
        <w:t>公告发布媒介</w:t>
      </w:r>
    </w:p>
    <w:p w14:paraId="0A3228C3">
      <w:pPr>
        <w:spacing w:beforeLines="0" w:after="0" w:line="360" w:lineRule="auto"/>
        <w:ind w:left="0" w:leftChars="0" w:firstLine="444" w:firstLineChars="200"/>
        <w:jc w:val="both"/>
        <w:rPr>
          <w:rFonts w:ascii="宋体" w:hAnsi="宋体" w:eastAsia="宋体" w:cs="宋体"/>
          <w:sz w:val="24"/>
          <w:szCs w:val="24"/>
          <w:lang w:val="zh-CN" w:eastAsia="zh-CN" w:bidi="zh-CN"/>
        </w:rPr>
      </w:pPr>
      <w:r>
        <w:rPr>
          <w:rFonts w:ascii="宋体" w:hAnsi="宋体" w:eastAsia="宋体" w:cs="宋体"/>
          <w:spacing w:val="-9"/>
          <w:sz w:val="24"/>
          <w:szCs w:val="24"/>
          <w:lang w:val="zh-CN" w:eastAsia="zh-CN" w:bidi="zh-CN"/>
        </w:rPr>
        <w:t>采购公告发布的同一媒介。代理机构根据评标报告将中标候选人推荐排序及</w:t>
      </w:r>
      <w:r>
        <w:rPr>
          <w:rFonts w:ascii="宋体" w:hAnsi="宋体" w:eastAsia="宋体" w:cs="宋体"/>
          <w:spacing w:val="-8"/>
          <w:sz w:val="24"/>
          <w:szCs w:val="24"/>
          <w:lang w:val="zh-CN" w:eastAsia="zh-CN" w:bidi="zh-CN"/>
        </w:rPr>
        <w:t>相关评标结果进行公示。供应商可在贵州省公共资源交易公共服务平台、贵</w:t>
      </w:r>
      <w:r>
        <w:rPr>
          <w:rFonts w:ascii="宋体" w:hAnsi="宋体" w:eastAsia="宋体" w:cs="宋体"/>
          <w:sz w:val="24"/>
          <w:szCs w:val="24"/>
          <w:lang w:val="zh-CN" w:eastAsia="zh-CN" w:bidi="zh-CN"/>
        </w:rPr>
        <w:t>州省政府采购网及贵州省招标投标公共服务平台查询信息。</w:t>
      </w:r>
      <w:bookmarkStart w:id="147" w:name="_bookmark17"/>
      <w:bookmarkEnd w:id="147"/>
    </w:p>
    <w:p w14:paraId="7552F360">
      <w:pPr>
        <w:spacing w:beforeLines="0" w:after="0" w:line="360" w:lineRule="auto"/>
        <w:ind w:left="0" w:leftChars="0" w:firstLine="444" w:firstLineChars="200"/>
        <w:jc w:val="both"/>
        <w:rPr>
          <w:rFonts w:ascii="宋体" w:hAnsi="宋体" w:eastAsia="宋体" w:cs="宋体"/>
          <w:spacing w:val="-9"/>
          <w:sz w:val="24"/>
          <w:szCs w:val="24"/>
          <w:lang w:val="zh-CN" w:eastAsia="zh-CN" w:bidi="zh-CN"/>
        </w:rPr>
      </w:pPr>
      <w:r>
        <w:rPr>
          <w:rFonts w:ascii="宋体" w:hAnsi="宋体" w:eastAsia="宋体" w:cs="宋体"/>
          <w:spacing w:val="-9"/>
          <w:sz w:val="24"/>
          <w:szCs w:val="24"/>
          <w:lang w:val="zh-CN" w:eastAsia="zh-CN" w:bidi="zh-CN"/>
        </w:rPr>
        <w:t>采购代理机构应当自评审结束之日起 2 个工作日内将评审报告送交采购人。采购人应当自收到评审报告之日起 5 个工作日内在评审报告推荐的中标或者成交候选人中按顺序确定中标或者成交供应商。采购人或者采购代理机构应当自中标、成交供应商确定之日起 2 个工作日内，发出中标、成交通知书。中标通知书对采购人和中标供应商具有同等法律效力。中标通知书发出后， 采购人改变中标结果，或者中标供应商放弃中标，应当承担相应的法律责任。</w:t>
      </w:r>
    </w:p>
    <w:p w14:paraId="1B73A86A">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firstLine="566" w:firstLineChars="200"/>
        <w:textAlignment w:val="auto"/>
        <w:outlineLvl w:val="2"/>
        <w:rPr>
          <w:rFonts w:hint="eastAsia" w:ascii="宋体" w:hAnsi="宋体" w:eastAsia="宋体" w:cs="宋体"/>
          <w:color w:val="auto"/>
          <w:spacing w:val="1"/>
          <w:kern w:val="0"/>
          <w:sz w:val="28"/>
          <w:highlight w:val="none"/>
          <w:lang w:val="zh-CN" w:eastAsia="zh-CN"/>
        </w:rPr>
      </w:pPr>
      <w:bookmarkStart w:id="148" w:name="7.2采购活动的质疑投诉"/>
      <w:bookmarkEnd w:id="148"/>
      <w:bookmarkStart w:id="149" w:name="7.2采购活动的质疑投诉"/>
      <w:bookmarkEnd w:id="149"/>
      <w:bookmarkStart w:id="150" w:name="_Toc21513"/>
      <w:r>
        <w:rPr>
          <w:rFonts w:hint="eastAsia" w:ascii="宋体" w:hAnsi="宋体" w:eastAsia="宋体" w:cs="宋体"/>
          <w:color w:val="auto"/>
          <w:spacing w:val="1"/>
          <w:kern w:val="0"/>
          <w:sz w:val="28"/>
          <w:highlight w:val="none"/>
          <w:lang w:val="en-US" w:eastAsia="zh-CN"/>
        </w:rPr>
        <w:t>7</w:t>
      </w:r>
      <w:r>
        <w:rPr>
          <w:rFonts w:hint="default" w:ascii="宋体" w:hAnsi="宋体" w:eastAsia="宋体" w:cs="宋体"/>
          <w:color w:val="auto"/>
          <w:spacing w:val="1"/>
          <w:kern w:val="0"/>
          <w:sz w:val="28"/>
          <w:highlight w:val="none"/>
          <w:lang w:val="zh-CN" w:eastAsia="zh-CN"/>
        </w:rPr>
        <w:t>.2</w:t>
      </w:r>
      <w:r>
        <w:rPr>
          <w:rFonts w:hint="eastAsia" w:ascii="宋体" w:hAnsi="宋体" w:eastAsia="宋体" w:cs="宋体"/>
          <w:color w:val="auto"/>
          <w:spacing w:val="1"/>
          <w:kern w:val="0"/>
          <w:sz w:val="28"/>
          <w:highlight w:val="none"/>
          <w:lang w:val="zh-CN" w:eastAsia="zh-CN"/>
        </w:rPr>
        <w:t>采购活动的质疑投诉</w:t>
      </w:r>
      <w:bookmarkEnd w:id="150"/>
    </w:p>
    <w:p w14:paraId="50DE0D99">
      <w:pPr>
        <w:pageBreakBefore w:val="0"/>
        <w:kinsoku/>
        <w:overflowPunct/>
        <w:topLinePunct w:val="0"/>
        <w:autoSpaceDE/>
        <w:autoSpaceDN/>
        <w:bidi w:val="0"/>
        <w:snapToGrid/>
        <w:spacing w:line="360" w:lineRule="auto"/>
        <w:ind w:left="0" w:leftChars="0" w:right="0" w:firstLine="444" w:firstLineChars="200"/>
        <w:jc w:val="both"/>
        <w:textAlignment w:val="auto"/>
        <w:rPr>
          <w:rFonts w:ascii="宋体" w:hAnsi="宋体" w:eastAsia="宋体" w:cs="宋体"/>
          <w:spacing w:val="-9"/>
          <w:sz w:val="24"/>
          <w:szCs w:val="24"/>
          <w:lang w:val="zh-CN" w:eastAsia="zh-CN" w:bidi="zh-CN"/>
        </w:rPr>
      </w:pPr>
      <w:r>
        <w:rPr>
          <w:rFonts w:hint="default" w:ascii="宋体" w:hAnsi="宋体" w:eastAsia="宋体" w:cs="宋体"/>
          <w:spacing w:val="-9"/>
          <w:w w:val="100"/>
          <w:sz w:val="24"/>
          <w:szCs w:val="24"/>
          <w:lang w:val="zh-CN" w:eastAsia="zh-CN" w:bidi="zh-CN"/>
        </w:rPr>
        <w:t>7.2.1</w:t>
      </w:r>
      <w:r>
        <w:rPr>
          <w:rFonts w:ascii="宋体" w:hAnsi="宋体" w:eastAsia="宋体" w:cs="宋体"/>
          <w:spacing w:val="-9"/>
          <w:sz w:val="24"/>
          <w:szCs w:val="24"/>
          <w:lang w:val="zh-CN" w:eastAsia="zh-CN" w:bidi="zh-CN"/>
        </w:rPr>
        <w:t>质疑</w:t>
      </w:r>
    </w:p>
    <w:p w14:paraId="641C41B2">
      <w:pPr>
        <w:pageBreakBefore w:val="0"/>
        <w:kinsoku/>
        <w:overflowPunct/>
        <w:topLinePunct w:val="0"/>
        <w:autoSpaceDE/>
        <w:autoSpaceDN/>
        <w:bidi w:val="0"/>
        <w:snapToGrid/>
        <w:spacing w:line="360" w:lineRule="auto"/>
        <w:ind w:left="0" w:leftChars="0" w:right="0" w:firstLine="444" w:firstLineChars="200"/>
        <w:jc w:val="both"/>
        <w:textAlignment w:val="auto"/>
        <w:rPr>
          <w:rFonts w:ascii="宋体" w:hAnsi="宋体" w:eastAsia="宋体" w:cs="宋体"/>
          <w:spacing w:val="-9"/>
          <w:sz w:val="24"/>
          <w:szCs w:val="24"/>
          <w:lang w:val="zh-CN" w:eastAsia="zh-CN" w:bidi="zh-CN"/>
        </w:rPr>
      </w:pPr>
      <w:r>
        <w:rPr>
          <w:rFonts w:ascii="宋体" w:hAnsi="宋体" w:eastAsia="宋体" w:cs="宋体"/>
          <w:spacing w:val="-9"/>
          <w:sz w:val="24"/>
          <w:szCs w:val="24"/>
          <w:lang w:val="zh-CN" w:eastAsia="zh-CN" w:bidi="zh-CN"/>
        </w:rPr>
        <w:t>供应商认为采购文件、采购过程和中标、成交结果使自己的权益受到损害的， 可以在知道或者应知其权益受到损害之日（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起</w:t>
      </w:r>
      <w:r>
        <w:rPr>
          <w:rFonts w:hint="eastAsia" w:ascii="宋体" w:hAnsi="宋体" w:cs="宋体"/>
          <w:spacing w:val="-9"/>
          <w:sz w:val="24"/>
          <w:szCs w:val="24"/>
          <w:lang w:val="en-US" w:eastAsia="zh-CN" w:bidi="zh-CN"/>
        </w:rPr>
        <w:t>7</w:t>
      </w:r>
      <w:r>
        <w:rPr>
          <w:rFonts w:ascii="宋体" w:hAnsi="宋体" w:eastAsia="宋体" w:cs="宋体"/>
          <w:spacing w:val="-9"/>
          <w:sz w:val="24"/>
          <w:szCs w:val="24"/>
          <w:lang w:val="zh-CN" w:eastAsia="zh-CN" w:bidi="zh-CN"/>
        </w:rPr>
        <w:t>个工作日内，以书面形式向采购人</w:t>
      </w:r>
      <w:r>
        <w:rPr>
          <w:rFonts w:hint="eastAsia" w:ascii="宋体" w:hAnsi="宋体" w:cs="宋体"/>
          <w:spacing w:val="-9"/>
          <w:sz w:val="24"/>
          <w:szCs w:val="24"/>
          <w:lang w:val="zh-CN" w:eastAsia="zh-CN" w:bidi="zh-CN"/>
        </w:rPr>
        <w:t>、</w:t>
      </w:r>
      <w:r>
        <w:rPr>
          <w:rFonts w:hint="eastAsia" w:ascii="宋体" w:hAnsi="宋体" w:cs="宋体"/>
          <w:spacing w:val="-9"/>
          <w:sz w:val="24"/>
          <w:szCs w:val="24"/>
          <w:lang w:val="en-US" w:eastAsia="zh-CN" w:bidi="zh-CN"/>
        </w:rPr>
        <w:t>采购代理机构</w:t>
      </w:r>
      <w:r>
        <w:rPr>
          <w:rFonts w:ascii="宋体" w:hAnsi="宋体" w:eastAsia="宋体" w:cs="宋体"/>
          <w:spacing w:val="-9"/>
          <w:sz w:val="24"/>
          <w:szCs w:val="24"/>
          <w:lang w:val="zh-CN" w:eastAsia="zh-CN" w:bidi="zh-CN"/>
        </w:rPr>
        <w:t>提出质疑。</w:t>
      </w:r>
    </w:p>
    <w:p w14:paraId="765B018E">
      <w:pPr>
        <w:pageBreakBefore w:val="0"/>
        <w:kinsoku/>
        <w:overflowPunct/>
        <w:topLinePunct w:val="0"/>
        <w:autoSpaceDE/>
        <w:autoSpaceDN/>
        <w:bidi w:val="0"/>
        <w:snapToGrid/>
        <w:spacing w:line="360" w:lineRule="auto"/>
        <w:ind w:left="0" w:leftChars="0" w:right="0" w:firstLine="444" w:firstLineChars="200"/>
        <w:jc w:val="both"/>
        <w:textAlignment w:val="auto"/>
        <w:rPr>
          <w:rFonts w:ascii="宋体" w:hAnsi="宋体" w:eastAsia="宋体" w:cs="宋体"/>
          <w:spacing w:val="-9"/>
          <w:sz w:val="24"/>
          <w:szCs w:val="24"/>
          <w:lang w:val="zh-CN" w:eastAsia="zh-CN" w:bidi="zh-CN"/>
        </w:rPr>
      </w:pPr>
      <w:r>
        <w:rPr>
          <w:rFonts w:hint="eastAsia" w:ascii="宋体" w:hAnsi="宋体" w:eastAsia="宋体" w:cs="宋体"/>
          <w:spacing w:val="-9"/>
          <w:w w:val="100"/>
          <w:sz w:val="24"/>
          <w:szCs w:val="24"/>
          <w:lang w:val="en-US" w:eastAsia="zh-CN" w:bidi="zh-CN"/>
        </w:rPr>
        <w:t>7</w:t>
      </w:r>
      <w:r>
        <w:rPr>
          <w:rFonts w:hint="default" w:ascii="宋体" w:hAnsi="宋体" w:eastAsia="宋体" w:cs="宋体"/>
          <w:spacing w:val="-9"/>
          <w:w w:val="100"/>
          <w:sz w:val="24"/>
          <w:szCs w:val="24"/>
          <w:lang w:val="zh-CN" w:eastAsia="zh-CN" w:bidi="zh-CN"/>
        </w:rPr>
        <w:t>.2.2</w:t>
      </w:r>
      <w:r>
        <w:rPr>
          <w:rFonts w:ascii="宋体" w:hAnsi="宋体" w:eastAsia="宋体" w:cs="宋体"/>
          <w:spacing w:val="-9"/>
          <w:sz w:val="24"/>
          <w:szCs w:val="24"/>
          <w:lang w:val="zh-CN" w:eastAsia="zh-CN" w:bidi="zh-CN"/>
        </w:rPr>
        <w:t>受理条件</w:t>
      </w:r>
    </w:p>
    <w:p w14:paraId="12632122">
      <w:pPr>
        <w:pageBreakBefore w:val="0"/>
        <w:numPr>
          <w:ilvl w:val="0"/>
          <w:numId w:val="1"/>
        </w:numPr>
        <w:kinsoku/>
        <w:overflowPunct/>
        <w:topLinePunct w:val="0"/>
        <w:autoSpaceDE/>
        <w:autoSpaceDN/>
        <w:bidi w:val="0"/>
        <w:snapToGrid/>
        <w:spacing w:line="360" w:lineRule="auto"/>
        <w:ind w:left="0" w:leftChars="0" w:right="0" w:firstLine="444" w:firstLineChars="200"/>
        <w:textAlignment w:val="auto"/>
        <w:rPr>
          <w:rFonts w:hint="default" w:ascii="宋体" w:hAnsi="宋体" w:eastAsia="宋体" w:cs="宋体"/>
          <w:color w:val="auto"/>
          <w:spacing w:val="-9"/>
          <w:w w:val="100"/>
          <w:sz w:val="24"/>
          <w:szCs w:val="24"/>
          <w:lang w:val="zh-CN" w:eastAsia="zh-CN" w:bidi="zh-CN"/>
        </w:rPr>
      </w:pPr>
      <w:r>
        <w:rPr>
          <w:rFonts w:hint="default" w:ascii="宋体" w:hAnsi="宋体" w:eastAsia="宋体" w:cs="宋体"/>
          <w:color w:val="auto"/>
          <w:spacing w:val="-9"/>
          <w:w w:val="100"/>
          <w:sz w:val="24"/>
          <w:szCs w:val="24"/>
          <w:lang w:val="zh-CN" w:eastAsia="zh-CN" w:bidi="zh-CN"/>
        </w:rPr>
        <w:t>提出质疑的供应商应当是参与所质疑项目采购活动的供应商。</w:t>
      </w:r>
    </w:p>
    <w:p w14:paraId="7B070C10">
      <w:pPr>
        <w:pageBreakBefore w:val="0"/>
        <w:numPr>
          <w:ilvl w:val="0"/>
          <w:numId w:val="1"/>
        </w:numPr>
        <w:kinsoku/>
        <w:overflowPunct/>
        <w:topLinePunct w:val="0"/>
        <w:autoSpaceDE/>
        <w:autoSpaceDN/>
        <w:bidi w:val="0"/>
        <w:snapToGrid/>
        <w:spacing w:line="360" w:lineRule="auto"/>
        <w:ind w:left="0" w:leftChars="0" w:right="0" w:firstLine="444" w:firstLineChars="200"/>
        <w:textAlignment w:val="auto"/>
        <w:rPr>
          <w:rFonts w:ascii="宋体" w:hAnsi="宋体" w:eastAsia="宋体" w:cs="宋体"/>
          <w:spacing w:val="-9"/>
          <w:sz w:val="24"/>
          <w:szCs w:val="24"/>
          <w:lang w:val="zh-CN" w:eastAsia="zh-CN" w:bidi="zh-CN"/>
        </w:rPr>
      </w:pPr>
      <w:r>
        <w:rPr>
          <w:rFonts w:ascii="宋体" w:hAnsi="宋体" w:eastAsia="宋体" w:cs="宋体"/>
          <w:color w:val="auto"/>
          <w:spacing w:val="-9"/>
          <w:sz w:val="24"/>
          <w:szCs w:val="24"/>
          <w:lang w:val="zh-CN" w:eastAsia="zh-CN" w:bidi="zh-CN"/>
        </w:rPr>
        <w:t>供应商所</w:t>
      </w:r>
      <w:r>
        <w:rPr>
          <w:rFonts w:ascii="宋体" w:hAnsi="宋体" w:eastAsia="宋体" w:cs="宋体"/>
          <w:spacing w:val="-9"/>
          <w:sz w:val="24"/>
          <w:szCs w:val="24"/>
          <w:lang w:val="zh-CN" w:eastAsia="zh-CN" w:bidi="zh-CN"/>
        </w:rPr>
        <w:t>提出质疑，必需有认为采购文件、采购过程、中标和成交结果等使自已的利益受到损害的事实和依据</w:t>
      </w:r>
      <w:r>
        <w:rPr>
          <w:rFonts w:hint="eastAsia" w:ascii="宋体" w:hAnsi="宋体" w:cs="宋体"/>
          <w:spacing w:val="-9"/>
          <w:sz w:val="24"/>
          <w:szCs w:val="24"/>
          <w:lang w:val="zh-CN" w:eastAsia="zh-CN" w:bidi="zh-CN"/>
        </w:rPr>
        <w:t>。</w:t>
      </w:r>
    </w:p>
    <w:p w14:paraId="1845B306">
      <w:pPr>
        <w:pageBreakBefore w:val="0"/>
        <w:kinsoku/>
        <w:overflowPunct/>
        <w:topLinePunct w:val="0"/>
        <w:autoSpaceDE/>
        <w:autoSpaceDN/>
        <w:bidi w:val="0"/>
        <w:snapToGrid/>
        <w:spacing w:line="360" w:lineRule="auto"/>
        <w:ind w:left="0" w:leftChars="0" w:right="0" w:firstLine="444" w:firstLineChars="200"/>
        <w:jc w:val="both"/>
        <w:textAlignment w:val="auto"/>
        <w:rPr>
          <w:rFonts w:hint="eastAsia" w:ascii="宋体" w:hAnsi="宋体" w:eastAsia="宋体" w:cs="宋体"/>
          <w:color w:val="auto"/>
          <w:spacing w:val="-9"/>
          <w:sz w:val="24"/>
          <w:szCs w:val="24"/>
          <w:lang w:val="zh-CN" w:eastAsia="zh-CN" w:bidi="zh-CN"/>
        </w:rPr>
      </w:pPr>
      <w:r>
        <w:rPr>
          <w:rFonts w:hint="eastAsia" w:ascii="宋体" w:hAnsi="宋体" w:cs="宋体"/>
          <w:color w:val="auto"/>
          <w:spacing w:val="-9"/>
          <w:w w:val="100"/>
          <w:sz w:val="24"/>
          <w:szCs w:val="24"/>
          <w:lang w:val="en-US" w:eastAsia="zh-CN" w:bidi="zh-CN"/>
        </w:rPr>
        <w:t>3</w:t>
      </w:r>
      <w:r>
        <w:rPr>
          <w:rFonts w:hint="default" w:ascii="宋体" w:hAnsi="宋体" w:eastAsia="宋体" w:cs="宋体"/>
          <w:color w:val="auto"/>
          <w:spacing w:val="-9"/>
          <w:w w:val="100"/>
          <w:sz w:val="24"/>
          <w:szCs w:val="24"/>
          <w:lang w:val="zh-CN" w:eastAsia="zh-CN" w:bidi="zh-CN"/>
        </w:rPr>
        <w:t>.</w:t>
      </w:r>
      <w:r>
        <w:rPr>
          <w:rFonts w:hint="eastAsia" w:ascii="宋体" w:hAnsi="宋体" w:eastAsia="宋体" w:cs="宋体"/>
          <w:color w:val="auto"/>
          <w:spacing w:val="-9"/>
          <w:sz w:val="24"/>
          <w:szCs w:val="24"/>
          <w:lang w:val="zh-CN" w:eastAsia="zh-CN" w:bidi="zh-CN"/>
        </w:rPr>
        <w:t>供应商提出质疑应当提交质疑函和必要的证明材料。质疑函应当包括下列内容：</w:t>
      </w:r>
    </w:p>
    <w:p w14:paraId="0B2B4D75">
      <w:pPr>
        <w:pageBreakBefore w:val="0"/>
        <w:kinsoku/>
        <w:overflowPunct/>
        <w:topLinePunct w:val="0"/>
        <w:autoSpaceDE/>
        <w:autoSpaceDN/>
        <w:bidi w:val="0"/>
        <w:snapToGrid/>
        <w:spacing w:line="360" w:lineRule="auto"/>
        <w:ind w:left="0" w:leftChars="0" w:right="0" w:firstLine="444" w:firstLineChars="200"/>
        <w:jc w:val="both"/>
        <w:textAlignment w:val="auto"/>
        <w:rPr>
          <w:rFonts w:hint="eastAsia" w:ascii="宋体" w:hAnsi="宋体" w:eastAsia="宋体" w:cs="宋体"/>
          <w:color w:val="auto"/>
          <w:spacing w:val="-9"/>
          <w:sz w:val="24"/>
          <w:szCs w:val="24"/>
          <w:lang w:val="zh-CN" w:eastAsia="zh-CN" w:bidi="zh-CN"/>
        </w:rPr>
      </w:pPr>
      <w:r>
        <w:rPr>
          <w:rFonts w:hint="eastAsia" w:ascii="宋体" w:hAnsi="宋体" w:eastAsia="宋体" w:cs="宋体"/>
          <w:color w:val="auto"/>
          <w:spacing w:val="-9"/>
          <w:sz w:val="24"/>
          <w:szCs w:val="24"/>
          <w:lang w:val="zh-CN" w:eastAsia="zh-CN" w:bidi="zh-CN"/>
        </w:rPr>
        <w:t>（</w:t>
      </w:r>
      <w:r>
        <w:rPr>
          <w:rFonts w:hint="eastAsia" w:ascii="宋体" w:hAnsi="宋体" w:cs="宋体"/>
          <w:color w:val="auto"/>
          <w:spacing w:val="-9"/>
          <w:sz w:val="24"/>
          <w:szCs w:val="24"/>
          <w:lang w:val="en-US" w:eastAsia="zh-CN" w:bidi="zh-CN"/>
        </w:rPr>
        <w:t>1</w:t>
      </w:r>
      <w:r>
        <w:rPr>
          <w:rFonts w:hint="eastAsia" w:ascii="宋体" w:hAnsi="宋体" w:eastAsia="宋体" w:cs="宋体"/>
          <w:color w:val="auto"/>
          <w:spacing w:val="-9"/>
          <w:sz w:val="24"/>
          <w:szCs w:val="24"/>
          <w:lang w:val="zh-CN" w:eastAsia="zh-CN" w:bidi="zh-CN"/>
        </w:rPr>
        <w:t>）供应商的姓名或者名称、地址、邮编、联系人及联系电话；</w:t>
      </w:r>
    </w:p>
    <w:p w14:paraId="58C3ACAD">
      <w:pPr>
        <w:pageBreakBefore w:val="0"/>
        <w:kinsoku/>
        <w:overflowPunct/>
        <w:topLinePunct w:val="0"/>
        <w:autoSpaceDE/>
        <w:autoSpaceDN/>
        <w:bidi w:val="0"/>
        <w:snapToGrid/>
        <w:spacing w:line="360" w:lineRule="auto"/>
        <w:ind w:left="0" w:leftChars="0" w:right="0" w:firstLine="444" w:firstLineChars="200"/>
        <w:jc w:val="both"/>
        <w:textAlignment w:val="auto"/>
        <w:rPr>
          <w:rFonts w:hint="eastAsia" w:ascii="宋体" w:hAnsi="宋体" w:eastAsia="宋体" w:cs="宋体"/>
          <w:color w:val="auto"/>
          <w:spacing w:val="-9"/>
          <w:sz w:val="24"/>
          <w:szCs w:val="24"/>
          <w:lang w:val="zh-CN" w:eastAsia="zh-CN" w:bidi="zh-CN"/>
        </w:rPr>
      </w:pPr>
      <w:r>
        <w:rPr>
          <w:rFonts w:hint="eastAsia" w:ascii="宋体" w:hAnsi="宋体" w:eastAsia="宋体" w:cs="宋体"/>
          <w:color w:val="auto"/>
          <w:spacing w:val="-9"/>
          <w:sz w:val="24"/>
          <w:szCs w:val="24"/>
          <w:lang w:val="zh-CN" w:eastAsia="zh-CN" w:bidi="zh-CN"/>
        </w:rPr>
        <w:t>（</w:t>
      </w:r>
      <w:r>
        <w:rPr>
          <w:rFonts w:hint="eastAsia" w:ascii="宋体" w:hAnsi="宋体" w:cs="宋体"/>
          <w:color w:val="auto"/>
          <w:spacing w:val="-9"/>
          <w:sz w:val="24"/>
          <w:szCs w:val="24"/>
          <w:lang w:val="en-US" w:eastAsia="zh-CN" w:bidi="zh-CN"/>
        </w:rPr>
        <w:t>2</w:t>
      </w:r>
      <w:r>
        <w:rPr>
          <w:rFonts w:hint="eastAsia" w:ascii="宋体" w:hAnsi="宋体" w:eastAsia="宋体" w:cs="宋体"/>
          <w:color w:val="auto"/>
          <w:spacing w:val="-9"/>
          <w:sz w:val="24"/>
          <w:szCs w:val="24"/>
          <w:lang w:val="zh-CN" w:eastAsia="zh-CN" w:bidi="zh-CN"/>
        </w:rPr>
        <w:t>）质疑项目的名称、编号；</w:t>
      </w:r>
    </w:p>
    <w:p w14:paraId="065FF7D4">
      <w:pPr>
        <w:pageBreakBefore w:val="0"/>
        <w:kinsoku/>
        <w:overflowPunct/>
        <w:topLinePunct w:val="0"/>
        <w:autoSpaceDE/>
        <w:autoSpaceDN/>
        <w:bidi w:val="0"/>
        <w:snapToGrid/>
        <w:spacing w:line="360" w:lineRule="auto"/>
        <w:ind w:left="0" w:leftChars="0" w:right="0" w:firstLine="444" w:firstLineChars="200"/>
        <w:jc w:val="both"/>
        <w:textAlignment w:val="auto"/>
        <w:rPr>
          <w:rFonts w:hint="eastAsia" w:ascii="宋体" w:hAnsi="宋体" w:eastAsia="宋体" w:cs="宋体"/>
          <w:color w:val="auto"/>
          <w:spacing w:val="-9"/>
          <w:sz w:val="24"/>
          <w:szCs w:val="24"/>
          <w:lang w:val="zh-CN" w:eastAsia="zh-CN" w:bidi="zh-CN"/>
        </w:rPr>
      </w:pPr>
      <w:r>
        <w:rPr>
          <w:rFonts w:hint="eastAsia" w:ascii="宋体" w:hAnsi="宋体" w:eastAsia="宋体" w:cs="宋体"/>
          <w:color w:val="auto"/>
          <w:spacing w:val="-9"/>
          <w:sz w:val="24"/>
          <w:szCs w:val="24"/>
          <w:lang w:val="zh-CN" w:eastAsia="zh-CN" w:bidi="zh-CN"/>
        </w:rPr>
        <w:t>（</w:t>
      </w:r>
      <w:r>
        <w:rPr>
          <w:rFonts w:hint="eastAsia" w:ascii="宋体" w:hAnsi="宋体" w:cs="宋体"/>
          <w:color w:val="auto"/>
          <w:spacing w:val="-9"/>
          <w:sz w:val="24"/>
          <w:szCs w:val="24"/>
          <w:lang w:val="en-US" w:eastAsia="zh-CN" w:bidi="zh-CN"/>
        </w:rPr>
        <w:t>3</w:t>
      </w:r>
      <w:r>
        <w:rPr>
          <w:rFonts w:hint="eastAsia" w:ascii="宋体" w:hAnsi="宋体" w:eastAsia="宋体" w:cs="宋体"/>
          <w:color w:val="auto"/>
          <w:spacing w:val="-9"/>
          <w:sz w:val="24"/>
          <w:szCs w:val="24"/>
          <w:lang w:val="zh-CN" w:eastAsia="zh-CN" w:bidi="zh-CN"/>
        </w:rPr>
        <w:t>）具体、明确的质疑事项和与质疑事项相关的请求；</w:t>
      </w:r>
    </w:p>
    <w:p w14:paraId="1150B416">
      <w:pPr>
        <w:pageBreakBefore w:val="0"/>
        <w:kinsoku/>
        <w:overflowPunct/>
        <w:topLinePunct w:val="0"/>
        <w:autoSpaceDE/>
        <w:autoSpaceDN/>
        <w:bidi w:val="0"/>
        <w:snapToGrid/>
        <w:spacing w:line="360" w:lineRule="auto"/>
        <w:ind w:left="0" w:leftChars="0" w:right="0" w:firstLine="444" w:firstLineChars="200"/>
        <w:jc w:val="both"/>
        <w:textAlignment w:val="auto"/>
        <w:rPr>
          <w:rFonts w:hint="eastAsia" w:ascii="宋体" w:hAnsi="宋体" w:eastAsia="宋体" w:cs="宋体"/>
          <w:color w:val="auto"/>
          <w:spacing w:val="-9"/>
          <w:sz w:val="24"/>
          <w:szCs w:val="24"/>
          <w:lang w:val="zh-CN" w:eastAsia="zh-CN" w:bidi="zh-CN"/>
        </w:rPr>
      </w:pPr>
      <w:r>
        <w:rPr>
          <w:rFonts w:hint="eastAsia" w:ascii="宋体" w:hAnsi="宋体" w:eastAsia="宋体" w:cs="宋体"/>
          <w:color w:val="auto"/>
          <w:spacing w:val="-9"/>
          <w:sz w:val="24"/>
          <w:szCs w:val="24"/>
          <w:lang w:val="zh-CN" w:eastAsia="zh-CN" w:bidi="zh-CN"/>
        </w:rPr>
        <w:t>（</w:t>
      </w:r>
      <w:r>
        <w:rPr>
          <w:rFonts w:hint="eastAsia" w:ascii="宋体" w:hAnsi="宋体" w:cs="宋体"/>
          <w:color w:val="auto"/>
          <w:spacing w:val="-9"/>
          <w:sz w:val="24"/>
          <w:szCs w:val="24"/>
          <w:lang w:val="en-US" w:eastAsia="zh-CN" w:bidi="zh-CN"/>
        </w:rPr>
        <w:t>4</w:t>
      </w:r>
      <w:r>
        <w:rPr>
          <w:rFonts w:hint="eastAsia" w:ascii="宋体" w:hAnsi="宋体" w:eastAsia="宋体" w:cs="宋体"/>
          <w:color w:val="auto"/>
          <w:spacing w:val="-9"/>
          <w:sz w:val="24"/>
          <w:szCs w:val="24"/>
          <w:lang w:val="zh-CN" w:eastAsia="zh-CN" w:bidi="zh-CN"/>
        </w:rPr>
        <w:t>）事实依据；</w:t>
      </w:r>
    </w:p>
    <w:p w14:paraId="3DAF862B">
      <w:pPr>
        <w:pageBreakBefore w:val="0"/>
        <w:kinsoku/>
        <w:overflowPunct/>
        <w:topLinePunct w:val="0"/>
        <w:autoSpaceDE/>
        <w:autoSpaceDN/>
        <w:bidi w:val="0"/>
        <w:snapToGrid/>
        <w:spacing w:line="360" w:lineRule="auto"/>
        <w:ind w:left="0" w:leftChars="0" w:right="0" w:firstLine="444" w:firstLineChars="200"/>
        <w:jc w:val="both"/>
        <w:textAlignment w:val="auto"/>
        <w:rPr>
          <w:rFonts w:hint="eastAsia" w:ascii="宋体" w:hAnsi="宋体" w:eastAsia="宋体" w:cs="宋体"/>
          <w:color w:val="auto"/>
          <w:spacing w:val="-9"/>
          <w:sz w:val="24"/>
          <w:szCs w:val="24"/>
          <w:lang w:val="zh-CN" w:eastAsia="zh-CN" w:bidi="zh-CN"/>
        </w:rPr>
      </w:pPr>
      <w:r>
        <w:rPr>
          <w:rFonts w:hint="eastAsia" w:ascii="宋体" w:hAnsi="宋体" w:eastAsia="宋体" w:cs="宋体"/>
          <w:color w:val="auto"/>
          <w:spacing w:val="-9"/>
          <w:sz w:val="24"/>
          <w:szCs w:val="24"/>
          <w:lang w:val="zh-CN" w:eastAsia="zh-CN" w:bidi="zh-CN"/>
        </w:rPr>
        <w:t>（</w:t>
      </w:r>
      <w:r>
        <w:rPr>
          <w:rFonts w:hint="eastAsia" w:ascii="宋体" w:hAnsi="宋体" w:cs="宋体"/>
          <w:color w:val="auto"/>
          <w:spacing w:val="-9"/>
          <w:sz w:val="24"/>
          <w:szCs w:val="24"/>
          <w:lang w:val="en-US" w:eastAsia="zh-CN" w:bidi="zh-CN"/>
        </w:rPr>
        <w:t>5</w:t>
      </w:r>
      <w:r>
        <w:rPr>
          <w:rFonts w:hint="eastAsia" w:ascii="宋体" w:hAnsi="宋体" w:eastAsia="宋体" w:cs="宋体"/>
          <w:color w:val="auto"/>
          <w:spacing w:val="-9"/>
          <w:sz w:val="24"/>
          <w:szCs w:val="24"/>
          <w:lang w:val="zh-CN" w:eastAsia="zh-CN" w:bidi="zh-CN"/>
        </w:rPr>
        <w:t>）必要的法律依据；</w:t>
      </w:r>
    </w:p>
    <w:p w14:paraId="410443FF">
      <w:pPr>
        <w:pageBreakBefore w:val="0"/>
        <w:kinsoku/>
        <w:overflowPunct/>
        <w:topLinePunct w:val="0"/>
        <w:autoSpaceDE/>
        <w:autoSpaceDN/>
        <w:bidi w:val="0"/>
        <w:snapToGrid/>
        <w:spacing w:line="360" w:lineRule="auto"/>
        <w:ind w:left="0" w:leftChars="0" w:right="0" w:firstLine="444" w:firstLineChars="200"/>
        <w:jc w:val="both"/>
        <w:textAlignment w:val="auto"/>
        <w:rPr>
          <w:rFonts w:ascii="宋体" w:hAnsi="宋体" w:eastAsia="宋体" w:cs="宋体"/>
          <w:color w:val="auto"/>
          <w:spacing w:val="-9"/>
          <w:sz w:val="24"/>
          <w:szCs w:val="24"/>
          <w:lang w:val="zh-CN" w:eastAsia="zh-CN" w:bidi="zh-CN"/>
        </w:rPr>
      </w:pPr>
      <w:r>
        <w:rPr>
          <w:rFonts w:hint="eastAsia" w:ascii="宋体" w:hAnsi="宋体" w:cs="宋体"/>
          <w:color w:val="auto"/>
          <w:spacing w:val="-9"/>
          <w:sz w:val="24"/>
          <w:szCs w:val="24"/>
          <w:lang w:val="zh-CN" w:eastAsia="zh-CN" w:bidi="zh-CN"/>
        </w:rPr>
        <w:t>（</w:t>
      </w:r>
      <w:r>
        <w:rPr>
          <w:rFonts w:hint="eastAsia" w:ascii="宋体" w:hAnsi="宋体" w:cs="宋体"/>
          <w:color w:val="auto"/>
          <w:spacing w:val="-9"/>
          <w:sz w:val="24"/>
          <w:szCs w:val="24"/>
          <w:lang w:val="en-US" w:eastAsia="zh-CN" w:bidi="zh-CN"/>
        </w:rPr>
        <w:t>6</w:t>
      </w:r>
      <w:r>
        <w:rPr>
          <w:rFonts w:hint="eastAsia" w:ascii="宋体" w:hAnsi="宋体" w:eastAsia="宋体" w:cs="宋体"/>
          <w:color w:val="auto"/>
          <w:spacing w:val="-9"/>
          <w:sz w:val="24"/>
          <w:szCs w:val="24"/>
          <w:lang w:val="zh-CN" w:eastAsia="zh-CN" w:bidi="zh-CN"/>
        </w:rPr>
        <w:t>）提出质疑的日期。</w:t>
      </w:r>
    </w:p>
    <w:p w14:paraId="7B300BAA">
      <w:pPr>
        <w:pageBreakBefore w:val="0"/>
        <w:kinsoku/>
        <w:overflowPunct/>
        <w:topLinePunct w:val="0"/>
        <w:autoSpaceDE/>
        <w:autoSpaceDN/>
        <w:bidi w:val="0"/>
        <w:snapToGrid/>
        <w:spacing w:line="360" w:lineRule="auto"/>
        <w:ind w:left="0" w:leftChars="0" w:right="0" w:firstLine="444" w:firstLineChars="200"/>
        <w:jc w:val="both"/>
        <w:textAlignment w:val="auto"/>
        <w:rPr>
          <w:rFonts w:hint="default" w:ascii="宋体" w:hAnsi="宋体" w:eastAsia="宋体" w:cs="宋体"/>
          <w:color w:val="auto"/>
          <w:spacing w:val="-9"/>
          <w:w w:val="100"/>
          <w:sz w:val="24"/>
          <w:szCs w:val="24"/>
          <w:lang w:val="zh-CN" w:eastAsia="zh-CN" w:bidi="zh-CN"/>
        </w:rPr>
      </w:pPr>
      <w:r>
        <w:rPr>
          <w:rFonts w:hint="default" w:ascii="宋体" w:hAnsi="宋体" w:eastAsia="宋体" w:cs="宋体"/>
          <w:color w:val="auto"/>
          <w:spacing w:val="-9"/>
          <w:w w:val="100"/>
          <w:sz w:val="24"/>
          <w:szCs w:val="24"/>
          <w:lang w:val="zh-CN" w:eastAsia="zh-CN" w:bidi="zh-CN"/>
        </w:rPr>
        <w:t>供应商为自然人的，应当由本人签字；供应商为法人或者其他组织的，应当由法定代表人、主要负责人，或者其授权代表签字或者盖章，并加盖公章。</w:t>
      </w:r>
    </w:p>
    <w:p w14:paraId="6D34001E">
      <w:pPr>
        <w:pageBreakBefore w:val="0"/>
        <w:kinsoku/>
        <w:overflowPunct/>
        <w:topLinePunct w:val="0"/>
        <w:autoSpaceDE/>
        <w:autoSpaceDN/>
        <w:bidi w:val="0"/>
        <w:snapToGrid/>
        <w:spacing w:line="360" w:lineRule="auto"/>
        <w:ind w:left="0" w:leftChars="0" w:right="0" w:firstLine="444" w:firstLineChars="200"/>
        <w:jc w:val="both"/>
        <w:textAlignment w:val="auto"/>
        <w:rPr>
          <w:rFonts w:ascii="宋体" w:hAnsi="宋体" w:eastAsia="宋体" w:cs="宋体"/>
          <w:spacing w:val="-9"/>
          <w:sz w:val="24"/>
          <w:szCs w:val="24"/>
          <w:lang w:val="zh-CN" w:eastAsia="zh-CN" w:bidi="zh-CN"/>
        </w:rPr>
      </w:pPr>
      <w:r>
        <w:rPr>
          <w:rFonts w:hint="default" w:ascii="宋体" w:hAnsi="宋体" w:eastAsia="宋体" w:cs="宋体"/>
          <w:color w:val="auto"/>
          <w:spacing w:val="-9"/>
          <w:w w:val="100"/>
          <w:sz w:val="24"/>
          <w:szCs w:val="24"/>
          <w:lang w:val="zh-CN" w:eastAsia="zh-CN" w:bidi="zh-CN"/>
        </w:rPr>
        <w:t>3.</w:t>
      </w:r>
      <w:r>
        <w:rPr>
          <w:rFonts w:ascii="宋体" w:hAnsi="宋体" w:eastAsia="宋体" w:cs="宋体"/>
          <w:color w:val="auto"/>
          <w:spacing w:val="-9"/>
          <w:sz w:val="24"/>
          <w:szCs w:val="24"/>
          <w:lang w:val="zh-CN" w:eastAsia="zh-CN" w:bidi="zh-CN"/>
        </w:rPr>
        <w:t>在法定时间内提出质疑。供应商在认为采购文件</w:t>
      </w:r>
      <w:r>
        <w:rPr>
          <w:rFonts w:ascii="宋体" w:hAnsi="宋体" w:eastAsia="宋体" w:cs="宋体"/>
          <w:spacing w:val="-9"/>
          <w:sz w:val="24"/>
          <w:szCs w:val="24"/>
          <w:lang w:val="zh-CN" w:eastAsia="zh-CN" w:bidi="zh-CN"/>
        </w:rPr>
        <w:t>、采购过程、中标和成交结果等使自已的利益受到损害后的</w:t>
      </w:r>
      <w:r>
        <w:rPr>
          <w:rFonts w:hint="eastAsia" w:ascii="宋体" w:hAnsi="宋体" w:cs="宋体"/>
          <w:spacing w:val="-9"/>
          <w:sz w:val="24"/>
          <w:szCs w:val="24"/>
          <w:lang w:val="en-US" w:eastAsia="zh-CN" w:bidi="zh-CN"/>
        </w:rPr>
        <w:t>7</w:t>
      </w:r>
      <w:r>
        <w:rPr>
          <w:rFonts w:ascii="宋体" w:hAnsi="宋体" w:eastAsia="宋体" w:cs="宋体"/>
          <w:spacing w:val="-9"/>
          <w:sz w:val="24"/>
          <w:szCs w:val="24"/>
          <w:lang w:val="zh-CN" w:eastAsia="zh-CN" w:bidi="zh-CN"/>
        </w:rPr>
        <w:t>个工作日内提出质疑。</w:t>
      </w:r>
    </w:p>
    <w:p w14:paraId="24526818">
      <w:pPr>
        <w:pageBreakBefore w:val="0"/>
        <w:kinsoku/>
        <w:overflowPunct/>
        <w:topLinePunct w:val="0"/>
        <w:autoSpaceDE/>
        <w:autoSpaceDN/>
        <w:bidi w:val="0"/>
        <w:snapToGrid/>
        <w:spacing w:line="360" w:lineRule="auto"/>
        <w:ind w:left="0" w:leftChars="0" w:right="0" w:firstLine="444" w:firstLineChars="200"/>
        <w:jc w:val="both"/>
        <w:textAlignment w:val="auto"/>
        <w:rPr>
          <w:rFonts w:ascii="宋体" w:hAnsi="宋体" w:eastAsia="宋体" w:cs="宋体"/>
          <w:color w:val="auto"/>
          <w:spacing w:val="-9"/>
          <w:sz w:val="24"/>
          <w:szCs w:val="24"/>
          <w:lang w:val="zh-CN" w:eastAsia="zh-CN" w:bidi="zh-CN"/>
        </w:rPr>
      </w:pPr>
      <w:r>
        <w:rPr>
          <w:rFonts w:hint="eastAsia" w:ascii="宋体" w:hAnsi="宋体" w:eastAsia="宋体" w:cs="宋体"/>
          <w:spacing w:val="-9"/>
          <w:w w:val="100"/>
          <w:sz w:val="24"/>
          <w:szCs w:val="24"/>
          <w:lang w:val="en-US" w:eastAsia="zh-CN" w:bidi="zh-CN"/>
        </w:rPr>
        <w:t>7</w:t>
      </w:r>
      <w:r>
        <w:rPr>
          <w:rFonts w:hint="default" w:ascii="宋体" w:hAnsi="宋体" w:eastAsia="宋体" w:cs="宋体"/>
          <w:spacing w:val="-9"/>
          <w:w w:val="100"/>
          <w:sz w:val="24"/>
          <w:szCs w:val="24"/>
          <w:lang w:val="zh-CN" w:eastAsia="zh-CN" w:bidi="zh-CN"/>
        </w:rPr>
        <w:t>.2.3</w:t>
      </w:r>
      <w:r>
        <w:rPr>
          <w:rFonts w:ascii="宋体" w:hAnsi="宋体" w:eastAsia="宋体" w:cs="宋体"/>
          <w:spacing w:val="-9"/>
          <w:sz w:val="24"/>
          <w:szCs w:val="24"/>
          <w:lang w:val="zh-CN" w:eastAsia="zh-CN" w:bidi="zh-CN"/>
        </w:rPr>
        <w:t>质</w:t>
      </w:r>
      <w:r>
        <w:rPr>
          <w:rFonts w:ascii="宋体" w:hAnsi="宋体" w:eastAsia="宋体" w:cs="宋体"/>
          <w:color w:val="auto"/>
          <w:spacing w:val="-9"/>
          <w:sz w:val="24"/>
          <w:szCs w:val="24"/>
          <w:lang w:val="zh-CN" w:eastAsia="zh-CN" w:bidi="zh-CN"/>
        </w:rPr>
        <w:t>疑具体要求及注意事项：</w:t>
      </w:r>
      <w:bookmarkStart w:id="151" w:name="_bookmark18"/>
      <w:bookmarkEnd w:id="151"/>
      <w:bookmarkStart w:id="152" w:name="_bookmark18"/>
      <w:bookmarkEnd w:id="152"/>
    </w:p>
    <w:p w14:paraId="1F49885D">
      <w:pPr>
        <w:pageBreakBefore w:val="0"/>
        <w:kinsoku/>
        <w:overflowPunct/>
        <w:topLinePunct w:val="0"/>
        <w:autoSpaceDE/>
        <w:autoSpaceDN/>
        <w:bidi w:val="0"/>
        <w:snapToGrid/>
        <w:spacing w:line="360" w:lineRule="auto"/>
        <w:ind w:left="0" w:leftChars="0" w:right="0" w:firstLine="444" w:firstLineChars="200"/>
        <w:jc w:val="both"/>
        <w:textAlignment w:val="auto"/>
        <w:rPr>
          <w:rFonts w:ascii="宋体" w:hAnsi="宋体" w:eastAsia="宋体" w:cs="宋体"/>
          <w:color w:val="auto"/>
          <w:spacing w:val="-9"/>
          <w:sz w:val="24"/>
          <w:szCs w:val="24"/>
          <w:lang w:val="zh-CN" w:eastAsia="zh-CN" w:bidi="zh-CN"/>
        </w:rPr>
      </w:pPr>
      <w:r>
        <w:rPr>
          <w:rFonts w:hint="default" w:ascii="宋体" w:hAnsi="宋体" w:eastAsia="宋体" w:cs="宋体"/>
          <w:color w:val="auto"/>
          <w:spacing w:val="-9"/>
          <w:w w:val="100"/>
          <w:sz w:val="24"/>
          <w:szCs w:val="24"/>
          <w:lang w:val="zh-CN" w:eastAsia="zh-CN" w:bidi="zh-CN"/>
        </w:rPr>
        <w:t>1.</w:t>
      </w:r>
      <w:r>
        <w:rPr>
          <w:rFonts w:ascii="宋体" w:hAnsi="宋体" w:eastAsia="宋体" w:cs="宋体"/>
          <w:color w:val="auto"/>
          <w:spacing w:val="-9"/>
          <w:sz w:val="24"/>
          <w:szCs w:val="24"/>
          <w:lang w:val="zh-CN" w:eastAsia="zh-CN" w:bidi="zh-CN"/>
        </w:rPr>
        <w:t>质疑函一式两份，加盖公章后，一份</w:t>
      </w:r>
      <w:r>
        <w:rPr>
          <w:rFonts w:hint="eastAsia" w:ascii="宋体" w:hAnsi="宋体" w:cs="宋体"/>
          <w:color w:val="auto"/>
          <w:spacing w:val="-9"/>
          <w:sz w:val="24"/>
          <w:szCs w:val="24"/>
          <w:lang w:val="en-US" w:eastAsia="zh-CN" w:bidi="zh-CN"/>
        </w:rPr>
        <w:t>上传至贵州省公共资源交易平台，</w:t>
      </w:r>
      <w:r>
        <w:rPr>
          <w:rFonts w:ascii="宋体" w:hAnsi="宋体" w:eastAsia="宋体" w:cs="宋体"/>
          <w:color w:val="auto"/>
          <w:spacing w:val="-9"/>
          <w:sz w:val="24"/>
          <w:szCs w:val="24"/>
          <w:lang w:val="zh-CN" w:eastAsia="zh-CN" w:bidi="zh-CN"/>
        </w:rPr>
        <w:t>一份送</w:t>
      </w:r>
      <w:r>
        <w:rPr>
          <w:rFonts w:hint="eastAsia" w:ascii="宋体" w:hAnsi="宋体" w:cs="宋体"/>
          <w:color w:val="auto"/>
          <w:spacing w:val="-9"/>
          <w:sz w:val="24"/>
          <w:szCs w:val="24"/>
          <w:lang w:val="en-US" w:eastAsia="zh-CN" w:bidi="zh-CN"/>
        </w:rPr>
        <w:t>本项目</w:t>
      </w:r>
      <w:r>
        <w:rPr>
          <w:rFonts w:ascii="宋体" w:hAnsi="宋体" w:eastAsia="宋体" w:cs="宋体"/>
          <w:color w:val="auto"/>
          <w:spacing w:val="-9"/>
          <w:sz w:val="24"/>
          <w:szCs w:val="24"/>
          <w:lang w:val="zh-CN" w:eastAsia="zh-CN" w:bidi="zh-CN"/>
        </w:rPr>
        <w:t>代理机构</w:t>
      </w:r>
      <w:r>
        <w:rPr>
          <w:rFonts w:hint="eastAsia" w:ascii="宋体" w:hAnsi="宋体" w:cs="宋体"/>
          <w:color w:val="auto"/>
          <w:spacing w:val="-9"/>
          <w:sz w:val="24"/>
          <w:szCs w:val="24"/>
          <w:lang w:val="en-US" w:eastAsia="zh-CN" w:bidi="zh-CN"/>
        </w:rPr>
        <w:t>或</w:t>
      </w:r>
      <w:r>
        <w:rPr>
          <w:rFonts w:ascii="宋体" w:hAnsi="宋体" w:eastAsia="宋体" w:cs="宋体"/>
          <w:color w:val="auto"/>
          <w:spacing w:val="-9"/>
          <w:sz w:val="24"/>
          <w:szCs w:val="24"/>
          <w:lang w:val="zh-CN" w:eastAsia="zh-CN" w:bidi="zh-CN"/>
        </w:rPr>
        <w:t>采购人处。</w:t>
      </w:r>
    </w:p>
    <w:p w14:paraId="6CF7666F">
      <w:pPr>
        <w:autoSpaceDE/>
        <w:autoSpaceDN/>
        <w:spacing w:line="360" w:lineRule="auto"/>
        <w:ind w:left="0" w:leftChars="0" w:right="0" w:firstLine="444" w:firstLineChars="200"/>
        <w:rPr>
          <w:rFonts w:ascii="宋体" w:hAnsi="宋体" w:eastAsia="宋体" w:cs="宋体"/>
          <w:color w:val="auto"/>
          <w:spacing w:val="-9"/>
          <w:sz w:val="24"/>
          <w:szCs w:val="24"/>
          <w:lang w:val="zh-CN" w:eastAsia="zh-CN" w:bidi="zh-CN"/>
        </w:rPr>
      </w:pPr>
      <w:r>
        <w:rPr>
          <w:rFonts w:hint="default" w:ascii="宋体" w:hAnsi="宋体" w:eastAsia="宋体" w:cs="宋体"/>
          <w:color w:val="auto"/>
          <w:spacing w:val="-9"/>
          <w:w w:val="100"/>
          <w:sz w:val="24"/>
          <w:szCs w:val="24"/>
          <w:lang w:val="zh-CN" w:eastAsia="zh-CN" w:bidi="zh-CN"/>
        </w:rPr>
        <w:t>2.</w:t>
      </w:r>
      <w:r>
        <w:rPr>
          <w:rFonts w:ascii="宋体" w:hAnsi="宋体" w:eastAsia="宋体" w:cs="宋体"/>
          <w:color w:val="auto"/>
          <w:spacing w:val="-9"/>
          <w:sz w:val="24"/>
          <w:szCs w:val="24"/>
          <w:lang w:val="zh-CN" w:eastAsia="zh-CN" w:bidi="zh-CN"/>
        </w:rPr>
        <w:t>供应商对采购文件</w:t>
      </w:r>
      <w:r>
        <w:rPr>
          <w:rFonts w:ascii="宋体" w:hAnsi="宋体" w:eastAsia="宋体" w:cs="宋体"/>
          <w:spacing w:val="-9"/>
          <w:sz w:val="24"/>
          <w:szCs w:val="24"/>
          <w:lang w:val="zh-CN" w:eastAsia="zh-CN" w:bidi="zh-CN"/>
        </w:rPr>
        <w:t>质疑的截止时间为：供应商下载采购文件文件之日起 7 个工作日内。供应商提供书面质疑文件的同时，向采购人或采购</w:t>
      </w:r>
      <w:r>
        <w:rPr>
          <w:rFonts w:ascii="宋体" w:hAnsi="宋体" w:eastAsia="宋体" w:cs="宋体"/>
          <w:color w:val="auto"/>
          <w:spacing w:val="-9"/>
          <w:sz w:val="24"/>
          <w:szCs w:val="24"/>
          <w:lang w:val="zh-CN" w:eastAsia="zh-CN" w:bidi="zh-CN"/>
        </w:rPr>
        <w:t>代理机构出示文件</w:t>
      </w:r>
      <w:r>
        <w:rPr>
          <w:rFonts w:hint="eastAsia" w:ascii="宋体" w:hAnsi="宋体" w:cs="宋体"/>
          <w:color w:val="auto"/>
          <w:spacing w:val="-9"/>
          <w:sz w:val="24"/>
          <w:szCs w:val="24"/>
          <w:lang w:val="en-US" w:eastAsia="zh-CN" w:bidi="zh-CN"/>
        </w:rPr>
        <w:t>下载</w:t>
      </w:r>
      <w:r>
        <w:rPr>
          <w:rFonts w:ascii="宋体" w:hAnsi="宋体" w:eastAsia="宋体" w:cs="宋体"/>
          <w:color w:val="auto"/>
          <w:spacing w:val="-9"/>
          <w:sz w:val="24"/>
          <w:szCs w:val="24"/>
          <w:lang w:val="zh-CN" w:eastAsia="zh-CN" w:bidi="zh-CN"/>
        </w:rPr>
        <w:t>凭证。</w:t>
      </w:r>
    </w:p>
    <w:p w14:paraId="19991F3B">
      <w:pPr>
        <w:autoSpaceDE/>
        <w:autoSpaceDN/>
        <w:spacing w:line="360" w:lineRule="auto"/>
        <w:ind w:left="0" w:leftChars="0" w:firstLine="444" w:firstLineChars="200"/>
        <w:rPr>
          <w:rFonts w:hint="eastAsia" w:ascii="宋体" w:hAnsi="宋体" w:cs="宋体"/>
          <w:color w:val="auto"/>
          <w:spacing w:val="-9"/>
          <w:w w:val="100"/>
          <w:sz w:val="24"/>
          <w:szCs w:val="24"/>
          <w:lang w:val="en-US" w:eastAsia="zh-CN" w:bidi="zh-CN"/>
        </w:rPr>
      </w:pPr>
      <w:r>
        <w:rPr>
          <w:rFonts w:hint="eastAsia" w:ascii="宋体" w:hAnsi="宋体" w:cs="宋体"/>
          <w:spacing w:val="-9"/>
          <w:w w:val="100"/>
          <w:sz w:val="24"/>
          <w:szCs w:val="24"/>
          <w:lang w:val="en-US" w:eastAsia="zh-CN" w:bidi="zh-CN"/>
        </w:rPr>
        <w:t>3.质疑文件</w:t>
      </w:r>
      <w:r>
        <w:rPr>
          <w:rFonts w:hint="eastAsia" w:ascii="宋体" w:hAnsi="宋体" w:cs="宋体"/>
          <w:color w:val="auto"/>
          <w:spacing w:val="-9"/>
          <w:w w:val="100"/>
          <w:sz w:val="24"/>
          <w:szCs w:val="24"/>
          <w:lang w:val="en-US" w:eastAsia="zh-CN" w:bidi="zh-CN"/>
        </w:rPr>
        <w:t>递交地点：</w:t>
      </w:r>
    </w:p>
    <w:p w14:paraId="4A16FA35">
      <w:pPr>
        <w:autoSpaceDE/>
        <w:autoSpaceDN/>
        <w:spacing w:line="360" w:lineRule="auto"/>
        <w:ind w:left="0" w:leftChars="0" w:firstLine="444" w:firstLineChars="200"/>
        <w:rPr>
          <w:rFonts w:hint="default" w:ascii="宋体" w:hAnsi="宋体" w:cs="宋体"/>
          <w:color w:val="auto"/>
          <w:spacing w:val="-9"/>
          <w:w w:val="100"/>
          <w:sz w:val="24"/>
          <w:szCs w:val="24"/>
          <w:lang w:val="en-US" w:eastAsia="zh-CN" w:bidi="zh-CN"/>
        </w:rPr>
      </w:pPr>
      <w:r>
        <w:rPr>
          <w:rFonts w:hint="default" w:ascii="宋体" w:hAnsi="宋体" w:cs="宋体"/>
          <w:color w:val="auto"/>
          <w:spacing w:val="-9"/>
          <w:w w:val="100"/>
          <w:sz w:val="24"/>
          <w:szCs w:val="24"/>
          <w:lang w:val="en-US" w:eastAsia="zh-CN" w:bidi="zh-CN"/>
        </w:rPr>
        <w:t>代理机构：贵州公明建设投资咨询有限公司</w:t>
      </w:r>
    </w:p>
    <w:p w14:paraId="6CF688D6">
      <w:pPr>
        <w:autoSpaceDE/>
        <w:autoSpaceDN/>
        <w:spacing w:line="360" w:lineRule="auto"/>
        <w:ind w:left="0" w:leftChars="0" w:firstLine="444" w:firstLineChars="200"/>
        <w:rPr>
          <w:rFonts w:hint="default" w:ascii="宋体" w:hAnsi="宋体" w:cs="宋体"/>
          <w:color w:val="auto"/>
          <w:spacing w:val="-9"/>
          <w:w w:val="100"/>
          <w:sz w:val="24"/>
          <w:szCs w:val="24"/>
          <w:lang w:val="en-US" w:eastAsia="zh-CN" w:bidi="zh-CN"/>
        </w:rPr>
      </w:pPr>
      <w:r>
        <w:rPr>
          <w:rFonts w:hint="default" w:ascii="宋体" w:hAnsi="宋体" w:cs="宋体"/>
          <w:color w:val="auto"/>
          <w:spacing w:val="-9"/>
          <w:w w:val="100"/>
          <w:sz w:val="24"/>
          <w:szCs w:val="24"/>
          <w:lang w:val="en-US" w:eastAsia="zh-CN" w:bidi="zh-CN"/>
        </w:rPr>
        <w:t xml:space="preserve">地址：贵州省贵阳市观山湖区林城西路28号 </w:t>
      </w:r>
    </w:p>
    <w:p w14:paraId="1C01F3E4">
      <w:pPr>
        <w:autoSpaceDE/>
        <w:autoSpaceDN/>
        <w:spacing w:line="360" w:lineRule="auto"/>
        <w:ind w:left="0" w:leftChars="0" w:firstLine="444" w:firstLineChars="200"/>
        <w:rPr>
          <w:rFonts w:hint="default" w:ascii="宋体" w:hAnsi="宋体" w:cs="宋体"/>
          <w:color w:val="auto"/>
          <w:spacing w:val="-9"/>
          <w:w w:val="100"/>
          <w:sz w:val="24"/>
          <w:szCs w:val="24"/>
          <w:lang w:val="en-US" w:eastAsia="zh-CN" w:bidi="zh-CN"/>
        </w:rPr>
      </w:pPr>
      <w:r>
        <w:rPr>
          <w:rFonts w:hint="default" w:ascii="宋体" w:hAnsi="宋体" w:cs="宋体"/>
          <w:color w:val="auto"/>
          <w:spacing w:val="-9"/>
          <w:w w:val="100"/>
          <w:sz w:val="24"/>
          <w:szCs w:val="24"/>
          <w:lang w:val="en-US" w:eastAsia="zh-CN" w:bidi="zh-CN"/>
        </w:rPr>
        <w:t>联系人：李宁</w:t>
      </w:r>
    </w:p>
    <w:p w14:paraId="696613C9">
      <w:pPr>
        <w:autoSpaceDE/>
        <w:autoSpaceDN/>
        <w:spacing w:line="360" w:lineRule="auto"/>
        <w:ind w:left="0" w:leftChars="0" w:firstLine="444" w:firstLineChars="200"/>
        <w:rPr>
          <w:rFonts w:hint="default" w:ascii="宋体" w:hAnsi="宋体" w:cs="宋体"/>
          <w:spacing w:val="-9"/>
          <w:w w:val="100"/>
          <w:sz w:val="24"/>
          <w:szCs w:val="24"/>
          <w:lang w:val="en-US" w:eastAsia="zh-CN" w:bidi="zh-CN"/>
        </w:rPr>
      </w:pPr>
      <w:r>
        <w:rPr>
          <w:rFonts w:hint="default" w:ascii="宋体" w:hAnsi="宋体" w:cs="宋体"/>
          <w:color w:val="auto"/>
          <w:spacing w:val="-9"/>
          <w:w w:val="100"/>
          <w:sz w:val="24"/>
          <w:szCs w:val="24"/>
          <w:lang w:val="en-US" w:eastAsia="zh-CN" w:bidi="zh-CN"/>
        </w:rPr>
        <w:t xml:space="preserve">联系方式：18585628339     </w:t>
      </w:r>
      <w:r>
        <w:rPr>
          <w:rFonts w:hint="default" w:ascii="宋体" w:hAnsi="宋体" w:cs="宋体"/>
          <w:spacing w:val="-9"/>
          <w:w w:val="100"/>
          <w:sz w:val="24"/>
          <w:szCs w:val="24"/>
          <w:lang w:val="en-US" w:eastAsia="zh-CN" w:bidi="zh-CN"/>
        </w:rPr>
        <w:t xml:space="preserve">   </w:t>
      </w:r>
    </w:p>
    <w:p w14:paraId="660E840D">
      <w:pPr>
        <w:autoSpaceDE/>
        <w:autoSpaceDN/>
        <w:spacing w:line="360" w:lineRule="auto"/>
        <w:ind w:left="0" w:leftChars="0" w:firstLine="444" w:firstLineChars="200"/>
        <w:rPr>
          <w:rFonts w:ascii="宋体" w:hAnsi="宋体" w:eastAsia="宋体" w:cs="宋体"/>
          <w:spacing w:val="-9"/>
          <w:sz w:val="24"/>
          <w:szCs w:val="24"/>
          <w:lang w:val="zh-CN" w:eastAsia="zh-CN" w:bidi="zh-CN"/>
        </w:rPr>
      </w:pPr>
      <w:r>
        <w:rPr>
          <w:rFonts w:hint="eastAsia" w:ascii="宋体" w:hAnsi="宋体" w:eastAsia="宋体" w:cs="宋体"/>
          <w:spacing w:val="-9"/>
          <w:w w:val="100"/>
          <w:sz w:val="24"/>
          <w:szCs w:val="24"/>
          <w:lang w:val="en-US" w:eastAsia="zh-CN" w:bidi="zh-CN"/>
        </w:rPr>
        <w:t>7</w:t>
      </w:r>
      <w:r>
        <w:rPr>
          <w:rFonts w:hint="default" w:ascii="宋体" w:hAnsi="宋体" w:eastAsia="宋体" w:cs="宋体"/>
          <w:spacing w:val="-9"/>
          <w:w w:val="100"/>
          <w:sz w:val="24"/>
          <w:szCs w:val="24"/>
          <w:lang w:val="zh-CN" w:eastAsia="zh-CN" w:bidi="zh-CN"/>
        </w:rPr>
        <w:t>.2.4</w:t>
      </w:r>
      <w:r>
        <w:rPr>
          <w:rFonts w:ascii="宋体" w:hAnsi="宋体" w:eastAsia="宋体" w:cs="宋体"/>
          <w:spacing w:val="-9"/>
          <w:sz w:val="24"/>
          <w:szCs w:val="24"/>
          <w:lang w:val="zh-CN" w:eastAsia="zh-CN" w:bidi="zh-CN"/>
        </w:rPr>
        <w:t>质疑答复</w:t>
      </w:r>
    </w:p>
    <w:p w14:paraId="445CE904">
      <w:pPr>
        <w:autoSpaceDE/>
        <w:autoSpaceDN/>
        <w:spacing w:line="360" w:lineRule="auto"/>
        <w:ind w:left="0" w:leftChars="0" w:firstLine="444" w:firstLineChars="200"/>
        <w:rPr>
          <w:rFonts w:ascii="宋体" w:hAnsi="宋体" w:eastAsia="宋体" w:cs="宋体"/>
          <w:sz w:val="24"/>
          <w:szCs w:val="24"/>
          <w:lang w:val="zh-CN" w:eastAsia="zh-CN" w:bidi="zh-CN"/>
        </w:rPr>
      </w:pPr>
      <w:r>
        <w:rPr>
          <w:rFonts w:ascii="宋体" w:hAnsi="宋体" w:eastAsia="宋体" w:cs="宋体"/>
          <w:spacing w:val="-9"/>
          <w:sz w:val="24"/>
          <w:szCs w:val="24"/>
          <w:lang w:val="zh-CN" w:eastAsia="zh-CN" w:bidi="zh-CN"/>
        </w:rPr>
        <w:t>采购人或者采购代</w:t>
      </w:r>
      <w:r>
        <w:rPr>
          <w:rFonts w:ascii="宋体" w:hAnsi="宋体" w:eastAsia="宋体" w:cs="宋体"/>
          <w:color w:val="auto"/>
          <w:spacing w:val="-9"/>
          <w:sz w:val="24"/>
          <w:szCs w:val="24"/>
          <w:lang w:val="zh-CN" w:eastAsia="zh-CN" w:bidi="zh-CN"/>
        </w:rPr>
        <w:t>理机构应当在</w:t>
      </w:r>
      <w:r>
        <w:rPr>
          <w:rFonts w:hint="eastAsia" w:ascii="宋体" w:hAnsi="宋体" w:eastAsia="宋体" w:cs="宋体"/>
          <w:color w:val="auto"/>
          <w:spacing w:val="-9"/>
          <w:sz w:val="24"/>
          <w:szCs w:val="24"/>
          <w:lang w:val="zh-CN" w:eastAsia="zh-CN" w:bidi="zh-CN"/>
        </w:rPr>
        <w:t>收到供应商质疑后</w:t>
      </w:r>
      <w:r>
        <w:rPr>
          <w:rFonts w:hint="eastAsia" w:ascii="宋体" w:hAnsi="宋体" w:cs="宋体"/>
          <w:color w:val="auto"/>
          <w:spacing w:val="-9"/>
          <w:sz w:val="24"/>
          <w:szCs w:val="24"/>
          <w:lang w:val="en-US" w:eastAsia="zh-CN" w:bidi="zh-CN"/>
        </w:rPr>
        <w:t>的</w:t>
      </w:r>
      <w:r>
        <w:rPr>
          <w:rFonts w:ascii="宋体" w:hAnsi="宋体" w:eastAsia="宋体" w:cs="宋体"/>
          <w:color w:val="auto"/>
          <w:spacing w:val="-9"/>
          <w:sz w:val="24"/>
          <w:szCs w:val="24"/>
          <w:lang w:val="zh-CN" w:eastAsia="zh-CN" w:bidi="zh-CN"/>
        </w:rPr>
        <w:t>7 个工作日内作出答复。供应商</w:t>
      </w:r>
      <w:r>
        <w:rPr>
          <w:rFonts w:ascii="宋体" w:hAnsi="宋体" w:eastAsia="宋体" w:cs="宋体"/>
          <w:spacing w:val="-9"/>
          <w:sz w:val="24"/>
          <w:szCs w:val="24"/>
          <w:lang w:val="zh-CN" w:eastAsia="zh-CN" w:bidi="zh-CN"/>
        </w:rPr>
        <w:t>提出质疑超出采购人对采购代理机构委托授权范围的，采购代理机构应当告知供应商向采购人提出。政府采购评审专家应当配合采购人或者采购代理机构答复供应商的询问和质疑。</w:t>
      </w:r>
    </w:p>
    <w:p w14:paraId="0D07FC38">
      <w:pPr>
        <w:autoSpaceDE/>
        <w:autoSpaceDN/>
        <w:spacing w:line="360" w:lineRule="auto"/>
        <w:ind w:left="0" w:leftChars="0" w:right="0" w:firstLine="444" w:firstLineChars="200"/>
        <w:rPr>
          <w:rFonts w:ascii="宋体" w:hAnsi="宋体" w:eastAsia="宋体" w:cs="宋体"/>
          <w:spacing w:val="-9"/>
          <w:sz w:val="24"/>
          <w:szCs w:val="24"/>
          <w:lang w:val="zh-CN" w:eastAsia="zh-CN" w:bidi="zh-CN"/>
        </w:rPr>
      </w:pPr>
      <w:r>
        <w:rPr>
          <w:rFonts w:hint="eastAsia" w:ascii="宋体" w:hAnsi="宋体" w:eastAsia="宋体" w:cs="宋体"/>
          <w:spacing w:val="-9"/>
          <w:w w:val="100"/>
          <w:sz w:val="24"/>
          <w:szCs w:val="24"/>
          <w:lang w:val="en-US" w:eastAsia="zh-CN" w:bidi="zh-CN"/>
        </w:rPr>
        <w:t>7</w:t>
      </w:r>
      <w:r>
        <w:rPr>
          <w:rFonts w:hint="default" w:ascii="宋体" w:hAnsi="宋体" w:eastAsia="宋体" w:cs="宋体"/>
          <w:spacing w:val="-9"/>
          <w:w w:val="100"/>
          <w:sz w:val="24"/>
          <w:szCs w:val="24"/>
          <w:lang w:val="zh-CN" w:eastAsia="zh-CN" w:bidi="zh-CN"/>
        </w:rPr>
        <w:t>.2.5</w:t>
      </w:r>
      <w:r>
        <w:rPr>
          <w:rFonts w:ascii="宋体" w:hAnsi="宋体" w:eastAsia="宋体" w:cs="宋体"/>
          <w:spacing w:val="-9"/>
          <w:sz w:val="24"/>
          <w:szCs w:val="24"/>
          <w:lang w:val="zh-CN" w:eastAsia="zh-CN" w:bidi="zh-CN"/>
        </w:rPr>
        <w:t>提出质疑的供应商对采购人或代理机构的答复不满意或采购人、采购代理机构在规定的时间内未作出答复的，可在收到答复之日起或答复期满后十五个工作日内向采购人同级政府采购监督部门投诉。</w:t>
      </w:r>
    </w:p>
    <w:p w14:paraId="138FC6B7">
      <w:pPr>
        <w:autoSpaceDE/>
        <w:autoSpaceDN/>
        <w:spacing w:line="360" w:lineRule="auto"/>
        <w:ind w:left="0" w:leftChars="0" w:firstLine="444" w:firstLineChars="200"/>
        <w:jc w:val="both"/>
        <w:rPr>
          <w:rFonts w:ascii="宋体" w:hAnsi="宋体" w:eastAsia="宋体" w:cs="宋体"/>
          <w:spacing w:val="-9"/>
          <w:sz w:val="24"/>
          <w:szCs w:val="24"/>
          <w:lang w:val="zh-CN" w:eastAsia="zh-CN" w:bidi="zh-CN"/>
        </w:rPr>
      </w:pPr>
      <w:r>
        <w:rPr>
          <w:rFonts w:ascii="宋体" w:hAnsi="宋体" w:eastAsia="宋体" w:cs="宋体"/>
          <w:spacing w:val="-9"/>
          <w:sz w:val="24"/>
          <w:szCs w:val="24"/>
          <w:lang w:val="zh-CN" w:eastAsia="zh-CN" w:bidi="zh-CN"/>
        </w:rPr>
        <w:t>监督部门：</w:t>
      </w:r>
      <w:r>
        <w:rPr>
          <w:rFonts w:ascii="宋体" w:hAnsi="宋体" w:eastAsia="宋体" w:cs="宋体"/>
          <w:spacing w:val="-9"/>
          <w:sz w:val="24"/>
          <w:szCs w:val="24"/>
          <w:u w:val="none"/>
          <w:lang w:val="zh-CN" w:eastAsia="zh-CN" w:bidi="zh-CN"/>
        </w:rPr>
        <w:t>贵州省财政厅</w:t>
      </w:r>
    </w:p>
    <w:p w14:paraId="54E3B2D9">
      <w:pPr>
        <w:autoSpaceDE/>
        <w:autoSpaceDN/>
        <w:spacing w:line="360" w:lineRule="auto"/>
        <w:ind w:left="0" w:leftChars="0" w:firstLine="444" w:firstLineChars="200"/>
        <w:jc w:val="both"/>
        <w:rPr>
          <w:rFonts w:ascii="宋体" w:hAnsi="宋体" w:eastAsia="宋体" w:cs="宋体"/>
          <w:spacing w:val="-9"/>
          <w:sz w:val="24"/>
          <w:szCs w:val="24"/>
          <w:u w:val="none"/>
          <w:lang w:val="zh-CN" w:eastAsia="zh-CN" w:bidi="zh-CN"/>
        </w:rPr>
      </w:pPr>
      <w:r>
        <w:rPr>
          <w:rFonts w:ascii="宋体" w:hAnsi="宋体" w:eastAsia="宋体" w:cs="宋体"/>
          <w:spacing w:val="-9"/>
          <w:sz w:val="24"/>
          <w:szCs w:val="24"/>
          <w:lang w:val="zh-CN" w:eastAsia="zh-CN" w:bidi="zh-CN"/>
        </w:rPr>
        <w:t>监督电话：</w:t>
      </w:r>
      <w:r>
        <w:rPr>
          <w:rFonts w:ascii="宋体" w:hAnsi="宋体" w:eastAsia="宋体" w:cs="宋体"/>
          <w:spacing w:val="-9"/>
          <w:sz w:val="24"/>
          <w:szCs w:val="24"/>
          <w:u w:val="none"/>
          <w:lang w:val="zh-CN" w:eastAsia="zh-CN" w:bidi="zh-CN"/>
        </w:rPr>
        <w:t>0851-86893267</w:t>
      </w:r>
    </w:p>
    <w:p w14:paraId="515B4B67">
      <w:pPr>
        <w:autoSpaceDE/>
        <w:autoSpaceDN/>
        <w:spacing w:line="360" w:lineRule="auto"/>
        <w:ind w:left="0" w:leftChars="0" w:firstLine="444" w:firstLineChars="200"/>
        <w:jc w:val="both"/>
        <w:rPr>
          <w:rFonts w:ascii="宋体" w:hAnsi="宋体" w:eastAsia="宋体" w:cs="宋体"/>
          <w:sz w:val="24"/>
          <w:szCs w:val="24"/>
          <w:lang w:val="zh-CN" w:eastAsia="zh-CN" w:bidi="zh-CN"/>
        </w:rPr>
      </w:pPr>
      <w:r>
        <w:rPr>
          <w:rFonts w:ascii="宋体" w:hAnsi="宋体" w:eastAsia="宋体" w:cs="宋体"/>
          <w:spacing w:val="-9"/>
          <w:sz w:val="24"/>
          <w:szCs w:val="24"/>
          <w:u w:val="none"/>
          <w:lang w:val="zh-CN" w:eastAsia="zh-CN" w:bidi="zh-CN"/>
        </w:rPr>
        <w:t>详细地址：贵州省贵阳市云岩区中华北路省政府大院 7 号</w:t>
      </w:r>
      <w:r>
        <w:rPr>
          <w:rFonts w:ascii="宋体" w:hAnsi="宋体" w:eastAsia="宋体" w:cs="宋体"/>
          <w:sz w:val="24"/>
          <w:szCs w:val="24"/>
          <w:u w:val="none"/>
          <w:lang w:val="zh-CN" w:eastAsia="zh-CN" w:bidi="zh-CN"/>
        </w:rPr>
        <w:t>楼</w:t>
      </w:r>
    </w:p>
    <w:p w14:paraId="0D5B4E65">
      <w:pPr>
        <w:pStyle w:val="8"/>
        <w:spacing w:after="0" w:line="360" w:lineRule="auto"/>
        <w:ind w:firstLine="0" w:firstLineChars="0"/>
        <w:outlineLvl w:val="2"/>
        <w:rPr>
          <w:rFonts w:hint="eastAsia" w:ascii="宋体" w:hAnsi="宋体" w:eastAsia="宋体" w:cs="宋体"/>
          <w:color w:val="auto"/>
          <w:spacing w:val="1"/>
          <w:kern w:val="0"/>
          <w:sz w:val="28"/>
          <w:highlight w:val="none"/>
          <w:lang w:val="zh-CN" w:eastAsia="zh-CN"/>
        </w:rPr>
      </w:pPr>
      <w:bookmarkStart w:id="153" w:name="7.3定标"/>
      <w:bookmarkEnd w:id="153"/>
      <w:bookmarkStart w:id="154" w:name="7.3定标"/>
      <w:bookmarkEnd w:id="154"/>
      <w:bookmarkStart w:id="155" w:name="_Toc28109"/>
      <w:r>
        <w:rPr>
          <w:rFonts w:hint="eastAsia" w:ascii="宋体" w:hAnsi="宋体" w:eastAsia="宋体" w:cs="宋体"/>
          <w:color w:val="auto"/>
          <w:spacing w:val="1"/>
          <w:kern w:val="0"/>
          <w:sz w:val="28"/>
          <w:highlight w:val="none"/>
          <w:lang w:val="en-US" w:eastAsia="zh-CN"/>
        </w:rPr>
        <w:t>7</w:t>
      </w:r>
      <w:r>
        <w:rPr>
          <w:rFonts w:hint="default" w:ascii="宋体" w:hAnsi="宋体" w:eastAsia="宋体" w:cs="宋体"/>
          <w:color w:val="auto"/>
          <w:spacing w:val="1"/>
          <w:kern w:val="0"/>
          <w:sz w:val="28"/>
          <w:highlight w:val="none"/>
          <w:lang w:val="zh-CN" w:eastAsia="zh-CN"/>
        </w:rPr>
        <w:t>.3</w:t>
      </w:r>
      <w:r>
        <w:rPr>
          <w:rFonts w:hint="eastAsia" w:ascii="宋体" w:hAnsi="宋体" w:eastAsia="宋体" w:cs="宋体"/>
          <w:color w:val="auto"/>
          <w:spacing w:val="1"/>
          <w:kern w:val="0"/>
          <w:sz w:val="28"/>
          <w:highlight w:val="none"/>
          <w:lang w:val="zh-CN" w:eastAsia="zh-CN"/>
        </w:rPr>
        <w:t>定标</w:t>
      </w:r>
      <w:bookmarkEnd w:id="155"/>
    </w:p>
    <w:p w14:paraId="5EA70213">
      <w:pPr>
        <w:autoSpaceDE/>
        <w:autoSpaceDN/>
        <w:spacing w:before="0" w:line="360" w:lineRule="auto"/>
        <w:ind w:left="0" w:leftChars="0" w:right="0" w:firstLine="444" w:firstLineChars="200"/>
        <w:jc w:val="both"/>
        <w:rPr>
          <w:rFonts w:ascii="宋体" w:hAnsi="宋体" w:eastAsia="宋体" w:cs="宋体"/>
          <w:spacing w:val="-9"/>
          <w:sz w:val="24"/>
          <w:szCs w:val="24"/>
          <w:lang w:val="zh-CN" w:eastAsia="zh-CN" w:bidi="zh-CN"/>
        </w:rPr>
      </w:pPr>
      <w:r>
        <w:rPr>
          <w:rFonts w:ascii="宋体" w:hAnsi="宋体" w:eastAsia="宋体" w:cs="宋体"/>
          <w:spacing w:val="-9"/>
          <w:sz w:val="24"/>
          <w:szCs w:val="24"/>
          <w:lang w:val="zh-CN" w:eastAsia="zh-CN" w:bidi="zh-CN"/>
        </w:rPr>
        <w:t>按照供应商须知前附表的规定，采购人或采购人授权的评标委员会依法确定中标人。</w:t>
      </w:r>
    </w:p>
    <w:p w14:paraId="74F5AE35">
      <w:pPr>
        <w:pStyle w:val="8"/>
        <w:ind w:firstLine="0" w:firstLineChars="0"/>
        <w:outlineLvl w:val="2"/>
        <w:rPr>
          <w:rFonts w:hint="eastAsia" w:ascii="宋体" w:hAnsi="宋体" w:eastAsia="宋体" w:cs="宋体"/>
          <w:color w:val="auto"/>
          <w:spacing w:val="1"/>
          <w:kern w:val="0"/>
          <w:sz w:val="28"/>
          <w:highlight w:val="none"/>
          <w:lang w:val="zh-CN" w:eastAsia="zh-CN"/>
        </w:rPr>
      </w:pPr>
      <w:bookmarkStart w:id="156" w:name="_bookmark19"/>
      <w:bookmarkEnd w:id="156"/>
      <w:bookmarkStart w:id="157" w:name="7.4 履约保证金"/>
      <w:bookmarkEnd w:id="157"/>
      <w:bookmarkStart w:id="158" w:name="_bookmark19"/>
      <w:bookmarkEnd w:id="158"/>
      <w:bookmarkStart w:id="159" w:name="_Toc18905"/>
      <w:r>
        <w:rPr>
          <w:rFonts w:hint="eastAsia" w:ascii="宋体" w:hAnsi="宋体" w:eastAsia="宋体" w:cs="宋体"/>
          <w:color w:val="auto"/>
          <w:spacing w:val="1"/>
          <w:kern w:val="0"/>
          <w:sz w:val="28"/>
          <w:highlight w:val="none"/>
          <w:lang w:val="en-US" w:eastAsia="zh-CN"/>
        </w:rPr>
        <w:t>7</w:t>
      </w:r>
      <w:r>
        <w:rPr>
          <w:rFonts w:hint="default" w:ascii="宋体" w:hAnsi="宋体" w:eastAsia="宋体" w:cs="宋体"/>
          <w:color w:val="auto"/>
          <w:spacing w:val="1"/>
          <w:kern w:val="0"/>
          <w:sz w:val="28"/>
          <w:highlight w:val="none"/>
          <w:lang w:val="zh-CN" w:eastAsia="zh-CN"/>
        </w:rPr>
        <w:t>.4</w:t>
      </w:r>
      <w:r>
        <w:rPr>
          <w:rFonts w:hint="eastAsia" w:ascii="宋体" w:hAnsi="宋体" w:eastAsia="宋体" w:cs="宋体"/>
          <w:color w:val="auto"/>
          <w:spacing w:val="1"/>
          <w:kern w:val="0"/>
          <w:sz w:val="28"/>
          <w:highlight w:val="none"/>
          <w:lang w:val="zh-CN" w:eastAsia="zh-CN"/>
        </w:rPr>
        <w:t>履约保证金</w:t>
      </w:r>
      <w:bookmarkEnd w:id="159"/>
    </w:p>
    <w:p w14:paraId="27ED032C">
      <w:pPr>
        <w:autoSpaceDE/>
        <w:autoSpaceDN/>
        <w:spacing w:line="360" w:lineRule="auto"/>
        <w:ind w:left="0" w:leftChars="0" w:right="0" w:firstLine="444" w:firstLineChars="200"/>
        <w:rPr>
          <w:rFonts w:ascii="宋体" w:hAnsi="宋体" w:eastAsia="宋体" w:cs="宋体"/>
          <w:spacing w:val="-9"/>
          <w:sz w:val="24"/>
          <w:szCs w:val="24"/>
          <w:lang w:val="zh-CN" w:eastAsia="zh-CN" w:bidi="zh-CN"/>
        </w:rPr>
      </w:pPr>
      <w:r>
        <w:rPr>
          <w:rFonts w:hint="eastAsia" w:ascii="宋体" w:hAnsi="宋体" w:eastAsia="宋体" w:cs="宋体"/>
          <w:spacing w:val="-9"/>
          <w:w w:val="100"/>
          <w:sz w:val="24"/>
          <w:szCs w:val="24"/>
          <w:lang w:val="en-US" w:eastAsia="zh-CN" w:bidi="zh-CN"/>
        </w:rPr>
        <w:t>7</w:t>
      </w:r>
      <w:r>
        <w:rPr>
          <w:rFonts w:hint="default" w:ascii="宋体" w:hAnsi="宋体" w:eastAsia="宋体" w:cs="宋体"/>
          <w:spacing w:val="-9"/>
          <w:w w:val="100"/>
          <w:sz w:val="24"/>
          <w:szCs w:val="24"/>
          <w:lang w:val="zh-CN" w:eastAsia="zh-CN" w:bidi="zh-CN"/>
        </w:rPr>
        <w:t>.4.1</w:t>
      </w:r>
      <w:r>
        <w:rPr>
          <w:rFonts w:ascii="宋体" w:hAnsi="宋体" w:eastAsia="宋体" w:cs="宋体"/>
          <w:spacing w:val="-9"/>
          <w:sz w:val="24"/>
          <w:szCs w:val="24"/>
          <w:lang w:val="zh-CN" w:eastAsia="zh-CN" w:bidi="zh-CN"/>
        </w:rPr>
        <w:t>在签订合同前，中标人应按供应商须知前附表规定的形式、金额和采购文件第六章“合同条款”的规定向采购人提交履约保证金。除供应商须知前附表另有规定外，履约保证金为合同金额的5%。</w:t>
      </w:r>
    </w:p>
    <w:p w14:paraId="3B28D19F">
      <w:pPr>
        <w:autoSpaceDE/>
        <w:autoSpaceDN/>
        <w:spacing w:line="360" w:lineRule="auto"/>
        <w:ind w:left="0" w:leftChars="0" w:right="0" w:firstLine="444" w:firstLineChars="200"/>
        <w:jc w:val="both"/>
        <w:rPr>
          <w:rFonts w:ascii="宋体" w:hAnsi="宋体" w:eastAsia="宋体" w:cs="宋体"/>
          <w:spacing w:val="-9"/>
          <w:sz w:val="24"/>
          <w:szCs w:val="24"/>
          <w:lang w:val="zh-CN" w:eastAsia="zh-CN" w:bidi="zh-CN"/>
        </w:rPr>
      </w:pPr>
      <w:r>
        <w:rPr>
          <w:rFonts w:hint="eastAsia" w:ascii="宋体" w:hAnsi="宋体" w:eastAsia="宋体" w:cs="宋体"/>
          <w:spacing w:val="-9"/>
          <w:w w:val="100"/>
          <w:sz w:val="24"/>
          <w:szCs w:val="24"/>
          <w:lang w:val="en-US" w:eastAsia="zh-CN" w:bidi="zh-CN"/>
        </w:rPr>
        <w:t>7</w:t>
      </w:r>
      <w:r>
        <w:rPr>
          <w:rFonts w:hint="default" w:ascii="宋体" w:hAnsi="宋体" w:eastAsia="宋体" w:cs="宋体"/>
          <w:spacing w:val="-9"/>
          <w:w w:val="100"/>
          <w:sz w:val="24"/>
          <w:szCs w:val="24"/>
          <w:lang w:val="zh-CN" w:eastAsia="zh-CN" w:bidi="zh-CN"/>
        </w:rPr>
        <w:t>.4.2</w:t>
      </w:r>
      <w:r>
        <w:rPr>
          <w:rFonts w:ascii="宋体" w:hAnsi="宋体" w:eastAsia="宋体" w:cs="宋体"/>
          <w:spacing w:val="-9"/>
          <w:sz w:val="24"/>
          <w:szCs w:val="24"/>
          <w:lang w:val="zh-CN" w:eastAsia="zh-CN" w:bidi="zh-CN"/>
        </w:rPr>
        <w:t>中标人不能按本章第7.4.1项要求提交履约保证金的，视为放弃中标，其投标保证金不予退还，给采购人造成的损失超过投标保证金数额的，中标人还应当对超过部分予以赔偿。</w:t>
      </w:r>
    </w:p>
    <w:p w14:paraId="371A562C">
      <w:pPr>
        <w:pStyle w:val="8"/>
        <w:ind w:firstLine="0" w:firstLineChars="0"/>
        <w:outlineLvl w:val="2"/>
        <w:rPr>
          <w:rFonts w:hint="eastAsia" w:ascii="宋体" w:hAnsi="宋体" w:eastAsia="宋体" w:cs="宋体"/>
          <w:color w:val="auto"/>
          <w:spacing w:val="1"/>
          <w:kern w:val="0"/>
          <w:sz w:val="28"/>
          <w:highlight w:val="none"/>
          <w:lang w:val="zh-CN" w:eastAsia="zh-CN"/>
        </w:rPr>
      </w:pPr>
      <w:bookmarkStart w:id="160" w:name="7.5签订采购合同"/>
      <w:bookmarkEnd w:id="160"/>
      <w:bookmarkStart w:id="161" w:name="7.5签订采购合同"/>
      <w:bookmarkEnd w:id="161"/>
      <w:bookmarkStart w:id="162" w:name="_Toc7203"/>
      <w:r>
        <w:rPr>
          <w:rFonts w:hint="eastAsia" w:ascii="宋体" w:hAnsi="宋体" w:eastAsia="宋体" w:cs="宋体"/>
          <w:color w:val="auto"/>
          <w:spacing w:val="1"/>
          <w:kern w:val="0"/>
          <w:sz w:val="28"/>
          <w:highlight w:val="none"/>
          <w:lang w:val="en-US" w:eastAsia="zh-CN"/>
        </w:rPr>
        <w:t>7</w:t>
      </w:r>
      <w:r>
        <w:rPr>
          <w:rFonts w:hint="default" w:ascii="宋体" w:hAnsi="宋体" w:eastAsia="宋体" w:cs="宋体"/>
          <w:color w:val="auto"/>
          <w:spacing w:val="1"/>
          <w:kern w:val="0"/>
          <w:sz w:val="28"/>
          <w:highlight w:val="none"/>
          <w:lang w:val="zh-CN" w:eastAsia="zh-CN"/>
        </w:rPr>
        <w:t>.5</w:t>
      </w:r>
      <w:r>
        <w:rPr>
          <w:rFonts w:hint="eastAsia" w:ascii="宋体" w:hAnsi="宋体" w:eastAsia="宋体" w:cs="宋体"/>
          <w:color w:val="auto"/>
          <w:spacing w:val="1"/>
          <w:kern w:val="0"/>
          <w:sz w:val="28"/>
          <w:highlight w:val="none"/>
          <w:lang w:val="zh-CN" w:eastAsia="zh-CN"/>
        </w:rPr>
        <w:t>签订采购合同</w:t>
      </w:r>
      <w:bookmarkEnd w:id="162"/>
    </w:p>
    <w:p w14:paraId="341B347B">
      <w:pPr>
        <w:autoSpaceDE/>
        <w:autoSpaceDN/>
        <w:spacing w:line="360" w:lineRule="auto"/>
        <w:ind w:left="0" w:leftChars="0" w:firstLine="444" w:firstLineChars="200"/>
        <w:rPr>
          <w:rFonts w:ascii="宋体" w:hAnsi="宋体" w:eastAsia="宋体" w:cs="宋体"/>
          <w:spacing w:val="-9"/>
          <w:sz w:val="24"/>
          <w:szCs w:val="24"/>
          <w:lang w:val="zh-CN" w:eastAsia="zh-CN" w:bidi="zh-CN"/>
        </w:rPr>
      </w:pPr>
      <w:r>
        <w:rPr>
          <w:rFonts w:hint="eastAsia" w:ascii="宋体" w:hAnsi="宋体" w:eastAsia="宋体" w:cs="宋体"/>
          <w:spacing w:val="-9"/>
          <w:w w:val="100"/>
          <w:sz w:val="24"/>
          <w:szCs w:val="24"/>
          <w:lang w:val="en-US" w:eastAsia="zh-CN" w:bidi="zh-CN"/>
        </w:rPr>
        <w:t>7</w:t>
      </w:r>
      <w:r>
        <w:rPr>
          <w:rFonts w:hint="default" w:ascii="宋体" w:hAnsi="宋体" w:eastAsia="宋体" w:cs="宋体"/>
          <w:spacing w:val="-9"/>
          <w:w w:val="100"/>
          <w:sz w:val="24"/>
          <w:szCs w:val="24"/>
          <w:lang w:val="zh-CN" w:eastAsia="zh-CN" w:bidi="zh-CN"/>
        </w:rPr>
        <w:t>.5.1</w:t>
      </w:r>
      <w:r>
        <w:rPr>
          <w:rFonts w:ascii="宋体" w:hAnsi="宋体" w:eastAsia="宋体" w:cs="宋体"/>
          <w:spacing w:val="-9"/>
          <w:sz w:val="24"/>
          <w:szCs w:val="24"/>
          <w:lang w:val="zh-CN" w:eastAsia="zh-CN" w:bidi="zh-CN"/>
        </w:rPr>
        <w:t>签订时间</w:t>
      </w:r>
    </w:p>
    <w:p w14:paraId="6A00763B">
      <w:pPr>
        <w:autoSpaceDE/>
        <w:autoSpaceDN/>
        <w:spacing w:line="360" w:lineRule="auto"/>
        <w:ind w:left="0" w:leftChars="0" w:right="0" w:firstLine="444" w:firstLineChars="200"/>
        <w:rPr>
          <w:rFonts w:ascii="宋体" w:hAnsi="宋体" w:eastAsia="宋体" w:cs="宋体"/>
          <w:spacing w:val="-9"/>
          <w:sz w:val="24"/>
          <w:szCs w:val="24"/>
          <w:lang w:val="zh-CN" w:eastAsia="zh-CN" w:bidi="zh-CN"/>
        </w:rPr>
      </w:pPr>
      <w:r>
        <w:rPr>
          <w:rFonts w:ascii="宋体" w:hAnsi="宋体" w:eastAsia="宋体" w:cs="宋体"/>
          <w:spacing w:val="-9"/>
          <w:sz w:val="24"/>
          <w:szCs w:val="24"/>
          <w:lang w:val="zh-CN" w:eastAsia="zh-CN" w:bidi="zh-CN"/>
        </w:rPr>
        <w:t>中标通知书发出之日起三十日内。中标人拒绝与采购人签订合同的，采购人可以按照评审报告推荐的中标或者成交候选人名单排序，确定下一候选人为中标或者成交人，也可以重新开展政府采购活动。</w:t>
      </w:r>
    </w:p>
    <w:p w14:paraId="53FB9222">
      <w:pPr>
        <w:autoSpaceDE/>
        <w:autoSpaceDN/>
        <w:spacing w:line="360" w:lineRule="auto"/>
        <w:ind w:left="0" w:leftChars="0" w:firstLine="444" w:firstLineChars="200"/>
        <w:jc w:val="both"/>
        <w:rPr>
          <w:rFonts w:ascii="宋体" w:hAnsi="宋体" w:eastAsia="宋体" w:cs="宋体"/>
          <w:spacing w:val="-9"/>
          <w:sz w:val="24"/>
          <w:szCs w:val="24"/>
          <w:lang w:val="zh-CN" w:eastAsia="zh-CN" w:bidi="zh-CN"/>
        </w:rPr>
      </w:pPr>
      <w:r>
        <w:rPr>
          <w:rFonts w:hint="eastAsia" w:ascii="宋体" w:hAnsi="宋体" w:eastAsia="宋体" w:cs="宋体"/>
          <w:spacing w:val="-9"/>
          <w:w w:val="100"/>
          <w:sz w:val="24"/>
          <w:szCs w:val="24"/>
          <w:lang w:val="en-US" w:eastAsia="zh-CN" w:bidi="zh-CN"/>
        </w:rPr>
        <w:t>7</w:t>
      </w:r>
      <w:r>
        <w:rPr>
          <w:rFonts w:hint="default" w:ascii="宋体" w:hAnsi="宋体" w:eastAsia="宋体" w:cs="宋体"/>
          <w:spacing w:val="-9"/>
          <w:w w:val="100"/>
          <w:sz w:val="24"/>
          <w:szCs w:val="24"/>
          <w:lang w:val="zh-CN" w:eastAsia="zh-CN" w:bidi="zh-CN"/>
        </w:rPr>
        <w:t>.5.2</w:t>
      </w:r>
      <w:r>
        <w:rPr>
          <w:rFonts w:ascii="宋体" w:hAnsi="宋体" w:eastAsia="宋体" w:cs="宋体"/>
          <w:spacing w:val="-9"/>
          <w:sz w:val="24"/>
          <w:szCs w:val="24"/>
          <w:lang w:val="zh-CN" w:eastAsia="zh-CN" w:bidi="zh-CN"/>
        </w:rPr>
        <w:t>合同内容</w:t>
      </w:r>
    </w:p>
    <w:p w14:paraId="496BB816">
      <w:pPr>
        <w:pageBreakBefore w:val="0"/>
        <w:numPr>
          <w:ilvl w:val="3"/>
          <w:numId w:val="0"/>
        </w:numPr>
        <w:tabs>
          <w:tab w:val="left" w:pos="1920"/>
        </w:tabs>
        <w:kinsoku/>
        <w:wordWrap/>
        <w:overflowPunct/>
        <w:topLinePunct w:val="0"/>
        <w:autoSpaceDE w:val="0"/>
        <w:autoSpaceDN w:val="0"/>
        <w:bidi w:val="0"/>
        <w:adjustRightInd/>
        <w:snapToGrid/>
        <w:spacing w:before="0" w:beforeLines="0" w:after="0" w:line="360" w:lineRule="auto"/>
        <w:ind w:left="0" w:leftChars="0" w:right="0" w:firstLine="444" w:firstLineChars="200"/>
        <w:jc w:val="both"/>
        <w:textAlignment w:val="auto"/>
        <w:rPr>
          <w:rFonts w:hint="eastAsia" w:ascii="宋体" w:hAnsi="宋体" w:cs="宋体"/>
          <w:color w:val="auto"/>
          <w:kern w:val="0"/>
          <w:szCs w:val="24"/>
          <w:highlight w:val="none"/>
        </w:rPr>
      </w:pPr>
      <w:r>
        <w:rPr>
          <w:rFonts w:ascii="宋体" w:hAnsi="宋体" w:eastAsia="宋体" w:cs="宋体"/>
          <w:spacing w:val="-9"/>
          <w:sz w:val="24"/>
          <w:szCs w:val="24"/>
          <w:lang w:val="zh-CN" w:eastAsia="zh-CN" w:bidi="zh-CN"/>
        </w:rPr>
        <w:t>本项目拟签订的政府采购合同见第六章有关内容。中标人与采购人须按照本项目的采购文件和投标文件所载内容，及评标过程中有关澄清文件内容签订政府采购合同。</w:t>
      </w:r>
      <w:bookmarkEnd w:id="144"/>
    </w:p>
    <w:p w14:paraId="1DCB3514">
      <w:pPr>
        <w:pStyle w:val="22"/>
        <w:pageBreakBefore w:val="0"/>
        <w:kinsoku/>
        <w:overflowPunct/>
        <w:topLinePunct w:val="0"/>
        <w:bidi w:val="0"/>
        <w:snapToGrid/>
        <w:spacing w:line="360" w:lineRule="auto"/>
        <w:ind w:left="0" w:leftChars="0" w:right="0" w:firstLine="420" w:firstLineChars="200"/>
        <w:textAlignment w:val="auto"/>
        <w:rPr>
          <w:rFonts w:hint="eastAsia"/>
          <w:color w:val="auto"/>
          <w:highlight w:val="none"/>
        </w:rPr>
      </w:pPr>
    </w:p>
    <w:p w14:paraId="07A24596">
      <w:pPr>
        <w:pStyle w:val="7"/>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647" w:firstLineChars="200"/>
        <w:textAlignment w:val="auto"/>
        <w:outlineLvl w:val="1"/>
        <w:rPr>
          <w:rFonts w:hint="eastAsia" w:ascii="宋体" w:hAnsi="宋体" w:eastAsia="宋体" w:cs="宋体"/>
          <w:b/>
          <w:bCs/>
          <w:color w:val="auto"/>
          <w:spacing w:val="1"/>
          <w:kern w:val="0"/>
          <w:position w:val="-1"/>
          <w:sz w:val="32"/>
          <w:highlight w:val="none"/>
        </w:rPr>
      </w:pPr>
      <w:bookmarkStart w:id="163" w:name="_Toc19580"/>
      <w:bookmarkStart w:id="164" w:name="_Toc3158"/>
      <w:bookmarkStart w:id="165" w:name="_Toc26953"/>
      <w:bookmarkStart w:id="166" w:name="_Toc22915"/>
      <w:bookmarkStart w:id="167" w:name="_Toc2729"/>
      <w:bookmarkStart w:id="168" w:name="_Toc5734"/>
      <w:r>
        <w:rPr>
          <w:rFonts w:hint="eastAsia" w:ascii="宋体" w:hAnsi="宋体" w:eastAsia="宋体" w:cs="宋体"/>
          <w:b/>
          <w:bCs/>
          <w:color w:val="auto"/>
          <w:spacing w:val="1"/>
          <w:kern w:val="0"/>
          <w:position w:val="-1"/>
          <w:sz w:val="32"/>
          <w:highlight w:val="none"/>
        </w:rPr>
        <w:t>8.纪律和监督</w:t>
      </w:r>
      <w:bookmarkEnd w:id="163"/>
      <w:bookmarkEnd w:id="164"/>
      <w:bookmarkEnd w:id="165"/>
      <w:bookmarkEnd w:id="166"/>
      <w:bookmarkEnd w:id="167"/>
      <w:bookmarkEnd w:id="168"/>
    </w:p>
    <w:p w14:paraId="3FD87F4C">
      <w:pPr>
        <w:pStyle w:val="8"/>
        <w:pageBreakBefore w:val="0"/>
        <w:kinsoku/>
        <w:overflowPunct/>
        <w:topLinePunct w:val="0"/>
        <w:bidi w:val="0"/>
        <w:snapToGrid/>
        <w:spacing w:before="0" w:after="0" w:line="360" w:lineRule="auto"/>
        <w:ind w:left="0" w:leftChars="0" w:right="0" w:firstLine="566" w:firstLineChars="200"/>
        <w:textAlignment w:val="auto"/>
        <w:outlineLvl w:val="2"/>
        <w:rPr>
          <w:rFonts w:hint="eastAsia" w:ascii="宋体" w:hAnsi="宋体" w:cs="宋体"/>
          <w:color w:val="auto"/>
          <w:kern w:val="0"/>
          <w:sz w:val="28"/>
          <w:highlight w:val="none"/>
        </w:rPr>
      </w:pPr>
      <w:bookmarkStart w:id="169" w:name="_Toc1241"/>
      <w:bookmarkStart w:id="170" w:name="_Toc25435"/>
      <w:r>
        <w:rPr>
          <w:rFonts w:hint="eastAsia" w:ascii="宋体" w:hAnsi="宋体" w:cs="宋体"/>
          <w:color w:val="auto"/>
          <w:spacing w:val="1"/>
          <w:kern w:val="0"/>
          <w:sz w:val="28"/>
          <w:highlight w:val="none"/>
        </w:rPr>
        <w:t>8</w:t>
      </w:r>
      <w:r>
        <w:rPr>
          <w:rFonts w:hint="eastAsia" w:ascii="宋体" w:hAnsi="宋体" w:cs="宋体"/>
          <w:color w:val="auto"/>
          <w:kern w:val="0"/>
          <w:sz w:val="28"/>
          <w:highlight w:val="none"/>
        </w:rPr>
        <w:t>.1</w:t>
      </w:r>
      <w:r>
        <w:rPr>
          <w:rFonts w:hint="eastAsia" w:ascii="宋体" w:hAnsi="宋体" w:cs="宋体"/>
          <w:color w:val="auto"/>
          <w:spacing w:val="68"/>
          <w:kern w:val="0"/>
          <w:sz w:val="28"/>
          <w:highlight w:val="none"/>
        </w:rPr>
        <w:t xml:space="preserve"> </w:t>
      </w:r>
      <w:r>
        <w:rPr>
          <w:rFonts w:hint="eastAsia" w:ascii="宋体" w:hAnsi="宋体" w:cs="宋体"/>
          <w:color w:val="auto"/>
          <w:kern w:val="0"/>
          <w:sz w:val="28"/>
          <w:highlight w:val="none"/>
        </w:rPr>
        <w:t>对采购人</w:t>
      </w:r>
      <w:r>
        <w:rPr>
          <w:rFonts w:hint="eastAsia" w:ascii="宋体" w:hAnsi="宋体" w:cs="宋体"/>
          <w:color w:val="auto"/>
          <w:spacing w:val="-3"/>
          <w:kern w:val="0"/>
          <w:sz w:val="28"/>
          <w:highlight w:val="none"/>
        </w:rPr>
        <w:t>的</w:t>
      </w:r>
      <w:r>
        <w:rPr>
          <w:rFonts w:hint="eastAsia" w:ascii="宋体" w:hAnsi="宋体" w:cs="宋体"/>
          <w:color w:val="auto"/>
          <w:kern w:val="0"/>
          <w:sz w:val="28"/>
          <w:highlight w:val="none"/>
        </w:rPr>
        <w:t>纪</w:t>
      </w:r>
      <w:r>
        <w:rPr>
          <w:rFonts w:hint="eastAsia" w:ascii="宋体" w:hAnsi="宋体" w:cs="宋体"/>
          <w:color w:val="auto"/>
          <w:spacing w:val="-3"/>
          <w:kern w:val="0"/>
          <w:sz w:val="28"/>
          <w:highlight w:val="none"/>
        </w:rPr>
        <w:t>律</w:t>
      </w:r>
      <w:r>
        <w:rPr>
          <w:rFonts w:hint="eastAsia" w:ascii="宋体" w:hAnsi="宋体" w:cs="宋体"/>
          <w:color w:val="auto"/>
          <w:kern w:val="0"/>
          <w:sz w:val="28"/>
          <w:highlight w:val="none"/>
        </w:rPr>
        <w:t>要求</w:t>
      </w:r>
      <w:bookmarkEnd w:id="169"/>
      <w:bookmarkEnd w:id="170"/>
    </w:p>
    <w:p w14:paraId="3E9ED04F">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采购人不</w:t>
      </w:r>
      <w:r>
        <w:rPr>
          <w:rFonts w:hint="eastAsia" w:ascii="宋体" w:hAnsi="宋体" w:cs="宋体"/>
          <w:color w:val="auto"/>
          <w:spacing w:val="-2"/>
          <w:kern w:val="0"/>
          <w:szCs w:val="24"/>
          <w:highlight w:val="none"/>
        </w:rPr>
        <w:t>得</w:t>
      </w:r>
      <w:r>
        <w:rPr>
          <w:rFonts w:hint="eastAsia" w:ascii="宋体" w:hAnsi="宋体" w:cs="宋体"/>
          <w:color w:val="auto"/>
          <w:kern w:val="0"/>
          <w:szCs w:val="24"/>
          <w:highlight w:val="none"/>
        </w:rPr>
        <w:t>泄</w:t>
      </w:r>
      <w:r>
        <w:rPr>
          <w:rFonts w:hint="eastAsia" w:ascii="宋体" w:hAnsi="宋体" w:cs="宋体"/>
          <w:color w:val="auto"/>
          <w:spacing w:val="-2"/>
          <w:kern w:val="0"/>
          <w:szCs w:val="24"/>
          <w:highlight w:val="none"/>
        </w:rPr>
        <w:t>露</w:t>
      </w:r>
      <w:r>
        <w:rPr>
          <w:rFonts w:hint="eastAsia" w:ascii="宋体" w:hAnsi="宋体" w:cs="宋体"/>
          <w:color w:val="auto"/>
          <w:kern w:val="0"/>
          <w:szCs w:val="24"/>
          <w:highlight w:val="none"/>
        </w:rPr>
        <w:t>招</w:t>
      </w:r>
      <w:r>
        <w:rPr>
          <w:rFonts w:hint="eastAsia" w:ascii="宋体" w:hAnsi="宋体" w:cs="宋体"/>
          <w:color w:val="auto"/>
          <w:spacing w:val="-2"/>
          <w:kern w:val="0"/>
          <w:szCs w:val="24"/>
          <w:highlight w:val="none"/>
        </w:rPr>
        <w:t>标</w:t>
      </w:r>
      <w:r>
        <w:rPr>
          <w:rFonts w:hint="eastAsia" w:ascii="宋体" w:hAnsi="宋体" w:cs="宋体"/>
          <w:color w:val="auto"/>
          <w:kern w:val="0"/>
          <w:szCs w:val="24"/>
          <w:highlight w:val="none"/>
        </w:rPr>
        <w:t>投</w:t>
      </w:r>
      <w:r>
        <w:rPr>
          <w:rFonts w:hint="eastAsia" w:ascii="宋体" w:hAnsi="宋体" w:cs="宋体"/>
          <w:color w:val="auto"/>
          <w:spacing w:val="-2"/>
          <w:kern w:val="0"/>
          <w:szCs w:val="24"/>
          <w:highlight w:val="none"/>
        </w:rPr>
        <w:t>标</w:t>
      </w:r>
      <w:r>
        <w:rPr>
          <w:rFonts w:hint="eastAsia" w:ascii="宋体" w:hAnsi="宋体" w:cs="宋体"/>
          <w:color w:val="auto"/>
          <w:kern w:val="0"/>
          <w:szCs w:val="24"/>
          <w:highlight w:val="none"/>
        </w:rPr>
        <w:t>活动</w:t>
      </w:r>
      <w:r>
        <w:rPr>
          <w:rFonts w:hint="eastAsia" w:ascii="宋体" w:hAnsi="宋体" w:cs="宋体"/>
          <w:color w:val="auto"/>
          <w:spacing w:val="-2"/>
          <w:kern w:val="0"/>
          <w:szCs w:val="24"/>
          <w:highlight w:val="none"/>
        </w:rPr>
        <w:t>中</w:t>
      </w:r>
      <w:r>
        <w:rPr>
          <w:rFonts w:hint="eastAsia" w:ascii="宋体" w:hAnsi="宋体" w:cs="宋体"/>
          <w:color w:val="auto"/>
          <w:kern w:val="0"/>
          <w:szCs w:val="24"/>
          <w:highlight w:val="none"/>
        </w:rPr>
        <w:t>应</w:t>
      </w:r>
      <w:r>
        <w:rPr>
          <w:rFonts w:hint="eastAsia" w:ascii="宋体" w:hAnsi="宋体" w:cs="宋体"/>
          <w:color w:val="auto"/>
          <w:spacing w:val="-2"/>
          <w:kern w:val="0"/>
          <w:szCs w:val="24"/>
          <w:highlight w:val="none"/>
        </w:rPr>
        <w:t>当</w:t>
      </w:r>
      <w:r>
        <w:rPr>
          <w:rFonts w:hint="eastAsia" w:ascii="宋体" w:hAnsi="宋体" w:cs="宋体"/>
          <w:color w:val="auto"/>
          <w:kern w:val="0"/>
          <w:szCs w:val="24"/>
          <w:highlight w:val="none"/>
        </w:rPr>
        <w:t>保</w:t>
      </w:r>
      <w:r>
        <w:rPr>
          <w:rFonts w:hint="eastAsia" w:ascii="宋体" w:hAnsi="宋体" w:cs="宋体"/>
          <w:color w:val="auto"/>
          <w:spacing w:val="-2"/>
          <w:kern w:val="0"/>
          <w:szCs w:val="24"/>
          <w:highlight w:val="none"/>
        </w:rPr>
        <w:t>密</w:t>
      </w:r>
      <w:r>
        <w:rPr>
          <w:rFonts w:hint="eastAsia" w:ascii="宋体" w:hAnsi="宋体" w:cs="宋体"/>
          <w:color w:val="auto"/>
          <w:kern w:val="0"/>
          <w:szCs w:val="24"/>
          <w:highlight w:val="none"/>
        </w:rPr>
        <w:t>的</w:t>
      </w:r>
      <w:r>
        <w:rPr>
          <w:rFonts w:hint="eastAsia" w:ascii="宋体" w:hAnsi="宋体" w:cs="宋体"/>
          <w:color w:val="auto"/>
          <w:spacing w:val="-2"/>
          <w:kern w:val="0"/>
          <w:szCs w:val="24"/>
          <w:highlight w:val="none"/>
        </w:rPr>
        <w:t>情</w:t>
      </w:r>
      <w:r>
        <w:rPr>
          <w:rFonts w:hint="eastAsia" w:ascii="宋体" w:hAnsi="宋体" w:cs="宋体"/>
          <w:color w:val="auto"/>
          <w:kern w:val="0"/>
          <w:szCs w:val="24"/>
          <w:highlight w:val="none"/>
        </w:rPr>
        <w:t>况</w:t>
      </w:r>
      <w:r>
        <w:rPr>
          <w:rFonts w:hint="eastAsia" w:ascii="宋体" w:hAnsi="宋体" w:cs="宋体"/>
          <w:color w:val="auto"/>
          <w:spacing w:val="-2"/>
          <w:kern w:val="0"/>
          <w:szCs w:val="24"/>
          <w:highlight w:val="none"/>
        </w:rPr>
        <w:t>和</w:t>
      </w:r>
      <w:r>
        <w:rPr>
          <w:rFonts w:hint="eastAsia" w:ascii="宋体" w:hAnsi="宋体" w:cs="宋体"/>
          <w:color w:val="auto"/>
          <w:kern w:val="0"/>
          <w:szCs w:val="24"/>
          <w:highlight w:val="none"/>
        </w:rPr>
        <w:t>资</w:t>
      </w:r>
      <w:r>
        <w:rPr>
          <w:rFonts w:hint="eastAsia" w:ascii="宋体" w:hAnsi="宋体" w:cs="宋体"/>
          <w:color w:val="auto"/>
          <w:spacing w:val="-2"/>
          <w:kern w:val="0"/>
          <w:szCs w:val="24"/>
          <w:highlight w:val="none"/>
        </w:rPr>
        <w:t>料</w:t>
      </w:r>
      <w:r>
        <w:rPr>
          <w:rFonts w:hint="eastAsia" w:ascii="宋体" w:hAnsi="宋体" w:cs="宋体"/>
          <w:color w:val="auto"/>
          <w:spacing w:val="-74"/>
          <w:kern w:val="0"/>
          <w:szCs w:val="24"/>
          <w:highlight w:val="none"/>
        </w:rPr>
        <w:t>，</w:t>
      </w:r>
      <w:r>
        <w:rPr>
          <w:rFonts w:hint="eastAsia" w:ascii="宋体" w:hAnsi="宋体" w:cs="宋体"/>
          <w:color w:val="auto"/>
          <w:spacing w:val="-2"/>
          <w:kern w:val="0"/>
          <w:szCs w:val="24"/>
          <w:highlight w:val="none"/>
        </w:rPr>
        <w:t>不</w:t>
      </w:r>
      <w:r>
        <w:rPr>
          <w:rFonts w:hint="eastAsia" w:ascii="宋体" w:hAnsi="宋体" w:cs="宋体"/>
          <w:color w:val="auto"/>
          <w:kern w:val="0"/>
          <w:szCs w:val="24"/>
          <w:highlight w:val="none"/>
        </w:rPr>
        <w:t>得</w:t>
      </w:r>
      <w:r>
        <w:rPr>
          <w:rFonts w:hint="eastAsia" w:ascii="宋体" w:hAnsi="宋体" w:cs="宋体"/>
          <w:color w:val="auto"/>
          <w:spacing w:val="-2"/>
          <w:kern w:val="0"/>
          <w:szCs w:val="24"/>
          <w:highlight w:val="none"/>
        </w:rPr>
        <w:t>与</w:t>
      </w:r>
      <w:r>
        <w:rPr>
          <w:rFonts w:hint="eastAsia" w:ascii="宋体" w:hAnsi="宋体" w:cs="宋体"/>
          <w:color w:val="auto"/>
          <w:kern w:val="0"/>
          <w:szCs w:val="24"/>
          <w:highlight w:val="none"/>
          <w:lang w:eastAsia="zh-CN"/>
        </w:rPr>
        <w:t>供应商</w:t>
      </w:r>
      <w:r>
        <w:rPr>
          <w:rFonts w:hint="eastAsia" w:ascii="宋体" w:hAnsi="宋体" w:cs="宋体"/>
          <w:color w:val="auto"/>
          <w:spacing w:val="-2"/>
          <w:kern w:val="0"/>
          <w:szCs w:val="24"/>
          <w:highlight w:val="none"/>
        </w:rPr>
        <w:t>串</w:t>
      </w:r>
      <w:r>
        <w:rPr>
          <w:rFonts w:hint="eastAsia" w:ascii="宋体" w:hAnsi="宋体" w:cs="宋体"/>
          <w:color w:val="auto"/>
          <w:kern w:val="0"/>
          <w:szCs w:val="24"/>
          <w:highlight w:val="none"/>
        </w:rPr>
        <w:t>通</w:t>
      </w:r>
      <w:r>
        <w:rPr>
          <w:rFonts w:hint="eastAsia" w:ascii="宋体" w:hAnsi="宋体" w:cs="宋体"/>
          <w:color w:val="auto"/>
          <w:spacing w:val="-2"/>
          <w:kern w:val="0"/>
          <w:szCs w:val="24"/>
          <w:highlight w:val="none"/>
        </w:rPr>
        <w:t>损</w:t>
      </w:r>
      <w:r>
        <w:rPr>
          <w:rFonts w:hint="eastAsia" w:ascii="宋体" w:hAnsi="宋体" w:cs="宋体"/>
          <w:color w:val="auto"/>
          <w:kern w:val="0"/>
          <w:szCs w:val="24"/>
          <w:highlight w:val="none"/>
        </w:rPr>
        <w:t>害国</w:t>
      </w:r>
      <w:r>
        <w:rPr>
          <w:rFonts w:hint="eastAsia" w:ascii="宋体" w:hAnsi="宋体" w:cs="宋体"/>
          <w:color w:val="auto"/>
          <w:spacing w:val="-2"/>
          <w:kern w:val="0"/>
          <w:szCs w:val="24"/>
          <w:highlight w:val="none"/>
        </w:rPr>
        <w:t>家</w:t>
      </w:r>
      <w:r>
        <w:rPr>
          <w:rFonts w:hint="eastAsia" w:ascii="宋体" w:hAnsi="宋体" w:cs="宋体"/>
          <w:color w:val="auto"/>
          <w:kern w:val="0"/>
          <w:szCs w:val="24"/>
          <w:highlight w:val="none"/>
        </w:rPr>
        <w:t>利</w:t>
      </w:r>
      <w:r>
        <w:rPr>
          <w:rFonts w:hint="eastAsia" w:ascii="宋体" w:hAnsi="宋体" w:cs="宋体"/>
          <w:color w:val="auto"/>
          <w:spacing w:val="-2"/>
          <w:kern w:val="0"/>
          <w:szCs w:val="24"/>
          <w:highlight w:val="none"/>
        </w:rPr>
        <w:t>益</w:t>
      </w:r>
      <w:r>
        <w:rPr>
          <w:rFonts w:hint="eastAsia" w:ascii="宋体" w:hAnsi="宋体" w:cs="宋体"/>
          <w:color w:val="auto"/>
          <w:kern w:val="0"/>
          <w:szCs w:val="24"/>
          <w:highlight w:val="none"/>
        </w:rPr>
        <w:t>、社会</w:t>
      </w:r>
      <w:r>
        <w:rPr>
          <w:rFonts w:hint="eastAsia" w:ascii="宋体" w:hAnsi="宋体" w:cs="宋体"/>
          <w:color w:val="auto"/>
          <w:spacing w:val="-2"/>
          <w:kern w:val="0"/>
          <w:szCs w:val="24"/>
          <w:highlight w:val="none"/>
        </w:rPr>
        <w:t>公</w:t>
      </w:r>
      <w:r>
        <w:rPr>
          <w:rFonts w:hint="eastAsia" w:ascii="宋体" w:hAnsi="宋体" w:cs="宋体"/>
          <w:color w:val="auto"/>
          <w:kern w:val="0"/>
          <w:szCs w:val="24"/>
          <w:highlight w:val="none"/>
        </w:rPr>
        <w:t>共</w:t>
      </w:r>
      <w:r>
        <w:rPr>
          <w:rFonts w:hint="eastAsia" w:ascii="宋体" w:hAnsi="宋体" w:cs="宋体"/>
          <w:color w:val="auto"/>
          <w:spacing w:val="-2"/>
          <w:kern w:val="0"/>
          <w:szCs w:val="24"/>
          <w:highlight w:val="none"/>
        </w:rPr>
        <w:t>利</w:t>
      </w:r>
      <w:r>
        <w:rPr>
          <w:rFonts w:hint="eastAsia" w:ascii="宋体" w:hAnsi="宋体" w:cs="宋体"/>
          <w:color w:val="auto"/>
          <w:kern w:val="0"/>
          <w:szCs w:val="24"/>
          <w:highlight w:val="none"/>
        </w:rPr>
        <w:t>益</w:t>
      </w:r>
      <w:r>
        <w:rPr>
          <w:rFonts w:hint="eastAsia" w:ascii="宋体" w:hAnsi="宋体" w:cs="宋体"/>
          <w:color w:val="auto"/>
          <w:spacing w:val="-2"/>
          <w:kern w:val="0"/>
          <w:szCs w:val="24"/>
          <w:highlight w:val="none"/>
        </w:rPr>
        <w:t>或</w:t>
      </w:r>
      <w:r>
        <w:rPr>
          <w:rFonts w:hint="eastAsia" w:ascii="宋体" w:hAnsi="宋体" w:cs="宋体"/>
          <w:color w:val="auto"/>
          <w:kern w:val="0"/>
          <w:szCs w:val="24"/>
          <w:highlight w:val="none"/>
        </w:rPr>
        <w:t>者</w:t>
      </w:r>
      <w:r>
        <w:rPr>
          <w:rFonts w:hint="eastAsia" w:ascii="宋体" w:hAnsi="宋体" w:cs="宋体"/>
          <w:color w:val="auto"/>
          <w:spacing w:val="-2"/>
          <w:kern w:val="0"/>
          <w:szCs w:val="24"/>
          <w:highlight w:val="none"/>
        </w:rPr>
        <w:t>他</w:t>
      </w:r>
      <w:r>
        <w:rPr>
          <w:rFonts w:hint="eastAsia" w:ascii="宋体" w:hAnsi="宋体" w:cs="宋体"/>
          <w:color w:val="auto"/>
          <w:kern w:val="0"/>
          <w:szCs w:val="24"/>
          <w:highlight w:val="none"/>
        </w:rPr>
        <w:t>人</w:t>
      </w:r>
      <w:r>
        <w:rPr>
          <w:rFonts w:hint="eastAsia" w:ascii="宋体" w:hAnsi="宋体" w:cs="宋体"/>
          <w:color w:val="auto"/>
          <w:spacing w:val="-2"/>
          <w:kern w:val="0"/>
          <w:szCs w:val="24"/>
          <w:highlight w:val="none"/>
        </w:rPr>
        <w:t>合</w:t>
      </w:r>
      <w:r>
        <w:rPr>
          <w:rFonts w:hint="eastAsia" w:ascii="宋体" w:hAnsi="宋体" w:cs="宋体"/>
          <w:color w:val="auto"/>
          <w:kern w:val="0"/>
          <w:szCs w:val="24"/>
          <w:highlight w:val="none"/>
        </w:rPr>
        <w:t>法权</w:t>
      </w:r>
      <w:r>
        <w:rPr>
          <w:rFonts w:hint="eastAsia" w:ascii="宋体" w:hAnsi="宋体" w:cs="宋体"/>
          <w:color w:val="auto"/>
          <w:spacing w:val="-2"/>
          <w:kern w:val="0"/>
          <w:szCs w:val="24"/>
          <w:highlight w:val="none"/>
        </w:rPr>
        <w:t>益</w:t>
      </w:r>
      <w:r>
        <w:rPr>
          <w:rFonts w:hint="eastAsia" w:ascii="宋体" w:hAnsi="宋体" w:cs="宋体"/>
          <w:color w:val="auto"/>
          <w:kern w:val="0"/>
          <w:szCs w:val="24"/>
          <w:highlight w:val="none"/>
        </w:rPr>
        <w:t>。</w:t>
      </w:r>
    </w:p>
    <w:p w14:paraId="16D9F116">
      <w:pPr>
        <w:pStyle w:val="8"/>
        <w:pageBreakBefore w:val="0"/>
        <w:kinsoku/>
        <w:overflowPunct/>
        <w:topLinePunct w:val="0"/>
        <w:bidi w:val="0"/>
        <w:snapToGrid/>
        <w:spacing w:before="0" w:after="0" w:line="360" w:lineRule="auto"/>
        <w:ind w:left="0" w:leftChars="0" w:right="0" w:firstLine="566" w:firstLineChars="200"/>
        <w:textAlignment w:val="auto"/>
        <w:outlineLvl w:val="2"/>
        <w:rPr>
          <w:rFonts w:hint="eastAsia" w:ascii="宋体" w:hAnsi="宋体" w:cs="宋体"/>
          <w:color w:val="auto"/>
          <w:kern w:val="0"/>
          <w:sz w:val="28"/>
          <w:highlight w:val="none"/>
        </w:rPr>
      </w:pPr>
      <w:bookmarkStart w:id="171" w:name="_Toc10202"/>
      <w:bookmarkStart w:id="172" w:name="_Toc9012"/>
      <w:r>
        <w:rPr>
          <w:rFonts w:hint="eastAsia" w:ascii="宋体" w:hAnsi="宋体" w:cs="宋体"/>
          <w:color w:val="auto"/>
          <w:spacing w:val="1"/>
          <w:kern w:val="0"/>
          <w:sz w:val="28"/>
          <w:highlight w:val="none"/>
        </w:rPr>
        <w:t>8</w:t>
      </w:r>
      <w:r>
        <w:rPr>
          <w:rFonts w:hint="eastAsia" w:ascii="宋体" w:hAnsi="宋体" w:cs="宋体"/>
          <w:color w:val="auto"/>
          <w:kern w:val="0"/>
          <w:sz w:val="28"/>
          <w:highlight w:val="none"/>
        </w:rPr>
        <w:t>.2</w:t>
      </w:r>
      <w:r>
        <w:rPr>
          <w:rFonts w:hint="eastAsia" w:ascii="宋体" w:hAnsi="宋体" w:cs="宋体"/>
          <w:color w:val="auto"/>
          <w:spacing w:val="68"/>
          <w:kern w:val="0"/>
          <w:sz w:val="28"/>
          <w:highlight w:val="none"/>
        </w:rPr>
        <w:t xml:space="preserve"> </w:t>
      </w:r>
      <w:r>
        <w:rPr>
          <w:rFonts w:hint="eastAsia" w:ascii="宋体" w:hAnsi="宋体" w:cs="宋体"/>
          <w:color w:val="auto"/>
          <w:kern w:val="0"/>
          <w:sz w:val="28"/>
          <w:highlight w:val="none"/>
        </w:rPr>
        <w:t>对</w:t>
      </w:r>
      <w:r>
        <w:rPr>
          <w:rFonts w:hint="eastAsia" w:ascii="宋体" w:hAnsi="宋体" w:cs="宋体"/>
          <w:color w:val="auto"/>
          <w:kern w:val="0"/>
          <w:sz w:val="28"/>
          <w:highlight w:val="none"/>
          <w:lang w:val="en-US" w:eastAsia="zh-CN"/>
        </w:rPr>
        <w:t>供应商</w:t>
      </w:r>
      <w:r>
        <w:rPr>
          <w:rFonts w:hint="eastAsia" w:ascii="宋体" w:hAnsi="宋体" w:cs="宋体"/>
          <w:color w:val="auto"/>
          <w:spacing w:val="-3"/>
          <w:kern w:val="0"/>
          <w:sz w:val="28"/>
          <w:highlight w:val="none"/>
        </w:rPr>
        <w:t>的</w:t>
      </w:r>
      <w:r>
        <w:rPr>
          <w:rFonts w:hint="eastAsia" w:ascii="宋体" w:hAnsi="宋体" w:cs="宋体"/>
          <w:color w:val="auto"/>
          <w:kern w:val="0"/>
          <w:sz w:val="28"/>
          <w:highlight w:val="none"/>
        </w:rPr>
        <w:t>纪</w:t>
      </w:r>
      <w:r>
        <w:rPr>
          <w:rFonts w:hint="eastAsia" w:ascii="宋体" w:hAnsi="宋体" w:cs="宋体"/>
          <w:color w:val="auto"/>
          <w:spacing w:val="-3"/>
          <w:kern w:val="0"/>
          <w:sz w:val="28"/>
          <w:highlight w:val="none"/>
        </w:rPr>
        <w:t>律</w:t>
      </w:r>
      <w:r>
        <w:rPr>
          <w:rFonts w:hint="eastAsia" w:ascii="宋体" w:hAnsi="宋体" w:cs="宋体"/>
          <w:color w:val="auto"/>
          <w:kern w:val="0"/>
          <w:sz w:val="28"/>
          <w:highlight w:val="none"/>
        </w:rPr>
        <w:t>要求</w:t>
      </w:r>
      <w:bookmarkEnd w:id="171"/>
      <w:bookmarkEnd w:id="172"/>
    </w:p>
    <w:p w14:paraId="0E97C414">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不得相互串</w:t>
      </w:r>
      <w:r>
        <w:rPr>
          <w:rFonts w:hint="eastAsia" w:ascii="宋体" w:hAnsi="宋体" w:cs="宋体"/>
          <w:color w:val="auto"/>
          <w:spacing w:val="-2"/>
          <w:kern w:val="0"/>
          <w:szCs w:val="24"/>
          <w:highlight w:val="none"/>
        </w:rPr>
        <w:t>通</w:t>
      </w:r>
      <w:r>
        <w:rPr>
          <w:rFonts w:hint="eastAsia" w:ascii="宋体" w:hAnsi="宋体" w:cs="宋体"/>
          <w:color w:val="auto"/>
          <w:kern w:val="0"/>
          <w:szCs w:val="24"/>
          <w:highlight w:val="none"/>
        </w:rPr>
        <w:t>投</w:t>
      </w:r>
      <w:r>
        <w:rPr>
          <w:rFonts w:hint="eastAsia" w:ascii="宋体" w:hAnsi="宋体" w:cs="宋体"/>
          <w:color w:val="auto"/>
          <w:spacing w:val="-2"/>
          <w:kern w:val="0"/>
          <w:szCs w:val="24"/>
          <w:highlight w:val="none"/>
        </w:rPr>
        <w:t>标</w:t>
      </w:r>
      <w:r>
        <w:rPr>
          <w:rFonts w:hint="eastAsia" w:ascii="宋体" w:hAnsi="宋体" w:cs="宋体"/>
          <w:color w:val="auto"/>
          <w:kern w:val="0"/>
          <w:szCs w:val="24"/>
          <w:highlight w:val="none"/>
        </w:rPr>
        <w:t>或者与采购人串通</w:t>
      </w:r>
      <w:r>
        <w:rPr>
          <w:rFonts w:hint="eastAsia" w:ascii="宋体" w:hAnsi="宋体" w:cs="宋体"/>
          <w:color w:val="auto"/>
          <w:spacing w:val="-2"/>
          <w:kern w:val="0"/>
          <w:szCs w:val="24"/>
          <w:highlight w:val="none"/>
        </w:rPr>
        <w:t>投</w:t>
      </w:r>
      <w:r>
        <w:rPr>
          <w:rFonts w:hint="eastAsia" w:ascii="宋体" w:hAnsi="宋体" w:cs="宋体"/>
          <w:color w:val="auto"/>
          <w:kern w:val="0"/>
          <w:szCs w:val="24"/>
          <w:highlight w:val="none"/>
        </w:rPr>
        <w:t>标</w:t>
      </w:r>
      <w:r>
        <w:rPr>
          <w:rFonts w:hint="eastAsia" w:ascii="宋体" w:hAnsi="宋体" w:cs="宋体"/>
          <w:color w:val="auto"/>
          <w:spacing w:val="-2"/>
          <w:kern w:val="0"/>
          <w:szCs w:val="24"/>
          <w:highlight w:val="none"/>
        </w:rPr>
        <w:t>，</w:t>
      </w:r>
      <w:r>
        <w:rPr>
          <w:rFonts w:hint="eastAsia" w:ascii="宋体" w:hAnsi="宋体" w:cs="宋体"/>
          <w:color w:val="auto"/>
          <w:kern w:val="0"/>
          <w:szCs w:val="24"/>
          <w:highlight w:val="none"/>
        </w:rPr>
        <w:t>不得向采购人或者</w:t>
      </w:r>
      <w:r>
        <w:rPr>
          <w:rFonts w:hint="eastAsia" w:ascii="宋体" w:hAnsi="宋体" w:cs="宋体"/>
          <w:color w:val="auto"/>
          <w:spacing w:val="-2"/>
          <w:kern w:val="0"/>
          <w:szCs w:val="24"/>
          <w:highlight w:val="none"/>
        </w:rPr>
        <w:t>评</w:t>
      </w:r>
      <w:r>
        <w:rPr>
          <w:rFonts w:hint="eastAsia" w:ascii="宋体" w:hAnsi="宋体" w:cs="宋体"/>
          <w:color w:val="auto"/>
          <w:kern w:val="0"/>
          <w:szCs w:val="24"/>
          <w:highlight w:val="none"/>
        </w:rPr>
        <w:t>标</w:t>
      </w:r>
      <w:r>
        <w:rPr>
          <w:rFonts w:hint="eastAsia" w:ascii="宋体" w:hAnsi="宋体" w:cs="宋体"/>
          <w:color w:val="auto"/>
          <w:spacing w:val="-2"/>
          <w:kern w:val="0"/>
          <w:szCs w:val="24"/>
          <w:highlight w:val="none"/>
        </w:rPr>
        <w:t>委</w:t>
      </w:r>
      <w:r>
        <w:rPr>
          <w:rFonts w:hint="eastAsia" w:ascii="宋体" w:hAnsi="宋体" w:cs="宋体"/>
          <w:color w:val="auto"/>
          <w:kern w:val="0"/>
          <w:szCs w:val="24"/>
          <w:highlight w:val="none"/>
        </w:rPr>
        <w:t>员会成员行贿谋取中标，不得</w:t>
      </w:r>
      <w:r>
        <w:rPr>
          <w:rFonts w:hint="eastAsia" w:ascii="宋体" w:hAnsi="宋体" w:cs="宋体"/>
          <w:color w:val="auto"/>
          <w:spacing w:val="-2"/>
          <w:kern w:val="0"/>
          <w:szCs w:val="24"/>
          <w:highlight w:val="none"/>
        </w:rPr>
        <w:t>以</w:t>
      </w:r>
      <w:r>
        <w:rPr>
          <w:rFonts w:hint="eastAsia" w:ascii="宋体" w:hAnsi="宋体" w:cs="宋体"/>
          <w:color w:val="auto"/>
          <w:kern w:val="0"/>
          <w:szCs w:val="24"/>
          <w:highlight w:val="none"/>
        </w:rPr>
        <w:t>他人</w:t>
      </w:r>
      <w:r>
        <w:rPr>
          <w:rFonts w:hint="eastAsia" w:ascii="宋体" w:hAnsi="宋体" w:cs="宋体"/>
          <w:color w:val="auto"/>
          <w:spacing w:val="-2"/>
          <w:kern w:val="0"/>
          <w:szCs w:val="24"/>
          <w:highlight w:val="none"/>
        </w:rPr>
        <w:t>名</w:t>
      </w:r>
      <w:r>
        <w:rPr>
          <w:rFonts w:hint="eastAsia" w:ascii="宋体" w:hAnsi="宋体" w:cs="宋体"/>
          <w:color w:val="auto"/>
          <w:kern w:val="0"/>
          <w:szCs w:val="24"/>
          <w:highlight w:val="none"/>
        </w:rPr>
        <w:t>义投标或者以其</w:t>
      </w:r>
      <w:r>
        <w:rPr>
          <w:rFonts w:hint="eastAsia" w:ascii="宋体" w:hAnsi="宋体" w:cs="宋体"/>
          <w:color w:val="auto"/>
          <w:spacing w:val="-2"/>
          <w:kern w:val="0"/>
          <w:szCs w:val="24"/>
          <w:highlight w:val="none"/>
        </w:rPr>
        <w:t>他</w:t>
      </w:r>
      <w:r>
        <w:rPr>
          <w:rFonts w:hint="eastAsia" w:ascii="宋体" w:hAnsi="宋体" w:cs="宋体"/>
          <w:color w:val="auto"/>
          <w:kern w:val="0"/>
          <w:szCs w:val="24"/>
          <w:highlight w:val="none"/>
        </w:rPr>
        <w:t>方式</w:t>
      </w:r>
      <w:r>
        <w:rPr>
          <w:rFonts w:hint="eastAsia" w:ascii="宋体" w:hAnsi="宋体" w:cs="宋体"/>
          <w:color w:val="auto"/>
          <w:spacing w:val="-2"/>
          <w:kern w:val="0"/>
          <w:szCs w:val="24"/>
          <w:highlight w:val="none"/>
        </w:rPr>
        <w:t>弄</w:t>
      </w:r>
      <w:r>
        <w:rPr>
          <w:rFonts w:hint="eastAsia" w:ascii="宋体" w:hAnsi="宋体" w:cs="宋体"/>
          <w:color w:val="auto"/>
          <w:kern w:val="0"/>
          <w:szCs w:val="24"/>
          <w:highlight w:val="none"/>
        </w:rPr>
        <w:t>虚作假骗取中标</w:t>
      </w:r>
      <w:r>
        <w:rPr>
          <w:rFonts w:hint="eastAsia" w:ascii="宋体" w:hAnsi="宋体" w:cs="宋体"/>
          <w:color w:val="auto"/>
          <w:spacing w:val="-2"/>
          <w:kern w:val="0"/>
          <w:szCs w:val="24"/>
          <w:highlight w:val="none"/>
        </w:rPr>
        <w:t>；</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不得以任何方</w:t>
      </w:r>
      <w:r>
        <w:rPr>
          <w:rFonts w:hint="eastAsia" w:ascii="宋体" w:hAnsi="宋体" w:cs="宋体"/>
          <w:color w:val="auto"/>
          <w:spacing w:val="-2"/>
          <w:kern w:val="0"/>
          <w:szCs w:val="24"/>
          <w:highlight w:val="none"/>
        </w:rPr>
        <w:t>式</w:t>
      </w:r>
      <w:r>
        <w:rPr>
          <w:rFonts w:hint="eastAsia" w:ascii="宋体" w:hAnsi="宋体" w:cs="宋体"/>
          <w:color w:val="auto"/>
          <w:kern w:val="0"/>
          <w:szCs w:val="24"/>
          <w:highlight w:val="none"/>
        </w:rPr>
        <w:t>干扰、</w:t>
      </w:r>
      <w:r>
        <w:rPr>
          <w:rFonts w:hint="eastAsia" w:ascii="宋体" w:hAnsi="宋体" w:cs="宋体"/>
          <w:color w:val="auto"/>
          <w:spacing w:val="-2"/>
          <w:kern w:val="0"/>
          <w:szCs w:val="24"/>
          <w:highlight w:val="none"/>
        </w:rPr>
        <w:t>影</w:t>
      </w:r>
      <w:r>
        <w:rPr>
          <w:rFonts w:hint="eastAsia" w:ascii="宋体" w:hAnsi="宋体" w:cs="宋体"/>
          <w:color w:val="auto"/>
          <w:kern w:val="0"/>
          <w:szCs w:val="24"/>
          <w:highlight w:val="none"/>
        </w:rPr>
        <w:t>响</w:t>
      </w:r>
      <w:r>
        <w:rPr>
          <w:rFonts w:hint="eastAsia" w:ascii="宋体" w:hAnsi="宋体" w:cs="宋体"/>
          <w:color w:val="auto"/>
          <w:spacing w:val="-2"/>
          <w:kern w:val="0"/>
          <w:szCs w:val="24"/>
          <w:highlight w:val="none"/>
        </w:rPr>
        <w:t>评</w:t>
      </w:r>
      <w:r>
        <w:rPr>
          <w:rFonts w:hint="eastAsia" w:ascii="宋体" w:hAnsi="宋体" w:cs="宋体"/>
          <w:color w:val="auto"/>
          <w:kern w:val="0"/>
          <w:szCs w:val="24"/>
          <w:highlight w:val="none"/>
        </w:rPr>
        <w:t>标</w:t>
      </w:r>
      <w:r>
        <w:rPr>
          <w:rFonts w:hint="eastAsia" w:ascii="宋体" w:hAnsi="宋体" w:cs="宋体"/>
          <w:color w:val="auto"/>
          <w:spacing w:val="-2"/>
          <w:kern w:val="0"/>
          <w:szCs w:val="24"/>
          <w:highlight w:val="none"/>
        </w:rPr>
        <w:t>工</w:t>
      </w:r>
      <w:r>
        <w:rPr>
          <w:rFonts w:hint="eastAsia" w:ascii="宋体" w:hAnsi="宋体" w:cs="宋体"/>
          <w:color w:val="auto"/>
          <w:kern w:val="0"/>
          <w:szCs w:val="24"/>
          <w:highlight w:val="none"/>
        </w:rPr>
        <w:t>作。</w:t>
      </w:r>
    </w:p>
    <w:p w14:paraId="6C46D859">
      <w:pPr>
        <w:pStyle w:val="8"/>
        <w:pageBreakBefore w:val="0"/>
        <w:kinsoku/>
        <w:overflowPunct/>
        <w:topLinePunct w:val="0"/>
        <w:bidi w:val="0"/>
        <w:snapToGrid/>
        <w:spacing w:before="0" w:after="0" w:line="360" w:lineRule="auto"/>
        <w:ind w:left="0" w:leftChars="0" w:right="0" w:firstLine="566" w:firstLineChars="200"/>
        <w:textAlignment w:val="auto"/>
        <w:outlineLvl w:val="2"/>
        <w:rPr>
          <w:rFonts w:hint="eastAsia" w:ascii="宋体" w:hAnsi="宋体" w:cs="宋体"/>
          <w:color w:val="auto"/>
          <w:kern w:val="0"/>
          <w:sz w:val="28"/>
          <w:highlight w:val="none"/>
        </w:rPr>
      </w:pPr>
      <w:bookmarkStart w:id="173" w:name="_Toc21559"/>
      <w:bookmarkStart w:id="174" w:name="_Toc18129"/>
      <w:r>
        <w:rPr>
          <w:rFonts w:hint="eastAsia" w:ascii="宋体" w:hAnsi="宋体" w:cs="宋体"/>
          <w:color w:val="auto"/>
          <w:spacing w:val="1"/>
          <w:kern w:val="0"/>
          <w:sz w:val="28"/>
          <w:highlight w:val="none"/>
        </w:rPr>
        <w:t>8</w:t>
      </w:r>
      <w:r>
        <w:rPr>
          <w:rFonts w:hint="eastAsia" w:ascii="宋体" w:hAnsi="宋体" w:cs="宋体"/>
          <w:color w:val="auto"/>
          <w:kern w:val="0"/>
          <w:sz w:val="28"/>
          <w:highlight w:val="none"/>
        </w:rPr>
        <w:t>.3</w:t>
      </w:r>
      <w:r>
        <w:rPr>
          <w:rFonts w:hint="eastAsia" w:ascii="宋体" w:hAnsi="宋体" w:cs="宋体"/>
          <w:color w:val="auto"/>
          <w:spacing w:val="68"/>
          <w:kern w:val="0"/>
          <w:sz w:val="28"/>
          <w:highlight w:val="none"/>
        </w:rPr>
        <w:t xml:space="preserve"> </w:t>
      </w:r>
      <w:r>
        <w:rPr>
          <w:rFonts w:hint="eastAsia" w:ascii="宋体" w:hAnsi="宋体" w:cs="宋体"/>
          <w:color w:val="auto"/>
          <w:kern w:val="0"/>
          <w:sz w:val="28"/>
          <w:highlight w:val="none"/>
        </w:rPr>
        <w:t>对评标委</w:t>
      </w:r>
      <w:r>
        <w:rPr>
          <w:rFonts w:hint="eastAsia" w:ascii="宋体" w:hAnsi="宋体" w:cs="宋体"/>
          <w:color w:val="auto"/>
          <w:spacing w:val="-3"/>
          <w:kern w:val="0"/>
          <w:sz w:val="28"/>
          <w:highlight w:val="none"/>
        </w:rPr>
        <w:t>员</w:t>
      </w:r>
      <w:r>
        <w:rPr>
          <w:rFonts w:hint="eastAsia" w:ascii="宋体" w:hAnsi="宋体" w:cs="宋体"/>
          <w:color w:val="auto"/>
          <w:kern w:val="0"/>
          <w:sz w:val="28"/>
          <w:highlight w:val="none"/>
        </w:rPr>
        <w:t>会</w:t>
      </w:r>
      <w:r>
        <w:rPr>
          <w:rFonts w:hint="eastAsia" w:ascii="宋体" w:hAnsi="宋体" w:cs="宋体"/>
          <w:color w:val="auto"/>
          <w:spacing w:val="-3"/>
          <w:kern w:val="0"/>
          <w:sz w:val="28"/>
          <w:highlight w:val="none"/>
        </w:rPr>
        <w:t>成</w:t>
      </w:r>
      <w:r>
        <w:rPr>
          <w:rFonts w:hint="eastAsia" w:ascii="宋体" w:hAnsi="宋体" w:cs="宋体"/>
          <w:color w:val="auto"/>
          <w:kern w:val="0"/>
          <w:sz w:val="28"/>
          <w:highlight w:val="none"/>
        </w:rPr>
        <w:t>员的纪</w:t>
      </w:r>
      <w:r>
        <w:rPr>
          <w:rFonts w:hint="eastAsia" w:ascii="宋体" w:hAnsi="宋体" w:cs="宋体"/>
          <w:color w:val="auto"/>
          <w:spacing w:val="-3"/>
          <w:kern w:val="0"/>
          <w:sz w:val="28"/>
          <w:highlight w:val="none"/>
        </w:rPr>
        <w:t>律</w:t>
      </w:r>
      <w:r>
        <w:rPr>
          <w:rFonts w:hint="eastAsia" w:ascii="宋体" w:hAnsi="宋体" w:cs="宋体"/>
          <w:color w:val="auto"/>
          <w:kern w:val="0"/>
          <w:sz w:val="28"/>
          <w:highlight w:val="none"/>
        </w:rPr>
        <w:t>要求</w:t>
      </w:r>
      <w:bookmarkEnd w:id="173"/>
      <w:bookmarkEnd w:id="174"/>
    </w:p>
    <w:p w14:paraId="3BEB13A2">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评标委员会成员不</w:t>
      </w:r>
      <w:r>
        <w:rPr>
          <w:rFonts w:hint="eastAsia" w:ascii="宋体" w:hAnsi="宋体" w:cs="宋体"/>
          <w:color w:val="auto"/>
          <w:spacing w:val="-2"/>
          <w:kern w:val="0"/>
          <w:szCs w:val="24"/>
          <w:highlight w:val="none"/>
        </w:rPr>
        <w:t>得</w:t>
      </w:r>
      <w:r>
        <w:rPr>
          <w:rFonts w:hint="eastAsia" w:ascii="宋体" w:hAnsi="宋体" w:cs="宋体"/>
          <w:color w:val="auto"/>
          <w:kern w:val="0"/>
          <w:szCs w:val="24"/>
          <w:highlight w:val="none"/>
        </w:rPr>
        <w:t>收</w:t>
      </w:r>
      <w:r>
        <w:rPr>
          <w:rFonts w:hint="eastAsia" w:ascii="宋体" w:hAnsi="宋体" w:cs="宋体"/>
          <w:color w:val="auto"/>
          <w:spacing w:val="-2"/>
          <w:kern w:val="0"/>
          <w:szCs w:val="24"/>
          <w:highlight w:val="none"/>
        </w:rPr>
        <w:t>受</w:t>
      </w:r>
      <w:r>
        <w:rPr>
          <w:rFonts w:hint="eastAsia" w:ascii="宋体" w:hAnsi="宋体" w:cs="宋体"/>
          <w:color w:val="auto"/>
          <w:kern w:val="0"/>
          <w:szCs w:val="24"/>
          <w:highlight w:val="none"/>
        </w:rPr>
        <w:t>他人的财物或者其</w:t>
      </w:r>
      <w:r>
        <w:rPr>
          <w:rFonts w:hint="eastAsia" w:ascii="宋体" w:hAnsi="宋体" w:cs="宋体"/>
          <w:color w:val="auto"/>
          <w:spacing w:val="-2"/>
          <w:kern w:val="0"/>
          <w:szCs w:val="24"/>
          <w:highlight w:val="none"/>
        </w:rPr>
        <w:t>他</w:t>
      </w:r>
      <w:r>
        <w:rPr>
          <w:rFonts w:hint="eastAsia" w:ascii="宋体" w:hAnsi="宋体" w:cs="宋体"/>
          <w:color w:val="auto"/>
          <w:kern w:val="0"/>
          <w:szCs w:val="24"/>
          <w:highlight w:val="none"/>
        </w:rPr>
        <w:t>好</w:t>
      </w:r>
      <w:r>
        <w:rPr>
          <w:rFonts w:hint="eastAsia" w:ascii="宋体" w:hAnsi="宋体" w:cs="宋体"/>
          <w:color w:val="auto"/>
          <w:spacing w:val="-2"/>
          <w:kern w:val="0"/>
          <w:szCs w:val="24"/>
          <w:highlight w:val="none"/>
        </w:rPr>
        <w:t>处</w:t>
      </w:r>
      <w:r>
        <w:rPr>
          <w:rFonts w:hint="eastAsia" w:ascii="宋体" w:hAnsi="宋体" w:cs="宋体"/>
          <w:color w:val="auto"/>
          <w:kern w:val="0"/>
          <w:szCs w:val="24"/>
          <w:highlight w:val="none"/>
        </w:rPr>
        <w:t>，不得向他人透露</w:t>
      </w:r>
      <w:r>
        <w:rPr>
          <w:rFonts w:hint="eastAsia" w:ascii="宋体" w:hAnsi="宋体" w:cs="宋体"/>
          <w:color w:val="auto"/>
          <w:spacing w:val="-2"/>
          <w:kern w:val="0"/>
          <w:szCs w:val="24"/>
          <w:highlight w:val="none"/>
        </w:rPr>
        <w:t>对</w:t>
      </w:r>
      <w:r>
        <w:rPr>
          <w:rFonts w:hint="eastAsia" w:ascii="宋体" w:hAnsi="宋体" w:cs="宋体"/>
          <w:color w:val="auto"/>
          <w:kern w:val="0"/>
          <w:szCs w:val="24"/>
          <w:highlight w:val="none"/>
        </w:rPr>
        <w:t>响应文件的评审和比较、中标候选</w:t>
      </w:r>
      <w:r>
        <w:rPr>
          <w:rFonts w:hint="eastAsia" w:ascii="宋体" w:hAnsi="宋体" w:cs="宋体"/>
          <w:color w:val="auto"/>
          <w:spacing w:val="-2"/>
          <w:kern w:val="0"/>
          <w:szCs w:val="24"/>
          <w:highlight w:val="none"/>
        </w:rPr>
        <w:t>人</w:t>
      </w:r>
      <w:r>
        <w:rPr>
          <w:rFonts w:hint="eastAsia" w:ascii="宋体" w:hAnsi="宋体" w:cs="宋体"/>
          <w:color w:val="auto"/>
          <w:kern w:val="0"/>
          <w:szCs w:val="24"/>
          <w:highlight w:val="none"/>
        </w:rPr>
        <w:t>的推</w:t>
      </w:r>
      <w:r>
        <w:rPr>
          <w:rFonts w:hint="eastAsia" w:ascii="宋体" w:hAnsi="宋体" w:cs="宋体"/>
          <w:color w:val="auto"/>
          <w:spacing w:val="-2"/>
          <w:kern w:val="0"/>
          <w:szCs w:val="24"/>
          <w:highlight w:val="none"/>
        </w:rPr>
        <w:t>荐</w:t>
      </w:r>
      <w:r>
        <w:rPr>
          <w:rFonts w:hint="eastAsia" w:ascii="宋体" w:hAnsi="宋体" w:cs="宋体"/>
          <w:color w:val="auto"/>
          <w:kern w:val="0"/>
          <w:szCs w:val="24"/>
          <w:highlight w:val="none"/>
        </w:rPr>
        <w:t>情况以及评标有</w:t>
      </w:r>
      <w:r>
        <w:rPr>
          <w:rFonts w:hint="eastAsia" w:ascii="宋体" w:hAnsi="宋体" w:cs="宋体"/>
          <w:color w:val="auto"/>
          <w:spacing w:val="-2"/>
          <w:kern w:val="0"/>
          <w:szCs w:val="24"/>
          <w:highlight w:val="none"/>
        </w:rPr>
        <w:t>关</w:t>
      </w:r>
      <w:r>
        <w:rPr>
          <w:rFonts w:hint="eastAsia" w:ascii="宋体" w:hAnsi="宋体" w:cs="宋体"/>
          <w:color w:val="auto"/>
          <w:kern w:val="0"/>
          <w:szCs w:val="24"/>
          <w:highlight w:val="none"/>
        </w:rPr>
        <w:t>的其</w:t>
      </w:r>
      <w:r>
        <w:rPr>
          <w:rFonts w:hint="eastAsia" w:ascii="宋体" w:hAnsi="宋体" w:cs="宋体"/>
          <w:color w:val="auto"/>
          <w:spacing w:val="-2"/>
          <w:kern w:val="0"/>
          <w:szCs w:val="24"/>
          <w:highlight w:val="none"/>
        </w:rPr>
        <w:t>他</w:t>
      </w:r>
      <w:r>
        <w:rPr>
          <w:rFonts w:hint="eastAsia" w:ascii="宋体" w:hAnsi="宋体" w:cs="宋体"/>
          <w:color w:val="auto"/>
          <w:kern w:val="0"/>
          <w:szCs w:val="24"/>
          <w:highlight w:val="none"/>
        </w:rPr>
        <w:t>情况。在评标活</w:t>
      </w:r>
      <w:r>
        <w:rPr>
          <w:rFonts w:hint="eastAsia" w:ascii="宋体" w:hAnsi="宋体" w:cs="宋体"/>
          <w:color w:val="auto"/>
          <w:spacing w:val="-2"/>
          <w:kern w:val="0"/>
          <w:szCs w:val="24"/>
          <w:highlight w:val="none"/>
        </w:rPr>
        <w:t>动</w:t>
      </w:r>
      <w:r>
        <w:rPr>
          <w:rFonts w:hint="eastAsia" w:ascii="宋体" w:hAnsi="宋体" w:cs="宋体"/>
          <w:color w:val="auto"/>
          <w:kern w:val="0"/>
          <w:szCs w:val="24"/>
          <w:highlight w:val="none"/>
        </w:rPr>
        <w:t>中，</w:t>
      </w:r>
      <w:r>
        <w:rPr>
          <w:rFonts w:hint="eastAsia" w:ascii="宋体" w:hAnsi="宋体" w:cs="宋体"/>
          <w:color w:val="auto"/>
          <w:spacing w:val="-2"/>
          <w:kern w:val="0"/>
          <w:szCs w:val="24"/>
          <w:highlight w:val="none"/>
        </w:rPr>
        <w:t>评</w:t>
      </w:r>
      <w:r>
        <w:rPr>
          <w:rFonts w:hint="eastAsia" w:ascii="宋体" w:hAnsi="宋体" w:cs="宋体"/>
          <w:color w:val="auto"/>
          <w:kern w:val="0"/>
          <w:szCs w:val="24"/>
          <w:highlight w:val="none"/>
        </w:rPr>
        <w:t>标委员会成员</w:t>
      </w:r>
      <w:r>
        <w:rPr>
          <w:rFonts w:hint="eastAsia" w:ascii="宋体" w:hAnsi="宋体" w:cs="宋体"/>
          <w:color w:val="auto"/>
          <w:spacing w:val="-2"/>
          <w:kern w:val="0"/>
          <w:szCs w:val="24"/>
          <w:highlight w:val="none"/>
        </w:rPr>
        <w:t>应</w:t>
      </w:r>
      <w:r>
        <w:rPr>
          <w:rFonts w:hint="eastAsia" w:ascii="宋体" w:hAnsi="宋体" w:cs="宋体"/>
          <w:color w:val="auto"/>
          <w:kern w:val="0"/>
          <w:szCs w:val="24"/>
          <w:highlight w:val="none"/>
        </w:rPr>
        <w:t>当 客观、公正地履</w:t>
      </w:r>
      <w:r>
        <w:rPr>
          <w:rFonts w:hint="eastAsia" w:ascii="宋体" w:hAnsi="宋体" w:cs="宋体"/>
          <w:color w:val="auto"/>
          <w:spacing w:val="-2"/>
          <w:kern w:val="0"/>
          <w:szCs w:val="24"/>
          <w:highlight w:val="none"/>
        </w:rPr>
        <w:t>行</w:t>
      </w:r>
      <w:r>
        <w:rPr>
          <w:rFonts w:hint="eastAsia" w:ascii="宋体" w:hAnsi="宋体" w:cs="宋体"/>
          <w:color w:val="auto"/>
          <w:kern w:val="0"/>
          <w:szCs w:val="24"/>
          <w:highlight w:val="none"/>
        </w:rPr>
        <w:t>职责</w:t>
      </w:r>
      <w:r>
        <w:rPr>
          <w:rFonts w:hint="eastAsia" w:ascii="宋体" w:hAnsi="宋体" w:cs="宋体"/>
          <w:color w:val="auto"/>
          <w:spacing w:val="-2"/>
          <w:kern w:val="0"/>
          <w:szCs w:val="24"/>
          <w:highlight w:val="none"/>
        </w:rPr>
        <w:t>，</w:t>
      </w:r>
      <w:r>
        <w:rPr>
          <w:rFonts w:hint="eastAsia" w:ascii="宋体" w:hAnsi="宋体" w:cs="宋体"/>
          <w:color w:val="auto"/>
          <w:kern w:val="0"/>
          <w:szCs w:val="24"/>
          <w:highlight w:val="none"/>
        </w:rPr>
        <w:t>遵守职业道德，</w:t>
      </w:r>
      <w:r>
        <w:rPr>
          <w:rFonts w:hint="eastAsia" w:ascii="宋体" w:hAnsi="宋体" w:cs="宋体"/>
          <w:color w:val="auto"/>
          <w:spacing w:val="-2"/>
          <w:kern w:val="0"/>
          <w:szCs w:val="24"/>
          <w:highlight w:val="none"/>
        </w:rPr>
        <w:t>不</w:t>
      </w:r>
      <w:r>
        <w:rPr>
          <w:rFonts w:hint="eastAsia" w:ascii="宋体" w:hAnsi="宋体" w:cs="宋体"/>
          <w:color w:val="auto"/>
          <w:kern w:val="0"/>
          <w:szCs w:val="24"/>
          <w:highlight w:val="none"/>
        </w:rPr>
        <w:t>得擅</w:t>
      </w:r>
      <w:r>
        <w:rPr>
          <w:rFonts w:hint="eastAsia" w:ascii="宋体" w:hAnsi="宋体" w:cs="宋体"/>
          <w:color w:val="auto"/>
          <w:spacing w:val="-2"/>
          <w:kern w:val="0"/>
          <w:szCs w:val="24"/>
          <w:highlight w:val="none"/>
        </w:rPr>
        <w:t>离</w:t>
      </w:r>
      <w:r>
        <w:rPr>
          <w:rFonts w:hint="eastAsia" w:ascii="宋体" w:hAnsi="宋体" w:cs="宋体"/>
          <w:color w:val="auto"/>
          <w:kern w:val="0"/>
          <w:szCs w:val="24"/>
          <w:highlight w:val="none"/>
        </w:rPr>
        <w:t>职守，影响评标</w:t>
      </w:r>
      <w:r>
        <w:rPr>
          <w:rFonts w:hint="eastAsia" w:ascii="宋体" w:hAnsi="宋体" w:cs="宋体"/>
          <w:color w:val="auto"/>
          <w:spacing w:val="-2"/>
          <w:kern w:val="0"/>
          <w:szCs w:val="24"/>
          <w:highlight w:val="none"/>
        </w:rPr>
        <w:t>程</w:t>
      </w:r>
      <w:r>
        <w:rPr>
          <w:rFonts w:hint="eastAsia" w:ascii="宋体" w:hAnsi="宋体" w:cs="宋体"/>
          <w:color w:val="auto"/>
          <w:kern w:val="0"/>
          <w:szCs w:val="24"/>
          <w:highlight w:val="none"/>
        </w:rPr>
        <w:t>序正</w:t>
      </w:r>
      <w:r>
        <w:rPr>
          <w:rFonts w:hint="eastAsia" w:ascii="宋体" w:hAnsi="宋体" w:cs="宋体"/>
          <w:color w:val="auto"/>
          <w:spacing w:val="-2"/>
          <w:kern w:val="0"/>
          <w:szCs w:val="24"/>
          <w:highlight w:val="none"/>
        </w:rPr>
        <w:t>常</w:t>
      </w:r>
      <w:r>
        <w:rPr>
          <w:rFonts w:hint="eastAsia" w:ascii="宋体" w:hAnsi="宋体" w:cs="宋体"/>
          <w:color w:val="auto"/>
          <w:kern w:val="0"/>
          <w:szCs w:val="24"/>
          <w:highlight w:val="none"/>
        </w:rPr>
        <w:t>进行，不得使</w:t>
      </w:r>
      <w:r>
        <w:rPr>
          <w:rFonts w:hint="eastAsia" w:ascii="宋体" w:hAnsi="宋体" w:cs="宋体"/>
          <w:color w:val="auto"/>
          <w:spacing w:val="-2"/>
          <w:kern w:val="0"/>
          <w:szCs w:val="24"/>
          <w:highlight w:val="none"/>
        </w:rPr>
        <w:t>用</w:t>
      </w:r>
      <w:r>
        <w:rPr>
          <w:rFonts w:hint="eastAsia" w:ascii="宋体" w:hAnsi="宋体" w:cs="宋体"/>
          <w:color w:val="auto"/>
          <w:kern w:val="0"/>
          <w:szCs w:val="24"/>
          <w:highlight w:val="none"/>
        </w:rPr>
        <w:t>第</w:t>
      </w:r>
      <w:r>
        <w:rPr>
          <w:rFonts w:hint="eastAsia" w:ascii="宋体" w:hAnsi="宋体" w:cs="宋体"/>
          <w:color w:val="auto"/>
          <w:kern w:val="0"/>
          <w:position w:val="-1"/>
          <w:szCs w:val="24"/>
          <w:highlight w:val="none"/>
        </w:rPr>
        <w:t>四章</w:t>
      </w:r>
      <w:r>
        <w:rPr>
          <w:rFonts w:hint="eastAsia" w:ascii="宋体" w:hAnsi="宋体" w:cs="宋体"/>
          <w:color w:val="auto"/>
          <w:spacing w:val="-3"/>
          <w:kern w:val="0"/>
          <w:position w:val="-1"/>
          <w:szCs w:val="24"/>
          <w:highlight w:val="none"/>
        </w:rPr>
        <w:t>“</w:t>
      </w:r>
      <w:r>
        <w:rPr>
          <w:rFonts w:hint="eastAsia" w:ascii="宋体" w:hAnsi="宋体" w:cs="宋体"/>
          <w:color w:val="auto"/>
          <w:kern w:val="0"/>
          <w:position w:val="-1"/>
          <w:szCs w:val="24"/>
          <w:highlight w:val="none"/>
        </w:rPr>
        <w:t>评</w:t>
      </w:r>
      <w:r>
        <w:rPr>
          <w:rFonts w:hint="eastAsia" w:ascii="宋体" w:hAnsi="宋体" w:cs="宋体"/>
          <w:color w:val="auto"/>
          <w:spacing w:val="-2"/>
          <w:kern w:val="0"/>
          <w:position w:val="-1"/>
          <w:szCs w:val="24"/>
          <w:highlight w:val="none"/>
        </w:rPr>
        <w:t>标</w:t>
      </w:r>
      <w:r>
        <w:rPr>
          <w:rFonts w:hint="eastAsia" w:ascii="宋体" w:hAnsi="宋体" w:cs="宋体"/>
          <w:color w:val="auto"/>
          <w:kern w:val="0"/>
          <w:position w:val="-1"/>
          <w:szCs w:val="24"/>
          <w:highlight w:val="none"/>
        </w:rPr>
        <w:t>办法</w:t>
      </w:r>
      <w:r>
        <w:rPr>
          <w:rFonts w:hint="eastAsia" w:ascii="宋体" w:hAnsi="宋体" w:cs="宋体"/>
          <w:color w:val="auto"/>
          <w:spacing w:val="-3"/>
          <w:kern w:val="0"/>
          <w:position w:val="-1"/>
          <w:szCs w:val="24"/>
          <w:highlight w:val="none"/>
        </w:rPr>
        <w:t>”</w:t>
      </w:r>
      <w:r>
        <w:rPr>
          <w:rFonts w:hint="eastAsia" w:ascii="宋体" w:hAnsi="宋体" w:cs="宋体"/>
          <w:color w:val="auto"/>
          <w:kern w:val="0"/>
          <w:position w:val="-1"/>
          <w:szCs w:val="24"/>
          <w:highlight w:val="none"/>
        </w:rPr>
        <w:t>没</w:t>
      </w:r>
      <w:r>
        <w:rPr>
          <w:rFonts w:hint="eastAsia" w:ascii="宋体" w:hAnsi="宋体" w:cs="宋体"/>
          <w:color w:val="auto"/>
          <w:spacing w:val="-2"/>
          <w:kern w:val="0"/>
          <w:position w:val="-1"/>
          <w:szCs w:val="24"/>
          <w:highlight w:val="none"/>
        </w:rPr>
        <w:t>有</w:t>
      </w:r>
      <w:r>
        <w:rPr>
          <w:rFonts w:hint="eastAsia" w:ascii="宋体" w:hAnsi="宋体" w:cs="宋体"/>
          <w:color w:val="auto"/>
          <w:kern w:val="0"/>
          <w:position w:val="-1"/>
          <w:szCs w:val="24"/>
          <w:highlight w:val="none"/>
        </w:rPr>
        <w:t>规</w:t>
      </w:r>
      <w:r>
        <w:rPr>
          <w:rFonts w:hint="eastAsia" w:ascii="宋体" w:hAnsi="宋体" w:cs="宋体"/>
          <w:color w:val="auto"/>
          <w:spacing w:val="-2"/>
          <w:kern w:val="0"/>
          <w:position w:val="-1"/>
          <w:szCs w:val="24"/>
          <w:highlight w:val="none"/>
        </w:rPr>
        <w:t>定</w:t>
      </w:r>
      <w:r>
        <w:rPr>
          <w:rFonts w:hint="eastAsia" w:ascii="宋体" w:hAnsi="宋体" w:cs="宋体"/>
          <w:color w:val="auto"/>
          <w:kern w:val="0"/>
          <w:position w:val="-1"/>
          <w:szCs w:val="24"/>
          <w:highlight w:val="none"/>
        </w:rPr>
        <w:t>的评</w:t>
      </w:r>
      <w:r>
        <w:rPr>
          <w:rFonts w:hint="eastAsia" w:ascii="宋体" w:hAnsi="宋体" w:cs="宋体"/>
          <w:color w:val="auto"/>
          <w:spacing w:val="-2"/>
          <w:kern w:val="0"/>
          <w:position w:val="-1"/>
          <w:szCs w:val="24"/>
          <w:highlight w:val="none"/>
        </w:rPr>
        <w:t>审</w:t>
      </w:r>
      <w:r>
        <w:rPr>
          <w:rFonts w:hint="eastAsia" w:ascii="宋体" w:hAnsi="宋体" w:cs="宋体"/>
          <w:color w:val="auto"/>
          <w:kern w:val="0"/>
          <w:position w:val="-1"/>
          <w:szCs w:val="24"/>
          <w:highlight w:val="none"/>
        </w:rPr>
        <w:t>因</w:t>
      </w:r>
      <w:r>
        <w:rPr>
          <w:rFonts w:hint="eastAsia" w:ascii="宋体" w:hAnsi="宋体" w:cs="宋体"/>
          <w:color w:val="auto"/>
          <w:spacing w:val="-2"/>
          <w:kern w:val="0"/>
          <w:position w:val="-1"/>
          <w:szCs w:val="24"/>
          <w:highlight w:val="none"/>
        </w:rPr>
        <w:t>素</w:t>
      </w:r>
      <w:r>
        <w:rPr>
          <w:rFonts w:hint="eastAsia" w:ascii="宋体" w:hAnsi="宋体" w:cs="宋体"/>
          <w:color w:val="auto"/>
          <w:kern w:val="0"/>
          <w:position w:val="-1"/>
          <w:szCs w:val="24"/>
          <w:highlight w:val="none"/>
        </w:rPr>
        <w:t>和</w:t>
      </w:r>
      <w:r>
        <w:rPr>
          <w:rFonts w:hint="eastAsia" w:ascii="宋体" w:hAnsi="宋体" w:cs="宋体"/>
          <w:color w:val="auto"/>
          <w:spacing w:val="-2"/>
          <w:kern w:val="0"/>
          <w:position w:val="-1"/>
          <w:szCs w:val="24"/>
          <w:highlight w:val="none"/>
        </w:rPr>
        <w:t>标</w:t>
      </w:r>
      <w:r>
        <w:rPr>
          <w:rFonts w:hint="eastAsia" w:ascii="宋体" w:hAnsi="宋体" w:cs="宋体"/>
          <w:color w:val="auto"/>
          <w:kern w:val="0"/>
          <w:position w:val="-1"/>
          <w:szCs w:val="24"/>
          <w:highlight w:val="none"/>
        </w:rPr>
        <w:t>准</w:t>
      </w:r>
      <w:r>
        <w:rPr>
          <w:rFonts w:hint="eastAsia" w:ascii="宋体" w:hAnsi="宋体" w:cs="宋体"/>
          <w:color w:val="auto"/>
          <w:spacing w:val="-2"/>
          <w:kern w:val="0"/>
          <w:position w:val="-1"/>
          <w:szCs w:val="24"/>
          <w:highlight w:val="none"/>
        </w:rPr>
        <w:t>进</w:t>
      </w:r>
      <w:r>
        <w:rPr>
          <w:rFonts w:hint="eastAsia" w:ascii="宋体" w:hAnsi="宋体" w:cs="宋体"/>
          <w:color w:val="auto"/>
          <w:kern w:val="0"/>
          <w:position w:val="-1"/>
          <w:szCs w:val="24"/>
          <w:highlight w:val="none"/>
        </w:rPr>
        <w:t>行</w:t>
      </w:r>
      <w:r>
        <w:rPr>
          <w:rFonts w:hint="eastAsia" w:ascii="宋体" w:hAnsi="宋体" w:cs="宋体"/>
          <w:color w:val="auto"/>
          <w:spacing w:val="-2"/>
          <w:kern w:val="0"/>
          <w:position w:val="-1"/>
          <w:szCs w:val="24"/>
          <w:highlight w:val="none"/>
        </w:rPr>
        <w:t>评</w:t>
      </w:r>
      <w:r>
        <w:rPr>
          <w:rFonts w:hint="eastAsia" w:ascii="宋体" w:hAnsi="宋体" w:cs="宋体"/>
          <w:color w:val="auto"/>
          <w:kern w:val="0"/>
          <w:position w:val="-1"/>
          <w:szCs w:val="24"/>
          <w:highlight w:val="none"/>
        </w:rPr>
        <w:t>标。</w:t>
      </w:r>
    </w:p>
    <w:p w14:paraId="39009885">
      <w:pPr>
        <w:pStyle w:val="8"/>
        <w:pageBreakBefore w:val="0"/>
        <w:kinsoku/>
        <w:overflowPunct/>
        <w:topLinePunct w:val="0"/>
        <w:bidi w:val="0"/>
        <w:snapToGrid/>
        <w:spacing w:before="0" w:after="0" w:line="360" w:lineRule="auto"/>
        <w:ind w:left="0" w:leftChars="0" w:right="0" w:firstLine="566" w:firstLineChars="200"/>
        <w:textAlignment w:val="auto"/>
        <w:outlineLvl w:val="2"/>
        <w:rPr>
          <w:rFonts w:hint="eastAsia" w:ascii="宋体" w:hAnsi="宋体" w:cs="宋体"/>
          <w:color w:val="auto"/>
          <w:kern w:val="0"/>
          <w:sz w:val="28"/>
          <w:highlight w:val="none"/>
        </w:rPr>
      </w:pPr>
      <w:bookmarkStart w:id="175" w:name="_Toc16834"/>
      <w:bookmarkStart w:id="176" w:name="_Toc12186"/>
      <w:r>
        <w:rPr>
          <w:rFonts w:hint="eastAsia" w:ascii="宋体" w:hAnsi="宋体" w:cs="宋体"/>
          <w:color w:val="auto"/>
          <w:spacing w:val="1"/>
          <w:kern w:val="0"/>
          <w:sz w:val="28"/>
          <w:highlight w:val="none"/>
        </w:rPr>
        <w:t>8</w:t>
      </w:r>
      <w:r>
        <w:rPr>
          <w:rFonts w:hint="eastAsia" w:ascii="宋体" w:hAnsi="宋体" w:cs="宋体"/>
          <w:color w:val="auto"/>
          <w:kern w:val="0"/>
          <w:sz w:val="28"/>
          <w:highlight w:val="none"/>
        </w:rPr>
        <w:t>.4</w:t>
      </w:r>
      <w:r>
        <w:rPr>
          <w:rFonts w:hint="eastAsia" w:ascii="宋体" w:hAnsi="宋体" w:cs="宋体"/>
          <w:color w:val="auto"/>
          <w:spacing w:val="68"/>
          <w:kern w:val="0"/>
          <w:sz w:val="28"/>
          <w:highlight w:val="none"/>
        </w:rPr>
        <w:t xml:space="preserve"> </w:t>
      </w:r>
      <w:r>
        <w:rPr>
          <w:rFonts w:hint="eastAsia" w:ascii="宋体" w:hAnsi="宋体" w:cs="宋体"/>
          <w:color w:val="auto"/>
          <w:kern w:val="0"/>
          <w:sz w:val="28"/>
          <w:highlight w:val="none"/>
        </w:rPr>
        <w:t>对与评标活动有关的工作人员的纪律要求</w:t>
      </w:r>
      <w:bookmarkEnd w:id="175"/>
      <w:bookmarkEnd w:id="176"/>
    </w:p>
    <w:p w14:paraId="0616AFFA">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与评标活动有关的</w:t>
      </w:r>
      <w:r>
        <w:rPr>
          <w:rFonts w:hint="eastAsia" w:ascii="宋体" w:hAnsi="宋体" w:cs="宋体"/>
          <w:color w:val="auto"/>
          <w:spacing w:val="-2"/>
          <w:kern w:val="0"/>
          <w:szCs w:val="24"/>
          <w:highlight w:val="none"/>
        </w:rPr>
        <w:t>工</w:t>
      </w:r>
      <w:r>
        <w:rPr>
          <w:rFonts w:hint="eastAsia" w:ascii="宋体" w:hAnsi="宋体" w:cs="宋体"/>
          <w:color w:val="auto"/>
          <w:kern w:val="0"/>
          <w:szCs w:val="24"/>
          <w:highlight w:val="none"/>
        </w:rPr>
        <w:t>作</w:t>
      </w:r>
      <w:r>
        <w:rPr>
          <w:rFonts w:hint="eastAsia" w:ascii="宋体" w:hAnsi="宋体" w:cs="宋体"/>
          <w:color w:val="auto"/>
          <w:spacing w:val="-2"/>
          <w:kern w:val="0"/>
          <w:szCs w:val="24"/>
          <w:highlight w:val="none"/>
        </w:rPr>
        <w:t>人</w:t>
      </w:r>
      <w:r>
        <w:rPr>
          <w:rFonts w:hint="eastAsia" w:ascii="宋体" w:hAnsi="宋体" w:cs="宋体"/>
          <w:color w:val="auto"/>
          <w:kern w:val="0"/>
          <w:szCs w:val="24"/>
          <w:highlight w:val="none"/>
        </w:rPr>
        <w:t>员不得收受他人的</w:t>
      </w:r>
      <w:r>
        <w:rPr>
          <w:rFonts w:hint="eastAsia" w:ascii="宋体" w:hAnsi="宋体" w:cs="宋体"/>
          <w:color w:val="auto"/>
          <w:spacing w:val="-2"/>
          <w:kern w:val="0"/>
          <w:szCs w:val="24"/>
          <w:highlight w:val="none"/>
        </w:rPr>
        <w:t>财</w:t>
      </w:r>
      <w:r>
        <w:rPr>
          <w:rFonts w:hint="eastAsia" w:ascii="宋体" w:hAnsi="宋体" w:cs="宋体"/>
          <w:color w:val="auto"/>
          <w:kern w:val="0"/>
          <w:szCs w:val="24"/>
          <w:highlight w:val="none"/>
        </w:rPr>
        <w:t>物</w:t>
      </w:r>
      <w:r>
        <w:rPr>
          <w:rFonts w:hint="eastAsia" w:ascii="宋体" w:hAnsi="宋体" w:cs="宋体"/>
          <w:color w:val="auto"/>
          <w:spacing w:val="-2"/>
          <w:kern w:val="0"/>
          <w:szCs w:val="24"/>
          <w:highlight w:val="none"/>
        </w:rPr>
        <w:t>或</w:t>
      </w:r>
      <w:r>
        <w:rPr>
          <w:rFonts w:hint="eastAsia" w:ascii="宋体" w:hAnsi="宋体" w:cs="宋体"/>
          <w:color w:val="auto"/>
          <w:kern w:val="0"/>
          <w:szCs w:val="24"/>
          <w:highlight w:val="none"/>
        </w:rPr>
        <w:t>者其他好处，不得</w:t>
      </w:r>
      <w:r>
        <w:rPr>
          <w:rFonts w:hint="eastAsia" w:ascii="宋体" w:hAnsi="宋体" w:cs="宋体"/>
          <w:color w:val="auto"/>
          <w:spacing w:val="-2"/>
          <w:kern w:val="0"/>
          <w:szCs w:val="24"/>
          <w:highlight w:val="none"/>
        </w:rPr>
        <w:t>向</w:t>
      </w:r>
      <w:r>
        <w:rPr>
          <w:rFonts w:hint="eastAsia" w:ascii="宋体" w:hAnsi="宋体" w:cs="宋体"/>
          <w:color w:val="auto"/>
          <w:kern w:val="0"/>
          <w:szCs w:val="24"/>
          <w:highlight w:val="none"/>
        </w:rPr>
        <w:t>他</w:t>
      </w:r>
      <w:r>
        <w:rPr>
          <w:rFonts w:hint="eastAsia" w:ascii="宋体" w:hAnsi="宋体" w:cs="宋体"/>
          <w:color w:val="auto"/>
          <w:spacing w:val="-2"/>
          <w:kern w:val="0"/>
          <w:szCs w:val="24"/>
          <w:highlight w:val="none"/>
        </w:rPr>
        <w:t>人</w:t>
      </w:r>
      <w:r>
        <w:rPr>
          <w:rFonts w:hint="eastAsia" w:ascii="宋体" w:hAnsi="宋体" w:cs="宋体"/>
          <w:color w:val="auto"/>
          <w:kern w:val="0"/>
          <w:szCs w:val="24"/>
          <w:highlight w:val="none"/>
        </w:rPr>
        <w:t>透露对响应文件的评审和比较</w:t>
      </w:r>
      <w:r>
        <w:rPr>
          <w:rFonts w:hint="eastAsia" w:ascii="宋体" w:hAnsi="宋体" w:cs="宋体"/>
          <w:color w:val="auto"/>
          <w:spacing w:val="-2"/>
          <w:kern w:val="0"/>
          <w:szCs w:val="24"/>
          <w:highlight w:val="none"/>
        </w:rPr>
        <w:t>、</w:t>
      </w:r>
      <w:r>
        <w:rPr>
          <w:rFonts w:hint="eastAsia" w:ascii="宋体" w:hAnsi="宋体" w:cs="宋体"/>
          <w:color w:val="auto"/>
          <w:kern w:val="0"/>
          <w:szCs w:val="24"/>
          <w:highlight w:val="none"/>
        </w:rPr>
        <w:t>中标</w:t>
      </w:r>
      <w:r>
        <w:rPr>
          <w:rFonts w:hint="eastAsia" w:ascii="宋体" w:hAnsi="宋体" w:cs="宋体"/>
          <w:color w:val="auto"/>
          <w:spacing w:val="-2"/>
          <w:kern w:val="0"/>
          <w:szCs w:val="24"/>
          <w:highlight w:val="none"/>
        </w:rPr>
        <w:t>候</w:t>
      </w:r>
      <w:r>
        <w:rPr>
          <w:rFonts w:hint="eastAsia" w:ascii="宋体" w:hAnsi="宋体" w:cs="宋体"/>
          <w:color w:val="auto"/>
          <w:kern w:val="0"/>
          <w:szCs w:val="24"/>
          <w:highlight w:val="none"/>
        </w:rPr>
        <w:t>选人的推荐情况</w:t>
      </w:r>
      <w:r>
        <w:rPr>
          <w:rFonts w:hint="eastAsia" w:ascii="宋体" w:hAnsi="宋体" w:cs="宋体"/>
          <w:color w:val="auto"/>
          <w:spacing w:val="-2"/>
          <w:kern w:val="0"/>
          <w:szCs w:val="24"/>
          <w:highlight w:val="none"/>
        </w:rPr>
        <w:t>以</w:t>
      </w:r>
      <w:r>
        <w:rPr>
          <w:rFonts w:hint="eastAsia" w:ascii="宋体" w:hAnsi="宋体" w:cs="宋体"/>
          <w:color w:val="auto"/>
          <w:kern w:val="0"/>
          <w:szCs w:val="24"/>
          <w:highlight w:val="none"/>
        </w:rPr>
        <w:t>及评</w:t>
      </w:r>
      <w:r>
        <w:rPr>
          <w:rFonts w:hint="eastAsia" w:ascii="宋体" w:hAnsi="宋体" w:cs="宋体"/>
          <w:color w:val="auto"/>
          <w:spacing w:val="-2"/>
          <w:kern w:val="0"/>
          <w:szCs w:val="24"/>
          <w:highlight w:val="none"/>
        </w:rPr>
        <w:t>标</w:t>
      </w:r>
      <w:r>
        <w:rPr>
          <w:rFonts w:hint="eastAsia" w:ascii="宋体" w:hAnsi="宋体" w:cs="宋体"/>
          <w:color w:val="auto"/>
          <w:kern w:val="0"/>
          <w:szCs w:val="24"/>
          <w:highlight w:val="none"/>
        </w:rPr>
        <w:t>有关的其他情况</w:t>
      </w:r>
      <w:r>
        <w:rPr>
          <w:rFonts w:hint="eastAsia" w:ascii="宋体" w:hAnsi="宋体" w:cs="宋体"/>
          <w:color w:val="auto"/>
          <w:spacing w:val="-2"/>
          <w:kern w:val="0"/>
          <w:szCs w:val="24"/>
          <w:highlight w:val="none"/>
        </w:rPr>
        <w:t>。</w:t>
      </w:r>
      <w:r>
        <w:rPr>
          <w:rFonts w:hint="eastAsia" w:ascii="宋体" w:hAnsi="宋体" w:cs="宋体"/>
          <w:color w:val="auto"/>
          <w:kern w:val="0"/>
          <w:szCs w:val="24"/>
          <w:highlight w:val="none"/>
        </w:rPr>
        <w:t>在评</w:t>
      </w:r>
      <w:r>
        <w:rPr>
          <w:rFonts w:hint="eastAsia" w:ascii="宋体" w:hAnsi="宋体" w:cs="宋体"/>
          <w:color w:val="auto"/>
          <w:spacing w:val="-2"/>
          <w:kern w:val="0"/>
          <w:szCs w:val="24"/>
          <w:highlight w:val="none"/>
        </w:rPr>
        <w:t>标</w:t>
      </w:r>
      <w:r>
        <w:rPr>
          <w:rFonts w:hint="eastAsia" w:ascii="宋体" w:hAnsi="宋体" w:cs="宋体"/>
          <w:color w:val="auto"/>
          <w:kern w:val="0"/>
          <w:szCs w:val="24"/>
          <w:highlight w:val="none"/>
        </w:rPr>
        <w:t>活动中，与评</w:t>
      </w:r>
      <w:r>
        <w:rPr>
          <w:rFonts w:hint="eastAsia" w:ascii="宋体" w:hAnsi="宋体" w:cs="宋体"/>
          <w:color w:val="auto"/>
          <w:spacing w:val="-2"/>
          <w:kern w:val="0"/>
          <w:szCs w:val="24"/>
          <w:highlight w:val="none"/>
        </w:rPr>
        <w:t>标</w:t>
      </w:r>
      <w:r>
        <w:rPr>
          <w:rFonts w:hint="eastAsia" w:ascii="宋体" w:hAnsi="宋体" w:cs="宋体"/>
          <w:color w:val="auto"/>
          <w:kern w:val="0"/>
          <w:szCs w:val="24"/>
          <w:highlight w:val="none"/>
        </w:rPr>
        <w:t>活动有</w:t>
      </w:r>
      <w:r>
        <w:rPr>
          <w:rFonts w:hint="eastAsia" w:ascii="宋体" w:hAnsi="宋体" w:cs="宋体"/>
          <w:color w:val="auto"/>
          <w:spacing w:val="-2"/>
          <w:kern w:val="0"/>
          <w:szCs w:val="24"/>
          <w:highlight w:val="none"/>
        </w:rPr>
        <w:t>关</w:t>
      </w:r>
      <w:r>
        <w:rPr>
          <w:rFonts w:hint="eastAsia" w:ascii="宋体" w:hAnsi="宋体" w:cs="宋体"/>
          <w:color w:val="auto"/>
          <w:kern w:val="0"/>
          <w:szCs w:val="24"/>
          <w:highlight w:val="none"/>
        </w:rPr>
        <w:t>的</w:t>
      </w:r>
      <w:r>
        <w:rPr>
          <w:rFonts w:hint="eastAsia" w:ascii="宋体" w:hAnsi="宋体" w:cs="宋体"/>
          <w:color w:val="auto"/>
          <w:spacing w:val="-2"/>
          <w:kern w:val="0"/>
          <w:szCs w:val="24"/>
          <w:highlight w:val="none"/>
        </w:rPr>
        <w:t>工</w:t>
      </w:r>
      <w:r>
        <w:rPr>
          <w:rFonts w:hint="eastAsia" w:ascii="宋体" w:hAnsi="宋体" w:cs="宋体"/>
          <w:color w:val="auto"/>
          <w:kern w:val="0"/>
          <w:szCs w:val="24"/>
          <w:highlight w:val="none"/>
        </w:rPr>
        <w:t>作</w:t>
      </w:r>
      <w:r>
        <w:rPr>
          <w:rFonts w:hint="eastAsia" w:ascii="宋体" w:hAnsi="宋体" w:cs="宋体"/>
          <w:color w:val="auto"/>
          <w:spacing w:val="-2"/>
          <w:kern w:val="0"/>
          <w:szCs w:val="24"/>
          <w:highlight w:val="none"/>
        </w:rPr>
        <w:t>人</w:t>
      </w:r>
      <w:r>
        <w:rPr>
          <w:rFonts w:hint="eastAsia" w:ascii="宋体" w:hAnsi="宋体" w:cs="宋体"/>
          <w:color w:val="auto"/>
          <w:kern w:val="0"/>
          <w:szCs w:val="24"/>
          <w:highlight w:val="none"/>
        </w:rPr>
        <w:t>员</w:t>
      </w:r>
      <w:r>
        <w:rPr>
          <w:rFonts w:hint="eastAsia" w:ascii="宋体" w:hAnsi="宋体" w:cs="宋体"/>
          <w:color w:val="auto"/>
          <w:spacing w:val="-2"/>
          <w:kern w:val="0"/>
          <w:szCs w:val="24"/>
          <w:highlight w:val="none"/>
        </w:rPr>
        <w:t>不</w:t>
      </w:r>
      <w:r>
        <w:rPr>
          <w:rFonts w:hint="eastAsia" w:ascii="宋体" w:hAnsi="宋体" w:cs="宋体"/>
          <w:color w:val="auto"/>
          <w:kern w:val="0"/>
          <w:szCs w:val="24"/>
          <w:highlight w:val="none"/>
        </w:rPr>
        <w:t>得</w:t>
      </w:r>
      <w:r>
        <w:rPr>
          <w:rFonts w:hint="eastAsia" w:ascii="宋体" w:hAnsi="宋体" w:cs="宋体"/>
          <w:color w:val="auto"/>
          <w:spacing w:val="-2"/>
          <w:kern w:val="0"/>
          <w:szCs w:val="24"/>
          <w:highlight w:val="none"/>
        </w:rPr>
        <w:t>擅</w:t>
      </w:r>
      <w:r>
        <w:rPr>
          <w:rFonts w:hint="eastAsia" w:ascii="宋体" w:hAnsi="宋体" w:cs="宋体"/>
          <w:color w:val="auto"/>
          <w:kern w:val="0"/>
          <w:szCs w:val="24"/>
          <w:highlight w:val="none"/>
        </w:rPr>
        <w:t>离职</w:t>
      </w:r>
      <w:r>
        <w:rPr>
          <w:rFonts w:hint="eastAsia" w:ascii="宋体" w:hAnsi="宋体" w:cs="宋体"/>
          <w:color w:val="auto"/>
          <w:spacing w:val="-2"/>
          <w:kern w:val="0"/>
          <w:szCs w:val="24"/>
          <w:highlight w:val="none"/>
        </w:rPr>
        <w:t>守</w:t>
      </w:r>
      <w:r>
        <w:rPr>
          <w:rFonts w:hint="eastAsia" w:ascii="宋体" w:hAnsi="宋体" w:cs="宋体"/>
          <w:color w:val="auto"/>
          <w:kern w:val="0"/>
          <w:szCs w:val="24"/>
          <w:highlight w:val="none"/>
        </w:rPr>
        <w:t>，</w:t>
      </w:r>
      <w:r>
        <w:rPr>
          <w:rFonts w:hint="eastAsia" w:ascii="宋体" w:hAnsi="宋体" w:cs="宋体"/>
          <w:color w:val="auto"/>
          <w:spacing w:val="-2"/>
          <w:kern w:val="0"/>
          <w:szCs w:val="24"/>
          <w:highlight w:val="none"/>
        </w:rPr>
        <w:t>影</w:t>
      </w:r>
      <w:r>
        <w:rPr>
          <w:rFonts w:hint="eastAsia" w:ascii="宋体" w:hAnsi="宋体" w:cs="宋体"/>
          <w:color w:val="auto"/>
          <w:kern w:val="0"/>
          <w:szCs w:val="24"/>
          <w:highlight w:val="none"/>
        </w:rPr>
        <w:t>响</w:t>
      </w:r>
      <w:r>
        <w:rPr>
          <w:rFonts w:hint="eastAsia" w:ascii="宋体" w:hAnsi="宋体" w:cs="宋体"/>
          <w:color w:val="auto"/>
          <w:spacing w:val="-2"/>
          <w:kern w:val="0"/>
          <w:szCs w:val="24"/>
          <w:highlight w:val="none"/>
        </w:rPr>
        <w:t>评</w:t>
      </w:r>
      <w:r>
        <w:rPr>
          <w:rFonts w:hint="eastAsia" w:ascii="宋体" w:hAnsi="宋体" w:cs="宋体"/>
          <w:color w:val="auto"/>
          <w:kern w:val="0"/>
          <w:szCs w:val="24"/>
          <w:highlight w:val="none"/>
        </w:rPr>
        <w:t>标</w:t>
      </w:r>
      <w:r>
        <w:rPr>
          <w:rFonts w:hint="eastAsia" w:ascii="宋体" w:hAnsi="宋体" w:cs="宋体"/>
          <w:color w:val="auto"/>
          <w:spacing w:val="-2"/>
          <w:kern w:val="0"/>
          <w:szCs w:val="24"/>
          <w:highlight w:val="none"/>
        </w:rPr>
        <w:t>程</w:t>
      </w:r>
      <w:r>
        <w:rPr>
          <w:rFonts w:hint="eastAsia" w:ascii="宋体" w:hAnsi="宋体" w:cs="宋体"/>
          <w:color w:val="auto"/>
          <w:kern w:val="0"/>
          <w:szCs w:val="24"/>
          <w:highlight w:val="none"/>
        </w:rPr>
        <w:t>序</w:t>
      </w:r>
      <w:r>
        <w:rPr>
          <w:rFonts w:hint="eastAsia" w:ascii="宋体" w:hAnsi="宋体" w:cs="宋体"/>
          <w:color w:val="auto"/>
          <w:spacing w:val="-2"/>
          <w:kern w:val="0"/>
          <w:szCs w:val="24"/>
          <w:highlight w:val="none"/>
        </w:rPr>
        <w:t>正</w:t>
      </w:r>
      <w:r>
        <w:rPr>
          <w:rFonts w:hint="eastAsia" w:ascii="宋体" w:hAnsi="宋体" w:cs="宋体"/>
          <w:color w:val="auto"/>
          <w:kern w:val="0"/>
          <w:szCs w:val="24"/>
          <w:highlight w:val="none"/>
        </w:rPr>
        <w:t>常进</w:t>
      </w:r>
      <w:r>
        <w:rPr>
          <w:rFonts w:hint="eastAsia" w:ascii="宋体" w:hAnsi="宋体" w:cs="宋体"/>
          <w:color w:val="auto"/>
          <w:spacing w:val="-2"/>
          <w:kern w:val="0"/>
          <w:szCs w:val="24"/>
          <w:highlight w:val="none"/>
        </w:rPr>
        <w:t>行</w:t>
      </w:r>
      <w:r>
        <w:rPr>
          <w:rFonts w:hint="eastAsia" w:ascii="宋体" w:hAnsi="宋体" w:cs="宋体"/>
          <w:color w:val="auto"/>
          <w:kern w:val="0"/>
          <w:szCs w:val="24"/>
          <w:highlight w:val="none"/>
        </w:rPr>
        <w:t>。</w:t>
      </w:r>
    </w:p>
    <w:p w14:paraId="0D4F73DB">
      <w:pPr>
        <w:pageBreakBefore w:val="0"/>
        <w:kinsoku/>
        <w:wordWrap w:val="0"/>
        <w:overflowPunct/>
        <w:topLinePunct w:val="0"/>
        <w:autoSpaceDE w:val="0"/>
        <w:autoSpaceDN w:val="0"/>
        <w:bidi w:val="0"/>
        <w:adjustRightInd w:val="0"/>
        <w:snapToGrid/>
        <w:spacing w:line="360" w:lineRule="auto"/>
        <w:ind w:right="0"/>
        <w:jc w:val="left"/>
        <w:textAlignment w:val="auto"/>
        <w:rPr>
          <w:rFonts w:hint="eastAsia"/>
          <w:color w:val="auto"/>
          <w:highlight w:val="none"/>
        </w:rPr>
      </w:pPr>
      <w:bookmarkStart w:id="177" w:name="_Toc20214"/>
      <w:bookmarkStart w:id="178" w:name="_Toc7599"/>
      <w:bookmarkStart w:id="179" w:name="_Toc9393"/>
      <w:bookmarkStart w:id="180" w:name="_Toc5715"/>
      <w:bookmarkStart w:id="181" w:name="_Toc4869"/>
      <w:r>
        <w:rPr>
          <w:rFonts w:hint="eastAsia" w:ascii="宋体" w:hAnsi="宋体" w:eastAsia="宋体" w:cs="宋体"/>
          <w:b/>
          <w:bCs/>
          <w:color w:val="auto"/>
          <w:spacing w:val="1"/>
          <w:kern w:val="0"/>
          <w:position w:val="-1"/>
          <w:sz w:val="32"/>
          <w:highlight w:val="none"/>
        </w:rPr>
        <w:t>9.是否采用电子招标投标</w:t>
      </w:r>
      <w:bookmarkEnd w:id="177"/>
      <w:bookmarkEnd w:id="178"/>
      <w:bookmarkEnd w:id="179"/>
      <w:bookmarkEnd w:id="180"/>
      <w:bookmarkEnd w:id="181"/>
    </w:p>
    <w:p w14:paraId="48D8D72A">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见</w:t>
      </w:r>
      <w:r>
        <w:rPr>
          <w:rFonts w:hint="eastAsia" w:ascii="宋体" w:hAnsi="宋体" w:cs="宋体"/>
          <w:color w:val="auto"/>
          <w:spacing w:val="-2"/>
          <w:kern w:val="0"/>
          <w:szCs w:val="24"/>
          <w:highlight w:val="none"/>
          <w:lang w:eastAsia="zh-CN"/>
        </w:rPr>
        <w:t>供应商须知前附表</w:t>
      </w:r>
      <w:r>
        <w:rPr>
          <w:rFonts w:hint="eastAsia" w:ascii="宋体" w:hAnsi="宋体" w:cs="宋体"/>
          <w:color w:val="auto"/>
          <w:kern w:val="0"/>
          <w:szCs w:val="24"/>
          <w:highlight w:val="none"/>
        </w:rPr>
        <w:t>。</w:t>
      </w:r>
    </w:p>
    <w:p w14:paraId="13B58273">
      <w:pPr>
        <w:pStyle w:val="7"/>
        <w:keepNext w:val="0"/>
        <w:keepLines w:val="0"/>
        <w:pageBreakBefore w:val="0"/>
        <w:widowControl w:val="0"/>
        <w:kinsoku/>
        <w:wordWrap/>
        <w:overflowPunct/>
        <w:topLinePunct w:val="0"/>
        <w:autoSpaceDE/>
        <w:autoSpaceDN/>
        <w:bidi w:val="0"/>
        <w:adjustRightInd/>
        <w:snapToGrid/>
        <w:spacing w:before="0" w:beforeLines="50" w:line="360" w:lineRule="auto"/>
        <w:ind w:right="0"/>
        <w:textAlignment w:val="auto"/>
        <w:outlineLvl w:val="1"/>
        <w:rPr>
          <w:rFonts w:hint="eastAsia" w:ascii="宋体" w:hAnsi="宋体" w:eastAsia="宋体" w:cs="宋体"/>
          <w:b/>
          <w:bCs/>
          <w:color w:val="auto"/>
          <w:spacing w:val="1"/>
          <w:kern w:val="0"/>
          <w:position w:val="-1"/>
          <w:sz w:val="32"/>
          <w:highlight w:val="none"/>
        </w:rPr>
      </w:pPr>
      <w:bookmarkStart w:id="182" w:name="_Toc2754"/>
      <w:bookmarkStart w:id="183" w:name="_Toc10335"/>
      <w:bookmarkStart w:id="184" w:name="_Toc19282"/>
      <w:bookmarkStart w:id="185" w:name="_Toc24938"/>
      <w:bookmarkStart w:id="186" w:name="_Toc17098"/>
      <w:bookmarkStart w:id="187" w:name="_Toc7660"/>
      <w:r>
        <w:rPr>
          <w:rFonts w:hint="eastAsia" w:ascii="宋体" w:hAnsi="宋体" w:eastAsia="宋体" w:cs="宋体"/>
          <w:b/>
          <w:bCs/>
          <w:color w:val="auto"/>
          <w:spacing w:val="1"/>
          <w:kern w:val="0"/>
          <w:position w:val="-1"/>
          <w:sz w:val="32"/>
          <w:highlight w:val="none"/>
        </w:rPr>
        <w:t>10.需要补充的其他内容</w:t>
      </w:r>
      <w:bookmarkEnd w:id="182"/>
      <w:bookmarkEnd w:id="183"/>
      <w:bookmarkEnd w:id="184"/>
      <w:bookmarkEnd w:id="185"/>
      <w:bookmarkEnd w:id="186"/>
      <w:bookmarkEnd w:id="187"/>
    </w:p>
    <w:p w14:paraId="5D8F6159">
      <w:pPr>
        <w:pageBreakBefore w:val="0"/>
        <w:kinsoku/>
        <w:wordWrap w:val="0"/>
        <w:overflowPunct/>
        <w:topLinePunct w:val="0"/>
        <w:autoSpaceDE w:val="0"/>
        <w:autoSpaceDN w:val="0"/>
        <w:bidi w:val="0"/>
        <w:adjustRightInd w:val="0"/>
        <w:snapToGrid/>
        <w:spacing w:line="360" w:lineRule="auto"/>
        <w:ind w:left="0" w:leftChars="0" w:right="0" w:firstLine="480" w:firstLineChars="200"/>
        <w:jc w:val="left"/>
        <w:textAlignment w:val="auto"/>
        <w:rPr>
          <w:rFonts w:ascii="宋体" w:hAnsi="宋体" w:cs="宋体"/>
          <w:color w:val="auto"/>
          <w:kern w:val="0"/>
          <w:szCs w:val="24"/>
          <w:highlight w:val="none"/>
        </w:rPr>
      </w:pPr>
      <w:r>
        <w:rPr>
          <w:rFonts w:hint="eastAsia" w:ascii="宋体" w:hAnsi="宋体" w:cs="宋体"/>
          <w:color w:val="auto"/>
          <w:kern w:val="0"/>
          <w:szCs w:val="24"/>
          <w:highlight w:val="none"/>
        </w:rPr>
        <w:t>需要</w:t>
      </w:r>
      <w:r>
        <w:rPr>
          <w:rFonts w:hint="eastAsia" w:ascii="宋体" w:hAnsi="宋体" w:cs="宋体"/>
          <w:color w:val="auto"/>
          <w:spacing w:val="-2"/>
          <w:kern w:val="0"/>
          <w:szCs w:val="24"/>
          <w:highlight w:val="none"/>
        </w:rPr>
        <w:t>补</w:t>
      </w:r>
      <w:r>
        <w:rPr>
          <w:rFonts w:hint="eastAsia" w:ascii="宋体" w:hAnsi="宋体" w:cs="宋体"/>
          <w:color w:val="auto"/>
          <w:kern w:val="0"/>
          <w:szCs w:val="24"/>
          <w:highlight w:val="none"/>
        </w:rPr>
        <w:t>充</w:t>
      </w:r>
      <w:r>
        <w:rPr>
          <w:rFonts w:hint="eastAsia" w:ascii="宋体" w:hAnsi="宋体" w:cs="宋体"/>
          <w:color w:val="auto"/>
          <w:spacing w:val="-2"/>
          <w:kern w:val="0"/>
          <w:szCs w:val="24"/>
          <w:highlight w:val="none"/>
        </w:rPr>
        <w:t>的</w:t>
      </w:r>
      <w:r>
        <w:rPr>
          <w:rFonts w:hint="eastAsia" w:ascii="宋体" w:hAnsi="宋体" w:cs="宋体"/>
          <w:color w:val="auto"/>
          <w:kern w:val="0"/>
          <w:szCs w:val="24"/>
          <w:highlight w:val="none"/>
        </w:rPr>
        <w:t>其</w:t>
      </w:r>
      <w:r>
        <w:rPr>
          <w:rFonts w:hint="eastAsia" w:ascii="宋体" w:hAnsi="宋体" w:cs="宋体"/>
          <w:color w:val="auto"/>
          <w:spacing w:val="-2"/>
          <w:kern w:val="0"/>
          <w:szCs w:val="24"/>
          <w:highlight w:val="none"/>
        </w:rPr>
        <w:t>他</w:t>
      </w:r>
      <w:r>
        <w:rPr>
          <w:rFonts w:hint="eastAsia" w:ascii="宋体" w:hAnsi="宋体" w:cs="宋体"/>
          <w:color w:val="auto"/>
          <w:kern w:val="0"/>
          <w:szCs w:val="24"/>
          <w:highlight w:val="none"/>
        </w:rPr>
        <w:t>内</w:t>
      </w:r>
      <w:r>
        <w:rPr>
          <w:rFonts w:hint="eastAsia" w:ascii="宋体" w:hAnsi="宋体" w:cs="宋体"/>
          <w:color w:val="auto"/>
          <w:spacing w:val="-2"/>
          <w:kern w:val="0"/>
          <w:szCs w:val="24"/>
          <w:highlight w:val="none"/>
        </w:rPr>
        <w:t>容</w:t>
      </w:r>
      <w:r>
        <w:rPr>
          <w:rFonts w:hint="eastAsia" w:ascii="宋体" w:hAnsi="宋体" w:cs="宋体"/>
          <w:color w:val="auto"/>
          <w:kern w:val="0"/>
          <w:szCs w:val="24"/>
          <w:highlight w:val="none"/>
        </w:rPr>
        <w:t>：</w:t>
      </w:r>
      <w:r>
        <w:rPr>
          <w:rFonts w:hint="eastAsia" w:ascii="宋体" w:hAnsi="宋体" w:cs="宋体"/>
          <w:color w:val="auto"/>
          <w:spacing w:val="-2"/>
          <w:kern w:val="0"/>
          <w:szCs w:val="24"/>
          <w:highlight w:val="none"/>
        </w:rPr>
        <w:t>见</w:t>
      </w:r>
      <w:r>
        <w:rPr>
          <w:rFonts w:hint="eastAsia" w:ascii="宋体" w:hAnsi="宋体" w:cs="宋体"/>
          <w:color w:val="auto"/>
          <w:kern w:val="0"/>
          <w:szCs w:val="24"/>
          <w:highlight w:val="none"/>
          <w:lang w:eastAsia="zh-CN"/>
        </w:rPr>
        <w:t>供应商须知前附表</w:t>
      </w:r>
      <w:r>
        <w:rPr>
          <w:rFonts w:hint="eastAsia" w:ascii="宋体" w:hAnsi="宋体" w:cs="宋体"/>
          <w:color w:val="auto"/>
          <w:kern w:val="0"/>
          <w:szCs w:val="24"/>
          <w:highlight w:val="none"/>
        </w:rPr>
        <w:t>。</w:t>
      </w:r>
    </w:p>
    <w:p w14:paraId="20322BAA">
      <w:pPr>
        <w:rPr>
          <w:rFonts w:hint="eastAsia" w:ascii="宋体" w:hAnsi="宋体" w:cs="宋体"/>
          <w:color w:val="auto"/>
          <w:spacing w:val="1"/>
          <w:kern w:val="0"/>
          <w:position w:val="-1"/>
          <w:sz w:val="36"/>
          <w:szCs w:val="36"/>
          <w:highlight w:val="none"/>
        </w:rPr>
      </w:pPr>
    </w:p>
    <w:p w14:paraId="2BFE314D">
      <w:pPr>
        <w:pStyle w:val="24"/>
        <w:ind w:left="0" w:leftChars="0" w:firstLine="0" w:firstLineChars="0"/>
        <w:jc w:val="both"/>
        <w:rPr>
          <w:rFonts w:hint="eastAsia" w:ascii="宋体" w:cs="宋体"/>
          <w:color w:val="auto"/>
          <w:spacing w:val="1"/>
          <w:kern w:val="0"/>
          <w:position w:val="-1"/>
          <w:sz w:val="36"/>
          <w:szCs w:val="36"/>
          <w:highlight w:val="none"/>
        </w:rPr>
      </w:pPr>
    </w:p>
    <w:p w14:paraId="4D5E92D0">
      <w:pPr>
        <w:pStyle w:val="6"/>
        <w:ind w:left="0" w:leftChars="0" w:firstLine="0" w:firstLineChars="0"/>
        <w:jc w:val="both"/>
        <w:outlineLvl w:val="9"/>
        <w:rPr>
          <w:rFonts w:hint="eastAsia"/>
          <w:color w:val="auto"/>
          <w:highlight w:val="none"/>
        </w:rPr>
      </w:pPr>
      <w:bookmarkStart w:id="188" w:name="_Toc12996"/>
      <w:bookmarkStart w:id="189" w:name="_Toc17269"/>
      <w:bookmarkStart w:id="190" w:name="_Toc8564"/>
      <w:bookmarkStart w:id="191" w:name="_Toc7518"/>
    </w:p>
    <w:p w14:paraId="45ECC8D4">
      <w:pPr>
        <w:widowControl/>
        <w:spacing w:line="360" w:lineRule="auto"/>
        <w:jc w:val="left"/>
        <w:rPr>
          <w:rFonts w:hint="eastAsia"/>
          <w:color w:val="auto"/>
          <w:highlight w:val="none"/>
        </w:rPr>
      </w:pPr>
      <w:r>
        <w:rPr>
          <w:rFonts w:hint="eastAsia"/>
          <w:color w:val="auto"/>
          <w:highlight w:val="none"/>
        </w:rPr>
        <w:br w:type="page"/>
      </w:r>
      <w:bookmarkEnd w:id="188"/>
      <w:bookmarkEnd w:id="189"/>
      <w:bookmarkEnd w:id="190"/>
      <w:bookmarkEnd w:id="191"/>
    </w:p>
    <w:p w14:paraId="2863DF1D">
      <w:pPr>
        <w:pStyle w:val="5"/>
        <w:spacing w:before="0" w:after="0" w:afterLines="100"/>
        <w:ind w:left="0" w:leftChars="0"/>
        <w:rPr>
          <w:rFonts w:hint="eastAsia"/>
          <w:color w:val="auto"/>
          <w:highlight w:val="none"/>
        </w:rPr>
      </w:pPr>
      <w:bookmarkStart w:id="192" w:name="_Toc5706"/>
      <w:bookmarkStart w:id="193" w:name="_Toc24959"/>
      <w:bookmarkStart w:id="194" w:name="_Toc31414"/>
      <w:bookmarkStart w:id="195" w:name="_Toc10869"/>
      <w:bookmarkStart w:id="196" w:name="_Toc21292"/>
      <w:r>
        <w:rPr>
          <w:rFonts w:hint="eastAsia"/>
          <w:color w:val="auto"/>
          <w:highlight w:val="none"/>
        </w:rPr>
        <w:t>第四章 评标办法</w:t>
      </w:r>
      <w:bookmarkEnd w:id="45"/>
      <w:bookmarkEnd w:id="46"/>
      <w:bookmarkEnd w:id="192"/>
      <w:bookmarkEnd w:id="193"/>
      <w:bookmarkEnd w:id="194"/>
      <w:bookmarkEnd w:id="195"/>
      <w:bookmarkEnd w:id="196"/>
    </w:p>
    <w:p w14:paraId="7ED48423">
      <w:pPr>
        <w:pStyle w:val="6"/>
        <w:ind w:left="480"/>
        <w:jc w:val="center"/>
        <w:rPr>
          <w:rFonts w:hint="eastAsia"/>
          <w:color w:val="auto"/>
          <w:highlight w:val="none"/>
        </w:rPr>
      </w:pPr>
      <w:bookmarkStart w:id="197" w:name="_Toc9651"/>
      <w:bookmarkStart w:id="198" w:name="_Toc2272"/>
      <w:bookmarkStart w:id="199" w:name="_Toc30262"/>
      <w:bookmarkStart w:id="200" w:name="_Toc32416"/>
      <w:bookmarkStart w:id="201" w:name="_Toc29515"/>
      <w:bookmarkStart w:id="202" w:name="_Toc19028"/>
      <w:r>
        <w:rPr>
          <w:rFonts w:hint="eastAsia"/>
          <w:color w:val="auto"/>
          <w:highlight w:val="none"/>
          <w:lang w:val="en-US"/>
        </w:rPr>
        <w:t xml:space="preserve">第一节 </w:t>
      </w:r>
      <w:r>
        <w:rPr>
          <w:rFonts w:hint="eastAsia"/>
          <w:color w:val="auto"/>
          <w:highlight w:val="none"/>
        </w:rPr>
        <w:t>评标办法前附表</w:t>
      </w:r>
      <w:bookmarkEnd w:id="197"/>
      <w:bookmarkEnd w:id="198"/>
      <w:bookmarkEnd w:id="199"/>
      <w:bookmarkEnd w:id="200"/>
      <w:bookmarkEnd w:id="201"/>
      <w:bookmarkEnd w:id="202"/>
    </w:p>
    <w:tbl>
      <w:tblPr>
        <w:tblStyle w:val="2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1023"/>
        <w:gridCol w:w="2493"/>
        <w:gridCol w:w="5038"/>
      </w:tblGrid>
      <w:tr w14:paraId="1F04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1650" w:type="dxa"/>
            <w:gridSpan w:val="2"/>
            <w:noWrap w:val="0"/>
            <w:vAlign w:val="center"/>
          </w:tcPr>
          <w:p w14:paraId="3004C41C">
            <w:pPr>
              <w:spacing w:line="276" w:lineRule="auto"/>
              <w:ind w:left="0" w:left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2493" w:type="dxa"/>
            <w:noWrap w:val="0"/>
            <w:vAlign w:val="center"/>
          </w:tcPr>
          <w:p w14:paraId="5D17FA8F">
            <w:pPr>
              <w:spacing w:line="276" w:lineRule="auto"/>
              <w:ind w:left="0" w:left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评审因素</w:t>
            </w:r>
          </w:p>
        </w:tc>
        <w:tc>
          <w:tcPr>
            <w:tcW w:w="5038" w:type="dxa"/>
            <w:noWrap w:val="0"/>
            <w:vAlign w:val="center"/>
          </w:tcPr>
          <w:p w14:paraId="4553B4AC">
            <w:pPr>
              <w:spacing w:line="276" w:lineRule="auto"/>
              <w:ind w:left="0" w:left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评审标准</w:t>
            </w:r>
          </w:p>
        </w:tc>
      </w:tr>
      <w:tr w14:paraId="4C98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27" w:type="dxa"/>
            <w:vMerge w:val="restart"/>
            <w:noWrap w:val="0"/>
            <w:vAlign w:val="center"/>
          </w:tcPr>
          <w:p w14:paraId="35DE95E2">
            <w:pPr>
              <w:spacing w:line="276" w:lineRule="auto"/>
              <w:ind w:left="0" w:left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023" w:type="dxa"/>
            <w:vMerge w:val="restart"/>
            <w:noWrap w:val="0"/>
            <w:vAlign w:val="center"/>
          </w:tcPr>
          <w:p w14:paraId="0726D002">
            <w:pPr>
              <w:spacing w:line="276" w:lineRule="auto"/>
              <w:ind w:left="0" w:left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资格</w:t>
            </w:r>
            <w:r>
              <w:rPr>
                <w:rFonts w:hint="eastAsia" w:ascii="宋体" w:hAnsi="宋体" w:cs="宋体"/>
                <w:color w:val="auto"/>
                <w:sz w:val="21"/>
                <w:szCs w:val="21"/>
                <w:highlight w:val="none"/>
                <w:lang w:val="en-US" w:eastAsia="zh-CN"/>
              </w:rPr>
              <w:t>审查</w:t>
            </w:r>
          </w:p>
        </w:tc>
        <w:tc>
          <w:tcPr>
            <w:tcW w:w="2493" w:type="dxa"/>
            <w:noWrap w:val="0"/>
            <w:vAlign w:val="center"/>
          </w:tcPr>
          <w:p w14:paraId="1F093B98">
            <w:pPr>
              <w:spacing w:line="276" w:lineRule="auto"/>
              <w:ind w:left="0" w:leftChars="0"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具有独立承担民事责任的能力</w:t>
            </w:r>
          </w:p>
        </w:tc>
        <w:tc>
          <w:tcPr>
            <w:tcW w:w="5038" w:type="dxa"/>
            <w:noWrap w:val="0"/>
            <w:vAlign w:val="center"/>
          </w:tcPr>
          <w:p w14:paraId="013BDEE8">
            <w:pPr>
              <w:spacing w:line="276" w:lineRule="auto"/>
              <w:ind w:left="0" w:leftChars="0" w:firstLine="0" w:firstLineChars="0"/>
              <w:jc w:val="both"/>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提供法人或其他组织的营业执照等证明文件，或自然人身份证明（复印件加盖单位公章）。</w:t>
            </w:r>
          </w:p>
        </w:tc>
      </w:tr>
      <w:tr w14:paraId="5202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27" w:type="dxa"/>
            <w:vMerge w:val="continue"/>
            <w:noWrap w:val="0"/>
            <w:vAlign w:val="top"/>
          </w:tcPr>
          <w:p w14:paraId="4099CDC1">
            <w:pPr>
              <w:spacing w:line="276" w:lineRule="auto"/>
              <w:ind w:left="0" w:leftChars="0"/>
              <w:jc w:val="left"/>
              <w:rPr>
                <w:rFonts w:hint="eastAsia" w:ascii="宋体" w:hAnsi="宋体" w:cs="宋体"/>
                <w:color w:val="auto"/>
                <w:sz w:val="21"/>
                <w:szCs w:val="21"/>
                <w:highlight w:val="none"/>
              </w:rPr>
            </w:pPr>
          </w:p>
        </w:tc>
        <w:tc>
          <w:tcPr>
            <w:tcW w:w="1023" w:type="dxa"/>
            <w:vMerge w:val="continue"/>
            <w:noWrap w:val="0"/>
            <w:vAlign w:val="top"/>
          </w:tcPr>
          <w:p w14:paraId="03E1889A">
            <w:pPr>
              <w:spacing w:line="276" w:lineRule="auto"/>
              <w:ind w:left="0" w:leftChars="0"/>
              <w:jc w:val="left"/>
              <w:rPr>
                <w:rFonts w:hint="eastAsia" w:ascii="宋体" w:hAnsi="宋体" w:cs="宋体"/>
                <w:color w:val="auto"/>
                <w:sz w:val="21"/>
                <w:szCs w:val="21"/>
                <w:highlight w:val="none"/>
              </w:rPr>
            </w:pPr>
          </w:p>
        </w:tc>
        <w:tc>
          <w:tcPr>
            <w:tcW w:w="2493" w:type="dxa"/>
            <w:noWrap w:val="0"/>
            <w:vAlign w:val="center"/>
          </w:tcPr>
          <w:p w14:paraId="4B07D247">
            <w:pPr>
              <w:spacing w:line="276" w:lineRule="auto"/>
              <w:ind w:left="0" w:leftChars="0"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具有良好的商业信誉和健全的财务会计制度</w:t>
            </w:r>
          </w:p>
        </w:tc>
        <w:tc>
          <w:tcPr>
            <w:tcW w:w="5038" w:type="dxa"/>
            <w:noWrap w:val="0"/>
            <w:vAlign w:val="center"/>
          </w:tcPr>
          <w:p w14:paraId="0175EA80">
            <w:pPr>
              <w:spacing w:line="276" w:lineRule="auto"/>
              <w:ind w:left="0" w:leftChars="0" w:firstLine="0" w:firstLineChars="0"/>
              <w:jc w:val="both"/>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供应商是法人的，提供经合法审计机构出具的2023年或2024年度财务审计报告（含三表一附注）；新成立不满一年的公司，提供基本开户银行出具的有效资信证明。部分其他组织和自然人，没有经审计的财务报告，可以提供银行出具的资信证明。（复印件加盖单位公章）。</w:t>
            </w:r>
          </w:p>
        </w:tc>
      </w:tr>
      <w:tr w14:paraId="35BF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627" w:type="dxa"/>
            <w:vMerge w:val="continue"/>
            <w:noWrap w:val="0"/>
            <w:vAlign w:val="top"/>
          </w:tcPr>
          <w:p w14:paraId="461FF2C9">
            <w:pPr>
              <w:spacing w:line="276" w:lineRule="auto"/>
              <w:ind w:left="0" w:leftChars="0"/>
              <w:jc w:val="left"/>
              <w:rPr>
                <w:rFonts w:hint="eastAsia" w:ascii="宋体" w:hAnsi="宋体" w:cs="宋体"/>
                <w:color w:val="auto"/>
                <w:sz w:val="21"/>
                <w:szCs w:val="21"/>
                <w:highlight w:val="none"/>
              </w:rPr>
            </w:pPr>
          </w:p>
        </w:tc>
        <w:tc>
          <w:tcPr>
            <w:tcW w:w="1023" w:type="dxa"/>
            <w:vMerge w:val="continue"/>
            <w:noWrap w:val="0"/>
            <w:vAlign w:val="top"/>
          </w:tcPr>
          <w:p w14:paraId="430865D4">
            <w:pPr>
              <w:spacing w:line="276" w:lineRule="auto"/>
              <w:ind w:left="0" w:leftChars="0"/>
              <w:jc w:val="left"/>
              <w:rPr>
                <w:rFonts w:hint="eastAsia" w:ascii="宋体" w:hAnsi="宋体" w:cs="宋体"/>
                <w:color w:val="auto"/>
                <w:sz w:val="21"/>
                <w:szCs w:val="21"/>
                <w:highlight w:val="none"/>
              </w:rPr>
            </w:pPr>
          </w:p>
        </w:tc>
        <w:tc>
          <w:tcPr>
            <w:tcW w:w="2493" w:type="dxa"/>
            <w:noWrap w:val="0"/>
            <w:vAlign w:val="center"/>
          </w:tcPr>
          <w:p w14:paraId="53F76C5C">
            <w:pPr>
              <w:spacing w:line="276" w:lineRule="auto"/>
              <w:ind w:left="0" w:leftChars="0"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具有履行合同所必需的设备和专业技术能力</w:t>
            </w:r>
          </w:p>
        </w:tc>
        <w:tc>
          <w:tcPr>
            <w:tcW w:w="5038" w:type="dxa"/>
            <w:noWrap w:val="0"/>
            <w:vAlign w:val="center"/>
          </w:tcPr>
          <w:p w14:paraId="08646385">
            <w:pPr>
              <w:spacing w:line="276" w:lineRule="auto"/>
              <w:ind w:left="0" w:leftChars="0" w:firstLine="0" w:firstLineChars="0"/>
              <w:jc w:val="both"/>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提供具备履行合同所必需的设备和专业技术能力的承诺函（格式文件详见响应文件范本，加盖单位公章）。</w:t>
            </w:r>
          </w:p>
        </w:tc>
      </w:tr>
      <w:tr w14:paraId="54B6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627" w:type="dxa"/>
            <w:vMerge w:val="continue"/>
            <w:noWrap w:val="0"/>
            <w:vAlign w:val="top"/>
          </w:tcPr>
          <w:p w14:paraId="0650EA10">
            <w:pPr>
              <w:spacing w:line="276" w:lineRule="auto"/>
              <w:ind w:left="0" w:leftChars="0"/>
              <w:jc w:val="left"/>
              <w:rPr>
                <w:rFonts w:hint="eastAsia" w:ascii="宋体" w:hAnsi="宋体" w:cs="宋体"/>
                <w:color w:val="auto"/>
                <w:sz w:val="21"/>
                <w:szCs w:val="21"/>
                <w:highlight w:val="none"/>
              </w:rPr>
            </w:pPr>
          </w:p>
        </w:tc>
        <w:tc>
          <w:tcPr>
            <w:tcW w:w="1023" w:type="dxa"/>
            <w:vMerge w:val="continue"/>
            <w:noWrap w:val="0"/>
            <w:vAlign w:val="top"/>
          </w:tcPr>
          <w:p w14:paraId="0D9FA0B8">
            <w:pPr>
              <w:spacing w:line="276" w:lineRule="auto"/>
              <w:ind w:left="0" w:leftChars="0"/>
              <w:jc w:val="left"/>
              <w:rPr>
                <w:rFonts w:hint="eastAsia" w:ascii="宋体" w:hAnsi="宋体" w:cs="宋体"/>
                <w:color w:val="auto"/>
                <w:sz w:val="21"/>
                <w:szCs w:val="21"/>
                <w:highlight w:val="none"/>
              </w:rPr>
            </w:pPr>
          </w:p>
        </w:tc>
        <w:tc>
          <w:tcPr>
            <w:tcW w:w="2493" w:type="dxa"/>
            <w:noWrap w:val="0"/>
            <w:vAlign w:val="center"/>
          </w:tcPr>
          <w:p w14:paraId="0A9B4264">
            <w:pPr>
              <w:spacing w:line="276" w:lineRule="auto"/>
              <w:ind w:left="0" w:leftChars="0"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具有依法缴纳税收和社会保障资金的良好记录</w:t>
            </w:r>
          </w:p>
        </w:tc>
        <w:tc>
          <w:tcPr>
            <w:tcW w:w="5038" w:type="dxa"/>
            <w:noWrap w:val="0"/>
            <w:vAlign w:val="center"/>
          </w:tcPr>
          <w:p w14:paraId="0D3D4CE6">
            <w:pPr>
              <w:spacing w:line="276" w:lineRule="auto"/>
              <w:ind w:left="0" w:leftChars="0" w:firstLine="0" w:firstLineChars="0"/>
              <w:jc w:val="both"/>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提供2025年任意一个月依法缴纳税收和2025年任意一个月依法缴纳社保的证明文件。依法免税的，提供免税证明或相关证明材料。（复印件加盖单位公章）。</w:t>
            </w:r>
          </w:p>
        </w:tc>
      </w:tr>
      <w:tr w14:paraId="0C27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27" w:type="dxa"/>
            <w:vMerge w:val="continue"/>
            <w:noWrap w:val="0"/>
            <w:vAlign w:val="top"/>
          </w:tcPr>
          <w:p w14:paraId="1B2A72DD">
            <w:pPr>
              <w:spacing w:line="276" w:lineRule="auto"/>
              <w:ind w:left="0" w:leftChars="0"/>
              <w:jc w:val="left"/>
              <w:rPr>
                <w:rFonts w:hint="eastAsia" w:ascii="宋体" w:hAnsi="宋体" w:cs="宋体"/>
                <w:color w:val="auto"/>
                <w:sz w:val="21"/>
                <w:szCs w:val="21"/>
                <w:highlight w:val="none"/>
              </w:rPr>
            </w:pPr>
          </w:p>
        </w:tc>
        <w:tc>
          <w:tcPr>
            <w:tcW w:w="1023" w:type="dxa"/>
            <w:vMerge w:val="continue"/>
            <w:noWrap w:val="0"/>
            <w:vAlign w:val="top"/>
          </w:tcPr>
          <w:p w14:paraId="7790C026">
            <w:pPr>
              <w:spacing w:line="276" w:lineRule="auto"/>
              <w:ind w:left="0" w:leftChars="0"/>
              <w:jc w:val="left"/>
              <w:rPr>
                <w:rFonts w:hint="eastAsia" w:ascii="宋体" w:hAnsi="宋体" w:cs="宋体"/>
                <w:color w:val="auto"/>
                <w:sz w:val="21"/>
                <w:szCs w:val="21"/>
                <w:highlight w:val="none"/>
              </w:rPr>
            </w:pPr>
          </w:p>
        </w:tc>
        <w:tc>
          <w:tcPr>
            <w:tcW w:w="2493" w:type="dxa"/>
            <w:noWrap w:val="0"/>
            <w:vAlign w:val="center"/>
          </w:tcPr>
          <w:p w14:paraId="25C1CF1B">
            <w:pPr>
              <w:spacing w:line="276" w:lineRule="auto"/>
              <w:ind w:left="0" w:leftChars="0"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参加本次政府采购活动前三年内，在经营活动中没有违法违规记录</w:t>
            </w:r>
          </w:p>
        </w:tc>
        <w:tc>
          <w:tcPr>
            <w:tcW w:w="5038" w:type="dxa"/>
            <w:noWrap w:val="0"/>
            <w:vAlign w:val="center"/>
          </w:tcPr>
          <w:p w14:paraId="6E016BDD">
            <w:pPr>
              <w:spacing w:line="276" w:lineRule="auto"/>
              <w:ind w:left="0" w:leftChars="0" w:firstLine="0" w:firstLineChars="0"/>
              <w:jc w:val="both"/>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提供参加政府采购活动前3年内在经营活动中没有重大违法记录的书面声明（格式文件详见响应文件范本，加盖单位公章）。</w:t>
            </w:r>
          </w:p>
        </w:tc>
      </w:tr>
      <w:tr w14:paraId="7254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 w:hRule="atLeast"/>
          <w:jc w:val="center"/>
        </w:trPr>
        <w:tc>
          <w:tcPr>
            <w:tcW w:w="627" w:type="dxa"/>
            <w:vMerge w:val="continue"/>
            <w:noWrap w:val="0"/>
            <w:vAlign w:val="top"/>
          </w:tcPr>
          <w:p w14:paraId="18D2360C">
            <w:pPr>
              <w:spacing w:line="276" w:lineRule="auto"/>
              <w:ind w:left="0" w:leftChars="0"/>
              <w:jc w:val="left"/>
              <w:rPr>
                <w:rFonts w:hint="eastAsia" w:ascii="宋体" w:hAnsi="宋体" w:cs="宋体"/>
                <w:color w:val="auto"/>
                <w:sz w:val="21"/>
                <w:szCs w:val="21"/>
                <w:highlight w:val="none"/>
              </w:rPr>
            </w:pPr>
          </w:p>
        </w:tc>
        <w:tc>
          <w:tcPr>
            <w:tcW w:w="1023" w:type="dxa"/>
            <w:vMerge w:val="continue"/>
            <w:noWrap w:val="0"/>
            <w:vAlign w:val="top"/>
          </w:tcPr>
          <w:p w14:paraId="55F6CCD7">
            <w:pPr>
              <w:spacing w:line="276" w:lineRule="auto"/>
              <w:ind w:left="0" w:leftChars="0"/>
              <w:jc w:val="left"/>
              <w:rPr>
                <w:rFonts w:hint="eastAsia" w:ascii="宋体" w:hAnsi="宋体" w:cs="宋体"/>
                <w:color w:val="auto"/>
                <w:sz w:val="21"/>
                <w:szCs w:val="21"/>
                <w:highlight w:val="none"/>
              </w:rPr>
            </w:pPr>
          </w:p>
        </w:tc>
        <w:tc>
          <w:tcPr>
            <w:tcW w:w="2493" w:type="dxa"/>
            <w:noWrap w:val="0"/>
            <w:vAlign w:val="center"/>
          </w:tcPr>
          <w:p w14:paraId="331395D0">
            <w:pPr>
              <w:spacing w:line="276" w:lineRule="auto"/>
              <w:ind w:left="0" w:leftChars="0"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法律、行政法规规定的其他条件</w:t>
            </w:r>
          </w:p>
        </w:tc>
        <w:tc>
          <w:tcPr>
            <w:tcW w:w="5038" w:type="dxa"/>
            <w:noWrap w:val="0"/>
            <w:vAlign w:val="center"/>
          </w:tcPr>
          <w:p w14:paraId="538BE435">
            <w:pPr>
              <w:wordWrap w:val="0"/>
              <w:spacing w:line="276" w:lineRule="auto"/>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供应商须承诺：在“信用中国”网站（www.creditchina.gov.cn）未被列入失信被执行人名单、重大税收违法案件当事人名单；在中国政府采购网（www.ccgp.gov.cn）未被列入政府采购严重违法失信行为记录名单中，如被列入失信被执行人、重大税收违法案件当事人名单、政府采购严重违法失信行为记录名单中的供应商取消其投标资格，并承担由此造成的一切法律责任及后果（承诺格式文件详见响应文件范本，加盖单位公章）。</w:t>
            </w:r>
          </w:p>
          <w:p w14:paraId="7EBC8F35">
            <w:pPr>
              <w:wordWrap w:val="0"/>
              <w:spacing w:line="276" w:lineRule="auto"/>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（2）根据《省发展改革委 省法院 省公共资源交易中心关于推进全省公共资源交易领域对法院失信被执行人实施信用联合惩戒的通知》黔发改财金（2020）421号文件要求，采购人或代理机构在递交响应文件截止时间后现场根据贵州信用联合惩戒平台反馈信息，查询供应商是否属于法院失信被执行人，如被列入取消其投标资格。</w:t>
            </w:r>
          </w:p>
        </w:tc>
      </w:tr>
      <w:tr w14:paraId="5383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27" w:type="dxa"/>
            <w:vMerge w:val="continue"/>
            <w:noWrap w:val="0"/>
            <w:vAlign w:val="center"/>
          </w:tcPr>
          <w:p w14:paraId="71F6B98C">
            <w:pPr>
              <w:spacing w:line="276" w:lineRule="auto"/>
              <w:ind w:left="0" w:leftChars="0"/>
              <w:jc w:val="center"/>
              <w:rPr>
                <w:rFonts w:hint="eastAsia" w:ascii="宋体" w:hAnsi="宋体" w:cs="宋体"/>
                <w:color w:val="auto"/>
                <w:sz w:val="21"/>
                <w:szCs w:val="21"/>
                <w:highlight w:val="none"/>
              </w:rPr>
            </w:pPr>
          </w:p>
        </w:tc>
        <w:tc>
          <w:tcPr>
            <w:tcW w:w="1023" w:type="dxa"/>
            <w:vMerge w:val="continue"/>
            <w:noWrap w:val="0"/>
            <w:vAlign w:val="center"/>
          </w:tcPr>
          <w:p w14:paraId="4FA89CFA">
            <w:pPr>
              <w:spacing w:line="276" w:lineRule="auto"/>
              <w:ind w:left="0" w:leftChars="0"/>
              <w:jc w:val="center"/>
              <w:rPr>
                <w:rFonts w:hint="eastAsia" w:ascii="宋体" w:hAnsi="宋体" w:cs="宋体"/>
                <w:color w:val="auto"/>
                <w:sz w:val="21"/>
                <w:szCs w:val="21"/>
                <w:highlight w:val="none"/>
              </w:rPr>
            </w:pPr>
          </w:p>
        </w:tc>
        <w:tc>
          <w:tcPr>
            <w:tcW w:w="2493" w:type="dxa"/>
            <w:noWrap w:val="0"/>
            <w:vAlign w:val="center"/>
          </w:tcPr>
          <w:p w14:paraId="266C93A1">
            <w:pPr>
              <w:spacing w:line="276" w:lineRule="auto"/>
              <w:ind w:left="0" w:lef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投标保证审查</w:t>
            </w:r>
          </w:p>
        </w:tc>
        <w:tc>
          <w:tcPr>
            <w:tcW w:w="5038" w:type="dxa"/>
            <w:noWrap w:val="0"/>
            <w:vAlign w:val="center"/>
          </w:tcPr>
          <w:p w14:paraId="22024D38">
            <w:pPr>
              <w:spacing w:line="276" w:lineRule="auto"/>
              <w:ind w:left="0" w:left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提供保证金已交纳的依据</w:t>
            </w:r>
          </w:p>
        </w:tc>
      </w:tr>
      <w:tr w14:paraId="6543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627" w:type="dxa"/>
            <w:vMerge w:val="restart"/>
            <w:noWrap w:val="0"/>
            <w:vAlign w:val="center"/>
          </w:tcPr>
          <w:p w14:paraId="09EBF662">
            <w:pPr>
              <w:spacing w:line="276" w:lineRule="auto"/>
              <w:ind w:left="0" w:left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023" w:type="dxa"/>
            <w:vMerge w:val="restart"/>
            <w:noWrap w:val="0"/>
            <w:vAlign w:val="center"/>
          </w:tcPr>
          <w:p w14:paraId="53C05647">
            <w:pPr>
              <w:spacing w:line="276" w:lineRule="auto"/>
              <w:ind w:left="0" w:lef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符合性</w:t>
            </w:r>
            <w:r>
              <w:rPr>
                <w:rFonts w:hint="eastAsia" w:ascii="宋体" w:hAnsi="宋体" w:cs="宋体"/>
                <w:color w:val="auto"/>
                <w:sz w:val="21"/>
                <w:szCs w:val="21"/>
                <w:highlight w:val="none"/>
                <w:lang w:val="en-US" w:eastAsia="zh-CN"/>
              </w:rPr>
              <w:t>审查</w:t>
            </w:r>
          </w:p>
        </w:tc>
        <w:tc>
          <w:tcPr>
            <w:tcW w:w="2493" w:type="dxa"/>
            <w:noWrap w:val="0"/>
            <w:vAlign w:val="center"/>
          </w:tcPr>
          <w:p w14:paraId="6AB20C54">
            <w:pPr>
              <w:tabs>
                <w:tab w:val="right" w:pos="2110"/>
              </w:tabs>
              <w:spacing w:line="276" w:lineRule="auto"/>
              <w:ind w:left="0" w:left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商务实质性响应审查</w:t>
            </w:r>
          </w:p>
        </w:tc>
        <w:tc>
          <w:tcPr>
            <w:tcW w:w="5038" w:type="dxa"/>
            <w:noWrap w:val="0"/>
            <w:vAlign w:val="center"/>
          </w:tcPr>
          <w:p w14:paraId="5CD62EF2">
            <w:pPr>
              <w:spacing w:line="276" w:lineRule="auto"/>
              <w:ind w:left="0" w:left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是否满足</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lang w:val="en-US" w:eastAsia="zh-CN"/>
              </w:rPr>
              <w:t>五</w:t>
            </w:r>
            <w:r>
              <w:rPr>
                <w:rFonts w:hint="eastAsia" w:ascii="宋体" w:hAnsi="宋体" w:cs="宋体"/>
                <w:color w:val="auto"/>
                <w:sz w:val="21"/>
                <w:szCs w:val="21"/>
                <w:highlight w:val="none"/>
              </w:rPr>
              <w:t>章第二节商务要求，以商务偏离表为证明材料。</w:t>
            </w:r>
          </w:p>
        </w:tc>
      </w:tr>
      <w:tr w14:paraId="5599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27" w:type="dxa"/>
            <w:vMerge w:val="continue"/>
            <w:noWrap w:val="0"/>
            <w:vAlign w:val="center"/>
          </w:tcPr>
          <w:p w14:paraId="49552F62">
            <w:pPr>
              <w:spacing w:line="276" w:lineRule="auto"/>
              <w:ind w:left="0" w:leftChars="0"/>
              <w:jc w:val="center"/>
              <w:rPr>
                <w:rFonts w:hint="eastAsia" w:ascii="宋体" w:hAnsi="宋体" w:cs="宋体"/>
                <w:color w:val="auto"/>
                <w:sz w:val="21"/>
                <w:szCs w:val="21"/>
                <w:highlight w:val="none"/>
              </w:rPr>
            </w:pPr>
          </w:p>
        </w:tc>
        <w:tc>
          <w:tcPr>
            <w:tcW w:w="1023" w:type="dxa"/>
            <w:vMerge w:val="continue"/>
            <w:noWrap w:val="0"/>
            <w:vAlign w:val="center"/>
          </w:tcPr>
          <w:p w14:paraId="4B2D208D">
            <w:pPr>
              <w:spacing w:line="276" w:lineRule="auto"/>
              <w:ind w:left="0" w:leftChars="0"/>
              <w:jc w:val="center"/>
              <w:rPr>
                <w:rFonts w:hint="eastAsia" w:ascii="宋体" w:hAnsi="宋体" w:cs="宋体"/>
                <w:color w:val="auto"/>
                <w:sz w:val="21"/>
                <w:szCs w:val="21"/>
                <w:highlight w:val="none"/>
              </w:rPr>
            </w:pPr>
          </w:p>
        </w:tc>
        <w:tc>
          <w:tcPr>
            <w:tcW w:w="2493" w:type="dxa"/>
            <w:noWrap w:val="0"/>
            <w:vAlign w:val="center"/>
          </w:tcPr>
          <w:p w14:paraId="24A66D98">
            <w:pPr>
              <w:spacing w:line="276" w:lineRule="auto"/>
              <w:ind w:left="0" w:lef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报价审查</w:t>
            </w:r>
          </w:p>
        </w:tc>
        <w:tc>
          <w:tcPr>
            <w:tcW w:w="5038" w:type="dxa"/>
            <w:noWrap w:val="0"/>
            <w:vAlign w:val="center"/>
          </w:tcPr>
          <w:p w14:paraId="1F7DC446">
            <w:pPr>
              <w:spacing w:line="276" w:lineRule="auto"/>
              <w:ind w:left="0" w:leftChars="0"/>
              <w:jc w:val="both"/>
              <w:rPr>
                <w:rFonts w:hint="eastAsia" w:ascii="宋体" w:hAnsi="宋体" w:cs="宋体"/>
                <w:color w:val="auto"/>
                <w:sz w:val="21"/>
                <w:szCs w:val="21"/>
                <w:highlight w:val="none"/>
              </w:rPr>
            </w:pPr>
            <w:r>
              <w:rPr>
                <w:rFonts w:hint="eastAsia" w:ascii="宋体" w:hAnsi="宋体" w:eastAsia="宋体" w:cs="宋体"/>
                <w:color w:val="auto"/>
                <w:sz w:val="21"/>
                <w:szCs w:val="21"/>
                <w:highlight w:val="none"/>
                <w:u w:val="none"/>
                <w:lang w:eastAsia="zh-CN"/>
              </w:rPr>
              <w:t>异常低价审查。</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lang w:eastAsia="zh-CN"/>
              </w:rPr>
              <w:t>的报价明显低于其他通过符合性审查</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lang w:eastAsia="zh-CN"/>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lang w:eastAsia="zh-CN"/>
              </w:rPr>
              <w:t>不能证明其报价合理性的，评标委员会应当将其作为无效投标处理。</w:t>
            </w:r>
          </w:p>
        </w:tc>
      </w:tr>
      <w:tr w14:paraId="4828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627" w:type="dxa"/>
            <w:vMerge w:val="continue"/>
            <w:noWrap w:val="0"/>
            <w:vAlign w:val="center"/>
          </w:tcPr>
          <w:p w14:paraId="1D33C088">
            <w:pPr>
              <w:spacing w:line="276" w:lineRule="auto"/>
              <w:ind w:left="0" w:leftChars="0"/>
              <w:jc w:val="center"/>
              <w:rPr>
                <w:rFonts w:hint="eastAsia" w:ascii="宋体" w:hAnsi="宋体" w:cs="宋体"/>
                <w:color w:val="auto"/>
                <w:sz w:val="21"/>
                <w:szCs w:val="21"/>
                <w:highlight w:val="none"/>
              </w:rPr>
            </w:pPr>
          </w:p>
        </w:tc>
        <w:tc>
          <w:tcPr>
            <w:tcW w:w="1023" w:type="dxa"/>
            <w:vMerge w:val="continue"/>
            <w:noWrap w:val="0"/>
            <w:vAlign w:val="center"/>
          </w:tcPr>
          <w:p w14:paraId="0CC45374">
            <w:pPr>
              <w:spacing w:line="276" w:lineRule="auto"/>
              <w:ind w:left="0" w:leftChars="0"/>
              <w:jc w:val="center"/>
              <w:rPr>
                <w:rFonts w:hint="eastAsia" w:ascii="宋体" w:hAnsi="宋体" w:cs="宋体"/>
                <w:color w:val="auto"/>
                <w:sz w:val="21"/>
                <w:szCs w:val="21"/>
                <w:highlight w:val="none"/>
              </w:rPr>
            </w:pPr>
          </w:p>
        </w:tc>
        <w:tc>
          <w:tcPr>
            <w:tcW w:w="2493" w:type="dxa"/>
            <w:noWrap w:val="0"/>
            <w:vAlign w:val="center"/>
          </w:tcPr>
          <w:p w14:paraId="28E48F86">
            <w:pPr>
              <w:spacing w:line="276" w:lineRule="auto"/>
              <w:ind w:left="0" w:lef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废标审查</w:t>
            </w:r>
          </w:p>
        </w:tc>
        <w:tc>
          <w:tcPr>
            <w:tcW w:w="5038" w:type="dxa"/>
            <w:noWrap w:val="0"/>
            <w:vAlign w:val="center"/>
          </w:tcPr>
          <w:p w14:paraId="58190BF0">
            <w:pPr>
              <w:spacing w:line="276" w:lineRule="auto"/>
              <w:ind w:left="0" w:leftChars="0"/>
              <w:jc w:val="both"/>
              <w:rPr>
                <w:rFonts w:hint="eastAsia" w:ascii="宋体" w:hAnsi="宋体" w:eastAsia="宋体" w:cs="宋体"/>
                <w:color w:val="auto"/>
                <w:sz w:val="21"/>
                <w:szCs w:val="21"/>
                <w:highlight w:val="none"/>
                <w:u w:val="none"/>
                <w:lang w:eastAsia="zh-CN"/>
              </w:rPr>
            </w:pPr>
            <w:r>
              <w:rPr>
                <w:rFonts w:hint="eastAsia" w:ascii="宋体" w:hAnsi="宋体" w:cs="宋体"/>
                <w:color w:val="auto"/>
                <w:sz w:val="21"/>
                <w:szCs w:val="21"/>
                <w:highlight w:val="none"/>
                <w:lang w:val="en-US" w:eastAsia="zh-CN"/>
              </w:rPr>
              <w:t>按本项目采购文件第四章第三节废标条款规定，审查是否通过</w:t>
            </w:r>
          </w:p>
        </w:tc>
      </w:tr>
      <w:tr w14:paraId="0F96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27" w:type="dxa"/>
            <w:vMerge w:val="continue"/>
            <w:noWrap w:val="0"/>
            <w:vAlign w:val="center"/>
          </w:tcPr>
          <w:p w14:paraId="0A391954">
            <w:pPr>
              <w:spacing w:line="276" w:lineRule="auto"/>
              <w:ind w:left="0" w:leftChars="0"/>
              <w:jc w:val="center"/>
              <w:rPr>
                <w:rFonts w:hint="eastAsia" w:ascii="宋体" w:hAnsi="宋体" w:cs="宋体"/>
                <w:color w:val="auto"/>
                <w:sz w:val="21"/>
                <w:szCs w:val="21"/>
                <w:highlight w:val="none"/>
              </w:rPr>
            </w:pPr>
          </w:p>
        </w:tc>
        <w:tc>
          <w:tcPr>
            <w:tcW w:w="1023" w:type="dxa"/>
            <w:vMerge w:val="continue"/>
            <w:noWrap w:val="0"/>
            <w:vAlign w:val="center"/>
          </w:tcPr>
          <w:p w14:paraId="36606C78">
            <w:pPr>
              <w:spacing w:line="276" w:lineRule="auto"/>
              <w:ind w:left="0" w:leftChars="0"/>
              <w:jc w:val="center"/>
              <w:rPr>
                <w:rFonts w:hint="eastAsia" w:ascii="宋体" w:hAnsi="宋体" w:cs="宋体"/>
                <w:color w:val="auto"/>
                <w:sz w:val="21"/>
                <w:szCs w:val="21"/>
                <w:highlight w:val="none"/>
              </w:rPr>
            </w:pPr>
          </w:p>
        </w:tc>
        <w:tc>
          <w:tcPr>
            <w:tcW w:w="2493" w:type="dxa"/>
            <w:noWrap w:val="0"/>
            <w:vAlign w:val="center"/>
          </w:tcPr>
          <w:p w14:paraId="3B177628">
            <w:pPr>
              <w:spacing w:line="276" w:lineRule="auto"/>
              <w:ind w:left="0" w:lef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无效标审查</w:t>
            </w:r>
          </w:p>
        </w:tc>
        <w:tc>
          <w:tcPr>
            <w:tcW w:w="5038" w:type="dxa"/>
            <w:noWrap w:val="0"/>
            <w:vAlign w:val="center"/>
          </w:tcPr>
          <w:p w14:paraId="4543B991">
            <w:pPr>
              <w:spacing w:line="276" w:lineRule="auto"/>
              <w:ind w:left="0" w:left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按本项目采购文件第四章第四节无效标条款规定，审查是否通过</w:t>
            </w:r>
          </w:p>
        </w:tc>
      </w:tr>
    </w:tbl>
    <w:p w14:paraId="68CB9282">
      <w:pPr>
        <w:autoSpaceDE w:val="0"/>
        <w:autoSpaceDN w:val="0"/>
        <w:adjustRightInd w:val="0"/>
        <w:spacing w:before="9" w:line="90" w:lineRule="exact"/>
        <w:jc w:val="left"/>
        <w:rPr>
          <w:rFonts w:hint="eastAsia" w:ascii="宋体" w:hAnsi="宋体" w:cs="宋体"/>
          <w:color w:val="auto"/>
          <w:kern w:val="0"/>
          <w:sz w:val="9"/>
          <w:szCs w:val="9"/>
          <w:highlight w:val="none"/>
        </w:rPr>
      </w:pPr>
    </w:p>
    <w:p w14:paraId="10C744C0">
      <w:pPr>
        <w:spacing w:line="400" w:lineRule="exact"/>
        <w:outlineLvl w:val="9"/>
        <w:rPr>
          <w:rFonts w:hint="eastAsia" w:ascii="宋体" w:hAnsi="宋体" w:cs="宋体"/>
          <w:color w:val="auto"/>
          <w:kern w:val="0"/>
          <w:sz w:val="9"/>
          <w:szCs w:val="9"/>
          <w:highlight w:val="none"/>
        </w:rPr>
      </w:pPr>
      <w:r>
        <w:rPr>
          <w:rFonts w:hint="eastAsia" w:ascii="宋体" w:hAnsi="宋体" w:cs="宋体"/>
          <w:color w:val="auto"/>
          <w:highlight w:val="none"/>
        </w:rPr>
        <w:br w:type="page"/>
      </w:r>
      <w:bookmarkStart w:id="203" w:name="_Toc19868"/>
      <w:bookmarkStart w:id="204" w:name="_Toc16074"/>
      <w:bookmarkStart w:id="205" w:name="_Toc23367"/>
      <w:bookmarkStart w:id="206" w:name="_Toc2"/>
      <w:r>
        <w:rPr>
          <w:rFonts w:hint="eastAsia"/>
          <w:color w:val="auto"/>
          <w:highlight w:val="none"/>
        </w:rPr>
        <w:t>（1）评分标准表</w:t>
      </w:r>
      <w:bookmarkEnd w:id="203"/>
      <w:bookmarkEnd w:id="204"/>
      <w:bookmarkEnd w:id="205"/>
      <w:bookmarkEnd w:id="206"/>
    </w:p>
    <w:p w14:paraId="262F59F4">
      <w:pPr>
        <w:rPr>
          <w:rFonts w:hint="eastAsia" w:ascii="宋体" w:hAnsi="宋体" w:cs="宋体"/>
          <w:color w:val="auto"/>
          <w:kern w:val="0"/>
          <w:sz w:val="9"/>
          <w:szCs w:val="9"/>
          <w:highlight w:val="none"/>
        </w:rPr>
      </w:pPr>
    </w:p>
    <w:p w14:paraId="2E0C312D">
      <w:pPr>
        <w:rPr>
          <w:rFonts w:hint="eastAsia" w:ascii="宋体" w:hAnsi="宋体" w:cs="宋体"/>
          <w:color w:val="auto"/>
          <w:kern w:val="0"/>
          <w:sz w:val="9"/>
          <w:szCs w:val="9"/>
          <w:highlight w:val="none"/>
        </w:rPr>
      </w:pPr>
    </w:p>
    <w:tbl>
      <w:tblPr>
        <w:tblStyle w:val="2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4"/>
        <w:gridCol w:w="1445"/>
        <w:gridCol w:w="6802"/>
      </w:tblGrid>
      <w:tr w14:paraId="5376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34" w:type="dxa"/>
            <w:shd w:val="clear" w:color="auto" w:fill="FFFFFF"/>
            <w:noWrap w:val="0"/>
            <w:vAlign w:val="center"/>
          </w:tcPr>
          <w:p w14:paraId="5452DD5E">
            <w:pPr>
              <w:spacing w:line="276"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445" w:type="dxa"/>
            <w:shd w:val="clear" w:color="auto" w:fill="FFFFFF"/>
            <w:noWrap w:val="0"/>
            <w:vAlign w:val="center"/>
          </w:tcPr>
          <w:p w14:paraId="2B3799FD">
            <w:pPr>
              <w:spacing w:line="276"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191220F2">
            <w:pPr>
              <w:spacing w:line="276"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6802" w:type="dxa"/>
            <w:shd w:val="clear" w:color="auto" w:fill="FFFFFF"/>
            <w:noWrap w:val="0"/>
            <w:vAlign w:val="center"/>
          </w:tcPr>
          <w:p w14:paraId="5C2DC5EE">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实质性响应</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报价为评标基准价，其价格分为满分，其他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的价格分统一按照下列公式计算：</w:t>
            </w:r>
          </w:p>
          <w:p w14:paraId="11BE1428">
            <w:pPr>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w:t>
            </w:r>
            <w:r>
              <w:rPr>
                <w:rFonts w:hint="eastAsia" w:ascii="宋体" w:hAnsi="宋体" w:eastAsia="宋体" w:cs="宋体"/>
                <w:color w:val="auto"/>
                <w:sz w:val="21"/>
                <w:szCs w:val="21"/>
                <w:highlight w:val="none"/>
                <w:lang w:eastAsia="zh-CN"/>
              </w:rPr>
              <w:t>评标</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rPr>
              <w:t>）×30</w:t>
            </w:r>
          </w:p>
          <w:p w14:paraId="5AB7E2B5">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391C5E3">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1.评标基准价指实质性响应</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报</w:t>
            </w:r>
            <w:r>
              <w:rPr>
                <w:rFonts w:hint="eastAsia" w:ascii="宋体" w:hAnsi="宋体" w:eastAsia="宋体" w:cs="宋体"/>
                <w:color w:val="auto"/>
                <w:sz w:val="21"/>
                <w:szCs w:val="21"/>
                <w:highlight w:val="none"/>
                <w:lang w:eastAsia="zh-CN"/>
              </w:rPr>
              <w:t>价</w:t>
            </w:r>
            <w:r>
              <w:rPr>
                <w:rFonts w:hint="eastAsia" w:ascii="宋体" w:hAnsi="宋体" w:eastAsia="宋体" w:cs="宋体"/>
                <w:color w:val="auto"/>
                <w:sz w:val="21"/>
                <w:szCs w:val="21"/>
                <w:highlight w:val="none"/>
              </w:rPr>
              <w:t>；</w:t>
            </w:r>
          </w:p>
          <w:p w14:paraId="1CB68D90">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2.经评审被废标的</w:t>
            </w: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rPr>
              <w:t>，不进入价格分计算</w:t>
            </w:r>
            <w:r>
              <w:rPr>
                <w:rFonts w:hint="eastAsia" w:ascii="宋体" w:hAnsi="宋体" w:eastAsia="宋体" w:cs="宋体"/>
                <w:color w:val="auto"/>
                <w:sz w:val="21"/>
                <w:szCs w:val="21"/>
                <w:highlight w:val="none"/>
                <w:lang w:eastAsia="zh-CN"/>
              </w:rPr>
              <w:t>；</w:t>
            </w:r>
          </w:p>
          <w:p w14:paraId="102BCBFD">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3.得分取两位小数点，第三位四舍五入；</w:t>
            </w:r>
          </w:p>
          <w:p w14:paraId="4902E789">
            <w:pPr>
              <w:spacing w:line="360" w:lineRule="auto"/>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4.超过最高限价的投标报价为无效报价</w:t>
            </w:r>
            <w:r>
              <w:rPr>
                <w:rFonts w:hint="eastAsia" w:ascii="宋体" w:hAnsi="宋体" w:eastAsia="宋体" w:cs="宋体"/>
                <w:color w:val="auto"/>
                <w:sz w:val="21"/>
                <w:szCs w:val="21"/>
                <w:highlight w:val="none"/>
                <w:lang w:eastAsia="zh-CN"/>
              </w:rPr>
              <w:t>。</w:t>
            </w:r>
          </w:p>
          <w:p w14:paraId="17FAC8EA">
            <w:pPr>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5.本项目不专门面向中小企业采购，对享受价格扣除政策的小型和微型企业（含监狱企业、残疾人福利性单位）产品价格给予10%的价格扣除，用扣除后的价格参与评审。</w:t>
            </w:r>
          </w:p>
          <w:p w14:paraId="78620FDD">
            <w:pPr>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6.投标供应商所投产品的制造商为小微企业，并提供中小企业声明函才可满足价格扣除政策。</w:t>
            </w:r>
          </w:p>
        </w:tc>
      </w:tr>
      <w:tr w14:paraId="7417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934" w:type="dxa"/>
            <w:vMerge w:val="restart"/>
            <w:shd w:val="clear" w:color="auto" w:fill="FFFFFF"/>
            <w:noWrap w:val="0"/>
            <w:vAlign w:val="center"/>
          </w:tcPr>
          <w:p w14:paraId="041842DC">
            <w:pPr>
              <w:spacing w:line="276" w:lineRule="auto"/>
              <w:ind w:left="0" w:leftChars="0"/>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技术评分标准</w:t>
            </w:r>
          </w:p>
          <w:p w14:paraId="55DAB5F9">
            <w:pPr>
              <w:spacing w:line="276" w:lineRule="auto"/>
              <w:ind w:left="0" w:leftChars="0"/>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val="en-US" w:eastAsia="zh-CN"/>
              </w:rPr>
              <w:t>4</w:t>
            </w:r>
            <w:r>
              <w:rPr>
                <w:rFonts w:hint="eastAsia" w:ascii="宋体" w:hAnsi="宋体" w:cs="宋体"/>
                <w:color w:val="auto"/>
                <w:sz w:val="21"/>
                <w:szCs w:val="21"/>
                <w:highlight w:val="yellow"/>
                <w:lang w:val="en-US" w:eastAsia="zh-CN"/>
              </w:rPr>
              <w:t>1</w:t>
            </w:r>
            <w:r>
              <w:rPr>
                <w:rFonts w:hint="eastAsia" w:ascii="宋体" w:hAnsi="宋体" w:eastAsia="宋体" w:cs="宋体"/>
                <w:color w:val="auto"/>
                <w:sz w:val="21"/>
                <w:szCs w:val="21"/>
                <w:highlight w:val="yellow"/>
              </w:rPr>
              <w:t>分）</w:t>
            </w:r>
          </w:p>
        </w:tc>
        <w:tc>
          <w:tcPr>
            <w:tcW w:w="1445" w:type="dxa"/>
            <w:shd w:val="clear" w:color="auto" w:fill="FFFFFF"/>
            <w:noWrap w:val="0"/>
            <w:vAlign w:val="center"/>
          </w:tcPr>
          <w:p w14:paraId="2A5AE784">
            <w:pPr>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产品技术参数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分）</w:t>
            </w:r>
          </w:p>
        </w:tc>
        <w:tc>
          <w:tcPr>
            <w:tcW w:w="6802" w:type="dxa"/>
            <w:shd w:val="clear" w:color="auto" w:fill="FFFFFF"/>
            <w:noWrap w:val="0"/>
            <w:vAlign w:val="center"/>
          </w:tcPr>
          <w:p w14:paraId="3EC5CE04">
            <w:pPr>
              <w:pStyle w:val="2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color w:val="auto"/>
                <w:kern w:val="2"/>
                <w:sz w:val="21"/>
                <w:szCs w:val="21"/>
                <w:highlight w:val="yellow"/>
                <w:lang w:val="en-US" w:eastAsia="zh-CN"/>
              </w:rPr>
            </w:pPr>
            <w:r>
              <w:rPr>
                <w:rFonts w:hint="eastAsia" w:ascii="宋体" w:hAnsi="宋体" w:eastAsia="宋体" w:cs="宋体"/>
                <w:color w:val="auto"/>
                <w:kern w:val="2"/>
                <w:sz w:val="21"/>
                <w:szCs w:val="21"/>
                <w:highlight w:val="none"/>
                <w:lang w:val="en-US" w:eastAsia="zh-CN"/>
              </w:rPr>
              <w:t>投标供应商所投设备全部满足或优于第五章第一节“采购清单及技术参数”中技术参数的，</w:t>
            </w:r>
            <w:r>
              <w:rPr>
                <w:rFonts w:hint="eastAsia" w:ascii="宋体" w:hAnsi="宋体" w:eastAsia="宋体" w:cs="宋体"/>
                <w:color w:val="auto"/>
                <w:kern w:val="2"/>
                <w:sz w:val="21"/>
                <w:szCs w:val="21"/>
                <w:highlight w:val="yellow"/>
                <w:lang w:val="en-US" w:eastAsia="zh-CN"/>
              </w:rPr>
              <w:t>得</w:t>
            </w:r>
            <w:r>
              <w:rPr>
                <w:rFonts w:hint="eastAsia" w:ascii="宋体" w:hAnsi="宋体" w:cs="宋体"/>
                <w:color w:val="auto"/>
                <w:kern w:val="2"/>
                <w:sz w:val="21"/>
                <w:szCs w:val="21"/>
                <w:highlight w:val="yellow"/>
                <w:lang w:val="en-US" w:eastAsia="zh-CN"/>
              </w:rPr>
              <w:t>26</w:t>
            </w:r>
            <w:r>
              <w:rPr>
                <w:rFonts w:hint="eastAsia" w:ascii="宋体" w:hAnsi="宋体" w:eastAsia="宋体" w:cs="宋体"/>
                <w:color w:val="auto"/>
                <w:kern w:val="2"/>
                <w:sz w:val="21"/>
                <w:szCs w:val="21"/>
                <w:highlight w:val="yellow"/>
              </w:rPr>
              <w:t>分</w:t>
            </w:r>
            <w:r>
              <w:rPr>
                <w:rFonts w:hint="eastAsia" w:ascii="宋体" w:hAnsi="宋体" w:eastAsia="宋体" w:cs="宋体"/>
                <w:color w:val="auto"/>
                <w:kern w:val="2"/>
                <w:sz w:val="21"/>
                <w:szCs w:val="21"/>
                <w:highlight w:val="yellow"/>
                <w:lang w:eastAsia="zh-CN"/>
              </w:rPr>
              <w:t>。</w:t>
            </w:r>
            <w:r>
              <w:rPr>
                <w:rFonts w:hint="eastAsia" w:ascii="宋体" w:hAnsi="宋体" w:eastAsia="宋体" w:cs="宋体"/>
                <w:color w:val="auto"/>
                <w:kern w:val="2"/>
                <w:sz w:val="21"/>
                <w:szCs w:val="21"/>
                <w:highlight w:val="yellow"/>
                <w:lang w:val="en-US" w:eastAsia="zh-CN"/>
              </w:rPr>
              <w:t>其中，带“▲”参数每负偏离一项扣</w:t>
            </w:r>
            <w:r>
              <w:rPr>
                <w:rFonts w:hint="eastAsia" w:ascii="宋体" w:hAnsi="宋体" w:cs="宋体"/>
                <w:color w:val="auto"/>
                <w:kern w:val="2"/>
                <w:sz w:val="21"/>
                <w:szCs w:val="21"/>
                <w:highlight w:val="yellow"/>
                <w:lang w:val="en-US" w:eastAsia="zh-CN"/>
              </w:rPr>
              <w:t>2</w:t>
            </w:r>
            <w:r>
              <w:rPr>
                <w:rFonts w:hint="eastAsia" w:ascii="宋体" w:hAnsi="宋体" w:eastAsia="宋体" w:cs="宋体"/>
                <w:color w:val="auto"/>
                <w:kern w:val="2"/>
                <w:sz w:val="21"/>
                <w:szCs w:val="21"/>
                <w:highlight w:val="yellow"/>
              </w:rPr>
              <w:t>分，</w:t>
            </w:r>
            <w:r>
              <w:rPr>
                <w:rFonts w:hint="eastAsia" w:ascii="宋体" w:hAnsi="宋体" w:eastAsia="宋体" w:cs="宋体"/>
                <w:color w:val="auto"/>
                <w:kern w:val="2"/>
                <w:sz w:val="21"/>
                <w:szCs w:val="21"/>
                <w:highlight w:val="yellow"/>
                <w:lang w:val="en-US" w:eastAsia="zh-CN"/>
              </w:rPr>
              <w:t>其余参数每负偏离一项扣1分，</w:t>
            </w:r>
            <w:r>
              <w:rPr>
                <w:rFonts w:hint="eastAsia" w:ascii="宋体" w:hAnsi="宋体" w:cs="宋体"/>
                <w:color w:val="auto"/>
                <w:kern w:val="2"/>
                <w:sz w:val="21"/>
                <w:szCs w:val="21"/>
                <w:highlight w:val="yellow"/>
                <w:lang w:val="en-US" w:eastAsia="zh-CN"/>
              </w:rPr>
              <w:t>26</w:t>
            </w:r>
            <w:r>
              <w:rPr>
                <w:rFonts w:hint="eastAsia" w:ascii="宋体" w:hAnsi="宋体" w:eastAsia="宋体" w:cs="宋体"/>
                <w:color w:val="auto"/>
                <w:kern w:val="2"/>
                <w:sz w:val="21"/>
                <w:szCs w:val="21"/>
                <w:highlight w:val="yellow"/>
                <w:lang w:val="en-US" w:eastAsia="zh-CN"/>
              </w:rPr>
              <w:t>分</w:t>
            </w:r>
            <w:r>
              <w:rPr>
                <w:rFonts w:hint="eastAsia" w:ascii="宋体" w:hAnsi="宋体" w:eastAsia="宋体" w:cs="宋体"/>
                <w:color w:val="auto"/>
                <w:kern w:val="2"/>
                <w:sz w:val="21"/>
                <w:szCs w:val="21"/>
                <w:highlight w:val="yellow"/>
              </w:rPr>
              <w:t>扣</w:t>
            </w:r>
            <w:r>
              <w:rPr>
                <w:rFonts w:hint="eastAsia" w:ascii="宋体" w:hAnsi="宋体" w:eastAsia="宋体" w:cs="宋体"/>
                <w:color w:val="auto"/>
                <w:kern w:val="2"/>
                <w:sz w:val="21"/>
                <w:szCs w:val="21"/>
                <w:highlight w:val="yellow"/>
                <w:lang w:val="en-US" w:eastAsia="zh-CN"/>
              </w:rPr>
              <w:t>完为止。</w:t>
            </w:r>
          </w:p>
          <w:p w14:paraId="6E3BB4C3">
            <w:pPr>
              <w:pStyle w:val="2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w:t>
            </w:r>
          </w:p>
          <w:p w14:paraId="155C3FA0">
            <w:pPr>
              <w:pStyle w:val="2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1.投标供应商</w:t>
            </w:r>
            <w:r>
              <w:rPr>
                <w:rFonts w:hint="eastAsia" w:ascii="宋体" w:hAnsi="宋体" w:eastAsia="宋体" w:cs="宋体"/>
                <w:color w:val="auto"/>
                <w:kern w:val="2"/>
                <w:sz w:val="21"/>
                <w:szCs w:val="21"/>
                <w:highlight w:val="none"/>
              </w:rPr>
              <w:t>须如实地在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技术偏离表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中逐条标明</w:t>
            </w:r>
            <w:r>
              <w:rPr>
                <w:rFonts w:hint="eastAsia" w:ascii="宋体" w:hAnsi="宋体" w:eastAsia="宋体" w:cs="宋体"/>
                <w:color w:val="auto"/>
                <w:kern w:val="2"/>
                <w:sz w:val="21"/>
                <w:szCs w:val="21"/>
                <w:highlight w:val="none"/>
                <w:lang w:val="en-US" w:eastAsia="zh-CN"/>
              </w:rPr>
              <w:t>参数响应情况</w:t>
            </w:r>
            <w:r>
              <w:rPr>
                <w:rFonts w:hint="eastAsia" w:ascii="宋体" w:hAnsi="宋体" w:eastAsia="宋体" w:cs="宋体"/>
                <w:color w:val="auto"/>
                <w:kern w:val="2"/>
                <w:sz w:val="21"/>
                <w:szCs w:val="21"/>
                <w:highlight w:val="none"/>
              </w:rPr>
              <w:t>，并对其真实性负责。在签订合同前，采购人有权要求</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rPr>
              <w:t>人到用户现场验证，功能性能需与</w:t>
            </w:r>
            <w:r>
              <w:rPr>
                <w:rFonts w:hint="eastAsia" w:ascii="宋体" w:hAnsi="宋体" w:eastAsia="宋体" w:cs="宋体"/>
                <w:color w:val="auto"/>
                <w:kern w:val="2"/>
                <w:sz w:val="21"/>
                <w:szCs w:val="21"/>
                <w:highlight w:val="none"/>
                <w:lang w:val="en-US" w:eastAsia="zh-CN"/>
              </w:rPr>
              <w:t>投标参数</w:t>
            </w:r>
            <w:r>
              <w:rPr>
                <w:rFonts w:hint="eastAsia" w:ascii="宋体" w:hAnsi="宋体" w:eastAsia="宋体" w:cs="宋体"/>
                <w:color w:val="auto"/>
                <w:kern w:val="2"/>
                <w:sz w:val="21"/>
                <w:szCs w:val="21"/>
                <w:highlight w:val="none"/>
              </w:rPr>
              <w:t>一致，否则视为虚假应标，采购人有权取消</w:t>
            </w:r>
            <w:r>
              <w:rPr>
                <w:rFonts w:hint="eastAsia" w:ascii="宋体" w:hAnsi="宋体" w:eastAsia="宋体" w:cs="宋体"/>
                <w:color w:val="auto"/>
                <w:kern w:val="2"/>
                <w:sz w:val="21"/>
                <w:szCs w:val="21"/>
                <w:highlight w:val="none"/>
                <w:lang w:val="en-US" w:eastAsia="zh-CN"/>
              </w:rPr>
              <w:t>中标人中标</w:t>
            </w:r>
            <w:r>
              <w:rPr>
                <w:rFonts w:hint="eastAsia" w:ascii="宋体" w:hAnsi="宋体" w:eastAsia="宋体" w:cs="宋体"/>
                <w:color w:val="auto"/>
                <w:kern w:val="2"/>
                <w:sz w:val="21"/>
                <w:szCs w:val="21"/>
                <w:highlight w:val="none"/>
              </w:rPr>
              <w:t>资格并追究其相应法律责任。</w:t>
            </w:r>
            <w:r>
              <w:rPr>
                <w:rFonts w:hint="eastAsia" w:ascii="宋体" w:hAnsi="宋体" w:eastAsia="宋体" w:cs="宋体"/>
                <w:color w:val="auto"/>
                <w:kern w:val="2"/>
                <w:sz w:val="21"/>
                <w:szCs w:val="21"/>
                <w:highlight w:val="none"/>
                <w:lang w:val="en-US" w:eastAsia="zh-CN"/>
              </w:rPr>
              <w:t xml:space="preserve">  </w:t>
            </w:r>
          </w:p>
          <w:p w14:paraId="48B9D712">
            <w:pPr>
              <w:spacing w:line="360" w:lineRule="auto"/>
              <w:ind w:left="0" w:leftChars="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每条技术响应中出现与需求不符、缺项、错项，均视为负偏离。要求提供相应证明材料的参数条款，未提供有效证明材料或证明材料中内容与所填报指标不一致的，该指标按负偏离处理。</w:t>
            </w:r>
          </w:p>
          <w:p w14:paraId="68679F8F">
            <w:pPr>
              <w:spacing w:line="360" w:lineRule="auto"/>
              <w:ind w:left="0" w:leftChars="0"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yellow"/>
                <w:lang w:val="en-US" w:eastAsia="zh-CN"/>
              </w:rPr>
              <w:t>3.功能演示项目不参与本项技术参数评分。</w:t>
            </w:r>
          </w:p>
        </w:tc>
      </w:tr>
      <w:tr w14:paraId="1AEF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934" w:type="dxa"/>
            <w:vMerge w:val="continue"/>
            <w:shd w:val="clear" w:color="auto" w:fill="FFFFFF"/>
            <w:noWrap w:val="0"/>
            <w:vAlign w:val="center"/>
          </w:tcPr>
          <w:p w14:paraId="787526B5">
            <w:pPr>
              <w:spacing w:line="276" w:lineRule="auto"/>
              <w:ind w:left="0" w:leftChars="0"/>
              <w:jc w:val="center"/>
              <w:rPr>
                <w:rFonts w:hint="eastAsia" w:ascii="宋体" w:hAnsi="宋体" w:eastAsia="宋体" w:cs="宋体"/>
                <w:color w:val="auto"/>
                <w:sz w:val="21"/>
                <w:szCs w:val="21"/>
                <w:highlight w:val="yellow"/>
              </w:rPr>
            </w:pPr>
          </w:p>
        </w:tc>
        <w:tc>
          <w:tcPr>
            <w:tcW w:w="1445" w:type="dxa"/>
            <w:shd w:val="clear" w:color="auto" w:fill="FFFFFF"/>
            <w:noWrap w:val="0"/>
            <w:vAlign w:val="center"/>
          </w:tcPr>
          <w:p w14:paraId="5824FB18">
            <w:pPr>
              <w:spacing w:line="360"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功能演示</w:t>
            </w:r>
          </w:p>
          <w:p w14:paraId="6A81F0DA">
            <w:pPr>
              <w:spacing w:line="360" w:lineRule="auto"/>
              <w:ind w:left="0" w:leftChars="0"/>
              <w:jc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sz w:val="21"/>
                <w:szCs w:val="21"/>
                <w:lang w:val="en-US" w:eastAsia="zh-CN"/>
              </w:rPr>
              <w:t>（10分）</w:t>
            </w:r>
          </w:p>
        </w:tc>
        <w:tc>
          <w:tcPr>
            <w:tcW w:w="6802" w:type="dxa"/>
            <w:shd w:val="clear" w:color="auto" w:fill="FFFFFF"/>
            <w:noWrap w:val="0"/>
            <w:vAlign w:val="top"/>
          </w:tcPr>
          <w:p w14:paraId="127936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为了保障无人机场景正常运行，就采购需求中重要的</w:t>
            </w:r>
            <w:r>
              <w:rPr>
                <w:rFonts w:hint="eastAsia" w:ascii="宋体" w:hAnsi="宋体" w:eastAsia="宋体" w:cs="宋体"/>
                <w:color w:val="000000"/>
                <w:kern w:val="0"/>
                <w:sz w:val="21"/>
                <w:szCs w:val="21"/>
                <w:lang w:val="en-US" w:eastAsia="zh-CN" w:bidi="ar"/>
              </w:rPr>
              <w:t>机载计算机模块和无人机虚拟仿真实训云平台（进阶版）</w:t>
            </w:r>
            <w:r>
              <w:rPr>
                <w:rFonts w:hint="eastAsia" w:ascii="宋体" w:hAnsi="宋体" w:eastAsia="宋体" w:cs="宋体"/>
                <w:color w:val="000000"/>
                <w:sz w:val="21"/>
                <w:szCs w:val="21"/>
                <w:lang w:val="en-US" w:eastAsia="zh-CN"/>
              </w:rPr>
              <w:t>提供功能演示，演示采用实物现场演示或录制视频讲解方式；能完整演示所有要点的得10分，有1项不能满足的扣2分，直到扣完为止（功能演示要点不作为产品技术参数的评分项）。</w:t>
            </w:r>
          </w:p>
          <w:p w14:paraId="5AC761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color w:val="000000"/>
                <w:lang w:val="en-US" w:eastAsia="zh-CN"/>
              </w:rPr>
            </w:pPr>
            <w:r>
              <w:rPr>
                <w:rFonts w:hint="eastAsia" w:ascii="宋体" w:hAnsi="宋体" w:eastAsia="宋体" w:cs="宋体"/>
                <w:color w:val="000000"/>
                <w:sz w:val="21"/>
                <w:szCs w:val="21"/>
                <w:lang w:val="en-US" w:eastAsia="zh-CN"/>
              </w:rPr>
              <w:t>演示要点：</w:t>
            </w:r>
          </w:p>
          <w:p w14:paraId="3BC3223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1、机载计算机模块内的模型机相关运行数据支持导出；</w:t>
            </w:r>
          </w:p>
          <w:p w14:paraId="6BA265B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2、机载计算机模块能够实现通过代码程序运行控制工业级典型场景应用平台完成针对目标点的自动识别锁定并自动多角度拍照功能；</w:t>
            </w:r>
          </w:p>
          <w:p w14:paraId="062EE625">
            <w:pPr>
              <w:spacing w:line="360" w:lineRule="auto"/>
              <w:ind w:left="0" w:leftChars="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3、机载计算机模块能够通过修改相关代码实现云台锁定控制开关功能、识别后拍照数量设置功能、图像解码开关功能、图像识别开关功能、相机拍照控制开关功能、飞行速度设置功能；</w:t>
            </w:r>
          </w:p>
          <w:p w14:paraId="4533FB9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4、无人机虚拟仿真实训云平台（进阶版）编程飞行模块功能点演示：通过调取airsim接口进行编程并自主飞行，获取飞行时长、绕障碍数量、计算编程飞行成绩及该赛项的实时排名等信息。</w:t>
            </w:r>
          </w:p>
          <w:p w14:paraId="751BCB6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无人机虚拟仿真实训云平台（进阶版）模拟竞赛模块功能点演示：通过键盘快捷键和虚拟遥控器操控无人机在规定的时间内完成识别物素材采集，实时显示无人机飞行速度、垂直速度、水平速度、飞行高度以及识别物采集限时倒计时，并支持变焦、广角切换。</w:t>
            </w:r>
          </w:p>
          <w:p w14:paraId="48182DF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 w:val="21"/>
                <w:szCs w:val="21"/>
                <w:highlight w:val="yellow"/>
                <w:lang w:val="en-US" w:eastAsia="zh-CN" w:bidi="ar"/>
              </w:rPr>
              <w:t>注：</w:t>
            </w:r>
          </w:p>
          <w:p w14:paraId="1858584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 w:val="21"/>
                <w:szCs w:val="21"/>
                <w:highlight w:val="yellow"/>
                <w:lang w:val="en-US" w:eastAsia="zh-CN" w:bidi="ar"/>
              </w:rPr>
              <w:t>1.参加演示的供应商需自行准备演示所需的设备到评标现场进行演示，并保证设备正常使用，若因供应商设备原因无法正常演示的，责任自负。</w:t>
            </w:r>
          </w:p>
          <w:p w14:paraId="7874948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 w:val="21"/>
                <w:szCs w:val="21"/>
                <w:highlight w:val="yellow"/>
                <w:lang w:val="en-US" w:eastAsia="zh-CN" w:bidi="ar"/>
              </w:rPr>
              <w:t>2.演示顺序按照供应商上传响应文件时间顺序进行。</w:t>
            </w:r>
          </w:p>
          <w:p w14:paraId="1C5B68D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B050"/>
                <w:kern w:val="0"/>
                <w:sz w:val="21"/>
                <w:szCs w:val="21"/>
                <w:highlight w:val="yellow"/>
                <w:lang w:val="en-US" w:eastAsia="zh-CN" w:bidi="ar"/>
              </w:rPr>
            </w:pPr>
            <w:r>
              <w:rPr>
                <w:rFonts w:hint="eastAsia" w:ascii="宋体" w:hAnsi="宋体" w:eastAsia="宋体" w:cs="宋体"/>
                <w:color w:val="auto"/>
                <w:kern w:val="0"/>
                <w:sz w:val="21"/>
                <w:szCs w:val="21"/>
                <w:highlight w:val="yellow"/>
                <w:lang w:val="en-US" w:eastAsia="zh-CN" w:bidi="ar"/>
              </w:rPr>
              <w:t>3.现场演示时间为15分钟。供应商须保证开标当天手机保持畅通，若因联系不上造成供应商无法演示的，责任自负。</w:t>
            </w:r>
          </w:p>
        </w:tc>
      </w:tr>
      <w:tr w14:paraId="113F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34" w:type="dxa"/>
            <w:vMerge w:val="continue"/>
            <w:shd w:val="clear" w:color="auto" w:fill="FFFFFF"/>
            <w:noWrap w:val="0"/>
            <w:vAlign w:val="center"/>
          </w:tcPr>
          <w:p w14:paraId="4B661252">
            <w:pPr>
              <w:spacing w:line="276" w:lineRule="auto"/>
              <w:ind w:left="0" w:leftChars="0"/>
              <w:rPr>
                <w:rFonts w:hint="eastAsia" w:ascii="宋体" w:hAnsi="宋体" w:eastAsia="宋体" w:cs="宋体"/>
                <w:color w:val="auto"/>
                <w:sz w:val="21"/>
                <w:szCs w:val="21"/>
                <w:highlight w:val="yellow"/>
              </w:rPr>
            </w:pPr>
          </w:p>
        </w:tc>
        <w:tc>
          <w:tcPr>
            <w:tcW w:w="1445" w:type="dxa"/>
            <w:shd w:val="clear" w:color="auto" w:fill="FFFFFF"/>
            <w:noWrap w:val="0"/>
            <w:vAlign w:val="center"/>
          </w:tcPr>
          <w:p w14:paraId="6668C9BA">
            <w:pPr>
              <w:spacing w:line="360" w:lineRule="auto"/>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p w14:paraId="7999E372">
            <w:pPr>
              <w:spacing w:line="360" w:lineRule="auto"/>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p w14:paraId="66BBD32E">
            <w:pPr>
              <w:spacing w:line="360" w:lineRule="auto"/>
              <w:ind w:left="0" w:leftChars="0"/>
              <w:jc w:val="center"/>
              <w:rPr>
                <w:rFonts w:hint="eastAsia" w:ascii="宋体" w:hAnsi="宋体" w:eastAsia="宋体" w:cs="宋体"/>
                <w:color w:val="auto"/>
                <w:sz w:val="21"/>
                <w:szCs w:val="21"/>
                <w:highlight w:val="none"/>
              </w:rPr>
            </w:pPr>
          </w:p>
        </w:tc>
        <w:tc>
          <w:tcPr>
            <w:tcW w:w="6802" w:type="dxa"/>
            <w:shd w:val="clear" w:color="auto" w:fill="FFFFFF"/>
            <w:noWrap w:val="0"/>
            <w:vAlign w:val="center"/>
          </w:tcPr>
          <w:p w14:paraId="740E2F82">
            <w:pPr>
              <w:spacing w:line="360" w:lineRule="auto"/>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根据投标供应商提供就本项目的整体实施方案（包括但不限于供货方案、质量保障措施、安装调试、课程资源编制方案、项目实施团队等）进行评分综合评价。</w:t>
            </w:r>
          </w:p>
          <w:p w14:paraId="33142A54">
            <w:pPr>
              <w:spacing w:line="360" w:lineRule="auto"/>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1.方案内容完善、可行性高：5分；</w:t>
            </w:r>
          </w:p>
          <w:p w14:paraId="49925F2C">
            <w:pPr>
              <w:spacing w:line="360" w:lineRule="auto"/>
              <w:ind w:left="0" w:left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2.方案内容较完善，可行性较高：3分；</w:t>
            </w:r>
          </w:p>
          <w:p w14:paraId="4F9BF6C5">
            <w:pPr>
              <w:spacing w:line="360" w:lineRule="auto"/>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3.方案内容一般，可行性一般：1分；</w:t>
            </w:r>
          </w:p>
          <w:p w14:paraId="1E9E125D">
            <w:pPr>
              <w:spacing w:line="360" w:lineRule="auto"/>
              <w:ind w:left="0"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4.未提供不得分。</w:t>
            </w:r>
          </w:p>
        </w:tc>
      </w:tr>
      <w:tr w14:paraId="1549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934" w:type="dxa"/>
            <w:vMerge w:val="restart"/>
            <w:shd w:val="clear" w:color="auto" w:fill="FFFFFF"/>
            <w:noWrap w:val="0"/>
            <w:vAlign w:val="center"/>
          </w:tcPr>
          <w:p w14:paraId="0EA9D6E4">
            <w:pPr>
              <w:spacing w:line="276" w:lineRule="auto"/>
              <w:ind w:left="0" w:leftChars="0"/>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商务评分标准</w:t>
            </w:r>
          </w:p>
          <w:p w14:paraId="4C7019FA">
            <w:pPr>
              <w:spacing w:line="276" w:lineRule="auto"/>
              <w:ind w:left="0" w:leftChars="0"/>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val="en-US" w:eastAsia="zh-CN"/>
              </w:rPr>
              <w:t>2</w:t>
            </w:r>
            <w:r>
              <w:rPr>
                <w:rFonts w:hint="eastAsia" w:ascii="宋体" w:hAnsi="宋体" w:cs="宋体"/>
                <w:color w:val="auto"/>
                <w:sz w:val="21"/>
                <w:szCs w:val="21"/>
                <w:highlight w:val="yellow"/>
                <w:lang w:val="en-US" w:eastAsia="zh-CN"/>
              </w:rPr>
              <w:t>9</w:t>
            </w:r>
            <w:r>
              <w:rPr>
                <w:rFonts w:hint="eastAsia" w:ascii="宋体" w:hAnsi="宋体" w:eastAsia="宋体" w:cs="宋体"/>
                <w:color w:val="auto"/>
                <w:sz w:val="21"/>
                <w:szCs w:val="21"/>
                <w:highlight w:val="yellow"/>
              </w:rPr>
              <w:t>分）</w:t>
            </w:r>
          </w:p>
        </w:tc>
        <w:tc>
          <w:tcPr>
            <w:tcW w:w="1445" w:type="dxa"/>
            <w:shd w:val="clear" w:color="auto" w:fill="FFFFFF"/>
            <w:noWrap w:val="0"/>
            <w:vAlign w:val="center"/>
          </w:tcPr>
          <w:p w14:paraId="22F64044">
            <w:pPr>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综合实力</w:t>
            </w:r>
          </w:p>
          <w:p w14:paraId="18C6ABE6">
            <w:pPr>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802" w:type="dxa"/>
            <w:shd w:val="clear" w:color="auto" w:fill="FFFFFF"/>
            <w:noWrap w:val="0"/>
            <w:vAlign w:val="center"/>
          </w:tcPr>
          <w:p w14:paraId="44CF0AD4">
            <w:pPr>
              <w:spacing w:line="360" w:lineRule="auto"/>
              <w:ind w:left="0" w:lef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1.投标供应商具有有效的质量管理体系认证、环境管理体系认证、职业健康安全管理体系认证三项证书，全部提供得1分，不提供或提供无效证书不得分；</w:t>
            </w:r>
          </w:p>
          <w:p w14:paraId="2DCC30CD">
            <w:pPr>
              <w:spacing w:line="360" w:lineRule="auto"/>
              <w:ind w:left="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2.投标供应商具有信息技术服务管理体系认证证书，提供得2分，不提供或提供无效证书不得分；</w:t>
            </w:r>
          </w:p>
          <w:p w14:paraId="7F360844">
            <w:pPr>
              <w:spacing w:line="360" w:lineRule="auto"/>
              <w:ind w:left="0" w:lef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yellow"/>
                <w:lang w:val="en-US" w:eastAsia="zh-CN"/>
              </w:rPr>
              <w:t>投标供应商或产品制造商具有DSMM数据安全能力成熟度模型等级证书，提供得3分</w:t>
            </w:r>
            <w:r>
              <w:rPr>
                <w:rFonts w:hint="eastAsia" w:ascii="宋体" w:hAnsi="宋体" w:eastAsia="宋体" w:cs="宋体"/>
                <w:color w:val="auto"/>
                <w:sz w:val="21"/>
                <w:szCs w:val="21"/>
                <w:highlight w:val="none"/>
                <w:lang w:val="en-US" w:eastAsia="zh-CN"/>
              </w:rPr>
              <w:t>，不提供或提供无效证书不得分。</w:t>
            </w:r>
          </w:p>
          <w:p w14:paraId="6EAD8A6F">
            <w:pPr>
              <w:spacing w:line="360" w:lineRule="auto"/>
              <w:ind w:left="0" w:lef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w:t>
            </w:r>
            <w:r>
              <w:rPr>
                <w:rFonts w:hint="default" w:ascii="宋体" w:hAnsi="宋体" w:eastAsia="宋体" w:cs="宋体"/>
                <w:color w:val="auto"/>
                <w:sz w:val="21"/>
                <w:szCs w:val="21"/>
                <w:highlight w:val="none"/>
                <w:lang w:val="en-US" w:eastAsia="zh-CN"/>
              </w:rPr>
              <w:t>提供证书</w:t>
            </w:r>
            <w:r>
              <w:rPr>
                <w:rFonts w:hint="eastAsia" w:ascii="宋体" w:hAnsi="宋体" w:eastAsia="宋体" w:cs="宋体"/>
                <w:color w:val="auto"/>
                <w:sz w:val="21"/>
                <w:szCs w:val="21"/>
                <w:highlight w:val="none"/>
                <w:lang w:val="en-US" w:eastAsia="zh-CN"/>
              </w:rPr>
              <w:t>复印件并加盖投标供应商公章。</w:t>
            </w:r>
          </w:p>
        </w:tc>
      </w:tr>
      <w:tr w14:paraId="5C06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934" w:type="dxa"/>
            <w:vMerge w:val="continue"/>
            <w:shd w:val="clear" w:color="auto" w:fill="FFFFFF"/>
            <w:noWrap w:val="0"/>
            <w:vAlign w:val="center"/>
          </w:tcPr>
          <w:p w14:paraId="6BF87685">
            <w:pPr>
              <w:spacing w:line="276" w:lineRule="auto"/>
              <w:ind w:left="0" w:leftChars="0"/>
              <w:rPr>
                <w:rFonts w:hint="eastAsia" w:ascii="宋体" w:hAnsi="宋体" w:eastAsia="宋体" w:cs="宋体"/>
                <w:color w:val="auto"/>
                <w:sz w:val="21"/>
                <w:szCs w:val="21"/>
                <w:highlight w:val="yellow"/>
              </w:rPr>
            </w:pPr>
            <w:bookmarkStart w:id="207" w:name="_Toc13061"/>
            <w:bookmarkStart w:id="208" w:name="_Toc18232"/>
          </w:p>
        </w:tc>
        <w:tc>
          <w:tcPr>
            <w:tcW w:w="1445" w:type="dxa"/>
            <w:shd w:val="clear" w:color="auto" w:fill="FFFFFF"/>
            <w:noWrap w:val="0"/>
            <w:vAlign w:val="center"/>
          </w:tcPr>
          <w:p w14:paraId="325B3430">
            <w:pPr>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p w14:paraId="3632C57F">
            <w:pPr>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802" w:type="dxa"/>
            <w:shd w:val="clear" w:color="auto" w:fill="FFFFFF"/>
            <w:noWrap w:val="0"/>
            <w:vAlign w:val="top"/>
          </w:tcPr>
          <w:p w14:paraId="57C8889D">
            <w:pPr>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投标供应商或</w:t>
            </w:r>
            <w:r>
              <w:rPr>
                <w:rFonts w:hint="eastAsia" w:ascii="宋体" w:hAnsi="宋体" w:cs="宋体"/>
                <w:color w:val="auto"/>
                <w:sz w:val="21"/>
                <w:szCs w:val="21"/>
                <w:highlight w:val="yellow"/>
                <w:lang w:val="en-US" w:eastAsia="zh-CN"/>
              </w:rPr>
              <w:t>核心产品</w:t>
            </w:r>
            <w:r>
              <w:rPr>
                <w:rFonts w:hint="eastAsia" w:ascii="宋体" w:hAnsi="宋体" w:eastAsia="宋体" w:cs="宋体"/>
                <w:color w:val="auto"/>
                <w:sz w:val="21"/>
                <w:szCs w:val="21"/>
                <w:highlight w:val="none"/>
                <w:lang w:val="en-US" w:eastAsia="zh-CN"/>
              </w:rPr>
              <w:t>制造商提供自投标截止之日前三年内（日期以合同签订时间为准）类似业绩，每提供一份业绩得2分，满分10分。</w:t>
            </w:r>
          </w:p>
          <w:p w14:paraId="5598DD70">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注：须同时提供该业绩项目的中标公告截图</w:t>
            </w:r>
            <w:r>
              <w:rPr>
                <w:rFonts w:hint="eastAsia" w:ascii="宋体" w:hAnsi="宋体" w:eastAsia="宋体" w:cs="宋体"/>
                <w:color w:val="auto"/>
                <w:sz w:val="21"/>
                <w:szCs w:val="21"/>
                <w:highlight w:val="none"/>
                <w:lang w:val="en-US" w:eastAsia="zh-CN"/>
              </w:rPr>
              <w:t>（提供相关网站中标公告的下载网页并注明网址）、中标通知书复印件、采购合同复印件</w:t>
            </w:r>
            <w:r>
              <w:rPr>
                <w:rFonts w:hint="eastAsia" w:ascii="宋体" w:hAnsi="宋体" w:eastAsia="宋体" w:cs="宋体"/>
                <w:color w:val="auto"/>
                <w:sz w:val="21"/>
                <w:szCs w:val="21"/>
                <w:highlight w:val="none"/>
                <w:lang w:val="en-US" w:eastAsia="zh-CN"/>
              </w:rPr>
              <w:t>，以及能够证明该业绩项目已经采购人验收合格的相关证明文件加盖投标单位或制造商公章。</w:t>
            </w:r>
          </w:p>
        </w:tc>
      </w:tr>
      <w:tr w14:paraId="58B6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3" w:hRule="atLeast"/>
          <w:jc w:val="center"/>
        </w:trPr>
        <w:tc>
          <w:tcPr>
            <w:tcW w:w="934" w:type="dxa"/>
            <w:vMerge w:val="continue"/>
            <w:shd w:val="clear" w:color="auto" w:fill="FFFFFF"/>
            <w:noWrap w:val="0"/>
            <w:vAlign w:val="center"/>
          </w:tcPr>
          <w:p w14:paraId="38F73544">
            <w:pPr>
              <w:spacing w:line="276" w:lineRule="auto"/>
              <w:ind w:left="0" w:leftChars="0"/>
              <w:rPr>
                <w:rFonts w:hint="eastAsia" w:ascii="宋体" w:hAnsi="宋体" w:eastAsia="宋体" w:cs="宋体"/>
                <w:color w:val="auto"/>
                <w:sz w:val="21"/>
                <w:szCs w:val="21"/>
                <w:highlight w:val="yellow"/>
              </w:rPr>
            </w:pPr>
          </w:p>
        </w:tc>
        <w:tc>
          <w:tcPr>
            <w:tcW w:w="1445" w:type="dxa"/>
            <w:shd w:val="clear" w:color="auto" w:fill="FFFFFF"/>
            <w:noWrap w:val="0"/>
            <w:vAlign w:val="center"/>
          </w:tcPr>
          <w:p w14:paraId="584CF637">
            <w:pPr>
              <w:spacing w:line="360" w:lineRule="auto"/>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w:t>
            </w:r>
          </w:p>
          <w:p w14:paraId="1FE5FC5D">
            <w:pPr>
              <w:spacing w:line="360" w:lineRule="auto"/>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6802" w:type="dxa"/>
            <w:shd w:val="clear" w:color="auto" w:fill="FFFFFF"/>
            <w:noWrap w:val="0"/>
            <w:vAlign w:val="top"/>
          </w:tcPr>
          <w:p w14:paraId="045342C1">
            <w:pPr>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根据投标供应商提供的售后服务方案(包括售后服务措施、培训方案、人员配备及保障措施)进行综合评价。</w:t>
            </w:r>
          </w:p>
          <w:p w14:paraId="62F8FC9C">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lang w:val="en-US" w:eastAsia="zh-CN"/>
              </w:rPr>
              <w:t>方案具有针对性、条理清晰、目标描述准确的得5分；</w:t>
            </w:r>
          </w:p>
          <w:p w14:paraId="1B161BCE">
            <w:pPr>
              <w:numPr>
                <w:ilvl w:val="0"/>
                <w:numId w:val="0"/>
              </w:numPr>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lang w:val="en-US" w:eastAsia="zh-CN"/>
              </w:rPr>
              <w:t>方案较完善、合理，较满足项目需求的得3分；</w:t>
            </w:r>
          </w:p>
          <w:p w14:paraId="07C3B243">
            <w:pPr>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3.方案描述简略或内容有所欠缺，可行性一般，但基本能满足项目需求的得1分；</w:t>
            </w:r>
          </w:p>
          <w:p w14:paraId="5CB6FDA7">
            <w:pPr>
              <w:spacing w:line="360" w:lineRule="auto"/>
              <w:ind w:left="0" w:leftChars="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4.未提供方案的不得分。</w:t>
            </w:r>
          </w:p>
        </w:tc>
      </w:tr>
      <w:tr w14:paraId="5028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934" w:type="dxa"/>
            <w:vMerge w:val="continue"/>
            <w:shd w:val="clear" w:color="auto" w:fill="FFFFFF"/>
            <w:noWrap w:val="0"/>
            <w:vAlign w:val="center"/>
          </w:tcPr>
          <w:p w14:paraId="73B0A1B6">
            <w:pPr>
              <w:spacing w:line="360" w:lineRule="auto"/>
              <w:ind w:left="0" w:leftChars="0"/>
              <w:jc w:val="center"/>
              <w:rPr>
                <w:rFonts w:hint="eastAsia" w:ascii="宋体" w:hAnsi="宋体" w:eastAsia="宋体" w:cs="宋体"/>
                <w:sz w:val="21"/>
                <w:szCs w:val="21"/>
              </w:rPr>
            </w:pPr>
          </w:p>
        </w:tc>
        <w:tc>
          <w:tcPr>
            <w:tcW w:w="1445" w:type="dxa"/>
            <w:shd w:val="clear" w:color="auto" w:fill="FFFFFF"/>
            <w:noWrap w:val="0"/>
            <w:vAlign w:val="center"/>
          </w:tcPr>
          <w:p w14:paraId="793D7070">
            <w:pPr>
              <w:spacing w:line="360" w:lineRule="auto"/>
              <w:ind w:left="0" w:leftChars="0"/>
              <w:jc w:val="cente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售后服务能力</w:t>
            </w:r>
          </w:p>
          <w:p w14:paraId="12300BD1">
            <w:pPr>
              <w:spacing w:line="360" w:lineRule="auto"/>
              <w:ind w:left="0" w:leftChars="0"/>
              <w:jc w:val="cente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（2分）</w:t>
            </w:r>
          </w:p>
        </w:tc>
        <w:tc>
          <w:tcPr>
            <w:tcW w:w="6802" w:type="dxa"/>
            <w:shd w:val="clear" w:color="auto" w:fill="FFFFFF"/>
            <w:noWrap w:val="0"/>
            <w:vAlign w:val="top"/>
          </w:tcPr>
          <w:p w14:paraId="51315770">
            <w:pPr>
              <w:spacing w:line="360" w:lineRule="auto"/>
              <w:ind w:left="0" w:leftChars="0" w:firstLine="420" w:firstLineChars="200"/>
              <w:jc w:val="both"/>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投标供应商或产品制造商具备无人机售后服务专项企业服务能力等级资质</w:t>
            </w:r>
            <w:r>
              <w:rPr>
                <w:rFonts w:hint="eastAsia" w:ascii="宋体" w:hAnsi="宋体" w:eastAsia="宋体" w:cs="宋体"/>
                <w:color w:val="auto"/>
                <w:sz w:val="21"/>
                <w:szCs w:val="21"/>
                <w:highlight w:val="yellow"/>
                <w:lang w:val="en-US" w:eastAsia="zh-CN"/>
              </w:rPr>
              <w:t>证书一级（甲级），</w:t>
            </w:r>
            <w:r>
              <w:rPr>
                <w:rFonts w:hint="eastAsia" w:ascii="宋体" w:hAnsi="宋体" w:eastAsia="宋体" w:cs="宋体"/>
                <w:color w:val="auto"/>
                <w:sz w:val="21"/>
                <w:szCs w:val="21"/>
                <w:highlight w:val="yellow"/>
                <w:lang w:val="en-US" w:eastAsia="zh-CN"/>
              </w:rPr>
              <w:t>得2分。</w:t>
            </w:r>
          </w:p>
          <w:p w14:paraId="0276BE46">
            <w:pPr>
              <w:spacing w:line="360" w:lineRule="auto"/>
              <w:ind w:left="0" w:leftChars="0" w:firstLine="420" w:firstLineChars="200"/>
              <w:jc w:val="both"/>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注：提供证书复印件加盖单位公章。</w:t>
            </w:r>
          </w:p>
        </w:tc>
      </w:tr>
      <w:tr w14:paraId="1313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8" w:hRule="atLeast"/>
          <w:jc w:val="center"/>
        </w:trPr>
        <w:tc>
          <w:tcPr>
            <w:tcW w:w="934" w:type="dxa"/>
            <w:vMerge w:val="continue"/>
            <w:shd w:val="clear" w:color="auto" w:fill="FFFFFF"/>
            <w:noWrap w:val="0"/>
            <w:vAlign w:val="center"/>
          </w:tcPr>
          <w:p w14:paraId="2D8C84C6">
            <w:pPr>
              <w:spacing w:line="360" w:lineRule="auto"/>
              <w:ind w:left="0" w:leftChars="0"/>
              <w:jc w:val="center"/>
              <w:rPr>
                <w:rFonts w:hint="eastAsia" w:ascii="宋体" w:hAnsi="宋体" w:eastAsia="宋体" w:cs="宋体"/>
                <w:color w:val="auto"/>
                <w:sz w:val="21"/>
                <w:szCs w:val="21"/>
                <w:highlight w:val="yellow"/>
                <w:lang w:val="en-US" w:eastAsia="zh-CN"/>
              </w:rPr>
            </w:pPr>
          </w:p>
        </w:tc>
        <w:tc>
          <w:tcPr>
            <w:tcW w:w="1445" w:type="dxa"/>
            <w:shd w:val="clear" w:color="auto" w:fill="FFFFFF"/>
            <w:noWrap w:val="0"/>
            <w:vAlign w:val="center"/>
          </w:tcPr>
          <w:p w14:paraId="1937B306">
            <w:pPr>
              <w:spacing w:line="360" w:lineRule="auto"/>
              <w:ind w:left="0" w:leftChars="0"/>
              <w:jc w:val="cente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售后团队配置</w:t>
            </w:r>
          </w:p>
          <w:p w14:paraId="6F5EA012">
            <w:pPr>
              <w:spacing w:line="360" w:lineRule="auto"/>
              <w:ind w:left="0" w:leftChars="0"/>
              <w:jc w:val="cente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w:t>
            </w:r>
            <w:r>
              <w:rPr>
                <w:rFonts w:hint="eastAsia" w:ascii="宋体" w:hAnsi="宋体" w:cs="宋体"/>
                <w:color w:val="auto"/>
                <w:sz w:val="21"/>
                <w:szCs w:val="21"/>
                <w:highlight w:val="yellow"/>
                <w:lang w:val="en-US" w:eastAsia="zh-CN"/>
              </w:rPr>
              <w:t>3</w:t>
            </w:r>
            <w:r>
              <w:rPr>
                <w:rFonts w:hint="eastAsia" w:ascii="宋体" w:hAnsi="宋体" w:eastAsia="宋体" w:cs="宋体"/>
                <w:color w:val="auto"/>
                <w:sz w:val="21"/>
                <w:szCs w:val="21"/>
                <w:highlight w:val="yellow"/>
                <w:lang w:val="en-US" w:eastAsia="zh-CN"/>
              </w:rPr>
              <w:t>分）</w:t>
            </w:r>
          </w:p>
        </w:tc>
        <w:tc>
          <w:tcPr>
            <w:tcW w:w="6802" w:type="dxa"/>
            <w:shd w:val="clear" w:color="auto" w:fill="FFFFFF"/>
            <w:noWrap w:val="0"/>
            <w:vAlign w:val="top"/>
          </w:tcPr>
          <w:p w14:paraId="292A8857">
            <w:pPr>
              <w:spacing w:line="360" w:lineRule="auto"/>
              <w:ind w:left="0" w:leftChars="0" w:firstLine="420"/>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lang w:val="en-US" w:eastAsia="zh-CN"/>
              </w:rPr>
              <w:t>投标供应商或核心产品制造商提供售后团队人员名单</w:t>
            </w:r>
            <w:r>
              <w:rPr>
                <w:rFonts w:hint="eastAsia" w:ascii="宋体" w:hAnsi="宋体" w:eastAsia="宋体" w:cs="宋体"/>
                <w:color w:val="auto"/>
                <w:sz w:val="21"/>
                <w:szCs w:val="21"/>
                <w:highlight w:val="yellow"/>
                <w:lang w:val="en-US" w:eastAsia="zh-CN"/>
              </w:rPr>
              <w:t>、分工职责，团队成员需具备由中国民用航空局飞行标准司颁发的民用无人机教员等级执照，提供</w:t>
            </w:r>
            <w:r>
              <w:rPr>
                <w:rFonts w:hint="eastAsia" w:ascii="宋体" w:hAnsi="宋体" w:cs="宋体"/>
                <w:color w:val="auto"/>
                <w:sz w:val="21"/>
                <w:szCs w:val="21"/>
                <w:highlight w:val="yellow"/>
                <w:lang w:val="en-US" w:eastAsia="zh-CN"/>
              </w:rPr>
              <w:t>4</w:t>
            </w:r>
            <w:r>
              <w:rPr>
                <w:rFonts w:hint="eastAsia" w:ascii="宋体" w:hAnsi="宋体" w:eastAsia="宋体" w:cs="宋体"/>
                <w:color w:val="auto"/>
                <w:sz w:val="21"/>
                <w:szCs w:val="21"/>
                <w:highlight w:val="yellow"/>
                <w:lang w:val="en-US" w:eastAsia="zh-CN"/>
              </w:rPr>
              <w:t>人得</w:t>
            </w:r>
            <w:r>
              <w:rPr>
                <w:rFonts w:hint="eastAsia" w:ascii="宋体" w:hAnsi="宋体" w:cs="宋体"/>
                <w:color w:val="auto"/>
                <w:sz w:val="21"/>
                <w:szCs w:val="21"/>
                <w:highlight w:val="yellow"/>
                <w:lang w:val="en-US" w:eastAsia="zh-CN"/>
              </w:rPr>
              <w:t>1</w:t>
            </w:r>
            <w:r>
              <w:rPr>
                <w:rFonts w:hint="eastAsia" w:ascii="宋体" w:hAnsi="宋体" w:eastAsia="宋体" w:cs="宋体"/>
                <w:color w:val="auto"/>
                <w:sz w:val="21"/>
                <w:szCs w:val="21"/>
                <w:highlight w:val="yellow"/>
                <w:lang w:val="en-US" w:eastAsia="zh-CN"/>
              </w:rPr>
              <w:t>分</w:t>
            </w:r>
            <w:r>
              <w:rPr>
                <w:rFonts w:hint="eastAsia" w:ascii="宋体" w:hAnsi="宋体" w:cs="宋体"/>
                <w:color w:val="auto"/>
                <w:sz w:val="21"/>
                <w:szCs w:val="21"/>
                <w:highlight w:val="yellow"/>
                <w:lang w:val="en-US" w:eastAsia="zh-CN"/>
              </w:rPr>
              <w:t>；提供6人及以上得3分</w:t>
            </w:r>
            <w:r>
              <w:rPr>
                <w:rFonts w:hint="eastAsia" w:ascii="宋体" w:hAnsi="宋体" w:eastAsia="宋体" w:cs="宋体"/>
                <w:color w:val="auto"/>
                <w:sz w:val="21"/>
                <w:szCs w:val="21"/>
                <w:highlight w:val="yellow"/>
                <w:lang w:val="en-US" w:eastAsia="zh-CN"/>
              </w:rPr>
              <w:t>。</w:t>
            </w:r>
          </w:p>
          <w:p w14:paraId="300A41DF">
            <w:pPr>
              <w:spacing w:line="360" w:lineRule="auto"/>
              <w:ind w:left="0" w:leftChars="0" w:firstLine="420"/>
              <w:jc w:val="left"/>
              <w:rPr>
                <w:rFonts w:hint="eastAsia"/>
                <w:highlight w:val="yellow"/>
                <w:lang w:val="en-US" w:eastAsia="zh-CN"/>
              </w:rPr>
            </w:pPr>
            <w:r>
              <w:rPr>
                <w:rFonts w:hint="eastAsia" w:ascii="宋体" w:hAnsi="宋体" w:eastAsia="宋体" w:cs="宋体"/>
                <w:color w:val="auto"/>
                <w:sz w:val="21"/>
                <w:szCs w:val="21"/>
                <w:highlight w:val="yellow"/>
                <w:lang w:val="en-US" w:eastAsia="zh-CN"/>
              </w:rPr>
              <w:t>注：提供以上人员相关证书复印件及2025年任意一个月投标人为其缴纳的社保证明材料加盖单位公章。</w:t>
            </w:r>
          </w:p>
        </w:tc>
      </w:tr>
      <w:tr w14:paraId="6F90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934" w:type="dxa"/>
            <w:vMerge w:val="continue"/>
            <w:shd w:val="clear" w:color="auto" w:fill="FFFFFF"/>
            <w:noWrap w:val="0"/>
            <w:vAlign w:val="center"/>
          </w:tcPr>
          <w:p w14:paraId="7F1AB5EE">
            <w:pPr>
              <w:spacing w:line="276" w:lineRule="auto"/>
              <w:ind w:left="0" w:leftChars="0"/>
              <w:rPr>
                <w:rFonts w:hint="eastAsia" w:ascii="宋体" w:hAnsi="宋体" w:eastAsia="宋体" w:cs="宋体"/>
                <w:color w:val="auto"/>
                <w:sz w:val="21"/>
                <w:szCs w:val="21"/>
                <w:highlight w:val="yellow"/>
              </w:rPr>
            </w:pPr>
          </w:p>
        </w:tc>
        <w:tc>
          <w:tcPr>
            <w:tcW w:w="1445" w:type="dxa"/>
            <w:shd w:val="clear" w:color="auto" w:fill="FFFFFF"/>
            <w:noWrap w:val="0"/>
            <w:vAlign w:val="center"/>
          </w:tcPr>
          <w:p w14:paraId="4E4E9D13">
            <w:pPr>
              <w:spacing w:line="360" w:lineRule="auto"/>
              <w:ind w:left="0" w:leftChars="0" w:firstLine="0" w:firstLineChars="0"/>
              <w:jc w:val="cente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应急响应能力</w:t>
            </w:r>
          </w:p>
          <w:p w14:paraId="52BBA951">
            <w:pPr>
              <w:spacing w:line="360" w:lineRule="auto"/>
              <w:ind w:left="0" w:leftChars="0" w:firstLine="420"/>
              <w:jc w:val="left"/>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（3）</w:t>
            </w:r>
          </w:p>
        </w:tc>
        <w:tc>
          <w:tcPr>
            <w:tcW w:w="6802" w:type="dxa"/>
            <w:shd w:val="clear" w:color="auto" w:fill="FFFFFF"/>
            <w:noWrap w:val="0"/>
            <w:vAlign w:val="center"/>
          </w:tcPr>
          <w:p w14:paraId="23034B0F">
            <w:pPr>
              <w:spacing w:line="360" w:lineRule="auto"/>
              <w:ind w:left="0" w:leftChars="0" w:firstLine="420"/>
              <w:jc w:val="left"/>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投标供应商承诺接到采购人故障通知后30分钟内响应，2小时内到达采购人指定地点处理相关事宜，得3分；投标供应商承诺接到采购人通知后30分钟内响应，4小时内到达采购人指定地点处理相关事宜，得2分。投标供应商承诺接到采购人通知后1小时内响应，超过4小时到达采购人指定地点处理相关事宜，得1分，未提供承诺函或承诺响应时限不满足要求的不得分。</w:t>
            </w:r>
            <w:r>
              <w:rPr>
                <w:rFonts w:hint="eastAsia" w:ascii="宋体" w:hAnsi="宋体" w:eastAsia="宋体" w:cs="宋体"/>
                <w:strike/>
                <w:dstrike w:val="0"/>
                <w:color w:val="auto"/>
                <w:sz w:val="21"/>
                <w:szCs w:val="21"/>
                <w:highlight w:val="yellow"/>
                <w:lang w:val="en-US" w:eastAsia="zh-CN"/>
              </w:rPr>
              <w:t>须提供承诺函及满足时限要求的印证材料。</w:t>
            </w:r>
          </w:p>
          <w:p w14:paraId="66394A4A">
            <w:pPr>
              <w:spacing w:line="360" w:lineRule="auto"/>
              <w:ind w:left="0" w:leftChars="0" w:firstLine="420"/>
              <w:jc w:val="left"/>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注：提供承诺加盖单位公章，格式自拟。</w:t>
            </w:r>
          </w:p>
        </w:tc>
      </w:tr>
      <w:tr w14:paraId="5010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dxa"/>
            <w:vMerge w:val="restart"/>
            <w:shd w:val="clear" w:color="auto" w:fill="FFFFFF"/>
            <w:noWrap w:val="0"/>
            <w:vAlign w:val="center"/>
          </w:tcPr>
          <w:p w14:paraId="37377F07">
            <w:pPr>
              <w:spacing w:line="276"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政策性</w:t>
            </w:r>
          </w:p>
          <w:p w14:paraId="655FCA78">
            <w:pPr>
              <w:spacing w:line="276"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加分</w:t>
            </w:r>
          </w:p>
          <w:p w14:paraId="5EDF239C">
            <w:pPr>
              <w:spacing w:line="276"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（满分5分）</w:t>
            </w:r>
          </w:p>
        </w:tc>
        <w:tc>
          <w:tcPr>
            <w:tcW w:w="1445" w:type="dxa"/>
            <w:shd w:val="clear" w:color="auto" w:fill="FFFFFF"/>
            <w:noWrap w:val="0"/>
            <w:vAlign w:val="center"/>
          </w:tcPr>
          <w:p w14:paraId="6B179063">
            <w:pPr>
              <w:spacing w:line="276" w:lineRule="auto"/>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802" w:type="dxa"/>
            <w:shd w:val="clear" w:color="auto" w:fill="FFFFFF"/>
            <w:noWrap w:val="0"/>
            <w:vAlign w:val="center"/>
          </w:tcPr>
          <w:p w14:paraId="515158EB">
            <w:pPr>
              <w:spacing w:line="276"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供应商所投产品属于“节能产品、环境标志产品政府采购品目清单”（财政部等相关部门公示）范围内的产品，供应商提供国家确定的认证机构出具的、处于有效期之内的节能产品、环境标志产品认证证书，在采购评审工作过程中给予加分，在总得分基础上，每一项加 0.3 分；如投标产品同时属于“节能产品清单”和“环保产品清单”两个清单中产品的，每一项加 0.5 分，最高不得超过 2 分。</w:t>
            </w:r>
          </w:p>
        </w:tc>
      </w:tr>
      <w:tr w14:paraId="3789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934" w:type="dxa"/>
            <w:vMerge w:val="continue"/>
            <w:shd w:val="clear" w:color="auto" w:fill="FFFFFF"/>
            <w:noWrap w:val="0"/>
            <w:vAlign w:val="center"/>
          </w:tcPr>
          <w:p w14:paraId="73A22888">
            <w:pPr>
              <w:spacing w:line="276" w:lineRule="auto"/>
              <w:ind w:left="0" w:leftChars="0"/>
              <w:jc w:val="center"/>
              <w:rPr>
                <w:rFonts w:hint="eastAsia" w:ascii="宋体" w:hAnsi="宋体" w:eastAsia="宋体" w:cs="宋体"/>
                <w:color w:val="auto"/>
                <w:sz w:val="21"/>
                <w:szCs w:val="21"/>
                <w:highlight w:val="none"/>
              </w:rPr>
            </w:pPr>
          </w:p>
        </w:tc>
        <w:tc>
          <w:tcPr>
            <w:tcW w:w="1445" w:type="dxa"/>
            <w:shd w:val="clear" w:color="auto" w:fill="FFFFFF"/>
            <w:noWrap w:val="0"/>
            <w:vAlign w:val="center"/>
          </w:tcPr>
          <w:p w14:paraId="76D513F1">
            <w:pPr>
              <w:spacing w:line="276" w:lineRule="auto"/>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802" w:type="dxa"/>
            <w:shd w:val="clear" w:color="auto" w:fill="FFFFFF"/>
            <w:noWrap w:val="0"/>
            <w:vAlign w:val="center"/>
          </w:tcPr>
          <w:p w14:paraId="18306AD7">
            <w:pPr>
              <w:spacing w:line="276"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原产地在少数民族自治区和享受少数民族自治待遇的省份的投标主产品（不含附带产品），享受政策性加分和价格扣除，即采用综合评分法进行评审的，在总得分基础上加3分。（投标主产品按照不得低于本采购项目预算金额50%加以确定）。</w:t>
            </w:r>
          </w:p>
          <w:p w14:paraId="67EBDFCB">
            <w:pPr>
              <w:spacing w:line="276" w:lineRule="auto"/>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少数民族自治区：内蒙古自治区、新疆维吾尔自治区、宁夏回族自治区、广西壮族自治区、西藏自治区；</w:t>
            </w:r>
          </w:p>
          <w:p w14:paraId="1000D4E1">
            <w:pPr>
              <w:spacing w:line="276" w:lineRule="auto"/>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享受少数民族自治待遇的省份：青海省、云南省、贵州省。</w:t>
            </w:r>
          </w:p>
        </w:tc>
      </w:tr>
    </w:tbl>
    <w:p w14:paraId="3B170A9C">
      <w:pPr>
        <w:pStyle w:val="6"/>
        <w:ind w:left="480"/>
        <w:jc w:val="center"/>
        <w:rPr>
          <w:color w:val="auto"/>
          <w:highlight w:val="none"/>
          <w:lang w:val="en-US"/>
        </w:rPr>
      </w:pPr>
      <w:r>
        <w:rPr>
          <w:rFonts w:hint="eastAsia"/>
          <w:color w:val="auto"/>
          <w:highlight w:val="none"/>
          <w:lang w:val="en-US"/>
        </w:rPr>
        <w:br w:type="page"/>
      </w:r>
      <w:bookmarkStart w:id="209" w:name="_Toc26069"/>
      <w:bookmarkStart w:id="210" w:name="_Toc29085"/>
      <w:bookmarkStart w:id="211" w:name="_Toc28834"/>
      <w:bookmarkStart w:id="212" w:name="_Toc15931"/>
      <w:r>
        <w:rPr>
          <w:rFonts w:hint="eastAsia"/>
          <w:color w:val="auto"/>
          <w:highlight w:val="none"/>
          <w:lang w:val="en-US"/>
        </w:rPr>
        <w:t>第二节 评分办法正文</w:t>
      </w:r>
      <w:bookmarkEnd w:id="207"/>
      <w:bookmarkEnd w:id="208"/>
      <w:bookmarkEnd w:id="209"/>
      <w:bookmarkEnd w:id="210"/>
      <w:bookmarkEnd w:id="211"/>
      <w:bookmarkEnd w:id="212"/>
    </w:p>
    <w:p w14:paraId="5413A9F5">
      <w:pPr>
        <w:rPr>
          <w:rFonts w:hint="eastAsia"/>
          <w:b/>
          <w:bCs/>
          <w:color w:val="auto"/>
          <w:sz w:val="28"/>
          <w:szCs w:val="24"/>
          <w:highlight w:val="none"/>
        </w:rPr>
      </w:pPr>
    </w:p>
    <w:p w14:paraId="18DC76F0">
      <w:pPr>
        <w:outlineLvl w:val="2"/>
        <w:rPr>
          <w:rFonts w:hint="eastAsia"/>
          <w:color w:val="auto"/>
          <w:sz w:val="28"/>
          <w:szCs w:val="24"/>
          <w:highlight w:val="none"/>
        </w:rPr>
      </w:pPr>
      <w:bookmarkStart w:id="213" w:name="_Toc24248"/>
      <w:bookmarkStart w:id="214" w:name="_Toc6230"/>
      <w:bookmarkStart w:id="215" w:name="_Toc18354"/>
      <w:r>
        <w:rPr>
          <w:rFonts w:hint="eastAsia"/>
          <w:b/>
          <w:bCs/>
          <w:color w:val="auto"/>
          <w:sz w:val="28"/>
          <w:szCs w:val="24"/>
          <w:highlight w:val="none"/>
          <w:lang w:eastAsia="zh-CN"/>
        </w:rPr>
        <w:t>一、</w:t>
      </w:r>
      <w:r>
        <w:rPr>
          <w:rFonts w:hint="eastAsia"/>
          <w:b/>
          <w:bCs/>
          <w:color w:val="auto"/>
          <w:sz w:val="28"/>
          <w:szCs w:val="24"/>
          <w:highlight w:val="none"/>
        </w:rPr>
        <w:t>评标方法</w:t>
      </w:r>
      <w:bookmarkEnd w:id="213"/>
      <w:bookmarkEnd w:id="214"/>
      <w:bookmarkEnd w:id="215"/>
    </w:p>
    <w:p w14:paraId="7B6A7016">
      <w:pPr>
        <w:ind w:firstLine="480" w:firstLineChars="200"/>
        <w:rPr>
          <w:rFonts w:hint="eastAsia"/>
          <w:color w:val="auto"/>
          <w:highlight w:val="none"/>
        </w:rPr>
      </w:pPr>
    </w:p>
    <w:p w14:paraId="267F890D">
      <w:pPr>
        <w:spacing w:line="360" w:lineRule="auto"/>
        <w:ind w:left="0" w:leftChars="0" w:firstLine="480" w:firstLineChars="200"/>
        <w:rPr>
          <w:rFonts w:hint="eastAsia"/>
          <w:color w:val="auto"/>
          <w:highlight w:val="none"/>
        </w:rPr>
      </w:pPr>
      <w:r>
        <w:rPr>
          <w:rFonts w:hint="eastAsia"/>
          <w:color w:val="auto"/>
          <w:highlight w:val="none"/>
        </w:rPr>
        <w:t>本项目采用</w:t>
      </w:r>
      <w:r>
        <w:rPr>
          <w:rFonts w:hint="eastAsia"/>
          <w:color w:val="auto"/>
          <w:highlight w:val="none"/>
          <w:u w:val="single"/>
        </w:rPr>
        <w:t>综合评分法</w:t>
      </w:r>
      <w:r>
        <w:rPr>
          <w:rFonts w:hint="eastAsia"/>
          <w:color w:val="auto"/>
          <w:highlight w:val="none"/>
        </w:rPr>
        <w:t>进行评审。</w:t>
      </w:r>
    </w:p>
    <w:p w14:paraId="2BAB084E">
      <w:pPr>
        <w:spacing w:line="360" w:lineRule="auto"/>
        <w:ind w:left="0" w:leftChars="0" w:firstLine="480" w:firstLineChars="200"/>
        <w:rPr>
          <w:rFonts w:hint="eastAsia" w:eastAsia="宋体" w:cs="Times New Roman"/>
          <w:b w:val="0"/>
          <w:bCs w:val="0"/>
          <w:color w:val="auto"/>
          <w:sz w:val="24"/>
          <w:szCs w:val="22"/>
          <w:highlight w:val="none"/>
        </w:rPr>
      </w:pPr>
      <w:r>
        <w:rPr>
          <w:rFonts w:hint="eastAsia" w:eastAsia="宋体" w:cs="Times New Roman"/>
          <w:b w:val="0"/>
          <w:bCs w:val="0"/>
          <w:color w:val="auto"/>
          <w:sz w:val="24"/>
          <w:szCs w:val="22"/>
          <w:highlight w:val="none"/>
        </w:rPr>
        <w:t>综合评分法，是指</w:t>
      </w:r>
      <w:r>
        <w:rPr>
          <w:rFonts w:hint="eastAsia" w:eastAsia="宋体" w:cs="Times New Roman"/>
          <w:b w:val="0"/>
          <w:bCs w:val="0"/>
          <w:color w:val="auto"/>
          <w:sz w:val="24"/>
          <w:szCs w:val="22"/>
          <w:highlight w:val="none"/>
          <w:lang w:val="en-US" w:eastAsia="zh-CN"/>
        </w:rPr>
        <w:t>响应</w:t>
      </w:r>
      <w:r>
        <w:rPr>
          <w:rFonts w:hint="eastAsia" w:eastAsia="宋体" w:cs="Times New Roman"/>
          <w:b w:val="0"/>
          <w:bCs w:val="0"/>
          <w:color w:val="auto"/>
          <w:sz w:val="24"/>
          <w:szCs w:val="22"/>
          <w:highlight w:val="none"/>
        </w:rPr>
        <w:t>文件满足</w:t>
      </w:r>
      <w:r>
        <w:rPr>
          <w:rFonts w:hint="eastAsia" w:eastAsia="宋体" w:cs="Times New Roman"/>
          <w:b w:val="0"/>
          <w:bCs w:val="0"/>
          <w:color w:val="auto"/>
          <w:sz w:val="24"/>
          <w:szCs w:val="22"/>
          <w:highlight w:val="none"/>
          <w:lang w:val="en-US" w:eastAsia="zh-CN"/>
        </w:rPr>
        <w:t>采购</w:t>
      </w:r>
      <w:r>
        <w:rPr>
          <w:rFonts w:hint="eastAsia" w:eastAsia="宋体" w:cs="Times New Roman"/>
          <w:b w:val="0"/>
          <w:bCs w:val="0"/>
          <w:color w:val="auto"/>
          <w:sz w:val="24"/>
          <w:szCs w:val="22"/>
          <w:highlight w:val="none"/>
        </w:rPr>
        <w:t>文件全部实质性要求，且按照评审因素的量化指标评审得分最高的</w:t>
      </w:r>
      <w:r>
        <w:rPr>
          <w:rFonts w:hint="eastAsia" w:eastAsia="宋体" w:cs="Times New Roman"/>
          <w:b w:val="0"/>
          <w:bCs w:val="0"/>
          <w:color w:val="auto"/>
          <w:sz w:val="24"/>
          <w:szCs w:val="22"/>
          <w:highlight w:val="none"/>
          <w:lang w:val="en-US" w:eastAsia="zh-CN"/>
        </w:rPr>
        <w:t>供应商</w:t>
      </w:r>
      <w:r>
        <w:rPr>
          <w:rFonts w:hint="eastAsia" w:eastAsia="宋体" w:cs="Times New Roman"/>
          <w:b w:val="0"/>
          <w:bCs w:val="0"/>
          <w:color w:val="auto"/>
          <w:sz w:val="24"/>
          <w:szCs w:val="22"/>
          <w:highlight w:val="none"/>
        </w:rPr>
        <w:t>为中标候选人的评标方法。采用综合评分法的，评标结果按评审后得分由高到低顺序排列。得分相同的，按投标报价由低到高顺序排列。</w:t>
      </w:r>
      <w:r>
        <w:rPr>
          <w:rFonts w:hint="eastAsia" w:eastAsia="宋体" w:cs="Times New Roman"/>
          <w:b w:val="0"/>
          <w:bCs w:val="0"/>
          <w:color w:val="auto"/>
          <w:sz w:val="24"/>
          <w:szCs w:val="22"/>
          <w:highlight w:val="none"/>
          <w:lang w:val="en-US" w:eastAsia="zh-CN"/>
        </w:rPr>
        <w:t>响应</w:t>
      </w:r>
      <w:r>
        <w:rPr>
          <w:rFonts w:hint="eastAsia" w:eastAsia="宋体" w:cs="Times New Roman"/>
          <w:b w:val="0"/>
          <w:bCs w:val="0"/>
          <w:color w:val="auto"/>
          <w:sz w:val="24"/>
          <w:szCs w:val="22"/>
          <w:highlight w:val="none"/>
        </w:rPr>
        <w:t>文件满足</w:t>
      </w:r>
      <w:r>
        <w:rPr>
          <w:rFonts w:hint="eastAsia" w:eastAsia="宋体" w:cs="Times New Roman"/>
          <w:b w:val="0"/>
          <w:bCs w:val="0"/>
          <w:color w:val="auto"/>
          <w:sz w:val="24"/>
          <w:szCs w:val="22"/>
          <w:highlight w:val="none"/>
          <w:lang w:val="en-US" w:eastAsia="zh-CN"/>
        </w:rPr>
        <w:t>采购</w:t>
      </w:r>
      <w:r>
        <w:rPr>
          <w:rFonts w:hint="eastAsia" w:eastAsia="宋体" w:cs="Times New Roman"/>
          <w:b w:val="0"/>
          <w:bCs w:val="0"/>
          <w:color w:val="auto"/>
          <w:sz w:val="24"/>
          <w:szCs w:val="22"/>
          <w:highlight w:val="none"/>
        </w:rPr>
        <w:t>文件全部实质性要求，且按照评审因素的量化指标评审得分最高的</w:t>
      </w:r>
      <w:r>
        <w:rPr>
          <w:rFonts w:hint="eastAsia" w:cs="Times New Roman"/>
          <w:b w:val="0"/>
          <w:bCs w:val="0"/>
          <w:color w:val="auto"/>
          <w:sz w:val="24"/>
          <w:szCs w:val="22"/>
          <w:highlight w:val="none"/>
          <w:lang w:eastAsia="zh-CN"/>
        </w:rPr>
        <w:t>投标供应商</w:t>
      </w:r>
      <w:r>
        <w:rPr>
          <w:rFonts w:hint="eastAsia" w:eastAsia="宋体" w:cs="Times New Roman"/>
          <w:b w:val="0"/>
          <w:bCs w:val="0"/>
          <w:color w:val="auto"/>
          <w:sz w:val="24"/>
          <w:szCs w:val="22"/>
          <w:highlight w:val="none"/>
        </w:rPr>
        <w:t>为排名第一的中标候选人。</w:t>
      </w:r>
    </w:p>
    <w:p w14:paraId="250E5C61">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562" w:firstLineChars="200"/>
        <w:textAlignment w:val="auto"/>
        <w:outlineLvl w:val="2"/>
        <w:rPr>
          <w:rFonts w:hint="eastAsia" w:ascii="宋体" w:hAnsi="宋体" w:eastAsia="宋体" w:cs="宋体"/>
          <w:b/>
          <w:bCs/>
          <w:color w:val="auto"/>
          <w:sz w:val="28"/>
          <w:szCs w:val="28"/>
          <w:highlight w:val="none"/>
          <w:lang w:val="en-US" w:eastAsia="zh-CN"/>
        </w:rPr>
      </w:pPr>
      <w:bookmarkStart w:id="216" w:name="_Toc26597"/>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评分标准</w:t>
      </w:r>
      <w:bookmarkEnd w:id="216"/>
    </w:p>
    <w:p w14:paraId="6DA64FD9">
      <w:pPr>
        <w:spacing w:line="360" w:lineRule="auto"/>
        <w:ind w:left="0" w:leftChars="0" w:firstLine="562" w:firstLineChars="200"/>
        <w:outlineLvl w:val="2"/>
        <w:rPr>
          <w:rFonts w:hint="eastAsia"/>
          <w:color w:val="auto"/>
          <w:highlight w:val="none"/>
        </w:rPr>
      </w:pPr>
      <w:bookmarkStart w:id="217" w:name="_Toc7990"/>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评分因素</w:t>
      </w:r>
      <w:bookmarkEnd w:id="217"/>
    </w:p>
    <w:p w14:paraId="061DAFD8">
      <w:pPr>
        <w:spacing w:line="360" w:lineRule="auto"/>
        <w:ind w:left="0" w:leftChars="0" w:firstLine="480" w:firstLineChars="200"/>
        <w:rPr>
          <w:rFonts w:hint="eastAsia"/>
          <w:b/>
          <w:bCs/>
          <w:color w:val="auto"/>
          <w:sz w:val="28"/>
          <w:szCs w:val="28"/>
          <w:highlight w:val="none"/>
        </w:rPr>
      </w:pPr>
      <w:r>
        <w:rPr>
          <w:rFonts w:hint="eastAsia"/>
          <w:color w:val="auto"/>
          <w:highlight w:val="none"/>
        </w:rPr>
        <w:t>评分的主要因素分为价格因素、技术因素和商务因素。评分因素详见评分表。评标分值保留至两位小数。评标时，评标专家依照评分表对每个有效</w:t>
      </w:r>
      <w:r>
        <w:rPr>
          <w:rFonts w:hint="eastAsia"/>
          <w:color w:val="auto"/>
          <w:highlight w:val="none"/>
          <w:lang w:eastAsia="zh-CN"/>
        </w:rPr>
        <w:t>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文件进行独立评审、打分。</w:t>
      </w:r>
    </w:p>
    <w:p w14:paraId="095DC7BA">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562" w:firstLineChars="200"/>
        <w:textAlignment w:val="auto"/>
        <w:outlineLvl w:val="2"/>
        <w:rPr>
          <w:rFonts w:hint="eastAsia" w:eastAsia="宋体" w:cs="Times New Roman"/>
          <w:b w:val="0"/>
          <w:bCs w:val="0"/>
          <w:color w:val="auto"/>
          <w:sz w:val="24"/>
          <w:szCs w:val="22"/>
          <w:highlight w:val="none"/>
        </w:rPr>
      </w:pPr>
      <w:bookmarkStart w:id="218" w:name="_Toc2167"/>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评分标准</w:t>
      </w:r>
      <w:bookmarkEnd w:id="218"/>
    </w:p>
    <w:p w14:paraId="4B77F7B1">
      <w:pPr>
        <w:spacing w:line="360" w:lineRule="auto"/>
        <w:ind w:left="0" w:leftChars="0" w:firstLine="480" w:firstLineChars="200"/>
        <w:rPr>
          <w:rFonts w:hint="eastAsia" w:asciiTheme="minorEastAsia" w:hAnsiTheme="minorEastAsia" w:eastAsiaTheme="minorEastAsia" w:cstheme="minorEastAsia"/>
          <w:b w:val="0"/>
          <w:bCs w:val="0"/>
          <w:color w:val="auto"/>
          <w:sz w:val="24"/>
          <w:szCs w:val="22"/>
          <w:highlight w:val="none"/>
        </w:rPr>
      </w:pPr>
      <w:r>
        <w:rPr>
          <w:rFonts w:hint="eastAsia" w:asciiTheme="minorEastAsia" w:hAnsiTheme="minorEastAsia" w:eastAsiaTheme="minorEastAsia" w:cstheme="minorEastAsia"/>
          <w:b w:val="0"/>
          <w:bCs w:val="0"/>
          <w:color w:val="auto"/>
          <w:sz w:val="24"/>
          <w:szCs w:val="22"/>
          <w:highlight w:val="none"/>
        </w:rPr>
        <w:t>1.资格性审查表：资格审查人负责资格性审查</w:t>
      </w:r>
    </w:p>
    <w:p w14:paraId="6790FC90">
      <w:pPr>
        <w:spacing w:line="360" w:lineRule="auto"/>
        <w:ind w:left="0" w:leftChars="0" w:firstLine="480" w:firstLineChars="200"/>
        <w:rPr>
          <w:color w:val="auto"/>
          <w:highlight w:val="none"/>
        </w:rPr>
      </w:pPr>
      <w:r>
        <w:rPr>
          <w:rFonts w:hint="eastAsia" w:asciiTheme="minorEastAsia" w:hAnsiTheme="minorEastAsia" w:eastAsiaTheme="minorEastAsia" w:cstheme="minorEastAsia"/>
          <w:b w:val="0"/>
          <w:bCs w:val="0"/>
          <w:color w:val="auto"/>
          <w:sz w:val="24"/>
          <w:szCs w:val="22"/>
          <w:highlight w:val="none"/>
        </w:rPr>
        <w:t>2.符合性审查表：评标委员会负责符合性审查</w:t>
      </w:r>
    </w:p>
    <w:p w14:paraId="3B78387A">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562" w:firstLineChars="200"/>
        <w:textAlignment w:val="auto"/>
        <w:outlineLvl w:val="2"/>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3、价格扣除政策</w:t>
      </w:r>
    </w:p>
    <w:p w14:paraId="0015DF36">
      <w:pPr>
        <w:spacing w:line="360" w:lineRule="auto"/>
        <w:ind w:left="0" w:leftChars="0" w:firstLine="480" w:firstLineChars="200"/>
        <w:rPr>
          <w:rFonts w:hint="eastAsia" w:asciiTheme="minorEastAsia" w:hAnsiTheme="minorEastAsia" w:eastAsiaTheme="minorEastAsia" w:cstheme="minorEastAsia"/>
          <w:b w:val="0"/>
          <w:bCs w:val="0"/>
          <w:color w:val="auto"/>
          <w:sz w:val="24"/>
          <w:szCs w:val="22"/>
          <w:highlight w:val="none"/>
          <w:lang w:val="en-US" w:eastAsia="zh-CN"/>
        </w:rPr>
      </w:pPr>
      <w:r>
        <w:rPr>
          <w:rFonts w:hint="eastAsia" w:asciiTheme="minorEastAsia" w:hAnsiTheme="minorEastAsia" w:eastAsiaTheme="minorEastAsia" w:cstheme="minorEastAsia"/>
          <w:b w:val="0"/>
          <w:bCs w:val="0"/>
          <w:color w:val="auto"/>
          <w:sz w:val="24"/>
          <w:szCs w:val="22"/>
          <w:highlight w:val="none"/>
          <w:lang w:val="en-US" w:eastAsia="zh-CN"/>
        </w:rPr>
        <w:t>根据《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及相关规定，在通过资格、符合性审查的前提下，本项目对享受价格扣除政策企业（小型和微型企业）的产品给予</w:t>
      </w:r>
      <w:r>
        <w:rPr>
          <w:rFonts w:hint="eastAsia" w:asciiTheme="minorEastAsia" w:hAnsiTheme="minorEastAsia" w:eastAsiaTheme="minorEastAsia" w:cstheme="minorEastAsia"/>
          <w:b/>
          <w:bCs/>
          <w:color w:val="auto"/>
          <w:sz w:val="24"/>
          <w:szCs w:val="22"/>
          <w:highlight w:val="none"/>
          <w:lang w:val="en-US" w:eastAsia="zh-CN"/>
        </w:rPr>
        <w:t>10%</w:t>
      </w:r>
      <w:r>
        <w:rPr>
          <w:rFonts w:hint="eastAsia" w:asciiTheme="minorEastAsia" w:hAnsiTheme="minorEastAsia" w:eastAsiaTheme="minorEastAsia" w:cstheme="minorEastAsia"/>
          <w:b w:val="0"/>
          <w:bCs w:val="0"/>
          <w:color w:val="auto"/>
          <w:sz w:val="24"/>
          <w:szCs w:val="22"/>
          <w:highlight w:val="none"/>
          <w:lang w:val="en-US" w:eastAsia="zh-CN"/>
        </w:rPr>
        <w:t>的价格扣除，用扣除后的价格参与评审（说明：1、监狱企业视同小型、微型企业，享受预留份额、评审中价格扣除等政府采购促进中小企业发展的政府采购政策；残疾人福利性单位视同小型、微型企业，享受预留份额、评审中价格扣除等促进中小企业发展的政府采购政策。残疾人福利性单位属于小型、微型企业的，不重复享受政策）</w:t>
      </w:r>
    </w:p>
    <w:p w14:paraId="6BD843C9">
      <w:pPr>
        <w:spacing w:line="360" w:lineRule="auto"/>
        <w:ind w:left="0" w:leftChars="0" w:firstLine="480" w:firstLineChars="200"/>
        <w:rPr>
          <w:rFonts w:hint="eastAsia" w:asciiTheme="minorEastAsia" w:hAnsiTheme="minorEastAsia" w:eastAsiaTheme="minorEastAsia" w:cstheme="minorEastAsia"/>
          <w:b w:val="0"/>
          <w:bCs w:val="0"/>
          <w:color w:val="auto"/>
          <w:sz w:val="24"/>
          <w:szCs w:val="22"/>
          <w:highlight w:val="none"/>
          <w:lang w:val="en-US" w:eastAsia="zh-CN"/>
        </w:rPr>
      </w:pPr>
      <w:r>
        <w:rPr>
          <w:rFonts w:hint="eastAsia" w:asciiTheme="minorEastAsia" w:hAnsiTheme="minorEastAsia" w:eastAsiaTheme="minorEastAsia" w:cstheme="minorEastAsia"/>
          <w:b w:val="0"/>
          <w:bCs w:val="0"/>
          <w:color w:val="auto"/>
          <w:sz w:val="24"/>
          <w:szCs w:val="22"/>
          <w:highlight w:val="none"/>
          <w:lang w:val="en-US" w:eastAsia="zh-CN"/>
        </w:rPr>
        <w:t>本项目采购标的对应的中小企业划分标准所属行业为：</w:t>
      </w:r>
      <w:r>
        <w:rPr>
          <w:rFonts w:hint="eastAsia" w:ascii="宋体" w:hAnsi="宋体" w:eastAsia="宋体" w:cs="宋体"/>
          <w:color w:val="auto"/>
          <w:kern w:val="2"/>
          <w:sz w:val="24"/>
          <w:szCs w:val="24"/>
          <w:highlight w:val="none"/>
          <w:u w:val="none"/>
          <w:lang w:val="en-US" w:eastAsia="zh-CN" w:bidi="ar-SA"/>
        </w:rPr>
        <w:t>软件和信息技术服务业</w:t>
      </w:r>
      <w:r>
        <w:rPr>
          <w:rFonts w:hint="eastAsia" w:asciiTheme="minorEastAsia" w:hAnsiTheme="minorEastAsia" w:eastAsiaTheme="minorEastAsia" w:cstheme="minorEastAsia"/>
          <w:b w:val="0"/>
          <w:bCs w:val="0"/>
          <w:color w:val="auto"/>
          <w:sz w:val="24"/>
          <w:szCs w:val="22"/>
          <w:highlight w:val="none"/>
          <w:lang w:val="en-US" w:eastAsia="zh-CN"/>
        </w:rPr>
        <w:t>。</w:t>
      </w:r>
    </w:p>
    <w:p w14:paraId="36BBEE4F">
      <w:pPr>
        <w:spacing w:line="360" w:lineRule="auto"/>
        <w:ind w:left="0" w:leftChars="0" w:firstLine="480" w:firstLineChars="200"/>
        <w:rPr>
          <w:rFonts w:hint="eastAsia" w:asciiTheme="minorEastAsia" w:hAnsiTheme="minorEastAsia" w:eastAsiaTheme="minorEastAsia" w:cstheme="minorEastAsia"/>
          <w:b w:val="0"/>
          <w:bCs w:val="0"/>
          <w:color w:val="auto"/>
          <w:sz w:val="24"/>
          <w:szCs w:val="22"/>
          <w:highlight w:val="none"/>
          <w:lang w:val="en-US" w:eastAsia="zh-CN"/>
        </w:rPr>
      </w:pPr>
      <w:r>
        <w:rPr>
          <w:rFonts w:hint="eastAsia" w:asciiTheme="minorEastAsia" w:hAnsiTheme="minorEastAsia" w:eastAsiaTheme="minorEastAsia" w:cstheme="minorEastAsia"/>
          <w:b w:val="0"/>
          <w:bCs w:val="0"/>
          <w:color w:val="auto"/>
          <w:sz w:val="24"/>
          <w:szCs w:val="22"/>
          <w:highlight w:val="none"/>
          <w:lang w:val="en-US" w:eastAsia="zh-CN"/>
        </w:rPr>
        <w:t>所投产品制造商为小微企业的，投标供应商提供中小企业声明函（格式详见响应文件格式中的优惠性政策声明函-中小企业声明函（货物）），监狱企业提供省级以上监狱管理局、戒毒管理局（含新疆生产建设兵团）出具的证明其属于监狱企业的文件；残疾人福利性单位提供《残疾人福利性单位声明函》。以上声明函或证明文件所载内容必须真实，如有虚假，将依法承担相应责任，包括取消中标资格等。</w:t>
      </w:r>
    </w:p>
    <w:p w14:paraId="4929655C">
      <w:pPr>
        <w:spacing w:line="360" w:lineRule="auto"/>
        <w:ind w:left="0" w:leftChars="0" w:firstLine="480" w:firstLineChars="200"/>
        <w:rPr>
          <w:rFonts w:hint="eastAsia" w:asciiTheme="minorEastAsia" w:hAnsiTheme="minorEastAsia" w:eastAsiaTheme="minorEastAsia" w:cstheme="minorEastAsia"/>
          <w:b w:val="0"/>
          <w:bCs w:val="0"/>
          <w:color w:val="auto"/>
          <w:sz w:val="24"/>
          <w:szCs w:val="22"/>
          <w:highlight w:val="none"/>
          <w:lang w:val="en-US" w:eastAsia="zh-CN"/>
        </w:rPr>
        <w:sectPr>
          <w:footerReference r:id="rId13" w:type="default"/>
          <w:pgSz w:w="12240" w:h="15840"/>
          <w:pgMar w:top="1440" w:right="1080" w:bottom="1440" w:left="1080" w:header="0" w:footer="720"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Theme="minorEastAsia" w:hAnsiTheme="minorEastAsia" w:eastAsiaTheme="minorEastAsia" w:cstheme="minorEastAsia"/>
          <w:b w:val="0"/>
          <w:bCs w:val="0"/>
          <w:color w:val="auto"/>
          <w:sz w:val="24"/>
          <w:szCs w:val="22"/>
          <w:highlight w:val="none"/>
          <w:lang w:val="en-US" w:eastAsia="zh-CN"/>
        </w:rPr>
        <w:t>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14:paraId="6E250AD8">
      <w:pPr>
        <w:pStyle w:val="6"/>
        <w:ind w:left="480"/>
        <w:jc w:val="center"/>
        <w:rPr>
          <w:rFonts w:hint="eastAsia"/>
          <w:color w:val="auto"/>
          <w:highlight w:val="none"/>
        </w:rPr>
      </w:pPr>
      <w:bookmarkStart w:id="219" w:name="_Toc1963"/>
      <w:bookmarkStart w:id="220" w:name="_Toc7460"/>
      <w:bookmarkStart w:id="221" w:name="_Toc5719"/>
      <w:bookmarkStart w:id="222" w:name="_Toc3253"/>
      <w:bookmarkStart w:id="223" w:name="_Toc8964"/>
      <w:bookmarkStart w:id="224" w:name="_Toc23109"/>
      <w:r>
        <w:rPr>
          <w:rFonts w:hint="eastAsia"/>
          <w:color w:val="auto"/>
          <w:highlight w:val="none"/>
          <w:lang w:val="en-US"/>
        </w:rPr>
        <w:t xml:space="preserve">第三节 </w:t>
      </w:r>
      <w:r>
        <w:rPr>
          <w:rFonts w:hint="eastAsia"/>
          <w:color w:val="auto"/>
          <w:highlight w:val="none"/>
          <w:lang w:eastAsia="zh-CN"/>
        </w:rPr>
        <w:t>废标</w:t>
      </w:r>
      <w:r>
        <w:rPr>
          <w:rFonts w:hint="eastAsia"/>
          <w:color w:val="auto"/>
          <w:highlight w:val="none"/>
        </w:rPr>
        <w:t>条件</w:t>
      </w:r>
      <w:bookmarkEnd w:id="219"/>
      <w:bookmarkEnd w:id="220"/>
      <w:bookmarkEnd w:id="221"/>
      <w:bookmarkEnd w:id="222"/>
      <w:bookmarkEnd w:id="223"/>
      <w:bookmarkEnd w:id="224"/>
    </w:p>
    <w:p w14:paraId="3F05486C">
      <w:pPr>
        <w:pStyle w:val="13"/>
        <w:tabs>
          <w:tab w:val="left" w:pos="8400"/>
        </w:tabs>
        <w:spacing w:before="200" w:line="620" w:lineRule="atLeast"/>
        <w:ind w:left="1620" w:right="797"/>
        <w:rPr>
          <w:color w:val="auto"/>
          <w:highlight w:val="none"/>
        </w:rPr>
      </w:pPr>
      <w:bookmarkStart w:id="225" w:name="_Toc31472"/>
      <w:bookmarkStart w:id="226" w:name="_Toc20654"/>
      <w:bookmarkStart w:id="227" w:name="_Toc17319"/>
      <w:bookmarkStart w:id="228" w:name="_Toc19651"/>
      <w:r>
        <w:rPr>
          <w:color w:val="auto"/>
          <w:highlight w:val="none"/>
        </w:rPr>
        <w:t>出现下列情形之一的，本项目作废标处理</w:t>
      </w:r>
      <w:r>
        <w:rPr>
          <w:rFonts w:hint="eastAsia"/>
          <w:color w:val="auto"/>
          <w:highlight w:val="none"/>
          <w:lang w:eastAsia="zh-CN"/>
        </w:rPr>
        <w:t>，</w:t>
      </w:r>
      <w:r>
        <w:rPr>
          <w:color w:val="auto"/>
          <w:highlight w:val="none"/>
        </w:rPr>
        <w:t>项目评审终止：</w:t>
      </w:r>
    </w:p>
    <w:p w14:paraId="488AABC5">
      <w:pPr>
        <w:pStyle w:val="13"/>
        <w:tabs>
          <w:tab w:val="left" w:pos="6720"/>
        </w:tabs>
        <w:spacing w:before="200" w:line="620" w:lineRule="atLeast"/>
        <w:ind w:left="1620" w:right="77"/>
        <w:rPr>
          <w:color w:val="auto"/>
          <w:highlight w:val="none"/>
        </w:rPr>
      </w:pPr>
      <w:r>
        <w:rPr>
          <w:rFonts w:hint="eastAsia"/>
          <w:color w:val="auto"/>
          <w:highlight w:val="none"/>
          <w:lang w:val="en-US" w:eastAsia="zh-CN"/>
        </w:rPr>
        <w:t>1.</w:t>
      </w:r>
      <w:r>
        <w:rPr>
          <w:color w:val="auto"/>
          <w:highlight w:val="none"/>
        </w:rPr>
        <w:t>符合专业条件的或对采购文件作实质响应的有效</w:t>
      </w:r>
      <w:r>
        <w:rPr>
          <w:rFonts w:hint="eastAsia"/>
          <w:color w:val="auto"/>
          <w:highlight w:val="none"/>
          <w:lang w:eastAsia="zh-CN"/>
        </w:rPr>
        <w:t>供应商</w:t>
      </w:r>
      <w:r>
        <w:rPr>
          <w:color w:val="auto"/>
          <w:highlight w:val="none"/>
        </w:rPr>
        <w:t>不足三家的；</w:t>
      </w:r>
    </w:p>
    <w:p w14:paraId="37702639">
      <w:pPr>
        <w:pStyle w:val="46"/>
        <w:numPr>
          <w:ilvl w:val="0"/>
          <w:numId w:val="0"/>
        </w:numPr>
        <w:tabs>
          <w:tab w:val="left" w:pos="1861"/>
        </w:tabs>
        <w:spacing w:before="165" w:after="0" w:line="240" w:lineRule="auto"/>
        <w:ind w:right="0" w:rightChars="0" w:firstLine="480" w:firstLineChars="200"/>
        <w:jc w:val="left"/>
        <w:rPr>
          <w:color w:val="auto"/>
          <w:sz w:val="24"/>
          <w:highlight w:val="none"/>
        </w:rPr>
      </w:pPr>
      <w:r>
        <w:rPr>
          <w:rFonts w:hint="eastAsia"/>
          <w:color w:val="auto"/>
          <w:sz w:val="24"/>
          <w:highlight w:val="none"/>
          <w:lang w:val="en-US" w:eastAsia="zh-CN"/>
        </w:rPr>
        <w:t>2.</w:t>
      </w:r>
      <w:r>
        <w:rPr>
          <w:color w:val="auto"/>
          <w:sz w:val="24"/>
          <w:highlight w:val="none"/>
        </w:rPr>
        <w:t>出现影响采购公正的违法、违规行为的；</w:t>
      </w:r>
    </w:p>
    <w:p w14:paraId="45318CAF">
      <w:pPr>
        <w:pStyle w:val="46"/>
        <w:numPr>
          <w:ilvl w:val="0"/>
          <w:numId w:val="0"/>
        </w:numPr>
        <w:tabs>
          <w:tab w:val="left" w:pos="1861"/>
        </w:tabs>
        <w:spacing w:before="160" w:after="0" w:line="240" w:lineRule="auto"/>
        <w:ind w:leftChars="200" w:right="0" w:rightChars="0"/>
        <w:jc w:val="left"/>
        <w:rPr>
          <w:color w:val="auto"/>
          <w:sz w:val="24"/>
          <w:highlight w:val="none"/>
        </w:rPr>
      </w:pPr>
      <w:r>
        <w:rPr>
          <w:rFonts w:hint="eastAsia"/>
          <w:color w:val="auto"/>
          <w:sz w:val="24"/>
          <w:highlight w:val="none"/>
          <w:lang w:val="en-US" w:eastAsia="zh-CN"/>
        </w:rPr>
        <w:t>3.</w:t>
      </w:r>
      <w:r>
        <w:rPr>
          <w:rFonts w:hint="eastAsia"/>
          <w:color w:val="auto"/>
          <w:sz w:val="24"/>
          <w:highlight w:val="none"/>
          <w:lang w:eastAsia="zh-CN"/>
        </w:rPr>
        <w:t>供应商</w:t>
      </w:r>
      <w:r>
        <w:rPr>
          <w:color w:val="auto"/>
          <w:sz w:val="24"/>
          <w:highlight w:val="none"/>
        </w:rPr>
        <w:t>报价均超过了采购预算，采购人不能支付的；</w:t>
      </w:r>
    </w:p>
    <w:p w14:paraId="708A12A6">
      <w:pPr>
        <w:pStyle w:val="46"/>
        <w:numPr>
          <w:ilvl w:val="0"/>
          <w:numId w:val="0"/>
        </w:numPr>
        <w:tabs>
          <w:tab w:val="left" w:pos="1861"/>
        </w:tabs>
        <w:spacing w:before="161" w:after="0" w:line="240" w:lineRule="auto"/>
        <w:ind w:leftChars="200" w:right="0" w:rightChars="0"/>
        <w:jc w:val="left"/>
        <w:rPr>
          <w:color w:val="auto"/>
          <w:sz w:val="24"/>
          <w:highlight w:val="none"/>
        </w:rPr>
      </w:pPr>
      <w:r>
        <w:rPr>
          <w:rFonts w:hint="eastAsia"/>
          <w:color w:val="auto"/>
          <w:sz w:val="24"/>
          <w:highlight w:val="none"/>
          <w:lang w:val="en-US" w:eastAsia="zh-CN"/>
        </w:rPr>
        <w:t>4.</w:t>
      </w:r>
      <w:r>
        <w:rPr>
          <w:color w:val="auto"/>
          <w:sz w:val="24"/>
          <w:highlight w:val="none"/>
        </w:rPr>
        <w:t>因重大变故，采购任务取消的；</w:t>
      </w:r>
    </w:p>
    <w:p w14:paraId="1386419F">
      <w:pPr>
        <w:pStyle w:val="46"/>
        <w:numPr>
          <w:ilvl w:val="0"/>
          <w:numId w:val="0"/>
        </w:numPr>
        <w:tabs>
          <w:tab w:val="left" w:pos="1861"/>
        </w:tabs>
        <w:spacing w:before="160" w:after="0" w:line="240" w:lineRule="auto"/>
        <w:ind w:leftChars="200" w:right="0" w:rightChars="0"/>
        <w:jc w:val="left"/>
        <w:rPr>
          <w:color w:val="auto"/>
          <w:sz w:val="24"/>
          <w:highlight w:val="none"/>
        </w:rPr>
      </w:pPr>
      <w:r>
        <w:rPr>
          <w:rFonts w:hint="eastAsia"/>
          <w:color w:val="auto"/>
          <w:sz w:val="24"/>
          <w:highlight w:val="none"/>
          <w:lang w:val="en-US" w:eastAsia="zh-CN"/>
        </w:rPr>
        <w:t>5.</w:t>
      </w:r>
      <w:r>
        <w:rPr>
          <w:color w:val="auto"/>
          <w:sz w:val="24"/>
          <w:highlight w:val="none"/>
        </w:rPr>
        <w:t>法律法规规定的其他情形。</w:t>
      </w:r>
    </w:p>
    <w:p w14:paraId="57AB13C6">
      <w:pPr>
        <w:pStyle w:val="13"/>
        <w:rPr>
          <w:color w:val="auto"/>
          <w:highlight w:val="none"/>
        </w:rPr>
      </w:pPr>
    </w:p>
    <w:p w14:paraId="317284F8">
      <w:pPr>
        <w:pStyle w:val="13"/>
        <w:rPr>
          <w:color w:val="auto"/>
          <w:highlight w:val="none"/>
        </w:rPr>
      </w:pPr>
    </w:p>
    <w:p w14:paraId="69F38E24">
      <w:pPr>
        <w:pStyle w:val="13"/>
        <w:rPr>
          <w:color w:val="auto"/>
          <w:highlight w:val="none"/>
        </w:rPr>
      </w:pPr>
    </w:p>
    <w:p w14:paraId="0EE520DD">
      <w:pPr>
        <w:pStyle w:val="13"/>
        <w:rPr>
          <w:color w:val="auto"/>
          <w:highlight w:val="none"/>
        </w:rPr>
      </w:pPr>
    </w:p>
    <w:p w14:paraId="64BFFF95">
      <w:pPr>
        <w:pStyle w:val="9"/>
        <w:spacing w:before="155"/>
        <w:outlineLvl w:val="1"/>
        <w:rPr>
          <w:b/>
          <w:bCs/>
          <w:color w:val="auto"/>
          <w:highlight w:val="none"/>
        </w:rPr>
      </w:pPr>
      <w:bookmarkStart w:id="229" w:name="第四节 无效标条款"/>
      <w:bookmarkEnd w:id="229"/>
      <w:bookmarkStart w:id="230" w:name="_Toc19097"/>
      <w:r>
        <w:rPr>
          <w:b/>
          <w:bCs/>
          <w:color w:val="auto"/>
          <w:highlight w:val="none"/>
        </w:rPr>
        <w:t>第四节 无效标条款</w:t>
      </w:r>
      <w:bookmarkEnd w:id="230"/>
    </w:p>
    <w:p w14:paraId="0EF31F1B">
      <w:pPr>
        <w:pStyle w:val="13"/>
        <w:spacing w:before="11"/>
        <w:rPr>
          <w:color w:val="auto"/>
          <w:sz w:val="39"/>
          <w:highlight w:val="none"/>
        </w:rPr>
      </w:pPr>
    </w:p>
    <w:p w14:paraId="740D5A5C">
      <w:pPr>
        <w:pStyle w:val="13"/>
        <w:spacing w:before="2" w:line="360" w:lineRule="auto"/>
        <w:outlineLvl w:val="9"/>
        <w:rPr>
          <w:rFonts w:hint="eastAsia"/>
          <w:color w:val="auto"/>
          <w:spacing w:val="-8"/>
          <w:highlight w:val="none"/>
        </w:rPr>
      </w:pPr>
      <w:r>
        <w:rPr>
          <w:color w:val="auto"/>
          <w:spacing w:val="-8"/>
          <w:highlight w:val="none"/>
        </w:rPr>
        <w:t>出现下列情形之一的，</w:t>
      </w:r>
      <w:r>
        <w:rPr>
          <w:rFonts w:hint="eastAsia"/>
          <w:color w:val="auto"/>
          <w:spacing w:val="-8"/>
          <w:highlight w:val="none"/>
        </w:rPr>
        <w:t>供应商递交的</w:t>
      </w:r>
      <w:r>
        <w:rPr>
          <w:rFonts w:hint="eastAsia"/>
          <w:color w:val="auto"/>
          <w:spacing w:val="-8"/>
          <w:highlight w:val="none"/>
          <w:lang w:val="en-US" w:eastAsia="zh-CN"/>
        </w:rPr>
        <w:t>响应</w:t>
      </w:r>
      <w:r>
        <w:rPr>
          <w:rFonts w:hint="eastAsia"/>
          <w:color w:val="auto"/>
          <w:spacing w:val="-8"/>
          <w:highlight w:val="none"/>
        </w:rPr>
        <w:t>文件作无效标处理，该供应商的</w:t>
      </w:r>
      <w:r>
        <w:rPr>
          <w:rFonts w:hint="eastAsia"/>
          <w:color w:val="auto"/>
          <w:spacing w:val="-8"/>
          <w:highlight w:val="none"/>
          <w:lang w:val="en-US" w:eastAsia="zh-CN"/>
        </w:rPr>
        <w:t>响应</w:t>
      </w:r>
      <w:r>
        <w:rPr>
          <w:rFonts w:hint="eastAsia"/>
          <w:color w:val="auto"/>
          <w:spacing w:val="-8"/>
          <w:highlight w:val="none"/>
        </w:rPr>
        <w:t>文件不参与评审，且不计算入</w:t>
      </w:r>
      <w:r>
        <w:rPr>
          <w:rFonts w:hint="eastAsia"/>
          <w:color w:val="auto"/>
          <w:spacing w:val="-8"/>
          <w:highlight w:val="none"/>
          <w:lang w:eastAsia="zh-CN"/>
        </w:rPr>
        <w:t>投标供应商</w:t>
      </w:r>
      <w:r>
        <w:rPr>
          <w:rFonts w:hint="eastAsia"/>
          <w:color w:val="auto"/>
          <w:spacing w:val="-8"/>
          <w:highlight w:val="none"/>
        </w:rPr>
        <w:t>家数：</w:t>
      </w:r>
    </w:p>
    <w:p w14:paraId="7AC6AB2D">
      <w:pPr>
        <w:pStyle w:val="13"/>
        <w:spacing w:before="2" w:line="360" w:lineRule="auto"/>
        <w:ind w:left="1624"/>
        <w:outlineLvl w:val="9"/>
        <w:rPr>
          <w:rFonts w:hint="eastAsia"/>
          <w:color w:val="auto"/>
          <w:spacing w:val="-8"/>
          <w:highlight w:val="none"/>
        </w:rPr>
      </w:pPr>
      <w:r>
        <w:rPr>
          <w:rFonts w:hint="eastAsia"/>
          <w:color w:val="auto"/>
          <w:spacing w:val="-8"/>
          <w:highlight w:val="none"/>
        </w:rPr>
        <w:t>（一）递交的</w:t>
      </w:r>
      <w:r>
        <w:rPr>
          <w:rFonts w:hint="eastAsia"/>
          <w:color w:val="auto"/>
          <w:spacing w:val="-8"/>
          <w:highlight w:val="none"/>
          <w:lang w:val="en-US" w:eastAsia="zh-CN"/>
        </w:rPr>
        <w:t>响应</w:t>
      </w:r>
      <w:r>
        <w:rPr>
          <w:rFonts w:hint="eastAsia"/>
          <w:color w:val="auto"/>
          <w:spacing w:val="-8"/>
          <w:highlight w:val="none"/>
        </w:rPr>
        <w:t>文件不完整或未按采购文件要求加盖公章及签字的；</w:t>
      </w:r>
    </w:p>
    <w:p w14:paraId="0A701F2D">
      <w:pPr>
        <w:pStyle w:val="13"/>
        <w:spacing w:before="2" w:line="360" w:lineRule="auto"/>
        <w:ind w:left="1624"/>
        <w:outlineLvl w:val="9"/>
        <w:rPr>
          <w:rFonts w:hint="eastAsia"/>
          <w:color w:val="auto"/>
          <w:spacing w:val="-8"/>
          <w:highlight w:val="none"/>
        </w:rPr>
      </w:pPr>
      <w:r>
        <w:rPr>
          <w:rFonts w:hint="eastAsia"/>
          <w:color w:val="auto"/>
          <w:spacing w:val="-8"/>
          <w:highlight w:val="none"/>
        </w:rPr>
        <w:t>（二）供应商不符合国家及招标文件规定的资格条件的；</w:t>
      </w:r>
    </w:p>
    <w:p w14:paraId="4B8AF46A">
      <w:pPr>
        <w:pStyle w:val="13"/>
        <w:spacing w:before="2" w:line="360" w:lineRule="auto"/>
        <w:ind w:left="1624"/>
        <w:outlineLvl w:val="9"/>
        <w:rPr>
          <w:rFonts w:hint="eastAsia"/>
          <w:color w:val="auto"/>
          <w:spacing w:val="-8"/>
          <w:highlight w:val="none"/>
        </w:rPr>
      </w:pPr>
      <w:r>
        <w:rPr>
          <w:rFonts w:hint="eastAsia"/>
          <w:color w:val="auto"/>
          <w:spacing w:val="-8"/>
          <w:highlight w:val="none"/>
        </w:rPr>
        <w:t>（三）项目接受联合体投标时，投标联合体未提交联合投标协议的；</w:t>
      </w:r>
    </w:p>
    <w:p w14:paraId="58D471A1">
      <w:pPr>
        <w:pStyle w:val="13"/>
        <w:spacing w:before="2" w:line="360" w:lineRule="auto"/>
        <w:ind w:left="1624"/>
        <w:outlineLvl w:val="9"/>
        <w:rPr>
          <w:rFonts w:hint="eastAsia"/>
          <w:color w:val="auto"/>
          <w:spacing w:val="-8"/>
          <w:highlight w:val="none"/>
        </w:rPr>
      </w:pPr>
      <w:r>
        <w:rPr>
          <w:rFonts w:hint="eastAsia"/>
          <w:color w:val="auto"/>
          <w:spacing w:val="-8"/>
          <w:highlight w:val="none"/>
        </w:rPr>
        <w:t>（四）投标报价被评审委员会认定低于成本价的；</w:t>
      </w:r>
    </w:p>
    <w:p w14:paraId="7ECF9DD8">
      <w:pPr>
        <w:pStyle w:val="13"/>
        <w:spacing w:before="2" w:line="360" w:lineRule="auto"/>
        <w:ind w:left="1624"/>
        <w:outlineLvl w:val="9"/>
        <w:rPr>
          <w:rFonts w:hint="eastAsia"/>
          <w:color w:val="auto"/>
          <w:spacing w:val="-8"/>
          <w:highlight w:val="none"/>
        </w:rPr>
      </w:pPr>
      <w:r>
        <w:rPr>
          <w:rFonts w:hint="eastAsia"/>
          <w:color w:val="auto"/>
          <w:spacing w:val="-8"/>
          <w:highlight w:val="none"/>
        </w:rPr>
        <w:t>（五）投标报价高于财政采购预算采购人无法支付的；</w:t>
      </w:r>
    </w:p>
    <w:p w14:paraId="363DC428">
      <w:pPr>
        <w:pStyle w:val="13"/>
        <w:spacing w:before="2" w:line="360" w:lineRule="auto"/>
        <w:ind w:left="1624"/>
        <w:outlineLvl w:val="9"/>
        <w:rPr>
          <w:rFonts w:hint="eastAsia"/>
          <w:color w:val="auto"/>
          <w:spacing w:val="-8"/>
          <w:highlight w:val="none"/>
        </w:rPr>
      </w:pPr>
      <w:r>
        <w:rPr>
          <w:rFonts w:hint="eastAsia"/>
          <w:color w:val="auto"/>
          <w:spacing w:val="-8"/>
          <w:highlight w:val="none"/>
        </w:rPr>
        <w:t>（六）</w:t>
      </w:r>
      <w:r>
        <w:rPr>
          <w:rFonts w:hint="eastAsia"/>
          <w:color w:val="auto"/>
          <w:spacing w:val="-8"/>
          <w:highlight w:val="none"/>
          <w:lang w:val="en-US" w:eastAsia="zh-CN"/>
        </w:rPr>
        <w:t>响应</w:t>
      </w:r>
      <w:r>
        <w:rPr>
          <w:rFonts w:hint="eastAsia"/>
          <w:color w:val="auto"/>
          <w:spacing w:val="-8"/>
          <w:highlight w:val="none"/>
        </w:rPr>
        <w:t>文件对采购文件的实质性要求和条件未作出响应的；</w:t>
      </w:r>
    </w:p>
    <w:p w14:paraId="4C962436">
      <w:pPr>
        <w:pStyle w:val="13"/>
        <w:spacing w:before="2" w:line="360" w:lineRule="auto"/>
        <w:ind w:left="1624"/>
        <w:outlineLvl w:val="9"/>
        <w:rPr>
          <w:rFonts w:hint="eastAsia"/>
          <w:color w:val="auto"/>
          <w:spacing w:val="-8"/>
          <w:highlight w:val="none"/>
        </w:rPr>
      </w:pPr>
      <w:r>
        <w:rPr>
          <w:rFonts w:hint="eastAsia"/>
          <w:color w:val="auto"/>
          <w:spacing w:val="-8"/>
          <w:highlight w:val="none"/>
        </w:rPr>
        <w:t>（七）供应商有串通投标、弄虚作假、行贿等违法行为的；</w:t>
      </w:r>
    </w:p>
    <w:p w14:paraId="25BD49F5">
      <w:pPr>
        <w:pStyle w:val="13"/>
        <w:spacing w:before="2" w:line="360" w:lineRule="auto"/>
        <w:ind w:left="1624"/>
        <w:outlineLvl w:val="9"/>
        <w:rPr>
          <w:rFonts w:hint="eastAsia"/>
          <w:color w:val="auto"/>
          <w:spacing w:val="-8"/>
          <w:highlight w:val="none"/>
        </w:rPr>
      </w:pPr>
      <w:r>
        <w:rPr>
          <w:rFonts w:hint="eastAsia"/>
          <w:color w:val="auto"/>
          <w:spacing w:val="-8"/>
          <w:highlight w:val="none"/>
        </w:rPr>
        <w:t>（八）有下列情形之一的，视为</w:t>
      </w:r>
      <w:r>
        <w:rPr>
          <w:rFonts w:hint="eastAsia"/>
          <w:color w:val="auto"/>
          <w:spacing w:val="-8"/>
          <w:highlight w:val="none"/>
          <w:lang w:eastAsia="zh-CN"/>
        </w:rPr>
        <w:t>投标供应商</w:t>
      </w:r>
      <w:r>
        <w:rPr>
          <w:rFonts w:hint="eastAsia"/>
          <w:color w:val="auto"/>
          <w:spacing w:val="-8"/>
          <w:highlight w:val="none"/>
        </w:rPr>
        <w:t>串通投标，其投标无效：</w:t>
      </w:r>
    </w:p>
    <w:p w14:paraId="7C58780A">
      <w:pPr>
        <w:pStyle w:val="13"/>
        <w:spacing w:before="2" w:line="360" w:lineRule="auto"/>
        <w:ind w:left="1624"/>
        <w:outlineLvl w:val="9"/>
        <w:rPr>
          <w:rFonts w:hint="eastAsia"/>
          <w:color w:val="auto"/>
          <w:spacing w:val="-8"/>
          <w:highlight w:val="none"/>
        </w:rPr>
      </w:pPr>
      <w:r>
        <w:rPr>
          <w:rFonts w:hint="eastAsia"/>
          <w:color w:val="auto"/>
          <w:spacing w:val="-8"/>
          <w:highlight w:val="none"/>
        </w:rPr>
        <w:t>1.不同</w:t>
      </w:r>
      <w:r>
        <w:rPr>
          <w:rFonts w:hint="eastAsia"/>
          <w:color w:val="auto"/>
          <w:spacing w:val="-8"/>
          <w:highlight w:val="none"/>
          <w:lang w:eastAsia="zh-CN"/>
        </w:rPr>
        <w:t>投标供应商</w:t>
      </w:r>
      <w:r>
        <w:rPr>
          <w:rFonts w:hint="eastAsia"/>
          <w:color w:val="auto"/>
          <w:spacing w:val="-8"/>
          <w:highlight w:val="none"/>
        </w:rPr>
        <w:t>的投标文件由同一单位或者个人编制；</w:t>
      </w:r>
    </w:p>
    <w:p w14:paraId="60889CDD">
      <w:pPr>
        <w:pStyle w:val="13"/>
        <w:spacing w:before="2" w:line="360" w:lineRule="auto"/>
        <w:ind w:left="1624"/>
        <w:outlineLvl w:val="9"/>
        <w:rPr>
          <w:rFonts w:hint="eastAsia"/>
          <w:color w:val="auto"/>
          <w:spacing w:val="-8"/>
          <w:highlight w:val="none"/>
        </w:rPr>
      </w:pPr>
      <w:r>
        <w:rPr>
          <w:rFonts w:hint="eastAsia"/>
          <w:color w:val="auto"/>
          <w:spacing w:val="-8"/>
          <w:highlight w:val="none"/>
        </w:rPr>
        <w:t>2.不同</w:t>
      </w:r>
      <w:r>
        <w:rPr>
          <w:rFonts w:hint="eastAsia"/>
          <w:color w:val="auto"/>
          <w:spacing w:val="-8"/>
          <w:highlight w:val="none"/>
          <w:lang w:eastAsia="zh-CN"/>
        </w:rPr>
        <w:t>投标供应商</w:t>
      </w:r>
      <w:r>
        <w:rPr>
          <w:rFonts w:hint="eastAsia"/>
          <w:color w:val="auto"/>
          <w:spacing w:val="-8"/>
          <w:highlight w:val="none"/>
        </w:rPr>
        <w:t>委托同一单位或者个人办理投标事宜；</w:t>
      </w:r>
    </w:p>
    <w:p w14:paraId="7066E97F">
      <w:pPr>
        <w:pStyle w:val="13"/>
        <w:spacing w:before="2" w:line="360" w:lineRule="auto"/>
        <w:ind w:left="1624"/>
        <w:outlineLvl w:val="9"/>
        <w:rPr>
          <w:rFonts w:hint="eastAsia"/>
          <w:color w:val="auto"/>
          <w:spacing w:val="-8"/>
          <w:highlight w:val="none"/>
        </w:rPr>
      </w:pPr>
      <w:r>
        <w:rPr>
          <w:rFonts w:hint="eastAsia"/>
          <w:color w:val="auto"/>
          <w:spacing w:val="-8"/>
          <w:highlight w:val="none"/>
        </w:rPr>
        <w:t>3.不同</w:t>
      </w:r>
      <w:r>
        <w:rPr>
          <w:rFonts w:hint="eastAsia"/>
          <w:color w:val="auto"/>
          <w:spacing w:val="-8"/>
          <w:highlight w:val="none"/>
          <w:lang w:eastAsia="zh-CN"/>
        </w:rPr>
        <w:t>投标供应商</w:t>
      </w:r>
      <w:r>
        <w:rPr>
          <w:rFonts w:hint="eastAsia"/>
          <w:color w:val="auto"/>
          <w:spacing w:val="-8"/>
          <w:highlight w:val="none"/>
        </w:rPr>
        <w:t>的投标文件载明的项目管理成员或者联系人员为同一人；</w:t>
      </w:r>
    </w:p>
    <w:p w14:paraId="3DE2CDA6">
      <w:pPr>
        <w:pStyle w:val="13"/>
        <w:spacing w:before="2" w:line="360" w:lineRule="auto"/>
        <w:ind w:left="1624"/>
        <w:outlineLvl w:val="9"/>
        <w:rPr>
          <w:rFonts w:hint="eastAsia"/>
          <w:color w:val="auto"/>
          <w:spacing w:val="-8"/>
          <w:highlight w:val="none"/>
        </w:rPr>
      </w:pPr>
      <w:r>
        <w:rPr>
          <w:rFonts w:hint="eastAsia"/>
          <w:color w:val="auto"/>
          <w:spacing w:val="-8"/>
          <w:highlight w:val="none"/>
        </w:rPr>
        <w:t>4.不同</w:t>
      </w:r>
      <w:r>
        <w:rPr>
          <w:rFonts w:hint="eastAsia"/>
          <w:color w:val="auto"/>
          <w:spacing w:val="-8"/>
          <w:highlight w:val="none"/>
          <w:lang w:eastAsia="zh-CN"/>
        </w:rPr>
        <w:t>投标供应商</w:t>
      </w:r>
      <w:r>
        <w:rPr>
          <w:rFonts w:hint="eastAsia"/>
          <w:color w:val="auto"/>
          <w:spacing w:val="-8"/>
          <w:highlight w:val="none"/>
        </w:rPr>
        <w:t>的投标文件异常一致或者投标报价呈规律性差异；</w:t>
      </w:r>
    </w:p>
    <w:p w14:paraId="0F9ABFEE">
      <w:pPr>
        <w:pStyle w:val="13"/>
        <w:spacing w:before="2" w:line="360" w:lineRule="auto"/>
        <w:ind w:left="1624"/>
        <w:outlineLvl w:val="9"/>
        <w:rPr>
          <w:rFonts w:hint="eastAsia"/>
          <w:color w:val="auto"/>
          <w:spacing w:val="-8"/>
          <w:highlight w:val="none"/>
        </w:rPr>
      </w:pPr>
      <w:r>
        <w:rPr>
          <w:rFonts w:hint="eastAsia"/>
          <w:color w:val="auto"/>
          <w:spacing w:val="-8"/>
          <w:highlight w:val="none"/>
        </w:rPr>
        <w:t>5.不同</w:t>
      </w:r>
      <w:r>
        <w:rPr>
          <w:rFonts w:hint="eastAsia"/>
          <w:color w:val="auto"/>
          <w:spacing w:val="-8"/>
          <w:highlight w:val="none"/>
          <w:lang w:eastAsia="zh-CN"/>
        </w:rPr>
        <w:t>投标供应商</w:t>
      </w:r>
      <w:r>
        <w:rPr>
          <w:rFonts w:hint="eastAsia"/>
          <w:color w:val="auto"/>
          <w:spacing w:val="-8"/>
          <w:highlight w:val="none"/>
        </w:rPr>
        <w:t>的投标文件相互混装；</w:t>
      </w:r>
    </w:p>
    <w:p w14:paraId="37B803C0">
      <w:pPr>
        <w:pStyle w:val="13"/>
        <w:spacing w:before="2" w:line="360" w:lineRule="auto"/>
        <w:ind w:left="1624"/>
        <w:outlineLvl w:val="9"/>
        <w:rPr>
          <w:rFonts w:hint="eastAsia"/>
          <w:color w:val="auto"/>
          <w:spacing w:val="-8"/>
          <w:highlight w:val="none"/>
        </w:rPr>
      </w:pPr>
      <w:r>
        <w:rPr>
          <w:rFonts w:hint="eastAsia"/>
          <w:color w:val="auto"/>
          <w:spacing w:val="-8"/>
          <w:highlight w:val="none"/>
        </w:rPr>
        <w:t>6.不同</w:t>
      </w:r>
      <w:r>
        <w:rPr>
          <w:rFonts w:hint="eastAsia"/>
          <w:color w:val="auto"/>
          <w:spacing w:val="-8"/>
          <w:highlight w:val="none"/>
          <w:lang w:eastAsia="zh-CN"/>
        </w:rPr>
        <w:t>投标供应商</w:t>
      </w:r>
      <w:r>
        <w:rPr>
          <w:rFonts w:hint="eastAsia"/>
          <w:color w:val="auto"/>
          <w:spacing w:val="-8"/>
          <w:highlight w:val="none"/>
        </w:rPr>
        <w:t>的投标保证金从同一单位或者个人的账户转出。</w:t>
      </w:r>
    </w:p>
    <w:p w14:paraId="01596AB6">
      <w:pPr>
        <w:pStyle w:val="13"/>
        <w:spacing w:before="2" w:line="360" w:lineRule="auto"/>
        <w:ind w:left="1624"/>
        <w:outlineLvl w:val="9"/>
        <w:rPr>
          <w:rFonts w:hint="eastAsia"/>
          <w:color w:val="auto"/>
          <w:spacing w:val="-8"/>
          <w:highlight w:val="none"/>
        </w:rPr>
      </w:pPr>
      <w:r>
        <w:rPr>
          <w:rFonts w:hint="eastAsia"/>
          <w:color w:val="auto"/>
          <w:spacing w:val="-8"/>
          <w:highlight w:val="none"/>
        </w:rPr>
        <w:t>（九）投标文件未胶装成册的（采用打孔装订、活页夹等方式装订的投标文件作为无效投标处理）</w:t>
      </w:r>
      <w:r>
        <w:rPr>
          <w:rFonts w:hint="eastAsia"/>
          <w:color w:val="auto"/>
          <w:spacing w:val="-8"/>
          <w:highlight w:val="none"/>
          <w:lang w:eastAsia="zh-CN"/>
        </w:rPr>
        <w:t>（</w:t>
      </w:r>
      <w:r>
        <w:rPr>
          <w:rFonts w:hint="eastAsia"/>
          <w:color w:val="auto"/>
          <w:spacing w:val="-8"/>
          <w:highlight w:val="none"/>
          <w:lang w:val="en-US" w:eastAsia="zh-CN"/>
        </w:rPr>
        <w:t>电子招标不适用</w:t>
      </w:r>
      <w:r>
        <w:rPr>
          <w:rFonts w:hint="eastAsia"/>
          <w:color w:val="auto"/>
          <w:spacing w:val="-8"/>
          <w:highlight w:val="none"/>
          <w:lang w:eastAsia="zh-CN"/>
        </w:rPr>
        <w:t>）</w:t>
      </w:r>
      <w:r>
        <w:rPr>
          <w:rFonts w:hint="eastAsia"/>
          <w:color w:val="auto"/>
          <w:spacing w:val="-8"/>
          <w:highlight w:val="none"/>
        </w:rPr>
        <w:t>；</w:t>
      </w:r>
    </w:p>
    <w:p w14:paraId="291E1EA7">
      <w:pPr>
        <w:pStyle w:val="13"/>
        <w:spacing w:before="2" w:line="360" w:lineRule="auto"/>
        <w:ind w:left="1624"/>
        <w:outlineLvl w:val="9"/>
        <w:rPr>
          <w:rFonts w:hint="eastAsia"/>
          <w:color w:val="auto"/>
          <w:spacing w:val="-8"/>
          <w:highlight w:val="none"/>
        </w:rPr>
      </w:pPr>
      <w:r>
        <w:rPr>
          <w:rFonts w:hint="eastAsia"/>
          <w:color w:val="auto"/>
          <w:spacing w:val="-8"/>
          <w:highlight w:val="none"/>
        </w:rPr>
        <w:t>（十）未交纳投标保证金的；</w:t>
      </w:r>
    </w:p>
    <w:p w14:paraId="40D0B20F">
      <w:pPr>
        <w:pStyle w:val="13"/>
        <w:spacing w:before="2" w:line="360" w:lineRule="auto"/>
        <w:ind w:left="1624"/>
        <w:outlineLvl w:val="9"/>
        <w:rPr>
          <w:rFonts w:hint="eastAsia"/>
          <w:color w:val="auto"/>
          <w:spacing w:val="-8"/>
          <w:highlight w:val="none"/>
        </w:rPr>
      </w:pPr>
      <w:r>
        <w:rPr>
          <w:rFonts w:hint="eastAsia"/>
          <w:color w:val="auto"/>
          <w:spacing w:val="-8"/>
          <w:highlight w:val="none"/>
        </w:rPr>
        <w:t>（十一）投标有效期不满足采购文件要求的；</w:t>
      </w:r>
    </w:p>
    <w:p w14:paraId="25461777">
      <w:pPr>
        <w:pStyle w:val="13"/>
        <w:spacing w:before="2" w:line="360" w:lineRule="auto"/>
        <w:ind w:left="1624"/>
        <w:outlineLvl w:val="9"/>
        <w:rPr>
          <w:rFonts w:hint="eastAsia"/>
          <w:color w:val="auto"/>
          <w:spacing w:val="-8"/>
          <w:highlight w:val="none"/>
        </w:rPr>
      </w:pPr>
      <w:r>
        <w:rPr>
          <w:rFonts w:hint="eastAsia"/>
          <w:color w:val="auto"/>
          <w:spacing w:val="-8"/>
          <w:highlight w:val="none"/>
        </w:rPr>
        <w:t>（十二）单位负责人为同一人或者存在直接控股、管理关系的不同供应商，不得参加同一合同项下的政府采购活动。</w:t>
      </w:r>
    </w:p>
    <w:p w14:paraId="019E6461">
      <w:pPr>
        <w:pStyle w:val="13"/>
        <w:spacing w:before="2" w:line="360" w:lineRule="auto"/>
        <w:ind w:left="1624"/>
        <w:outlineLvl w:val="9"/>
        <w:rPr>
          <w:rFonts w:hint="eastAsia"/>
          <w:color w:val="auto"/>
          <w:spacing w:val="-8"/>
          <w:highlight w:val="none"/>
        </w:rPr>
      </w:pPr>
      <w:r>
        <w:rPr>
          <w:rFonts w:hint="eastAsia"/>
          <w:color w:val="auto"/>
          <w:spacing w:val="-8"/>
          <w:highlight w:val="none"/>
        </w:rPr>
        <w:t>（十三） 除单一来源采购项目外，为采购项目提供整体设计、规范编制或者项目管理、监理、检测等服务的供应商，不得再参加该采购项目的其他采购活动。</w:t>
      </w:r>
    </w:p>
    <w:p w14:paraId="78A0E943">
      <w:pPr>
        <w:pStyle w:val="13"/>
        <w:spacing w:before="2" w:line="360" w:lineRule="auto"/>
        <w:ind w:left="1624"/>
        <w:outlineLvl w:val="9"/>
        <w:rPr>
          <w:color w:val="auto"/>
          <w:highlight w:val="none"/>
        </w:rPr>
      </w:pPr>
      <w:r>
        <w:rPr>
          <w:rFonts w:hint="eastAsia"/>
          <w:color w:val="auto"/>
          <w:spacing w:val="-8"/>
          <w:highlight w:val="none"/>
        </w:rPr>
        <w:t>（十四）违反政府采购法律法规,足以导致响应文件无效的情形。</w:t>
      </w:r>
    </w:p>
    <w:p w14:paraId="0F1D35AD">
      <w:pPr>
        <w:pStyle w:val="13"/>
        <w:spacing w:before="2"/>
        <w:ind w:left="1624"/>
        <w:rPr>
          <w:color w:val="auto"/>
          <w:highlight w:val="none"/>
        </w:rPr>
      </w:pPr>
    </w:p>
    <w:p w14:paraId="147831EB">
      <w:pPr>
        <w:spacing w:after="0" w:line="240" w:lineRule="auto"/>
        <w:jc w:val="left"/>
        <w:rPr>
          <w:color w:val="auto"/>
          <w:sz w:val="24"/>
          <w:highlight w:val="none"/>
        </w:rPr>
        <w:sectPr>
          <w:pgSz w:w="12240" w:h="15839"/>
          <w:pgMar w:top="1440" w:right="1080" w:bottom="1440" w:left="1080" w:header="0" w:footer="207" w:gutter="0"/>
          <w:pgBorders>
            <w:top w:val="none" w:sz="0" w:space="0"/>
            <w:left w:val="none" w:sz="0" w:space="0"/>
            <w:bottom w:val="none" w:sz="0" w:space="0"/>
            <w:right w:val="none" w:sz="0" w:space="0"/>
          </w:pgBorders>
          <w:pgNumType w:fmt="decimal"/>
          <w:cols w:space="720" w:num="1"/>
        </w:sectPr>
      </w:pPr>
    </w:p>
    <w:p w14:paraId="24A51C3C">
      <w:pPr>
        <w:pStyle w:val="5"/>
        <w:numPr>
          <w:ilvl w:val="0"/>
          <w:numId w:val="0"/>
        </w:numPr>
        <w:spacing w:line="360" w:lineRule="auto"/>
        <w:ind w:left="0" w:leftChars="0" w:firstLine="0" w:firstLineChars="0"/>
        <w:jc w:val="center"/>
        <w:rPr>
          <w:rFonts w:hint="eastAsia"/>
          <w:color w:val="auto"/>
          <w:highlight w:val="none"/>
          <w:lang w:val="en-US" w:eastAsia="zh-CN"/>
        </w:rPr>
      </w:pPr>
      <w:bookmarkStart w:id="231" w:name="_Toc2903"/>
      <w:bookmarkStart w:id="232" w:name="_Toc23827"/>
      <w:r>
        <w:rPr>
          <w:rFonts w:hint="eastAsia" w:ascii="Times New Roman" w:hAnsi="Times New Roman" w:eastAsia="宋体" w:cs="Times New Roman"/>
          <w:b/>
          <w:bCs/>
          <w:color w:val="auto"/>
          <w:kern w:val="44"/>
          <w:sz w:val="44"/>
          <w:szCs w:val="44"/>
          <w:lang w:val="en-US" w:eastAsia="zh-CN" w:bidi="ar-SA"/>
        </w:rPr>
        <w:t>第五章</w:t>
      </w:r>
      <w:r>
        <w:rPr>
          <w:rFonts w:hint="eastAsia" w:cs="Times New Roman"/>
          <w:b/>
          <w:bCs/>
          <w:color w:val="auto"/>
          <w:kern w:val="44"/>
          <w:sz w:val="44"/>
          <w:szCs w:val="44"/>
          <w:lang w:val="en-US" w:eastAsia="zh-CN" w:bidi="ar-SA"/>
        </w:rPr>
        <w:t xml:space="preserve">  </w:t>
      </w:r>
      <w:r>
        <w:rPr>
          <w:rFonts w:hint="eastAsia"/>
          <w:color w:val="auto"/>
          <w:highlight w:val="none"/>
          <w:lang w:eastAsia="zh-CN"/>
        </w:rPr>
        <w:t>采购</w:t>
      </w:r>
      <w:bookmarkEnd w:id="231"/>
      <w:r>
        <w:rPr>
          <w:rFonts w:hint="eastAsia"/>
          <w:color w:val="auto"/>
          <w:highlight w:val="none"/>
          <w:lang w:val="en-US" w:eastAsia="zh-CN"/>
        </w:rPr>
        <w:t>需求</w:t>
      </w:r>
      <w:bookmarkEnd w:id="232"/>
    </w:p>
    <w:p w14:paraId="5099C18F">
      <w:pPr>
        <w:pStyle w:val="6"/>
        <w:jc w:val="center"/>
        <w:rPr>
          <w:rFonts w:hint="default"/>
          <w:b/>
          <w:bCs/>
          <w:szCs w:val="24"/>
          <w:lang w:val="en-US"/>
        </w:rPr>
      </w:pPr>
      <w:bookmarkStart w:id="233" w:name="_Toc32047"/>
      <w:r>
        <w:rPr>
          <w:rFonts w:hint="default"/>
          <w:color w:val="auto"/>
          <w:highlight w:val="none"/>
          <w:lang w:val="en-US" w:eastAsia="zh-CN"/>
        </w:rPr>
        <w:t>第一节 采购清单及技术参数</w:t>
      </w:r>
      <w:bookmarkEnd w:id="233"/>
    </w:p>
    <w:tbl>
      <w:tblPr>
        <w:tblStyle w:val="28"/>
        <w:tblW w:w="4577"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834"/>
        <w:gridCol w:w="7345"/>
        <w:gridCol w:w="515"/>
      </w:tblGrid>
      <w:tr w14:paraId="7FCB0F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tcBorders>
              <w:tl2br w:val="nil"/>
              <w:tr2bl w:val="nil"/>
            </w:tcBorders>
            <w:noWrap w:val="0"/>
            <w:vAlign w:val="center"/>
          </w:tcPr>
          <w:p w14:paraId="27CD0D73">
            <w:pPr>
              <w:keepNext w:val="0"/>
              <w:keepLines w:val="0"/>
              <w:widowControl/>
              <w:suppressLineNumbers w:val="0"/>
              <w:ind w:left="0" w:leftChars="0" w:firstLine="0" w:firstLineChars="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457" w:type="pct"/>
            <w:tcBorders>
              <w:tl2br w:val="nil"/>
              <w:tr2bl w:val="nil"/>
            </w:tcBorders>
            <w:noWrap w:val="0"/>
            <w:vAlign w:val="center"/>
          </w:tcPr>
          <w:p w14:paraId="529E4C0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设备名</w:t>
            </w:r>
          </w:p>
        </w:tc>
        <w:tc>
          <w:tcPr>
            <w:tcW w:w="4025" w:type="pct"/>
            <w:tcBorders>
              <w:tl2br w:val="nil"/>
              <w:tr2bl w:val="nil"/>
            </w:tcBorders>
            <w:noWrap w:val="0"/>
            <w:vAlign w:val="center"/>
          </w:tcPr>
          <w:p w14:paraId="64CA370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技术参数</w:t>
            </w:r>
          </w:p>
        </w:tc>
        <w:tc>
          <w:tcPr>
            <w:tcW w:w="282" w:type="pct"/>
            <w:tcBorders>
              <w:tl2br w:val="nil"/>
              <w:tr2bl w:val="nil"/>
            </w:tcBorders>
            <w:noWrap w:val="0"/>
            <w:vAlign w:val="center"/>
          </w:tcPr>
          <w:p w14:paraId="68EFD57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r>
      <w:tr w14:paraId="09A38F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7D01505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57" w:type="pct"/>
            <w:vMerge w:val="restart"/>
            <w:tcBorders>
              <w:tl2br w:val="nil"/>
              <w:tr2bl w:val="nil"/>
            </w:tcBorders>
            <w:noWrap w:val="0"/>
            <w:vAlign w:val="center"/>
          </w:tcPr>
          <w:p w14:paraId="5FE3827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装调实训无人机教学平台（多旋翼）</w:t>
            </w:r>
          </w:p>
        </w:tc>
        <w:tc>
          <w:tcPr>
            <w:tcW w:w="4025" w:type="pct"/>
            <w:tcBorders>
              <w:tl2br w:val="nil"/>
              <w:tr2bl w:val="nil"/>
            </w:tcBorders>
            <w:noWrap w:val="0"/>
            <w:vAlign w:val="center"/>
          </w:tcPr>
          <w:p w14:paraId="01975A4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1.机架布局为“X”；机身轴距≥400mm；</w:t>
            </w:r>
          </w:p>
        </w:tc>
        <w:tc>
          <w:tcPr>
            <w:tcW w:w="282" w:type="pct"/>
            <w:vMerge w:val="restart"/>
            <w:tcBorders>
              <w:tl2br w:val="nil"/>
              <w:tr2bl w:val="nil"/>
            </w:tcBorders>
            <w:noWrap w:val="0"/>
            <w:vAlign w:val="center"/>
          </w:tcPr>
          <w:p w14:paraId="79D1C05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r>
      <w:tr w14:paraId="782817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0154B80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49AC52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9BA2E3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2.机身材料：碳纤维和航空铝；配备ABS塑料可拆卸壳体；整套系统采用箱式设计，箱体采用航空箱材质，内衬采用EVA海绵材质；使用场景；室内、室外；</w:t>
            </w:r>
          </w:p>
        </w:tc>
        <w:tc>
          <w:tcPr>
            <w:tcW w:w="282" w:type="pct"/>
            <w:vMerge w:val="continue"/>
            <w:tcBorders>
              <w:tl2br w:val="nil"/>
              <w:tr2bl w:val="nil"/>
            </w:tcBorders>
            <w:noWrap w:val="0"/>
            <w:vAlign w:val="center"/>
          </w:tcPr>
          <w:p w14:paraId="14F67833">
            <w:pPr>
              <w:jc w:val="center"/>
              <w:rPr>
                <w:rFonts w:hint="eastAsia" w:ascii="微软雅黑" w:hAnsi="微软雅黑" w:eastAsia="微软雅黑" w:cs="微软雅黑"/>
                <w:i w:val="0"/>
                <w:iCs w:val="0"/>
                <w:color w:val="000000"/>
                <w:sz w:val="20"/>
                <w:szCs w:val="20"/>
                <w:u w:val="none"/>
              </w:rPr>
            </w:pPr>
          </w:p>
        </w:tc>
      </w:tr>
      <w:tr w14:paraId="38D9D8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71BCDF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A0660C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BFF9877">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3.最大飞行时间不得低于12min,最大起飞重量≥1.5kg；</w:t>
            </w:r>
          </w:p>
        </w:tc>
        <w:tc>
          <w:tcPr>
            <w:tcW w:w="282" w:type="pct"/>
            <w:vMerge w:val="continue"/>
            <w:tcBorders>
              <w:tl2br w:val="nil"/>
              <w:tr2bl w:val="nil"/>
            </w:tcBorders>
            <w:noWrap w:val="0"/>
            <w:vAlign w:val="center"/>
          </w:tcPr>
          <w:p w14:paraId="7390B0DB">
            <w:pPr>
              <w:jc w:val="center"/>
              <w:rPr>
                <w:rFonts w:hint="eastAsia" w:ascii="微软雅黑" w:hAnsi="微软雅黑" w:eastAsia="微软雅黑" w:cs="微软雅黑"/>
                <w:i w:val="0"/>
                <w:iCs w:val="0"/>
                <w:color w:val="000000"/>
                <w:sz w:val="20"/>
                <w:szCs w:val="20"/>
                <w:u w:val="none"/>
              </w:rPr>
            </w:pPr>
          </w:p>
        </w:tc>
      </w:tr>
      <w:tr w14:paraId="5DB0E5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828C01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66D564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7D160D3">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4.最大上升速度≥4m/s;最大下降速度为≤5m/s;最大平飞速度≥7m/s；</w:t>
            </w:r>
          </w:p>
        </w:tc>
        <w:tc>
          <w:tcPr>
            <w:tcW w:w="282" w:type="pct"/>
            <w:vMerge w:val="continue"/>
            <w:tcBorders>
              <w:tl2br w:val="nil"/>
              <w:tr2bl w:val="nil"/>
            </w:tcBorders>
            <w:noWrap w:val="0"/>
            <w:vAlign w:val="center"/>
          </w:tcPr>
          <w:p w14:paraId="784AE5A1">
            <w:pPr>
              <w:jc w:val="center"/>
              <w:rPr>
                <w:rFonts w:hint="eastAsia" w:ascii="微软雅黑" w:hAnsi="微软雅黑" w:eastAsia="微软雅黑" w:cs="微软雅黑"/>
                <w:i w:val="0"/>
                <w:iCs w:val="0"/>
                <w:color w:val="000000"/>
                <w:sz w:val="20"/>
                <w:szCs w:val="20"/>
                <w:u w:val="none"/>
              </w:rPr>
            </w:pPr>
          </w:p>
        </w:tc>
      </w:tr>
      <w:tr w14:paraId="5035C4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F75A57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0F3BD4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D34FFB8">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5.最大可承受风速≥8m/s；悬停精度，垂直±0.5m,水平±1m(GPS状态）；最大俯仰角度不小于35°；</w:t>
            </w:r>
          </w:p>
        </w:tc>
        <w:tc>
          <w:tcPr>
            <w:tcW w:w="282" w:type="pct"/>
            <w:vMerge w:val="continue"/>
            <w:tcBorders>
              <w:tl2br w:val="nil"/>
              <w:tr2bl w:val="nil"/>
            </w:tcBorders>
            <w:noWrap w:val="0"/>
            <w:vAlign w:val="center"/>
          </w:tcPr>
          <w:p w14:paraId="0AACEDDC">
            <w:pPr>
              <w:jc w:val="center"/>
              <w:rPr>
                <w:rFonts w:hint="eastAsia" w:ascii="微软雅黑" w:hAnsi="微软雅黑" w:eastAsia="微软雅黑" w:cs="微软雅黑"/>
                <w:i w:val="0"/>
                <w:iCs w:val="0"/>
                <w:color w:val="000000"/>
                <w:sz w:val="20"/>
                <w:szCs w:val="20"/>
                <w:u w:val="none"/>
              </w:rPr>
            </w:pPr>
          </w:p>
        </w:tc>
      </w:tr>
      <w:tr w14:paraId="177363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648EFC7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AF0E7B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E75975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机体下中心板为PCB电路板设计，电子线路为沉埋式设计，且PCB电路板上具有明显的信号线序号标识，防止组装调试时安装线序出错。连接插头采取插拔式设计，保证重复使用性；（需提供满足参数要求的实物图片）</w:t>
            </w:r>
          </w:p>
        </w:tc>
        <w:tc>
          <w:tcPr>
            <w:tcW w:w="282" w:type="pct"/>
            <w:vMerge w:val="continue"/>
            <w:tcBorders>
              <w:tl2br w:val="nil"/>
              <w:tr2bl w:val="nil"/>
            </w:tcBorders>
            <w:noWrap w:val="0"/>
            <w:vAlign w:val="center"/>
          </w:tcPr>
          <w:p w14:paraId="029C9116">
            <w:pPr>
              <w:jc w:val="center"/>
              <w:rPr>
                <w:rFonts w:hint="eastAsia" w:ascii="微软雅黑" w:hAnsi="微软雅黑" w:eastAsia="微软雅黑" w:cs="微软雅黑"/>
                <w:i w:val="0"/>
                <w:iCs w:val="0"/>
                <w:color w:val="000000"/>
                <w:sz w:val="20"/>
                <w:szCs w:val="20"/>
                <w:u w:val="none"/>
              </w:rPr>
            </w:pPr>
          </w:p>
        </w:tc>
      </w:tr>
      <w:tr w14:paraId="42D404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6398053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853896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3B74705">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机身处附有二维码图标，通过扫描二维码图标，学生可在移动端查看该机型的组装视频。方便学生在组装过程中随时调用查看确保教学进度，组装视频中所示机型与该机型一致；（需提供满足参数要求的实物图片及视频截图）</w:t>
            </w:r>
          </w:p>
        </w:tc>
        <w:tc>
          <w:tcPr>
            <w:tcW w:w="282" w:type="pct"/>
            <w:vMerge w:val="continue"/>
            <w:tcBorders>
              <w:tl2br w:val="nil"/>
              <w:tr2bl w:val="nil"/>
            </w:tcBorders>
            <w:noWrap w:val="0"/>
            <w:vAlign w:val="center"/>
          </w:tcPr>
          <w:p w14:paraId="5DE53E31">
            <w:pPr>
              <w:jc w:val="center"/>
              <w:rPr>
                <w:rFonts w:hint="eastAsia" w:ascii="微软雅黑" w:hAnsi="微软雅黑" w:eastAsia="微软雅黑" w:cs="微软雅黑"/>
                <w:i w:val="0"/>
                <w:iCs w:val="0"/>
                <w:color w:val="000000"/>
                <w:sz w:val="20"/>
                <w:szCs w:val="20"/>
                <w:u w:val="none"/>
              </w:rPr>
            </w:pPr>
          </w:p>
        </w:tc>
      </w:tr>
      <w:tr w14:paraId="5AD950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5C2FAC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D50FDA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F5ACCDA">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8.无刷电机规格型号：定子直径≥23mm；高度≥12mm；KV值≥1000KV，且带正反牙螺纹；</w:t>
            </w:r>
          </w:p>
        </w:tc>
        <w:tc>
          <w:tcPr>
            <w:tcW w:w="282" w:type="pct"/>
            <w:vMerge w:val="continue"/>
            <w:tcBorders>
              <w:tl2br w:val="nil"/>
              <w:tr2bl w:val="nil"/>
            </w:tcBorders>
            <w:noWrap w:val="0"/>
            <w:vAlign w:val="center"/>
          </w:tcPr>
          <w:p w14:paraId="6A9C186B">
            <w:pPr>
              <w:jc w:val="center"/>
              <w:rPr>
                <w:rFonts w:hint="eastAsia" w:ascii="微软雅黑" w:hAnsi="微软雅黑" w:eastAsia="微软雅黑" w:cs="微软雅黑"/>
                <w:i w:val="0"/>
                <w:iCs w:val="0"/>
                <w:color w:val="000000"/>
                <w:sz w:val="20"/>
                <w:szCs w:val="20"/>
                <w:u w:val="none"/>
              </w:rPr>
            </w:pPr>
          </w:p>
        </w:tc>
      </w:tr>
      <w:tr w14:paraId="0716BC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530E8D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275AEB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5A7EE02">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9.桨叶规格型号：桨叶尺寸≥9寸；材质：塑料；</w:t>
            </w:r>
          </w:p>
        </w:tc>
        <w:tc>
          <w:tcPr>
            <w:tcW w:w="282" w:type="pct"/>
            <w:vMerge w:val="continue"/>
            <w:tcBorders>
              <w:tl2br w:val="nil"/>
              <w:tr2bl w:val="nil"/>
            </w:tcBorders>
            <w:noWrap w:val="0"/>
            <w:vAlign w:val="center"/>
          </w:tcPr>
          <w:p w14:paraId="6D209D03">
            <w:pPr>
              <w:jc w:val="center"/>
              <w:rPr>
                <w:rFonts w:hint="eastAsia" w:ascii="微软雅黑" w:hAnsi="微软雅黑" w:eastAsia="微软雅黑" w:cs="微软雅黑"/>
                <w:i w:val="0"/>
                <w:iCs w:val="0"/>
                <w:color w:val="000000"/>
                <w:sz w:val="20"/>
                <w:szCs w:val="20"/>
                <w:u w:val="none"/>
              </w:rPr>
            </w:pPr>
          </w:p>
        </w:tc>
      </w:tr>
      <w:tr w14:paraId="274FD5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8607F2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39497E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44827E1">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10.电调规格型号：持续工作电流≥30A，最大瞬间电流不超过40A，适用于2S-6S电池；</w:t>
            </w:r>
          </w:p>
        </w:tc>
        <w:tc>
          <w:tcPr>
            <w:tcW w:w="282" w:type="pct"/>
            <w:vMerge w:val="continue"/>
            <w:tcBorders>
              <w:tl2br w:val="nil"/>
              <w:tr2bl w:val="nil"/>
            </w:tcBorders>
            <w:noWrap w:val="0"/>
            <w:vAlign w:val="center"/>
          </w:tcPr>
          <w:p w14:paraId="2E5B8F70">
            <w:pPr>
              <w:jc w:val="center"/>
              <w:rPr>
                <w:rFonts w:hint="eastAsia" w:ascii="微软雅黑" w:hAnsi="微软雅黑" w:eastAsia="微软雅黑" w:cs="微软雅黑"/>
                <w:i w:val="0"/>
                <w:iCs w:val="0"/>
                <w:color w:val="000000"/>
                <w:sz w:val="20"/>
                <w:szCs w:val="20"/>
                <w:u w:val="none"/>
              </w:rPr>
            </w:pPr>
          </w:p>
        </w:tc>
      </w:tr>
      <w:tr w14:paraId="3820AF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6E4E79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71E6F8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C1B692D">
            <w:pPr>
              <w:keepNext w:val="0"/>
              <w:keepLines w:val="0"/>
              <w:widowControl/>
              <w:suppressLineNumbers w:val="0"/>
              <w:ind w:left="0" w:leftChars="0" w:firstLine="0" w:firstLineChars="0"/>
              <w:jc w:val="both"/>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11.电池：一块、电池规格≥4S/5000mah/14.8V，放电倍率≥30C，锂电池；</w:t>
            </w:r>
          </w:p>
        </w:tc>
        <w:tc>
          <w:tcPr>
            <w:tcW w:w="282" w:type="pct"/>
            <w:vMerge w:val="continue"/>
            <w:tcBorders>
              <w:tl2br w:val="nil"/>
              <w:tr2bl w:val="nil"/>
            </w:tcBorders>
            <w:noWrap w:val="0"/>
            <w:vAlign w:val="center"/>
          </w:tcPr>
          <w:p w14:paraId="5F897A35">
            <w:pPr>
              <w:jc w:val="center"/>
              <w:rPr>
                <w:rFonts w:hint="eastAsia" w:ascii="微软雅黑" w:hAnsi="微软雅黑" w:eastAsia="微软雅黑" w:cs="微软雅黑"/>
                <w:i w:val="0"/>
                <w:iCs w:val="0"/>
                <w:color w:val="000000"/>
                <w:sz w:val="20"/>
                <w:szCs w:val="20"/>
                <w:u w:val="none"/>
              </w:rPr>
            </w:pPr>
          </w:p>
        </w:tc>
      </w:tr>
      <w:tr w14:paraId="037D64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5" w:type="pct"/>
            <w:vMerge w:val="continue"/>
            <w:tcBorders>
              <w:tl2br w:val="nil"/>
              <w:tr2bl w:val="nil"/>
            </w:tcBorders>
            <w:noWrap w:val="0"/>
            <w:vAlign w:val="center"/>
          </w:tcPr>
          <w:p w14:paraId="01CB066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08E11D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9CE4A4C">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12.智能飞行控制器整体采用航空铝外壳设计；飞控内部集成蜂鸣器，免于外接蜂鸣器模块；FLASH存储≥8MB,供电范围4.8V-5.5V；</w:t>
            </w:r>
          </w:p>
        </w:tc>
        <w:tc>
          <w:tcPr>
            <w:tcW w:w="282" w:type="pct"/>
            <w:vMerge w:val="continue"/>
            <w:tcBorders>
              <w:tl2br w:val="nil"/>
              <w:tr2bl w:val="nil"/>
            </w:tcBorders>
            <w:noWrap w:val="0"/>
            <w:vAlign w:val="center"/>
          </w:tcPr>
          <w:p w14:paraId="5A27A18C">
            <w:pPr>
              <w:jc w:val="center"/>
              <w:rPr>
                <w:rFonts w:hint="eastAsia" w:ascii="微软雅黑" w:hAnsi="微软雅黑" w:eastAsia="微软雅黑" w:cs="微软雅黑"/>
                <w:i w:val="0"/>
                <w:iCs w:val="0"/>
                <w:color w:val="000000"/>
                <w:sz w:val="20"/>
                <w:szCs w:val="20"/>
                <w:u w:val="none"/>
              </w:rPr>
            </w:pPr>
          </w:p>
        </w:tc>
      </w:tr>
      <w:tr w14:paraId="10B41C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5" w:type="pct"/>
            <w:vMerge w:val="continue"/>
            <w:tcBorders>
              <w:tl2br w:val="nil"/>
              <w:tr2bl w:val="nil"/>
            </w:tcBorders>
            <w:noWrap w:val="0"/>
            <w:vAlign w:val="center"/>
          </w:tcPr>
          <w:p w14:paraId="153ACD0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5CE0F6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068715A">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传感器模块要求包含空速传感器模块、磁罗盘传感器模块、气压高度计模块、陀螺传感器模块、CAN总线模块、声音报警模块、指示灯模块、低压差供电模块、飞行数据存储模块、电平转换模块、参数存储模块、主控制器模块、输入输出控制器模块；外设串口至少包含外设数传串口、RTK串口、GPS串口、外置罗盘、光流串口：TFMINI串口；</w:t>
            </w:r>
          </w:p>
        </w:tc>
        <w:tc>
          <w:tcPr>
            <w:tcW w:w="282" w:type="pct"/>
            <w:vMerge w:val="continue"/>
            <w:tcBorders>
              <w:tl2br w:val="nil"/>
              <w:tr2bl w:val="nil"/>
            </w:tcBorders>
            <w:noWrap w:val="0"/>
            <w:vAlign w:val="center"/>
          </w:tcPr>
          <w:p w14:paraId="4048A4E2">
            <w:pPr>
              <w:jc w:val="center"/>
              <w:rPr>
                <w:rFonts w:hint="eastAsia" w:ascii="微软雅黑" w:hAnsi="微软雅黑" w:eastAsia="微软雅黑" w:cs="微软雅黑"/>
                <w:i w:val="0"/>
                <w:iCs w:val="0"/>
                <w:color w:val="000000"/>
                <w:sz w:val="20"/>
                <w:szCs w:val="20"/>
                <w:u w:val="none"/>
              </w:rPr>
            </w:pPr>
          </w:p>
        </w:tc>
      </w:tr>
      <w:tr w14:paraId="01A74D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56D6E9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346BD8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DD9770C">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14.飞行模式至少支持定点模式、定高模式、任务模式和返航模式；</w:t>
            </w:r>
          </w:p>
        </w:tc>
        <w:tc>
          <w:tcPr>
            <w:tcW w:w="282" w:type="pct"/>
            <w:vMerge w:val="continue"/>
            <w:tcBorders>
              <w:tl2br w:val="nil"/>
              <w:tr2bl w:val="nil"/>
            </w:tcBorders>
            <w:noWrap w:val="0"/>
            <w:vAlign w:val="center"/>
          </w:tcPr>
          <w:p w14:paraId="7663012C">
            <w:pPr>
              <w:jc w:val="center"/>
              <w:rPr>
                <w:rFonts w:hint="eastAsia" w:ascii="微软雅黑" w:hAnsi="微软雅黑" w:eastAsia="微软雅黑" w:cs="微软雅黑"/>
                <w:i w:val="0"/>
                <w:iCs w:val="0"/>
                <w:color w:val="000000"/>
                <w:sz w:val="20"/>
                <w:szCs w:val="20"/>
                <w:u w:val="none"/>
              </w:rPr>
            </w:pPr>
          </w:p>
        </w:tc>
      </w:tr>
      <w:tr w14:paraId="234E98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F76B91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107BEE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9760F1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15.飞控至少具有磁罗盘异常修正、单参数调节、多传感器融合、超快速二次开发功能；</w:t>
            </w:r>
          </w:p>
        </w:tc>
        <w:tc>
          <w:tcPr>
            <w:tcW w:w="282" w:type="pct"/>
            <w:vMerge w:val="continue"/>
            <w:tcBorders>
              <w:tl2br w:val="nil"/>
              <w:tr2bl w:val="nil"/>
            </w:tcBorders>
            <w:noWrap w:val="0"/>
            <w:vAlign w:val="center"/>
          </w:tcPr>
          <w:p w14:paraId="64A957DD">
            <w:pPr>
              <w:jc w:val="center"/>
              <w:rPr>
                <w:rFonts w:hint="eastAsia" w:ascii="微软雅黑" w:hAnsi="微软雅黑" w:eastAsia="微软雅黑" w:cs="微软雅黑"/>
                <w:i w:val="0"/>
                <w:iCs w:val="0"/>
                <w:color w:val="000000"/>
                <w:sz w:val="20"/>
                <w:szCs w:val="20"/>
                <w:u w:val="none"/>
              </w:rPr>
            </w:pPr>
          </w:p>
        </w:tc>
      </w:tr>
      <w:tr w14:paraId="63F8D1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2960B6F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0838F2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5CFDC97">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16.遥控器至少支持SUS、PWM信号输出，工作电压为7.4V-18V,使用DSSS&amp;FHSS混合双扩频技术，可实现避干扰和抗干扰结合，遥控器通道数量不低于8个；</w:t>
            </w:r>
          </w:p>
        </w:tc>
        <w:tc>
          <w:tcPr>
            <w:tcW w:w="282" w:type="pct"/>
            <w:vMerge w:val="continue"/>
            <w:tcBorders>
              <w:tl2br w:val="nil"/>
              <w:tr2bl w:val="nil"/>
            </w:tcBorders>
            <w:noWrap w:val="0"/>
            <w:vAlign w:val="center"/>
          </w:tcPr>
          <w:p w14:paraId="1EA465B7">
            <w:pPr>
              <w:jc w:val="center"/>
              <w:rPr>
                <w:rFonts w:hint="eastAsia" w:ascii="微软雅黑" w:hAnsi="微软雅黑" w:eastAsia="微软雅黑" w:cs="微软雅黑"/>
                <w:i w:val="0"/>
                <w:iCs w:val="0"/>
                <w:color w:val="000000"/>
                <w:sz w:val="20"/>
                <w:szCs w:val="20"/>
                <w:u w:val="none"/>
              </w:rPr>
            </w:pPr>
          </w:p>
        </w:tc>
      </w:tr>
      <w:tr w14:paraId="0C634F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35BD66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989FCA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D75E6E9">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17.供应商需提供所投产品相关的《软件著作权登记证书》</w:t>
            </w:r>
            <w:r>
              <w:rPr>
                <w:rFonts w:hint="eastAsia" w:ascii="微软雅黑" w:hAnsi="微软雅黑" w:eastAsia="微软雅黑" w:cs="微软雅黑"/>
                <w:i w:val="0"/>
                <w:iCs w:val="0"/>
                <w:color w:val="000000"/>
                <w:kern w:val="0"/>
                <w:sz w:val="20"/>
                <w:szCs w:val="20"/>
                <w:highlight w:val="yellow"/>
                <w:u w:val="none"/>
                <w:lang w:val="en-US" w:eastAsia="zh-CN" w:bidi="ar"/>
              </w:rPr>
              <w:t>或</w:t>
            </w:r>
            <w:r>
              <w:rPr>
                <w:rFonts w:hint="eastAsia" w:ascii="微软雅黑" w:hAnsi="微软雅黑" w:eastAsia="微软雅黑" w:cs="微软雅黑"/>
                <w:i w:val="0"/>
                <w:iCs w:val="0"/>
                <w:color w:val="000000"/>
                <w:kern w:val="0"/>
                <w:sz w:val="20"/>
                <w:szCs w:val="20"/>
                <w:u w:val="none"/>
                <w:lang w:val="en-US" w:eastAsia="zh-CN" w:bidi="ar"/>
              </w:rPr>
              <w:t>《实用新型专利证书》扫描件，原件备查。</w:t>
            </w:r>
          </w:p>
        </w:tc>
        <w:tc>
          <w:tcPr>
            <w:tcW w:w="282" w:type="pct"/>
            <w:vMerge w:val="continue"/>
            <w:tcBorders>
              <w:tl2br w:val="nil"/>
              <w:tr2bl w:val="nil"/>
            </w:tcBorders>
            <w:noWrap w:val="0"/>
            <w:vAlign w:val="center"/>
          </w:tcPr>
          <w:p w14:paraId="6CFBE81E">
            <w:pPr>
              <w:jc w:val="center"/>
              <w:rPr>
                <w:rFonts w:hint="eastAsia" w:ascii="微软雅黑" w:hAnsi="微软雅黑" w:eastAsia="微软雅黑" w:cs="微软雅黑"/>
                <w:i w:val="0"/>
                <w:iCs w:val="0"/>
                <w:color w:val="000000"/>
                <w:sz w:val="20"/>
                <w:szCs w:val="20"/>
                <w:u w:val="none"/>
              </w:rPr>
            </w:pPr>
          </w:p>
        </w:tc>
      </w:tr>
      <w:tr w14:paraId="1AFEB0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425708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7A8435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E224EC9">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▲18.课程资源数量及内容要求（制造商提供以下教学资源截图，每个教学资源截图数量不少于3张、内容不能重复。）</w:t>
            </w:r>
          </w:p>
        </w:tc>
        <w:tc>
          <w:tcPr>
            <w:tcW w:w="282" w:type="pct"/>
            <w:vMerge w:val="continue"/>
            <w:tcBorders>
              <w:tl2br w:val="nil"/>
              <w:tr2bl w:val="nil"/>
            </w:tcBorders>
            <w:noWrap w:val="0"/>
            <w:vAlign w:val="center"/>
          </w:tcPr>
          <w:p w14:paraId="1B44E09D">
            <w:pPr>
              <w:jc w:val="center"/>
              <w:rPr>
                <w:rFonts w:hint="eastAsia" w:ascii="微软雅黑" w:hAnsi="微软雅黑" w:eastAsia="微软雅黑" w:cs="微软雅黑"/>
                <w:i w:val="0"/>
                <w:iCs w:val="0"/>
                <w:color w:val="000000"/>
                <w:sz w:val="20"/>
                <w:szCs w:val="20"/>
                <w:u w:val="none"/>
              </w:rPr>
            </w:pPr>
          </w:p>
        </w:tc>
      </w:tr>
      <w:tr w14:paraId="10A6A1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B5F023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101F1E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62ACAD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（1）PPT课件</w:t>
            </w:r>
          </w:p>
        </w:tc>
        <w:tc>
          <w:tcPr>
            <w:tcW w:w="282" w:type="pct"/>
            <w:vMerge w:val="continue"/>
            <w:tcBorders>
              <w:tl2br w:val="nil"/>
              <w:tr2bl w:val="nil"/>
            </w:tcBorders>
            <w:noWrap w:val="0"/>
            <w:vAlign w:val="center"/>
          </w:tcPr>
          <w:p w14:paraId="0CBA9738">
            <w:pPr>
              <w:jc w:val="center"/>
              <w:rPr>
                <w:rFonts w:hint="eastAsia" w:ascii="微软雅黑" w:hAnsi="微软雅黑" w:eastAsia="微软雅黑" w:cs="微软雅黑"/>
                <w:i w:val="0"/>
                <w:iCs w:val="0"/>
                <w:color w:val="000000"/>
                <w:sz w:val="20"/>
                <w:szCs w:val="20"/>
                <w:u w:val="none"/>
              </w:rPr>
            </w:pPr>
          </w:p>
        </w:tc>
      </w:tr>
      <w:tr w14:paraId="27D4D4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AF841F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ABD692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926E1BE">
            <w:pPr>
              <w:keepNext w:val="0"/>
              <w:keepLines w:val="0"/>
              <w:widowControl/>
              <w:suppressLineNumbers w:val="0"/>
              <w:ind w:left="0" w:leftChars="0" w:firstLine="0" w:firstLineChars="0"/>
              <w:jc w:val="both"/>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①</w:t>
            </w:r>
            <w:r>
              <w:rPr>
                <w:rFonts w:hint="eastAsia" w:ascii="微软雅黑" w:hAnsi="微软雅黑" w:eastAsia="微软雅黑" w:cs="微软雅黑"/>
                <w:i w:val="0"/>
                <w:iCs w:val="0"/>
                <w:color w:val="000000"/>
                <w:kern w:val="0"/>
                <w:sz w:val="20"/>
                <w:szCs w:val="20"/>
                <w:highlight w:val="yellow"/>
                <w:u w:val="none"/>
                <w:lang w:val="en-US" w:eastAsia="zh-CN" w:bidi="ar"/>
              </w:rPr>
              <w:t>数量要求：≥7个，每个PPT课件不少于20页</w:t>
            </w:r>
            <w:r>
              <w:rPr>
                <w:rFonts w:hint="eastAsia" w:ascii="微软雅黑" w:hAnsi="微软雅黑" w:eastAsia="微软雅黑" w:cs="微软雅黑"/>
                <w:i w:val="0"/>
                <w:iCs w:val="0"/>
                <w:color w:val="000000"/>
                <w:kern w:val="0"/>
                <w:sz w:val="20"/>
                <w:szCs w:val="20"/>
                <w:u w:val="none"/>
                <w:lang w:val="en-US" w:eastAsia="zh-CN" w:bidi="ar"/>
              </w:rPr>
              <w:t>。</w:t>
            </w:r>
          </w:p>
        </w:tc>
        <w:tc>
          <w:tcPr>
            <w:tcW w:w="282" w:type="pct"/>
            <w:vMerge w:val="continue"/>
            <w:tcBorders>
              <w:tl2br w:val="nil"/>
              <w:tr2bl w:val="nil"/>
            </w:tcBorders>
            <w:noWrap w:val="0"/>
            <w:vAlign w:val="center"/>
          </w:tcPr>
          <w:p w14:paraId="29992145">
            <w:pPr>
              <w:jc w:val="center"/>
              <w:rPr>
                <w:rFonts w:hint="eastAsia" w:ascii="微软雅黑" w:hAnsi="微软雅黑" w:eastAsia="微软雅黑" w:cs="微软雅黑"/>
                <w:i w:val="0"/>
                <w:iCs w:val="0"/>
                <w:color w:val="000000"/>
                <w:sz w:val="20"/>
                <w:szCs w:val="20"/>
                <w:u w:val="none"/>
              </w:rPr>
            </w:pPr>
          </w:p>
        </w:tc>
      </w:tr>
      <w:tr w14:paraId="244F4E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4646E07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51C362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97773AF">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282" w:type="pct"/>
            <w:vMerge w:val="continue"/>
            <w:tcBorders>
              <w:tl2br w:val="nil"/>
              <w:tr2bl w:val="nil"/>
            </w:tcBorders>
            <w:noWrap w:val="0"/>
            <w:vAlign w:val="center"/>
          </w:tcPr>
          <w:p w14:paraId="12EC1C8F">
            <w:pPr>
              <w:jc w:val="center"/>
              <w:rPr>
                <w:rFonts w:hint="eastAsia" w:ascii="微软雅黑" w:hAnsi="微软雅黑" w:eastAsia="微软雅黑" w:cs="微软雅黑"/>
                <w:i w:val="0"/>
                <w:iCs w:val="0"/>
                <w:color w:val="000000"/>
                <w:sz w:val="20"/>
                <w:szCs w:val="20"/>
                <w:u w:val="none"/>
              </w:rPr>
            </w:pPr>
          </w:p>
        </w:tc>
      </w:tr>
      <w:tr w14:paraId="4DAC77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651DCA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6FF4A1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EFB071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（2）视频微课</w:t>
            </w:r>
          </w:p>
        </w:tc>
        <w:tc>
          <w:tcPr>
            <w:tcW w:w="282" w:type="pct"/>
            <w:vMerge w:val="continue"/>
            <w:tcBorders>
              <w:tl2br w:val="nil"/>
              <w:tr2bl w:val="nil"/>
            </w:tcBorders>
            <w:noWrap w:val="0"/>
            <w:vAlign w:val="center"/>
          </w:tcPr>
          <w:p w14:paraId="2B1D1A79">
            <w:pPr>
              <w:jc w:val="center"/>
              <w:rPr>
                <w:rFonts w:hint="eastAsia" w:ascii="微软雅黑" w:hAnsi="微软雅黑" w:eastAsia="微软雅黑" w:cs="微软雅黑"/>
                <w:i w:val="0"/>
                <w:iCs w:val="0"/>
                <w:color w:val="000000"/>
                <w:sz w:val="20"/>
                <w:szCs w:val="20"/>
                <w:u w:val="none"/>
              </w:rPr>
            </w:pPr>
          </w:p>
        </w:tc>
      </w:tr>
      <w:tr w14:paraId="351A9D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3868E7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7D39BE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57B7332">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w:t>
            </w:r>
            <w:r>
              <w:rPr>
                <w:rFonts w:hint="eastAsia" w:ascii="微软雅黑" w:hAnsi="微软雅黑" w:eastAsia="微软雅黑" w:cs="微软雅黑"/>
                <w:i w:val="0"/>
                <w:iCs w:val="0"/>
                <w:color w:val="000000"/>
                <w:kern w:val="0"/>
                <w:sz w:val="20"/>
                <w:szCs w:val="20"/>
                <w:highlight w:val="yellow"/>
                <w:u w:val="none"/>
                <w:lang w:val="en-US" w:eastAsia="zh-CN" w:bidi="ar"/>
              </w:rPr>
              <w:t>数量要求：≥7个，总时长≥70分钟，分辨率≥1080p。</w:t>
            </w:r>
          </w:p>
        </w:tc>
        <w:tc>
          <w:tcPr>
            <w:tcW w:w="282" w:type="pct"/>
            <w:vMerge w:val="continue"/>
            <w:tcBorders>
              <w:tl2br w:val="nil"/>
              <w:tr2bl w:val="nil"/>
            </w:tcBorders>
            <w:noWrap w:val="0"/>
            <w:vAlign w:val="center"/>
          </w:tcPr>
          <w:p w14:paraId="764E99A5">
            <w:pPr>
              <w:jc w:val="center"/>
              <w:rPr>
                <w:rFonts w:hint="eastAsia" w:ascii="微软雅黑" w:hAnsi="微软雅黑" w:eastAsia="微软雅黑" w:cs="微软雅黑"/>
                <w:i w:val="0"/>
                <w:iCs w:val="0"/>
                <w:color w:val="000000"/>
                <w:sz w:val="20"/>
                <w:szCs w:val="20"/>
                <w:u w:val="none"/>
              </w:rPr>
            </w:pPr>
          </w:p>
        </w:tc>
      </w:tr>
      <w:tr w14:paraId="4FAE37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0A655B1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9C35B9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4B32DE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②内容要求：至少包含多旋翼无人机组装与调试概述、装调实训无人机系统（多旋翼）机体组装、飞控的安装与调试、飞控线路连接和遥控器设置、电机转向验证及换向、无人机飞行测试、无人机模拟操控飞行。</w:t>
            </w:r>
          </w:p>
        </w:tc>
        <w:tc>
          <w:tcPr>
            <w:tcW w:w="282" w:type="pct"/>
            <w:vMerge w:val="continue"/>
            <w:tcBorders>
              <w:tl2br w:val="nil"/>
              <w:tr2bl w:val="nil"/>
            </w:tcBorders>
            <w:noWrap w:val="0"/>
            <w:vAlign w:val="center"/>
          </w:tcPr>
          <w:p w14:paraId="156F36DD">
            <w:pPr>
              <w:jc w:val="center"/>
              <w:rPr>
                <w:rFonts w:hint="eastAsia" w:ascii="微软雅黑" w:hAnsi="微软雅黑" w:eastAsia="微软雅黑" w:cs="微软雅黑"/>
                <w:i w:val="0"/>
                <w:iCs w:val="0"/>
                <w:color w:val="000000"/>
                <w:sz w:val="20"/>
                <w:szCs w:val="20"/>
                <w:u w:val="none"/>
              </w:rPr>
            </w:pPr>
          </w:p>
        </w:tc>
      </w:tr>
      <w:tr w14:paraId="0E6D74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2E0F75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FB5A7F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80FBCD3">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（3）实训工卡</w:t>
            </w:r>
          </w:p>
        </w:tc>
        <w:tc>
          <w:tcPr>
            <w:tcW w:w="282" w:type="pct"/>
            <w:vMerge w:val="continue"/>
            <w:tcBorders>
              <w:tl2br w:val="nil"/>
              <w:tr2bl w:val="nil"/>
            </w:tcBorders>
            <w:noWrap w:val="0"/>
            <w:vAlign w:val="center"/>
          </w:tcPr>
          <w:p w14:paraId="1F8E5C26">
            <w:pPr>
              <w:jc w:val="center"/>
              <w:rPr>
                <w:rFonts w:hint="eastAsia" w:ascii="微软雅黑" w:hAnsi="微软雅黑" w:eastAsia="微软雅黑" w:cs="微软雅黑"/>
                <w:i w:val="0"/>
                <w:iCs w:val="0"/>
                <w:color w:val="000000"/>
                <w:sz w:val="20"/>
                <w:szCs w:val="20"/>
                <w:u w:val="none"/>
              </w:rPr>
            </w:pPr>
          </w:p>
        </w:tc>
      </w:tr>
      <w:tr w14:paraId="278BB8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50F203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322B73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CFE8737">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282" w:type="pct"/>
            <w:vMerge w:val="continue"/>
            <w:tcBorders>
              <w:tl2br w:val="nil"/>
              <w:tr2bl w:val="nil"/>
            </w:tcBorders>
            <w:noWrap w:val="0"/>
            <w:vAlign w:val="center"/>
          </w:tcPr>
          <w:p w14:paraId="71338E91">
            <w:pPr>
              <w:jc w:val="center"/>
              <w:rPr>
                <w:rFonts w:hint="eastAsia" w:ascii="微软雅黑" w:hAnsi="微软雅黑" w:eastAsia="微软雅黑" w:cs="微软雅黑"/>
                <w:i w:val="0"/>
                <w:iCs w:val="0"/>
                <w:color w:val="000000"/>
                <w:sz w:val="20"/>
                <w:szCs w:val="20"/>
                <w:u w:val="none"/>
              </w:rPr>
            </w:pPr>
          </w:p>
        </w:tc>
      </w:tr>
      <w:tr w14:paraId="3E129A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5892BE8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41FA7C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DAB31E6">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282" w:type="pct"/>
            <w:vMerge w:val="continue"/>
            <w:tcBorders>
              <w:tl2br w:val="nil"/>
              <w:tr2bl w:val="nil"/>
            </w:tcBorders>
            <w:noWrap w:val="0"/>
            <w:vAlign w:val="center"/>
          </w:tcPr>
          <w:p w14:paraId="7A6B783B">
            <w:pPr>
              <w:jc w:val="center"/>
              <w:rPr>
                <w:rFonts w:hint="eastAsia" w:ascii="微软雅黑" w:hAnsi="微软雅黑" w:eastAsia="微软雅黑" w:cs="微软雅黑"/>
                <w:i w:val="0"/>
                <w:iCs w:val="0"/>
                <w:color w:val="000000"/>
                <w:sz w:val="20"/>
                <w:szCs w:val="20"/>
                <w:u w:val="none"/>
              </w:rPr>
            </w:pPr>
          </w:p>
        </w:tc>
      </w:tr>
      <w:tr w14:paraId="5E04FB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84F968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8CCAAC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0804EF8">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（4）课程教案</w:t>
            </w:r>
          </w:p>
        </w:tc>
        <w:tc>
          <w:tcPr>
            <w:tcW w:w="282" w:type="pct"/>
            <w:vMerge w:val="continue"/>
            <w:tcBorders>
              <w:tl2br w:val="nil"/>
              <w:tr2bl w:val="nil"/>
            </w:tcBorders>
            <w:noWrap w:val="0"/>
            <w:vAlign w:val="center"/>
          </w:tcPr>
          <w:p w14:paraId="0E8E5EEE">
            <w:pPr>
              <w:jc w:val="center"/>
              <w:rPr>
                <w:rFonts w:hint="eastAsia" w:ascii="微软雅黑" w:hAnsi="微软雅黑" w:eastAsia="微软雅黑" w:cs="微软雅黑"/>
                <w:i w:val="0"/>
                <w:iCs w:val="0"/>
                <w:color w:val="000000"/>
                <w:sz w:val="20"/>
                <w:szCs w:val="20"/>
                <w:u w:val="none"/>
              </w:rPr>
            </w:pPr>
          </w:p>
        </w:tc>
      </w:tr>
      <w:tr w14:paraId="11D128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345" w:hRule="atLeast"/>
        </w:trPr>
        <w:tc>
          <w:tcPr>
            <w:tcW w:w="235" w:type="pct"/>
            <w:vMerge w:val="continue"/>
            <w:tcBorders>
              <w:tl2br w:val="nil"/>
              <w:tr2bl w:val="nil"/>
            </w:tcBorders>
            <w:noWrap w:val="0"/>
            <w:vAlign w:val="center"/>
          </w:tcPr>
          <w:p w14:paraId="3032856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BD7A9F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41058C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282" w:type="pct"/>
            <w:vMerge w:val="continue"/>
            <w:tcBorders>
              <w:tl2br w:val="nil"/>
              <w:tr2bl w:val="nil"/>
            </w:tcBorders>
            <w:noWrap w:val="0"/>
            <w:vAlign w:val="center"/>
          </w:tcPr>
          <w:p w14:paraId="4A3F869B">
            <w:pPr>
              <w:jc w:val="center"/>
              <w:rPr>
                <w:rFonts w:hint="eastAsia" w:ascii="微软雅黑" w:hAnsi="微软雅黑" w:eastAsia="微软雅黑" w:cs="微软雅黑"/>
                <w:i w:val="0"/>
                <w:iCs w:val="0"/>
                <w:color w:val="000000"/>
                <w:sz w:val="20"/>
                <w:szCs w:val="20"/>
                <w:u w:val="none"/>
              </w:rPr>
            </w:pPr>
          </w:p>
        </w:tc>
      </w:tr>
      <w:tr w14:paraId="48EAEA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6C12A75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99971C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9E32778">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282" w:type="pct"/>
            <w:vMerge w:val="continue"/>
            <w:tcBorders>
              <w:tl2br w:val="nil"/>
              <w:tr2bl w:val="nil"/>
            </w:tcBorders>
            <w:noWrap w:val="0"/>
            <w:vAlign w:val="center"/>
          </w:tcPr>
          <w:p w14:paraId="5BF7F1C1">
            <w:pPr>
              <w:jc w:val="center"/>
              <w:rPr>
                <w:rFonts w:hint="eastAsia" w:ascii="微软雅黑" w:hAnsi="微软雅黑" w:eastAsia="微软雅黑" w:cs="微软雅黑"/>
                <w:i w:val="0"/>
                <w:iCs w:val="0"/>
                <w:color w:val="000000"/>
                <w:sz w:val="20"/>
                <w:szCs w:val="20"/>
                <w:u w:val="none"/>
              </w:rPr>
            </w:pPr>
          </w:p>
        </w:tc>
      </w:tr>
      <w:tr w14:paraId="269070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991CBC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D117E5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0296B99">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（5）知识手册：</w:t>
            </w:r>
          </w:p>
        </w:tc>
        <w:tc>
          <w:tcPr>
            <w:tcW w:w="282" w:type="pct"/>
            <w:vMerge w:val="continue"/>
            <w:tcBorders>
              <w:tl2br w:val="nil"/>
              <w:tr2bl w:val="nil"/>
            </w:tcBorders>
            <w:noWrap w:val="0"/>
            <w:vAlign w:val="center"/>
          </w:tcPr>
          <w:p w14:paraId="4A3F9AD9">
            <w:pPr>
              <w:jc w:val="center"/>
              <w:rPr>
                <w:rFonts w:hint="eastAsia" w:ascii="微软雅黑" w:hAnsi="微软雅黑" w:eastAsia="微软雅黑" w:cs="微软雅黑"/>
                <w:i w:val="0"/>
                <w:iCs w:val="0"/>
                <w:color w:val="000000"/>
                <w:sz w:val="20"/>
                <w:szCs w:val="20"/>
                <w:u w:val="none"/>
              </w:rPr>
            </w:pPr>
          </w:p>
        </w:tc>
      </w:tr>
      <w:tr w14:paraId="3D476E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04D47E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54A096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E661C09">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282" w:type="pct"/>
            <w:vMerge w:val="continue"/>
            <w:tcBorders>
              <w:tl2br w:val="nil"/>
              <w:tr2bl w:val="nil"/>
            </w:tcBorders>
            <w:noWrap w:val="0"/>
            <w:vAlign w:val="center"/>
          </w:tcPr>
          <w:p w14:paraId="14B8C575">
            <w:pPr>
              <w:jc w:val="center"/>
              <w:rPr>
                <w:rFonts w:hint="eastAsia" w:ascii="微软雅黑" w:hAnsi="微软雅黑" w:eastAsia="微软雅黑" w:cs="微软雅黑"/>
                <w:i w:val="0"/>
                <w:iCs w:val="0"/>
                <w:color w:val="000000"/>
                <w:sz w:val="20"/>
                <w:szCs w:val="20"/>
                <w:u w:val="none"/>
              </w:rPr>
            </w:pPr>
          </w:p>
        </w:tc>
      </w:tr>
      <w:tr w14:paraId="2D96EC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3349448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09B993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28680B1">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282" w:type="pct"/>
            <w:vMerge w:val="continue"/>
            <w:tcBorders>
              <w:tl2br w:val="nil"/>
              <w:tr2bl w:val="nil"/>
            </w:tcBorders>
            <w:noWrap w:val="0"/>
            <w:vAlign w:val="center"/>
          </w:tcPr>
          <w:p w14:paraId="63BBE2C1">
            <w:pPr>
              <w:jc w:val="center"/>
              <w:rPr>
                <w:rFonts w:hint="eastAsia" w:ascii="微软雅黑" w:hAnsi="微软雅黑" w:eastAsia="微软雅黑" w:cs="微软雅黑"/>
                <w:i w:val="0"/>
                <w:iCs w:val="0"/>
                <w:color w:val="000000"/>
                <w:sz w:val="20"/>
                <w:szCs w:val="20"/>
                <w:u w:val="none"/>
              </w:rPr>
            </w:pPr>
          </w:p>
        </w:tc>
      </w:tr>
      <w:tr w14:paraId="043E9C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5" w:type="pct"/>
            <w:vMerge w:val="restart"/>
            <w:tcBorders>
              <w:tl2br w:val="nil"/>
              <w:tr2bl w:val="nil"/>
            </w:tcBorders>
            <w:noWrap w:val="0"/>
            <w:vAlign w:val="center"/>
          </w:tcPr>
          <w:p w14:paraId="5266298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457" w:type="pct"/>
            <w:vMerge w:val="restart"/>
            <w:tcBorders>
              <w:tl2br w:val="nil"/>
              <w:tr2bl w:val="nil"/>
            </w:tcBorders>
            <w:noWrap w:val="0"/>
            <w:vAlign w:val="center"/>
          </w:tcPr>
          <w:p w14:paraId="10741E0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装调实训无人机备件库（多旋翼）</w:t>
            </w:r>
          </w:p>
        </w:tc>
        <w:tc>
          <w:tcPr>
            <w:tcW w:w="4025" w:type="pct"/>
            <w:vMerge w:val="restart"/>
            <w:tcBorders>
              <w:tl2br w:val="nil"/>
              <w:tr2bl w:val="nil"/>
            </w:tcBorders>
            <w:noWrap w:val="0"/>
            <w:vAlign w:val="center"/>
          </w:tcPr>
          <w:p w14:paraId="1658740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装调实训无人机备件库（多旋翼）是针对无人机准备的备件支持模块，以便快速更换损坏部件，从而保障设备的正常使用，至少包含桨叶、窄体无刷电调、无刷电机、装调无人机动力电池、装调无人机机臂、装调无人机脚架、装调无人机下中心板、装调无人机配套螺丝。</w:t>
            </w:r>
          </w:p>
        </w:tc>
        <w:tc>
          <w:tcPr>
            <w:tcW w:w="282" w:type="pct"/>
            <w:vMerge w:val="restart"/>
            <w:tcBorders>
              <w:tl2br w:val="nil"/>
              <w:tr2bl w:val="nil"/>
            </w:tcBorders>
            <w:noWrap w:val="0"/>
            <w:vAlign w:val="center"/>
          </w:tcPr>
          <w:p w14:paraId="00DD9B6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r>
      <w:tr w14:paraId="1F3B48A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35" w:type="pct"/>
            <w:vMerge w:val="continue"/>
            <w:tcBorders>
              <w:tl2br w:val="nil"/>
              <w:tr2bl w:val="nil"/>
            </w:tcBorders>
            <w:noWrap w:val="0"/>
            <w:vAlign w:val="center"/>
          </w:tcPr>
          <w:p w14:paraId="759ED3D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451C45B">
            <w:pPr>
              <w:jc w:val="left"/>
              <w:rPr>
                <w:rFonts w:hint="eastAsia" w:ascii="微软雅黑" w:hAnsi="微软雅黑" w:eastAsia="微软雅黑" w:cs="微软雅黑"/>
                <w:i w:val="0"/>
                <w:iCs w:val="0"/>
                <w:color w:val="000000"/>
                <w:sz w:val="20"/>
                <w:szCs w:val="20"/>
                <w:u w:val="none"/>
              </w:rPr>
            </w:pPr>
          </w:p>
        </w:tc>
        <w:tc>
          <w:tcPr>
            <w:tcW w:w="4025" w:type="pct"/>
            <w:vMerge w:val="continue"/>
            <w:tcBorders>
              <w:tl2br w:val="nil"/>
              <w:tr2bl w:val="nil"/>
            </w:tcBorders>
            <w:noWrap w:val="0"/>
            <w:vAlign w:val="center"/>
          </w:tcPr>
          <w:p w14:paraId="29C7570A">
            <w:pPr>
              <w:jc w:val="left"/>
              <w:rPr>
                <w:rFonts w:hint="eastAsia" w:ascii="微软雅黑" w:hAnsi="微软雅黑" w:eastAsia="微软雅黑" w:cs="微软雅黑"/>
                <w:i w:val="0"/>
                <w:iCs w:val="0"/>
                <w:color w:val="000000"/>
                <w:sz w:val="20"/>
                <w:szCs w:val="20"/>
                <w:u w:val="none"/>
              </w:rPr>
            </w:pPr>
          </w:p>
        </w:tc>
        <w:tc>
          <w:tcPr>
            <w:tcW w:w="282" w:type="pct"/>
            <w:vMerge w:val="continue"/>
            <w:tcBorders>
              <w:tl2br w:val="nil"/>
              <w:tr2bl w:val="nil"/>
            </w:tcBorders>
            <w:noWrap w:val="0"/>
            <w:vAlign w:val="center"/>
          </w:tcPr>
          <w:p w14:paraId="7F303B8D">
            <w:pPr>
              <w:jc w:val="center"/>
              <w:rPr>
                <w:rFonts w:hint="eastAsia" w:ascii="微软雅黑" w:hAnsi="微软雅黑" w:eastAsia="微软雅黑" w:cs="微软雅黑"/>
                <w:i w:val="0"/>
                <w:iCs w:val="0"/>
                <w:color w:val="000000"/>
                <w:sz w:val="20"/>
                <w:szCs w:val="20"/>
                <w:u w:val="none"/>
              </w:rPr>
            </w:pPr>
          </w:p>
        </w:tc>
      </w:tr>
      <w:tr w14:paraId="46C0D3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5" w:type="pct"/>
            <w:vMerge w:val="restart"/>
            <w:tcBorders>
              <w:tl2br w:val="nil"/>
              <w:tr2bl w:val="nil"/>
            </w:tcBorders>
            <w:noWrap w:val="0"/>
            <w:vAlign w:val="center"/>
          </w:tcPr>
          <w:p w14:paraId="1119107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457" w:type="pct"/>
            <w:vMerge w:val="restart"/>
            <w:tcBorders>
              <w:tl2br w:val="nil"/>
              <w:tr2bl w:val="nil"/>
            </w:tcBorders>
            <w:noWrap w:val="0"/>
            <w:vAlign w:val="center"/>
          </w:tcPr>
          <w:p w14:paraId="7F10816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无人机装调实训工具箱</w:t>
            </w:r>
          </w:p>
        </w:tc>
        <w:tc>
          <w:tcPr>
            <w:tcW w:w="4025" w:type="pct"/>
            <w:vMerge w:val="restart"/>
            <w:tcBorders>
              <w:tl2br w:val="nil"/>
              <w:tr2bl w:val="nil"/>
            </w:tcBorders>
            <w:noWrap w:val="0"/>
            <w:vAlign w:val="center"/>
          </w:tcPr>
          <w:p w14:paraId="46ADB5A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装调实训工具箱是针对无人机准备的工具支持模块，为无人机拆装、维修实训任务提供支持，整体采用箱式设计，箱体采用航空箱材质，内衬采用EVA海绵材质；至少包含M1.5内六角螺丝刀、M2.0内六角螺丝刀、M2.5内六角螺丝刀、M3.0内六角螺丝刀、一字螺丝刀、十字螺丝刀、斜口钳、剥线钳、壁纸刀、烙铁架、焊锡丝、松香、电烙铁、动力电池测电器、</w:t>
            </w:r>
            <w:r>
              <w:rPr>
                <w:rFonts w:hint="eastAsia" w:ascii="微软雅黑" w:hAnsi="微软雅黑" w:eastAsia="微软雅黑" w:cs="微软雅黑"/>
                <w:i w:val="0"/>
                <w:iCs w:val="0"/>
                <w:color w:val="000000"/>
                <w:kern w:val="0"/>
                <w:sz w:val="20"/>
                <w:szCs w:val="20"/>
                <w:highlight w:val="yellow"/>
                <w:u w:val="none"/>
                <w:lang w:val="en-US" w:eastAsia="zh-CN" w:bidi="ar"/>
              </w:rPr>
              <w:t>指针式</w:t>
            </w:r>
            <w:r>
              <w:rPr>
                <w:rFonts w:hint="eastAsia" w:ascii="微软雅黑" w:hAnsi="微软雅黑" w:eastAsia="微软雅黑" w:cs="微软雅黑"/>
                <w:i w:val="0"/>
                <w:iCs w:val="0"/>
                <w:color w:val="000000"/>
                <w:kern w:val="0"/>
                <w:sz w:val="20"/>
                <w:szCs w:val="20"/>
                <w:u w:val="none"/>
                <w:lang w:val="en-US" w:eastAsia="zh-CN" w:bidi="ar"/>
              </w:rPr>
              <w:t>万用表套装、水平测量柱、锉刀、螺丝胶、香蕉头焊台、试电笔、USB调参线、热熔胶枪。</w:t>
            </w:r>
          </w:p>
        </w:tc>
        <w:tc>
          <w:tcPr>
            <w:tcW w:w="282" w:type="pct"/>
            <w:vMerge w:val="restart"/>
            <w:tcBorders>
              <w:tl2br w:val="nil"/>
              <w:tr2bl w:val="nil"/>
            </w:tcBorders>
            <w:noWrap w:val="0"/>
            <w:vAlign w:val="center"/>
          </w:tcPr>
          <w:p w14:paraId="52AE62F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r>
      <w:tr w14:paraId="70AA2A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235" w:type="pct"/>
            <w:vMerge w:val="continue"/>
            <w:tcBorders>
              <w:tl2br w:val="nil"/>
              <w:tr2bl w:val="nil"/>
            </w:tcBorders>
            <w:noWrap w:val="0"/>
            <w:vAlign w:val="center"/>
          </w:tcPr>
          <w:p w14:paraId="4B539F6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CC123FC">
            <w:pPr>
              <w:jc w:val="left"/>
              <w:rPr>
                <w:rFonts w:hint="eastAsia" w:ascii="微软雅黑" w:hAnsi="微软雅黑" w:eastAsia="微软雅黑" w:cs="微软雅黑"/>
                <w:i w:val="0"/>
                <w:iCs w:val="0"/>
                <w:color w:val="000000"/>
                <w:sz w:val="20"/>
                <w:szCs w:val="20"/>
                <w:u w:val="none"/>
              </w:rPr>
            </w:pPr>
          </w:p>
        </w:tc>
        <w:tc>
          <w:tcPr>
            <w:tcW w:w="4025" w:type="pct"/>
            <w:vMerge w:val="continue"/>
            <w:tcBorders>
              <w:tl2br w:val="nil"/>
              <w:tr2bl w:val="nil"/>
            </w:tcBorders>
            <w:noWrap w:val="0"/>
            <w:vAlign w:val="center"/>
          </w:tcPr>
          <w:p w14:paraId="3EF7B950">
            <w:pPr>
              <w:jc w:val="left"/>
              <w:rPr>
                <w:rFonts w:hint="eastAsia" w:ascii="微软雅黑" w:hAnsi="微软雅黑" w:eastAsia="微软雅黑" w:cs="微软雅黑"/>
                <w:i w:val="0"/>
                <w:iCs w:val="0"/>
                <w:color w:val="000000"/>
                <w:sz w:val="20"/>
                <w:szCs w:val="20"/>
                <w:u w:val="none"/>
              </w:rPr>
            </w:pPr>
          </w:p>
        </w:tc>
        <w:tc>
          <w:tcPr>
            <w:tcW w:w="282" w:type="pct"/>
            <w:vMerge w:val="continue"/>
            <w:tcBorders>
              <w:tl2br w:val="nil"/>
              <w:tr2bl w:val="nil"/>
            </w:tcBorders>
            <w:noWrap w:val="0"/>
            <w:vAlign w:val="center"/>
          </w:tcPr>
          <w:p w14:paraId="743E220C">
            <w:pPr>
              <w:jc w:val="center"/>
              <w:rPr>
                <w:rFonts w:hint="eastAsia" w:ascii="微软雅黑" w:hAnsi="微软雅黑" w:eastAsia="微软雅黑" w:cs="微软雅黑"/>
                <w:i w:val="0"/>
                <w:iCs w:val="0"/>
                <w:color w:val="000000"/>
                <w:sz w:val="20"/>
                <w:szCs w:val="20"/>
                <w:u w:val="none"/>
              </w:rPr>
            </w:pPr>
          </w:p>
        </w:tc>
      </w:tr>
      <w:tr w14:paraId="49663FA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235" w:type="pct"/>
            <w:vMerge w:val="restart"/>
            <w:tcBorders>
              <w:tl2br w:val="nil"/>
              <w:tr2bl w:val="nil"/>
            </w:tcBorders>
            <w:noWrap w:val="0"/>
            <w:vAlign w:val="center"/>
          </w:tcPr>
          <w:p w14:paraId="3454E68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457" w:type="pct"/>
            <w:vMerge w:val="restart"/>
            <w:tcBorders>
              <w:tl2br w:val="nil"/>
              <w:tr2bl w:val="nil"/>
            </w:tcBorders>
            <w:noWrap w:val="0"/>
            <w:vAlign w:val="center"/>
          </w:tcPr>
          <w:p w14:paraId="4A4902E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防静电工作台</w:t>
            </w:r>
          </w:p>
        </w:tc>
        <w:tc>
          <w:tcPr>
            <w:tcW w:w="4025" w:type="pct"/>
            <w:tcBorders>
              <w:tl2br w:val="nil"/>
              <w:tr2bl w:val="nil"/>
            </w:tcBorders>
            <w:noWrap w:val="0"/>
            <w:vAlign w:val="center"/>
          </w:tcPr>
          <w:p w14:paraId="4C3A17D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1.由防静电工作台、立面挂板、储物抽屉组成；</w:t>
            </w:r>
          </w:p>
        </w:tc>
        <w:tc>
          <w:tcPr>
            <w:tcW w:w="282" w:type="pct"/>
            <w:vMerge w:val="restart"/>
            <w:tcBorders>
              <w:tl2br w:val="nil"/>
              <w:tr2bl w:val="nil"/>
            </w:tcBorders>
            <w:noWrap w:val="0"/>
            <w:vAlign w:val="center"/>
          </w:tcPr>
          <w:p w14:paraId="11FAD65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r>
      <w:tr w14:paraId="03F8AB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235" w:type="pct"/>
            <w:vMerge w:val="continue"/>
            <w:tcBorders>
              <w:tl2br w:val="nil"/>
              <w:tr2bl w:val="nil"/>
            </w:tcBorders>
            <w:noWrap w:val="0"/>
            <w:vAlign w:val="center"/>
          </w:tcPr>
          <w:p w14:paraId="07492C9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4EEE6F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52D45C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2.总高度：≥1500mm；</w:t>
            </w:r>
          </w:p>
        </w:tc>
        <w:tc>
          <w:tcPr>
            <w:tcW w:w="282" w:type="pct"/>
            <w:vMerge w:val="continue"/>
            <w:tcBorders>
              <w:tl2br w:val="nil"/>
              <w:tr2bl w:val="nil"/>
            </w:tcBorders>
            <w:noWrap w:val="0"/>
            <w:vAlign w:val="center"/>
          </w:tcPr>
          <w:p w14:paraId="5CD1192D">
            <w:pPr>
              <w:jc w:val="center"/>
              <w:rPr>
                <w:rFonts w:hint="eastAsia" w:ascii="微软雅黑" w:hAnsi="微软雅黑" w:eastAsia="微软雅黑" w:cs="微软雅黑"/>
                <w:i w:val="0"/>
                <w:iCs w:val="0"/>
                <w:color w:val="000000"/>
                <w:sz w:val="20"/>
                <w:szCs w:val="20"/>
                <w:u w:val="none"/>
              </w:rPr>
            </w:pPr>
          </w:p>
        </w:tc>
      </w:tr>
      <w:tr w14:paraId="48A117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FD5881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0988E7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D3B0D6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3.桌面高度：≥750mm；</w:t>
            </w:r>
          </w:p>
        </w:tc>
        <w:tc>
          <w:tcPr>
            <w:tcW w:w="282" w:type="pct"/>
            <w:vMerge w:val="continue"/>
            <w:tcBorders>
              <w:tl2br w:val="nil"/>
              <w:tr2bl w:val="nil"/>
            </w:tcBorders>
            <w:noWrap w:val="0"/>
            <w:vAlign w:val="center"/>
          </w:tcPr>
          <w:p w14:paraId="6FD7898E">
            <w:pPr>
              <w:jc w:val="center"/>
              <w:rPr>
                <w:rFonts w:hint="eastAsia" w:ascii="微软雅黑" w:hAnsi="微软雅黑" w:eastAsia="微软雅黑" w:cs="微软雅黑"/>
                <w:i w:val="0"/>
                <w:iCs w:val="0"/>
                <w:color w:val="000000"/>
                <w:sz w:val="20"/>
                <w:szCs w:val="20"/>
                <w:u w:val="none"/>
              </w:rPr>
            </w:pPr>
          </w:p>
        </w:tc>
      </w:tr>
      <w:tr w14:paraId="43A84A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BA7605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1F0579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462BC7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4.挂板+灯高度：≥800mm</w:t>
            </w:r>
          </w:p>
        </w:tc>
        <w:tc>
          <w:tcPr>
            <w:tcW w:w="282" w:type="pct"/>
            <w:vMerge w:val="continue"/>
            <w:tcBorders>
              <w:tl2br w:val="nil"/>
              <w:tr2bl w:val="nil"/>
            </w:tcBorders>
            <w:noWrap w:val="0"/>
            <w:vAlign w:val="center"/>
          </w:tcPr>
          <w:p w14:paraId="52B3E855">
            <w:pPr>
              <w:jc w:val="center"/>
              <w:rPr>
                <w:rFonts w:hint="eastAsia" w:ascii="微软雅黑" w:hAnsi="微软雅黑" w:eastAsia="微软雅黑" w:cs="微软雅黑"/>
                <w:i w:val="0"/>
                <w:iCs w:val="0"/>
                <w:color w:val="000000"/>
                <w:sz w:val="20"/>
                <w:szCs w:val="20"/>
                <w:u w:val="none"/>
              </w:rPr>
            </w:pPr>
          </w:p>
        </w:tc>
      </w:tr>
      <w:tr w14:paraId="38505D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3D2162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999A58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06AD49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5.桌面长度：≥1500mm；</w:t>
            </w:r>
          </w:p>
        </w:tc>
        <w:tc>
          <w:tcPr>
            <w:tcW w:w="282" w:type="pct"/>
            <w:vMerge w:val="continue"/>
            <w:tcBorders>
              <w:tl2br w:val="nil"/>
              <w:tr2bl w:val="nil"/>
            </w:tcBorders>
            <w:noWrap w:val="0"/>
            <w:vAlign w:val="center"/>
          </w:tcPr>
          <w:p w14:paraId="5E6E9F90">
            <w:pPr>
              <w:jc w:val="center"/>
              <w:rPr>
                <w:rFonts w:hint="eastAsia" w:ascii="微软雅黑" w:hAnsi="微软雅黑" w:eastAsia="微软雅黑" w:cs="微软雅黑"/>
                <w:i w:val="0"/>
                <w:iCs w:val="0"/>
                <w:color w:val="000000"/>
                <w:sz w:val="20"/>
                <w:szCs w:val="20"/>
                <w:u w:val="none"/>
              </w:rPr>
            </w:pPr>
          </w:p>
        </w:tc>
      </w:tr>
      <w:tr w14:paraId="58246E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8F561F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33668E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6194B8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6.桌面宽度：≥700mm；</w:t>
            </w:r>
          </w:p>
        </w:tc>
        <w:tc>
          <w:tcPr>
            <w:tcW w:w="282" w:type="pct"/>
            <w:vMerge w:val="continue"/>
            <w:tcBorders>
              <w:tl2br w:val="nil"/>
              <w:tr2bl w:val="nil"/>
            </w:tcBorders>
            <w:noWrap w:val="0"/>
            <w:vAlign w:val="center"/>
          </w:tcPr>
          <w:p w14:paraId="58281AA7">
            <w:pPr>
              <w:jc w:val="center"/>
              <w:rPr>
                <w:rFonts w:hint="eastAsia" w:ascii="微软雅黑" w:hAnsi="微软雅黑" w:eastAsia="微软雅黑" w:cs="微软雅黑"/>
                <w:i w:val="0"/>
                <w:iCs w:val="0"/>
                <w:color w:val="000000"/>
                <w:sz w:val="20"/>
                <w:szCs w:val="20"/>
                <w:u w:val="none"/>
              </w:rPr>
            </w:pPr>
          </w:p>
        </w:tc>
      </w:tr>
      <w:tr w14:paraId="447439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40FEDE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08C025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54B636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7.承重：≥800KG；</w:t>
            </w:r>
          </w:p>
        </w:tc>
        <w:tc>
          <w:tcPr>
            <w:tcW w:w="282" w:type="pct"/>
            <w:vMerge w:val="continue"/>
            <w:tcBorders>
              <w:tl2br w:val="nil"/>
              <w:tr2bl w:val="nil"/>
            </w:tcBorders>
            <w:noWrap w:val="0"/>
            <w:vAlign w:val="center"/>
          </w:tcPr>
          <w:p w14:paraId="5C95C57E">
            <w:pPr>
              <w:jc w:val="center"/>
              <w:rPr>
                <w:rFonts w:hint="eastAsia" w:ascii="微软雅黑" w:hAnsi="微软雅黑" w:eastAsia="微软雅黑" w:cs="微软雅黑"/>
                <w:i w:val="0"/>
                <w:iCs w:val="0"/>
                <w:color w:val="000000"/>
                <w:sz w:val="20"/>
                <w:szCs w:val="20"/>
                <w:u w:val="none"/>
              </w:rPr>
            </w:pPr>
          </w:p>
        </w:tc>
      </w:tr>
      <w:tr w14:paraId="60D6A4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E7A2C8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A2A062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B3E3DC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8.桌面：台面覆盖层采用不少于2mm厚度防静电胶皮；</w:t>
            </w:r>
          </w:p>
        </w:tc>
        <w:tc>
          <w:tcPr>
            <w:tcW w:w="282" w:type="pct"/>
            <w:vMerge w:val="continue"/>
            <w:tcBorders>
              <w:tl2br w:val="nil"/>
              <w:tr2bl w:val="nil"/>
            </w:tcBorders>
            <w:noWrap w:val="0"/>
            <w:vAlign w:val="center"/>
          </w:tcPr>
          <w:p w14:paraId="708B27F6">
            <w:pPr>
              <w:jc w:val="center"/>
              <w:rPr>
                <w:rFonts w:hint="eastAsia" w:ascii="微软雅黑" w:hAnsi="微软雅黑" w:eastAsia="微软雅黑" w:cs="微软雅黑"/>
                <w:i w:val="0"/>
                <w:iCs w:val="0"/>
                <w:color w:val="000000"/>
                <w:sz w:val="20"/>
                <w:szCs w:val="20"/>
                <w:u w:val="none"/>
              </w:rPr>
            </w:pPr>
          </w:p>
        </w:tc>
      </w:tr>
      <w:tr w14:paraId="03033D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7D9D33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AE5FD8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ABAFEC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9.面板：总厚度不少于50mm的高压成型纤维耐磨板；</w:t>
            </w:r>
          </w:p>
        </w:tc>
        <w:tc>
          <w:tcPr>
            <w:tcW w:w="282" w:type="pct"/>
            <w:vMerge w:val="continue"/>
            <w:tcBorders>
              <w:tl2br w:val="nil"/>
              <w:tr2bl w:val="nil"/>
            </w:tcBorders>
            <w:noWrap w:val="0"/>
            <w:vAlign w:val="center"/>
          </w:tcPr>
          <w:p w14:paraId="26E679E0">
            <w:pPr>
              <w:jc w:val="center"/>
              <w:rPr>
                <w:rFonts w:hint="eastAsia" w:ascii="微软雅黑" w:hAnsi="微软雅黑" w:eastAsia="微软雅黑" w:cs="微软雅黑"/>
                <w:i w:val="0"/>
                <w:iCs w:val="0"/>
                <w:color w:val="000000"/>
                <w:sz w:val="20"/>
                <w:szCs w:val="20"/>
                <w:u w:val="none"/>
              </w:rPr>
            </w:pPr>
          </w:p>
        </w:tc>
      </w:tr>
      <w:tr w14:paraId="0147C7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70096B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95AF87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635135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10.挂板：壁厚不少于1.0mm工业冷轧钢，带插座电源、灯及开关；</w:t>
            </w:r>
          </w:p>
        </w:tc>
        <w:tc>
          <w:tcPr>
            <w:tcW w:w="282" w:type="pct"/>
            <w:vMerge w:val="continue"/>
            <w:tcBorders>
              <w:tl2br w:val="nil"/>
              <w:tr2bl w:val="nil"/>
            </w:tcBorders>
            <w:noWrap w:val="0"/>
            <w:vAlign w:val="center"/>
          </w:tcPr>
          <w:p w14:paraId="7C80EB0D">
            <w:pPr>
              <w:jc w:val="center"/>
              <w:rPr>
                <w:rFonts w:hint="eastAsia" w:ascii="微软雅黑" w:hAnsi="微软雅黑" w:eastAsia="微软雅黑" w:cs="微软雅黑"/>
                <w:i w:val="0"/>
                <w:iCs w:val="0"/>
                <w:color w:val="000000"/>
                <w:sz w:val="20"/>
                <w:szCs w:val="20"/>
                <w:u w:val="none"/>
              </w:rPr>
            </w:pPr>
          </w:p>
        </w:tc>
      </w:tr>
      <w:tr w14:paraId="540AE4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6BA30D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0911C8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243E34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11.桌架：防锈漆，采用氩弧焊，酸洗磷化、静电喷涂、手工打磨。</w:t>
            </w:r>
          </w:p>
        </w:tc>
        <w:tc>
          <w:tcPr>
            <w:tcW w:w="282" w:type="pct"/>
            <w:vMerge w:val="continue"/>
            <w:tcBorders>
              <w:tl2br w:val="nil"/>
              <w:tr2bl w:val="nil"/>
            </w:tcBorders>
            <w:noWrap w:val="0"/>
            <w:vAlign w:val="center"/>
          </w:tcPr>
          <w:p w14:paraId="453ECC6A">
            <w:pPr>
              <w:jc w:val="center"/>
              <w:rPr>
                <w:rFonts w:hint="eastAsia" w:ascii="微软雅黑" w:hAnsi="微软雅黑" w:eastAsia="微软雅黑" w:cs="微软雅黑"/>
                <w:i w:val="0"/>
                <w:iCs w:val="0"/>
                <w:color w:val="000000"/>
                <w:sz w:val="20"/>
                <w:szCs w:val="20"/>
                <w:u w:val="none"/>
              </w:rPr>
            </w:pPr>
          </w:p>
        </w:tc>
      </w:tr>
      <w:tr w14:paraId="353B57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4DB15C0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457" w:type="pct"/>
            <w:vMerge w:val="restart"/>
            <w:tcBorders>
              <w:tl2br w:val="nil"/>
              <w:tr2bl w:val="nil"/>
            </w:tcBorders>
            <w:noWrap w:val="0"/>
            <w:vAlign w:val="center"/>
          </w:tcPr>
          <w:p w14:paraId="0F188E9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货架</w:t>
            </w:r>
          </w:p>
        </w:tc>
        <w:tc>
          <w:tcPr>
            <w:tcW w:w="4025" w:type="pct"/>
            <w:tcBorders>
              <w:tl2br w:val="nil"/>
              <w:tr2bl w:val="nil"/>
            </w:tcBorders>
            <w:noWrap w:val="0"/>
            <w:vAlign w:val="center"/>
          </w:tcPr>
          <w:p w14:paraId="4EF7F06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1.尺寸：≥1500mm×600mm×2000mm；</w:t>
            </w:r>
          </w:p>
        </w:tc>
        <w:tc>
          <w:tcPr>
            <w:tcW w:w="282" w:type="pct"/>
            <w:vMerge w:val="restart"/>
            <w:tcBorders>
              <w:tl2br w:val="nil"/>
              <w:tr2bl w:val="nil"/>
            </w:tcBorders>
            <w:noWrap w:val="0"/>
            <w:vAlign w:val="center"/>
          </w:tcPr>
          <w:p w14:paraId="4063295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14:paraId="3ECE03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761734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BC249B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C7F137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2.单层载重：≥100kg；</w:t>
            </w:r>
          </w:p>
        </w:tc>
        <w:tc>
          <w:tcPr>
            <w:tcW w:w="282" w:type="pct"/>
            <w:vMerge w:val="continue"/>
            <w:tcBorders>
              <w:tl2br w:val="nil"/>
              <w:tr2bl w:val="nil"/>
            </w:tcBorders>
            <w:noWrap w:val="0"/>
            <w:vAlign w:val="center"/>
          </w:tcPr>
          <w:p w14:paraId="7D2A12C9">
            <w:pPr>
              <w:jc w:val="center"/>
              <w:rPr>
                <w:rFonts w:hint="eastAsia" w:ascii="微软雅黑" w:hAnsi="微软雅黑" w:eastAsia="微软雅黑" w:cs="微软雅黑"/>
                <w:i w:val="0"/>
                <w:iCs w:val="0"/>
                <w:color w:val="000000"/>
                <w:sz w:val="20"/>
                <w:szCs w:val="20"/>
                <w:u w:val="none"/>
              </w:rPr>
            </w:pPr>
          </w:p>
        </w:tc>
      </w:tr>
      <w:tr w14:paraId="3F3870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879D32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9697DC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954EFD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3.层数：不少于4层；</w:t>
            </w:r>
          </w:p>
        </w:tc>
        <w:tc>
          <w:tcPr>
            <w:tcW w:w="282" w:type="pct"/>
            <w:vMerge w:val="continue"/>
            <w:tcBorders>
              <w:tl2br w:val="nil"/>
              <w:tr2bl w:val="nil"/>
            </w:tcBorders>
            <w:noWrap w:val="0"/>
            <w:vAlign w:val="center"/>
          </w:tcPr>
          <w:p w14:paraId="1E744843">
            <w:pPr>
              <w:jc w:val="center"/>
              <w:rPr>
                <w:rFonts w:hint="eastAsia" w:ascii="微软雅黑" w:hAnsi="微软雅黑" w:eastAsia="微软雅黑" w:cs="微软雅黑"/>
                <w:i w:val="0"/>
                <w:iCs w:val="0"/>
                <w:color w:val="000000"/>
                <w:sz w:val="20"/>
                <w:szCs w:val="20"/>
                <w:u w:val="none"/>
              </w:rPr>
            </w:pPr>
          </w:p>
        </w:tc>
      </w:tr>
      <w:tr w14:paraId="2BC8C9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557E0D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6E32FE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24467D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4.外观工艺：酸洗磷化、静电喷涂；</w:t>
            </w:r>
          </w:p>
        </w:tc>
        <w:tc>
          <w:tcPr>
            <w:tcW w:w="282" w:type="pct"/>
            <w:vMerge w:val="continue"/>
            <w:tcBorders>
              <w:tl2br w:val="nil"/>
              <w:tr2bl w:val="nil"/>
            </w:tcBorders>
            <w:noWrap w:val="0"/>
            <w:vAlign w:val="center"/>
          </w:tcPr>
          <w:p w14:paraId="684319F4">
            <w:pPr>
              <w:jc w:val="center"/>
              <w:rPr>
                <w:rFonts w:hint="eastAsia" w:ascii="微软雅黑" w:hAnsi="微软雅黑" w:eastAsia="微软雅黑" w:cs="微软雅黑"/>
                <w:i w:val="0"/>
                <w:iCs w:val="0"/>
                <w:color w:val="000000"/>
                <w:sz w:val="20"/>
                <w:szCs w:val="20"/>
                <w:u w:val="none"/>
              </w:rPr>
            </w:pPr>
          </w:p>
        </w:tc>
      </w:tr>
      <w:tr w14:paraId="19AB4A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4F932F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C3EFF0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3F843E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5.层板厚度：不低于1mm。</w:t>
            </w:r>
          </w:p>
        </w:tc>
        <w:tc>
          <w:tcPr>
            <w:tcW w:w="282" w:type="pct"/>
            <w:vMerge w:val="continue"/>
            <w:tcBorders>
              <w:tl2br w:val="nil"/>
              <w:tr2bl w:val="nil"/>
            </w:tcBorders>
            <w:noWrap w:val="0"/>
            <w:vAlign w:val="center"/>
          </w:tcPr>
          <w:p w14:paraId="03CB8F64">
            <w:pPr>
              <w:jc w:val="center"/>
              <w:rPr>
                <w:rFonts w:hint="eastAsia" w:ascii="微软雅黑" w:hAnsi="微软雅黑" w:eastAsia="微软雅黑" w:cs="微软雅黑"/>
                <w:i w:val="0"/>
                <w:iCs w:val="0"/>
                <w:color w:val="000000"/>
                <w:sz w:val="20"/>
                <w:szCs w:val="20"/>
                <w:u w:val="none"/>
              </w:rPr>
            </w:pPr>
          </w:p>
        </w:tc>
      </w:tr>
      <w:tr w14:paraId="59D0FE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35" w:type="pct"/>
            <w:tcBorders>
              <w:tl2br w:val="nil"/>
              <w:tr2bl w:val="nil"/>
            </w:tcBorders>
            <w:noWrap w:val="0"/>
            <w:vAlign w:val="center"/>
          </w:tcPr>
          <w:p w14:paraId="3DD8470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457" w:type="pct"/>
            <w:tcBorders>
              <w:tl2br w:val="nil"/>
              <w:tr2bl w:val="nil"/>
            </w:tcBorders>
            <w:noWrap w:val="0"/>
            <w:vAlign w:val="center"/>
          </w:tcPr>
          <w:p w14:paraId="5D28DCD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室内飞行笼</w:t>
            </w:r>
          </w:p>
        </w:tc>
        <w:tc>
          <w:tcPr>
            <w:tcW w:w="4025" w:type="pct"/>
            <w:tcBorders>
              <w:tl2br w:val="nil"/>
              <w:tr2bl w:val="nil"/>
            </w:tcBorders>
            <w:noWrap w:val="0"/>
            <w:vAlign w:val="center"/>
          </w:tcPr>
          <w:p w14:paraId="57D8A18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3m*3m定制</w:t>
            </w:r>
          </w:p>
        </w:tc>
        <w:tc>
          <w:tcPr>
            <w:tcW w:w="282" w:type="pct"/>
            <w:tcBorders>
              <w:tl2br w:val="nil"/>
              <w:tr2bl w:val="nil"/>
            </w:tcBorders>
            <w:noWrap w:val="0"/>
            <w:vAlign w:val="center"/>
          </w:tcPr>
          <w:p w14:paraId="0EC6657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14:paraId="56C14A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5C257FB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457" w:type="pct"/>
            <w:vMerge w:val="restart"/>
            <w:tcBorders>
              <w:tl2br w:val="nil"/>
              <w:tr2bl w:val="nil"/>
            </w:tcBorders>
            <w:noWrap w:val="0"/>
            <w:vAlign w:val="center"/>
          </w:tcPr>
          <w:p w14:paraId="731BF353">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小型无人机执照飞行实训平台（三类）</w:t>
            </w:r>
          </w:p>
        </w:tc>
        <w:tc>
          <w:tcPr>
            <w:tcW w:w="4025" w:type="pct"/>
            <w:tcBorders>
              <w:tl2br w:val="nil"/>
              <w:tr2bl w:val="nil"/>
            </w:tcBorders>
            <w:noWrap w:val="0"/>
            <w:vAlign w:val="center"/>
          </w:tcPr>
          <w:p w14:paraId="6968816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1.轴距：≥1050mm；</w:t>
            </w:r>
          </w:p>
        </w:tc>
        <w:tc>
          <w:tcPr>
            <w:tcW w:w="282" w:type="pct"/>
            <w:vMerge w:val="restart"/>
            <w:tcBorders>
              <w:tl2br w:val="nil"/>
              <w:tr2bl w:val="nil"/>
            </w:tcBorders>
            <w:noWrap w:val="0"/>
            <w:vAlign w:val="center"/>
          </w:tcPr>
          <w:p w14:paraId="410E6AB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r w14:paraId="022014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C643A1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0EBE870">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AD4DF9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2.旋翼数量：≥6；</w:t>
            </w:r>
          </w:p>
        </w:tc>
        <w:tc>
          <w:tcPr>
            <w:tcW w:w="282" w:type="pct"/>
            <w:vMerge w:val="continue"/>
            <w:tcBorders>
              <w:tl2br w:val="nil"/>
              <w:tr2bl w:val="nil"/>
            </w:tcBorders>
            <w:noWrap w:val="0"/>
            <w:vAlign w:val="center"/>
          </w:tcPr>
          <w:p w14:paraId="636A49E1">
            <w:pPr>
              <w:jc w:val="center"/>
              <w:rPr>
                <w:rFonts w:hint="eastAsia" w:ascii="微软雅黑" w:hAnsi="微软雅黑" w:eastAsia="微软雅黑" w:cs="微软雅黑"/>
                <w:i w:val="0"/>
                <w:iCs w:val="0"/>
                <w:color w:val="000000"/>
                <w:sz w:val="20"/>
                <w:szCs w:val="20"/>
                <w:u w:val="none"/>
              </w:rPr>
            </w:pPr>
          </w:p>
        </w:tc>
      </w:tr>
      <w:tr w14:paraId="386138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75482E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7C5B13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D6D4E8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3.机身折叠尺寸：≥550*460*650mm（高*长*宽）；</w:t>
            </w:r>
          </w:p>
        </w:tc>
        <w:tc>
          <w:tcPr>
            <w:tcW w:w="282" w:type="pct"/>
            <w:vMerge w:val="continue"/>
            <w:tcBorders>
              <w:tl2br w:val="nil"/>
              <w:tr2bl w:val="nil"/>
            </w:tcBorders>
            <w:noWrap w:val="0"/>
            <w:vAlign w:val="center"/>
          </w:tcPr>
          <w:p w14:paraId="02EF1E14">
            <w:pPr>
              <w:jc w:val="center"/>
              <w:rPr>
                <w:rFonts w:hint="eastAsia" w:ascii="微软雅黑" w:hAnsi="微软雅黑" w:eastAsia="微软雅黑" w:cs="微软雅黑"/>
                <w:i w:val="0"/>
                <w:iCs w:val="0"/>
                <w:color w:val="000000"/>
                <w:sz w:val="20"/>
                <w:szCs w:val="20"/>
                <w:u w:val="none"/>
              </w:rPr>
            </w:pPr>
          </w:p>
        </w:tc>
      </w:tr>
      <w:tr w14:paraId="015552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1F6D80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6A929A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49B572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4.空机重量：≤4.2KG（±0.5Kg）；</w:t>
            </w:r>
          </w:p>
        </w:tc>
        <w:tc>
          <w:tcPr>
            <w:tcW w:w="282" w:type="pct"/>
            <w:vMerge w:val="continue"/>
            <w:tcBorders>
              <w:tl2br w:val="nil"/>
              <w:tr2bl w:val="nil"/>
            </w:tcBorders>
            <w:noWrap w:val="0"/>
            <w:vAlign w:val="center"/>
          </w:tcPr>
          <w:p w14:paraId="5794F286">
            <w:pPr>
              <w:jc w:val="center"/>
              <w:rPr>
                <w:rFonts w:hint="eastAsia" w:ascii="微软雅黑" w:hAnsi="微软雅黑" w:eastAsia="微软雅黑" w:cs="微软雅黑"/>
                <w:i w:val="0"/>
                <w:iCs w:val="0"/>
                <w:color w:val="000000"/>
                <w:sz w:val="20"/>
                <w:szCs w:val="20"/>
                <w:u w:val="none"/>
              </w:rPr>
            </w:pPr>
          </w:p>
        </w:tc>
      </w:tr>
      <w:tr w14:paraId="2162EA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33B381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CDC337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6BD4F8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5.有效载荷：≥1.5KG；</w:t>
            </w:r>
          </w:p>
        </w:tc>
        <w:tc>
          <w:tcPr>
            <w:tcW w:w="282" w:type="pct"/>
            <w:vMerge w:val="continue"/>
            <w:tcBorders>
              <w:tl2br w:val="nil"/>
              <w:tr2bl w:val="nil"/>
            </w:tcBorders>
            <w:noWrap w:val="0"/>
            <w:vAlign w:val="center"/>
          </w:tcPr>
          <w:p w14:paraId="23C542E1">
            <w:pPr>
              <w:jc w:val="center"/>
              <w:rPr>
                <w:rFonts w:hint="eastAsia" w:ascii="微软雅黑" w:hAnsi="微软雅黑" w:eastAsia="微软雅黑" w:cs="微软雅黑"/>
                <w:i w:val="0"/>
                <w:iCs w:val="0"/>
                <w:color w:val="000000"/>
                <w:sz w:val="20"/>
                <w:szCs w:val="20"/>
                <w:u w:val="none"/>
              </w:rPr>
            </w:pPr>
          </w:p>
        </w:tc>
      </w:tr>
      <w:tr w14:paraId="7B7F09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86006A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4A02C50">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C3A740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6.悬停时间：≥25分钟；</w:t>
            </w:r>
          </w:p>
        </w:tc>
        <w:tc>
          <w:tcPr>
            <w:tcW w:w="282" w:type="pct"/>
            <w:vMerge w:val="continue"/>
            <w:tcBorders>
              <w:tl2br w:val="nil"/>
              <w:tr2bl w:val="nil"/>
            </w:tcBorders>
            <w:noWrap w:val="0"/>
            <w:vAlign w:val="center"/>
          </w:tcPr>
          <w:p w14:paraId="610DDC0F">
            <w:pPr>
              <w:jc w:val="center"/>
              <w:rPr>
                <w:rFonts w:hint="eastAsia" w:ascii="微软雅黑" w:hAnsi="微软雅黑" w:eastAsia="微软雅黑" w:cs="微软雅黑"/>
                <w:i w:val="0"/>
                <w:iCs w:val="0"/>
                <w:color w:val="000000"/>
                <w:sz w:val="20"/>
                <w:szCs w:val="20"/>
                <w:u w:val="none"/>
              </w:rPr>
            </w:pPr>
          </w:p>
        </w:tc>
      </w:tr>
      <w:tr w14:paraId="51DF1C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FB7BE3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CD5C84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FB661F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7.电机规格：≥400KV；电调型号：≥40A；桨叶≥17寸；</w:t>
            </w:r>
          </w:p>
        </w:tc>
        <w:tc>
          <w:tcPr>
            <w:tcW w:w="282" w:type="pct"/>
            <w:vMerge w:val="continue"/>
            <w:tcBorders>
              <w:tl2br w:val="nil"/>
              <w:tr2bl w:val="nil"/>
            </w:tcBorders>
            <w:noWrap w:val="0"/>
            <w:vAlign w:val="center"/>
          </w:tcPr>
          <w:p w14:paraId="0A69B3B2">
            <w:pPr>
              <w:jc w:val="center"/>
              <w:rPr>
                <w:rFonts w:hint="eastAsia" w:ascii="微软雅黑" w:hAnsi="微软雅黑" w:eastAsia="微软雅黑" w:cs="微软雅黑"/>
                <w:i w:val="0"/>
                <w:iCs w:val="0"/>
                <w:color w:val="000000"/>
                <w:sz w:val="20"/>
                <w:szCs w:val="20"/>
                <w:u w:val="none"/>
              </w:rPr>
            </w:pPr>
          </w:p>
        </w:tc>
      </w:tr>
      <w:tr w14:paraId="5424C8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10E1EE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856197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A8ED36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8.最大抗风能力：≥6级；最大偏航角速度：≥100度/秒；最大倾斜角度：≥30°；最大升降速度：上升5m/s±0.5m/s；下降4m/s±0.5m/s；</w:t>
            </w:r>
          </w:p>
        </w:tc>
        <w:tc>
          <w:tcPr>
            <w:tcW w:w="282" w:type="pct"/>
            <w:vMerge w:val="continue"/>
            <w:tcBorders>
              <w:tl2br w:val="nil"/>
              <w:tr2bl w:val="nil"/>
            </w:tcBorders>
            <w:noWrap w:val="0"/>
            <w:vAlign w:val="center"/>
          </w:tcPr>
          <w:p w14:paraId="42586505">
            <w:pPr>
              <w:jc w:val="center"/>
              <w:rPr>
                <w:rFonts w:hint="eastAsia" w:ascii="微软雅黑" w:hAnsi="微软雅黑" w:eastAsia="微软雅黑" w:cs="微软雅黑"/>
                <w:i w:val="0"/>
                <w:iCs w:val="0"/>
                <w:color w:val="000000"/>
                <w:sz w:val="20"/>
                <w:szCs w:val="20"/>
                <w:u w:val="none"/>
              </w:rPr>
            </w:pPr>
          </w:p>
        </w:tc>
      </w:tr>
      <w:tr w14:paraId="680C0F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7898BA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859D27D">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E708AC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9.遥控系统通道数量≥16通道；</w:t>
            </w:r>
          </w:p>
        </w:tc>
        <w:tc>
          <w:tcPr>
            <w:tcW w:w="282" w:type="pct"/>
            <w:vMerge w:val="continue"/>
            <w:tcBorders>
              <w:tl2br w:val="nil"/>
              <w:tr2bl w:val="nil"/>
            </w:tcBorders>
            <w:noWrap w:val="0"/>
            <w:vAlign w:val="center"/>
          </w:tcPr>
          <w:p w14:paraId="31A5F56F">
            <w:pPr>
              <w:jc w:val="center"/>
              <w:rPr>
                <w:rFonts w:hint="eastAsia" w:ascii="微软雅黑" w:hAnsi="微软雅黑" w:eastAsia="微软雅黑" w:cs="微软雅黑"/>
                <w:i w:val="0"/>
                <w:iCs w:val="0"/>
                <w:color w:val="000000"/>
                <w:sz w:val="20"/>
                <w:szCs w:val="20"/>
                <w:u w:val="none"/>
              </w:rPr>
            </w:pPr>
          </w:p>
        </w:tc>
      </w:tr>
      <w:tr w14:paraId="18FA14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CC3F06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CBE0CB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E7DF22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10.遥控器具备不少8个拨挡开关；旋钮开关不少于2个；至少具备教练接口；支持教练功能。</w:t>
            </w:r>
          </w:p>
        </w:tc>
        <w:tc>
          <w:tcPr>
            <w:tcW w:w="282" w:type="pct"/>
            <w:vMerge w:val="continue"/>
            <w:tcBorders>
              <w:tl2br w:val="nil"/>
              <w:tr2bl w:val="nil"/>
            </w:tcBorders>
            <w:noWrap w:val="0"/>
            <w:vAlign w:val="center"/>
          </w:tcPr>
          <w:p w14:paraId="09E1F263">
            <w:pPr>
              <w:jc w:val="center"/>
              <w:rPr>
                <w:rFonts w:hint="eastAsia" w:ascii="微软雅黑" w:hAnsi="微软雅黑" w:eastAsia="微软雅黑" w:cs="微软雅黑"/>
                <w:i w:val="0"/>
                <w:iCs w:val="0"/>
                <w:color w:val="000000"/>
                <w:sz w:val="20"/>
                <w:szCs w:val="20"/>
                <w:u w:val="none"/>
              </w:rPr>
            </w:pPr>
          </w:p>
        </w:tc>
      </w:tr>
      <w:tr w14:paraId="6D3A2C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FDC329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F926CE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F6B504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▲11.课程资源数量及内容要求（供应商提供以下教学资源截图，每个教学资源截图数量不少于3张）</w:t>
            </w:r>
          </w:p>
        </w:tc>
        <w:tc>
          <w:tcPr>
            <w:tcW w:w="282" w:type="pct"/>
            <w:vMerge w:val="continue"/>
            <w:tcBorders>
              <w:tl2br w:val="nil"/>
              <w:tr2bl w:val="nil"/>
            </w:tcBorders>
            <w:noWrap w:val="0"/>
            <w:vAlign w:val="center"/>
          </w:tcPr>
          <w:p w14:paraId="5F05E665">
            <w:pPr>
              <w:jc w:val="center"/>
              <w:rPr>
                <w:rFonts w:hint="eastAsia" w:ascii="微软雅黑" w:hAnsi="微软雅黑" w:eastAsia="微软雅黑" w:cs="微软雅黑"/>
                <w:i w:val="0"/>
                <w:iCs w:val="0"/>
                <w:color w:val="000000"/>
                <w:sz w:val="20"/>
                <w:szCs w:val="20"/>
                <w:u w:val="none"/>
              </w:rPr>
            </w:pPr>
          </w:p>
        </w:tc>
      </w:tr>
      <w:tr w14:paraId="7D6333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1B100E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883D1E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17F0F8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（1）课件（PPT）资源</w:t>
            </w:r>
          </w:p>
        </w:tc>
        <w:tc>
          <w:tcPr>
            <w:tcW w:w="282" w:type="pct"/>
            <w:vMerge w:val="continue"/>
            <w:tcBorders>
              <w:tl2br w:val="nil"/>
              <w:tr2bl w:val="nil"/>
            </w:tcBorders>
            <w:noWrap w:val="0"/>
            <w:vAlign w:val="center"/>
          </w:tcPr>
          <w:p w14:paraId="64AA4F63">
            <w:pPr>
              <w:jc w:val="center"/>
              <w:rPr>
                <w:rFonts w:hint="eastAsia" w:ascii="微软雅黑" w:hAnsi="微软雅黑" w:eastAsia="微软雅黑" w:cs="微软雅黑"/>
                <w:i w:val="0"/>
                <w:iCs w:val="0"/>
                <w:color w:val="000000"/>
                <w:sz w:val="20"/>
                <w:szCs w:val="20"/>
                <w:u w:val="none"/>
              </w:rPr>
            </w:pPr>
          </w:p>
        </w:tc>
      </w:tr>
      <w:tr w14:paraId="0A2F84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7813FD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3D8103A">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E3BBD6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①数量要求：≥4个,</w:t>
            </w:r>
            <w:r>
              <w:rPr>
                <w:rFonts w:hint="eastAsia" w:ascii="微软雅黑" w:hAnsi="微软雅黑" w:eastAsia="微软雅黑" w:cs="微软雅黑"/>
                <w:i w:val="0"/>
                <w:iCs w:val="0"/>
                <w:color w:val="000000"/>
                <w:kern w:val="0"/>
                <w:sz w:val="20"/>
                <w:szCs w:val="20"/>
                <w:highlight w:val="yellow"/>
                <w:u w:val="none"/>
                <w:lang w:val="en-US" w:eastAsia="zh-CN" w:bidi="ar"/>
              </w:rPr>
              <w:t>每个PPT课件不少于20页</w:t>
            </w:r>
            <w:r>
              <w:rPr>
                <w:rFonts w:hint="eastAsia" w:ascii="微软雅黑" w:hAnsi="微软雅黑" w:eastAsia="微软雅黑" w:cs="微软雅黑"/>
                <w:i w:val="0"/>
                <w:iCs w:val="0"/>
                <w:color w:val="000000"/>
                <w:kern w:val="0"/>
                <w:sz w:val="20"/>
                <w:szCs w:val="20"/>
                <w:u w:val="none"/>
                <w:lang w:val="en-US" w:eastAsia="zh-CN" w:bidi="ar"/>
              </w:rPr>
              <w:t>。</w:t>
            </w:r>
          </w:p>
        </w:tc>
        <w:tc>
          <w:tcPr>
            <w:tcW w:w="282" w:type="pct"/>
            <w:vMerge w:val="continue"/>
            <w:tcBorders>
              <w:tl2br w:val="nil"/>
              <w:tr2bl w:val="nil"/>
            </w:tcBorders>
            <w:noWrap w:val="0"/>
            <w:vAlign w:val="center"/>
          </w:tcPr>
          <w:p w14:paraId="438BAE35">
            <w:pPr>
              <w:jc w:val="center"/>
              <w:rPr>
                <w:rFonts w:hint="eastAsia" w:ascii="微软雅黑" w:hAnsi="微软雅黑" w:eastAsia="微软雅黑" w:cs="微软雅黑"/>
                <w:i w:val="0"/>
                <w:iCs w:val="0"/>
                <w:color w:val="000000"/>
                <w:sz w:val="20"/>
                <w:szCs w:val="20"/>
                <w:u w:val="none"/>
              </w:rPr>
            </w:pPr>
          </w:p>
        </w:tc>
      </w:tr>
      <w:tr w14:paraId="406369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93657E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CEE58D9">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FADAA4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②内容要求：至少包含无人机基础知识、无人机使用、无人机安全飞行和无人机维护与固件升级等。</w:t>
            </w:r>
          </w:p>
        </w:tc>
        <w:tc>
          <w:tcPr>
            <w:tcW w:w="282" w:type="pct"/>
            <w:vMerge w:val="continue"/>
            <w:tcBorders>
              <w:tl2br w:val="nil"/>
              <w:tr2bl w:val="nil"/>
            </w:tcBorders>
            <w:noWrap w:val="0"/>
            <w:vAlign w:val="center"/>
          </w:tcPr>
          <w:p w14:paraId="605B6D1C">
            <w:pPr>
              <w:jc w:val="center"/>
              <w:rPr>
                <w:rFonts w:hint="eastAsia" w:ascii="微软雅黑" w:hAnsi="微软雅黑" w:eastAsia="微软雅黑" w:cs="微软雅黑"/>
                <w:i w:val="0"/>
                <w:iCs w:val="0"/>
                <w:color w:val="000000"/>
                <w:sz w:val="20"/>
                <w:szCs w:val="20"/>
                <w:u w:val="none"/>
              </w:rPr>
            </w:pPr>
          </w:p>
        </w:tc>
      </w:tr>
      <w:tr w14:paraId="6068A7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A53EE6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65A8B4D">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B834C4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（2）视频资源</w:t>
            </w:r>
          </w:p>
        </w:tc>
        <w:tc>
          <w:tcPr>
            <w:tcW w:w="282" w:type="pct"/>
            <w:vMerge w:val="continue"/>
            <w:tcBorders>
              <w:tl2br w:val="nil"/>
              <w:tr2bl w:val="nil"/>
            </w:tcBorders>
            <w:noWrap w:val="0"/>
            <w:vAlign w:val="center"/>
          </w:tcPr>
          <w:p w14:paraId="441AA534">
            <w:pPr>
              <w:jc w:val="center"/>
              <w:rPr>
                <w:rFonts w:hint="eastAsia" w:ascii="微软雅黑" w:hAnsi="微软雅黑" w:eastAsia="微软雅黑" w:cs="微软雅黑"/>
                <w:i w:val="0"/>
                <w:iCs w:val="0"/>
                <w:color w:val="000000"/>
                <w:sz w:val="20"/>
                <w:szCs w:val="20"/>
                <w:u w:val="none"/>
              </w:rPr>
            </w:pPr>
          </w:p>
        </w:tc>
      </w:tr>
      <w:tr w14:paraId="4FB0A6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A8A8CE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3262E9C">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E4DFCD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①数量要求：≥3个。</w:t>
            </w:r>
          </w:p>
        </w:tc>
        <w:tc>
          <w:tcPr>
            <w:tcW w:w="282" w:type="pct"/>
            <w:vMerge w:val="continue"/>
            <w:tcBorders>
              <w:tl2br w:val="nil"/>
              <w:tr2bl w:val="nil"/>
            </w:tcBorders>
            <w:noWrap w:val="0"/>
            <w:vAlign w:val="center"/>
          </w:tcPr>
          <w:p w14:paraId="5AA784E5">
            <w:pPr>
              <w:jc w:val="center"/>
              <w:rPr>
                <w:rFonts w:hint="eastAsia" w:ascii="微软雅黑" w:hAnsi="微软雅黑" w:eastAsia="微软雅黑" w:cs="微软雅黑"/>
                <w:i w:val="0"/>
                <w:iCs w:val="0"/>
                <w:color w:val="000000"/>
                <w:sz w:val="20"/>
                <w:szCs w:val="20"/>
                <w:u w:val="none"/>
              </w:rPr>
            </w:pPr>
          </w:p>
        </w:tc>
      </w:tr>
      <w:tr w14:paraId="0B493E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5E97FB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2F9714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20A34E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②内容要求：至少包含无人机飞行基础知识、无人机飞行软件使用、无人机飞行前准备等。</w:t>
            </w:r>
          </w:p>
        </w:tc>
        <w:tc>
          <w:tcPr>
            <w:tcW w:w="282" w:type="pct"/>
            <w:vMerge w:val="continue"/>
            <w:tcBorders>
              <w:tl2br w:val="nil"/>
              <w:tr2bl w:val="nil"/>
            </w:tcBorders>
            <w:noWrap w:val="0"/>
            <w:vAlign w:val="center"/>
          </w:tcPr>
          <w:p w14:paraId="43F52712">
            <w:pPr>
              <w:jc w:val="center"/>
              <w:rPr>
                <w:rFonts w:hint="eastAsia" w:ascii="微软雅黑" w:hAnsi="微软雅黑" w:eastAsia="微软雅黑" w:cs="微软雅黑"/>
                <w:i w:val="0"/>
                <w:iCs w:val="0"/>
                <w:color w:val="000000"/>
                <w:sz w:val="20"/>
                <w:szCs w:val="20"/>
                <w:u w:val="none"/>
              </w:rPr>
            </w:pPr>
          </w:p>
        </w:tc>
      </w:tr>
      <w:tr w14:paraId="678700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9B426E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D645F60">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14C6B3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（3）动画资源</w:t>
            </w:r>
          </w:p>
        </w:tc>
        <w:tc>
          <w:tcPr>
            <w:tcW w:w="282" w:type="pct"/>
            <w:vMerge w:val="continue"/>
            <w:tcBorders>
              <w:tl2br w:val="nil"/>
              <w:tr2bl w:val="nil"/>
            </w:tcBorders>
            <w:noWrap w:val="0"/>
            <w:vAlign w:val="center"/>
          </w:tcPr>
          <w:p w14:paraId="74B9E1EE">
            <w:pPr>
              <w:jc w:val="center"/>
              <w:rPr>
                <w:rFonts w:hint="eastAsia" w:ascii="微软雅黑" w:hAnsi="微软雅黑" w:eastAsia="微软雅黑" w:cs="微软雅黑"/>
                <w:i w:val="0"/>
                <w:iCs w:val="0"/>
                <w:color w:val="000000"/>
                <w:sz w:val="20"/>
                <w:szCs w:val="20"/>
                <w:u w:val="none"/>
              </w:rPr>
            </w:pPr>
          </w:p>
        </w:tc>
      </w:tr>
      <w:tr w14:paraId="51C95D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35CB0C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DC7948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AD7864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①数量要求：≥13个。</w:t>
            </w:r>
          </w:p>
        </w:tc>
        <w:tc>
          <w:tcPr>
            <w:tcW w:w="282" w:type="pct"/>
            <w:vMerge w:val="continue"/>
            <w:tcBorders>
              <w:tl2br w:val="nil"/>
              <w:tr2bl w:val="nil"/>
            </w:tcBorders>
            <w:noWrap w:val="0"/>
            <w:vAlign w:val="center"/>
          </w:tcPr>
          <w:p w14:paraId="1CA77EAB">
            <w:pPr>
              <w:jc w:val="center"/>
              <w:rPr>
                <w:rFonts w:hint="eastAsia" w:ascii="微软雅黑" w:hAnsi="微软雅黑" w:eastAsia="微软雅黑" w:cs="微软雅黑"/>
                <w:i w:val="0"/>
                <w:iCs w:val="0"/>
                <w:color w:val="000000"/>
                <w:sz w:val="20"/>
                <w:szCs w:val="20"/>
                <w:u w:val="none"/>
              </w:rPr>
            </w:pPr>
          </w:p>
        </w:tc>
      </w:tr>
      <w:tr w14:paraId="6CB450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3B48F1E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C2F0BDA">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E8BEFB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空气动力学、无人机感知系统、无人机飞行模式、无人机RTK定位技术、无人机电机序号和方向、无人机动力系统、无人机飞控系统、无人机基本飞行动作、四轴平衡原理、通讯链路系统、无人机系统构成、无人机摇杆模式定义和多旋翼无人机定义等。</w:t>
            </w:r>
          </w:p>
        </w:tc>
        <w:tc>
          <w:tcPr>
            <w:tcW w:w="282" w:type="pct"/>
            <w:vMerge w:val="continue"/>
            <w:tcBorders>
              <w:tl2br w:val="nil"/>
              <w:tr2bl w:val="nil"/>
            </w:tcBorders>
            <w:noWrap w:val="0"/>
            <w:vAlign w:val="center"/>
          </w:tcPr>
          <w:p w14:paraId="0A386F1C">
            <w:pPr>
              <w:jc w:val="center"/>
              <w:rPr>
                <w:rFonts w:hint="eastAsia" w:ascii="微软雅黑" w:hAnsi="微软雅黑" w:eastAsia="微软雅黑" w:cs="微软雅黑"/>
                <w:i w:val="0"/>
                <w:iCs w:val="0"/>
                <w:color w:val="000000"/>
                <w:sz w:val="20"/>
                <w:szCs w:val="20"/>
                <w:u w:val="none"/>
              </w:rPr>
            </w:pPr>
          </w:p>
        </w:tc>
      </w:tr>
      <w:tr w14:paraId="0B57D9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9975A4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28F5550">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DE61BD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（4）题库资源</w:t>
            </w:r>
          </w:p>
        </w:tc>
        <w:tc>
          <w:tcPr>
            <w:tcW w:w="282" w:type="pct"/>
            <w:vMerge w:val="continue"/>
            <w:tcBorders>
              <w:tl2br w:val="nil"/>
              <w:tr2bl w:val="nil"/>
            </w:tcBorders>
            <w:noWrap w:val="0"/>
            <w:vAlign w:val="center"/>
          </w:tcPr>
          <w:p w14:paraId="22294B8B">
            <w:pPr>
              <w:jc w:val="center"/>
              <w:rPr>
                <w:rFonts w:hint="eastAsia" w:ascii="微软雅黑" w:hAnsi="微软雅黑" w:eastAsia="微软雅黑" w:cs="微软雅黑"/>
                <w:i w:val="0"/>
                <w:iCs w:val="0"/>
                <w:color w:val="000000"/>
                <w:sz w:val="20"/>
                <w:szCs w:val="20"/>
                <w:u w:val="none"/>
              </w:rPr>
            </w:pPr>
          </w:p>
        </w:tc>
      </w:tr>
      <w:tr w14:paraId="7B5B36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D7B0FC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A96D551">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AB5CBF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①数量要求：≥200道。</w:t>
            </w:r>
          </w:p>
        </w:tc>
        <w:tc>
          <w:tcPr>
            <w:tcW w:w="282" w:type="pct"/>
            <w:vMerge w:val="continue"/>
            <w:tcBorders>
              <w:tl2br w:val="nil"/>
              <w:tr2bl w:val="nil"/>
            </w:tcBorders>
            <w:noWrap w:val="0"/>
            <w:vAlign w:val="center"/>
          </w:tcPr>
          <w:p w14:paraId="60A1E6FD">
            <w:pPr>
              <w:jc w:val="center"/>
              <w:rPr>
                <w:rFonts w:hint="eastAsia" w:ascii="微软雅黑" w:hAnsi="微软雅黑" w:eastAsia="微软雅黑" w:cs="微软雅黑"/>
                <w:i w:val="0"/>
                <w:iCs w:val="0"/>
                <w:color w:val="000000"/>
                <w:sz w:val="20"/>
                <w:szCs w:val="20"/>
                <w:u w:val="none"/>
              </w:rPr>
            </w:pPr>
          </w:p>
        </w:tc>
      </w:tr>
      <w:tr w14:paraId="5B2B73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1A5003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FB7B672">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0E9140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②内容要求：至少包含无人机基础知识、无人机使用、无人机安全飞行和无人机维护与固件升级等方面知识要点。</w:t>
            </w:r>
          </w:p>
        </w:tc>
        <w:tc>
          <w:tcPr>
            <w:tcW w:w="282" w:type="pct"/>
            <w:vMerge w:val="continue"/>
            <w:tcBorders>
              <w:tl2br w:val="nil"/>
              <w:tr2bl w:val="nil"/>
            </w:tcBorders>
            <w:noWrap w:val="0"/>
            <w:vAlign w:val="center"/>
          </w:tcPr>
          <w:p w14:paraId="298C7D06">
            <w:pPr>
              <w:jc w:val="center"/>
              <w:rPr>
                <w:rFonts w:hint="eastAsia" w:ascii="微软雅黑" w:hAnsi="微软雅黑" w:eastAsia="微软雅黑" w:cs="微软雅黑"/>
                <w:i w:val="0"/>
                <w:iCs w:val="0"/>
                <w:color w:val="000000"/>
                <w:sz w:val="20"/>
                <w:szCs w:val="20"/>
                <w:u w:val="none"/>
              </w:rPr>
            </w:pPr>
          </w:p>
        </w:tc>
      </w:tr>
      <w:tr w14:paraId="779996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5183122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457" w:type="pct"/>
            <w:vMerge w:val="restart"/>
            <w:tcBorders>
              <w:tl2br w:val="nil"/>
              <w:tr2bl w:val="nil"/>
            </w:tcBorders>
            <w:noWrap w:val="0"/>
            <w:vAlign w:val="center"/>
          </w:tcPr>
          <w:p w14:paraId="18715808">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中型无人机执照飞行实训平台（四类）</w:t>
            </w:r>
          </w:p>
        </w:tc>
        <w:tc>
          <w:tcPr>
            <w:tcW w:w="4025" w:type="pct"/>
            <w:tcBorders>
              <w:tl2br w:val="nil"/>
              <w:tr2bl w:val="nil"/>
            </w:tcBorders>
            <w:noWrap w:val="0"/>
            <w:vAlign w:val="center"/>
          </w:tcPr>
          <w:p w14:paraId="02E67B8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1.轴距：≥1600MM；</w:t>
            </w:r>
          </w:p>
        </w:tc>
        <w:tc>
          <w:tcPr>
            <w:tcW w:w="282" w:type="pct"/>
            <w:vMerge w:val="restart"/>
            <w:tcBorders>
              <w:tl2br w:val="nil"/>
              <w:tr2bl w:val="nil"/>
            </w:tcBorders>
            <w:noWrap w:val="0"/>
            <w:vAlign w:val="center"/>
          </w:tcPr>
          <w:p w14:paraId="679E82C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r w14:paraId="134286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E7E4CF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7E479F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DA3974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2.旋翼数量：≥6；</w:t>
            </w:r>
          </w:p>
        </w:tc>
        <w:tc>
          <w:tcPr>
            <w:tcW w:w="282" w:type="pct"/>
            <w:vMerge w:val="continue"/>
            <w:tcBorders>
              <w:tl2br w:val="nil"/>
              <w:tr2bl w:val="nil"/>
            </w:tcBorders>
            <w:noWrap w:val="0"/>
            <w:vAlign w:val="center"/>
          </w:tcPr>
          <w:p w14:paraId="4E522009">
            <w:pPr>
              <w:jc w:val="center"/>
              <w:rPr>
                <w:rFonts w:hint="eastAsia" w:ascii="微软雅黑" w:hAnsi="微软雅黑" w:eastAsia="微软雅黑" w:cs="微软雅黑"/>
                <w:i w:val="0"/>
                <w:iCs w:val="0"/>
                <w:color w:val="000000"/>
                <w:sz w:val="20"/>
                <w:szCs w:val="20"/>
                <w:u w:val="none"/>
              </w:rPr>
            </w:pPr>
          </w:p>
        </w:tc>
      </w:tr>
      <w:tr w14:paraId="54824B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255205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2A7950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C9B93D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3.机身折叠尺寸：≥1135*1135*650mm（高*长*宽）；</w:t>
            </w:r>
          </w:p>
        </w:tc>
        <w:tc>
          <w:tcPr>
            <w:tcW w:w="282" w:type="pct"/>
            <w:vMerge w:val="continue"/>
            <w:tcBorders>
              <w:tl2br w:val="nil"/>
              <w:tr2bl w:val="nil"/>
            </w:tcBorders>
            <w:noWrap w:val="0"/>
            <w:vAlign w:val="center"/>
          </w:tcPr>
          <w:p w14:paraId="56BF0D70">
            <w:pPr>
              <w:jc w:val="center"/>
              <w:rPr>
                <w:rFonts w:hint="eastAsia" w:ascii="微软雅黑" w:hAnsi="微软雅黑" w:eastAsia="微软雅黑" w:cs="微软雅黑"/>
                <w:i w:val="0"/>
                <w:iCs w:val="0"/>
                <w:color w:val="000000"/>
                <w:sz w:val="20"/>
                <w:szCs w:val="20"/>
                <w:u w:val="none"/>
              </w:rPr>
            </w:pPr>
          </w:p>
        </w:tc>
      </w:tr>
      <w:tr w14:paraId="2448E2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E34547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5912DD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06D2C0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4.抗风等级：≥7级；防雨防尘：≥IP45；</w:t>
            </w:r>
          </w:p>
        </w:tc>
        <w:tc>
          <w:tcPr>
            <w:tcW w:w="282" w:type="pct"/>
            <w:vMerge w:val="continue"/>
            <w:tcBorders>
              <w:tl2br w:val="nil"/>
              <w:tr2bl w:val="nil"/>
            </w:tcBorders>
            <w:noWrap w:val="0"/>
            <w:vAlign w:val="center"/>
          </w:tcPr>
          <w:p w14:paraId="2B22AF86">
            <w:pPr>
              <w:jc w:val="center"/>
              <w:rPr>
                <w:rFonts w:hint="eastAsia" w:ascii="微软雅黑" w:hAnsi="微软雅黑" w:eastAsia="微软雅黑" w:cs="微软雅黑"/>
                <w:i w:val="0"/>
                <w:iCs w:val="0"/>
                <w:color w:val="000000"/>
                <w:sz w:val="20"/>
                <w:szCs w:val="20"/>
                <w:u w:val="none"/>
              </w:rPr>
            </w:pPr>
          </w:p>
        </w:tc>
      </w:tr>
      <w:tr w14:paraId="0294DF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6E3344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EEE905B">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763274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5.悬停时间：≥25分钟；</w:t>
            </w:r>
          </w:p>
        </w:tc>
        <w:tc>
          <w:tcPr>
            <w:tcW w:w="282" w:type="pct"/>
            <w:vMerge w:val="continue"/>
            <w:tcBorders>
              <w:tl2br w:val="nil"/>
              <w:tr2bl w:val="nil"/>
            </w:tcBorders>
            <w:noWrap w:val="0"/>
            <w:vAlign w:val="center"/>
          </w:tcPr>
          <w:p w14:paraId="2EE245CC">
            <w:pPr>
              <w:jc w:val="center"/>
              <w:rPr>
                <w:rFonts w:hint="eastAsia" w:ascii="微软雅黑" w:hAnsi="微软雅黑" w:eastAsia="微软雅黑" w:cs="微软雅黑"/>
                <w:i w:val="0"/>
                <w:iCs w:val="0"/>
                <w:color w:val="000000"/>
                <w:sz w:val="20"/>
                <w:szCs w:val="20"/>
                <w:u w:val="none"/>
              </w:rPr>
            </w:pPr>
          </w:p>
        </w:tc>
      </w:tr>
      <w:tr w14:paraId="3E96BD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945A25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D732DF4">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856EDA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6.有限载荷：≥15Kg；</w:t>
            </w:r>
          </w:p>
        </w:tc>
        <w:tc>
          <w:tcPr>
            <w:tcW w:w="282" w:type="pct"/>
            <w:vMerge w:val="continue"/>
            <w:tcBorders>
              <w:tl2br w:val="nil"/>
              <w:tr2bl w:val="nil"/>
            </w:tcBorders>
            <w:noWrap w:val="0"/>
            <w:vAlign w:val="center"/>
          </w:tcPr>
          <w:p w14:paraId="11E25A3B">
            <w:pPr>
              <w:jc w:val="center"/>
              <w:rPr>
                <w:rFonts w:hint="eastAsia" w:ascii="微软雅黑" w:hAnsi="微软雅黑" w:eastAsia="微软雅黑" w:cs="微软雅黑"/>
                <w:i w:val="0"/>
                <w:iCs w:val="0"/>
                <w:color w:val="000000"/>
                <w:sz w:val="20"/>
                <w:szCs w:val="20"/>
                <w:u w:val="none"/>
              </w:rPr>
            </w:pPr>
          </w:p>
        </w:tc>
      </w:tr>
      <w:tr w14:paraId="51711B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8E2104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39FA251">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4ED038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7.最大偏航角速度：≥100度/秒；最大倾斜角度：≥30°；最大升降速度：上升5m/s±0.5m/s；下降4m/s±0.5m/s；</w:t>
            </w:r>
          </w:p>
        </w:tc>
        <w:tc>
          <w:tcPr>
            <w:tcW w:w="282" w:type="pct"/>
            <w:vMerge w:val="continue"/>
            <w:tcBorders>
              <w:tl2br w:val="nil"/>
              <w:tr2bl w:val="nil"/>
            </w:tcBorders>
            <w:noWrap w:val="0"/>
            <w:vAlign w:val="center"/>
          </w:tcPr>
          <w:p w14:paraId="3699329B">
            <w:pPr>
              <w:jc w:val="center"/>
              <w:rPr>
                <w:rFonts w:hint="eastAsia" w:ascii="微软雅黑" w:hAnsi="微软雅黑" w:eastAsia="微软雅黑" w:cs="微软雅黑"/>
                <w:i w:val="0"/>
                <w:iCs w:val="0"/>
                <w:color w:val="000000"/>
                <w:sz w:val="20"/>
                <w:szCs w:val="20"/>
                <w:u w:val="none"/>
              </w:rPr>
            </w:pPr>
          </w:p>
        </w:tc>
      </w:tr>
      <w:tr w14:paraId="174CB2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AEE387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441BC4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44CAD5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8.遥控系统通道数量≥14通道；</w:t>
            </w:r>
          </w:p>
        </w:tc>
        <w:tc>
          <w:tcPr>
            <w:tcW w:w="282" w:type="pct"/>
            <w:vMerge w:val="continue"/>
            <w:tcBorders>
              <w:tl2br w:val="nil"/>
              <w:tr2bl w:val="nil"/>
            </w:tcBorders>
            <w:noWrap w:val="0"/>
            <w:vAlign w:val="center"/>
          </w:tcPr>
          <w:p w14:paraId="408A86D6">
            <w:pPr>
              <w:jc w:val="center"/>
              <w:rPr>
                <w:rFonts w:hint="eastAsia" w:ascii="微软雅黑" w:hAnsi="微软雅黑" w:eastAsia="微软雅黑" w:cs="微软雅黑"/>
                <w:i w:val="0"/>
                <w:iCs w:val="0"/>
                <w:color w:val="000000"/>
                <w:sz w:val="20"/>
                <w:szCs w:val="20"/>
                <w:u w:val="none"/>
              </w:rPr>
            </w:pPr>
          </w:p>
        </w:tc>
      </w:tr>
      <w:tr w14:paraId="350089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60F54A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810462D">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B94AFE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9.遥控器具备不少8个拨挡开关；旋钮开关不少于2个；至少具备教练接口；支持教练功能。</w:t>
            </w:r>
          </w:p>
        </w:tc>
        <w:tc>
          <w:tcPr>
            <w:tcW w:w="282" w:type="pct"/>
            <w:vMerge w:val="continue"/>
            <w:tcBorders>
              <w:tl2br w:val="nil"/>
              <w:tr2bl w:val="nil"/>
            </w:tcBorders>
            <w:noWrap w:val="0"/>
            <w:vAlign w:val="center"/>
          </w:tcPr>
          <w:p w14:paraId="43E38926">
            <w:pPr>
              <w:jc w:val="center"/>
              <w:rPr>
                <w:rFonts w:hint="eastAsia" w:ascii="微软雅黑" w:hAnsi="微软雅黑" w:eastAsia="微软雅黑" w:cs="微软雅黑"/>
                <w:i w:val="0"/>
                <w:iCs w:val="0"/>
                <w:color w:val="000000"/>
                <w:sz w:val="20"/>
                <w:szCs w:val="20"/>
                <w:u w:val="none"/>
              </w:rPr>
            </w:pPr>
          </w:p>
        </w:tc>
      </w:tr>
      <w:tr w14:paraId="57DC61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62BA9A4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457" w:type="pct"/>
            <w:vMerge w:val="restart"/>
            <w:tcBorders>
              <w:tl2br w:val="nil"/>
              <w:tr2bl w:val="nil"/>
            </w:tcBorders>
            <w:noWrap w:val="0"/>
            <w:vAlign w:val="center"/>
          </w:tcPr>
          <w:p w14:paraId="6EEAD87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无人机电子考试评测系统</w:t>
            </w:r>
          </w:p>
        </w:tc>
        <w:tc>
          <w:tcPr>
            <w:tcW w:w="4025" w:type="pct"/>
            <w:tcBorders>
              <w:tl2br w:val="nil"/>
              <w:tr2bl w:val="nil"/>
            </w:tcBorders>
            <w:noWrap w:val="0"/>
            <w:vAlign w:val="center"/>
          </w:tcPr>
          <w:p w14:paraId="7D1ED1AC">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1.天空端（模块）：尺寸≥103mm*66mm*27mm；重量≥187g；</w:t>
            </w:r>
          </w:p>
        </w:tc>
        <w:tc>
          <w:tcPr>
            <w:tcW w:w="282" w:type="pct"/>
            <w:vMerge w:val="restart"/>
            <w:tcBorders>
              <w:tl2br w:val="nil"/>
              <w:tr2bl w:val="nil"/>
            </w:tcBorders>
            <w:noWrap w:val="0"/>
            <w:vAlign w:val="center"/>
          </w:tcPr>
          <w:p w14:paraId="7787B57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r w14:paraId="67095A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031B26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EA1455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CA0A901">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2.地面端（模块）：尺寸≥103mm*66mm*27mm；重量≥183.5g；</w:t>
            </w:r>
          </w:p>
        </w:tc>
        <w:tc>
          <w:tcPr>
            <w:tcW w:w="282" w:type="pct"/>
            <w:vMerge w:val="continue"/>
            <w:tcBorders>
              <w:tl2br w:val="nil"/>
              <w:tr2bl w:val="nil"/>
            </w:tcBorders>
            <w:noWrap w:val="0"/>
            <w:vAlign w:val="center"/>
          </w:tcPr>
          <w:p w14:paraId="4D07A208">
            <w:pPr>
              <w:jc w:val="center"/>
              <w:rPr>
                <w:rFonts w:hint="eastAsia" w:ascii="微软雅黑" w:hAnsi="微软雅黑" w:eastAsia="微软雅黑" w:cs="微软雅黑"/>
                <w:i w:val="0"/>
                <w:iCs w:val="0"/>
                <w:color w:val="000000"/>
                <w:sz w:val="20"/>
                <w:szCs w:val="20"/>
                <w:u w:val="none"/>
              </w:rPr>
            </w:pPr>
          </w:p>
        </w:tc>
      </w:tr>
      <w:tr w14:paraId="171857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2808522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357D906">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7B5D8C5">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3.供电电压支持：7V-28V；系统功耗：（天空端）≥3W；地面端≥3W；天空端：不少于1个XT60接口；地面基站端：不少于1个USB接口；通讯链路：数据链路至少支持双路LoRa 扩频；</w:t>
            </w:r>
          </w:p>
        </w:tc>
        <w:tc>
          <w:tcPr>
            <w:tcW w:w="282" w:type="pct"/>
            <w:vMerge w:val="continue"/>
            <w:tcBorders>
              <w:tl2br w:val="nil"/>
              <w:tr2bl w:val="nil"/>
            </w:tcBorders>
            <w:noWrap w:val="0"/>
            <w:vAlign w:val="center"/>
          </w:tcPr>
          <w:p w14:paraId="06F98925">
            <w:pPr>
              <w:jc w:val="center"/>
              <w:rPr>
                <w:rFonts w:hint="eastAsia" w:ascii="微软雅黑" w:hAnsi="微软雅黑" w:eastAsia="微软雅黑" w:cs="微软雅黑"/>
                <w:i w:val="0"/>
                <w:iCs w:val="0"/>
                <w:color w:val="000000"/>
                <w:sz w:val="20"/>
                <w:szCs w:val="20"/>
                <w:u w:val="none"/>
              </w:rPr>
            </w:pPr>
          </w:p>
        </w:tc>
      </w:tr>
      <w:tr w14:paraId="6A0BAE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13847B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BD3EDFB">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A1B9D6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4.导航惯性单元（天空端）至少包含内置高精度六轴加速度计、内置高精度双气压计、内置抗干扰磁罗盘；导航刷新率≤10Hz；</w:t>
            </w:r>
          </w:p>
        </w:tc>
        <w:tc>
          <w:tcPr>
            <w:tcW w:w="282" w:type="pct"/>
            <w:vMerge w:val="continue"/>
            <w:tcBorders>
              <w:tl2br w:val="nil"/>
              <w:tr2bl w:val="nil"/>
            </w:tcBorders>
            <w:noWrap w:val="0"/>
            <w:vAlign w:val="center"/>
          </w:tcPr>
          <w:p w14:paraId="63AC967F">
            <w:pPr>
              <w:jc w:val="center"/>
              <w:rPr>
                <w:rFonts w:hint="eastAsia" w:ascii="微软雅黑" w:hAnsi="微软雅黑" w:eastAsia="微软雅黑" w:cs="微软雅黑"/>
                <w:i w:val="0"/>
                <w:iCs w:val="0"/>
                <w:color w:val="000000"/>
                <w:sz w:val="20"/>
                <w:szCs w:val="20"/>
                <w:u w:val="none"/>
              </w:rPr>
            </w:pPr>
          </w:p>
        </w:tc>
      </w:tr>
      <w:tr w14:paraId="3F2043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BCA705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71C1BED">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2CCE73F">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5.电子考核测评系统配套APP软件至少可支持在Android手机端、Android平板电脑端上使用；</w:t>
            </w:r>
          </w:p>
        </w:tc>
        <w:tc>
          <w:tcPr>
            <w:tcW w:w="282" w:type="pct"/>
            <w:vMerge w:val="continue"/>
            <w:tcBorders>
              <w:tl2br w:val="nil"/>
              <w:tr2bl w:val="nil"/>
            </w:tcBorders>
            <w:noWrap w:val="0"/>
            <w:vAlign w:val="center"/>
          </w:tcPr>
          <w:p w14:paraId="47BAFE43">
            <w:pPr>
              <w:jc w:val="center"/>
              <w:rPr>
                <w:rFonts w:hint="eastAsia" w:ascii="微软雅黑" w:hAnsi="微软雅黑" w:eastAsia="微软雅黑" w:cs="微软雅黑"/>
                <w:i w:val="0"/>
                <w:iCs w:val="0"/>
                <w:color w:val="000000"/>
                <w:sz w:val="20"/>
                <w:szCs w:val="20"/>
                <w:u w:val="none"/>
              </w:rPr>
            </w:pPr>
          </w:p>
        </w:tc>
      </w:tr>
      <w:tr w14:paraId="7D09AA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4A8B0F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BDDD810">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9442342">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6.测试软件至少支持在线升级、内置考试标准可联网同步；至少支持语音播报提示功能；</w:t>
            </w:r>
          </w:p>
        </w:tc>
        <w:tc>
          <w:tcPr>
            <w:tcW w:w="282" w:type="pct"/>
            <w:vMerge w:val="continue"/>
            <w:tcBorders>
              <w:tl2br w:val="nil"/>
              <w:tr2bl w:val="nil"/>
            </w:tcBorders>
            <w:noWrap w:val="0"/>
            <w:vAlign w:val="center"/>
          </w:tcPr>
          <w:p w14:paraId="02077CB3">
            <w:pPr>
              <w:jc w:val="center"/>
              <w:rPr>
                <w:rFonts w:hint="eastAsia" w:ascii="微软雅黑" w:hAnsi="微软雅黑" w:eastAsia="微软雅黑" w:cs="微软雅黑"/>
                <w:i w:val="0"/>
                <w:iCs w:val="0"/>
                <w:color w:val="000000"/>
                <w:sz w:val="20"/>
                <w:szCs w:val="20"/>
                <w:u w:val="none"/>
              </w:rPr>
            </w:pPr>
          </w:p>
        </w:tc>
      </w:tr>
      <w:tr w14:paraId="1A35CF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7C21B2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81D5E50">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E433849">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7.至少支持自定义考试标准、设置重考次数；至少支持学员信息管理功能，并支持将学员学习记录通过APP软件发送给学员；</w:t>
            </w:r>
          </w:p>
        </w:tc>
        <w:tc>
          <w:tcPr>
            <w:tcW w:w="282" w:type="pct"/>
            <w:vMerge w:val="continue"/>
            <w:tcBorders>
              <w:tl2br w:val="nil"/>
              <w:tr2bl w:val="nil"/>
            </w:tcBorders>
            <w:noWrap w:val="0"/>
            <w:vAlign w:val="center"/>
          </w:tcPr>
          <w:p w14:paraId="4DB6D1E9">
            <w:pPr>
              <w:jc w:val="center"/>
              <w:rPr>
                <w:rFonts w:hint="eastAsia" w:ascii="微软雅黑" w:hAnsi="微软雅黑" w:eastAsia="微软雅黑" w:cs="微软雅黑"/>
                <w:i w:val="0"/>
                <w:iCs w:val="0"/>
                <w:color w:val="000000"/>
                <w:sz w:val="20"/>
                <w:szCs w:val="20"/>
                <w:u w:val="none"/>
              </w:rPr>
            </w:pPr>
          </w:p>
        </w:tc>
      </w:tr>
      <w:tr w14:paraId="5F030D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497E507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39CB254">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23E28C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显示当前训练项目的实时数据（飞行轨迹），至少包括航向角偏移量、高度偏移量、位置偏移量、飞行速度、飞行高度，实时标记训练中的错误位置点及错误信息，结合统计数据，教员可对学员进行针对性指导，快速提高操控水平；</w:t>
            </w:r>
          </w:p>
        </w:tc>
        <w:tc>
          <w:tcPr>
            <w:tcW w:w="282" w:type="pct"/>
            <w:vMerge w:val="continue"/>
            <w:tcBorders>
              <w:tl2br w:val="nil"/>
              <w:tr2bl w:val="nil"/>
            </w:tcBorders>
            <w:noWrap w:val="0"/>
            <w:vAlign w:val="center"/>
          </w:tcPr>
          <w:p w14:paraId="44CDAF8F">
            <w:pPr>
              <w:jc w:val="center"/>
              <w:rPr>
                <w:rFonts w:hint="eastAsia" w:ascii="微软雅黑" w:hAnsi="微软雅黑" w:eastAsia="微软雅黑" w:cs="微软雅黑"/>
                <w:i w:val="0"/>
                <w:iCs w:val="0"/>
                <w:color w:val="000000"/>
                <w:sz w:val="20"/>
                <w:szCs w:val="20"/>
                <w:u w:val="none"/>
              </w:rPr>
            </w:pPr>
          </w:p>
        </w:tc>
      </w:tr>
      <w:tr w14:paraId="271D32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235" w:type="pct"/>
            <w:vMerge w:val="continue"/>
            <w:tcBorders>
              <w:tl2br w:val="nil"/>
              <w:tr2bl w:val="nil"/>
            </w:tcBorders>
            <w:noWrap w:val="0"/>
            <w:vAlign w:val="center"/>
          </w:tcPr>
          <w:p w14:paraId="351CB3E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5F9A884">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330A174">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至少具备训练模式和模拟考试模式两种功能，针对360度自旋和8字飞行科目，实时进行评判；8字训练时可灵活进行左右圆的单圆训练；训练模式至少支持各个项目的单独训练，训练项目自动循环重复，同时各个科目的考评参数开放，用于设置不同的参数大小，实现不同的训练难度；模拟考试模式合并所有考试科目，对全程飞行进行评判和考核，同时开放各个评判点的参数，通过设置不同的参数大小，可以实现不同的考核难易程度，实现循序渐进、由易到难的培训方式和考核原则；</w:t>
            </w:r>
          </w:p>
        </w:tc>
        <w:tc>
          <w:tcPr>
            <w:tcW w:w="282" w:type="pct"/>
            <w:vMerge w:val="continue"/>
            <w:tcBorders>
              <w:tl2br w:val="nil"/>
              <w:tr2bl w:val="nil"/>
            </w:tcBorders>
            <w:noWrap w:val="0"/>
            <w:vAlign w:val="center"/>
          </w:tcPr>
          <w:p w14:paraId="40CD2748">
            <w:pPr>
              <w:jc w:val="center"/>
              <w:rPr>
                <w:rFonts w:hint="eastAsia" w:ascii="微软雅黑" w:hAnsi="微软雅黑" w:eastAsia="微软雅黑" w:cs="微软雅黑"/>
                <w:i w:val="0"/>
                <w:iCs w:val="0"/>
                <w:color w:val="000000"/>
                <w:sz w:val="20"/>
                <w:szCs w:val="20"/>
                <w:u w:val="none"/>
              </w:rPr>
            </w:pPr>
          </w:p>
        </w:tc>
      </w:tr>
      <w:tr w14:paraId="3EB345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4156049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39BC252">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63646BA">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至少可支持学员进行视距内驾驶员、超视距驾驶员，以及教员级别的训练科目开展飞行训练；显示训练科目详细信息，至少包括各个科目训练的评判结果；至少可以对训练科目进行启停控制，用于开始和结束科目的训练或模拟考试。</w:t>
            </w:r>
          </w:p>
        </w:tc>
        <w:tc>
          <w:tcPr>
            <w:tcW w:w="282" w:type="pct"/>
            <w:vMerge w:val="continue"/>
            <w:tcBorders>
              <w:tl2br w:val="nil"/>
              <w:tr2bl w:val="nil"/>
            </w:tcBorders>
            <w:noWrap w:val="0"/>
            <w:vAlign w:val="center"/>
          </w:tcPr>
          <w:p w14:paraId="38566D4B">
            <w:pPr>
              <w:jc w:val="center"/>
              <w:rPr>
                <w:rFonts w:hint="eastAsia" w:ascii="微软雅黑" w:hAnsi="微软雅黑" w:eastAsia="微软雅黑" w:cs="微软雅黑"/>
                <w:i w:val="0"/>
                <w:iCs w:val="0"/>
                <w:color w:val="000000"/>
                <w:sz w:val="20"/>
                <w:szCs w:val="20"/>
                <w:u w:val="none"/>
              </w:rPr>
            </w:pPr>
          </w:p>
        </w:tc>
      </w:tr>
      <w:tr w14:paraId="6D5FA8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3208BB5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457" w:type="pct"/>
            <w:vMerge w:val="restart"/>
            <w:tcBorders>
              <w:tl2br w:val="nil"/>
              <w:tr2bl w:val="nil"/>
            </w:tcBorders>
            <w:noWrap w:val="0"/>
            <w:vAlign w:val="center"/>
          </w:tcPr>
          <w:p w14:paraId="3B878046">
            <w:pPr>
              <w:keepNext w:val="0"/>
              <w:keepLines w:val="0"/>
              <w:widowControl/>
              <w:suppressLineNumbers w:val="0"/>
              <w:ind w:left="0" w:leftChars="0" w:firstLine="0" w:firstLineChars="0"/>
              <w:jc w:val="both"/>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电池智能充电器</w:t>
            </w:r>
          </w:p>
        </w:tc>
        <w:tc>
          <w:tcPr>
            <w:tcW w:w="4025" w:type="pct"/>
            <w:tcBorders>
              <w:tl2br w:val="nil"/>
              <w:tr2bl w:val="nil"/>
            </w:tcBorders>
            <w:noWrap w:val="0"/>
            <w:vAlign w:val="center"/>
          </w:tcPr>
          <w:p w14:paraId="0D02BAFF">
            <w:pPr>
              <w:keepNext w:val="0"/>
              <w:keepLines w:val="0"/>
              <w:widowControl/>
              <w:suppressLineNumbers w:val="0"/>
              <w:ind w:left="0" w:leftChars="0" w:firstLine="0" w:firstLineChars="0"/>
              <w:jc w:val="left"/>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1.至少支持快速充电模式、精准充电模式、储存模式；</w:t>
            </w:r>
            <w:r>
              <w:rPr>
                <w:rFonts w:hint="eastAsia" w:ascii="微软雅黑" w:hAnsi="微软雅黑" w:eastAsia="微软雅黑" w:cs="微软雅黑"/>
                <w:i w:val="0"/>
                <w:iCs w:val="0"/>
                <w:color w:val="000000"/>
                <w:kern w:val="0"/>
                <w:sz w:val="20"/>
                <w:szCs w:val="20"/>
                <w:highlight w:val="yellow"/>
                <w:u w:val="none"/>
                <w:lang w:val="en-US" w:eastAsia="zh-CN" w:bidi="ar"/>
              </w:rPr>
              <w:t>智能充电器适用于小型无人机执照飞行实训平台（三类）和中型无人机执照飞行实训平台（四类）充电</w:t>
            </w:r>
            <w:r>
              <w:rPr>
                <w:rFonts w:hint="eastAsia" w:ascii="微软雅黑" w:hAnsi="微软雅黑" w:eastAsia="微软雅黑" w:cs="微软雅黑"/>
                <w:i w:val="0"/>
                <w:iCs w:val="0"/>
                <w:color w:val="000000"/>
                <w:kern w:val="0"/>
                <w:sz w:val="20"/>
                <w:szCs w:val="20"/>
                <w:u w:val="none"/>
                <w:lang w:val="en-US" w:eastAsia="zh-CN" w:bidi="ar"/>
              </w:rPr>
              <w:t>。</w:t>
            </w:r>
          </w:p>
        </w:tc>
        <w:tc>
          <w:tcPr>
            <w:tcW w:w="282" w:type="pct"/>
            <w:vMerge w:val="restart"/>
            <w:tcBorders>
              <w:tl2br w:val="nil"/>
              <w:tr2bl w:val="nil"/>
            </w:tcBorders>
            <w:noWrap w:val="0"/>
            <w:vAlign w:val="center"/>
          </w:tcPr>
          <w:p w14:paraId="5D8A9E1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14:paraId="6240CF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808AA7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11DAB0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77DF74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2.适用电池类型：LIPO/LIHV电池进行平衡充放电；</w:t>
            </w:r>
          </w:p>
        </w:tc>
        <w:tc>
          <w:tcPr>
            <w:tcW w:w="282" w:type="pct"/>
            <w:vMerge w:val="continue"/>
            <w:tcBorders>
              <w:tl2br w:val="nil"/>
              <w:tr2bl w:val="nil"/>
            </w:tcBorders>
            <w:noWrap w:val="0"/>
            <w:vAlign w:val="center"/>
          </w:tcPr>
          <w:p w14:paraId="7EFE8E18">
            <w:pPr>
              <w:jc w:val="center"/>
              <w:rPr>
                <w:rFonts w:hint="eastAsia" w:ascii="微软雅黑" w:hAnsi="微软雅黑" w:eastAsia="微软雅黑" w:cs="微软雅黑"/>
                <w:i w:val="0"/>
                <w:iCs w:val="0"/>
                <w:color w:val="000000"/>
                <w:sz w:val="20"/>
                <w:szCs w:val="20"/>
                <w:u w:val="none"/>
              </w:rPr>
            </w:pPr>
          </w:p>
        </w:tc>
      </w:tr>
      <w:tr w14:paraId="64BF25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5CBC55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BBBB52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B1F403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3.至少支持电池电压检测、电池内阻检测功能；</w:t>
            </w:r>
          </w:p>
        </w:tc>
        <w:tc>
          <w:tcPr>
            <w:tcW w:w="282" w:type="pct"/>
            <w:vMerge w:val="continue"/>
            <w:tcBorders>
              <w:tl2br w:val="nil"/>
              <w:tr2bl w:val="nil"/>
            </w:tcBorders>
            <w:noWrap w:val="0"/>
            <w:vAlign w:val="center"/>
          </w:tcPr>
          <w:p w14:paraId="4C131286">
            <w:pPr>
              <w:jc w:val="center"/>
              <w:rPr>
                <w:rFonts w:hint="eastAsia" w:ascii="微软雅黑" w:hAnsi="微软雅黑" w:eastAsia="微软雅黑" w:cs="微软雅黑"/>
                <w:i w:val="0"/>
                <w:iCs w:val="0"/>
                <w:color w:val="000000"/>
                <w:sz w:val="20"/>
                <w:szCs w:val="20"/>
                <w:u w:val="none"/>
              </w:rPr>
            </w:pPr>
          </w:p>
        </w:tc>
      </w:tr>
      <w:tr w14:paraId="4243B5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A34EE2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201E5D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FB1E6A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4.充电电流至少支持可调节；</w:t>
            </w:r>
          </w:p>
        </w:tc>
        <w:tc>
          <w:tcPr>
            <w:tcW w:w="282" w:type="pct"/>
            <w:vMerge w:val="continue"/>
            <w:tcBorders>
              <w:tl2br w:val="nil"/>
              <w:tr2bl w:val="nil"/>
            </w:tcBorders>
            <w:noWrap w:val="0"/>
            <w:vAlign w:val="center"/>
          </w:tcPr>
          <w:p w14:paraId="580442F6">
            <w:pPr>
              <w:jc w:val="center"/>
              <w:rPr>
                <w:rFonts w:hint="eastAsia" w:ascii="微软雅黑" w:hAnsi="微软雅黑" w:eastAsia="微软雅黑" w:cs="微软雅黑"/>
                <w:i w:val="0"/>
                <w:iCs w:val="0"/>
                <w:color w:val="000000"/>
                <w:sz w:val="20"/>
                <w:szCs w:val="20"/>
                <w:u w:val="none"/>
              </w:rPr>
            </w:pPr>
          </w:p>
        </w:tc>
      </w:tr>
      <w:tr w14:paraId="4CD7C2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1E6F1A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074179C">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817CC1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5.至少支持使用USB数据线对充电器进行升级功能；</w:t>
            </w:r>
          </w:p>
        </w:tc>
        <w:tc>
          <w:tcPr>
            <w:tcW w:w="282" w:type="pct"/>
            <w:vMerge w:val="continue"/>
            <w:tcBorders>
              <w:tl2br w:val="nil"/>
              <w:tr2bl w:val="nil"/>
            </w:tcBorders>
            <w:noWrap w:val="0"/>
            <w:vAlign w:val="center"/>
          </w:tcPr>
          <w:p w14:paraId="79D07152">
            <w:pPr>
              <w:jc w:val="center"/>
              <w:rPr>
                <w:rFonts w:hint="eastAsia" w:ascii="微软雅黑" w:hAnsi="微软雅黑" w:eastAsia="微软雅黑" w:cs="微软雅黑"/>
                <w:i w:val="0"/>
                <w:iCs w:val="0"/>
                <w:color w:val="000000"/>
                <w:sz w:val="20"/>
                <w:szCs w:val="20"/>
                <w:u w:val="none"/>
              </w:rPr>
            </w:pPr>
          </w:p>
        </w:tc>
      </w:tr>
      <w:tr w14:paraId="623799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820EC0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CAAC187">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3A4884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6.至少具备反接保护功能；短路保护功能以及过温保护功能；</w:t>
            </w:r>
          </w:p>
        </w:tc>
        <w:tc>
          <w:tcPr>
            <w:tcW w:w="282" w:type="pct"/>
            <w:vMerge w:val="continue"/>
            <w:tcBorders>
              <w:tl2br w:val="nil"/>
              <w:tr2bl w:val="nil"/>
            </w:tcBorders>
            <w:noWrap w:val="0"/>
            <w:vAlign w:val="center"/>
          </w:tcPr>
          <w:p w14:paraId="44AF7582">
            <w:pPr>
              <w:jc w:val="center"/>
              <w:rPr>
                <w:rFonts w:hint="eastAsia" w:ascii="微软雅黑" w:hAnsi="微软雅黑" w:eastAsia="微软雅黑" w:cs="微软雅黑"/>
                <w:i w:val="0"/>
                <w:iCs w:val="0"/>
                <w:color w:val="000000"/>
                <w:sz w:val="20"/>
                <w:szCs w:val="20"/>
                <w:u w:val="none"/>
              </w:rPr>
            </w:pPr>
          </w:p>
        </w:tc>
      </w:tr>
      <w:tr w14:paraId="2E4112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4F6C38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691BCA2">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DD3803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7.输入电压：100V-240V；充电功率：≥500W×2；</w:t>
            </w:r>
          </w:p>
        </w:tc>
        <w:tc>
          <w:tcPr>
            <w:tcW w:w="282" w:type="pct"/>
            <w:vMerge w:val="continue"/>
            <w:tcBorders>
              <w:tl2br w:val="nil"/>
              <w:tr2bl w:val="nil"/>
            </w:tcBorders>
            <w:noWrap w:val="0"/>
            <w:vAlign w:val="center"/>
          </w:tcPr>
          <w:p w14:paraId="1975CF89">
            <w:pPr>
              <w:jc w:val="center"/>
              <w:rPr>
                <w:rFonts w:hint="eastAsia" w:ascii="微软雅黑" w:hAnsi="微软雅黑" w:eastAsia="微软雅黑" w:cs="微软雅黑"/>
                <w:i w:val="0"/>
                <w:iCs w:val="0"/>
                <w:color w:val="000000"/>
                <w:sz w:val="20"/>
                <w:szCs w:val="20"/>
                <w:u w:val="none"/>
              </w:rPr>
            </w:pPr>
          </w:p>
        </w:tc>
      </w:tr>
      <w:tr w14:paraId="3A4364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33748A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4D648E9">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37635B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8.放电功率：≥80W；放电电流：≥2.0A×2；</w:t>
            </w:r>
          </w:p>
        </w:tc>
        <w:tc>
          <w:tcPr>
            <w:tcW w:w="282" w:type="pct"/>
            <w:vMerge w:val="continue"/>
            <w:tcBorders>
              <w:tl2br w:val="nil"/>
              <w:tr2bl w:val="nil"/>
            </w:tcBorders>
            <w:noWrap w:val="0"/>
            <w:vAlign w:val="center"/>
          </w:tcPr>
          <w:p w14:paraId="4452479E">
            <w:pPr>
              <w:jc w:val="center"/>
              <w:rPr>
                <w:rFonts w:hint="eastAsia" w:ascii="微软雅黑" w:hAnsi="微软雅黑" w:eastAsia="微软雅黑" w:cs="微软雅黑"/>
                <w:i w:val="0"/>
                <w:iCs w:val="0"/>
                <w:color w:val="000000"/>
                <w:sz w:val="20"/>
                <w:szCs w:val="20"/>
                <w:u w:val="none"/>
              </w:rPr>
            </w:pPr>
          </w:p>
        </w:tc>
      </w:tr>
      <w:tr w14:paraId="3FECD3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B84E08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0D38265">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E56F7E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9.支持在0℃～40℃环境温度下进行工作；</w:t>
            </w:r>
          </w:p>
        </w:tc>
        <w:tc>
          <w:tcPr>
            <w:tcW w:w="282" w:type="pct"/>
            <w:vMerge w:val="continue"/>
            <w:tcBorders>
              <w:tl2br w:val="nil"/>
              <w:tr2bl w:val="nil"/>
            </w:tcBorders>
            <w:noWrap w:val="0"/>
            <w:vAlign w:val="center"/>
          </w:tcPr>
          <w:p w14:paraId="039DE5D9">
            <w:pPr>
              <w:jc w:val="center"/>
              <w:rPr>
                <w:rFonts w:hint="eastAsia" w:ascii="微软雅黑" w:hAnsi="微软雅黑" w:eastAsia="微软雅黑" w:cs="微软雅黑"/>
                <w:i w:val="0"/>
                <w:iCs w:val="0"/>
                <w:color w:val="000000"/>
                <w:sz w:val="20"/>
                <w:szCs w:val="20"/>
                <w:u w:val="none"/>
              </w:rPr>
            </w:pPr>
          </w:p>
        </w:tc>
      </w:tr>
      <w:tr w14:paraId="4FED82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6B918A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EFB0935">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61430D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10.至少具备液晶显示屏，支持实时查看充电状态。</w:t>
            </w:r>
          </w:p>
        </w:tc>
        <w:tc>
          <w:tcPr>
            <w:tcW w:w="282" w:type="pct"/>
            <w:vMerge w:val="continue"/>
            <w:tcBorders>
              <w:tl2br w:val="nil"/>
              <w:tr2bl w:val="nil"/>
            </w:tcBorders>
            <w:noWrap w:val="0"/>
            <w:vAlign w:val="center"/>
          </w:tcPr>
          <w:p w14:paraId="5AB8DB0C">
            <w:pPr>
              <w:jc w:val="center"/>
              <w:rPr>
                <w:rFonts w:hint="eastAsia" w:ascii="微软雅黑" w:hAnsi="微软雅黑" w:eastAsia="微软雅黑" w:cs="微软雅黑"/>
                <w:i w:val="0"/>
                <w:iCs w:val="0"/>
                <w:color w:val="000000"/>
                <w:sz w:val="20"/>
                <w:szCs w:val="20"/>
                <w:u w:val="none"/>
              </w:rPr>
            </w:pPr>
          </w:p>
        </w:tc>
      </w:tr>
      <w:tr w14:paraId="2A1491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2F8FBF6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457" w:type="pct"/>
            <w:vMerge w:val="restart"/>
            <w:tcBorders>
              <w:tl2br w:val="nil"/>
              <w:tr2bl w:val="nil"/>
            </w:tcBorders>
            <w:noWrap w:val="0"/>
            <w:vAlign w:val="center"/>
          </w:tcPr>
          <w:p w14:paraId="6985B388">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小型无人机执照飞行实训平台（三类）电池</w:t>
            </w:r>
          </w:p>
        </w:tc>
        <w:tc>
          <w:tcPr>
            <w:tcW w:w="4025" w:type="pct"/>
            <w:tcBorders>
              <w:tl2br w:val="nil"/>
              <w:tr2bl w:val="nil"/>
            </w:tcBorders>
            <w:noWrap w:val="0"/>
            <w:vAlign w:val="center"/>
          </w:tcPr>
          <w:p w14:paraId="0C396C1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1.电芯组合：6S1P；</w:t>
            </w:r>
          </w:p>
        </w:tc>
        <w:tc>
          <w:tcPr>
            <w:tcW w:w="282" w:type="pct"/>
            <w:vMerge w:val="restart"/>
            <w:tcBorders>
              <w:tl2br w:val="nil"/>
              <w:tr2bl w:val="nil"/>
            </w:tcBorders>
            <w:noWrap w:val="0"/>
            <w:vAlign w:val="center"/>
          </w:tcPr>
          <w:p w14:paraId="3558D49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4BEBE4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37237C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D437755">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E11AA9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2.容量：≥12000mah；</w:t>
            </w:r>
          </w:p>
        </w:tc>
        <w:tc>
          <w:tcPr>
            <w:tcW w:w="282" w:type="pct"/>
            <w:vMerge w:val="continue"/>
            <w:tcBorders>
              <w:tl2br w:val="nil"/>
              <w:tr2bl w:val="nil"/>
            </w:tcBorders>
            <w:noWrap w:val="0"/>
            <w:vAlign w:val="center"/>
          </w:tcPr>
          <w:p w14:paraId="79FFE895">
            <w:pPr>
              <w:jc w:val="center"/>
              <w:rPr>
                <w:rFonts w:hint="eastAsia" w:ascii="微软雅黑" w:hAnsi="微软雅黑" w:eastAsia="微软雅黑" w:cs="微软雅黑"/>
                <w:i w:val="0"/>
                <w:iCs w:val="0"/>
                <w:color w:val="000000"/>
                <w:sz w:val="20"/>
                <w:szCs w:val="20"/>
                <w:u w:val="none"/>
              </w:rPr>
            </w:pPr>
          </w:p>
        </w:tc>
      </w:tr>
      <w:tr w14:paraId="4B706F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77113E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AC6C05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DA81A4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3.电压：≥20V；</w:t>
            </w:r>
          </w:p>
        </w:tc>
        <w:tc>
          <w:tcPr>
            <w:tcW w:w="282" w:type="pct"/>
            <w:vMerge w:val="continue"/>
            <w:tcBorders>
              <w:tl2br w:val="nil"/>
              <w:tr2bl w:val="nil"/>
            </w:tcBorders>
            <w:noWrap w:val="0"/>
            <w:vAlign w:val="center"/>
          </w:tcPr>
          <w:p w14:paraId="5A80E9C4">
            <w:pPr>
              <w:jc w:val="center"/>
              <w:rPr>
                <w:rFonts w:hint="eastAsia" w:ascii="微软雅黑" w:hAnsi="微软雅黑" w:eastAsia="微软雅黑" w:cs="微软雅黑"/>
                <w:i w:val="0"/>
                <w:iCs w:val="0"/>
                <w:color w:val="000000"/>
                <w:sz w:val="20"/>
                <w:szCs w:val="20"/>
                <w:u w:val="none"/>
              </w:rPr>
            </w:pPr>
          </w:p>
        </w:tc>
      </w:tr>
      <w:tr w14:paraId="0B51DD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D0486A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6ED4092">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53817B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4.放电倍率：≥12C。</w:t>
            </w:r>
          </w:p>
        </w:tc>
        <w:tc>
          <w:tcPr>
            <w:tcW w:w="282" w:type="pct"/>
            <w:vMerge w:val="continue"/>
            <w:tcBorders>
              <w:tl2br w:val="nil"/>
              <w:tr2bl w:val="nil"/>
            </w:tcBorders>
            <w:noWrap w:val="0"/>
            <w:vAlign w:val="center"/>
          </w:tcPr>
          <w:p w14:paraId="63227031">
            <w:pPr>
              <w:jc w:val="center"/>
              <w:rPr>
                <w:rFonts w:hint="eastAsia" w:ascii="微软雅黑" w:hAnsi="微软雅黑" w:eastAsia="微软雅黑" w:cs="微软雅黑"/>
                <w:i w:val="0"/>
                <w:iCs w:val="0"/>
                <w:color w:val="000000"/>
                <w:sz w:val="20"/>
                <w:szCs w:val="20"/>
                <w:u w:val="none"/>
              </w:rPr>
            </w:pPr>
          </w:p>
        </w:tc>
      </w:tr>
      <w:tr w14:paraId="45EBF5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7FDC88A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457" w:type="pct"/>
            <w:vMerge w:val="restart"/>
            <w:tcBorders>
              <w:tl2br w:val="nil"/>
              <w:tr2bl w:val="nil"/>
            </w:tcBorders>
            <w:noWrap w:val="0"/>
            <w:vAlign w:val="center"/>
          </w:tcPr>
          <w:p w14:paraId="02158EA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中型无人机执照飞行实训平台（四类）电池</w:t>
            </w:r>
          </w:p>
        </w:tc>
        <w:tc>
          <w:tcPr>
            <w:tcW w:w="4025" w:type="pct"/>
            <w:tcBorders>
              <w:tl2br w:val="nil"/>
              <w:tr2bl w:val="nil"/>
            </w:tcBorders>
            <w:noWrap w:val="0"/>
            <w:vAlign w:val="center"/>
          </w:tcPr>
          <w:p w14:paraId="7689009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1.电芯组合：6S1P；</w:t>
            </w:r>
          </w:p>
        </w:tc>
        <w:tc>
          <w:tcPr>
            <w:tcW w:w="282" w:type="pct"/>
            <w:vMerge w:val="restart"/>
            <w:tcBorders>
              <w:tl2br w:val="nil"/>
              <w:tr2bl w:val="nil"/>
            </w:tcBorders>
            <w:noWrap w:val="0"/>
            <w:vAlign w:val="center"/>
          </w:tcPr>
          <w:p w14:paraId="2C14B4D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r>
      <w:tr w14:paraId="450414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00FF53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85C1ED2">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30C1A5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2.容量：≥22000mah；</w:t>
            </w:r>
          </w:p>
        </w:tc>
        <w:tc>
          <w:tcPr>
            <w:tcW w:w="282" w:type="pct"/>
            <w:vMerge w:val="continue"/>
            <w:tcBorders>
              <w:tl2br w:val="nil"/>
              <w:tr2bl w:val="nil"/>
            </w:tcBorders>
            <w:noWrap w:val="0"/>
            <w:vAlign w:val="center"/>
          </w:tcPr>
          <w:p w14:paraId="6BAE112F">
            <w:pPr>
              <w:jc w:val="center"/>
              <w:rPr>
                <w:rFonts w:hint="eastAsia" w:ascii="微软雅黑" w:hAnsi="微软雅黑" w:eastAsia="微软雅黑" w:cs="微软雅黑"/>
                <w:i w:val="0"/>
                <w:iCs w:val="0"/>
                <w:color w:val="000000"/>
                <w:sz w:val="20"/>
                <w:szCs w:val="20"/>
                <w:u w:val="none"/>
              </w:rPr>
            </w:pPr>
          </w:p>
        </w:tc>
      </w:tr>
      <w:tr w14:paraId="5A4A73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7B2275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5DB6967">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32FB2E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3.电压：≥20V；</w:t>
            </w:r>
          </w:p>
        </w:tc>
        <w:tc>
          <w:tcPr>
            <w:tcW w:w="282" w:type="pct"/>
            <w:vMerge w:val="continue"/>
            <w:tcBorders>
              <w:tl2br w:val="nil"/>
              <w:tr2bl w:val="nil"/>
            </w:tcBorders>
            <w:noWrap w:val="0"/>
            <w:vAlign w:val="center"/>
          </w:tcPr>
          <w:p w14:paraId="55D88E45">
            <w:pPr>
              <w:jc w:val="center"/>
              <w:rPr>
                <w:rFonts w:hint="eastAsia" w:ascii="微软雅黑" w:hAnsi="微软雅黑" w:eastAsia="微软雅黑" w:cs="微软雅黑"/>
                <w:i w:val="0"/>
                <w:iCs w:val="0"/>
                <w:color w:val="000000"/>
                <w:sz w:val="20"/>
                <w:szCs w:val="20"/>
                <w:u w:val="none"/>
              </w:rPr>
            </w:pPr>
          </w:p>
        </w:tc>
      </w:tr>
      <w:tr w14:paraId="613A39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B192E5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39A109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6039FA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4.放电倍率：≥22C。</w:t>
            </w:r>
          </w:p>
        </w:tc>
        <w:tc>
          <w:tcPr>
            <w:tcW w:w="282" w:type="pct"/>
            <w:vMerge w:val="continue"/>
            <w:tcBorders>
              <w:tl2br w:val="nil"/>
              <w:tr2bl w:val="nil"/>
            </w:tcBorders>
            <w:noWrap w:val="0"/>
            <w:vAlign w:val="center"/>
          </w:tcPr>
          <w:p w14:paraId="24B5AFB0">
            <w:pPr>
              <w:jc w:val="center"/>
              <w:rPr>
                <w:rFonts w:hint="eastAsia" w:ascii="微软雅黑" w:hAnsi="微软雅黑" w:eastAsia="微软雅黑" w:cs="微软雅黑"/>
                <w:i w:val="0"/>
                <w:iCs w:val="0"/>
                <w:color w:val="000000"/>
                <w:sz w:val="20"/>
                <w:szCs w:val="20"/>
                <w:u w:val="none"/>
              </w:rPr>
            </w:pPr>
          </w:p>
        </w:tc>
      </w:tr>
      <w:tr w14:paraId="1E5CBC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1928E60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457" w:type="pct"/>
            <w:vMerge w:val="restart"/>
            <w:tcBorders>
              <w:tl2br w:val="nil"/>
              <w:tr2bl w:val="nil"/>
            </w:tcBorders>
            <w:noWrap w:val="0"/>
            <w:vAlign w:val="center"/>
          </w:tcPr>
          <w:p w14:paraId="361890D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电池防爆箱</w:t>
            </w:r>
          </w:p>
        </w:tc>
        <w:tc>
          <w:tcPr>
            <w:tcW w:w="4025" w:type="pct"/>
            <w:tcBorders>
              <w:tl2br w:val="nil"/>
              <w:tr2bl w:val="nil"/>
            </w:tcBorders>
            <w:noWrap w:val="0"/>
            <w:vAlign w:val="center"/>
          </w:tcPr>
          <w:p w14:paraId="4282F46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1.材质：Q235碳素钢</w:t>
            </w:r>
          </w:p>
        </w:tc>
        <w:tc>
          <w:tcPr>
            <w:tcW w:w="282" w:type="pct"/>
            <w:vMerge w:val="restart"/>
            <w:tcBorders>
              <w:tl2br w:val="nil"/>
              <w:tr2bl w:val="nil"/>
            </w:tcBorders>
            <w:noWrap w:val="0"/>
            <w:vAlign w:val="center"/>
          </w:tcPr>
          <w:p w14:paraId="1A4AF62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14:paraId="06C7AF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C1D8ED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813EFDB">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C8BFF9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2.尺寸：≥300mm×150mm×200mm（长×宽×高）</w:t>
            </w:r>
          </w:p>
        </w:tc>
        <w:tc>
          <w:tcPr>
            <w:tcW w:w="282" w:type="pct"/>
            <w:vMerge w:val="continue"/>
            <w:tcBorders>
              <w:tl2br w:val="nil"/>
              <w:tr2bl w:val="nil"/>
            </w:tcBorders>
            <w:noWrap w:val="0"/>
            <w:vAlign w:val="center"/>
          </w:tcPr>
          <w:p w14:paraId="67EFFC32">
            <w:pPr>
              <w:jc w:val="center"/>
              <w:rPr>
                <w:rFonts w:hint="eastAsia" w:ascii="微软雅黑" w:hAnsi="微软雅黑" w:eastAsia="微软雅黑" w:cs="微软雅黑"/>
                <w:i w:val="0"/>
                <w:iCs w:val="0"/>
                <w:color w:val="000000"/>
                <w:sz w:val="20"/>
                <w:szCs w:val="20"/>
                <w:u w:val="none"/>
              </w:rPr>
            </w:pPr>
          </w:p>
        </w:tc>
      </w:tr>
      <w:tr w14:paraId="14D7D3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73EFF7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9E0BD74">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66D2F3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3.闭合方式：杠杆扣压</w:t>
            </w:r>
          </w:p>
        </w:tc>
        <w:tc>
          <w:tcPr>
            <w:tcW w:w="282" w:type="pct"/>
            <w:vMerge w:val="continue"/>
            <w:tcBorders>
              <w:tl2br w:val="nil"/>
              <w:tr2bl w:val="nil"/>
            </w:tcBorders>
            <w:noWrap w:val="0"/>
            <w:vAlign w:val="center"/>
          </w:tcPr>
          <w:p w14:paraId="11BCCACD">
            <w:pPr>
              <w:jc w:val="center"/>
              <w:rPr>
                <w:rFonts w:hint="eastAsia" w:ascii="微软雅黑" w:hAnsi="微软雅黑" w:eastAsia="微软雅黑" w:cs="微软雅黑"/>
                <w:i w:val="0"/>
                <w:iCs w:val="0"/>
                <w:color w:val="000000"/>
                <w:sz w:val="20"/>
                <w:szCs w:val="20"/>
                <w:u w:val="none"/>
              </w:rPr>
            </w:pPr>
          </w:p>
        </w:tc>
      </w:tr>
      <w:tr w14:paraId="0FC099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7F7BCB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A1D9BCD">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AA296A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4.密封方式：顶盖内侧加强型硅胶圈</w:t>
            </w:r>
          </w:p>
        </w:tc>
        <w:tc>
          <w:tcPr>
            <w:tcW w:w="282" w:type="pct"/>
            <w:vMerge w:val="continue"/>
            <w:tcBorders>
              <w:tl2br w:val="nil"/>
              <w:tr2bl w:val="nil"/>
            </w:tcBorders>
            <w:noWrap w:val="0"/>
            <w:vAlign w:val="center"/>
          </w:tcPr>
          <w:p w14:paraId="000DA842">
            <w:pPr>
              <w:jc w:val="center"/>
              <w:rPr>
                <w:rFonts w:hint="eastAsia" w:ascii="微软雅黑" w:hAnsi="微软雅黑" w:eastAsia="微软雅黑" w:cs="微软雅黑"/>
                <w:i w:val="0"/>
                <w:iCs w:val="0"/>
                <w:color w:val="000000"/>
                <w:sz w:val="20"/>
                <w:szCs w:val="20"/>
                <w:u w:val="none"/>
              </w:rPr>
            </w:pPr>
          </w:p>
        </w:tc>
      </w:tr>
      <w:tr w14:paraId="26A62C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C66CB0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7F10764">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3D1071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5.密封材质：高密度38硬度EVA</w:t>
            </w:r>
          </w:p>
        </w:tc>
        <w:tc>
          <w:tcPr>
            <w:tcW w:w="282" w:type="pct"/>
            <w:vMerge w:val="continue"/>
            <w:tcBorders>
              <w:tl2br w:val="nil"/>
              <w:tr2bl w:val="nil"/>
            </w:tcBorders>
            <w:noWrap w:val="0"/>
            <w:vAlign w:val="center"/>
          </w:tcPr>
          <w:p w14:paraId="1BD37B19">
            <w:pPr>
              <w:jc w:val="center"/>
              <w:rPr>
                <w:rFonts w:hint="eastAsia" w:ascii="微软雅黑" w:hAnsi="微软雅黑" w:eastAsia="微软雅黑" w:cs="微软雅黑"/>
                <w:i w:val="0"/>
                <w:iCs w:val="0"/>
                <w:color w:val="000000"/>
                <w:sz w:val="20"/>
                <w:szCs w:val="20"/>
                <w:u w:val="none"/>
              </w:rPr>
            </w:pPr>
          </w:p>
        </w:tc>
      </w:tr>
      <w:tr w14:paraId="242C49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717DF09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457" w:type="pct"/>
            <w:vMerge w:val="restart"/>
            <w:tcBorders>
              <w:tl2br w:val="nil"/>
              <w:tr2bl w:val="nil"/>
            </w:tcBorders>
            <w:noWrap w:val="0"/>
            <w:vAlign w:val="center"/>
          </w:tcPr>
          <w:p w14:paraId="49965628">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室外飞行实操物料库</w:t>
            </w:r>
          </w:p>
        </w:tc>
        <w:tc>
          <w:tcPr>
            <w:tcW w:w="4025" w:type="pct"/>
            <w:tcBorders>
              <w:tl2br w:val="nil"/>
              <w:tr2bl w:val="nil"/>
            </w:tcBorders>
            <w:noWrap w:val="0"/>
            <w:vAlign w:val="center"/>
          </w:tcPr>
          <w:p w14:paraId="7523BE5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室外飞行实操物料库，包含：</w:t>
            </w:r>
          </w:p>
        </w:tc>
        <w:tc>
          <w:tcPr>
            <w:tcW w:w="282" w:type="pct"/>
            <w:vMerge w:val="restart"/>
            <w:tcBorders>
              <w:tl2br w:val="nil"/>
              <w:tr2bl w:val="nil"/>
            </w:tcBorders>
            <w:noWrap w:val="0"/>
            <w:vAlign w:val="center"/>
          </w:tcPr>
          <w:p w14:paraId="101B565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14:paraId="41522F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906E99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CB6F9C6">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4BD3D8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1、锥桶    10个</w:t>
            </w:r>
          </w:p>
        </w:tc>
        <w:tc>
          <w:tcPr>
            <w:tcW w:w="282" w:type="pct"/>
            <w:vMerge w:val="continue"/>
            <w:tcBorders>
              <w:tl2br w:val="nil"/>
              <w:tr2bl w:val="nil"/>
            </w:tcBorders>
            <w:noWrap w:val="0"/>
            <w:vAlign w:val="center"/>
          </w:tcPr>
          <w:p w14:paraId="3763605A">
            <w:pPr>
              <w:jc w:val="center"/>
              <w:rPr>
                <w:rFonts w:hint="eastAsia" w:ascii="微软雅黑" w:hAnsi="微软雅黑" w:eastAsia="微软雅黑" w:cs="微软雅黑"/>
                <w:i w:val="0"/>
                <w:iCs w:val="0"/>
                <w:color w:val="000000"/>
                <w:sz w:val="20"/>
                <w:szCs w:val="20"/>
                <w:u w:val="none"/>
              </w:rPr>
            </w:pPr>
          </w:p>
        </w:tc>
      </w:tr>
      <w:tr w14:paraId="65DAFA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BA78D3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92671C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FAC1BE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2、防护网  </w:t>
            </w:r>
            <w:r>
              <w:rPr>
                <w:rFonts w:hint="eastAsia" w:ascii="微软雅黑" w:hAnsi="微软雅黑" w:eastAsia="微软雅黑" w:cs="微软雅黑"/>
                <w:i w:val="0"/>
                <w:iCs w:val="0"/>
                <w:color w:val="auto"/>
                <w:kern w:val="0"/>
                <w:sz w:val="20"/>
                <w:szCs w:val="20"/>
                <w:highlight w:val="yellow"/>
                <w:u w:val="none"/>
                <w:lang w:val="en-US" w:eastAsia="zh-CN" w:bidi="ar"/>
              </w:rPr>
              <w:t xml:space="preserve"> 120cm X 300CM 1个</w:t>
            </w:r>
          </w:p>
        </w:tc>
        <w:tc>
          <w:tcPr>
            <w:tcW w:w="282" w:type="pct"/>
            <w:vMerge w:val="continue"/>
            <w:tcBorders>
              <w:tl2br w:val="nil"/>
              <w:tr2bl w:val="nil"/>
            </w:tcBorders>
            <w:noWrap w:val="0"/>
            <w:vAlign w:val="center"/>
          </w:tcPr>
          <w:p w14:paraId="54CBFAC4">
            <w:pPr>
              <w:jc w:val="center"/>
              <w:rPr>
                <w:rFonts w:hint="eastAsia" w:ascii="微软雅黑" w:hAnsi="微软雅黑" w:eastAsia="微软雅黑" w:cs="微软雅黑"/>
                <w:i w:val="0"/>
                <w:iCs w:val="0"/>
                <w:color w:val="000000"/>
                <w:sz w:val="20"/>
                <w:szCs w:val="20"/>
                <w:u w:val="none"/>
              </w:rPr>
            </w:pPr>
          </w:p>
        </w:tc>
      </w:tr>
      <w:tr w14:paraId="5EC261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672758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ED8EFF0">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4A5EEA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3、帐篷 </w:t>
            </w:r>
            <w:r>
              <w:rPr>
                <w:rFonts w:hint="eastAsia" w:ascii="微软雅黑" w:hAnsi="微软雅黑" w:eastAsia="微软雅黑" w:cs="微软雅黑"/>
                <w:i w:val="0"/>
                <w:iCs w:val="0"/>
                <w:color w:val="auto"/>
                <w:kern w:val="0"/>
                <w:sz w:val="20"/>
                <w:szCs w:val="20"/>
                <w:highlight w:val="yellow"/>
                <w:u w:val="none"/>
                <w:lang w:val="en-US" w:eastAsia="zh-CN" w:bidi="ar"/>
              </w:rPr>
              <w:t xml:space="preserve">300cm X 450cm </w:t>
            </w:r>
            <w:r>
              <w:rPr>
                <w:rFonts w:hint="eastAsia" w:ascii="微软雅黑" w:hAnsi="微软雅黑" w:eastAsia="微软雅黑" w:cs="微软雅黑"/>
                <w:i w:val="0"/>
                <w:iCs w:val="0"/>
                <w:color w:val="auto"/>
                <w:kern w:val="0"/>
                <w:sz w:val="20"/>
                <w:szCs w:val="20"/>
                <w:u w:val="none"/>
                <w:lang w:val="en-US" w:eastAsia="zh-CN" w:bidi="ar"/>
              </w:rPr>
              <w:t xml:space="preserve">  1顶</w:t>
            </w:r>
          </w:p>
        </w:tc>
        <w:tc>
          <w:tcPr>
            <w:tcW w:w="282" w:type="pct"/>
            <w:vMerge w:val="continue"/>
            <w:tcBorders>
              <w:tl2br w:val="nil"/>
              <w:tr2bl w:val="nil"/>
            </w:tcBorders>
            <w:noWrap w:val="0"/>
            <w:vAlign w:val="center"/>
          </w:tcPr>
          <w:p w14:paraId="2903864E">
            <w:pPr>
              <w:jc w:val="center"/>
              <w:rPr>
                <w:rFonts w:hint="eastAsia" w:ascii="微软雅黑" w:hAnsi="微软雅黑" w:eastAsia="微软雅黑" w:cs="微软雅黑"/>
                <w:i w:val="0"/>
                <w:iCs w:val="0"/>
                <w:color w:val="000000"/>
                <w:sz w:val="20"/>
                <w:szCs w:val="20"/>
                <w:u w:val="none"/>
              </w:rPr>
            </w:pPr>
          </w:p>
        </w:tc>
      </w:tr>
      <w:tr w14:paraId="454B5A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62628C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1786B5C">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4D830C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4、马扎凳    10个</w:t>
            </w:r>
          </w:p>
        </w:tc>
        <w:tc>
          <w:tcPr>
            <w:tcW w:w="282" w:type="pct"/>
            <w:vMerge w:val="continue"/>
            <w:tcBorders>
              <w:tl2br w:val="nil"/>
              <w:tr2bl w:val="nil"/>
            </w:tcBorders>
            <w:noWrap w:val="0"/>
            <w:vAlign w:val="center"/>
          </w:tcPr>
          <w:p w14:paraId="4DB9D859">
            <w:pPr>
              <w:jc w:val="center"/>
              <w:rPr>
                <w:rFonts w:hint="eastAsia" w:ascii="微软雅黑" w:hAnsi="微软雅黑" w:eastAsia="微软雅黑" w:cs="微软雅黑"/>
                <w:i w:val="0"/>
                <w:iCs w:val="0"/>
                <w:color w:val="000000"/>
                <w:sz w:val="20"/>
                <w:szCs w:val="20"/>
                <w:u w:val="none"/>
              </w:rPr>
            </w:pPr>
          </w:p>
        </w:tc>
      </w:tr>
      <w:tr w14:paraId="77EF1B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B66A3D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8430A8B">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89C0AD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5、折叠桌  </w:t>
            </w:r>
            <w:r>
              <w:rPr>
                <w:rFonts w:hint="eastAsia" w:ascii="微软雅黑" w:hAnsi="微软雅黑" w:eastAsia="微软雅黑" w:cs="微软雅黑"/>
                <w:i w:val="0"/>
                <w:iCs w:val="0"/>
                <w:color w:val="auto"/>
                <w:kern w:val="0"/>
                <w:sz w:val="20"/>
                <w:szCs w:val="20"/>
                <w:highlight w:val="yellow"/>
                <w:u w:val="none"/>
                <w:lang w:val="en-US" w:eastAsia="zh-CN" w:bidi="ar"/>
              </w:rPr>
              <w:t>60cm X 70cm X 120cm</w:t>
            </w:r>
            <w:r>
              <w:rPr>
                <w:rFonts w:hint="eastAsia" w:ascii="微软雅黑" w:hAnsi="微软雅黑" w:eastAsia="微软雅黑" w:cs="微软雅黑"/>
                <w:i w:val="0"/>
                <w:iCs w:val="0"/>
                <w:color w:val="auto"/>
                <w:kern w:val="0"/>
                <w:sz w:val="20"/>
                <w:szCs w:val="20"/>
                <w:u w:val="none"/>
                <w:lang w:val="en-US" w:eastAsia="zh-CN" w:bidi="ar"/>
              </w:rPr>
              <w:t>,铝合金材质，高度120cm，  1个</w:t>
            </w:r>
          </w:p>
        </w:tc>
        <w:tc>
          <w:tcPr>
            <w:tcW w:w="282" w:type="pct"/>
            <w:vMerge w:val="continue"/>
            <w:tcBorders>
              <w:tl2br w:val="nil"/>
              <w:tr2bl w:val="nil"/>
            </w:tcBorders>
            <w:noWrap w:val="0"/>
            <w:vAlign w:val="center"/>
          </w:tcPr>
          <w:p w14:paraId="6FCDA01E">
            <w:pPr>
              <w:jc w:val="center"/>
              <w:rPr>
                <w:rFonts w:hint="eastAsia" w:ascii="微软雅黑" w:hAnsi="微软雅黑" w:eastAsia="微软雅黑" w:cs="微软雅黑"/>
                <w:i w:val="0"/>
                <w:iCs w:val="0"/>
                <w:color w:val="000000"/>
                <w:sz w:val="20"/>
                <w:szCs w:val="20"/>
                <w:u w:val="none"/>
              </w:rPr>
            </w:pPr>
          </w:p>
        </w:tc>
      </w:tr>
      <w:tr w14:paraId="20B470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24FE275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457" w:type="pct"/>
            <w:vMerge w:val="restart"/>
            <w:tcBorders>
              <w:tl2br w:val="nil"/>
              <w:tr2bl w:val="nil"/>
            </w:tcBorders>
            <w:noWrap w:val="0"/>
            <w:vAlign w:val="center"/>
          </w:tcPr>
          <w:p w14:paraId="59D00D86">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无人机虚拟仿真实训云平台（进阶版）</w:t>
            </w:r>
          </w:p>
        </w:tc>
        <w:tc>
          <w:tcPr>
            <w:tcW w:w="4025" w:type="pct"/>
            <w:tcBorders>
              <w:tl2br w:val="nil"/>
              <w:tr2bl w:val="nil"/>
            </w:tcBorders>
            <w:noWrap w:val="0"/>
            <w:vAlign w:val="center"/>
          </w:tcPr>
          <w:p w14:paraId="4283E5D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一、基础设置要求</w:t>
            </w:r>
          </w:p>
        </w:tc>
        <w:tc>
          <w:tcPr>
            <w:tcW w:w="282" w:type="pct"/>
            <w:vMerge w:val="restart"/>
            <w:tcBorders>
              <w:tl2br w:val="nil"/>
              <w:tr2bl w:val="nil"/>
            </w:tcBorders>
            <w:noWrap w:val="0"/>
            <w:vAlign w:val="center"/>
          </w:tcPr>
          <w:p w14:paraId="1CF69EC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r>
      <w:tr w14:paraId="106F78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97C04F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5D18A6B">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23CA21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1、应具有灵敏度调节功能，能够支持对副翼、升降、油门、方向进行操控灵敏度调节。</w:t>
            </w:r>
          </w:p>
        </w:tc>
        <w:tc>
          <w:tcPr>
            <w:tcW w:w="282" w:type="pct"/>
            <w:vMerge w:val="continue"/>
            <w:tcBorders>
              <w:tl2br w:val="nil"/>
              <w:tr2bl w:val="nil"/>
            </w:tcBorders>
            <w:noWrap w:val="0"/>
            <w:vAlign w:val="center"/>
          </w:tcPr>
          <w:p w14:paraId="78A085C8">
            <w:pPr>
              <w:jc w:val="center"/>
              <w:rPr>
                <w:rFonts w:hint="eastAsia" w:ascii="微软雅黑" w:hAnsi="微软雅黑" w:eastAsia="微软雅黑" w:cs="微软雅黑"/>
                <w:i w:val="0"/>
                <w:iCs w:val="0"/>
                <w:color w:val="000000"/>
                <w:sz w:val="20"/>
                <w:szCs w:val="20"/>
                <w:u w:val="none"/>
              </w:rPr>
            </w:pPr>
          </w:p>
        </w:tc>
      </w:tr>
      <w:tr w14:paraId="0C35C7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73DF8CA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1E67C49">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8AEFFC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2、画面设置应支持设置窗口模式、支持独占全屏、窗口模式等功能，并能够根据不同的显示器设置适配的分辨率，用于提高画面的质量和匹配电脑性能。</w:t>
            </w:r>
          </w:p>
        </w:tc>
        <w:tc>
          <w:tcPr>
            <w:tcW w:w="282" w:type="pct"/>
            <w:vMerge w:val="continue"/>
            <w:tcBorders>
              <w:tl2br w:val="nil"/>
              <w:tr2bl w:val="nil"/>
            </w:tcBorders>
            <w:noWrap w:val="0"/>
            <w:vAlign w:val="center"/>
          </w:tcPr>
          <w:p w14:paraId="72CF2BF2">
            <w:pPr>
              <w:jc w:val="center"/>
              <w:rPr>
                <w:rFonts w:hint="eastAsia" w:ascii="微软雅黑" w:hAnsi="微软雅黑" w:eastAsia="微软雅黑" w:cs="微软雅黑"/>
                <w:i w:val="0"/>
                <w:iCs w:val="0"/>
                <w:color w:val="000000"/>
                <w:sz w:val="20"/>
                <w:szCs w:val="20"/>
                <w:u w:val="none"/>
              </w:rPr>
            </w:pPr>
          </w:p>
        </w:tc>
      </w:tr>
      <w:tr w14:paraId="563E62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06015E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A45B80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A6D015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3、具有音频设置功能，能够自定义设置主音量、背景音量、音效音量及语音音量等。</w:t>
            </w:r>
          </w:p>
        </w:tc>
        <w:tc>
          <w:tcPr>
            <w:tcW w:w="282" w:type="pct"/>
            <w:vMerge w:val="continue"/>
            <w:tcBorders>
              <w:tl2br w:val="nil"/>
              <w:tr2bl w:val="nil"/>
            </w:tcBorders>
            <w:noWrap w:val="0"/>
            <w:vAlign w:val="center"/>
          </w:tcPr>
          <w:p w14:paraId="35B3952B">
            <w:pPr>
              <w:jc w:val="center"/>
              <w:rPr>
                <w:rFonts w:hint="eastAsia" w:ascii="微软雅黑" w:hAnsi="微软雅黑" w:eastAsia="微软雅黑" w:cs="微软雅黑"/>
                <w:i w:val="0"/>
                <w:iCs w:val="0"/>
                <w:color w:val="000000"/>
                <w:sz w:val="20"/>
                <w:szCs w:val="20"/>
                <w:u w:val="none"/>
              </w:rPr>
            </w:pPr>
          </w:p>
        </w:tc>
      </w:tr>
      <w:tr w14:paraId="4B0937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73AD5D4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39AD6E2">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097531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4、平台应默认适配至少两款遥控器；支持遥控器自定义校准；遥控器需支持USB-HID协议，能够支持预览遥控器通道的实时输入，并可支持单独对每个通道进行功能映射和校准。</w:t>
            </w:r>
          </w:p>
        </w:tc>
        <w:tc>
          <w:tcPr>
            <w:tcW w:w="282" w:type="pct"/>
            <w:vMerge w:val="continue"/>
            <w:tcBorders>
              <w:tl2br w:val="nil"/>
              <w:tr2bl w:val="nil"/>
            </w:tcBorders>
            <w:noWrap w:val="0"/>
            <w:vAlign w:val="center"/>
          </w:tcPr>
          <w:p w14:paraId="56E57715">
            <w:pPr>
              <w:jc w:val="center"/>
              <w:rPr>
                <w:rFonts w:hint="eastAsia" w:ascii="微软雅黑" w:hAnsi="微软雅黑" w:eastAsia="微软雅黑" w:cs="微软雅黑"/>
                <w:i w:val="0"/>
                <w:iCs w:val="0"/>
                <w:color w:val="000000"/>
                <w:sz w:val="20"/>
                <w:szCs w:val="20"/>
                <w:u w:val="none"/>
              </w:rPr>
            </w:pPr>
          </w:p>
        </w:tc>
      </w:tr>
      <w:tr w14:paraId="1EFDE0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4A2A42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87B8A26">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D13434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5、能够显示软件授权信息及授权模块。</w:t>
            </w:r>
          </w:p>
        </w:tc>
        <w:tc>
          <w:tcPr>
            <w:tcW w:w="282" w:type="pct"/>
            <w:vMerge w:val="continue"/>
            <w:tcBorders>
              <w:tl2br w:val="nil"/>
              <w:tr2bl w:val="nil"/>
            </w:tcBorders>
            <w:noWrap w:val="0"/>
            <w:vAlign w:val="center"/>
          </w:tcPr>
          <w:p w14:paraId="0DC428F0">
            <w:pPr>
              <w:jc w:val="center"/>
              <w:rPr>
                <w:rFonts w:hint="eastAsia" w:ascii="微软雅黑" w:hAnsi="微软雅黑" w:eastAsia="微软雅黑" w:cs="微软雅黑"/>
                <w:i w:val="0"/>
                <w:iCs w:val="0"/>
                <w:color w:val="000000"/>
                <w:sz w:val="20"/>
                <w:szCs w:val="20"/>
                <w:u w:val="none"/>
              </w:rPr>
            </w:pPr>
          </w:p>
        </w:tc>
      </w:tr>
      <w:tr w14:paraId="5B9B48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C23372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5EFE846">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21DB65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6、应该支持键盘、遥控器、VR手柄进行软件全局功能操作。</w:t>
            </w:r>
          </w:p>
        </w:tc>
        <w:tc>
          <w:tcPr>
            <w:tcW w:w="282" w:type="pct"/>
            <w:vMerge w:val="continue"/>
            <w:tcBorders>
              <w:tl2br w:val="nil"/>
              <w:tr2bl w:val="nil"/>
            </w:tcBorders>
            <w:noWrap w:val="0"/>
            <w:vAlign w:val="center"/>
          </w:tcPr>
          <w:p w14:paraId="5C409CEA">
            <w:pPr>
              <w:jc w:val="center"/>
              <w:rPr>
                <w:rFonts w:hint="eastAsia" w:ascii="微软雅黑" w:hAnsi="微软雅黑" w:eastAsia="微软雅黑" w:cs="微软雅黑"/>
                <w:i w:val="0"/>
                <w:iCs w:val="0"/>
                <w:color w:val="000000"/>
                <w:sz w:val="20"/>
                <w:szCs w:val="20"/>
                <w:u w:val="none"/>
              </w:rPr>
            </w:pPr>
          </w:p>
        </w:tc>
      </w:tr>
      <w:tr w14:paraId="011929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4F532E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B8AE266">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140F83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7、系统应支持在线热更新。</w:t>
            </w:r>
          </w:p>
        </w:tc>
        <w:tc>
          <w:tcPr>
            <w:tcW w:w="282" w:type="pct"/>
            <w:vMerge w:val="continue"/>
            <w:tcBorders>
              <w:tl2br w:val="nil"/>
              <w:tr2bl w:val="nil"/>
            </w:tcBorders>
            <w:noWrap w:val="0"/>
            <w:vAlign w:val="center"/>
          </w:tcPr>
          <w:p w14:paraId="39144BAC">
            <w:pPr>
              <w:jc w:val="center"/>
              <w:rPr>
                <w:rFonts w:hint="eastAsia" w:ascii="微软雅黑" w:hAnsi="微软雅黑" w:eastAsia="微软雅黑" w:cs="微软雅黑"/>
                <w:i w:val="0"/>
                <w:iCs w:val="0"/>
                <w:color w:val="000000"/>
                <w:sz w:val="20"/>
                <w:szCs w:val="20"/>
                <w:u w:val="none"/>
              </w:rPr>
            </w:pPr>
          </w:p>
        </w:tc>
      </w:tr>
      <w:tr w14:paraId="3EB03E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77746F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F4034D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225554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8、能够支持画面帧数实时显示，可一键打开和关闭帧数显示。</w:t>
            </w:r>
          </w:p>
        </w:tc>
        <w:tc>
          <w:tcPr>
            <w:tcW w:w="282" w:type="pct"/>
            <w:vMerge w:val="continue"/>
            <w:tcBorders>
              <w:tl2br w:val="nil"/>
              <w:tr2bl w:val="nil"/>
            </w:tcBorders>
            <w:noWrap w:val="0"/>
            <w:vAlign w:val="center"/>
          </w:tcPr>
          <w:p w14:paraId="3CA90FFD">
            <w:pPr>
              <w:jc w:val="center"/>
              <w:rPr>
                <w:rFonts w:hint="eastAsia" w:ascii="微软雅黑" w:hAnsi="微软雅黑" w:eastAsia="微软雅黑" w:cs="微软雅黑"/>
                <w:i w:val="0"/>
                <w:iCs w:val="0"/>
                <w:color w:val="000000"/>
                <w:sz w:val="20"/>
                <w:szCs w:val="20"/>
                <w:u w:val="none"/>
              </w:rPr>
            </w:pPr>
          </w:p>
        </w:tc>
      </w:tr>
      <w:tr w14:paraId="51BD29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4BBB4CE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41B0BE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1800AE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9、能够提供分辨率自定义设置，适配不同电脑屏幕的显示</w:t>
            </w:r>
            <w:r>
              <w:rPr>
                <w:rFonts w:hint="eastAsia" w:ascii="微软雅黑" w:hAnsi="微软雅黑" w:eastAsia="微软雅黑" w:cs="微软雅黑"/>
                <w:i w:val="0"/>
                <w:iCs w:val="0"/>
                <w:color w:val="000000"/>
                <w:kern w:val="0"/>
                <w:sz w:val="20"/>
                <w:szCs w:val="20"/>
                <w:highlight w:val="yellow"/>
                <w:u w:val="none"/>
                <w:lang w:val="en-US" w:eastAsia="zh-CN" w:bidi="ar"/>
              </w:rPr>
              <w:t>；画质设置应提供1080P屏幕分辨率、2K屏幕分辨率、4K屏幕分辨率等多种选项</w:t>
            </w:r>
            <w:r>
              <w:rPr>
                <w:rFonts w:hint="eastAsia" w:ascii="微软雅黑" w:hAnsi="微软雅黑" w:eastAsia="微软雅黑" w:cs="微软雅黑"/>
                <w:i w:val="0"/>
                <w:iCs w:val="0"/>
                <w:color w:val="000000"/>
                <w:kern w:val="0"/>
                <w:sz w:val="20"/>
                <w:szCs w:val="20"/>
                <w:u w:val="none"/>
                <w:lang w:val="en-US" w:eastAsia="zh-CN" w:bidi="ar"/>
              </w:rPr>
              <w:t>，并支持分辨率的一键改变。</w:t>
            </w:r>
          </w:p>
        </w:tc>
        <w:tc>
          <w:tcPr>
            <w:tcW w:w="282" w:type="pct"/>
            <w:vMerge w:val="continue"/>
            <w:tcBorders>
              <w:tl2br w:val="nil"/>
              <w:tr2bl w:val="nil"/>
            </w:tcBorders>
            <w:noWrap w:val="0"/>
            <w:vAlign w:val="center"/>
          </w:tcPr>
          <w:p w14:paraId="02926264">
            <w:pPr>
              <w:jc w:val="center"/>
              <w:rPr>
                <w:rFonts w:hint="eastAsia" w:ascii="微软雅黑" w:hAnsi="微软雅黑" w:eastAsia="微软雅黑" w:cs="微软雅黑"/>
                <w:i w:val="0"/>
                <w:iCs w:val="0"/>
                <w:color w:val="000000"/>
                <w:sz w:val="20"/>
                <w:szCs w:val="20"/>
                <w:u w:val="none"/>
              </w:rPr>
            </w:pPr>
          </w:p>
        </w:tc>
      </w:tr>
      <w:tr w14:paraId="322ADD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38CFD3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87433FB">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A03C5D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10、应具有全屏开关功能，能够支持一键切换窗口化运行和全屏运行。</w:t>
            </w:r>
          </w:p>
        </w:tc>
        <w:tc>
          <w:tcPr>
            <w:tcW w:w="282" w:type="pct"/>
            <w:vMerge w:val="continue"/>
            <w:tcBorders>
              <w:tl2br w:val="nil"/>
              <w:tr2bl w:val="nil"/>
            </w:tcBorders>
            <w:noWrap w:val="0"/>
            <w:vAlign w:val="center"/>
          </w:tcPr>
          <w:p w14:paraId="796C62AC">
            <w:pPr>
              <w:jc w:val="center"/>
              <w:rPr>
                <w:rFonts w:hint="eastAsia" w:ascii="微软雅黑" w:hAnsi="微软雅黑" w:eastAsia="微软雅黑" w:cs="微软雅黑"/>
                <w:i w:val="0"/>
                <w:iCs w:val="0"/>
                <w:color w:val="000000"/>
                <w:sz w:val="20"/>
                <w:szCs w:val="20"/>
                <w:u w:val="none"/>
              </w:rPr>
            </w:pPr>
          </w:p>
        </w:tc>
      </w:tr>
      <w:tr w14:paraId="694B5B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100AAC4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E348B0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DAFA11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11、应提供多种画质选项，能够适配低中高配置性能的电脑，画质质量设置应提供不低于六种性能阶梯的选项，可一键改变画质，改善运行帧数。</w:t>
            </w:r>
          </w:p>
        </w:tc>
        <w:tc>
          <w:tcPr>
            <w:tcW w:w="282" w:type="pct"/>
            <w:vMerge w:val="continue"/>
            <w:tcBorders>
              <w:tl2br w:val="nil"/>
              <w:tr2bl w:val="nil"/>
            </w:tcBorders>
            <w:noWrap w:val="0"/>
            <w:vAlign w:val="center"/>
          </w:tcPr>
          <w:p w14:paraId="5859F445">
            <w:pPr>
              <w:jc w:val="center"/>
              <w:rPr>
                <w:rFonts w:hint="eastAsia" w:ascii="微软雅黑" w:hAnsi="微软雅黑" w:eastAsia="微软雅黑" w:cs="微软雅黑"/>
                <w:i w:val="0"/>
                <w:iCs w:val="0"/>
                <w:color w:val="000000"/>
                <w:sz w:val="20"/>
                <w:szCs w:val="20"/>
                <w:u w:val="none"/>
              </w:rPr>
            </w:pPr>
          </w:p>
        </w:tc>
      </w:tr>
      <w:tr w14:paraId="512166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8D21CF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B252947">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7D48A2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二、自由飞行</w:t>
            </w:r>
          </w:p>
        </w:tc>
        <w:tc>
          <w:tcPr>
            <w:tcW w:w="282" w:type="pct"/>
            <w:vMerge w:val="continue"/>
            <w:tcBorders>
              <w:tl2br w:val="nil"/>
              <w:tr2bl w:val="nil"/>
            </w:tcBorders>
            <w:noWrap w:val="0"/>
            <w:vAlign w:val="center"/>
          </w:tcPr>
          <w:p w14:paraId="6C512FEB">
            <w:pPr>
              <w:jc w:val="center"/>
              <w:rPr>
                <w:rFonts w:hint="eastAsia" w:ascii="微软雅黑" w:hAnsi="微软雅黑" w:eastAsia="微软雅黑" w:cs="微软雅黑"/>
                <w:i w:val="0"/>
                <w:iCs w:val="0"/>
                <w:color w:val="000000"/>
                <w:sz w:val="20"/>
                <w:szCs w:val="20"/>
                <w:u w:val="none"/>
              </w:rPr>
            </w:pPr>
          </w:p>
        </w:tc>
      </w:tr>
      <w:tr w14:paraId="589BD1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35EA41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D64FF6A">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745BF3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1、自有飞行模块应支持多种机型可选：至少应支持六旋翼、八旋翼以及其他常用机型，不少于6种。</w:t>
            </w:r>
          </w:p>
        </w:tc>
        <w:tc>
          <w:tcPr>
            <w:tcW w:w="282" w:type="pct"/>
            <w:vMerge w:val="continue"/>
            <w:tcBorders>
              <w:tl2br w:val="nil"/>
              <w:tr2bl w:val="nil"/>
            </w:tcBorders>
            <w:noWrap w:val="0"/>
            <w:vAlign w:val="center"/>
          </w:tcPr>
          <w:p w14:paraId="356AF4D9">
            <w:pPr>
              <w:jc w:val="center"/>
              <w:rPr>
                <w:rFonts w:hint="eastAsia" w:ascii="微软雅黑" w:hAnsi="微软雅黑" w:eastAsia="微软雅黑" w:cs="微软雅黑"/>
                <w:i w:val="0"/>
                <w:iCs w:val="0"/>
                <w:color w:val="000000"/>
                <w:sz w:val="20"/>
                <w:szCs w:val="20"/>
                <w:u w:val="none"/>
              </w:rPr>
            </w:pPr>
          </w:p>
        </w:tc>
      </w:tr>
      <w:tr w14:paraId="403123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67467F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DBF0827">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86C51D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2、系统应具备良好的飞控性能，可以体验各种无人机的飞行姿态及操作手感。应具备多种摇杆模式，能够自定义调节摇杆灵敏度，能够支持美国手、日本手、中国手。</w:t>
            </w:r>
          </w:p>
        </w:tc>
        <w:tc>
          <w:tcPr>
            <w:tcW w:w="282" w:type="pct"/>
            <w:vMerge w:val="continue"/>
            <w:tcBorders>
              <w:tl2br w:val="nil"/>
              <w:tr2bl w:val="nil"/>
            </w:tcBorders>
            <w:noWrap w:val="0"/>
            <w:vAlign w:val="center"/>
          </w:tcPr>
          <w:p w14:paraId="3DA72EE6">
            <w:pPr>
              <w:jc w:val="center"/>
              <w:rPr>
                <w:rFonts w:hint="eastAsia" w:ascii="微软雅黑" w:hAnsi="微软雅黑" w:eastAsia="微软雅黑" w:cs="微软雅黑"/>
                <w:i w:val="0"/>
                <w:iCs w:val="0"/>
                <w:color w:val="000000"/>
                <w:sz w:val="20"/>
                <w:szCs w:val="20"/>
                <w:u w:val="none"/>
              </w:rPr>
            </w:pPr>
          </w:p>
        </w:tc>
      </w:tr>
      <w:tr w14:paraId="79EF9B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7D47E5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80E96F6">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764091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3、系统应具备完善的天气系统功能，能够支持切换天气效果，至少应包含晴天、阴天、雨天、大雪等天气效果。</w:t>
            </w:r>
          </w:p>
        </w:tc>
        <w:tc>
          <w:tcPr>
            <w:tcW w:w="282" w:type="pct"/>
            <w:vMerge w:val="continue"/>
            <w:tcBorders>
              <w:tl2br w:val="nil"/>
              <w:tr2bl w:val="nil"/>
            </w:tcBorders>
            <w:noWrap w:val="0"/>
            <w:vAlign w:val="center"/>
          </w:tcPr>
          <w:p w14:paraId="56A140DC">
            <w:pPr>
              <w:jc w:val="center"/>
              <w:rPr>
                <w:rFonts w:hint="eastAsia" w:ascii="微软雅黑" w:hAnsi="微软雅黑" w:eastAsia="微软雅黑" w:cs="微软雅黑"/>
                <w:i w:val="0"/>
                <w:iCs w:val="0"/>
                <w:color w:val="000000"/>
                <w:sz w:val="20"/>
                <w:szCs w:val="20"/>
                <w:u w:val="none"/>
              </w:rPr>
            </w:pPr>
          </w:p>
        </w:tc>
      </w:tr>
      <w:tr w14:paraId="485EC3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494D7C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C711FD9">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5A144C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4、系统应支持自定义设置模拟时间，能够根据调整的时间自动变换太阳的位置、角度以及太阳光强度等。</w:t>
            </w:r>
          </w:p>
        </w:tc>
        <w:tc>
          <w:tcPr>
            <w:tcW w:w="282" w:type="pct"/>
            <w:vMerge w:val="continue"/>
            <w:tcBorders>
              <w:tl2br w:val="nil"/>
              <w:tr2bl w:val="nil"/>
            </w:tcBorders>
            <w:noWrap w:val="0"/>
            <w:vAlign w:val="center"/>
          </w:tcPr>
          <w:p w14:paraId="381CAB03">
            <w:pPr>
              <w:jc w:val="center"/>
              <w:rPr>
                <w:rFonts w:hint="eastAsia" w:ascii="微软雅黑" w:hAnsi="微软雅黑" w:eastAsia="微软雅黑" w:cs="微软雅黑"/>
                <w:i w:val="0"/>
                <w:iCs w:val="0"/>
                <w:color w:val="000000"/>
                <w:sz w:val="20"/>
                <w:szCs w:val="20"/>
                <w:u w:val="none"/>
              </w:rPr>
            </w:pPr>
          </w:p>
        </w:tc>
      </w:tr>
      <w:tr w14:paraId="748AC1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9EBC41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1776F1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5F0A2A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5、应具备设置风力等级的功能，能够支持无风、1-3级风力调节。</w:t>
            </w:r>
          </w:p>
        </w:tc>
        <w:tc>
          <w:tcPr>
            <w:tcW w:w="282" w:type="pct"/>
            <w:vMerge w:val="continue"/>
            <w:tcBorders>
              <w:tl2br w:val="nil"/>
              <w:tr2bl w:val="nil"/>
            </w:tcBorders>
            <w:noWrap w:val="0"/>
            <w:vAlign w:val="center"/>
          </w:tcPr>
          <w:p w14:paraId="73070C52">
            <w:pPr>
              <w:jc w:val="center"/>
              <w:rPr>
                <w:rFonts w:hint="eastAsia" w:ascii="微软雅黑" w:hAnsi="微软雅黑" w:eastAsia="微软雅黑" w:cs="微软雅黑"/>
                <w:i w:val="0"/>
                <w:iCs w:val="0"/>
                <w:color w:val="000000"/>
                <w:sz w:val="20"/>
                <w:szCs w:val="20"/>
                <w:u w:val="none"/>
              </w:rPr>
            </w:pPr>
          </w:p>
        </w:tc>
      </w:tr>
      <w:tr w14:paraId="04E295A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72A8CE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89411BD">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3E9DAF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6、应支持多视角模式，至少包含固定视角、跟随视角和FPV视角。</w:t>
            </w:r>
          </w:p>
        </w:tc>
        <w:tc>
          <w:tcPr>
            <w:tcW w:w="282" w:type="pct"/>
            <w:vMerge w:val="continue"/>
            <w:tcBorders>
              <w:tl2br w:val="nil"/>
              <w:tr2bl w:val="nil"/>
            </w:tcBorders>
            <w:noWrap w:val="0"/>
            <w:vAlign w:val="center"/>
          </w:tcPr>
          <w:p w14:paraId="368107A8">
            <w:pPr>
              <w:jc w:val="center"/>
              <w:rPr>
                <w:rFonts w:hint="eastAsia" w:ascii="微软雅黑" w:hAnsi="微软雅黑" w:eastAsia="微软雅黑" w:cs="微软雅黑"/>
                <w:i w:val="0"/>
                <w:iCs w:val="0"/>
                <w:color w:val="000000"/>
                <w:sz w:val="20"/>
                <w:szCs w:val="20"/>
                <w:u w:val="none"/>
              </w:rPr>
            </w:pPr>
          </w:p>
        </w:tc>
      </w:tr>
      <w:tr w14:paraId="33B2B5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E01CD6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ABB61D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D627AA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7、应具备视角调整功能，在固定视角下应能进行视域调整和高度调整。</w:t>
            </w:r>
          </w:p>
        </w:tc>
        <w:tc>
          <w:tcPr>
            <w:tcW w:w="282" w:type="pct"/>
            <w:vMerge w:val="continue"/>
            <w:tcBorders>
              <w:tl2br w:val="nil"/>
              <w:tr2bl w:val="nil"/>
            </w:tcBorders>
            <w:noWrap w:val="0"/>
            <w:vAlign w:val="center"/>
          </w:tcPr>
          <w:p w14:paraId="2575B378">
            <w:pPr>
              <w:jc w:val="center"/>
              <w:rPr>
                <w:rFonts w:hint="eastAsia" w:ascii="微软雅黑" w:hAnsi="微软雅黑" w:eastAsia="微软雅黑" w:cs="微软雅黑"/>
                <w:i w:val="0"/>
                <w:iCs w:val="0"/>
                <w:color w:val="000000"/>
                <w:sz w:val="20"/>
                <w:szCs w:val="20"/>
                <w:u w:val="none"/>
              </w:rPr>
            </w:pPr>
          </w:p>
        </w:tc>
      </w:tr>
      <w:tr w14:paraId="6D76C5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994DE8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2AF4E5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DBAEA7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8、飞行模式应支持姿态模式和GNSS模式。</w:t>
            </w:r>
          </w:p>
        </w:tc>
        <w:tc>
          <w:tcPr>
            <w:tcW w:w="282" w:type="pct"/>
            <w:vMerge w:val="continue"/>
            <w:tcBorders>
              <w:tl2br w:val="nil"/>
              <w:tr2bl w:val="nil"/>
            </w:tcBorders>
            <w:noWrap w:val="0"/>
            <w:vAlign w:val="center"/>
          </w:tcPr>
          <w:p w14:paraId="2932E5CF">
            <w:pPr>
              <w:jc w:val="center"/>
              <w:rPr>
                <w:rFonts w:hint="eastAsia" w:ascii="微软雅黑" w:hAnsi="微软雅黑" w:eastAsia="微软雅黑" w:cs="微软雅黑"/>
                <w:i w:val="0"/>
                <w:iCs w:val="0"/>
                <w:color w:val="000000"/>
                <w:sz w:val="20"/>
                <w:szCs w:val="20"/>
                <w:u w:val="none"/>
              </w:rPr>
            </w:pPr>
          </w:p>
        </w:tc>
      </w:tr>
      <w:tr w14:paraId="5B44A2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86B3E6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07AFCC4">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407A68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三、民航执照培训</w:t>
            </w:r>
          </w:p>
        </w:tc>
        <w:tc>
          <w:tcPr>
            <w:tcW w:w="282" w:type="pct"/>
            <w:vMerge w:val="continue"/>
            <w:tcBorders>
              <w:tl2br w:val="nil"/>
              <w:tr2bl w:val="nil"/>
            </w:tcBorders>
            <w:noWrap w:val="0"/>
            <w:vAlign w:val="center"/>
          </w:tcPr>
          <w:p w14:paraId="233302B2">
            <w:pPr>
              <w:jc w:val="center"/>
              <w:rPr>
                <w:rFonts w:hint="eastAsia" w:ascii="微软雅黑" w:hAnsi="微软雅黑" w:eastAsia="微软雅黑" w:cs="微软雅黑"/>
                <w:i w:val="0"/>
                <w:iCs w:val="0"/>
                <w:color w:val="000000"/>
                <w:sz w:val="20"/>
                <w:szCs w:val="20"/>
                <w:u w:val="none"/>
              </w:rPr>
            </w:pPr>
          </w:p>
        </w:tc>
      </w:tr>
      <w:tr w14:paraId="232A0A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7E554B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B8FC692">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494ADD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1、场地类型应支持森林、学校、沙滩、山地等四个场景自由切换。</w:t>
            </w:r>
          </w:p>
        </w:tc>
        <w:tc>
          <w:tcPr>
            <w:tcW w:w="282" w:type="pct"/>
            <w:vMerge w:val="continue"/>
            <w:tcBorders>
              <w:tl2br w:val="nil"/>
              <w:tr2bl w:val="nil"/>
            </w:tcBorders>
            <w:noWrap w:val="0"/>
            <w:vAlign w:val="center"/>
          </w:tcPr>
          <w:p w14:paraId="09EDE46F">
            <w:pPr>
              <w:jc w:val="center"/>
              <w:rPr>
                <w:rFonts w:hint="eastAsia" w:ascii="微软雅黑" w:hAnsi="微软雅黑" w:eastAsia="微软雅黑" w:cs="微软雅黑"/>
                <w:i w:val="0"/>
                <w:iCs w:val="0"/>
                <w:color w:val="000000"/>
                <w:sz w:val="20"/>
                <w:szCs w:val="20"/>
                <w:u w:val="none"/>
              </w:rPr>
            </w:pPr>
          </w:p>
        </w:tc>
      </w:tr>
      <w:tr w14:paraId="595673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4A136C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6F7D92A">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395149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2、系统应支持自选机型，至少支持六旋翼、八旋翼等常用机型的自由选择。</w:t>
            </w:r>
          </w:p>
        </w:tc>
        <w:tc>
          <w:tcPr>
            <w:tcW w:w="282" w:type="pct"/>
            <w:vMerge w:val="continue"/>
            <w:tcBorders>
              <w:tl2br w:val="nil"/>
              <w:tr2bl w:val="nil"/>
            </w:tcBorders>
            <w:noWrap w:val="0"/>
            <w:vAlign w:val="center"/>
          </w:tcPr>
          <w:p w14:paraId="26CBB820">
            <w:pPr>
              <w:jc w:val="center"/>
              <w:rPr>
                <w:rFonts w:hint="eastAsia" w:ascii="微软雅黑" w:hAnsi="微软雅黑" w:eastAsia="微软雅黑" w:cs="微软雅黑"/>
                <w:i w:val="0"/>
                <w:iCs w:val="0"/>
                <w:color w:val="000000"/>
                <w:sz w:val="20"/>
                <w:szCs w:val="20"/>
                <w:u w:val="none"/>
              </w:rPr>
            </w:pPr>
          </w:p>
        </w:tc>
      </w:tr>
      <w:tr w14:paraId="56FA66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2BC303D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14C004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1ED255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▲3、系统应支持多种训练模式，至少包括训练模式和闯关模式。训练模式能够对所有子模块不做限制进行训练；闯关模式能够按照子模块顺序进行闯关，子模块逐一解锁。（提供两种模式系统截图）</w:t>
            </w:r>
          </w:p>
        </w:tc>
        <w:tc>
          <w:tcPr>
            <w:tcW w:w="282" w:type="pct"/>
            <w:vMerge w:val="continue"/>
            <w:tcBorders>
              <w:tl2br w:val="nil"/>
              <w:tr2bl w:val="nil"/>
            </w:tcBorders>
            <w:noWrap w:val="0"/>
            <w:vAlign w:val="center"/>
          </w:tcPr>
          <w:p w14:paraId="31B4AA95">
            <w:pPr>
              <w:jc w:val="center"/>
              <w:rPr>
                <w:rFonts w:hint="eastAsia" w:ascii="微软雅黑" w:hAnsi="微软雅黑" w:eastAsia="微软雅黑" w:cs="微软雅黑"/>
                <w:i w:val="0"/>
                <w:iCs w:val="0"/>
                <w:color w:val="000000"/>
                <w:sz w:val="20"/>
                <w:szCs w:val="20"/>
                <w:u w:val="none"/>
              </w:rPr>
            </w:pPr>
          </w:p>
        </w:tc>
      </w:tr>
      <w:tr w14:paraId="3C9C97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5" w:type="pct"/>
            <w:vMerge w:val="continue"/>
            <w:tcBorders>
              <w:tl2br w:val="nil"/>
              <w:tr2bl w:val="nil"/>
            </w:tcBorders>
            <w:noWrap w:val="0"/>
            <w:vAlign w:val="center"/>
          </w:tcPr>
          <w:p w14:paraId="72A5588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AAB984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260920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系统应具备悬停训练功能，能够在场景中展示桩桶及悬停范围；应详细展示无人机飞行参数，包括无人机飞行速度、水平速度、垂直速度、角速度等；不同训练内容都应该具有详细的步骤引导及任务完成反馈，当无人机进入指定的悬停范围时地面标识应具有高亮提示功能；360°自旋应具有对应旋转进程引导提示，并可根据无人机所处位置和飞行速度进行判定是否训练合格。</w:t>
            </w:r>
          </w:p>
        </w:tc>
        <w:tc>
          <w:tcPr>
            <w:tcW w:w="282" w:type="pct"/>
            <w:vMerge w:val="continue"/>
            <w:tcBorders>
              <w:tl2br w:val="nil"/>
              <w:tr2bl w:val="nil"/>
            </w:tcBorders>
            <w:noWrap w:val="0"/>
            <w:vAlign w:val="center"/>
          </w:tcPr>
          <w:p w14:paraId="6D3A20EC">
            <w:pPr>
              <w:jc w:val="center"/>
              <w:rPr>
                <w:rFonts w:hint="eastAsia" w:ascii="微软雅黑" w:hAnsi="微软雅黑" w:eastAsia="微软雅黑" w:cs="微软雅黑"/>
                <w:i w:val="0"/>
                <w:iCs w:val="0"/>
                <w:color w:val="000000"/>
                <w:sz w:val="20"/>
                <w:szCs w:val="20"/>
                <w:u w:val="none"/>
              </w:rPr>
            </w:pPr>
          </w:p>
        </w:tc>
      </w:tr>
      <w:tr w14:paraId="5AC2B1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5" w:type="pct"/>
            <w:vMerge w:val="continue"/>
            <w:tcBorders>
              <w:tl2br w:val="nil"/>
              <w:tr2bl w:val="nil"/>
            </w:tcBorders>
            <w:noWrap w:val="0"/>
            <w:vAlign w:val="center"/>
          </w:tcPr>
          <w:p w14:paraId="404446C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FCF2F44">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450629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系统应具有“8”字航线训练功能，能够在场景中展示桩桶及航线标识，应支持通过界面展示鸟瞰视图查看无人机水平位置；能够详细展示无人机飞行参数，包括飞行速度、水平速度、垂直速度、角速度等；能够通过小地图查看飞行轨迹，应具有详细的步骤引导，并能够支持任务完成反馈；在训练中应支持根据飞机位置切换视角位置，高度还原现实视角。</w:t>
            </w:r>
          </w:p>
        </w:tc>
        <w:tc>
          <w:tcPr>
            <w:tcW w:w="282" w:type="pct"/>
            <w:vMerge w:val="continue"/>
            <w:tcBorders>
              <w:tl2br w:val="nil"/>
              <w:tr2bl w:val="nil"/>
            </w:tcBorders>
            <w:noWrap w:val="0"/>
            <w:vAlign w:val="center"/>
          </w:tcPr>
          <w:p w14:paraId="4AA682A4">
            <w:pPr>
              <w:jc w:val="center"/>
              <w:rPr>
                <w:rFonts w:hint="eastAsia" w:ascii="微软雅黑" w:hAnsi="微软雅黑" w:eastAsia="微软雅黑" w:cs="微软雅黑"/>
                <w:i w:val="0"/>
                <w:iCs w:val="0"/>
                <w:color w:val="000000"/>
                <w:sz w:val="20"/>
                <w:szCs w:val="20"/>
                <w:u w:val="none"/>
              </w:rPr>
            </w:pPr>
          </w:p>
        </w:tc>
      </w:tr>
      <w:tr w14:paraId="5038F9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55FA86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661F76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1AA403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6、并支持“8”字航线中的任意一段进行重复训练。（提供系统训练截图）</w:t>
            </w:r>
          </w:p>
        </w:tc>
        <w:tc>
          <w:tcPr>
            <w:tcW w:w="282" w:type="pct"/>
            <w:vMerge w:val="continue"/>
            <w:tcBorders>
              <w:tl2br w:val="nil"/>
              <w:tr2bl w:val="nil"/>
            </w:tcBorders>
            <w:noWrap w:val="0"/>
            <w:vAlign w:val="center"/>
          </w:tcPr>
          <w:p w14:paraId="7057E5F5">
            <w:pPr>
              <w:jc w:val="center"/>
              <w:rPr>
                <w:rFonts w:hint="eastAsia" w:ascii="微软雅黑" w:hAnsi="微软雅黑" w:eastAsia="微软雅黑" w:cs="微软雅黑"/>
                <w:i w:val="0"/>
                <w:iCs w:val="0"/>
                <w:color w:val="000000"/>
                <w:sz w:val="20"/>
                <w:szCs w:val="20"/>
                <w:u w:val="none"/>
              </w:rPr>
            </w:pPr>
          </w:p>
        </w:tc>
      </w:tr>
      <w:tr w14:paraId="2AF429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0233C4F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9DAE872">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B5362C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7、系统应具备航线绘制功能，并内置显示地图和考试练习题，能够使用精准规划和航线模板进行航线规划，并内置计时器控制作图时间。（提供航线绘制功能截图）</w:t>
            </w:r>
          </w:p>
        </w:tc>
        <w:tc>
          <w:tcPr>
            <w:tcW w:w="282" w:type="pct"/>
            <w:vMerge w:val="continue"/>
            <w:tcBorders>
              <w:tl2br w:val="nil"/>
              <w:tr2bl w:val="nil"/>
            </w:tcBorders>
            <w:noWrap w:val="0"/>
            <w:vAlign w:val="center"/>
          </w:tcPr>
          <w:p w14:paraId="7439C10B">
            <w:pPr>
              <w:jc w:val="center"/>
              <w:rPr>
                <w:rFonts w:hint="eastAsia" w:ascii="微软雅黑" w:hAnsi="微软雅黑" w:eastAsia="微软雅黑" w:cs="微软雅黑"/>
                <w:i w:val="0"/>
                <w:iCs w:val="0"/>
                <w:color w:val="000000"/>
                <w:sz w:val="20"/>
                <w:szCs w:val="20"/>
                <w:u w:val="none"/>
              </w:rPr>
            </w:pPr>
          </w:p>
        </w:tc>
      </w:tr>
      <w:tr w14:paraId="5DE9A2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26EA585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93DE1D9">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D35988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8、系统能够支持模拟考试，能够还原民航局无人机执照考试流程，可在3次机会下依次完成360°自旋和“8”字飞行科目，考核结束应给出评分和是否通过评定。</w:t>
            </w:r>
          </w:p>
        </w:tc>
        <w:tc>
          <w:tcPr>
            <w:tcW w:w="282" w:type="pct"/>
            <w:vMerge w:val="continue"/>
            <w:tcBorders>
              <w:tl2br w:val="nil"/>
              <w:tr2bl w:val="nil"/>
            </w:tcBorders>
            <w:noWrap w:val="0"/>
            <w:vAlign w:val="center"/>
          </w:tcPr>
          <w:p w14:paraId="1439D897">
            <w:pPr>
              <w:jc w:val="center"/>
              <w:rPr>
                <w:rFonts w:hint="eastAsia" w:ascii="微软雅黑" w:hAnsi="微软雅黑" w:eastAsia="微软雅黑" w:cs="微软雅黑"/>
                <w:i w:val="0"/>
                <w:iCs w:val="0"/>
                <w:color w:val="000000"/>
                <w:sz w:val="20"/>
                <w:szCs w:val="20"/>
                <w:u w:val="none"/>
              </w:rPr>
            </w:pPr>
          </w:p>
        </w:tc>
      </w:tr>
      <w:tr w14:paraId="0E175F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5" w:type="pct"/>
            <w:vMerge w:val="continue"/>
            <w:tcBorders>
              <w:tl2br w:val="nil"/>
              <w:tr2bl w:val="nil"/>
            </w:tcBorders>
            <w:noWrap w:val="0"/>
            <w:vAlign w:val="center"/>
          </w:tcPr>
          <w:p w14:paraId="29886F6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21B7E1B">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3A64C2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应对无人机的飞行高度、速度、航向角、位置等参数进行判定，应完全符合民航局无人机执照考试判定。详细展示无人机飞行参数，包括飞行速度、水平速度、垂直速度、角速度等；应具有详细的步骤引导及任务完成反馈，能够通过界面展示鸟瞰视图查看无人机水平位置并通过小地图查看飞行轨迹。</w:t>
            </w:r>
          </w:p>
        </w:tc>
        <w:tc>
          <w:tcPr>
            <w:tcW w:w="282" w:type="pct"/>
            <w:vMerge w:val="continue"/>
            <w:tcBorders>
              <w:tl2br w:val="nil"/>
              <w:tr2bl w:val="nil"/>
            </w:tcBorders>
            <w:noWrap w:val="0"/>
            <w:vAlign w:val="center"/>
          </w:tcPr>
          <w:p w14:paraId="76CCF5A4">
            <w:pPr>
              <w:jc w:val="center"/>
              <w:rPr>
                <w:rFonts w:hint="eastAsia" w:ascii="微软雅黑" w:hAnsi="微软雅黑" w:eastAsia="微软雅黑" w:cs="微软雅黑"/>
                <w:i w:val="0"/>
                <w:iCs w:val="0"/>
                <w:color w:val="000000"/>
                <w:sz w:val="20"/>
                <w:szCs w:val="20"/>
                <w:u w:val="none"/>
              </w:rPr>
            </w:pPr>
          </w:p>
        </w:tc>
      </w:tr>
      <w:tr w14:paraId="1896BA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17A283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C60D957">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E94EF1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▲10、考试结束后可查看综合评分并支持使用自由视角和固定视角查看考试回放。（提供两种视角系统截图）</w:t>
            </w:r>
          </w:p>
        </w:tc>
        <w:tc>
          <w:tcPr>
            <w:tcW w:w="282" w:type="pct"/>
            <w:vMerge w:val="continue"/>
            <w:tcBorders>
              <w:tl2br w:val="nil"/>
              <w:tr2bl w:val="nil"/>
            </w:tcBorders>
            <w:noWrap w:val="0"/>
            <w:vAlign w:val="center"/>
          </w:tcPr>
          <w:p w14:paraId="68C98A5E">
            <w:pPr>
              <w:jc w:val="center"/>
              <w:rPr>
                <w:rFonts w:hint="eastAsia" w:ascii="微软雅黑" w:hAnsi="微软雅黑" w:eastAsia="微软雅黑" w:cs="微软雅黑"/>
                <w:i w:val="0"/>
                <w:iCs w:val="0"/>
                <w:color w:val="000000"/>
                <w:sz w:val="20"/>
                <w:szCs w:val="20"/>
                <w:u w:val="none"/>
              </w:rPr>
            </w:pPr>
          </w:p>
        </w:tc>
      </w:tr>
      <w:tr w14:paraId="7DF247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6153D9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1E6D40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0D9B43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11、应具有基础操作帮助，支持查看键盘和遥控器操作键位以及查看标准的遥控器握持姿势。</w:t>
            </w:r>
          </w:p>
        </w:tc>
        <w:tc>
          <w:tcPr>
            <w:tcW w:w="282" w:type="pct"/>
            <w:vMerge w:val="continue"/>
            <w:tcBorders>
              <w:tl2br w:val="nil"/>
              <w:tr2bl w:val="nil"/>
            </w:tcBorders>
            <w:noWrap w:val="0"/>
            <w:vAlign w:val="center"/>
          </w:tcPr>
          <w:p w14:paraId="01BF8917">
            <w:pPr>
              <w:jc w:val="center"/>
              <w:rPr>
                <w:rFonts w:hint="eastAsia" w:ascii="微软雅黑" w:hAnsi="微软雅黑" w:eastAsia="微软雅黑" w:cs="微软雅黑"/>
                <w:i w:val="0"/>
                <w:iCs w:val="0"/>
                <w:color w:val="000000"/>
                <w:sz w:val="20"/>
                <w:szCs w:val="20"/>
                <w:u w:val="none"/>
              </w:rPr>
            </w:pPr>
          </w:p>
        </w:tc>
      </w:tr>
      <w:tr w14:paraId="4BE51D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A0B7E6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7DC6895">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22CBA8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12、应具有调节摇杆灵敏度的功能，支持美国手、日本手、中国手。</w:t>
            </w:r>
          </w:p>
        </w:tc>
        <w:tc>
          <w:tcPr>
            <w:tcW w:w="282" w:type="pct"/>
            <w:vMerge w:val="continue"/>
            <w:tcBorders>
              <w:tl2br w:val="nil"/>
              <w:tr2bl w:val="nil"/>
            </w:tcBorders>
            <w:noWrap w:val="0"/>
            <w:vAlign w:val="center"/>
          </w:tcPr>
          <w:p w14:paraId="41D48E8F">
            <w:pPr>
              <w:jc w:val="center"/>
              <w:rPr>
                <w:rFonts w:hint="eastAsia" w:ascii="微软雅黑" w:hAnsi="微软雅黑" w:eastAsia="微软雅黑" w:cs="微软雅黑"/>
                <w:i w:val="0"/>
                <w:iCs w:val="0"/>
                <w:color w:val="000000"/>
                <w:sz w:val="20"/>
                <w:szCs w:val="20"/>
                <w:u w:val="none"/>
              </w:rPr>
            </w:pPr>
          </w:p>
        </w:tc>
      </w:tr>
      <w:tr w14:paraId="7B1BE8A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FD279A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5D8964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A44834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13、系统应具备完善的天气系统功能，能够支持切换天气效果，至少应包含晴天、阴天、雨天、大雪等天气效果。</w:t>
            </w:r>
          </w:p>
        </w:tc>
        <w:tc>
          <w:tcPr>
            <w:tcW w:w="282" w:type="pct"/>
            <w:vMerge w:val="continue"/>
            <w:tcBorders>
              <w:tl2br w:val="nil"/>
              <w:tr2bl w:val="nil"/>
            </w:tcBorders>
            <w:noWrap w:val="0"/>
            <w:vAlign w:val="center"/>
          </w:tcPr>
          <w:p w14:paraId="6DDD12FA">
            <w:pPr>
              <w:jc w:val="center"/>
              <w:rPr>
                <w:rFonts w:hint="eastAsia" w:ascii="微软雅黑" w:hAnsi="微软雅黑" w:eastAsia="微软雅黑" w:cs="微软雅黑"/>
                <w:i w:val="0"/>
                <w:iCs w:val="0"/>
                <w:color w:val="000000"/>
                <w:sz w:val="20"/>
                <w:szCs w:val="20"/>
                <w:u w:val="none"/>
              </w:rPr>
            </w:pPr>
          </w:p>
        </w:tc>
      </w:tr>
      <w:tr w14:paraId="390752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5F3BC8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7AF939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CACA51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14、系统应支持自定义设置模拟时间，能够根据调整的时间自动变换太阳的位置、角度以及太阳光强度等。</w:t>
            </w:r>
          </w:p>
        </w:tc>
        <w:tc>
          <w:tcPr>
            <w:tcW w:w="282" w:type="pct"/>
            <w:vMerge w:val="continue"/>
            <w:tcBorders>
              <w:tl2br w:val="nil"/>
              <w:tr2bl w:val="nil"/>
            </w:tcBorders>
            <w:noWrap w:val="0"/>
            <w:vAlign w:val="center"/>
          </w:tcPr>
          <w:p w14:paraId="2EB64251">
            <w:pPr>
              <w:jc w:val="center"/>
              <w:rPr>
                <w:rFonts w:hint="eastAsia" w:ascii="微软雅黑" w:hAnsi="微软雅黑" w:eastAsia="微软雅黑" w:cs="微软雅黑"/>
                <w:i w:val="0"/>
                <w:iCs w:val="0"/>
                <w:color w:val="000000"/>
                <w:sz w:val="20"/>
                <w:szCs w:val="20"/>
                <w:u w:val="none"/>
              </w:rPr>
            </w:pPr>
          </w:p>
        </w:tc>
      </w:tr>
      <w:tr w14:paraId="585710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39EBF6C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E72C2B9">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6A283C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15、应具备设置风力等级的功能，能够支持无风、1-3级风力调节，根据调节的风力，场地中风向标能够自动呈现风力大小和方向，并根据风力影响无人机飞行稳定性，以达到模拟各种真实环境的目的。</w:t>
            </w:r>
          </w:p>
        </w:tc>
        <w:tc>
          <w:tcPr>
            <w:tcW w:w="282" w:type="pct"/>
            <w:vMerge w:val="continue"/>
            <w:tcBorders>
              <w:tl2br w:val="nil"/>
              <w:tr2bl w:val="nil"/>
            </w:tcBorders>
            <w:noWrap w:val="0"/>
            <w:vAlign w:val="center"/>
          </w:tcPr>
          <w:p w14:paraId="5245B430">
            <w:pPr>
              <w:jc w:val="center"/>
              <w:rPr>
                <w:rFonts w:hint="eastAsia" w:ascii="微软雅黑" w:hAnsi="微软雅黑" w:eastAsia="微软雅黑" w:cs="微软雅黑"/>
                <w:i w:val="0"/>
                <w:iCs w:val="0"/>
                <w:color w:val="000000"/>
                <w:sz w:val="20"/>
                <w:szCs w:val="20"/>
                <w:u w:val="none"/>
              </w:rPr>
            </w:pPr>
          </w:p>
        </w:tc>
      </w:tr>
      <w:tr w14:paraId="3C7B09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B06A62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2CC5621">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1F6FD1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16、应支持多视角模式，至少包含固定视角、跟随视角和FPV视角。</w:t>
            </w:r>
          </w:p>
        </w:tc>
        <w:tc>
          <w:tcPr>
            <w:tcW w:w="282" w:type="pct"/>
            <w:vMerge w:val="continue"/>
            <w:tcBorders>
              <w:tl2br w:val="nil"/>
              <w:tr2bl w:val="nil"/>
            </w:tcBorders>
            <w:noWrap w:val="0"/>
            <w:vAlign w:val="center"/>
          </w:tcPr>
          <w:p w14:paraId="05E2512C">
            <w:pPr>
              <w:jc w:val="center"/>
              <w:rPr>
                <w:rFonts w:hint="eastAsia" w:ascii="微软雅黑" w:hAnsi="微软雅黑" w:eastAsia="微软雅黑" w:cs="微软雅黑"/>
                <w:i w:val="0"/>
                <w:iCs w:val="0"/>
                <w:color w:val="000000"/>
                <w:sz w:val="20"/>
                <w:szCs w:val="20"/>
                <w:u w:val="none"/>
              </w:rPr>
            </w:pPr>
          </w:p>
        </w:tc>
      </w:tr>
      <w:tr w14:paraId="4192FF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CAD04A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1A1F80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52EFA2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17、应具备视角调整功能，在固定视角下应能进行视域调整和高度调整。</w:t>
            </w:r>
          </w:p>
        </w:tc>
        <w:tc>
          <w:tcPr>
            <w:tcW w:w="282" w:type="pct"/>
            <w:vMerge w:val="continue"/>
            <w:tcBorders>
              <w:tl2br w:val="nil"/>
              <w:tr2bl w:val="nil"/>
            </w:tcBorders>
            <w:noWrap w:val="0"/>
            <w:vAlign w:val="center"/>
          </w:tcPr>
          <w:p w14:paraId="0BB89D3F">
            <w:pPr>
              <w:jc w:val="center"/>
              <w:rPr>
                <w:rFonts w:hint="eastAsia" w:ascii="微软雅黑" w:hAnsi="微软雅黑" w:eastAsia="微软雅黑" w:cs="微软雅黑"/>
                <w:i w:val="0"/>
                <w:iCs w:val="0"/>
                <w:color w:val="000000"/>
                <w:sz w:val="20"/>
                <w:szCs w:val="20"/>
                <w:u w:val="none"/>
              </w:rPr>
            </w:pPr>
          </w:p>
        </w:tc>
      </w:tr>
      <w:tr w14:paraId="300969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DA695C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C28919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2BFB1F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18、飞行模式应支持姿态模式和GNSS模式。</w:t>
            </w:r>
          </w:p>
        </w:tc>
        <w:tc>
          <w:tcPr>
            <w:tcW w:w="282" w:type="pct"/>
            <w:vMerge w:val="continue"/>
            <w:tcBorders>
              <w:tl2br w:val="nil"/>
              <w:tr2bl w:val="nil"/>
            </w:tcBorders>
            <w:noWrap w:val="0"/>
            <w:vAlign w:val="center"/>
          </w:tcPr>
          <w:p w14:paraId="04283E9F">
            <w:pPr>
              <w:jc w:val="center"/>
              <w:rPr>
                <w:rFonts w:hint="eastAsia" w:ascii="微软雅黑" w:hAnsi="微软雅黑" w:eastAsia="微软雅黑" w:cs="微软雅黑"/>
                <w:i w:val="0"/>
                <w:iCs w:val="0"/>
                <w:color w:val="000000"/>
                <w:sz w:val="20"/>
                <w:szCs w:val="20"/>
                <w:u w:val="none"/>
              </w:rPr>
            </w:pPr>
          </w:p>
        </w:tc>
      </w:tr>
      <w:tr w14:paraId="25B44C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061063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C4AD69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797B0D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四、无人机电力巡检</w:t>
            </w:r>
          </w:p>
        </w:tc>
        <w:tc>
          <w:tcPr>
            <w:tcW w:w="282" w:type="pct"/>
            <w:vMerge w:val="continue"/>
            <w:tcBorders>
              <w:tl2br w:val="nil"/>
              <w:tr2bl w:val="nil"/>
            </w:tcBorders>
            <w:noWrap w:val="0"/>
            <w:vAlign w:val="center"/>
          </w:tcPr>
          <w:p w14:paraId="5B20F727">
            <w:pPr>
              <w:jc w:val="center"/>
              <w:rPr>
                <w:rFonts w:hint="eastAsia" w:ascii="微软雅黑" w:hAnsi="微软雅黑" w:eastAsia="微软雅黑" w:cs="微软雅黑"/>
                <w:i w:val="0"/>
                <w:iCs w:val="0"/>
                <w:color w:val="000000"/>
                <w:sz w:val="20"/>
                <w:szCs w:val="20"/>
                <w:u w:val="none"/>
              </w:rPr>
            </w:pPr>
          </w:p>
        </w:tc>
      </w:tr>
      <w:tr w14:paraId="455615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4447A70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7286D55">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6F48FA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杆塔类型应支持220kv单回路直线塔；能够一比一高度还原真实铁塔模型，达到销钉级别建模还原；能够对杆塔整体及组成进行文字介绍，并应提供杆塔结构爆炸图，可支持查看部件爆炸结构图。（提供结构爆炸图截图）</w:t>
            </w:r>
          </w:p>
        </w:tc>
        <w:tc>
          <w:tcPr>
            <w:tcW w:w="282" w:type="pct"/>
            <w:vMerge w:val="continue"/>
            <w:tcBorders>
              <w:tl2br w:val="nil"/>
              <w:tr2bl w:val="nil"/>
            </w:tcBorders>
            <w:noWrap w:val="0"/>
            <w:vAlign w:val="center"/>
          </w:tcPr>
          <w:p w14:paraId="68C2B560">
            <w:pPr>
              <w:jc w:val="center"/>
              <w:rPr>
                <w:rFonts w:hint="eastAsia" w:ascii="微软雅黑" w:hAnsi="微软雅黑" w:eastAsia="微软雅黑" w:cs="微软雅黑"/>
                <w:i w:val="0"/>
                <w:iCs w:val="0"/>
                <w:color w:val="000000"/>
                <w:sz w:val="20"/>
                <w:szCs w:val="20"/>
                <w:u w:val="none"/>
              </w:rPr>
            </w:pPr>
          </w:p>
        </w:tc>
      </w:tr>
      <w:tr w14:paraId="343E8C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D20109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BB6176C">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009EEC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2、杆塔应具有匹配真实的杆塔图片对应杆塔模型功能。（提供系统界面截图）</w:t>
            </w:r>
          </w:p>
        </w:tc>
        <w:tc>
          <w:tcPr>
            <w:tcW w:w="282" w:type="pct"/>
            <w:vMerge w:val="continue"/>
            <w:tcBorders>
              <w:tl2br w:val="nil"/>
              <w:tr2bl w:val="nil"/>
            </w:tcBorders>
            <w:noWrap w:val="0"/>
            <w:vAlign w:val="center"/>
          </w:tcPr>
          <w:p w14:paraId="6FD912CD">
            <w:pPr>
              <w:jc w:val="center"/>
              <w:rPr>
                <w:rFonts w:hint="eastAsia" w:ascii="微软雅黑" w:hAnsi="微软雅黑" w:eastAsia="微软雅黑" w:cs="微软雅黑"/>
                <w:i w:val="0"/>
                <w:iCs w:val="0"/>
                <w:color w:val="000000"/>
                <w:sz w:val="20"/>
                <w:szCs w:val="20"/>
                <w:u w:val="none"/>
              </w:rPr>
            </w:pPr>
          </w:p>
        </w:tc>
      </w:tr>
      <w:tr w14:paraId="1D1466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7C738EE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8113EB0">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2C4816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3、应具有引导巡检模块，能够按《电力行业无人机巡检作业人员培训考核规范》(T/CEC 193-2018）规范，引导操控无人机对杆塔本体及部件进行巡检拍照。每个步骤应显示该部件的名称、拍摄角度要求、位置要求；拍摄目标应具备高亮显示提示用户的功能。</w:t>
            </w:r>
          </w:p>
        </w:tc>
        <w:tc>
          <w:tcPr>
            <w:tcW w:w="282" w:type="pct"/>
            <w:vMerge w:val="continue"/>
            <w:tcBorders>
              <w:tl2br w:val="nil"/>
              <w:tr2bl w:val="nil"/>
            </w:tcBorders>
            <w:noWrap w:val="0"/>
            <w:vAlign w:val="center"/>
          </w:tcPr>
          <w:p w14:paraId="08108F93">
            <w:pPr>
              <w:jc w:val="center"/>
              <w:rPr>
                <w:rFonts w:hint="eastAsia" w:ascii="微软雅黑" w:hAnsi="微软雅黑" w:eastAsia="微软雅黑" w:cs="微软雅黑"/>
                <w:i w:val="0"/>
                <w:iCs w:val="0"/>
                <w:color w:val="000000"/>
                <w:sz w:val="20"/>
                <w:szCs w:val="20"/>
                <w:u w:val="none"/>
              </w:rPr>
            </w:pPr>
          </w:p>
        </w:tc>
      </w:tr>
      <w:tr w14:paraId="60206C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6F4708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421AF72">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143515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4、应支持常用巡检无人机机型，并支持模拟使用界面，能够显示飞行信息，包括飞行模式、电量等。</w:t>
            </w:r>
          </w:p>
        </w:tc>
        <w:tc>
          <w:tcPr>
            <w:tcW w:w="282" w:type="pct"/>
            <w:vMerge w:val="continue"/>
            <w:tcBorders>
              <w:tl2br w:val="nil"/>
              <w:tr2bl w:val="nil"/>
            </w:tcBorders>
            <w:noWrap w:val="0"/>
            <w:vAlign w:val="center"/>
          </w:tcPr>
          <w:p w14:paraId="333D7F6F">
            <w:pPr>
              <w:jc w:val="center"/>
              <w:rPr>
                <w:rFonts w:hint="eastAsia" w:ascii="微软雅黑" w:hAnsi="微软雅黑" w:eastAsia="微软雅黑" w:cs="微软雅黑"/>
                <w:i w:val="0"/>
                <w:iCs w:val="0"/>
                <w:color w:val="000000"/>
                <w:sz w:val="20"/>
                <w:szCs w:val="20"/>
                <w:u w:val="none"/>
              </w:rPr>
            </w:pPr>
          </w:p>
        </w:tc>
      </w:tr>
      <w:tr w14:paraId="0676E9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A3BF2E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198873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24C5C8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5、应具有相册功能，能够查看拍摄的照片。</w:t>
            </w:r>
          </w:p>
        </w:tc>
        <w:tc>
          <w:tcPr>
            <w:tcW w:w="282" w:type="pct"/>
            <w:vMerge w:val="continue"/>
            <w:tcBorders>
              <w:tl2br w:val="nil"/>
              <w:tr2bl w:val="nil"/>
            </w:tcBorders>
            <w:noWrap w:val="0"/>
            <w:vAlign w:val="center"/>
          </w:tcPr>
          <w:p w14:paraId="6FDFD1C1">
            <w:pPr>
              <w:jc w:val="center"/>
              <w:rPr>
                <w:rFonts w:hint="eastAsia" w:ascii="微软雅黑" w:hAnsi="微软雅黑" w:eastAsia="微软雅黑" w:cs="微软雅黑"/>
                <w:i w:val="0"/>
                <w:iCs w:val="0"/>
                <w:color w:val="000000"/>
                <w:sz w:val="20"/>
                <w:szCs w:val="20"/>
                <w:u w:val="none"/>
              </w:rPr>
            </w:pPr>
          </w:p>
        </w:tc>
      </w:tr>
      <w:tr w14:paraId="1F183B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E4FCF6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303B627">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6F5B94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▲6、应具有变焦模拟功能，能够模拟常用巡检无人机镜头参数和变焦后的画质损失。（提供变焦模拟功能界面截图）</w:t>
            </w:r>
          </w:p>
        </w:tc>
        <w:tc>
          <w:tcPr>
            <w:tcW w:w="282" w:type="pct"/>
            <w:vMerge w:val="continue"/>
            <w:tcBorders>
              <w:tl2br w:val="nil"/>
              <w:tr2bl w:val="nil"/>
            </w:tcBorders>
            <w:noWrap w:val="0"/>
            <w:vAlign w:val="center"/>
          </w:tcPr>
          <w:p w14:paraId="1F6D28F1">
            <w:pPr>
              <w:jc w:val="center"/>
              <w:rPr>
                <w:rFonts w:hint="eastAsia" w:ascii="微软雅黑" w:hAnsi="微软雅黑" w:eastAsia="微软雅黑" w:cs="微软雅黑"/>
                <w:i w:val="0"/>
                <w:iCs w:val="0"/>
                <w:color w:val="000000"/>
                <w:sz w:val="20"/>
                <w:szCs w:val="20"/>
                <w:u w:val="none"/>
              </w:rPr>
            </w:pPr>
          </w:p>
        </w:tc>
      </w:tr>
      <w:tr w14:paraId="048D21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7A6E60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A2C6E15">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392453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7、具有操作帮助功能，能够查看键盘和遥控器操作键位。</w:t>
            </w:r>
          </w:p>
        </w:tc>
        <w:tc>
          <w:tcPr>
            <w:tcW w:w="282" w:type="pct"/>
            <w:vMerge w:val="continue"/>
            <w:tcBorders>
              <w:tl2br w:val="nil"/>
              <w:tr2bl w:val="nil"/>
            </w:tcBorders>
            <w:noWrap w:val="0"/>
            <w:vAlign w:val="center"/>
          </w:tcPr>
          <w:p w14:paraId="0D40FB7C">
            <w:pPr>
              <w:jc w:val="center"/>
              <w:rPr>
                <w:rFonts w:hint="eastAsia" w:ascii="微软雅黑" w:hAnsi="微软雅黑" w:eastAsia="微软雅黑" w:cs="微软雅黑"/>
                <w:i w:val="0"/>
                <w:iCs w:val="0"/>
                <w:color w:val="000000"/>
                <w:sz w:val="20"/>
                <w:szCs w:val="20"/>
                <w:u w:val="none"/>
              </w:rPr>
            </w:pPr>
          </w:p>
        </w:tc>
      </w:tr>
      <w:tr w14:paraId="205CD4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BDE837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343861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5F0EBB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8、应具有调节摇杆灵敏度的功能，支持美国手、日本手、中国手。</w:t>
            </w:r>
          </w:p>
        </w:tc>
        <w:tc>
          <w:tcPr>
            <w:tcW w:w="282" w:type="pct"/>
            <w:vMerge w:val="continue"/>
            <w:tcBorders>
              <w:tl2br w:val="nil"/>
              <w:tr2bl w:val="nil"/>
            </w:tcBorders>
            <w:noWrap w:val="0"/>
            <w:vAlign w:val="center"/>
          </w:tcPr>
          <w:p w14:paraId="1D15FFE0">
            <w:pPr>
              <w:jc w:val="center"/>
              <w:rPr>
                <w:rFonts w:hint="eastAsia" w:ascii="微软雅黑" w:hAnsi="微软雅黑" w:eastAsia="微软雅黑" w:cs="微软雅黑"/>
                <w:i w:val="0"/>
                <w:iCs w:val="0"/>
                <w:color w:val="000000"/>
                <w:sz w:val="20"/>
                <w:szCs w:val="20"/>
                <w:u w:val="none"/>
              </w:rPr>
            </w:pPr>
          </w:p>
        </w:tc>
      </w:tr>
      <w:tr w14:paraId="25D05D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50A220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A5EEECC">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2595C3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9、系统应具备完善的天气系统功能，能够支持切换天气效果，至少应包含晴天、阴天、雨天、大雪等天气效果。</w:t>
            </w:r>
          </w:p>
        </w:tc>
        <w:tc>
          <w:tcPr>
            <w:tcW w:w="282" w:type="pct"/>
            <w:vMerge w:val="continue"/>
            <w:tcBorders>
              <w:tl2br w:val="nil"/>
              <w:tr2bl w:val="nil"/>
            </w:tcBorders>
            <w:noWrap w:val="0"/>
            <w:vAlign w:val="center"/>
          </w:tcPr>
          <w:p w14:paraId="12646C2F">
            <w:pPr>
              <w:jc w:val="center"/>
              <w:rPr>
                <w:rFonts w:hint="eastAsia" w:ascii="微软雅黑" w:hAnsi="微软雅黑" w:eastAsia="微软雅黑" w:cs="微软雅黑"/>
                <w:i w:val="0"/>
                <w:iCs w:val="0"/>
                <w:color w:val="000000"/>
                <w:sz w:val="20"/>
                <w:szCs w:val="20"/>
                <w:u w:val="none"/>
              </w:rPr>
            </w:pPr>
          </w:p>
        </w:tc>
      </w:tr>
      <w:tr w14:paraId="042892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C948E6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E5D29FA">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3CF82B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10、系统应支持自定义设置模拟时间，能够根据调整的时间自动变换太阳的位置、角度以及太阳光强度等。</w:t>
            </w:r>
          </w:p>
        </w:tc>
        <w:tc>
          <w:tcPr>
            <w:tcW w:w="282" w:type="pct"/>
            <w:vMerge w:val="continue"/>
            <w:tcBorders>
              <w:tl2br w:val="nil"/>
              <w:tr2bl w:val="nil"/>
            </w:tcBorders>
            <w:noWrap w:val="0"/>
            <w:vAlign w:val="center"/>
          </w:tcPr>
          <w:p w14:paraId="7CEA5C94">
            <w:pPr>
              <w:jc w:val="center"/>
              <w:rPr>
                <w:rFonts w:hint="eastAsia" w:ascii="微软雅黑" w:hAnsi="微软雅黑" w:eastAsia="微软雅黑" w:cs="微软雅黑"/>
                <w:i w:val="0"/>
                <w:iCs w:val="0"/>
                <w:color w:val="000000"/>
                <w:sz w:val="20"/>
                <w:szCs w:val="20"/>
                <w:u w:val="none"/>
              </w:rPr>
            </w:pPr>
          </w:p>
        </w:tc>
      </w:tr>
      <w:tr w14:paraId="73278C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2378B80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F1DAAF5">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BE1BB6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11、应具备设置风力等级的功能，能够支持无风、1-3级风力调节，根据调节的风力，场地中风向标能够自动呈现风力大小和方向，并根据风力影响无人机飞行稳定性，以达到模拟各种真实环境的目的。</w:t>
            </w:r>
          </w:p>
        </w:tc>
        <w:tc>
          <w:tcPr>
            <w:tcW w:w="282" w:type="pct"/>
            <w:vMerge w:val="continue"/>
            <w:tcBorders>
              <w:tl2br w:val="nil"/>
              <w:tr2bl w:val="nil"/>
            </w:tcBorders>
            <w:noWrap w:val="0"/>
            <w:vAlign w:val="center"/>
          </w:tcPr>
          <w:p w14:paraId="779A3CB3">
            <w:pPr>
              <w:jc w:val="center"/>
              <w:rPr>
                <w:rFonts w:hint="eastAsia" w:ascii="微软雅黑" w:hAnsi="微软雅黑" w:eastAsia="微软雅黑" w:cs="微软雅黑"/>
                <w:i w:val="0"/>
                <w:iCs w:val="0"/>
                <w:color w:val="000000"/>
                <w:sz w:val="20"/>
                <w:szCs w:val="20"/>
                <w:u w:val="none"/>
              </w:rPr>
            </w:pPr>
          </w:p>
        </w:tc>
      </w:tr>
      <w:tr w14:paraId="3771E4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ED4C86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E396DAA">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5211D2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12、应支持多视角模式，至少包含固定视角、跟随视角和FPV视角。</w:t>
            </w:r>
          </w:p>
        </w:tc>
        <w:tc>
          <w:tcPr>
            <w:tcW w:w="282" w:type="pct"/>
            <w:vMerge w:val="continue"/>
            <w:tcBorders>
              <w:tl2br w:val="nil"/>
              <w:tr2bl w:val="nil"/>
            </w:tcBorders>
            <w:noWrap w:val="0"/>
            <w:vAlign w:val="center"/>
          </w:tcPr>
          <w:p w14:paraId="0B560071">
            <w:pPr>
              <w:jc w:val="center"/>
              <w:rPr>
                <w:rFonts w:hint="eastAsia" w:ascii="微软雅黑" w:hAnsi="微软雅黑" w:eastAsia="微软雅黑" w:cs="微软雅黑"/>
                <w:i w:val="0"/>
                <w:iCs w:val="0"/>
                <w:color w:val="000000"/>
                <w:sz w:val="20"/>
                <w:szCs w:val="20"/>
                <w:u w:val="none"/>
              </w:rPr>
            </w:pPr>
          </w:p>
        </w:tc>
      </w:tr>
      <w:tr w14:paraId="7F1685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C1F1CA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13FE7A6">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632959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13、应具备视角调整功能，在固定视角下应能进行视域调整和高度调整。</w:t>
            </w:r>
          </w:p>
        </w:tc>
        <w:tc>
          <w:tcPr>
            <w:tcW w:w="282" w:type="pct"/>
            <w:vMerge w:val="continue"/>
            <w:tcBorders>
              <w:tl2br w:val="nil"/>
              <w:tr2bl w:val="nil"/>
            </w:tcBorders>
            <w:noWrap w:val="0"/>
            <w:vAlign w:val="center"/>
          </w:tcPr>
          <w:p w14:paraId="6AE59E7C">
            <w:pPr>
              <w:jc w:val="center"/>
              <w:rPr>
                <w:rFonts w:hint="eastAsia" w:ascii="微软雅黑" w:hAnsi="微软雅黑" w:eastAsia="微软雅黑" w:cs="微软雅黑"/>
                <w:i w:val="0"/>
                <w:iCs w:val="0"/>
                <w:color w:val="000000"/>
                <w:sz w:val="20"/>
                <w:szCs w:val="20"/>
                <w:u w:val="none"/>
              </w:rPr>
            </w:pPr>
          </w:p>
        </w:tc>
      </w:tr>
      <w:tr w14:paraId="6E19B1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92F95A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7B4286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2D5C52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14、飞行模式应支持姿态模式和GNSS模式。</w:t>
            </w:r>
          </w:p>
        </w:tc>
        <w:tc>
          <w:tcPr>
            <w:tcW w:w="282" w:type="pct"/>
            <w:vMerge w:val="continue"/>
            <w:tcBorders>
              <w:tl2br w:val="nil"/>
              <w:tr2bl w:val="nil"/>
            </w:tcBorders>
            <w:noWrap w:val="0"/>
            <w:vAlign w:val="center"/>
          </w:tcPr>
          <w:p w14:paraId="6A0BF052">
            <w:pPr>
              <w:jc w:val="center"/>
              <w:rPr>
                <w:rFonts w:hint="eastAsia" w:ascii="微软雅黑" w:hAnsi="微软雅黑" w:eastAsia="微软雅黑" w:cs="微软雅黑"/>
                <w:i w:val="0"/>
                <w:iCs w:val="0"/>
                <w:color w:val="000000"/>
                <w:sz w:val="20"/>
                <w:szCs w:val="20"/>
                <w:u w:val="none"/>
              </w:rPr>
            </w:pPr>
          </w:p>
        </w:tc>
      </w:tr>
      <w:tr w14:paraId="69E8B1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78774C0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1D733DD">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975085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▲15、应具有数据分析功能，能够记录巡检训练所产生的数据；如训练次数，训练时长，任务成功率，单次巡检产生的数据及拍摄的照片，并能够对巡检产生的照片进行标注。（提供训练数据分析截图）</w:t>
            </w:r>
          </w:p>
        </w:tc>
        <w:tc>
          <w:tcPr>
            <w:tcW w:w="282" w:type="pct"/>
            <w:vMerge w:val="continue"/>
            <w:tcBorders>
              <w:tl2br w:val="nil"/>
              <w:tr2bl w:val="nil"/>
            </w:tcBorders>
            <w:noWrap w:val="0"/>
            <w:vAlign w:val="center"/>
          </w:tcPr>
          <w:p w14:paraId="4A4DFD5F">
            <w:pPr>
              <w:jc w:val="center"/>
              <w:rPr>
                <w:rFonts w:hint="eastAsia" w:ascii="微软雅黑" w:hAnsi="微软雅黑" w:eastAsia="微软雅黑" w:cs="微软雅黑"/>
                <w:i w:val="0"/>
                <w:iCs w:val="0"/>
                <w:color w:val="000000"/>
                <w:sz w:val="20"/>
                <w:szCs w:val="20"/>
                <w:u w:val="none"/>
              </w:rPr>
            </w:pPr>
          </w:p>
        </w:tc>
      </w:tr>
      <w:tr w14:paraId="08EC7F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55D6EB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8ECD466">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531A2E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五、无人机地理测绘</w:t>
            </w:r>
          </w:p>
        </w:tc>
        <w:tc>
          <w:tcPr>
            <w:tcW w:w="282" w:type="pct"/>
            <w:vMerge w:val="continue"/>
            <w:tcBorders>
              <w:tl2br w:val="nil"/>
              <w:tr2bl w:val="nil"/>
            </w:tcBorders>
            <w:noWrap w:val="0"/>
            <w:vAlign w:val="center"/>
          </w:tcPr>
          <w:p w14:paraId="10B55B2D">
            <w:pPr>
              <w:jc w:val="center"/>
              <w:rPr>
                <w:rFonts w:hint="eastAsia" w:ascii="微软雅黑" w:hAnsi="微软雅黑" w:eastAsia="微软雅黑" w:cs="微软雅黑"/>
                <w:i w:val="0"/>
                <w:iCs w:val="0"/>
                <w:color w:val="000000"/>
                <w:sz w:val="20"/>
                <w:szCs w:val="20"/>
                <w:u w:val="none"/>
              </w:rPr>
            </w:pPr>
          </w:p>
        </w:tc>
      </w:tr>
      <w:tr w14:paraId="5F74F2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6B1044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F28891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9F8576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1、系统具备基础知识介绍功能，应对无人机航测基础原理、无人机航测设备进行介绍。</w:t>
            </w:r>
          </w:p>
        </w:tc>
        <w:tc>
          <w:tcPr>
            <w:tcW w:w="282" w:type="pct"/>
            <w:vMerge w:val="continue"/>
            <w:tcBorders>
              <w:tl2br w:val="nil"/>
              <w:tr2bl w:val="nil"/>
            </w:tcBorders>
            <w:noWrap w:val="0"/>
            <w:vAlign w:val="center"/>
          </w:tcPr>
          <w:p w14:paraId="4FFC4818">
            <w:pPr>
              <w:jc w:val="center"/>
              <w:rPr>
                <w:rFonts w:hint="eastAsia" w:ascii="微软雅黑" w:hAnsi="微软雅黑" w:eastAsia="微软雅黑" w:cs="微软雅黑"/>
                <w:i w:val="0"/>
                <w:iCs w:val="0"/>
                <w:color w:val="000000"/>
                <w:sz w:val="20"/>
                <w:szCs w:val="20"/>
                <w:u w:val="none"/>
              </w:rPr>
            </w:pPr>
          </w:p>
        </w:tc>
      </w:tr>
      <w:tr w14:paraId="15E0A8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CE84D3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BA5A109">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CCA5B0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2、系统应具备山地、学校场景等对外业场景，并支持一键选择。</w:t>
            </w:r>
          </w:p>
        </w:tc>
        <w:tc>
          <w:tcPr>
            <w:tcW w:w="282" w:type="pct"/>
            <w:vMerge w:val="continue"/>
            <w:tcBorders>
              <w:tl2br w:val="nil"/>
              <w:tr2bl w:val="nil"/>
            </w:tcBorders>
            <w:noWrap w:val="0"/>
            <w:vAlign w:val="center"/>
          </w:tcPr>
          <w:p w14:paraId="3CF5DF4B">
            <w:pPr>
              <w:jc w:val="center"/>
              <w:rPr>
                <w:rFonts w:hint="eastAsia" w:ascii="微软雅黑" w:hAnsi="微软雅黑" w:eastAsia="微软雅黑" w:cs="微软雅黑"/>
                <w:i w:val="0"/>
                <w:iCs w:val="0"/>
                <w:color w:val="000000"/>
                <w:sz w:val="20"/>
                <w:szCs w:val="20"/>
                <w:u w:val="none"/>
              </w:rPr>
            </w:pPr>
          </w:p>
        </w:tc>
      </w:tr>
      <w:tr w14:paraId="43B055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05AFD4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793CF40">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7AD842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3、应具有详细的步骤提示，至少应包含测绘作业主要六个环节：场地踏勘、规划测区、像控点布设、航线规划、航测拍摄、数据处理等。</w:t>
            </w:r>
          </w:p>
        </w:tc>
        <w:tc>
          <w:tcPr>
            <w:tcW w:w="282" w:type="pct"/>
            <w:vMerge w:val="continue"/>
            <w:tcBorders>
              <w:tl2br w:val="nil"/>
              <w:tr2bl w:val="nil"/>
            </w:tcBorders>
            <w:noWrap w:val="0"/>
            <w:vAlign w:val="center"/>
          </w:tcPr>
          <w:p w14:paraId="0D1904EB">
            <w:pPr>
              <w:jc w:val="center"/>
              <w:rPr>
                <w:rFonts w:hint="eastAsia" w:ascii="微软雅黑" w:hAnsi="微软雅黑" w:eastAsia="微软雅黑" w:cs="微软雅黑"/>
                <w:i w:val="0"/>
                <w:iCs w:val="0"/>
                <w:color w:val="000000"/>
                <w:sz w:val="20"/>
                <w:szCs w:val="20"/>
                <w:u w:val="none"/>
              </w:rPr>
            </w:pPr>
          </w:p>
        </w:tc>
      </w:tr>
      <w:tr w14:paraId="60E170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047828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680D839">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AB44EC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4、应具有背包功能，背包中至少应包含外业所需主要设备：制标靶、相机、无人机及遥控器、RTK及手簿等。</w:t>
            </w:r>
          </w:p>
        </w:tc>
        <w:tc>
          <w:tcPr>
            <w:tcW w:w="282" w:type="pct"/>
            <w:vMerge w:val="continue"/>
            <w:tcBorders>
              <w:tl2br w:val="nil"/>
              <w:tr2bl w:val="nil"/>
            </w:tcBorders>
            <w:noWrap w:val="0"/>
            <w:vAlign w:val="center"/>
          </w:tcPr>
          <w:p w14:paraId="389ADA2C">
            <w:pPr>
              <w:jc w:val="center"/>
              <w:rPr>
                <w:rFonts w:hint="eastAsia" w:ascii="微软雅黑" w:hAnsi="微软雅黑" w:eastAsia="微软雅黑" w:cs="微软雅黑"/>
                <w:i w:val="0"/>
                <w:iCs w:val="0"/>
                <w:color w:val="000000"/>
                <w:sz w:val="20"/>
                <w:szCs w:val="20"/>
                <w:u w:val="none"/>
              </w:rPr>
            </w:pPr>
          </w:p>
        </w:tc>
      </w:tr>
      <w:tr w14:paraId="41AEA0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476C52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1B11D9C">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C575E9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5、应支持自由规划测区，测区连接点不少于3个。能够还原RTK像控点布设核心流程，包含新建项目、RTK蓝牙连接、杆高设置等。</w:t>
            </w:r>
          </w:p>
        </w:tc>
        <w:tc>
          <w:tcPr>
            <w:tcW w:w="282" w:type="pct"/>
            <w:vMerge w:val="continue"/>
            <w:tcBorders>
              <w:tl2br w:val="nil"/>
              <w:tr2bl w:val="nil"/>
            </w:tcBorders>
            <w:noWrap w:val="0"/>
            <w:vAlign w:val="center"/>
          </w:tcPr>
          <w:p w14:paraId="39A78154">
            <w:pPr>
              <w:jc w:val="center"/>
              <w:rPr>
                <w:rFonts w:hint="eastAsia" w:ascii="微软雅黑" w:hAnsi="微软雅黑" w:eastAsia="微软雅黑" w:cs="微软雅黑"/>
                <w:i w:val="0"/>
                <w:iCs w:val="0"/>
                <w:color w:val="000000"/>
                <w:sz w:val="20"/>
                <w:szCs w:val="20"/>
                <w:u w:val="none"/>
              </w:rPr>
            </w:pPr>
          </w:p>
        </w:tc>
      </w:tr>
      <w:tr w14:paraId="59FB9C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333AC1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EA2CA0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9485C2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6、采集数据应至少包含6个维度：N、E、Z、B、L、H。</w:t>
            </w:r>
          </w:p>
        </w:tc>
        <w:tc>
          <w:tcPr>
            <w:tcW w:w="282" w:type="pct"/>
            <w:vMerge w:val="continue"/>
            <w:tcBorders>
              <w:tl2br w:val="nil"/>
              <w:tr2bl w:val="nil"/>
            </w:tcBorders>
            <w:noWrap w:val="0"/>
            <w:vAlign w:val="center"/>
          </w:tcPr>
          <w:p w14:paraId="65943093">
            <w:pPr>
              <w:jc w:val="center"/>
              <w:rPr>
                <w:rFonts w:hint="eastAsia" w:ascii="微软雅黑" w:hAnsi="微软雅黑" w:eastAsia="微软雅黑" w:cs="微软雅黑"/>
                <w:i w:val="0"/>
                <w:iCs w:val="0"/>
                <w:color w:val="000000"/>
                <w:sz w:val="20"/>
                <w:szCs w:val="20"/>
                <w:u w:val="none"/>
              </w:rPr>
            </w:pPr>
          </w:p>
        </w:tc>
      </w:tr>
      <w:tr w14:paraId="4ACB00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8B2FEF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2A3596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9EF319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7、测绘数据应支持Excel导出。</w:t>
            </w:r>
          </w:p>
        </w:tc>
        <w:tc>
          <w:tcPr>
            <w:tcW w:w="282" w:type="pct"/>
            <w:vMerge w:val="continue"/>
            <w:tcBorders>
              <w:tl2br w:val="nil"/>
              <w:tr2bl w:val="nil"/>
            </w:tcBorders>
            <w:noWrap w:val="0"/>
            <w:vAlign w:val="center"/>
          </w:tcPr>
          <w:p w14:paraId="6C889070">
            <w:pPr>
              <w:jc w:val="center"/>
              <w:rPr>
                <w:rFonts w:hint="eastAsia" w:ascii="微软雅黑" w:hAnsi="微软雅黑" w:eastAsia="微软雅黑" w:cs="微软雅黑"/>
                <w:i w:val="0"/>
                <w:iCs w:val="0"/>
                <w:color w:val="000000"/>
                <w:sz w:val="20"/>
                <w:szCs w:val="20"/>
                <w:u w:val="none"/>
              </w:rPr>
            </w:pPr>
          </w:p>
        </w:tc>
      </w:tr>
      <w:tr w14:paraId="015934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784F133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7DC4D55">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F843B2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8、航测拍摄时应能够支持测绘常用系列机型，支持广角镜头、正射采集，支持设置：正射GSD、航线飞行高度、航线速度、主航线角度、相对起飞高度、旁向重叠率、航向重叠率、边距等参数。</w:t>
            </w:r>
          </w:p>
        </w:tc>
        <w:tc>
          <w:tcPr>
            <w:tcW w:w="282" w:type="pct"/>
            <w:vMerge w:val="continue"/>
            <w:tcBorders>
              <w:tl2br w:val="nil"/>
              <w:tr2bl w:val="nil"/>
            </w:tcBorders>
            <w:noWrap w:val="0"/>
            <w:vAlign w:val="center"/>
          </w:tcPr>
          <w:p w14:paraId="6C1965E3">
            <w:pPr>
              <w:jc w:val="center"/>
              <w:rPr>
                <w:rFonts w:hint="eastAsia" w:ascii="微软雅黑" w:hAnsi="微软雅黑" w:eastAsia="微软雅黑" w:cs="微软雅黑"/>
                <w:i w:val="0"/>
                <w:iCs w:val="0"/>
                <w:color w:val="000000"/>
                <w:sz w:val="20"/>
                <w:szCs w:val="20"/>
                <w:u w:val="none"/>
              </w:rPr>
            </w:pPr>
          </w:p>
        </w:tc>
      </w:tr>
      <w:tr w14:paraId="12F74F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63E801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A41599A">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85311E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9、拍照模式应支持等时间隔拍照。</w:t>
            </w:r>
          </w:p>
        </w:tc>
        <w:tc>
          <w:tcPr>
            <w:tcW w:w="282" w:type="pct"/>
            <w:vMerge w:val="continue"/>
            <w:tcBorders>
              <w:tl2br w:val="nil"/>
              <w:tr2bl w:val="nil"/>
            </w:tcBorders>
            <w:noWrap w:val="0"/>
            <w:vAlign w:val="center"/>
          </w:tcPr>
          <w:p w14:paraId="6BE051FB">
            <w:pPr>
              <w:jc w:val="center"/>
              <w:rPr>
                <w:rFonts w:hint="eastAsia" w:ascii="微软雅黑" w:hAnsi="微软雅黑" w:eastAsia="微软雅黑" w:cs="微软雅黑"/>
                <w:i w:val="0"/>
                <w:iCs w:val="0"/>
                <w:color w:val="000000"/>
                <w:sz w:val="20"/>
                <w:szCs w:val="20"/>
                <w:u w:val="none"/>
              </w:rPr>
            </w:pPr>
          </w:p>
        </w:tc>
      </w:tr>
      <w:tr w14:paraId="0EBA0D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EF3889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2B6512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A59F58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10、任务完成时能够自动返航。</w:t>
            </w:r>
          </w:p>
        </w:tc>
        <w:tc>
          <w:tcPr>
            <w:tcW w:w="282" w:type="pct"/>
            <w:vMerge w:val="continue"/>
            <w:tcBorders>
              <w:tl2br w:val="nil"/>
              <w:tr2bl w:val="nil"/>
            </w:tcBorders>
            <w:noWrap w:val="0"/>
            <w:vAlign w:val="center"/>
          </w:tcPr>
          <w:p w14:paraId="5D62ED3B">
            <w:pPr>
              <w:jc w:val="center"/>
              <w:rPr>
                <w:rFonts w:hint="eastAsia" w:ascii="微软雅黑" w:hAnsi="微软雅黑" w:eastAsia="微软雅黑" w:cs="微软雅黑"/>
                <w:i w:val="0"/>
                <w:iCs w:val="0"/>
                <w:color w:val="000000"/>
                <w:sz w:val="20"/>
                <w:szCs w:val="20"/>
                <w:u w:val="none"/>
              </w:rPr>
            </w:pPr>
          </w:p>
        </w:tc>
      </w:tr>
      <w:tr w14:paraId="7B3B6B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C051C2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117A2C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92AF21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11、支持数据生产工具PIX4Dmapper引导下载及安装介绍。</w:t>
            </w:r>
          </w:p>
        </w:tc>
        <w:tc>
          <w:tcPr>
            <w:tcW w:w="282" w:type="pct"/>
            <w:vMerge w:val="continue"/>
            <w:tcBorders>
              <w:tl2br w:val="nil"/>
              <w:tr2bl w:val="nil"/>
            </w:tcBorders>
            <w:noWrap w:val="0"/>
            <w:vAlign w:val="center"/>
          </w:tcPr>
          <w:p w14:paraId="5B466422">
            <w:pPr>
              <w:jc w:val="center"/>
              <w:rPr>
                <w:rFonts w:hint="eastAsia" w:ascii="微软雅黑" w:hAnsi="微软雅黑" w:eastAsia="微软雅黑" w:cs="微软雅黑"/>
                <w:i w:val="0"/>
                <w:iCs w:val="0"/>
                <w:color w:val="000000"/>
                <w:sz w:val="20"/>
                <w:szCs w:val="20"/>
                <w:u w:val="none"/>
              </w:rPr>
            </w:pPr>
          </w:p>
        </w:tc>
      </w:tr>
      <w:tr w14:paraId="0CC626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4F1728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A224001">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A9C913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六、无人机农业植保</w:t>
            </w:r>
          </w:p>
        </w:tc>
        <w:tc>
          <w:tcPr>
            <w:tcW w:w="282" w:type="pct"/>
            <w:vMerge w:val="continue"/>
            <w:tcBorders>
              <w:tl2br w:val="nil"/>
              <w:tr2bl w:val="nil"/>
            </w:tcBorders>
            <w:noWrap w:val="0"/>
            <w:vAlign w:val="center"/>
          </w:tcPr>
          <w:p w14:paraId="67E57857">
            <w:pPr>
              <w:jc w:val="center"/>
              <w:rPr>
                <w:rFonts w:hint="eastAsia" w:ascii="微软雅黑" w:hAnsi="微软雅黑" w:eastAsia="微软雅黑" w:cs="微软雅黑"/>
                <w:i w:val="0"/>
                <w:iCs w:val="0"/>
                <w:color w:val="000000"/>
                <w:sz w:val="20"/>
                <w:szCs w:val="20"/>
                <w:u w:val="none"/>
              </w:rPr>
            </w:pPr>
          </w:p>
        </w:tc>
      </w:tr>
      <w:tr w14:paraId="5AA4E2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1C2B25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3386DE1">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6ABF1F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1、系统支持选择机型，应支持常用植保机机型选择。</w:t>
            </w:r>
          </w:p>
        </w:tc>
        <w:tc>
          <w:tcPr>
            <w:tcW w:w="282" w:type="pct"/>
            <w:vMerge w:val="continue"/>
            <w:tcBorders>
              <w:tl2br w:val="nil"/>
              <w:tr2bl w:val="nil"/>
            </w:tcBorders>
            <w:noWrap w:val="0"/>
            <w:vAlign w:val="center"/>
          </w:tcPr>
          <w:p w14:paraId="61C29DB9">
            <w:pPr>
              <w:jc w:val="center"/>
              <w:rPr>
                <w:rFonts w:hint="eastAsia" w:ascii="微软雅黑" w:hAnsi="微软雅黑" w:eastAsia="微软雅黑" w:cs="微软雅黑"/>
                <w:i w:val="0"/>
                <w:iCs w:val="0"/>
                <w:color w:val="000000"/>
                <w:sz w:val="20"/>
                <w:szCs w:val="20"/>
                <w:u w:val="none"/>
              </w:rPr>
            </w:pPr>
          </w:p>
        </w:tc>
      </w:tr>
      <w:tr w14:paraId="684312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6A2E1B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115482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DB686D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2、应提供植保无人机手动作业、手动增强作业、AB点作业、航线规划四种作业模式。</w:t>
            </w:r>
          </w:p>
        </w:tc>
        <w:tc>
          <w:tcPr>
            <w:tcW w:w="282" w:type="pct"/>
            <w:vMerge w:val="continue"/>
            <w:tcBorders>
              <w:tl2br w:val="nil"/>
              <w:tr2bl w:val="nil"/>
            </w:tcBorders>
            <w:noWrap w:val="0"/>
            <w:vAlign w:val="center"/>
          </w:tcPr>
          <w:p w14:paraId="5D85F670">
            <w:pPr>
              <w:jc w:val="center"/>
              <w:rPr>
                <w:rFonts w:hint="eastAsia" w:ascii="微软雅黑" w:hAnsi="微软雅黑" w:eastAsia="微软雅黑" w:cs="微软雅黑"/>
                <w:i w:val="0"/>
                <w:iCs w:val="0"/>
                <w:color w:val="000000"/>
                <w:sz w:val="20"/>
                <w:szCs w:val="20"/>
                <w:u w:val="none"/>
              </w:rPr>
            </w:pPr>
          </w:p>
        </w:tc>
      </w:tr>
      <w:tr w14:paraId="7BE44D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0BC832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A95B71A">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E1E4B0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3、系统中环境地形至少应分为简单、常规、复杂三种地形。</w:t>
            </w:r>
          </w:p>
        </w:tc>
        <w:tc>
          <w:tcPr>
            <w:tcW w:w="282" w:type="pct"/>
            <w:vMerge w:val="continue"/>
            <w:tcBorders>
              <w:tl2br w:val="nil"/>
              <w:tr2bl w:val="nil"/>
            </w:tcBorders>
            <w:noWrap w:val="0"/>
            <w:vAlign w:val="center"/>
          </w:tcPr>
          <w:p w14:paraId="0990B7FD">
            <w:pPr>
              <w:jc w:val="center"/>
              <w:rPr>
                <w:rFonts w:hint="eastAsia" w:ascii="微软雅黑" w:hAnsi="微软雅黑" w:eastAsia="微软雅黑" w:cs="微软雅黑"/>
                <w:i w:val="0"/>
                <w:iCs w:val="0"/>
                <w:color w:val="000000"/>
                <w:sz w:val="20"/>
                <w:szCs w:val="20"/>
                <w:u w:val="none"/>
              </w:rPr>
            </w:pPr>
          </w:p>
        </w:tc>
      </w:tr>
      <w:tr w14:paraId="37D064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55CE5D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740D4DB">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A32C6F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4、系统至少应内置水稻、棉花、玉米等三种常见农作物。</w:t>
            </w:r>
          </w:p>
        </w:tc>
        <w:tc>
          <w:tcPr>
            <w:tcW w:w="282" w:type="pct"/>
            <w:vMerge w:val="continue"/>
            <w:tcBorders>
              <w:tl2br w:val="nil"/>
              <w:tr2bl w:val="nil"/>
            </w:tcBorders>
            <w:noWrap w:val="0"/>
            <w:vAlign w:val="center"/>
          </w:tcPr>
          <w:p w14:paraId="43D2E800">
            <w:pPr>
              <w:jc w:val="center"/>
              <w:rPr>
                <w:rFonts w:hint="eastAsia" w:ascii="微软雅黑" w:hAnsi="微软雅黑" w:eastAsia="微软雅黑" w:cs="微软雅黑"/>
                <w:i w:val="0"/>
                <w:iCs w:val="0"/>
                <w:color w:val="000000"/>
                <w:sz w:val="20"/>
                <w:szCs w:val="20"/>
                <w:u w:val="none"/>
              </w:rPr>
            </w:pPr>
          </w:p>
        </w:tc>
      </w:tr>
      <w:tr w14:paraId="119C41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064202F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9D47CD6">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570657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5、系统支持AB点作业，应支持操控无人机进行场地A点、B点标定，标定完成后能够按照AB点生成航线，并支持设定喷洒流速、水平喷幅、航线角度、飞行高度、飞行速度等作业参数。</w:t>
            </w:r>
          </w:p>
        </w:tc>
        <w:tc>
          <w:tcPr>
            <w:tcW w:w="282" w:type="pct"/>
            <w:vMerge w:val="continue"/>
            <w:tcBorders>
              <w:tl2br w:val="nil"/>
              <w:tr2bl w:val="nil"/>
            </w:tcBorders>
            <w:noWrap w:val="0"/>
            <w:vAlign w:val="center"/>
          </w:tcPr>
          <w:p w14:paraId="609BCC86">
            <w:pPr>
              <w:jc w:val="center"/>
              <w:rPr>
                <w:rFonts w:hint="eastAsia" w:ascii="微软雅黑" w:hAnsi="微软雅黑" w:eastAsia="微软雅黑" w:cs="微软雅黑"/>
                <w:i w:val="0"/>
                <w:iCs w:val="0"/>
                <w:color w:val="000000"/>
                <w:sz w:val="20"/>
                <w:szCs w:val="20"/>
                <w:u w:val="none"/>
              </w:rPr>
            </w:pPr>
          </w:p>
        </w:tc>
      </w:tr>
      <w:tr w14:paraId="6D3314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908390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1147624">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4A1D07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6、能够显示任务详情，支持动态更新当前航线计算出的作业面积、航线长度、预计飞行航时以及预估的药量。</w:t>
            </w:r>
          </w:p>
        </w:tc>
        <w:tc>
          <w:tcPr>
            <w:tcW w:w="282" w:type="pct"/>
            <w:vMerge w:val="continue"/>
            <w:tcBorders>
              <w:tl2br w:val="nil"/>
              <w:tr2bl w:val="nil"/>
            </w:tcBorders>
            <w:noWrap w:val="0"/>
            <w:vAlign w:val="center"/>
          </w:tcPr>
          <w:p w14:paraId="24AE3540">
            <w:pPr>
              <w:jc w:val="center"/>
              <w:rPr>
                <w:rFonts w:hint="eastAsia" w:ascii="微软雅黑" w:hAnsi="微软雅黑" w:eastAsia="微软雅黑" w:cs="微软雅黑"/>
                <w:i w:val="0"/>
                <w:iCs w:val="0"/>
                <w:color w:val="000000"/>
                <w:sz w:val="20"/>
                <w:szCs w:val="20"/>
                <w:u w:val="none"/>
              </w:rPr>
            </w:pPr>
          </w:p>
        </w:tc>
      </w:tr>
      <w:tr w14:paraId="366AD6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0FD8D3C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E83C74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3A377F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7、应具有航线作业功能，能够添加和移除地块边界点，自动按照喷洒参数生成弓字型作业飞行航线；还应支持添加或移除不喷区域、支持设定喷洒流速、水平喷幅、航线角度、飞行高度、飞行速度等作业参数。</w:t>
            </w:r>
          </w:p>
        </w:tc>
        <w:tc>
          <w:tcPr>
            <w:tcW w:w="282" w:type="pct"/>
            <w:vMerge w:val="continue"/>
            <w:tcBorders>
              <w:tl2br w:val="nil"/>
              <w:tr2bl w:val="nil"/>
            </w:tcBorders>
            <w:noWrap w:val="0"/>
            <w:vAlign w:val="center"/>
          </w:tcPr>
          <w:p w14:paraId="6A98F914">
            <w:pPr>
              <w:jc w:val="center"/>
              <w:rPr>
                <w:rFonts w:hint="eastAsia" w:ascii="微软雅黑" w:hAnsi="微软雅黑" w:eastAsia="微软雅黑" w:cs="微软雅黑"/>
                <w:i w:val="0"/>
                <w:iCs w:val="0"/>
                <w:color w:val="000000"/>
                <w:sz w:val="20"/>
                <w:szCs w:val="20"/>
                <w:u w:val="none"/>
              </w:rPr>
            </w:pPr>
          </w:p>
        </w:tc>
      </w:tr>
      <w:tr w14:paraId="118476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59121F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6F587EB">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D40CCC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8、航线作业时应显示任务详情，能够动态更新当前航线计算出的作业面积、航线长度、预计飞行航时、以及预估的药量。</w:t>
            </w:r>
          </w:p>
        </w:tc>
        <w:tc>
          <w:tcPr>
            <w:tcW w:w="282" w:type="pct"/>
            <w:vMerge w:val="continue"/>
            <w:tcBorders>
              <w:tl2br w:val="nil"/>
              <w:tr2bl w:val="nil"/>
            </w:tcBorders>
            <w:noWrap w:val="0"/>
            <w:vAlign w:val="center"/>
          </w:tcPr>
          <w:p w14:paraId="3ED395FF">
            <w:pPr>
              <w:jc w:val="center"/>
              <w:rPr>
                <w:rFonts w:hint="eastAsia" w:ascii="微软雅黑" w:hAnsi="微软雅黑" w:eastAsia="微软雅黑" w:cs="微软雅黑"/>
                <w:i w:val="0"/>
                <w:iCs w:val="0"/>
                <w:color w:val="000000"/>
                <w:sz w:val="20"/>
                <w:szCs w:val="20"/>
                <w:u w:val="none"/>
              </w:rPr>
            </w:pPr>
          </w:p>
        </w:tc>
      </w:tr>
      <w:tr w14:paraId="4A6908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382A35E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DD92AB6">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8FE883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9、应具有手动增强作业功能，应支持操控无人机进行场地作业，能够设定喷洒流速、水平喷幅、航线角度、飞行高度、飞行速度等作业参数，飞机半自动按照作业参数执行任务，并支持一键掉头，锁定航向。</w:t>
            </w:r>
          </w:p>
        </w:tc>
        <w:tc>
          <w:tcPr>
            <w:tcW w:w="282" w:type="pct"/>
            <w:vMerge w:val="continue"/>
            <w:tcBorders>
              <w:tl2br w:val="nil"/>
              <w:tr2bl w:val="nil"/>
            </w:tcBorders>
            <w:noWrap w:val="0"/>
            <w:vAlign w:val="center"/>
          </w:tcPr>
          <w:p w14:paraId="39AB0B1A">
            <w:pPr>
              <w:jc w:val="center"/>
              <w:rPr>
                <w:rFonts w:hint="eastAsia" w:ascii="微软雅黑" w:hAnsi="微软雅黑" w:eastAsia="微软雅黑" w:cs="微软雅黑"/>
                <w:i w:val="0"/>
                <w:iCs w:val="0"/>
                <w:color w:val="000000"/>
                <w:sz w:val="20"/>
                <w:szCs w:val="20"/>
                <w:u w:val="none"/>
              </w:rPr>
            </w:pPr>
          </w:p>
        </w:tc>
      </w:tr>
      <w:tr w14:paraId="3F0CBC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C1826A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6B32B7A">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7B9598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10、应具备手动作业功能，能够操控飞机进行纯手动作业，并支持一键掉头，锁定航向。</w:t>
            </w:r>
          </w:p>
        </w:tc>
        <w:tc>
          <w:tcPr>
            <w:tcW w:w="282" w:type="pct"/>
            <w:vMerge w:val="continue"/>
            <w:tcBorders>
              <w:tl2br w:val="nil"/>
              <w:tr2bl w:val="nil"/>
            </w:tcBorders>
            <w:noWrap w:val="0"/>
            <w:vAlign w:val="center"/>
          </w:tcPr>
          <w:p w14:paraId="0BCF4A1A">
            <w:pPr>
              <w:jc w:val="center"/>
              <w:rPr>
                <w:rFonts w:hint="eastAsia" w:ascii="微软雅黑" w:hAnsi="微软雅黑" w:eastAsia="微软雅黑" w:cs="微软雅黑"/>
                <w:i w:val="0"/>
                <w:iCs w:val="0"/>
                <w:color w:val="000000"/>
                <w:sz w:val="20"/>
                <w:szCs w:val="20"/>
                <w:u w:val="none"/>
              </w:rPr>
            </w:pPr>
          </w:p>
        </w:tc>
      </w:tr>
      <w:tr w14:paraId="10E610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3CE5A3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71D933C">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C9FB5E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11、应支持模拟断药断电返航后的断点续喷功能。</w:t>
            </w:r>
          </w:p>
        </w:tc>
        <w:tc>
          <w:tcPr>
            <w:tcW w:w="282" w:type="pct"/>
            <w:vMerge w:val="continue"/>
            <w:tcBorders>
              <w:tl2br w:val="nil"/>
              <w:tr2bl w:val="nil"/>
            </w:tcBorders>
            <w:noWrap w:val="0"/>
            <w:vAlign w:val="center"/>
          </w:tcPr>
          <w:p w14:paraId="173A7543">
            <w:pPr>
              <w:jc w:val="center"/>
              <w:rPr>
                <w:rFonts w:hint="eastAsia" w:ascii="微软雅黑" w:hAnsi="微软雅黑" w:eastAsia="微软雅黑" w:cs="微软雅黑"/>
                <w:i w:val="0"/>
                <w:iCs w:val="0"/>
                <w:color w:val="000000"/>
                <w:sz w:val="20"/>
                <w:szCs w:val="20"/>
                <w:u w:val="none"/>
              </w:rPr>
            </w:pPr>
          </w:p>
        </w:tc>
      </w:tr>
      <w:tr w14:paraId="42B46E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640A45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1F209D9">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438B35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12、应具有调节摇杆灵敏度的功能，支持美国手、日本手、中国手。</w:t>
            </w:r>
          </w:p>
        </w:tc>
        <w:tc>
          <w:tcPr>
            <w:tcW w:w="282" w:type="pct"/>
            <w:vMerge w:val="continue"/>
            <w:tcBorders>
              <w:tl2br w:val="nil"/>
              <w:tr2bl w:val="nil"/>
            </w:tcBorders>
            <w:noWrap w:val="0"/>
            <w:vAlign w:val="center"/>
          </w:tcPr>
          <w:p w14:paraId="682FE400">
            <w:pPr>
              <w:jc w:val="center"/>
              <w:rPr>
                <w:rFonts w:hint="eastAsia" w:ascii="微软雅黑" w:hAnsi="微软雅黑" w:eastAsia="微软雅黑" w:cs="微软雅黑"/>
                <w:i w:val="0"/>
                <w:iCs w:val="0"/>
                <w:color w:val="000000"/>
                <w:sz w:val="20"/>
                <w:szCs w:val="20"/>
                <w:u w:val="none"/>
              </w:rPr>
            </w:pPr>
          </w:p>
        </w:tc>
      </w:tr>
      <w:tr w14:paraId="194872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FF0EBF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607006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7B0E7E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13、系统应具备完善的天气系统功能，能够支持切换天气效果，至少应包含晴天、阴天、雨天、大雪等天气效果。</w:t>
            </w:r>
          </w:p>
        </w:tc>
        <w:tc>
          <w:tcPr>
            <w:tcW w:w="282" w:type="pct"/>
            <w:vMerge w:val="continue"/>
            <w:tcBorders>
              <w:tl2br w:val="nil"/>
              <w:tr2bl w:val="nil"/>
            </w:tcBorders>
            <w:noWrap w:val="0"/>
            <w:vAlign w:val="center"/>
          </w:tcPr>
          <w:p w14:paraId="78754A64">
            <w:pPr>
              <w:jc w:val="center"/>
              <w:rPr>
                <w:rFonts w:hint="eastAsia" w:ascii="微软雅黑" w:hAnsi="微软雅黑" w:eastAsia="微软雅黑" w:cs="微软雅黑"/>
                <w:i w:val="0"/>
                <w:iCs w:val="0"/>
                <w:color w:val="000000"/>
                <w:sz w:val="20"/>
                <w:szCs w:val="20"/>
                <w:u w:val="none"/>
              </w:rPr>
            </w:pPr>
          </w:p>
        </w:tc>
      </w:tr>
      <w:tr w14:paraId="5CFF4B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CDF867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2C586ED">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27B8AE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14、系统应支持自定义设置模拟时间，能够根据调整的时间自动变换太阳的位置、角度以及太阳光强度等。</w:t>
            </w:r>
          </w:p>
        </w:tc>
        <w:tc>
          <w:tcPr>
            <w:tcW w:w="282" w:type="pct"/>
            <w:vMerge w:val="continue"/>
            <w:tcBorders>
              <w:tl2br w:val="nil"/>
              <w:tr2bl w:val="nil"/>
            </w:tcBorders>
            <w:noWrap w:val="0"/>
            <w:vAlign w:val="center"/>
          </w:tcPr>
          <w:p w14:paraId="70C9EC41">
            <w:pPr>
              <w:jc w:val="center"/>
              <w:rPr>
                <w:rFonts w:hint="eastAsia" w:ascii="微软雅黑" w:hAnsi="微软雅黑" w:eastAsia="微软雅黑" w:cs="微软雅黑"/>
                <w:i w:val="0"/>
                <w:iCs w:val="0"/>
                <w:color w:val="000000"/>
                <w:sz w:val="20"/>
                <w:szCs w:val="20"/>
                <w:u w:val="none"/>
              </w:rPr>
            </w:pPr>
          </w:p>
        </w:tc>
      </w:tr>
      <w:tr w14:paraId="3F284E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2B197A0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2CF82C4">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BE218C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15、应具备设置风力等级的功能，能够支持无风、1-3级风力调节，根据调节的风力，场地中风向标能够自动呈现风力大小和方向，并根据风力影响无人机飞行稳定性，以达到模拟各种真实环境的目的。</w:t>
            </w:r>
          </w:p>
        </w:tc>
        <w:tc>
          <w:tcPr>
            <w:tcW w:w="282" w:type="pct"/>
            <w:vMerge w:val="continue"/>
            <w:tcBorders>
              <w:tl2br w:val="nil"/>
              <w:tr2bl w:val="nil"/>
            </w:tcBorders>
            <w:noWrap w:val="0"/>
            <w:vAlign w:val="center"/>
          </w:tcPr>
          <w:p w14:paraId="15C9EF4F">
            <w:pPr>
              <w:jc w:val="center"/>
              <w:rPr>
                <w:rFonts w:hint="eastAsia" w:ascii="微软雅黑" w:hAnsi="微软雅黑" w:eastAsia="微软雅黑" w:cs="微软雅黑"/>
                <w:i w:val="0"/>
                <w:iCs w:val="0"/>
                <w:color w:val="000000"/>
                <w:sz w:val="20"/>
                <w:szCs w:val="20"/>
                <w:u w:val="none"/>
              </w:rPr>
            </w:pPr>
          </w:p>
        </w:tc>
      </w:tr>
      <w:tr w14:paraId="75D1E6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43DC58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874806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FE084D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16、应支持多视角模式，至少包含固定视角、跟随视角和FPV视角。</w:t>
            </w:r>
          </w:p>
        </w:tc>
        <w:tc>
          <w:tcPr>
            <w:tcW w:w="282" w:type="pct"/>
            <w:vMerge w:val="continue"/>
            <w:tcBorders>
              <w:tl2br w:val="nil"/>
              <w:tr2bl w:val="nil"/>
            </w:tcBorders>
            <w:noWrap w:val="0"/>
            <w:vAlign w:val="center"/>
          </w:tcPr>
          <w:p w14:paraId="3FC6A303">
            <w:pPr>
              <w:jc w:val="center"/>
              <w:rPr>
                <w:rFonts w:hint="eastAsia" w:ascii="微软雅黑" w:hAnsi="微软雅黑" w:eastAsia="微软雅黑" w:cs="微软雅黑"/>
                <w:i w:val="0"/>
                <w:iCs w:val="0"/>
                <w:color w:val="000000"/>
                <w:sz w:val="20"/>
                <w:szCs w:val="20"/>
                <w:u w:val="none"/>
              </w:rPr>
            </w:pPr>
          </w:p>
        </w:tc>
      </w:tr>
      <w:tr w14:paraId="746E86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9DA0C8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02067E6">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E920D9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17、应具备视角调整功能，在固定视角下应能进行视域调整和高度调整。</w:t>
            </w:r>
          </w:p>
        </w:tc>
        <w:tc>
          <w:tcPr>
            <w:tcW w:w="282" w:type="pct"/>
            <w:vMerge w:val="continue"/>
            <w:tcBorders>
              <w:tl2br w:val="nil"/>
              <w:tr2bl w:val="nil"/>
            </w:tcBorders>
            <w:noWrap w:val="0"/>
            <w:vAlign w:val="center"/>
          </w:tcPr>
          <w:p w14:paraId="4C58BD1F">
            <w:pPr>
              <w:jc w:val="center"/>
              <w:rPr>
                <w:rFonts w:hint="eastAsia" w:ascii="微软雅黑" w:hAnsi="微软雅黑" w:eastAsia="微软雅黑" w:cs="微软雅黑"/>
                <w:i w:val="0"/>
                <w:iCs w:val="0"/>
                <w:color w:val="000000"/>
                <w:sz w:val="20"/>
                <w:szCs w:val="20"/>
                <w:u w:val="none"/>
              </w:rPr>
            </w:pPr>
          </w:p>
        </w:tc>
      </w:tr>
      <w:tr w14:paraId="7E398D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9401A5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B61A0E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43D634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18、飞行模式应支持姿态模式和GNSS模式。</w:t>
            </w:r>
          </w:p>
        </w:tc>
        <w:tc>
          <w:tcPr>
            <w:tcW w:w="282" w:type="pct"/>
            <w:vMerge w:val="continue"/>
            <w:tcBorders>
              <w:tl2br w:val="nil"/>
              <w:tr2bl w:val="nil"/>
            </w:tcBorders>
            <w:noWrap w:val="0"/>
            <w:vAlign w:val="center"/>
          </w:tcPr>
          <w:p w14:paraId="2194807A">
            <w:pPr>
              <w:jc w:val="center"/>
              <w:rPr>
                <w:rFonts w:hint="eastAsia" w:ascii="微软雅黑" w:hAnsi="微软雅黑" w:eastAsia="微软雅黑" w:cs="微软雅黑"/>
                <w:i w:val="0"/>
                <w:iCs w:val="0"/>
                <w:color w:val="000000"/>
                <w:sz w:val="20"/>
                <w:szCs w:val="20"/>
                <w:u w:val="none"/>
              </w:rPr>
            </w:pPr>
          </w:p>
        </w:tc>
      </w:tr>
      <w:tr w14:paraId="38AD15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FB9C1B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E679E01">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E0D12F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七、无人机组装调试</w:t>
            </w:r>
          </w:p>
        </w:tc>
        <w:tc>
          <w:tcPr>
            <w:tcW w:w="282" w:type="pct"/>
            <w:vMerge w:val="continue"/>
            <w:tcBorders>
              <w:tl2br w:val="nil"/>
              <w:tr2bl w:val="nil"/>
            </w:tcBorders>
            <w:noWrap w:val="0"/>
            <w:vAlign w:val="center"/>
          </w:tcPr>
          <w:p w14:paraId="29699B6D">
            <w:pPr>
              <w:jc w:val="center"/>
              <w:rPr>
                <w:rFonts w:hint="eastAsia" w:ascii="微软雅黑" w:hAnsi="微软雅黑" w:eastAsia="微软雅黑" w:cs="微软雅黑"/>
                <w:i w:val="0"/>
                <w:iCs w:val="0"/>
                <w:color w:val="000000"/>
                <w:sz w:val="20"/>
                <w:szCs w:val="20"/>
                <w:u w:val="none"/>
              </w:rPr>
            </w:pPr>
          </w:p>
        </w:tc>
      </w:tr>
      <w:tr w14:paraId="2AA3BF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15BD6B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FA07B47">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FA0DEE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1、系统应包含组装调试过程中所有的安全注意事项说明，不少于5条。</w:t>
            </w:r>
          </w:p>
        </w:tc>
        <w:tc>
          <w:tcPr>
            <w:tcW w:w="282" w:type="pct"/>
            <w:vMerge w:val="continue"/>
            <w:tcBorders>
              <w:tl2br w:val="nil"/>
              <w:tr2bl w:val="nil"/>
            </w:tcBorders>
            <w:noWrap w:val="0"/>
            <w:vAlign w:val="center"/>
          </w:tcPr>
          <w:p w14:paraId="63676632">
            <w:pPr>
              <w:jc w:val="center"/>
              <w:rPr>
                <w:rFonts w:hint="eastAsia" w:ascii="微软雅黑" w:hAnsi="微软雅黑" w:eastAsia="微软雅黑" w:cs="微软雅黑"/>
                <w:i w:val="0"/>
                <w:iCs w:val="0"/>
                <w:color w:val="000000"/>
                <w:sz w:val="20"/>
                <w:szCs w:val="20"/>
                <w:u w:val="none"/>
              </w:rPr>
            </w:pPr>
          </w:p>
        </w:tc>
      </w:tr>
      <w:tr w14:paraId="6B2580A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75179E4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0099A75">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83913A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系统应具备任务工单的功能，能够包含组装调试中涉及到的检查零部件及耗材清单、无人机外观及结构认知、对无人机机体及部件进行组装、对传感器及遥控器进行调试以及进行试飞验证等五个核心任务环节。</w:t>
            </w:r>
          </w:p>
        </w:tc>
        <w:tc>
          <w:tcPr>
            <w:tcW w:w="282" w:type="pct"/>
            <w:vMerge w:val="continue"/>
            <w:tcBorders>
              <w:tl2br w:val="nil"/>
              <w:tr2bl w:val="nil"/>
            </w:tcBorders>
            <w:noWrap w:val="0"/>
            <w:vAlign w:val="center"/>
          </w:tcPr>
          <w:p w14:paraId="2D9AD174">
            <w:pPr>
              <w:jc w:val="center"/>
              <w:rPr>
                <w:rFonts w:hint="eastAsia" w:ascii="微软雅黑" w:hAnsi="微软雅黑" w:eastAsia="微软雅黑" w:cs="微软雅黑"/>
                <w:i w:val="0"/>
                <w:iCs w:val="0"/>
                <w:color w:val="000000"/>
                <w:sz w:val="20"/>
                <w:szCs w:val="20"/>
                <w:u w:val="none"/>
              </w:rPr>
            </w:pPr>
          </w:p>
        </w:tc>
      </w:tr>
      <w:tr w14:paraId="482625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4EE0D0E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FF602E8">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150F38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▲3、应具有无人机结构认知模块，应对无人机核心部件进行介绍，并支持无人机结构爆炸图的形式展示，支持手动控制无人机爆炸或组合。（提供系统截图）</w:t>
            </w:r>
          </w:p>
        </w:tc>
        <w:tc>
          <w:tcPr>
            <w:tcW w:w="282" w:type="pct"/>
            <w:vMerge w:val="continue"/>
            <w:tcBorders>
              <w:tl2br w:val="nil"/>
              <w:tr2bl w:val="nil"/>
            </w:tcBorders>
            <w:noWrap w:val="0"/>
            <w:vAlign w:val="center"/>
          </w:tcPr>
          <w:p w14:paraId="4CB0B2BC">
            <w:pPr>
              <w:jc w:val="center"/>
              <w:rPr>
                <w:rFonts w:hint="eastAsia" w:ascii="微软雅黑" w:hAnsi="微软雅黑" w:eastAsia="微软雅黑" w:cs="微软雅黑"/>
                <w:i w:val="0"/>
                <w:iCs w:val="0"/>
                <w:color w:val="000000"/>
                <w:sz w:val="20"/>
                <w:szCs w:val="20"/>
                <w:u w:val="none"/>
              </w:rPr>
            </w:pPr>
          </w:p>
        </w:tc>
      </w:tr>
      <w:tr w14:paraId="565D7D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2566B6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3C8D5EF">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53BF59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4、应包含无人机整机部件及电路接线组装的全部步骤。（提供系统截图）</w:t>
            </w:r>
          </w:p>
        </w:tc>
        <w:tc>
          <w:tcPr>
            <w:tcW w:w="282" w:type="pct"/>
            <w:vMerge w:val="continue"/>
            <w:tcBorders>
              <w:tl2br w:val="nil"/>
              <w:tr2bl w:val="nil"/>
            </w:tcBorders>
            <w:noWrap w:val="0"/>
            <w:vAlign w:val="center"/>
          </w:tcPr>
          <w:p w14:paraId="58C336E9">
            <w:pPr>
              <w:jc w:val="center"/>
              <w:rPr>
                <w:rFonts w:hint="eastAsia" w:ascii="微软雅黑" w:hAnsi="微软雅黑" w:eastAsia="微软雅黑" w:cs="微软雅黑"/>
                <w:i w:val="0"/>
                <w:iCs w:val="0"/>
                <w:color w:val="000000"/>
                <w:sz w:val="20"/>
                <w:szCs w:val="20"/>
                <w:u w:val="none"/>
              </w:rPr>
            </w:pPr>
          </w:p>
        </w:tc>
      </w:tr>
      <w:tr w14:paraId="5E2103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6CF90E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546D44C">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8AAF0A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5、应具有传感器校准功能，至少应包含罗盘校准，陀螺仪校准，加速度校准，水平校准等四个维度的校准。（提供系统截图）</w:t>
            </w:r>
          </w:p>
        </w:tc>
        <w:tc>
          <w:tcPr>
            <w:tcW w:w="282" w:type="pct"/>
            <w:vMerge w:val="continue"/>
            <w:tcBorders>
              <w:tl2br w:val="nil"/>
              <w:tr2bl w:val="nil"/>
            </w:tcBorders>
            <w:noWrap w:val="0"/>
            <w:vAlign w:val="center"/>
          </w:tcPr>
          <w:p w14:paraId="3CA46507">
            <w:pPr>
              <w:jc w:val="center"/>
              <w:rPr>
                <w:rFonts w:hint="eastAsia" w:ascii="微软雅黑" w:hAnsi="微软雅黑" w:eastAsia="微软雅黑" w:cs="微软雅黑"/>
                <w:i w:val="0"/>
                <w:iCs w:val="0"/>
                <w:color w:val="000000"/>
                <w:sz w:val="20"/>
                <w:szCs w:val="20"/>
                <w:u w:val="none"/>
              </w:rPr>
            </w:pPr>
          </w:p>
        </w:tc>
      </w:tr>
      <w:tr w14:paraId="7D0F3D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50ECA9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F9E4040">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96CD14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6、支持遥控器校准功能，应包含遥控器校准的主要步骤，如开启遥控器，摇杆校准、电机一键急停模式开启、遥控器UI模式开启等。</w:t>
            </w:r>
          </w:p>
        </w:tc>
        <w:tc>
          <w:tcPr>
            <w:tcW w:w="282" w:type="pct"/>
            <w:vMerge w:val="continue"/>
            <w:tcBorders>
              <w:tl2br w:val="nil"/>
              <w:tr2bl w:val="nil"/>
            </w:tcBorders>
            <w:noWrap w:val="0"/>
            <w:vAlign w:val="center"/>
          </w:tcPr>
          <w:p w14:paraId="234974FD">
            <w:pPr>
              <w:jc w:val="center"/>
              <w:rPr>
                <w:rFonts w:hint="eastAsia" w:ascii="微软雅黑" w:hAnsi="微软雅黑" w:eastAsia="微软雅黑" w:cs="微软雅黑"/>
                <w:i w:val="0"/>
                <w:iCs w:val="0"/>
                <w:color w:val="000000"/>
                <w:sz w:val="20"/>
                <w:szCs w:val="20"/>
                <w:u w:val="none"/>
              </w:rPr>
            </w:pPr>
          </w:p>
        </w:tc>
      </w:tr>
      <w:tr w14:paraId="4B9BDB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E8BB77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700C35C">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AF87DA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7、能够支持操控遥控器控制无人机完成升降、俯仰、副翼、偏航等操作。</w:t>
            </w:r>
          </w:p>
        </w:tc>
        <w:tc>
          <w:tcPr>
            <w:tcW w:w="282" w:type="pct"/>
            <w:vMerge w:val="continue"/>
            <w:tcBorders>
              <w:tl2br w:val="nil"/>
              <w:tr2bl w:val="nil"/>
            </w:tcBorders>
            <w:noWrap w:val="0"/>
            <w:vAlign w:val="center"/>
          </w:tcPr>
          <w:p w14:paraId="6A7D0432">
            <w:pPr>
              <w:jc w:val="center"/>
              <w:rPr>
                <w:rFonts w:hint="eastAsia" w:ascii="微软雅黑" w:hAnsi="微软雅黑" w:eastAsia="微软雅黑" w:cs="微软雅黑"/>
                <w:i w:val="0"/>
                <w:iCs w:val="0"/>
                <w:color w:val="000000"/>
                <w:sz w:val="20"/>
                <w:szCs w:val="20"/>
                <w:u w:val="none"/>
              </w:rPr>
            </w:pPr>
          </w:p>
        </w:tc>
      </w:tr>
      <w:tr w14:paraId="59B693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03BDE07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457" w:type="pct"/>
            <w:vMerge w:val="restart"/>
            <w:tcBorders>
              <w:tl2br w:val="nil"/>
              <w:tr2bl w:val="nil"/>
            </w:tcBorders>
            <w:noWrap w:val="0"/>
            <w:vAlign w:val="center"/>
          </w:tcPr>
          <w:p w14:paraId="593396C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飞行训练模拟器</w:t>
            </w:r>
          </w:p>
        </w:tc>
        <w:tc>
          <w:tcPr>
            <w:tcW w:w="4025" w:type="pct"/>
            <w:tcBorders>
              <w:tl2br w:val="nil"/>
              <w:tr2bl w:val="nil"/>
            </w:tcBorders>
            <w:noWrap w:val="0"/>
            <w:vAlign w:val="center"/>
          </w:tcPr>
          <w:p w14:paraId="550B321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1、支持通道数：不低于8通道；</w:t>
            </w:r>
          </w:p>
        </w:tc>
        <w:tc>
          <w:tcPr>
            <w:tcW w:w="282" w:type="pct"/>
            <w:vMerge w:val="restart"/>
            <w:tcBorders>
              <w:tl2br w:val="nil"/>
              <w:tr2bl w:val="nil"/>
            </w:tcBorders>
            <w:noWrap w:val="0"/>
            <w:vAlign w:val="center"/>
          </w:tcPr>
          <w:p w14:paraId="645E533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r>
      <w:tr w14:paraId="47CFBA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ACFCF7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A39DE8B">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433543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2、应支持双摇杆自动回中。</w:t>
            </w:r>
          </w:p>
        </w:tc>
        <w:tc>
          <w:tcPr>
            <w:tcW w:w="282" w:type="pct"/>
            <w:vMerge w:val="continue"/>
            <w:tcBorders>
              <w:tl2br w:val="nil"/>
              <w:tr2bl w:val="nil"/>
            </w:tcBorders>
            <w:noWrap w:val="0"/>
            <w:vAlign w:val="center"/>
          </w:tcPr>
          <w:p w14:paraId="7A59E429">
            <w:pPr>
              <w:jc w:val="center"/>
              <w:rPr>
                <w:rFonts w:hint="eastAsia" w:ascii="微软雅黑" w:hAnsi="微软雅黑" w:eastAsia="微软雅黑" w:cs="微软雅黑"/>
                <w:i w:val="0"/>
                <w:iCs w:val="0"/>
                <w:color w:val="000000"/>
                <w:sz w:val="20"/>
                <w:szCs w:val="20"/>
                <w:u w:val="none"/>
              </w:rPr>
            </w:pPr>
          </w:p>
        </w:tc>
      </w:tr>
      <w:tr w14:paraId="25DCD3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D07B46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8B8BE5A">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44B494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3、支持协议：USB-HID协议。</w:t>
            </w:r>
          </w:p>
        </w:tc>
        <w:tc>
          <w:tcPr>
            <w:tcW w:w="282" w:type="pct"/>
            <w:vMerge w:val="continue"/>
            <w:tcBorders>
              <w:tl2br w:val="nil"/>
              <w:tr2bl w:val="nil"/>
            </w:tcBorders>
            <w:noWrap w:val="0"/>
            <w:vAlign w:val="center"/>
          </w:tcPr>
          <w:p w14:paraId="637B8F6A">
            <w:pPr>
              <w:jc w:val="center"/>
              <w:rPr>
                <w:rFonts w:hint="eastAsia" w:ascii="微软雅黑" w:hAnsi="微软雅黑" w:eastAsia="微软雅黑" w:cs="微软雅黑"/>
                <w:i w:val="0"/>
                <w:iCs w:val="0"/>
                <w:color w:val="000000"/>
                <w:sz w:val="20"/>
                <w:szCs w:val="20"/>
                <w:u w:val="none"/>
              </w:rPr>
            </w:pPr>
          </w:p>
        </w:tc>
      </w:tr>
      <w:tr w14:paraId="221767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3262AE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B219B2E">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466574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4、电池：不低于1100mah；</w:t>
            </w:r>
          </w:p>
        </w:tc>
        <w:tc>
          <w:tcPr>
            <w:tcW w:w="282" w:type="pct"/>
            <w:vMerge w:val="continue"/>
            <w:tcBorders>
              <w:tl2br w:val="nil"/>
              <w:tr2bl w:val="nil"/>
            </w:tcBorders>
            <w:noWrap w:val="0"/>
            <w:vAlign w:val="center"/>
          </w:tcPr>
          <w:p w14:paraId="13F2E25F">
            <w:pPr>
              <w:jc w:val="center"/>
              <w:rPr>
                <w:rFonts w:hint="eastAsia" w:ascii="微软雅黑" w:hAnsi="微软雅黑" w:eastAsia="微软雅黑" w:cs="微软雅黑"/>
                <w:i w:val="0"/>
                <w:iCs w:val="0"/>
                <w:color w:val="000000"/>
                <w:sz w:val="20"/>
                <w:szCs w:val="20"/>
                <w:u w:val="none"/>
              </w:rPr>
            </w:pPr>
          </w:p>
        </w:tc>
      </w:tr>
      <w:tr w14:paraId="59DE4B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B59906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79EBC1C">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6540BA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5、数据接口：应支持type-C；</w:t>
            </w:r>
          </w:p>
        </w:tc>
        <w:tc>
          <w:tcPr>
            <w:tcW w:w="282" w:type="pct"/>
            <w:vMerge w:val="continue"/>
            <w:tcBorders>
              <w:tl2br w:val="nil"/>
              <w:tr2bl w:val="nil"/>
            </w:tcBorders>
            <w:noWrap w:val="0"/>
            <w:vAlign w:val="center"/>
          </w:tcPr>
          <w:p w14:paraId="3DABC8A2">
            <w:pPr>
              <w:jc w:val="center"/>
              <w:rPr>
                <w:rFonts w:hint="eastAsia" w:ascii="微软雅黑" w:hAnsi="微软雅黑" w:eastAsia="微软雅黑" w:cs="微软雅黑"/>
                <w:i w:val="0"/>
                <w:iCs w:val="0"/>
                <w:color w:val="000000"/>
                <w:sz w:val="20"/>
                <w:szCs w:val="20"/>
                <w:u w:val="none"/>
              </w:rPr>
            </w:pPr>
          </w:p>
        </w:tc>
      </w:tr>
      <w:tr w14:paraId="6832C2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861E4E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A449133">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7176A9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6、应具有双侧肩部拨轮。</w:t>
            </w:r>
          </w:p>
        </w:tc>
        <w:tc>
          <w:tcPr>
            <w:tcW w:w="282" w:type="pct"/>
            <w:vMerge w:val="continue"/>
            <w:tcBorders>
              <w:tl2br w:val="nil"/>
              <w:tr2bl w:val="nil"/>
            </w:tcBorders>
            <w:noWrap w:val="0"/>
            <w:vAlign w:val="center"/>
          </w:tcPr>
          <w:p w14:paraId="2DF5DBCD">
            <w:pPr>
              <w:jc w:val="center"/>
              <w:rPr>
                <w:rFonts w:hint="eastAsia" w:ascii="微软雅黑" w:hAnsi="微软雅黑" w:eastAsia="微软雅黑" w:cs="微软雅黑"/>
                <w:i w:val="0"/>
                <w:iCs w:val="0"/>
                <w:color w:val="000000"/>
                <w:sz w:val="20"/>
                <w:szCs w:val="20"/>
                <w:u w:val="none"/>
              </w:rPr>
            </w:pPr>
          </w:p>
        </w:tc>
      </w:tr>
      <w:tr w14:paraId="181ED1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A95FCA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E980F91">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EC6D9A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r>
              <w:rPr>
                <w:rFonts w:hint="eastAsia" w:ascii="微软雅黑" w:hAnsi="微软雅黑" w:eastAsia="微软雅黑" w:cs="微软雅黑"/>
                <w:i w:val="0"/>
                <w:iCs w:val="0"/>
                <w:color w:val="000000"/>
                <w:kern w:val="0"/>
                <w:sz w:val="20"/>
                <w:szCs w:val="20"/>
                <w:highlight w:val="yellow"/>
                <w:u w:val="none"/>
                <w:lang w:val="en-US" w:eastAsia="zh-CN" w:bidi="ar"/>
              </w:rPr>
              <w:t>应支持USB接口直接供电。</w:t>
            </w:r>
          </w:p>
        </w:tc>
        <w:tc>
          <w:tcPr>
            <w:tcW w:w="282" w:type="pct"/>
            <w:vMerge w:val="continue"/>
            <w:tcBorders>
              <w:tl2br w:val="nil"/>
              <w:tr2bl w:val="nil"/>
            </w:tcBorders>
            <w:noWrap w:val="0"/>
            <w:vAlign w:val="center"/>
          </w:tcPr>
          <w:p w14:paraId="6D541609">
            <w:pPr>
              <w:jc w:val="center"/>
              <w:rPr>
                <w:rFonts w:hint="eastAsia" w:ascii="微软雅黑" w:hAnsi="微软雅黑" w:eastAsia="微软雅黑" w:cs="微软雅黑"/>
                <w:i w:val="0"/>
                <w:iCs w:val="0"/>
                <w:color w:val="000000"/>
                <w:sz w:val="20"/>
                <w:szCs w:val="20"/>
                <w:u w:val="none"/>
              </w:rPr>
            </w:pPr>
          </w:p>
        </w:tc>
      </w:tr>
      <w:tr w14:paraId="7EE4BA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54B287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AC0EF3C">
            <w:pPr>
              <w:jc w:val="both"/>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32C5C4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8、支持在线更新。</w:t>
            </w:r>
          </w:p>
        </w:tc>
        <w:tc>
          <w:tcPr>
            <w:tcW w:w="282" w:type="pct"/>
            <w:vMerge w:val="continue"/>
            <w:tcBorders>
              <w:tl2br w:val="nil"/>
              <w:tr2bl w:val="nil"/>
            </w:tcBorders>
            <w:noWrap w:val="0"/>
            <w:vAlign w:val="center"/>
          </w:tcPr>
          <w:p w14:paraId="29817B46">
            <w:pPr>
              <w:jc w:val="center"/>
              <w:rPr>
                <w:rFonts w:hint="eastAsia" w:ascii="微软雅黑" w:hAnsi="微软雅黑" w:eastAsia="微软雅黑" w:cs="微软雅黑"/>
                <w:i w:val="0"/>
                <w:iCs w:val="0"/>
                <w:color w:val="000000"/>
                <w:sz w:val="20"/>
                <w:szCs w:val="20"/>
                <w:u w:val="none"/>
              </w:rPr>
            </w:pPr>
          </w:p>
        </w:tc>
      </w:tr>
      <w:tr w14:paraId="15CEB0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6DB76B0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457" w:type="pct"/>
            <w:vMerge w:val="restart"/>
            <w:tcBorders>
              <w:tl2br w:val="nil"/>
              <w:tr2bl w:val="nil"/>
            </w:tcBorders>
            <w:noWrap w:val="0"/>
            <w:vAlign w:val="center"/>
          </w:tcPr>
          <w:p w14:paraId="7F6FF55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智能飞行器选用与组装调试平台</w:t>
            </w:r>
          </w:p>
        </w:tc>
        <w:tc>
          <w:tcPr>
            <w:tcW w:w="4025" w:type="pct"/>
            <w:tcBorders>
              <w:tl2br w:val="nil"/>
              <w:tr2bl w:val="nil"/>
            </w:tcBorders>
            <w:noWrap w:val="0"/>
            <w:vAlign w:val="center"/>
          </w:tcPr>
          <w:p w14:paraId="07BB0D5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1.要求提供不少于三种机架布局机型，分别为“十”字型，“X”型和“H”型，</w:t>
            </w:r>
          </w:p>
        </w:tc>
        <w:tc>
          <w:tcPr>
            <w:tcW w:w="282" w:type="pct"/>
            <w:vMerge w:val="restart"/>
            <w:tcBorders>
              <w:tl2br w:val="nil"/>
              <w:tr2bl w:val="nil"/>
            </w:tcBorders>
            <w:noWrap w:val="0"/>
            <w:vAlign w:val="center"/>
          </w:tcPr>
          <w:p w14:paraId="01E858A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367555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326CC2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0E88CD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4BE83E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2.每种机架布局的中心板部件，要能够满足三种机型装配使用；</w:t>
            </w:r>
          </w:p>
        </w:tc>
        <w:tc>
          <w:tcPr>
            <w:tcW w:w="282" w:type="pct"/>
            <w:vMerge w:val="continue"/>
            <w:tcBorders>
              <w:tl2br w:val="nil"/>
              <w:tr2bl w:val="nil"/>
            </w:tcBorders>
            <w:noWrap w:val="0"/>
            <w:vAlign w:val="center"/>
          </w:tcPr>
          <w:p w14:paraId="6D824FD1">
            <w:pPr>
              <w:jc w:val="center"/>
              <w:rPr>
                <w:rFonts w:hint="eastAsia" w:ascii="微软雅黑" w:hAnsi="微软雅黑" w:eastAsia="微软雅黑" w:cs="微软雅黑"/>
                <w:i w:val="0"/>
                <w:iCs w:val="0"/>
                <w:color w:val="000000"/>
                <w:sz w:val="20"/>
                <w:szCs w:val="20"/>
                <w:u w:val="none"/>
              </w:rPr>
            </w:pPr>
          </w:p>
        </w:tc>
      </w:tr>
      <w:tr w14:paraId="474586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F52783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550023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4ABEDC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3.平台要求提供五种不同规格电机；且每种不同规格电机不少于4颗；总数不少于20颗；</w:t>
            </w:r>
          </w:p>
        </w:tc>
        <w:tc>
          <w:tcPr>
            <w:tcW w:w="282" w:type="pct"/>
            <w:vMerge w:val="continue"/>
            <w:tcBorders>
              <w:tl2br w:val="nil"/>
              <w:tr2bl w:val="nil"/>
            </w:tcBorders>
            <w:noWrap w:val="0"/>
            <w:vAlign w:val="center"/>
          </w:tcPr>
          <w:p w14:paraId="6C060A1F">
            <w:pPr>
              <w:jc w:val="center"/>
              <w:rPr>
                <w:rFonts w:hint="eastAsia" w:ascii="微软雅黑" w:hAnsi="微软雅黑" w:eastAsia="微软雅黑" w:cs="微软雅黑"/>
                <w:i w:val="0"/>
                <w:iCs w:val="0"/>
                <w:color w:val="000000"/>
                <w:sz w:val="20"/>
                <w:szCs w:val="20"/>
                <w:u w:val="none"/>
              </w:rPr>
            </w:pPr>
          </w:p>
        </w:tc>
      </w:tr>
      <w:tr w14:paraId="3EAFA1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D6F07D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54D7AD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035681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4.电调规格类型包含三种，分别为20A、30A、40A，每种不少于4条，总数不少于12条；</w:t>
            </w:r>
          </w:p>
        </w:tc>
        <w:tc>
          <w:tcPr>
            <w:tcW w:w="282" w:type="pct"/>
            <w:vMerge w:val="continue"/>
            <w:tcBorders>
              <w:tl2br w:val="nil"/>
              <w:tr2bl w:val="nil"/>
            </w:tcBorders>
            <w:noWrap w:val="0"/>
            <w:vAlign w:val="center"/>
          </w:tcPr>
          <w:p w14:paraId="474D6005">
            <w:pPr>
              <w:jc w:val="center"/>
              <w:rPr>
                <w:rFonts w:hint="eastAsia" w:ascii="微软雅黑" w:hAnsi="微软雅黑" w:eastAsia="微软雅黑" w:cs="微软雅黑"/>
                <w:i w:val="0"/>
                <w:iCs w:val="0"/>
                <w:color w:val="000000"/>
                <w:sz w:val="20"/>
                <w:szCs w:val="20"/>
                <w:u w:val="none"/>
              </w:rPr>
            </w:pPr>
          </w:p>
        </w:tc>
      </w:tr>
      <w:tr w14:paraId="7CAA83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FF2B0D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A3D843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374E79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5.桨叶规格包含4种，材质为塑料，每种规格不少于两对，总数不少于8对；</w:t>
            </w:r>
          </w:p>
        </w:tc>
        <w:tc>
          <w:tcPr>
            <w:tcW w:w="282" w:type="pct"/>
            <w:vMerge w:val="continue"/>
            <w:tcBorders>
              <w:tl2br w:val="nil"/>
              <w:tr2bl w:val="nil"/>
            </w:tcBorders>
            <w:noWrap w:val="0"/>
            <w:vAlign w:val="center"/>
          </w:tcPr>
          <w:p w14:paraId="5C580901">
            <w:pPr>
              <w:jc w:val="center"/>
              <w:rPr>
                <w:rFonts w:hint="eastAsia" w:ascii="微软雅黑" w:hAnsi="微软雅黑" w:eastAsia="微软雅黑" w:cs="微软雅黑"/>
                <w:i w:val="0"/>
                <w:iCs w:val="0"/>
                <w:color w:val="000000"/>
                <w:sz w:val="20"/>
                <w:szCs w:val="20"/>
                <w:u w:val="none"/>
              </w:rPr>
            </w:pPr>
          </w:p>
        </w:tc>
      </w:tr>
      <w:tr w14:paraId="0404B6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9CEB0D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5933D8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99D9F4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6.电池规格：4S，容量≥5000mah，放电倍率≥30C，数量不少于3块；</w:t>
            </w:r>
          </w:p>
        </w:tc>
        <w:tc>
          <w:tcPr>
            <w:tcW w:w="282" w:type="pct"/>
            <w:vMerge w:val="continue"/>
            <w:tcBorders>
              <w:tl2br w:val="nil"/>
              <w:tr2bl w:val="nil"/>
            </w:tcBorders>
            <w:noWrap w:val="0"/>
            <w:vAlign w:val="center"/>
          </w:tcPr>
          <w:p w14:paraId="72950AC7">
            <w:pPr>
              <w:jc w:val="center"/>
              <w:rPr>
                <w:rFonts w:hint="eastAsia" w:ascii="微软雅黑" w:hAnsi="微软雅黑" w:eastAsia="微软雅黑" w:cs="微软雅黑"/>
                <w:i w:val="0"/>
                <w:iCs w:val="0"/>
                <w:color w:val="000000"/>
                <w:sz w:val="20"/>
                <w:szCs w:val="20"/>
                <w:u w:val="none"/>
              </w:rPr>
            </w:pPr>
          </w:p>
        </w:tc>
      </w:tr>
      <w:tr w14:paraId="4CA696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C6995E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9FAF51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1B530C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7.飞行控制器：要求支持定点模式、定高模式、任务模式和返航模式；</w:t>
            </w:r>
          </w:p>
        </w:tc>
        <w:tc>
          <w:tcPr>
            <w:tcW w:w="282" w:type="pct"/>
            <w:vMerge w:val="continue"/>
            <w:tcBorders>
              <w:tl2br w:val="nil"/>
              <w:tr2bl w:val="nil"/>
            </w:tcBorders>
            <w:noWrap w:val="0"/>
            <w:vAlign w:val="center"/>
          </w:tcPr>
          <w:p w14:paraId="47FAF04B">
            <w:pPr>
              <w:jc w:val="center"/>
              <w:rPr>
                <w:rFonts w:hint="eastAsia" w:ascii="微软雅黑" w:hAnsi="微软雅黑" w:eastAsia="微软雅黑" w:cs="微软雅黑"/>
                <w:i w:val="0"/>
                <w:iCs w:val="0"/>
                <w:color w:val="000000"/>
                <w:sz w:val="20"/>
                <w:szCs w:val="20"/>
                <w:u w:val="none"/>
              </w:rPr>
            </w:pPr>
          </w:p>
        </w:tc>
      </w:tr>
      <w:tr w14:paraId="3E1AB6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33ED2C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2E744C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0945C0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8.飞行控制器要求内部集成蜂鸣器，免于外接蜂鸣器模块，FLASH存储≥8MB，供电范围4.8〜5.5V；</w:t>
            </w:r>
          </w:p>
        </w:tc>
        <w:tc>
          <w:tcPr>
            <w:tcW w:w="282" w:type="pct"/>
            <w:vMerge w:val="continue"/>
            <w:tcBorders>
              <w:tl2br w:val="nil"/>
              <w:tr2bl w:val="nil"/>
            </w:tcBorders>
            <w:noWrap w:val="0"/>
            <w:vAlign w:val="center"/>
          </w:tcPr>
          <w:p w14:paraId="157B8237">
            <w:pPr>
              <w:jc w:val="center"/>
              <w:rPr>
                <w:rFonts w:hint="eastAsia" w:ascii="微软雅黑" w:hAnsi="微软雅黑" w:eastAsia="微软雅黑" w:cs="微软雅黑"/>
                <w:i w:val="0"/>
                <w:iCs w:val="0"/>
                <w:color w:val="000000"/>
                <w:sz w:val="20"/>
                <w:szCs w:val="20"/>
                <w:u w:val="none"/>
              </w:rPr>
            </w:pPr>
          </w:p>
        </w:tc>
      </w:tr>
      <w:tr w14:paraId="7BFB2F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5" w:type="pct"/>
            <w:vMerge w:val="continue"/>
            <w:tcBorders>
              <w:tl2br w:val="nil"/>
              <w:tr2bl w:val="nil"/>
            </w:tcBorders>
            <w:noWrap w:val="0"/>
            <w:vAlign w:val="center"/>
          </w:tcPr>
          <w:p w14:paraId="05FDB98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0FA566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E5BFCB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飞行控制器内部要求集成蜂鸣器传感器模块、空速传感器模块、磁罗盘传感器模块、气压高度计模块、磁罗盘与加速度计模块、陀螺传感器模块、陀螺与加速度计传感器模块、CAN总线模块、声音报警模块、七彩指示灯模块、低压差供电模块、飞行数据存储模块、电平转换模块、参数存储模块、主控制器模块、输入输出控制器模块等；</w:t>
            </w:r>
          </w:p>
        </w:tc>
        <w:tc>
          <w:tcPr>
            <w:tcW w:w="282" w:type="pct"/>
            <w:vMerge w:val="continue"/>
            <w:tcBorders>
              <w:tl2br w:val="nil"/>
              <w:tr2bl w:val="nil"/>
            </w:tcBorders>
            <w:noWrap w:val="0"/>
            <w:vAlign w:val="center"/>
          </w:tcPr>
          <w:p w14:paraId="271AFD2B">
            <w:pPr>
              <w:jc w:val="center"/>
              <w:rPr>
                <w:rFonts w:hint="eastAsia" w:ascii="微软雅黑" w:hAnsi="微软雅黑" w:eastAsia="微软雅黑" w:cs="微软雅黑"/>
                <w:i w:val="0"/>
                <w:iCs w:val="0"/>
                <w:color w:val="000000"/>
                <w:sz w:val="20"/>
                <w:szCs w:val="20"/>
                <w:u w:val="none"/>
              </w:rPr>
            </w:pPr>
          </w:p>
        </w:tc>
      </w:tr>
      <w:tr w14:paraId="307D00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6E34DA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BFAB2C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AB625B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10.飞行控制器外设串口至少包含数传串口、RTK串口、GPS串口、外置罗盘、光流串口、TFMINI串口等；</w:t>
            </w:r>
          </w:p>
        </w:tc>
        <w:tc>
          <w:tcPr>
            <w:tcW w:w="282" w:type="pct"/>
            <w:vMerge w:val="continue"/>
            <w:tcBorders>
              <w:tl2br w:val="nil"/>
              <w:tr2bl w:val="nil"/>
            </w:tcBorders>
            <w:noWrap w:val="0"/>
            <w:vAlign w:val="center"/>
          </w:tcPr>
          <w:p w14:paraId="57B813A0">
            <w:pPr>
              <w:jc w:val="center"/>
              <w:rPr>
                <w:rFonts w:hint="eastAsia" w:ascii="微软雅黑" w:hAnsi="微软雅黑" w:eastAsia="微软雅黑" w:cs="微软雅黑"/>
                <w:i w:val="0"/>
                <w:iCs w:val="0"/>
                <w:color w:val="000000"/>
                <w:sz w:val="20"/>
                <w:szCs w:val="20"/>
                <w:u w:val="none"/>
              </w:rPr>
            </w:pPr>
          </w:p>
        </w:tc>
      </w:tr>
      <w:tr w14:paraId="53BACE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2ACDF31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5A5BDA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18980D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11.飞行控制器采用高性能STM32H743VIT6处理器，主频≥480Mhz，带有双精度浮点硬件处理器，飞控系统要求具备：磁罗盘异常修正，单参数调节，多传感器融合，超快速二次开发等功能；</w:t>
            </w:r>
          </w:p>
        </w:tc>
        <w:tc>
          <w:tcPr>
            <w:tcW w:w="282" w:type="pct"/>
            <w:vMerge w:val="continue"/>
            <w:tcBorders>
              <w:tl2br w:val="nil"/>
              <w:tr2bl w:val="nil"/>
            </w:tcBorders>
            <w:noWrap w:val="0"/>
            <w:vAlign w:val="center"/>
          </w:tcPr>
          <w:p w14:paraId="7E14461E">
            <w:pPr>
              <w:jc w:val="center"/>
              <w:rPr>
                <w:rFonts w:hint="eastAsia" w:ascii="微软雅黑" w:hAnsi="微软雅黑" w:eastAsia="微软雅黑" w:cs="微软雅黑"/>
                <w:i w:val="0"/>
                <w:iCs w:val="0"/>
                <w:color w:val="000000"/>
                <w:sz w:val="20"/>
                <w:szCs w:val="20"/>
                <w:u w:val="none"/>
              </w:rPr>
            </w:pPr>
          </w:p>
        </w:tc>
      </w:tr>
      <w:tr w14:paraId="5BC32C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773FBA3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E5570A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CB96C6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遥控器工作频率：2400MHz〜2483.5MHz；通道数不少于8个；支持宽电压输入；要求支持SUS.PWM信号输出，系统功耗不得大于80mA；传输速率不小于38kbps；遥控系统具备信号发射指示灯，调制模式至少支持GFSK模式；且遥控器至少具备三段开关不少于1个，二段开关不少于1个；</w:t>
            </w:r>
          </w:p>
        </w:tc>
        <w:tc>
          <w:tcPr>
            <w:tcW w:w="282" w:type="pct"/>
            <w:vMerge w:val="continue"/>
            <w:tcBorders>
              <w:tl2br w:val="nil"/>
              <w:tr2bl w:val="nil"/>
            </w:tcBorders>
            <w:noWrap w:val="0"/>
            <w:vAlign w:val="center"/>
          </w:tcPr>
          <w:p w14:paraId="007DF8C8">
            <w:pPr>
              <w:jc w:val="center"/>
              <w:rPr>
                <w:rFonts w:hint="eastAsia" w:ascii="微软雅黑" w:hAnsi="微软雅黑" w:eastAsia="微软雅黑" w:cs="微软雅黑"/>
                <w:i w:val="0"/>
                <w:iCs w:val="0"/>
                <w:color w:val="000000"/>
                <w:sz w:val="20"/>
                <w:szCs w:val="20"/>
                <w:u w:val="none"/>
              </w:rPr>
            </w:pPr>
          </w:p>
        </w:tc>
      </w:tr>
      <w:tr w14:paraId="7C1DC8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EFC052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17E814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B46FC1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13.充电器：要求支持输入交流100-240V，可满足LiPo、LiHV、LiFe电池充电，充电平衡精度&lt;0.005V，同时支持放电功能；</w:t>
            </w:r>
          </w:p>
        </w:tc>
        <w:tc>
          <w:tcPr>
            <w:tcW w:w="282" w:type="pct"/>
            <w:vMerge w:val="continue"/>
            <w:tcBorders>
              <w:tl2br w:val="nil"/>
              <w:tr2bl w:val="nil"/>
            </w:tcBorders>
            <w:noWrap w:val="0"/>
            <w:vAlign w:val="center"/>
          </w:tcPr>
          <w:p w14:paraId="5FB5B09A">
            <w:pPr>
              <w:jc w:val="center"/>
              <w:rPr>
                <w:rFonts w:hint="eastAsia" w:ascii="微软雅黑" w:hAnsi="微软雅黑" w:eastAsia="微软雅黑" w:cs="微软雅黑"/>
                <w:i w:val="0"/>
                <w:iCs w:val="0"/>
                <w:color w:val="000000"/>
                <w:sz w:val="20"/>
                <w:szCs w:val="20"/>
                <w:u w:val="none"/>
              </w:rPr>
            </w:pPr>
          </w:p>
        </w:tc>
      </w:tr>
      <w:tr w14:paraId="2476C5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3C862D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8F7D13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9FE1BD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14.配套各个型号的内六角工具套装，尖嘴钳.剥线钳等工具，为无人机拆装.维修等实训任务提供支持，工具明细如下：</w:t>
            </w:r>
          </w:p>
        </w:tc>
        <w:tc>
          <w:tcPr>
            <w:tcW w:w="282" w:type="pct"/>
            <w:vMerge w:val="continue"/>
            <w:tcBorders>
              <w:tl2br w:val="nil"/>
              <w:tr2bl w:val="nil"/>
            </w:tcBorders>
            <w:noWrap w:val="0"/>
            <w:vAlign w:val="center"/>
          </w:tcPr>
          <w:p w14:paraId="6A1E03F8">
            <w:pPr>
              <w:jc w:val="center"/>
              <w:rPr>
                <w:rFonts w:hint="eastAsia" w:ascii="微软雅黑" w:hAnsi="微软雅黑" w:eastAsia="微软雅黑" w:cs="微软雅黑"/>
                <w:i w:val="0"/>
                <w:iCs w:val="0"/>
                <w:color w:val="000000"/>
                <w:sz w:val="20"/>
                <w:szCs w:val="20"/>
                <w:u w:val="none"/>
              </w:rPr>
            </w:pPr>
          </w:p>
        </w:tc>
      </w:tr>
      <w:tr w14:paraId="4D3768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233028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E52562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781145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（1）M1.5 内六角螺丝刀1把</w:t>
            </w:r>
          </w:p>
        </w:tc>
        <w:tc>
          <w:tcPr>
            <w:tcW w:w="282" w:type="pct"/>
            <w:vMerge w:val="continue"/>
            <w:tcBorders>
              <w:tl2br w:val="nil"/>
              <w:tr2bl w:val="nil"/>
            </w:tcBorders>
            <w:noWrap w:val="0"/>
            <w:vAlign w:val="center"/>
          </w:tcPr>
          <w:p w14:paraId="2D9B77D0">
            <w:pPr>
              <w:jc w:val="center"/>
              <w:rPr>
                <w:rFonts w:hint="eastAsia" w:ascii="微软雅黑" w:hAnsi="微软雅黑" w:eastAsia="微软雅黑" w:cs="微软雅黑"/>
                <w:i w:val="0"/>
                <w:iCs w:val="0"/>
                <w:color w:val="000000"/>
                <w:sz w:val="20"/>
                <w:szCs w:val="20"/>
                <w:u w:val="none"/>
              </w:rPr>
            </w:pPr>
          </w:p>
        </w:tc>
      </w:tr>
      <w:tr w14:paraId="1B1B35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252D73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F52322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571F0D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（2）M2.0内六角螺丝刀 1把</w:t>
            </w:r>
          </w:p>
        </w:tc>
        <w:tc>
          <w:tcPr>
            <w:tcW w:w="282" w:type="pct"/>
            <w:vMerge w:val="continue"/>
            <w:tcBorders>
              <w:tl2br w:val="nil"/>
              <w:tr2bl w:val="nil"/>
            </w:tcBorders>
            <w:noWrap w:val="0"/>
            <w:vAlign w:val="center"/>
          </w:tcPr>
          <w:p w14:paraId="34DCE4A4">
            <w:pPr>
              <w:jc w:val="center"/>
              <w:rPr>
                <w:rFonts w:hint="eastAsia" w:ascii="微软雅黑" w:hAnsi="微软雅黑" w:eastAsia="微软雅黑" w:cs="微软雅黑"/>
                <w:i w:val="0"/>
                <w:iCs w:val="0"/>
                <w:color w:val="000000"/>
                <w:sz w:val="20"/>
                <w:szCs w:val="20"/>
                <w:u w:val="none"/>
              </w:rPr>
            </w:pPr>
          </w:p>
        </w:tc>
      </w:tr>
      <w:tr w14:paraId="42981B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4877F7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A6E420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08D235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（3）M2.5 内六角螺丝刀1把</w:t>
            </w:r>
          </w:p>
        </w:tc>
        <w:tc>
          <w:tcPr>
            <w:tcW w:w="282" w:type="pct"/>
            <w:vMerge w:val="continue"/>
            <w:tcBorders>
              <w:tl2br w:val="nil"/>
              <w:tr2bl w:val="nil"/>
            </w:tcBorders>
            <w:noWrap w:val="0"/>
            <w:vAlign w:val="center"/>
          </w:tcPr>
          <w:p w14:paraId="4A6ECB34">
            <w:pPr>
              <w:jc w:val="center"/>
              <w:rPr>
                <w:rFonts w:hint="eastAsia" w:ascii="微软雅黑" w:hAnsi="微软雅黑" w:eastAsia="微软雅黑" w:cs="微软雅黑"/>
                <w:i w:val="0"/>
                <w:iCs w:val="0"/>
                <w:color w:val="000000"/>
                <w:sz w:val="20"/>
                <w:szCs w:val="20"/>
                <w:u w:val="none"/>
              </w:rPr>
            </w:pPr>
          </w:p>
        </w:tc>
      </w:tr>
      <w:tr w14:paraId="24E260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2C8A9A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4F8016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03B8EC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（4）套筒1把</w:t>
            </w:r>
          </w:p>
        </w:tc>
        <w:tc>
          <w:tcPr>
            <w:tcW w:w="282" w:type="pct"/>
            <w:vMerge w:val="continue"/>
            <w:tcBorders>
              <w:tl2br w:val="nil"/>
              <w:tr2bl w:val="nil"/>
            </w:tcBorders>
            <w:noWrap w:val="0"/>
            <w:vAlign w:val="center"/>
          </w:tcPr>
          <w:p w14:paraId="6BC87344">
            <w:pPr>
              <w:jc w:val="center"/>
              <w:rPr>
                <w:rFonts w:hint="eastAsia" w:ascii="微软雅黑" w:hAnsi="微软雅黑" w:eastAsia="微软雅黑" w:cs="微软雅黑"/>
                <w:i w:val="0"/>
                <w:iCs w:val="0"/>
                <w:color w:val="000000"/>
                <w:sz w:val="20"/>
                <w:szCs w:val="20"/>
                <w:u w:val="none"/>
              </w:rPr>
            </w:pPr>
          </w:p>
        </w:tc>
      </w:tr>
      <w:tr w14:paraId="62ADB0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A7640C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B5AD72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56B9EA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（5）一字螺丝刀1把</w:t>
            </w:r>
          </w:p>
        </w:tc>
        <w:tc>
          <w:tcPr>
            <w:tcW w:w="282" w:type="pct"/>
            <w:vMerge w:val="continue"/>
            <w:tcBorders>
              <w:tl2br w:val="nil"/>
              <w:tr2bl w:val="nil"/>
            </w:tcBorders>
            <w:noWrap w:val="0"/>
            <w:vAlign w:val="center"/>
          </w:tcPr>
          <w:p w14:paraId="32F5CC2A">
            <w:pPr>
              <w:jc w:val="center"/>
              <w:rPr>
                <w:rFonts w:hint="eastAsia" w:ascii="微软雅黑" w:hAnsi="微软雅黑" w:eastAsia="微软雅黑" w:cs="微软雅黑"/>
                <w:i w:val="0"/>
                <w:iCs w:val="0"/>
                <w:color w:val="000000"/>
                <w:sz w:val="20"/>
                <w:szCs w:val="20"/>
                <w:u w:val="none"/>
              </w:rPr>
            </w:pPr>
          </w:p>
        </w:tc>
      </w:tr>
      <w:tr w14:paraId="357580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47C8F4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15CA1E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990ECD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（6）十字螺丝刀1把</w:t>
            </w:r>
          </w:p>
        </w:tc>
        <w:tc>
          <w:tcPr>
            <w:tcW w:w="282" w:type="pct"/>
            <w:vMerge w:val="continue"/>
            <w:tcBorders>
              <w:tl2br w:val="nil"/>
              <w:tr2bl w:val="nil"/>
            </w:tcBorders>
            <w:noWrap w:val="0"/>
            <w:vAlign w:val="center"/>
          </w:tcPr>
          <w:p w14:paraId="22CBE581">
            <w:pPr>
              <w:jc w:val="center"/>
              <w:rPr>
                <w:rFonts w:hint="eastAsia" w:ascii="微软雅黑" w:hAnsi="微软雅黑" w:eastAsia="微软雅黑" w:cs="微软雅黑"/>
                <w:i w:val="0"/>
                <w:iCs w:val="0"/>
                <w:color w:val="000000"/>
                <w:sz w:val="20"/>
                <w:szCs w:val="20"/>
                <w:u w:val="none"/>
              </w:rPr>
            </w:pPr>
          </w:p>
        </w:tc>
      </w:tr>
      <w:tr w14:paraId="614845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B6841D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3DE77E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A675C5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（7）斜口钳1把</w:t>
            </w:r>
          </w:p>
        </w:tc>
        <w:tc>
          <w:tcPr>
            <w:tcW w:w="282" w:type="pct"/>
            <w:vMerge w:val="continue"/>
            <w:tcBorders>
              <w:tl2br w:val="nil"/>
              <w:tr2bl w:val="nil"/>
            </w:tcBorders>
            <w:noWrap w:val="0"/>
            <w:vAlign w:val="center"/>
          </w:tcPr>
          <w:p w14:paraId="486C2AE6">
            <w:pPr>
              <w:jc w:val="center"/>
              <w:rPr>
                <w:rFonts w:hint="eastAsia" w:ascii="微软雅黑" w:hAnsi="微软雅黑" w:eastAsia="微软雅黑" w:cs="微软雅黑"/>
                <w:i w:val="0"/>
                <w:iCs w:val="0"/>
                <w:color w:val="000000"/>
                <w:sz w:val="20"/>
                <w:szCs w:val="20"/>
                <w:u w:val="none"/>
              </w:rPr>
            </w:pPr>
          </w:p>
        </w:tc>
      </w:tr>
      <w:tr w14:paraId="59BB2D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96DA72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531FF0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188B12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（8）剥线钳1把</w:t>
            </w:r>
          </w:p>
        </w:tc>
        <w:tc>
          <w:tcPr>
            <w:tcW w:w="282" w:type="pct"/>
            <w:vMerge w:val="continue"/>
            <w:tcBorders>
              <w:tl2br w:val="nil"/>
              <w:tr2bl w:val="nil"/>
            </w:tcBorders>
            <w:noWrap w:val="0"/>
            <w:vAlign w:val="center"/>
          </w:tcPr>
          <w:p w14:paraId="06CB291B">
            <w:pPr>
              <w:jc w:val="center"/>
              <w:rPr>
                <w:rFonts w:hint="eastAsia" w:ascii="微软雅黑" w:hAnsi="微软雅黑" w:eastAsia="微软雅黑" w:cs="微软雅黑"/>
                <w:i w:val="0"/>
                <w:iCs w:val="0"/>
                <w:color w:val="000000"/>
                <w:sz w:val="20"/>
                <w:szCs w:val="20"/>
                <w:u w:val="none"/>
              </w:rPr>
            </w:pPr>
          </w:p>
        </w:tc>
      </w:tr>
      <w:tr w14:paraId="19336D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832CFB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7A9C25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A878D9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（9）壁纸刀1把</w:t>
            </w:r>
          </w:p>
        </w:tc>
        <w:tc>
          <w:tcPr>
            <w:tcW w:w="282" w:type="pct"/>
            <w:vMerge w:val="continue"/>
            <w:tcBorders>
              <w:tl2br w:val="nil"/>
              <w:tr2bl w:val="nil"/>
            </w:tcBorders>
            <w:noWrap w:val="0"/>
            <w:vAlign w:val="center"/>
          </w:tcPr>
          <w:p w14:paraId="4C914FBE">
            <w:pPr>
              <w:jc w:val="center"/>
              <w:rPr>
                <w:rFonts w:hint="eastAsia" w:ascii="微软雅黑" w:hAnsi="微软雅黑" w:eastAsia="微软雅黑" w:cs="微软雅黑"/>
                <w:i w:val="0"/>
                <w:iCs w:val="0"/>
                <w:color w:val="000000"/>
                <w:sz w:val="20"/>
                <w:szCs w:val="20"/>
                <w:u w:val="none"/>
              </w:rPr>
            </w:pPr>
          </w:p>
        </w:tc>
      </w:tr>
      <w:tr w14:paraId="600D1A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36FE1E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86CDCA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32D327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（10）烙铁架1套</w:t>
            </w:r>
          </w:p>
        </w:tc>
        <w:tc>
          <w:tcPr>
            <w:tcW w:w="282" w:type="pct"/>
            <w:vMerge w:val="continue"/>
            <w:tcBorders>
              <w:tl2br w:val="nil"/>
              <w:tr2bl w:val="nil"/>
            </w:tcBorders>
            <w:noWrap w:val="0"/>
            <w:vAlign w:val="center"/>
          </w:tcPr>
          <w:p w14:paraId="39DD16D7">
            <w:pPr>
              <w:jc w:val="center"/>
              <w:rPr>
                <w:rFonts w:hint="eastAsia" w:ascii="微软雅黑" w:hAnsi="微软雅黑" w:eastAsia="微软雅黑" w:cs="微软雅黑"/>
                <w:i w:val="0"/>
                <w:iCs w:val="0"/>
                <w:color w:val="000000"/>
                <w:sz w:val="20"/>
                <w:szCs w:val="20"/>
                <w:u w:val="none"/>
              </w:rPr>
            </w:pPr>
          </w:p>
        </w:tc>
      </w:tr>
      <w:tr w14:paraId="7D12F7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261450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DF09EB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2EAA12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（11）焊锡丝1卷</w:t>
            </w:r>
          </w:p>
        </w:tc>
        <w:tc>
          <w:tcPr>
            <w:tcW w:w="282" w:type="pct"/>
            <w:vMerge w:val="continue"/>
            <w:tcBorders>
              <w:tl2br w:val="nil"/>
              <w:tr2bl w:val="nil"/>
            </w:tcBorders>
            <w:noWrap w:val="0"/>
            <w:vAlign w:val="center"/>
          </w:tcPr>
          <w:p w14:paraId="13E7C922">
            <w:pPr>
              <w:jc w:val="center"/>
              <w:rPr>
                <w:rFonts w:hint="eastAsia" w:ascii="微软雅黑" w:hAnsi="微软雅黑" w:eastAsia="微软雅黑" w:cs="微软雅黑"/>
                <w:i w:val="0"/>
                <w:iCs w:val="0"/>
                <w:color w:val="000000"/>
                <w:sz w:val="20"/>
                <w:szCs w:val="20"/>
                <w:u w:val="none"/>
              </w:rPr>
            </w:pPr>
          </w:p>
        </w:tc>
      </w:tr>
      <w:tr w14:paraId="416305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808ADE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E44913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D3C8DE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（12）松香1盒</w:t>
            </w:r>
          </w:p>
        </w:tc>
        <w:tc>
          <w:tcPr>
            <w:tcW w:w="282" w:type="pct"/>
            <w:vMerge w:val="continue"/>
            <w:tcBorders>
              <w:tl2br w:val="nil"/>
              <w:tr2bl w:val="nil"/>
            </w:tcBorders>
            <w:noWrap w:val="0"/>
            <w:vAlign w:val="center"/>
          </w:tcPr>
          <w:p w14:paraId="2E4C8E0B">
            <w:pPr>
              <w:jc w:val="center"/>
              <w:rPr>
                <w:rFonts w:hint="eastAsia" w:ascii="微软雅黑" w:hAnsi="微软雅黑" w:eastAsia="微软雅黑" w:cs="微软雅黑"/>
                <w:i w:val="0"/>
                <w:iCs w:val="0"/>
                <w:color w:val="000000"/>
                <w:sz w:val="20"/>
                <w:szCs w:val="20"/>
                <w:u w:val="none"/>
              </w:rPr>
            </w:pPr>
          </w:p>
        </w:tc>
      </w:tr>
      <w:tr w14:paraId="41E70C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C416F3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AB1E75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E66001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（13）50W电烙铁1支</w:t>
            </w:r>
          </w:p>
        </w:tc>
        <w:tc>
          <w:tcPr>
            <w:tcW w:w="282" w:type="pct"/>
            <w:vMerge w:val="continue"/>
            <w:tcBorders>
              <w:tl2br w:val="nil"/>
              <w:tr2bl w:val="nil"/>
            </w:tcBorders>
            <w:noWrap w:val="0"/>
            <w:vAlign w:val="center"/>
          </w:tcPr>
          <w:p w14:paraId="372FC5DB">
            <w:pPr>
              <w:jc w:val="center"/>
              <w:rPr>
                <w:rFonts w:hint="eastAsia" w:ascii="微软雅黑" w:hAnsi="微软雅黑" w:eastAsia="微软雅黑" w:cs="微软雅黑"/>
                <w:i w:val="0"/>
                <w:iCs w:val="0"/>
                <w:color w:val="000000"/>
                <w:sz w:val="20"/>
                <w:szCs w:val="20"/>
                <w:u w:val="none"/>
              </w:rPr>
            </w:pPr>
          </w:p>
        </w:tc>
      </w:tr>
      <w:tr w14:paraId="30E5C4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E9A452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E94553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9B54A8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（14）动力电池测电器1个</w:t>
            </w:r>
          </w:p>
        </w:tc>
        <w:tc>
          <w:tcPr>
            <w:tcW w:w="282" w:type="pct"/>
            <w:vMerge w:val="continue"/>
            <w:tcBorders>
              <w:tl2br w:val="nil"/>
              <w:tr2bl w:val="nil"/>
            </w:tcBorders>
            <w:noWrap w:val="0"/>
            <w:vAlign w:val="center"/>
          </w:tcPr>
          <w:p w14:paraId="6AA4D019">
            <w:pPr>
              <w:jc w:val="center"/>
              <w:rPr>
                <w:rFonts w:hint="eastAsia" w:ascii="微软雅黑" w:hAnsi="微软雅黑" w:eastAsia="微软雅黑" w:cs="微软雅黑"/>
                <w:i w:val="0"/>
                <w:iCs w:val="0"/>
                <w:color w:val="000000"/>
                <w:sz w:val="20"/>
                <w:szCs w:val="20"/>
                <w:u w:val="none"/>
              </w:rPr>
            </w:pPr>
          </w:p>
        </w:tc>
      </w:tr>
      <w:tr w14:paraId="003287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F8573C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F0AC47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A83F70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r>
              <w:rPr>
                <w:rFonts w:hint="eastAsia" w:ascii="微软雅黑" w:hAnsi="微软雅黑" w:eastAsia="微软雅黑" w:cs="微软雅黑"/>
                <w:i w:val="0"/>
                <w:iCs w:val="0"/>
                <w:color w:val="000000"/>
                <w:kern w:val="0"/>
                <w:sz w:val="20"/>
                <w:szCs w:val="20"/>
                <w:highlight w:val="yellow"/>
                <w:u w:val="none"/>
                <w:lang w:val="en-US" w:eastAsia="zh-CN" w:bidi="ar"/>
              </w:rPr>
              <w:t>指针式万用表套装</w:t>
            </w:r>
            <w:r>
              <w:rPr>
                <w:rFonts w:hint="eastAsia" w:ascii="微软雅黑" w:hAnsi="微软雅黑" w:eastAsia="微软雅黑" w:cs="微软雅黑"/>
                <w:i w:val="0"/>
                <w:iCs w:val="0"/>
                <w:color w:val="000000"/>
                <w:kern w:val="0"/>
                <w:sz w:val="20"/>
                <w:szCs w:val="20"/>
                <w:u w:val="none"/>
                <w:lang w:val="en-US" w:eastAsia="zh-CN" w:bidi="ar"/>
              </w:rPr>
              <w:t>1个</w:t>
            </w:r>
          </w:p>
        </w:tc>
        <w:tc>
          <w:tcPr>
            <w:tcW w:w="282" w:type="pct"/>
            <w:vMerge w:val="continue"/>
            <w:tcBorders>
              <w:tl2br w:val="nil"/>
              <w:tr2bl w:val="nil"/>
            </w:tcBorders>
            <w:noWrap w:val="0"/>
            <w:vAlign w:val="center"/>
          </w:tcPr>
          <w:p w14:paraId="261A63A2">
            <w:pPr>
              <w:jc w:val="center"/>
              <w:rPr>
                <w:rFonts w:hint="eastAsia" w:ascii="微软雅黑" w:hAnsi="微软雅黑" w:eastAsia="微软雅黑" w:cs="微软雅黑"/>
                <w:i w:val="0"/>
                <w:iCs w:val="0"/>
                <w:color w:val="000000"/>
                <w:sz w:val="20"/>
                <w:szCs w:val="20"/>
                <w:u w:val="none"/>
              </w:rPr>
            </w:pPr>
          </w:p>
        </w:tc>
      </w:tr>
      <w:tr w14:paraId="7734B9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211886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A86477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C112AC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（16）水平测量柱1个</w:t>
            </w:r>
          </w:p>
        </w:tc>
        <w:tc>
          <w:tcPr>
            <w:tcW w:w="282" w:type="pct"/>
            <w:vMerge w:val="continue"/>
            <w:tcBorders>
              <w:tl2br w:val="nil"/>
              <w:tr2bl w:val="nil"/>
            </w:tcBorders>
            <w:noWrap w:val="0"/>
            <w:vAlign w:val="center"/>
          </w:tcPr>
          <w:p w14:paraId="39D512F6">
            <w:pPr>
              <w:jc w:val="center"/>
              <w:rPr>
                <w:rFonts w:hint="eastAsia" w:ascii="微软雅黑" w:hAnsi="微软雅黑" w:eastAsia="微软雅黑" w:cs="微软雅黑"/>
                <w:i w:val="0"/>
                <w:iCs w:val="0"/>
                <w:color w:val="000000"/>
                <w:sz w:val="20"/>
                <w:szCs w:val="20"/>
                <w:u w:val="none"/>
              </w:rPr>
            </w:pPr>
          </w:p>
        </w:tc>
      </w:tr>
      <w:tr w14:paraId="35BBE3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D1EB4F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A29FBE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E4D3D4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（17）锉刀1个</w:t>
            </w:r>
          </w:p>
        </w:tc>
        <w:tc>
          <w:tcPr>
            <w:tcW w:w="282" w:type="pct"/>
            <w:vMerge w:val="continue"/>
            <w:tcBorders>
              <w:tl2br w:val="nil"/>
              <w:tr2bl w:val="nil"/>
            </w:tcBorders>
            <w:noWrap w:val="0"/>
            <w:vAlign w:val="center"/>
          </w:tcPr>
          <w:p w14:paraId="5D8D5E7A">
            <w:pPr>
              <w:jc w:val="center"/>
              <w:rPr>
                <w:rFonts w:hint="eastAsia" w:ascii="微软雅黑" w:hAnsi="微软雅黑" w:eastAsia="微软雅黑" w:cs="微软雅黑"/>
                <w:i w:val="0"/>
                <w:iCs w:val="0"/>
                <w:color w:val="000000"/>
                <w:sz w:val="20"/>
                <w:szCs w:val="20"/>
                <w:u w:val="none"/>
              </w:rPr>
            </w:pPr>
          </w:p>
        </w:tc>
      </w:tr>
      <w:tr w14:paraId="796583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BC4283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D107D7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1706D6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（18）螺丝胶1盒</w:t>
            </w:r>
          </w:p>
        </w:tc>
        <w:tc>
          <w:tcPr>
            <w:tcW w:w="282" w:type="pct"/>
            <w:vMerge w:val="continue"/>
            <w:tcBorders>
              <w:tl2br w:val="nil"/>
              <w:tr2bl w:val="nil"/>
            </w:tcBorders>
            <w:noWrap w:val="0"/>
            <w:vAlign w:val="center"/>
          </w:tcPr>
          <w:p w14:paraId="4F38BE9C">
            <w:pPr>
              <w:jc w:val="center"/>
              <w:rPr>
                <w:rFonts w:hint="eastAsia" w:ascii="微软雅黑" w:hAnsi="微软雅黑" w:eastAsia="微软雅黑" w:cs="微软雅黑"/>
                <w:i w:val="0"/>
                <w:iCs w:val="0"/>
                <w:color w:val="000000"/>
                <w:sz w:val="20"/>
                <w:szCs w:val="20"/>
                <w:u w:val="none"/>
              </w:rPr>
            </w:pPr>
          </w:p>
        </w:tc>
      </w:tr>
      <w:tr w14:paraId="50F712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6CEF07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388702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F4BCA6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（19）香蕉头焊台1个</w:t>
            </w:r>
          </w:p>
        </w:tc>
        <w:tc>
          <w:tcPr>
            <w:tcW w:w="282" w:type="pct"/>
            <w:vMerge w:val="continue"/>
            <w:tcBorders>
              <w:tl2br w:val="nil"/>
              <w:tr2bl w:val="nil"/>
            </w:tcBorders>
            <w:noWrap w:val="0"/>
            <w:vAlign w:val="center"/>
          </w:tcPr>
          <w:p w14:paraId="7E5117FC">
            <w:pPr>
              <w:jc w:val="center"/>
              <w:rPr>
                <w:rFonts w:hint="eastAsia" w:ascii="微软雅黑" w:hAnsi="微软雅黑" w:eastAsia="微软雅黑" w:cs="微软雅黑"/>
                <w:i w:val="0"/>
                <w:iCs w:val="0"/>
                <w:color w:val="000000"/>
                <w:sz w:val="20"/>
                <w:szCs w:val="20"/>
                <w:u w:val="none"/>
              </w:rPr>
            </w:pPr>
          </w:p>
        </w:tc>
      </w:tr>
      <w:tr w14:paraId="423299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F822B0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D6531D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F18D1C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（20）试电笔1个</w:t>
            </w:r>
          </w:p>
        </w:tc>
        <w:tc>
          <w:tcPr>
            <w:tcW w:w="282" w:type="pct"/>
            <w:vMerge w:val="continue"/>
            <w:tcBorders>
              <w:tl2br w:val="nil"/>
              <w:tr2bl w:val="nil"/>
            </w:tcBorders>
            <w:noWrap w:val="0"/>
            <w:vAlign w:val="center"/>
          </w:tcPr>
          <w:p w14:paraId="719989E1">
            <w:pPr>
              <w:jc w:val="center"/>
              <w:rPr>
                <w:rFonts w:hint="eastAsia" w:ascii="微软雅黑" w:hAnsi="微软雅黑" w:eastAsia="微软雅黑" w:cs="微软雅黑"/>
                <w:i w:val="0"/>
                <w:iCs w:val="0"/>
                <w:color w:val="000000"/>
                <w:sz w:val="20"/>
                <w:szCs w:val="20"/>
                <w:u w:val="none"/>
              </w:rPr>
            </w:pPr>
          </w:p>
        </w:tc>
      </w:tr>
      <w:tr w14:paraId="309C0F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F43BAA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47FFFE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562616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（21）USB调参线1条</w:t>
            </w:r>
          </w:p>
        </w:tc>
        <w:tc>
          <w:tcPr>
            <w:tcW w:w="282" w:type="pct"/>
            <w:vMerge w:val="continue"/>
            <w:tcBorders>
              <w:tl2br w:val="nil"/>
              <w:tr2bl w:val="nil"/>
            </w:tcBorders>
            <w:noWrap w:val="0"/>
            <w:vAlign w:val="center"/>
          </w:tcPr>
          <w:p w14:paraId="6F1D8453">
            <w:pPr>
              <w:jc w:val="center"/>
              <w:rPr>
                <w:rFonts w:hint="eastAsia" w:ascii="微软雅黑" w:hAnsi="微软雅黑" w:eastAsia="微软雅黑" w:cs="微软雅黑"/>
                <w:i w:val="0"/>
                <w:iCs w:val="0"/>
                <w:color w:val="000000"/>
                <w:sz w:val="20"/>
                <w:szCs w:val="20"/>
                <w:u w:val="none"/>
              </w:rPr>
            </w:pPr>
          </w:p>
        </w:tc>
      </w:tr>
      <w:tr w14:paraId="0AA73A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97B511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E60C37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F9BA50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（22）热熔胶枪1条</w:t>
            </w:r>
          </w:p>
        </w:tc>
        <w:tc>
          <w:tcPr>
            <w:tcW w:w="282" w:type="pct"/>
            <w:vMerge w:val="continue"/>
            <w:tcBorders>
              <w:tl2br w:val="nil"/>
              <w:tr2bl w:val="nil"/>
            </w:tcBorders>
            <w:noWrap w:val="0"/>
            <w:vAlign w:val="center"/>
          </w:tcPr>
          <w:p w14:paraId="1E7B710B">
            <w:pPr>
              <w:jc w:val="center"/>
              <w:rPr>
                <w:rFonts w:hint="eastAsia" w:ascii="微软雅黑" w:hAnsi="微软雅黑" w:eastAsia="微软雅黑" w:cs="微软雅黑"/>
                <w:i w:val="0"/>
                <w:iCs w:val="0"/>
                <w:color w:val="000000"/>
                <w:sz w:val="20"/>
                <w:szCs w:val="20"/>
                <w:u w:val="none"/>
              </w:rPr>
            </w:pPr>
          </w:p>
        </w:tc>
      </w:tr>
      <w:tr w14:paraId="2F7C12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5F4E6E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A9B8C9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141E93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▲15.课程资源数量及内容要求（供应商提供以下教学资源截图，每个教学资源截图数量不少于3张）</w:t>
            </w:r>
          </w:p>
        </w:tc>
        <w:tc>
          <w:tcPr>
            <w:tcW w:w="282" w:type="pct"/>
            <w:vMerge w:val="continue"/>
            <w:tcBorders>
              <w:tl2br w:val="nil"/>
              <w:tr2bl w:val="nil"/>
            </w:tcBorders>
            <w:noWrap w:val="0"/>
            <w:vAlign w:val="center"/>
          </w:tcPr>
          <w:p w14:paraId="7E7CD45E">
            <w:pPr>
              <w:jc w:val="center"/>
              <w:rPr>
                <w:rFonts w:hint="eastAsia" w:ascii="微软雅黑" w:hAnsi="微软雅黑" w:eastAsia="微软雅黑" w:cs="微软雅黑"/>
                <w:i w:val="0"/>
                <w:iCs w:val="0"/>
                <w:color w:val="000000"/>
                <w:sz w:val="20"/>
                <w:szCs w:val="20"/>
                <w:u w:val="none"/>
              </w:rPr>
            </w:pPr>
          </w:p>
        </w:tc>
      </w:tr>
      <w:tr w14:paraId="527BF7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58B1CE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4054EA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77458E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（1）PPT课件</w:t>
            </w:r>
          </w:p>
        </w:tc>
        <w:tc>
          <w:tcPr>
            <w:tcW w:w="282" w:type="pct"/>
            <w:vMerge w:val="continue"/>
            <w:tcBorders>
              <w:tl2br w:val="nil"/>
              <w:tr2bl w:val="nil"/>
            </w:tcBorders>
            <w:noWrap w:val="0"/>
            <w:vAlign w:val="center"/>
          </w:tcPr>
          <w:p w14:paraId="17016A46">
            <w:pPr>
              <w:jc w:val="center"/>
              <w:rPr>
                <w:rFonts w:hint="eastAsia" w:ascii="微软雅黑" w:hAnsi="微软雅黑" w:eastAsia="微软雅黑" w:cs="微软雅黑"/>
                <w:i w:val="0"/>
                <w:iCs w:val="0"/>
                <w:color w:val="000000"/>
                <w:sz w:val="20"/>
                <w:szCs w:val="20"/>
                <w:u w:val="none"/>
              </w:rPr>
            </w:pPr>
          </w:p>
        </w:tc>
      </w:tr>
      <w:tr w14:paraId="6F97A2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3C4997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F9C650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D1F3DB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r>
              <w:rPr>
                <w:rFonts w:hint="eastAsia" w:ascii="微软雅黑" w:hAnsi="微软雅黑" w:eastAsia="微软雅黑" w:cs="微软雅黑"/>
                <w:i w:val="0"/>
                <w:iCs w:val="0"/>
                <w:color w:val="000000"/>
                <w:kern w:val="0"/>
                <w:sz w:val="20"/>
                <w:szCs w:val="20"/>
                <w:highlight w:val="yellow"/>
                <w:u w:val="none"/>
                <w:lang w:val="en-US" w:eastAsia="zh-CN" w:bidi="ar"/>
              </w:rPr>
              <w:t>每个PPT课件不少于20页</w:t>
            </w:r>
            <w:r>
              <w:rPr>
                <w:rFonts w:hint="eastAsia" w:ascii="微软雅黑" w:hAnsi="微软雅黑" w:eastAsia="微软雅黑" w:cs="微软雅黑"/>
                <w:i w:val="0"/>
                <w:iCs w:val="0"/>
                <w:color w:val="000000"/>
                <w:kern w:val="0"/>
                <w:sz w:val="20"/>
                <w:szCs w:val="20"/>
                <w:u w:val="none"/>
                <w:lang w:val="en-US" w:eastAsia="zh-CN" w:bidi="ar"/>
              </w:rPr>
              <w:t>。</w:t>
            </w:r>
          </w:p>
        </w:tc>
        <w:tc>
          <w:tcPr>
            <w:tcW w:w="282" w:type="pct"/>
            <w:vMerge w:val="continue"/>
            <w:tcBorders>
              <w:tl2br w:val="nil"/>
              <w:tr2bl w:val="nil"/>
            </w:tcBorders>
            <w:noWrap w:val="0"/>
            <w:vAlign w:val="center"/>
          </w:tcPr>
          <w:p w14:paraId="4A3EFEE9">
            <w:pPr>
              <w:jc w:val="center"/>
              <w:rPr>
                <w:rFonts w:hint="eastAsia" w:ascii="微软雅黑" w:hAnsi="微软雅黑" w:eastAsia="微软雅黑" w:cs="微软雅黑"/>
                <w:i w:val="0"/>
                <w:iCs w:val="0"/>
                <w:color w:val="000000"/>
                <w:sz w:val="20"/>
                <w:szCs w:val="20"/>
                <w:u w:val="none"/>
              </w:rPr>
            </w:pPr>
          </w:p>
        </w:tc>
      </w:tr>
      <w:tr w14:paraId="494918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2F69C08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128A6D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F3BF90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282" w:type="pct"/>
            <w:vMerge w:val="continue"/>
            <w:tcBorders>
              <w:tl2br w:val="nil"/>
              <w:tr2bl w:val="nil"/>
            </w:tcBorders>
            <w:noWrap w:val="0"/>
            <w:vAlign w:val="center"/>
          </w:tcPr>
          <w:p w14:paraId="30020D3D">
            <w:pPr>
              <w:jc w:val="center"/>
              <w:rPr>
                <w:rFonts w:hint="eastAsia" w:ascii="微软雅黑" w:hAnsi="微软雅黑" w:eastAsia="微软雅黑" w:cs="微软雅黑"/>
                <w:i w:val="0"/>
                <w:iCs w:val="0"/>
                <w:color w:val="000000"/>
                <w:sz w:val="20"/>
                <w:szCs w:val="20"/>
                <w:u w:val="none"/>
              </w:rPr>
            </w:pPr>
          </w:p>
        </w:tc>
      </w:tr>
      <w:tr w14:paraId="6CD09F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901360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91DBBF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710415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（2）视频微课</w:t>
            </w:r>
          </w:p>
        </w:tc>
        <w:tc>
          <w:tcPr>
            <w:tcW w:w="282" w:type="pct"/>
            <w:vMerge w:val="continue"/>
            <w:tcBorders>
              <w:tl2br w:val="nil"/>
              <w:tr2bl w:val="nil"/>
            </w:tcBorders>
            <w:noWrap w:val="0"/>
            <w:vAlign w:val="center"/>
          </w:tcPr>
          <w:p w14:paraId="3323AF4D">
            <w:pPr>
              <w:jc w:val="center"/>
              <w:rPr>
                <w:rFonts w:hint="eastAsia" w:ascii="微软雅黑" w:hAnsi="微软雅黑" w:eastAsia="微软雅黑" w:cs="微软雅黑"/>
                <w:i w:val="0"/>
                <w:iCs w:val="0"/>
                <w:color w:val="000000"/>
                <w:sz w:val="20"/>
                <w:szCs w:val="20"/>
                <w:u w:val="none"/>
              </w:rPr>
            </w:pPr>
          </w:p>
        </w:tc>
      </w:tr>
      <w:tr w14:paraId="75CBBB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4C6A88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3BB4C2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E9FC70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r>
              <w:rPr>
                <w:rFonts w:hint="eastAsia" w:ascii="微软雅黑" w:hAnsi="微软雅黑" w:eastAsia="微软雅黑" w:cs="微软雅黑"/>
                <w:i w:val="0"/>
                <w:iCs w:val="0"/>
                <w:color w:val="000000"/>
                <w:kern w:val="0"/>
                <w:sz w:val="20"/>
                <w:szCs w:val="20"/>
                <w:highlight w:val="yellow"/>
                <w:u w:val="none"/>
                <w:lang w:val="en-US" w:eastAsia="zh-CN" w:bidi="ar"/>
              </w:rPr>
              <w:t>总时长≥70分钟，分辨率≥1080p。</w:t>
            </w:r>
            <w:r>
              <w:rPr>
                <w:rFonts w:hint="eastAsia" w:ascii="微软雅黑" w:hAnsi="微软雅黑" w:eastAsia="微软雅黑" w:cs="微软雅黑"/>
                <w:i w:val="0"/>
                <w:iCs w:val="0"/>
                <w:color w:val="000000"/>
                <w:kern w:val="0"/>
                <w:sz w:val="20"/>
                <w:szCs w:val="20"/>
                <w:u w:val="none"/>
                <w:lang w:val="en-US" w:eastAsia="zh-CN" w:bidi="ar"/>
              </w:rPr>
              <w:t>。</w:t>
            </w:r>
          </w:p>
        </w:tc>
        <w:tc>
          <w:tcPr>
            <w:tcW w:w="282" w:type="pct"/>
            <w:vMerge w:val="continue"/>
            <w:tcBorders>
              <w:tl2br w:val="nil"/>
              <w:tr2bl w:val="nil"/>
            </w:tcBorders>
            <w:noWrap w:val="0"/>
            <w:vAlign w:val="center"/>
          </w:tcPr>
          <w:p w14:paraId="7401BDFC">
            <w:pPr>
              <w:jc w:val="center"/>
              <w:rPr>
                <w:rFonts w:hint="eastAsia" w:ascii="微软雅黑" w:hAnsi="微软雅黑" w:eastAsia="微软雅黑" w:cs="微软雅黑"/>
                <w:i w:val="0"/>
                <w:iCs w:val="0"/>
                <w:color w:val="000000"/>
                <w:sz w:val="20"/>
                <w:szCs w:val="20"/>
                <w:u w:val="none"/>
              </w:rPr>
            </w:pPr>
          </w:p>
        </w:tc>
      </w:tr>
      <w:tr w14:paraId="7967F3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39D10E9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B7784B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8122EC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②内容要求：至少包含多旋翼无人机组装与调试概述、装调实训无人机系统（多旋翼）机体组装、飞控的安装与调试、飞控线路连接和遥控器设置、电机转向验证及换向、无人机飞行测试、无人机模拟操控飞行。</w:t>
            </w:r>
          </w:p>
        </w:tc>
        <w:tc>
          <w:tcPr>
            <w:tcW w:w="282" w:type="pct"/>
            <w:vMerge w:val="continue"/>
            <w:tcBorders>
              <w:tl2br w:val="nil"/>
              <w:tr2bl w:val="nil"/>
            </w:tcBorders>
            <w:noWrap w:val="0"/>
            <w:vAlign w:val="center"/>
          </w:tcPr>
          <w:p w14:paraId="13C3429F">
            <w:pPr>
              <w:jc w:val="center"/>
              <w:rPr>
                <w:rFonts w:hint="eastAsia" w:ascii="微软雅黑" w:hAnsi="微软雅黑" w:eastAsia="微软雅黑" w:cs="微软雅黑"/>
                <w:i w:val="0"/>
                <w:iCs w:val="0"/>
                <w:color w:val="000000"/>
                <w:sz w:val="20"/>
                <w:szCs w:val="20"/>
                <w:u w:val="none"/>
              </w:rPr>
            </w:pPr>
          </w:p>
        </w:tc>
      </w:tr>
      <w:tr w14:paraId="269477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08A6DE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45B1B6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EE56D2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（3）实训工卡</w:t>
            </w:r>
          </w:p>
        </w:tc>
        <w:tc>
          <w:tcPr>
            <w:tcW w:w="282" w:type="pct"/>
            <w:vMerge w:val="continue"/>
            <w:tcBorders>
              <w:tl2br w:val="nil"/>
              <w:tr2bl w:val="nil"/>
            </w:tcBorders>
            <w:noWrap w:val="0"/>
            <w:vAlign w:val="center"/>
          </w:tcPr>
          <w:p w14:paraId="5DBC6F5D">
            <w:pPr>
              <w:jc w:val="center"/>
              <w:rPr>
                <w:rFonts w:hint="eastAsia" w:ascii="微软雅黑" w:hAnsi="微软雅黑" w:eastAsia="微软雅黑" w:cs="微软雅黑"/>
                <w:i w:val="0"/>
                <w:iCs w:val="0"/>
                <w:color w:val="000000"/>
                <w:sz w:val="20"/>
                <w:szCs w:val="20"/>
                <w:u w:val="none"/>
              </w:rPr>
            </w:pPr>
          </w:p>
        </w:tc>
      </w:tr>
      <w:tr w14:paraId="726B92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C54BBE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F7A731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02B984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282" w:type="pct"/>
            <w:vMerge w:val="continue"/>
            <w:tcBorders>
              <w:tl2br w:val="nil"/>
              <w:tr2bl w:val="nil"/>
            </w:tcBorders>
            <w:noWrap w:val="0"/>
            <w:vAlign w:val="center"/>
          </w:tcPr>
          <w:p w14:paraId="36FBA45A">
            <w:pPr>
              <w:jc w:val="center"/>
              <w:rPr>
                <w:rFonts w:hint="eastAsia" w:ascii="微软雅黑" w:hAnsi="微软雅黑" w:eastAsia="微软雅黑" w:cs="微软雅黑"/>
                <w:i w:val="0"/>
                <w:iCs w:val="0"/>
                <w:color w:val="000000"/>
                <w:sz w:val="20"/>
                <w:szCs w:val="20"/>
                <w:u w:val="none"/>
              </w:rPr>
            </w:pPr>
          </w:p>
        </w:tc>
      </w:tr>
      <w:tr w14:paraId="3E7BA4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1B857B9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2E0205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94FE3D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282" w:type="pct"/>
            <w:vMerge w:val="continue"/>
            <w:tcBorders>
              <w:tl2br w:val="nil"/>
              <w:tr2bl w:val="nil"/>
            </w:tcBorders>
            <w:noWrap w:val="0"/>
            <w:vAlign w:val="center"/>
          </w:tcPr>
          <w:p w14:paraId="7D089C51">
            <w:pPr>
              <w:jc w:val="center"/>
              <w:rPr>
                <w:rFonts w:hint="eastAsia" w:ascii="微软雅黑" w:hAnsi="微软雅黑" w:eastAsia="微软雅黑" w:cs="微软雅黑"/>
                <w:i w:val="0"/>
                <w:iCs w:val="0"/>
                <w:color w:val="000000"/>
                <w:sz w:val="20"/>
                <w:szCs w:val="20"/>
                <w:u w:val="none"/>
              </w:rPr>
            </w:pPr>
          </w:p>
        </w:tc>
      </w:tr>
      <w:tr w14:paraId="793FE3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080B3D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E25438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771A66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（4）课程教案</w:t>
            </w:r>
          </w:p>
        </w:tc>
        <w:tc>
          <w:tcPr>
            <w:tcW w:w="282" w:type="pct"/>
            <w:vMerge w:val="continue"/>
            <w:tcBorders>
              <w:tl2br w:val="nil"/>
              <w:tr2bl w:val="nil"/>
            </w:tcBorders>
            <w:noWrap w:val="0"/>
            <w:vAlign w:val="center"/>
          </w:tcPr>
          <w:p w14:paraId="3A0A8318">
            <w:pPr>
              <w:jc w:val="center"/>
              <w:rPr>
                <w:rFonts w:hint="eastAsia" w:ascii="微软雅黑" w:hAnsi="微软雅黑" w:eastAsia="微软雅黑" w:cs="微软雅黑"/>
                <w:i w:val="0"/>
                <w:iCs w:val="0"/>
                <w:color w:val="000000"/>
                <w:sz w:val="20"/>
                <w:szCs w:val="20"/>
                <w:u w:val="none"/>
              </w:rPr>
            </w:pPr>
          </w:p>
        </w:tc>
      </w:tr>
      <w:tr w14:paraId="62792E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6ECA22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59982E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8C5404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282" w:type="pct"/>
            <w:vMerge w:val="continue"/>
            <w:tcBorders>
              <w:tl2br w:val="nil"/>
              <w:tr2bl w:val="nil"/>
            </w:tcBorders>
            <w:noWrap w:val="0"/>
            <w:vAlign w:val="center"/>
          </w:tcPr>
          <w:p w14:paraId="11DADF0C">
            <w:pPr>
              <w:jc w:val="center"/>
              <w:rPr>
                <w:rFonts w:hint="eastAsia" w:ascii="微软雅黑" w:hAnsi="微软雅黑" w:eastAsia="微软雅黑" w:cs="微软雅黑"/>
                <w:i w:val="0"/>
                <w:iCs w:val="0"/>
                <w:color w:val="000000"/>
                <w:sz w:val="20"/>
                <w:szCs w:val="20"/>
                <w:u w:val="none"/>
              </w:rPr>
            </w:pPr>
          </w:p>
        </w:tc>
      </w:tr>
      <w:tr w14:paraId="46A93F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1F66490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9E26B3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02B442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282" w:type="pct"/>
            <w:vMerge w:val="continue"/>
            <w:tcBorders>
              <w:tl2br w:val="nil"/>
              <w:tr2bl w:val="nil"/>
            </w:tcBorders>
            <w:noWrap w:val="0"/>
            <w:vAlign w:val="center"/>
          </w:tcPr>
          <w:p w14:paraId="311EB402">
            <w:pPr>
              <w:jc w:val="center"/>
              <w:rPr>
                <w:rFonts w:hint="eastAsia" w:ascii="微软雅黑" w:hAnsi="微软雅黑" w:eastAsia="微软雅黑" w:cs="微软雅黑"/>
                <w:i w:val="0"/>
                <w:iCs w:val="0"/>
                <w:color w:val="000000"/>
                <w:sz w:val="20"/>
                <w:szCs w:val="20"/>
                <w:u w:val="none"/>
              </w:rPr>
            </w:pPr>
          </w:p>
        </w:tc>
      </w:tr>
      <w:tr w14:paraId="03A410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478054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9578E1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0993DF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（5）知识手册：</w:t>
            </w:r>
          </w:p>
        </w:tc>
        <w:tc>
          <w:tcPr>
            <w:tcW w:w="282" w:type="pct"/>
            <w:vMerge w:val="continue"/>
            <w:tcBorders>
              <w:tl2br w:val="nil"/>
              <w:tr2bl w:val="nil"/>
            </w:tcBorders>
            <w:noWrap w:val="0"/>
            <w:vAlign w:val="center"/>
          </w:tcPr>
          <w:p w14:paraId="3DF32BFF">
            <w:pPr>
              <w:jc w:val="center"/>
              <w:rPr>
                <w:rFonts w:hint="eastAsia" w:ascii="微软雅黑" w:hAnsi="微软雅黑" w:eastAsia="微软雅黑" w:cs="微软雅黑"/>
                <w:i w:val="0"/>
                <w:iCs w:val="0"/>
                <w:color w:val="000000"/>
                <w:sz w:val="20"/>
                <w:szCs w:val="20"/>
                <w:u w:val="none"/>
              </w:rPr>
            </w:pPr>
          </w:p>
        </w:tc>
      </w:tr>
      <w:tr w14:paraId="3B5BC5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F937CE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34DF31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2E18D7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282" w:type="pct"/>
            <w:vMerge w:val="continue"/>
            <w:tcBorders>
              <w:tl2br w:val="nil"/>
              <w:tr2bl w:val="nil"/>
            </w:tcBorders>
            <w:noWrap w:val="0"/>
            <w:vAlign w:val="center"/>
          </w:tcPr>
          <w:p w14:paraId="2D459961">
            <w:pPr>
              <w:jc w:val="center"/>
              <w:rPr>
                <w:rFonts w:hint="eastAsia" w:ascii="微软雅黑" w:hAnsi="微软雅黑" w:eastAsia="微软雅黑" w:cs="微软雅黑"/>
                <w:i w:val="0"/>
                <w:iCs w:val="0"/>
                <w:color w:val="000000"/>
                <w:sz w:val="20"/>
                <w:szCs w:val="20"/>
                <w:u w:val="none"/>
              </w:rPr>
            </w:pPr>
          </w:p>
        </w:tc>
      </w:tr>
      <w:tr w14:paraId="041661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400B9A5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C8A8D5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75153F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282" w:type="pct"/>
            <w:vMerge w:val="continue"/>
            <w:tcBorders>
              <w:tl2br w:val="nil"/>
              <w:tr2bl w:val="nil"/>
            </w:tcBorders>
            <w:noWrap w:val="0"/>
            <w:vAlign w:val="center"/>
          </w:tcPr>
          <w:p w14:paraId="3A95A4DD">
            <w:pPr>
              <w:jc w:val="center"/>
              <w:rPr>
                <w:rFonts w:hint="eastAsia" w:ascii="微软雅黑" w:hAnsi="微软雅黑" w:eastAsia="微软雅黑" w:cs="微软雅黑"/>
                <w:i w:val="0"/>
                <w:iCs w:val="0"/>
                <w:color w:val="000000"/>
                <w:sz w:val="20"/>
                <w:szCs w:val="20"/>
                <w:u w:val="none"/>
              </w:rPr>
            </w:pPr>
          </w:p>
        </w:tc>
      </w:tr>
      <w:tr w14:paraId="323532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trPr>
        <w:tc>
          <w:tcPr>
            <w:tcW w:w="235" w:type="pct"/>
            <w:tcBorders>
              <w:tl2br w:val="nil"/>
              <w:tr2bl w:val="nil"/>
            </w:tcBorders>
            <w:noWrap w:val="0"/>
            <w:vAlign w:val="center"/>
          </w:tcPr>
          <w:p w14:paraId="3CF989D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457" w:type="pct"/>
            <w:tcBorders>
              <w:tl2br w:val="nil"/>
              <w:tr2bl w:val="nil"/>
            </w:tcBorders>
            <w:noWrap w:val="0"/>
            <w:vAlign w:val="center"/>
          </w:tcPr>
          <w:p w14:paraId="5DC9C60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智能飞行器选用与组装调试平台备件库</w:t>
            </w:r>
          </w:p>
        </w:tc>
        <w:tc>
          <w:tcPr>
            <w:tcW w:w="4025" w:type="pct"/>
            <w:tcBorders>
              <w:tl2br w:val="nil"/>
              <w:tr2bl w:val="nil"/>
            </w:tcBorders>
            <w:noWrap w:val="0"/>
            <w:vAlign w:val="center"/>
          </w:tcPr>
          <w:p w14:paraId="107A819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飞行器选用与组装调试平台备件库是针对无人机准备的备件支持模块，以便快速更换损坏部件，从而保障设备的正常使用，至少应包含“十”字型、“X”型和“H”型机架、机臂管夹、电机座、脚架斜撑、脚架三通、脚架竖管、脚架横管、耗材包、电机、电调、桨叶。</w:t>
            </w:r>
          </w:p>
        </w:tc>
        <w:tc>
          <w:tcPr>
            <w:tcW w:w="282" w:type="pct"/>
            <w:tcBorders>
              <w:tl2br w:val="nil"/>
              <w:tr2bl w:val="nil"/>
            </w:tcBorders>
            <w:noWrap w:val="0"/>
            <w:vAlign w:val="center"/>
          </w:tcPr>
          <w:p w14:paraId="4897AFE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6E8CF5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09B5FE9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457" w:type="pct"/>
            <w:vMerge w:val="restart"/>
            <w:tcBorders>
              <w:tl2br w:val="nil"/>
              <w:tr2bl w:val="nil"/>
            </w:tcBorders>
            <w:noWrap w:val="0"/>
            <w:vAlign w:val="center"/>
          </w:tcPr>
          <w:p w14:paraId="7B14A29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无人机操控应用平台</w:t>
            </w:r>
          </w:p>
        </w:tc>
        <w:tc>
          <w:tcPr>
            <w:tcW w:w="4025" w:type="pct"/>
            <w:tcBorders>
              <w:tl2br w:val="nil"/>
              <w:tr2bl w:val="nil"/>
            </w:tcBorders>
            <w:noWrap w:val="0"/>
            <w:vAlign w:val="center"/>
          </w:tcPr>
          <w:p w14:paraId="48DC290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1.机身对称轴距≥800mm；</w:t>
            </w:r>
          </w:p>
        </w:tc>
        <w:tc>
          <w:tcPr>
            <w:tcW w:w="282" w:type="pct"/>
            <w:vMerge w:val="restart"/>
            <w:tcBorders>
              <w:tl2br w:val="nil"/>
              <w:tr2bl w:val="nil"/>
            </w:tcBorders>
            <w:noWrap w:val="0"/>
            <w:vAlign w:val="center"/>
          </w:tcPr>
          <w:p w14:paraId="0B98A8C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2ABBC5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691738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B4416D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B94FC3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2.机臂展开方式要求为：可折叠式；脚架安装方式：快拆、装式；机身具备飞行状态指示灯；</w:t>
            </w:r>
          </w:p>
        </w:tc>
        <w:tc>
          <w:tcPr>
            <w:tcW w:w="282" w:type="pct"/>
            <w:vMerge w:val="continue"/>
            <w:tcBorders>
              <w:tl2br w:val="nil"/>
              <w:tr2bl w:val="nil"/>
            </w:tcBorders>
            <w:noWrap w:val="0"/>
            <w:vAlign w:val="center"/>
          </w:tcPr>
          <w:p w14:paraId="6296BE39">
            <w:pPr>
              <w:jc w:val="center"/>
              <w:rPr>
                <w:rFonts w:hint="eastAsia" w:ascii="微软雅黑" w:hAnsi="微软雅黑" w:eastAsia="微软雅黑" w:cs="微软雅黑"/>
                <w:i w:val="0"/>
                <w:iCs w:val="0"/>
                <w:color w:val="000000"/>
                <w:sz w:val="20"/>
                <w:szCs w:val="20"/>
                <w:u w:val="none"/>
              </w:rPr>
            </w:pPr>
          </w:p>
        </w:tc>
      </w:tr>
      <w:tr w14:paraId="572F37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AB63F0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9E3164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F231C6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3.飞行器最大载重≥2.7kg，最大起飞重量≥9.2kg；</w:t>
            </w:r>
          </w:p>
        </w:tc>
        <w:tc>
          <w:tcPr>
            <w:tcW w:w="282" w:type="pct"/>
            <w:vMerge w:val="continue"/>
            <w:tcBorders>
              <w:tl2br w:val="nil"/>
              <w:tr2bl w:val="nil"/>
            </w:tcBorders>
            <w:noWrap w:val="0"/>
            <w:vAlign w:val="center"/>
          </w:tcPr>
          <w:p w14:paraId="7CD9FEE3">
            <w:pPr>
              <w:jc w:val="center"/>
              <w:rPr>
                <w:rFonts w:hint="eastAsia" w:ascii="微软雅黑" w:hAnsi="微软雅黑" w:eastAsia="微软雅黑" w:cs="微软雅黑"/>
                <w:i w:val="0"/>
                <w:iCs w:val="0"/>
                <w:color w:val="000000"/>
                <w:sz w:val="20"/>
                <w:szCs w:val="20"/>
                <w:u w:val="none"/>
              </w:rPr>
            </w:pPr>
          </w:p>
        </w:tc>
      </w:tr>
      <w:tr w14:paraId="78BA30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6C839B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A3CEC5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2C73A1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4.悬停精度：垂直±0.1m(RTK 定位正常工作时），水平±0.1m(RTK 定位正常工作时）；</w:t>
            </w:r>
          </w:p>
        </w:tc>
        <w:tc>
          <w:tcPr>
            <w:tcW w:w="282" w:type="pct"/>
            <w:vMerge w:val="continue"/>
            <w:tcBorders>
              <w:tl2br w:val="nil"/>
              <w:tr2bl w:val="nil"/>
            </w:tcBorders>
            <w:noWrap w:val="0"/>
            <w:vAlign w:val="center"/>
          </w:tcPr>
          <w:p w14:paraId="4731FD1F">
            <w:pPr>
              <w:jc w:val="center"/>
              <w:rPr>
                <w:rFonts w:hint="eastAsia" w:ascii="微软雅黑" w:hAnsi="微软雅黑" w:eastAsia="微软雅黑" w:cs="微软雅黑"/>
                <w:i w:val="0"/>
                <w:iCs w:val="0"/>
                <w:color w:val="000000"/>
                <w:sz w:val="20"/>
                <w:szCs w:val="20"/>
                <w:u w:val="none"/>
              </w:rPr>
            </w:pPr>
          </w:p>
        </w:tc>
      </w:tr>
      <w:tr w14:paraId="3F5332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03EAFD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47B301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07A90F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5.最大旋转角速度：俯仰轴≥300°/s ,航向轴≥100°/s；</w:t>
            </w:r>
          </w:p>
        </w:tc>
        <w:tc>
          <w:tcPr>
            <w:tcW w:w="282" w:type="pct"/>
            <w:vMerge w:val="continue"/>
            <w:tcBorders>
              <w:tl2br w:val="nil"/>
              <w:tr2bl w:val="nil"/>
            </w:tcBorders>
            <w:noWrap w:val="0"/>
            <w:vAlign w:val="center"/>
          </w:tcPr>
          <w:p w14:paraId="320303C4">
            <w:pPr>
              <w:jc w:val="center"/>
              <w:rPr>
                <w:rFonts w:hint="eastAsia" w:ascii="微软雅黑" w:hAnsi="微软雅黑" w:eastAsia="微软雅黑" w:cs="微软雅黑"/>
                <w:i w:val="0"/>
                <w:iCs w:val="0"/>
                <w:color w:val="000000"/>
                <w:sz w:val="20"/>
                <w:szCs w:val="20"/>
                <w:u w:val="none"/>
              </w:rPr>
            </w:pPr>
          </w:p>
        </w:tc>
      </w:tr>
      <w:tr w14:paraId="0B95BC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4D0697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C179CA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7D6406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6.最大上升速度≥6m/s,最大下降速度≥5m/s；最大平飞速度≥23m/s；</w:t>
            </w:r>
          </w:p>
        </w:tc>
        <w:tc>
          <w:tcPr>
            <w:tcW w:w="282" w:type="pct"/>
            <w:vMerge w:val="continue"/>
            <w:tcBorders>
              <w:tl2br w:val="nil"/>
              <w:tr2bl w:val="nil"/>
            </w:tcBorders>
            <w:noWrap w:val="0"/>
            <w:vAlign w:val="center"/>
          </w:tcPr>
          <w:p w14:paraId="1AC9FB3F">
            <w:pPr>
              <w:jc w:val="center"/>
              <w:rPr>
                <w:rFonts w:hint="eastAsia" w:ascii="微软雅黑" w:hAnsi="微软雅黑" w:eastAsia="微软雅黑" w:cs="微软雅黑"/>
                <w:i w:val="0"/>
                <w:iCs w:val="0"/>
                <w:color w:val="000000"/>
                <w:sz w:val="20"/>
                <w:szCs w:val="20"/>
                <w:u w:val="none"/>
              </w:rPr>
            </w:pPr>
          </w:p>
        </w:tc>
      </w:tr>
      <w:tr w14:paraId="02410F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B1D3EB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E7457C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7AAA9B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7.最大飞行海拔高度≥5000m；</w:t>
            </w:r>
          </w:p>
        </w:tc>
        <w:tc>
          <w:tcPr>
            <w:tcW w:w="282" w:type="pct"/>
            <w:vMerge w:val="continue"/>
            <w:tcBorders>
              <w:tl2br w:val="nil"/>
              <w:tr2bl w:val="nil"/>
            </w:tcBorders>
            <w:noWrap w:val="0"/>
            <w:vAlign w:val="center"/>
          </w:tcPr>
          <w:p w14:paraId="33C21703">
            <w:pPr>
              <w:jc w:val="center"/>
              <w:rPr>
                <w:rFonts w:hint="eastAsia" w:ascii="微软雅黑" w:hAnsi="微软雅黑" w:eastAsia="微软雅黑" w:cs="微软雅黑"/>
                <w:i w:val="0"/>
                <w:iCs w:val="0"/>
                <w:color w:val="000000"/>
                <w:sz w:val="20"/>
                <w:szCs w:val="20"/>
                <w:u w:val="none"/>
              </w:rPr>
            </w:pPr>
          </w:p>
        </w:tc>
      </w:tr>
      <w:tr w14:paraId="175BC1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A03435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38A03B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8DF98A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8.最大承受风速≥12m/s；</w:t>
            </w:r>
          </w:p>
        </w:tc>
        <w:tc>
          <w:tcPr>
            <w:tcW w:w="282" w:type="pct"/>
            <w:vMerge w:val="continue"/>
            <w:tcBorders>
              <w:tl2br w:val="nil"/>
              <w:tr2bl w:val="nil"/>
            </w:tcBorders>
            <w:noWrap w:val="0"/>
            <w:vAlign w:val="center"/>
          </w:tcPr>
          <w:p w14:paraId="716563AD">
            <w:pPr>
              <w:jc w:val="center"/>
              <w:rPr>
                <w:rFonts w:hint="eastAsia" w:ascii="微软雅黑" w:hAnsi="微软雅黑" w:eastAsia="微软雅黑" w:cs="微软雅黑"/>
                <w:i w:val="0"/>
                <w:iCs w:val="0"/>
                <w:color w:val="000000"/>
                <w:sz w:val="20"/>
                <w:szCs w:val="20"/>
                <w:u w:val="none"/>
              </w:rPr>
            </w:pPr>
          </w:p>
        </w:tc>
      </w:tr>
      <w:tr w14:paraId="306723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38A512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A4D49A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C15371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9.防护等级≥IP55级（参照IEC60529标准）；</w:t>
            </w:r>
          </w:p>
        </w:tc>
        <w:tc>
          <w:tcPr>
            <w:tcW w:w="282" w:type="pct"/>
            <w:vMerge w:val="continue"/>
            <w:tcBorders>
              <w:tl2br w:val="nil"/>
              <w:tr2bl w:val="nil"/>
            </w:tcBorders>
            <w:noWrap w:val="0"/>
            <w:vAlign w:val="center"/>
          </w:tcPr>
          <w:p w14:paraId="2B666F08">
            <w:pPr>
              <w:jc w:val="center"/>
              <w:rPr>
                <w:rFonts w:hint="eastAsia" w:ascii="微软雅黑" w:hAnsi="微软雅黑" w:eastAsia="微软雅黑" w:cs="微软雅黑"/>
                <w:i w:val="0"/>
                <w:iCs w:val="0"/>
                <w:color w:val="000000"/>
                <w:sz w:val="20"/>
                <w:szCs w:val="20"/>
                <w:u w:val="none"/>
              </w:rPr>
            </w:pPr>
          </w:p>
        </w:tc>
      </w:tr>
      <w:tr w14:paraId="113FE6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AC962A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C39643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48F9BF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10.最大飞行时间（空载）：不少于50分钟；</w:t>
            </w:r>
          </w:p>
        </w:tc>
        <w:tc>
          <w:tcPr>
            <w:tcW w:w="282" w:type="pct"/>
            <w:vMerge w:val="continue"/>
            <w:tcBorders>
              <w:tl2br w:val="nil"/>
              <w:tr2bl w:val="nil"/>
            </w:tcBorders>
            <w:noWrap w:val="0"/>
            <w:vAlign w:val="center"/>
          </w:tcPr>
          <w:p w14:paraId="13583809">
            <w:pPr>
              <w:jc w:val="center"/>
              <w:rPr>
                <w:rFonts w:hint="eastAsia" w:ascii="微软雅黑" w:hAnsi="微软雅黑" w:eastAsia="微软雅黑" w:cs="微软雅黑"/>
                <w:i w:val="0"/>
                <w:iCs w:val="0"/>
                <w:color w:val="000000"/>
                <w:sz w:val="20"/>
                <w:szCs w:val="20"/>
                <w:u w:val="none"/>
              </w:rPr>
            </w:pPr>
          </w:p>
        </w:tc>
      </w:tr>
      <w:tr w14:paraId="60644D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83F857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8AE8C8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0960AF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11.最大图传距离(无遮挡，无干扰）≥20公里；</w:t>
            </w:r>
          </w:p>
        </w:tc>
        <w:tc>
          <w:tcPr>
            <w:tcW w:w="282" w:type="pct"/>
            <w:vMerge w:val="continue"/>
            <w:tcBorders>
              <w:tl2br w:val="nil"/>
              <w:tr2bl w:val="nil"/>
            </w:tcBorders>
            <w:noWrap w:val="0"/>
            <w:vAlign w:val="center"/>
          </w:tcPr>
          <w:p w14:paraId="429FD9CF">
            <w:pPr>
              <w:jc w:val="center"/>
              <w:rPr>
                <w:rFonts w:hint="eastAsia" w:ascii="微软雅黑" w:hAnsi="微软雅黑" w:eastAsia="微软雅黑" w:cs="微软雅黑"/>
                <w:i w:val="0"/>
                <w:iCs w:val="0"/>
                <w:color w:val="000000"/>
                <w:sz w:val="20"/>
                <w:szCs w:val="20"/>
                <w:u w:val="none"/>
              </w:rPr>
            </w:pPr>
          </w:p>
        </w:tc>
      </w:tr>
      <w:tr w14:paraId="5E92A2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7794CD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EDBBD8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A1729F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12.飞行器至少具备RTK定位和定向能力，能够在指南针受到干扰的环境下利用RTK定向安全飞行；</w:t>
            </w:r>
          </w:p>
        </w:tc>
        <w:tc>
          <w:tcPr>
            <w:tcW w:w="282" w:type="pct"/>
            <w:vMerge w:val="continue"/>
            <w:tcBorders>
              <w:tl2br w:val="nil"/>
              <w:tr2bl w:val="nil"/>
            </w:tcBorders>
            <w:noWrap w:val="0"/>
            <w:vAlign w:val="center"/>
          </w:tcPr>
          <w:p w14:paraId="40D997D9">
            <w:pPr>
              <w:jc w:val="center"/>
              <w:rPr>
                <w:rFonts w:hint="eastAsia" w:ascii="微软雅黑" w:hAnsi="微软雅黑" w:eastAsia="微软雅黑" w:cs="微软雅黑"/>
                <w:i w:val="0"/>
                <w:iCs w:val="0"/>
                <w:color w:val="000000"/>
                <w:sz w:val="20"/>
                <w:szCs w:val="20"/>
                <w:u w:val="none"/>
              </w:rPr>
            </w:pPr>
          </w:p>
        </w:tc>
      </w:tr>
      <w:tr w14:paraId="1844B6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3599E6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BE33A5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3FBB44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13.遥控器内置高亮触摸屏，且尺寸不小于7英寸；</w:t>
            </w:r>
          </w:p>
        </w:tc>
        <w:tc>
          <w:tcPr>
            <w:tcW w:w="282" w:type="pct"/>
            <w:vMerge w:val="continue"/>
            <w:tcBorders>
              <w:tl2br w:val="nil"/>
              <w:tr2bl w:val="nil"/>
            </w:tcBorders>
            <w:noWrap w:val="0"/>
            <w:vAlign w:val="center"/>
          </w:tcPr>
          <w:p w14:paraId="7E0B0B6D">
            <w:pPr>
              <w:jc w:val="center"/>
              <w:rPr>
                <w:rFonts w:hint="eastAsia" w:ascii="微软雅黑" w:hAnsi="微软雅黑" w:eastAsia="微软雅黑" w:cs="微软雅黑"/>
                <w:i w:val="0"/>
                <w:iCs w:val="0"/>
                <w:color w:val="000000"/>
                <w:sz w:val="20"/>
                <w:szCs w:val="20"/>
                <w:u w:val="none"/>
              </w:rPr>
            </w:pPr>
          </w:p>
        </w:tc>
      </w:tr>
      <w:tr w14:paraId="3181D6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B29076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BC3F1C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9C4205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14.至少具备蓝牙以及卫星定位功能，且可以支持通过Wi-Fi或4G无线上网卡得方式连接至互联网；</w:t>
            </w:r>
          </w:p>
        </w:tc>
        <w:tc>
          <w:tcPr>
            <w:tcW w:w="282" w:type="pct"/>
            <w:vMerge w:val="continue"/>
            <w:tcBorders>
              <w:tl2br w:val="nil"/>
              <w:tr2bl w:val="nil"/>
            </w:tcBorders>
            <w:noWrap w:val="0"/>
            <w:vAlign w:val="center"/>
          </w:tcPr>
          <w:p w14:paraId="71156C3A">
            <w:pPr>
              <w:jc w:val="center"/>
              <w:rPr>
                <w:rFonts w:hint="eastAsia" w:ascii="微软雅黑" w:hAnsi="微软雅黑" w:eastAsia="微软雅黑" w:cs="微软雅黑"/>
                <w:i w:val="0"/>
                <w:iCs w:val="0"/>
                <w:color w:val="000000"/>
                <w:sz w:val="20"/>
                <w:szCs w:val="20"/>
                <w:u w:val="none"/>
              </w:rPr>
            </w:pPr>
          </w:p>
        </w:tc>
      </w:tr>
      <w:tr w14:paraId="00583B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591C99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66441D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0EED06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15.遥控器至少支持使用内置电池工作，也可支持使用内置电池与外置电池结合使用的方式进行工作；电池续航时间不少于6小时；</w:t>
            </w:r>
          </w:p>
        </w:tc>
        <w:tc>
          <w:tcPr>
            <w:tcW w:w="282" w:type="pct"/>
            <w:vMerge w:val="continue"/>
            <w:tcBorders>
              <w:tl2br w:val="nil"/>
              <w:tr2bl w:val="nil"/>
            </w:tcBorders>
            <w:noWrap w:val="0"/>
            <w:vAlign w:val="center"/>
          </w:tcPr>
          <w:p w14:paraId="1C62AD97">
            <w:pPr>
              <w:jc w:val="center"/>
              <w:rPr>
                <w:rFonts w:hint="eastAsia" w:ascii="微软雅黑" w:hAnsi="微软雅黑" w:eastAsia="微软雅黑" w:cs="微软雅黑"/>
                <w:i w:val="0"/>
                <w:iCs w:val="0"/>
                <w:color w:val="000000"/>
                <w:sz w:val="20"/>
                <w:szCs w:val="20"/>
                <w:u w:val="none"/>
              </w:rPr>
            </w:pPr>
          </w:p>
        </w:tc>
      </w:tr>
      <w:tr w14:paraId="435771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5BFD36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42CB26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9F07E7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16.飞行模式不少于三种，至少包含P模式（定位）、S模式（运动）、A模式（姿态）；遥控器具备飞行器模式切换开关；</w:t>
            </w:r>
          </w:p>
        </w:tc>
        <w:tc>
          <w:tcPr>
            <w:tcW w:w="282" w:type="pct"/>
            <w:vMerge w:val="continue"/>
            <w:tcBorders>
              <w:tl2br w:val="nil"/>
              <w:tr2bl w:val="nil"/>
            </w:tcBorders>
            <w:noWrap w:val="0"/>
            <w:vAlign w:val="center"/>
          </w:tcPr>
          <w:p w14:paraId="24441D9A">
            <w:pPr>
              <w:jc w:val="center"/>
              <w:rPr>
                <w:rFonts w:hint="eastAsia" w:ascii="微软雅黑" w:hAnsi="微软雅黑" w:eastAsia="微软雅黑" w:cs="微软雅黑"/>
                <w:i w:val="0"/>
                <w:iCs w:val="0"/>
                <w:color w:val="000000"/>
                <w:sz w:val="20"/>
                <w:szCs w:val="20"/>
                <w:u w:val="none"/>
              </w:rPr>
            </w:pPr>
          </w:p>
        </w:tc>
      </w:tr>
      <w:tr w14:paraId="51A860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586190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EF85D1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B1285E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17.补光灯有效照明距离≥5m；照明方式常亮；</w:t>
            </w:r>
          </w:p>
        </w:tc>
        <w:tc>
          <w:tcPr>
            <w:tcW w:w="282" w:type="pct"/>
            <w:vMerge w:val="continue"/>
            <w:tcBorders>
              <w:tl2br w:val="nil"/>
              <w:tr2bl w:val="nil"/>
            </w:tcBorders>
            <w:noWrap w:val="0"/>
            <w:vAlign w:val="center"/>
          </w:tcPr>
          <w:p w14:paraId="4FAAD358">
            <w:pPr>
              <w:jc w:val="center"/>
              <w:rPr>
                <w:rFonts w:hint="eastAsia" w:ascii="微软雅黑" w:hAnsi="微软雅黑" w:eastAsia="微软雅黑" w:cs="微软雅黑"/>
                <w:i w:val="0"/>
                <w:iCs w:val="0"/>
                <w:color w:val="000000"/>
                <w:sz w:val="20"/>
                <w:szCs w:val="20"/>
                <w:u w:val="none"/>
              </w:rPr>
            </w:pPr>
          </w:p>
        </w:tc>
      </w:tr>
      <w:tr w14:paraId="3042E7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F6FE3E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125A93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4A9E13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18.FPV摄像头分辨率不小于1080p；帧率≥30fps；</w:t>
            </w:r>
          </w:p>
        </w:tc>
        <w:tc>
          <w:tcPr>
            <w:tcW w:w="282" w:type="pct"/>
            <w:vMerge w:val="continue"/>
            <w:tcBorders>
              <w:tl2br w:val="nil"/>
              <w:tr2bl w:val="nil"/>
            </w:tcBorders>
            <w:noWrap w:val="0"/>
            <w:vAlign w:val="center"/>
          </w:tcPr>
          <w:p w14:paraId="1C58ADD9">
            <w:pPr>
              <w:jc w:val="center"/>
              <w:rPr>
                <w:rFonts w:hint="eastAsia" w:ascii="微软雅黑" w:hAnsi="微软雅黑" w:eastAsia="微软雅黑" w:cs="微软雅黑"/>
                <w:i w:val="0"/>
                <w:iCs w:val="0"/>
                <w:color w:val="000000"/>
                <w:sz w:val="20"/>
                <w:szCs w:val="20"/>
                <w:u w:val="none"/>
              </w:rPr>
            </w:pPr>
          </w:p>
        </w:tc>
      </w:tr>
      <w:tr w14:paraId="379599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03FADC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F14B4E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742C4B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19.飞行器至少具备自动返航功能，不少于三种返航方式，至少包含智能返航、智能低电量返航、失控返航；飞行器至少具备降落保护功能；</w:t>
            </w:r>
          </w:p>
        </w:tc>
        <w:tc>
          <w:tcPr>
            <w:tcW w:w="282" w:type="pct"/>
            <w:vMerge w:val="continue"/>
            <w:tcBorders>
              <w:tl2br w:val="nil"/>
              <w:tr2bl w:val="nil"/>
            </w:tcBorders>
            <w:noWrap w:val="0"/>
            <w:vAlign w:val="center"/>
          </w:tcPr>
          <w:p w14:paraId="2352B1BD">
            <w:pPr>
              <w:jc w:val="center"/>
              <w:rPr>
                <w:rFonts w:hint="eastAsia" w:ascii="微软雅黑" w:hAnsi="微软雅黑" w:eastAsia="微软雅黑" w:cs="微软雅黑"/>
                <w:i w:val="0"/>
                <w:iCs w:val="0"/>
                <w:color w:val="000000"/>
                <w:sz w:val="20"/>
                <w:szCs w:val="20"/>
                <w:u w:val="none"/>
              </w:rPr>
            </w:pPr>
          </w:p>
        </w:tc>
      </w:tr>
      <w:tr w14:paraId="793F15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4DDB46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0CE9D3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038843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20.飞行器至少具备飞行数据记录功能，所有飞行数据可存储于飞行器中，保持飞行器开启连接至电脑，通过相应软件可导出飞行数据；</w:t>
            </w:r>
          </w:p>
        </w:tc>
        <w:tc>
          <w:tcPr>
            <w:tcW w:w="282" w:type="pct"/>
            <w:vMerge w:val="continue"/>
            <w:tcBorders>
              <w:tl2br w:val="nil"/>
              <w:tr2bl w:val="nil"/>
            </w:tcBorders>
            <w:noWrap w:val="0"/>
            <w:vAlign w:val="center"/>
          </w:tcPr>
          <w:p w14:paraId="6EEFD9DD">
            <w:pPr>
              <w:jc w:val="center"/>
              <w:rPr>
                <w:rFonts w:hint="eastAsia" w:ascii="微软雅黑" w:hAnsi="微软雅黑" w:eastAsia="微软雅黑" w:cs="微软雅黑"/>
                <w:i w:val="0"/>
                <w:iCs w:val="0"/>
                <w:color w:val="000000"/>
                <w:sz w:val="20"/>
                <w:szCs w:val="20"/>
                <w:u w:val="none"/>
              </w:rPr>
            </w:pPr>
          </w:p>
        </w:tc>
      </w:tr>
      <w:tr w14:paraId="63B6A1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A9213F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8B6F74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6853A8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21.飞行器至少支持高级双控模式，适用于双人同时操控一台飞行器；</w:t>
            </w:r>
          </w:p>
        </w:tc>
        <w:tc>
          <w:tcPr>
            <w:tcW w:w="282" w:type="pct"/>
            <w:vMerge w:val="continue"/>
            <w:tcBorders>
              <w:tl2br w:val="nil"/>
              <w:tr2bl w:val="nil"/>
            </w:tcBorders>
            <w:noWrap w:val="0"/>
            <w:vAlign w:val="center"/>
          </w:tcPr>
          <w:p w14:paraId="50C6C68F">
            <w:pPr>
              <w:jc w:val="center"/>
              <w:rPr>
                <w:rFonts w:hint="eastAsia" w:ascii="微软雅黑" w:hAnsi="微软雅黑" w:eastAsia="微软雅黑" w:cs="微软雅黑"/>
                <w:i w:val="0"/>
                <w:iCs w:val="0"/>
                <w:color w:val="000000"/>
                <w:sz w:val="20"/>
                <w:szCs w:val="20"/>
                <w:u w:val="none"/>
              </w:rPr>
            </w:pPr>
          </w:p>
        </w:tc>
      </w:tr>
      <w:tr w14:paraId="14C1EE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851EF0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259823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F7A3EC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22.至少支持两路1080p图传；</w:t>
            </w:r>
          </w:p>
        </w:tc>
        <w:tc>
          <w:tcPr>
            <w:tcW w:w="282" w:type="pct"/>
            <w:vMerge w:val="continue"/>
            <w:tcBorders>
              <w:tl2br w:val="nil"/>
              <w:tr2bl w:val="nil"/>
            </w:tcBorders>
            <w:noWrap w:val="0"/>
            <w:vAlign w:val="center"/>
          </w:tcPr>
          <w:p w14:paraId="6375D67F">
            <w:pPr>
              <w:jc w:val="center"/>
              <w:rPr>
                <w:rFonts w:hint="eastAsia" w:ascii="微软雅黑" w:hAnsi="微软雅黑" w:eastAsia="微软雅黑" w:cs="微软雅黑"/>
                <w:i w:val="0"/>
                <w:iCs w:val="0"/>
                <w:color w:val="000000"/>
                <w:sz w:val="20"/>
                <w:szCs w:val="20"/>
                <w:u w:val="none"/>
              </w:rPr>
            </w:pPr>
          </w:p>
        </w:tc>
      </w:tr>
      <w:tr w14:paraId="3BDDBA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C00EBA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A72302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E3AE47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23.该飞行器配套软件APP，至少支持进行航线规划，自动作业功能。</w:t>
            </w:r>
          </w:p>
        </w:tc>
        <w:tc>
          <w:tcPr>
            <w:tcW w:w="282" w:type="pct"/>
            <w:vMerge w:val="continue"/>
            <w:tcBorders>
              <w:tl2br w:val="nil"/>
              <w:tr2bl w:val="nil"/>
            </w:tcBorders>
            <w:noWrap w:val="0"/>
            <w:vAlign w:val="center"/>
          </w:tcPr>
          <w:p w14:paraId="1ABEF90F">
            <w:pPr>
              <w:jc w:val="center"/>
              <w:rPr>
                <w:rFonts w:hint="eastAsia" w:ascii="微软雅黑" w:hAnsi="微软雅黑" w:eastAsia="微软雅黑" w:cs="微软雅黑"/>
                <w:i w:val="0"/>
                <w:iCs w:val="0"/>
                <w:color w:val="000000"/>
                <w:sz w:val="20"/>
                <w:szCs w:val="20"/>
                <w:u w:val="none"/>
              </w:rPr>
            </w:pPr>
          </w:p>
        </w:tc>
      </w:tr>
      <w:tr w14:paraId="6E1C40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34F2D3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16554D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C20618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24.具备飞行器健康管理系统：至少包含异常诊断，日志管理，保养指导等模块；</w:t>
            </w:r>
          </w:p>
        </w:tc>
        <w:tc>
          <w:tcPr>
            <w:tcW w:w="282" w:type="pct"/>
            <w:vMerge w:val="continue"/>
            <w:tcBorders>
              <w:tl2br w:val="nil"/>
              <w:tr2bl w:val="nil"/>
            </w:tcBorders>
            <w:noWrap w:val="0"/>
            <w:vAlign w:val="center"/>
          </w:tcPr>
          <w:p w14:paraId="2712338B">
            <w:pPr>
              <w:jc w:val="center"/>
              <w:rPr>
                <w:rFonts w:hint="eastAsia" w:ascii="微软雅黑" w:hAnsi="微软雅黑" w:eastAsia="微软雅黑" w:cs="微软雅黑"/>
                <w:i w:val="0"/>
                <w:iCs w:val="0"/>
                <w:color w:val="000000"/>
                <w:sz w:val="20"/>
                <w:szCs w:val="20"/>
                <w:u w:val="none"/>
              </w:rPr>
            </w:pPr>
          </w:p>
        </w:tc>
      </w:tr>
      <w:tr w14:paraId="2FB3E0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1656FC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0BCCB8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CE3575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25.具备地理围栏系统，可提供实时空域信息，还可提供飞行安全与飞行限制相关信息实现特殊区域飞行限制功能。</w:t>
            </w:r>
          </w:p>
        </w:tc>
        <w:tc>
          <w:tcPr>
            <w:tcW w:w="282" w:type="pct"/>
            <w:vMerge w:val="continue"/>
            <w:tcBorders>
              <w:tl2br w:val="nil"/>
              <w:tr2bl w:val="nil"/>
            </w:tcBorders>
            <w:noWrap w:val="0"/>
            <w:vAlign w:val="center"/>
          </w:tcPr>
          <w:p w14:paraId="7B8C879D">
            <w:pPr>
              <w:jc w:val="center"/>
              <w:rPr>
                <w:rFonts w:hint="eastAsia" w:ascii="微软雅黑" w:hAnsi="微软雅黑" w:eastAsia="微软雅黑" w:cs="微软雅黑"/>
                <w:i w:val="0"/>
                <w:iCs w:val="0"/>
                <w:color w:val="000000"/>
                <w:sz w:val="20"/>
                <w:szCs w:val="20"/>
                <w:u w:val="none"/>
              </w:rPr>
            </w:pPr>
          </w:p>
        </w:tc>
      </w:tr>
      <w:tr w14:paraId="5038C7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2D29D2A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457" w:type="pct"/>
            <w:vMerge w:val="restart"/>
            <w:tcBorders>
              <w:tl2br w:val="nil"/>
              <w:tr2bl w:val="nil"/>
            </w:tcBorders>
            <w:noWrap w:val="0"/>
            <w:vAlign w:val="center"/>
          </w:tcPr>
          <w:p w14:paraId="73FF414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三轴云台负载模块</w:t>
            </w:r>
          </w:p>
        </w:tc>
        <w:tc>
          <w:tcPr>
            <w:tcW w:w="4025" w:type="pct"/>
            <w:tcBorders>
              <w:tl2br w:val="nil"/>
              <w:tr2bl w:val="nil"/>
            </w:tcBorders>
            <w:noWrap w:val="0"/>
            <w:vAlign w:val="center"/>
          </w:tcPr>
          <w:p w14:paraId="10C11D2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1.防水等级≥IP54，人眼安全等级≥Class 1M；</w:t>
            </w:r>
          </w:p>
        </w:tc>
        <w:tc>
          <w:tcPr>
            <w:tcW w:w="282" w:type="pct"/>
            <w:vMerge w:val="restart"/>
            <w:tcBorders>
              <w:tl2br w:val="nil"/>
              <w:tr2bl w:val="nil"/>
            </w:tcBorders>
            <w:noWrap w:val="0"/>
            <w:vAlign w:val="center"/>
          </w:tcPr>
          <w:p w14:paraId="63C68C7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54AB9C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F53047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F1D611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C6AAC8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2.设备存储温度支持-20℃ 至 60℃；</w:t>
            </w:r>
          </w:p>
        </w:tc>
        <w:tc>
          <w:tcPr>
            <w:tcW w:w="282" w:type="pct"/>
            <w:vMerge w:val="continue"/>
            <w:tcBorders>
              <w:tl2br w:val="nil"/>
              <w:tr2bl w:val="nil"/>
            </w:tcBorders>
            <w:noWrap w:val="0"/>
            <w:vAlign w:val="center"/>
          </w:tcPr>
          <w:p w14:paraId="10855CE7">
            <w:pPr>
              <w:jc w:val="center"/>
              <w:rPr>
                <w:rFonts w:hint="eastAsia" w:ascii="微软雅黑" w:hAnsi="微软雅黑" w:eastAsia="微软雅黑" w:cs="微软雅黑"/>
                <w:i w:val="0"/>
                <w:iCs w:val="0"/>
                <w:color w:val="000000"/>
                <w:sz w:val="20"/>
                <w:szCs w:val="20"/>
                <w:u w:val="none"/>
              </w:rPr>
            </w:pPr>
          </w:p>
        </w:tc>
      </w:tr>
      <w:tr w14:paraId="3A96A6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1C201F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C443A0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A0743C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3.云台安装方式支持可拆装式；</w:t>
            </w:r>
          </w:p>
        </w:tc>
        <w:tc>
          <w:tcPr>
            <w:tcW w:w="282" w:type="pct"/>
            <w:vMerge w:val="continue"/>
            <w:tcBorders>
              <w:tl2br w:val="nil"/>
              <w:tr2bl w:val="nil"/>
            </w:tcBorders>
            <w:noWrap w:val="0"/>
            <w:vAlign w:val="center"/>
          </w:tcPr>
          <w:p w14:paraId="35E980CE">
            <w:pPr>
              <w:jc w:val="center"/>
              <w:rPr>
                <w:rFonts w:hint="eastAsia" w:ascii="微软雅黑" w:hAnsi="微软雅黑" w:eastAsia="微软雅黑" w:cs="微软雅黑"/>
                <w:i w:val="0"/>
                <w:iCs w:val="0"/>
                <w:color w:val="000000"/>
                <w:sz w:val="20"/>
                <w:szCs w:val="20"/>
                <w:u w:val="none"/>
              </w:rPr>
            </w:pPr>
          </w:p>
        </w:tc>
      </w:tr>
      <w:tr w14:paraId="33A089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AD5915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658EBC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1A814A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4.云台角度抖动量≤±0.002°；</w:t>
            </w:r>
          </w:p>
        </w:tc>
        <w:tc>
          <w:tcPr>
            <w:tcW w:w="282" w:type="pct"/>
            <w:vMerge w:val="continue"/>
            <w:tcBorders>
              <w:tl2br w:val="nil"/>
              <w:tr2bl w:val="nil"/>
            </w:tcBorders>
            <w:noWrap w:val="0"/>
            <w:vAlign w:val="center"/>
          </w:tcPr>
          <w:p w14:paraId="3745E69B">
            <w:pPr>
              <w:jc w:val="center"/>
              <w:rPr>
                <w:rFonts w:hint="eastAsia" w:ascii="微软雅黑" w:hAnsi="微软雅黑" w:eastAsia="微软雅黑" w:cs="微软雅黑"/>
                <w:i w:val="0"/>
                <w:iCs w:val="0"/>
                <w:color w:val="000000"/>
                <w:sz w:val="20"/>
                <w:szCs w:val="20"/>
                <w:u w:val="none"/>
              </w:rPr>
            </w:pPr>
          </w:p>
        </w:tc>
      </w:tr>
      <w:tr w14:paraId="065EB5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2D9F0A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1968F1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B7666F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5.变焦相机影像传感器1/1.8CMOS，有效像素不小于4000万；</w:t>
            </w:r>
          </w:p>
        </w:tc>
        <w:tc>
          <w:tcPr>
            <w:tcW w:w="282" w:type="pct"/>
            <w:vMerge w:val="continue"/>
            <w:tcBorders>
              <w:tl2br w:val="nil"/>
              <w:tr2bl w:val="nil"/>
            </w:tcBorders>
            <w:noWrap w:val="0"/>
            <w:vAlign w:val="center"/>
          </w:tcPr>
          <w:p w14:paraId="09156F0B">
            <w:pPr>
              <w:jc w:val="center"/>
              <w:rPr>
                <w:rFonts w:hint="eastAsia" w:ascii="微软雅黑" w:hAnsi="微软雅黑" w:eastAsia="微软雅黑" w:cs="微软雅黑"/>
                <w:i w:val="0"/>
                <w:iCs w:val="0"/>
                <w:color w:val="000000"/>
                <w:sz w:val="20"/>
                <w:szCs w:val="20"/>
                <w:u w:val="none"/>
              </w:rPr>
            </w:pPr>
          </w:p>
        </w:tc>
      </w:tr>
      <w:tr w14:paraId="134AC4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102540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FCD501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023F59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6.曝光方式不少于两种，且支持程序自动曝光以及手动曝光；</w:t>
            </w:r>
          </w:p>
        </w:tc>
        <w:tc>
          <w:tcPr>
            <w:tcW w:w="282" w:type="pct"/>
            <w:vMerge w:val="continue"/>
            <w:tcBorders>
              <w:tl2br w:val="nil"/>
              <w:tr2bl w:val="nil"/>
            </w:tcBorders>
            <w:noWrap w:val="0"/>
            <w:vAlign w:val="center"/>
          </w:tcPr>
          <w:p w14:paraId="23B8DE60">
            <w:pPr>
              <w:jc w:val="center"/>
              <w:rPr>
                <w:rFonts w:hint="eastAsia" w:ascii="微软雅黑" w:hAnsi="微软雅黑" w:eastAsia="微软雅黑" w:cs="微软雅黑"/>
                <w:i w:val="0"/>
                <w:iCs w:val="0"/>
                <w:color w:val="000000"/>
                <w:sz w:val="20"/>
                <w:szCs w:val="20"/>
                <w:u w:val="none"/>
              </w:rPr>
            </w:pPr>
          </w:p>
        </w:tc>
      </w:tr>
      <w:tr w14:paraId="1C5EFC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16E616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97686E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BF1F2B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7.至少支持点测光、平均测光两种测光模式，且至少支持测光锁定；</w:t>
            </w:r>
          </w:p>
        </w:tc>
        <w:tc>
          <w:tcPr>
            <w:tcW w:w="282" w:type="pct"/>
            <w:vMerge w:val="continue"/>
            <w:tcBorders>
              <w:tl2br w:val="nil"/>
              <w:tr2bl w:val="nil"/>
            </w:tcBorders>
            <w:noWrap w:val="0"/>
            <w:vAlign w:val="center"/>
          </w:tcPr>
          <w:p w14:paraId="224FE2A1">
            <w:pPr>
              <w:jc w:val="center"/>
              <w:rPr>
                <w:rFonts w:hint="eastAsia" w:ascii="微软雅黑" w:hAnsi="微软雅黑" w:eastAsia="微软雅黑" w:cs="微软雅黑"/>
                <w:i w:val="0"/>
                <w:iCs w:val="0"/>
                <w:color w:val="000000"/>
                <w:sz w:val="20"/>
                <w:szCs w:val="20"/>
                <w:u w:val="none"/>
              </w:rPr>
            </w:pPr>
          </w:p>
        </w:tc>
      </w:tr>
      <w:tr w14:paraId="21AF5B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85F563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EC77A4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A615DA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8.电子快门最快速度不小1/8000秒；</w:t>
            </w:r>
          </w:p>
        </w:tc>
        <w:tc>
          <w:tcPr>
            <w:tcW w:w="282" w:type="pct"/>
            <w:vMerge w:val="continue"/>
            <w:tcBorders>
              <w:tl2br w:val="nil"/>
              <w:tr2bl w:val="nil"/>
            </w:tcBorders>
            <w:noWrap w:val="0"/>
            <w:vAlign w:val="center"/>
          </w:tcPr>
          <w:p w14:paraId="444865F2">
            <w:pPr>
              <w:jc w:val="center"/>
              <w:rPr>
                <w:rFonts w:hint="eastAsia" w:ascii="微软雅黑" w:hAnsi="微软雅黑" w:eastAsia="微软雅黑" w:cs="微软雅黑"/>
                <w:i w:val="0"/>
                <w:iCs w:val="0"/>
                <w:color w:val="000000"/>
                <w:sz w:val="20"/>
                <w:szCs w:val="20"/>
                <w:u w:val="none"/>
              </w:rPr>
            </w:pPr>
          </w:p>
        </w:tc>
      </w:tr>
      <w:tr w14:paraId="530085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AF5F69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609E78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766748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9.照片拍摄ISO范围支持照片：100 ～25600；</w:t>
            </w:r>
          </w:p>
        </w:tc>
        <w:tc>
          <w:tcPr>
            <w:tcW w:w="282" w:type="pct"/>
            <w:vMerge w:val="continue"/>
            <w:tcBorders>
              <w:tl2br w:val="nil"/>
              <w:tr2bl w:val="nil"/>
            </w:tcBorders>
            <w:noWrap w:val="0"/>
            <w:vAlign w:val="center"/>
          </w:tcPr>
          <w:p w14:paraId="373A2C92">
            <w:pPr>
              <w:jc w:val="center"/>
              <w:rPr>
                <w:rFonts w:hint="eastAsia" w:ascii="微软雅黑" w:hAnsi="微软雅黑" w:eastAsia="微软雅黑" w:cs="微软雅黑"/>
                <w:i w:val="0"/>
                <w:iCs w:val="0"/>
                <w:color w:val="000000"/>
                <w:sz w:val="20"/>
                <w:szCs w:val="20"/>
                <w:u w:val="none"/>
              </w:rPr>
            </w:pPr>
          </w:p>
        </w:tc>
      </w:tr>
      <w:tr w14:paraId="4FF2AA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2B86FB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FF8068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40A243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10.视频分辨率不小于3840x2160 @30fps；</w:t>
            </w:r>
          </w:p>
        </w:tc>
        <w:tc>
          <w:tcPr>
            <w:tcW w:w="282" w:type="pct"/>
            <w:vMerge w:val="continue"/>
            <w:tcBorders>
              <w:tl2br w:val="nil"/>
              <w:tr2bl w:val="nil"/>
            </w:tcBorders>
            <w:noWrap w:val="0"/>
            <w:vAlign w:val="center"/>
          </w:tcPr>
          <w:p w14:paraId="4942E95B">
            <w:pPr>
              <w:jc w:val="center"/>
              <w:rPr>
                <w:rFonts w:hint="eastAsia" w:ascii="微软雅黑" w:hAnsi="微软雅黑" w:eastAsia="微软雅黑" w:cs="微软雅黑"/>
                <w:i w:val="0"/>
                <w:iCs w:val="0"/>
                <w:color w:val="000000"/>
                <w:sz w:val="20"/>
                <w:szCs w:val="20"/>
                <w:u w:val="none"/>
              </w:rPr>
            </w:pPr>
          </w:p>
        </w:tc>
      </w:tr>
      <w:tr w14:paraId="550B09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96CFD7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EF8F08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C69BB4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11.至少支持MP4视频拍摄格式和支持JPEG照片拍摄格式；</w:t>
            </w:r>
          </w:p>
        </w:tc>
        <w:tc>
          <w:tcPr>
            <w:tcW w:w="282" w:type="pct"/>
            <w:vMerge w:val="continue"/>
            <w:tcBorders>
              <w:tl2br w:val="nil"/>
              <w:tr2bl w:val="nil"/>
            </w:tcBorders>
            <w:noWrap w:val="0"/>
            <w:vAlign w:val="center"/>
          </w:tcPr>
          <w:p w14:paraId="211C6F39">
            <w:pPr>
              <w:jc w:val="center"/>
              <w:rPr>
                <w:rFonts w:hint="eastAsia" w:ascii="微软雅黑" w:hAnsi="微软雅黑" w:eastAsia="微软雅黑" w:cs="微软雅黑"/>
                <w:i w:val="0"/>
                <w:iCs w:val="0"/>
                <w:color w:val="000000"/>
                <w:sz w:val="20"/>
                <w:szCs w:val="20"/>
                <w:u w:val="none"/>
              </w:rPr>
            </w:pPr>
          </w:p>
        </w:tc>
      </w:tr>
      <w:tr w14:paraId="540EB8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6768DC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BFE396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80CB69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12.广角相机有效像素不少于4800万；</w:t>
            </w:r>
          </w:p>
        </w:tc>
        <w:tc>
          <w:tcPr>
            <w:tcW w:w="282" w:type="pct"/>
            <w:vMerge w:val="continue"/>
            <w:tcBorders>
              <w:tl2br w:val="nil"/>
              <w:tr2bl w:val="nil"/>
            </w:tcBorders>
            <w:noWrap w:val="0"/>
            <w:vAlign w:val="center"/>
          </w:tcPr>
          <w:p w14:paraId="1E197478">
            <w:pPr>
              <w:jc w:val="center"/>
              <w:rPr>
                <w:rFonts w:hint="eastAsia" w:ascii="微软雅黑" w:hAnsi="微软雅黑" w:eastAsia="微软雅黑" w:cs="微软雅黑"/>
                <w:i w:val="0"/>
                <w:iCs w:val="0"/>
                <w:color w:val="000000"/>
                <w:sz w:val="20"/>
                <w:szCs w:val="20"/>
                <w:u w:val="none"/>
              </w:rPr>
            </w:pPr>
          </w:p>
        </w:tc>
      </w:tr>
      <w:tr w14:paraId="3002A2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895976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FB3B3B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8DBF85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13.广角相机视频拍摄分辨率不小于3840 × 2160@30fps；</w:t>
            </w:r>
          </w:p>
        </w:tc>
        <w:tc>
          <w:tcPr>
            <w:tcW w:w="282" w:type="pct"/>
            <w:vMerge w:val="continue"/>
            <w:tcBorders>
              <w:tl2br w:val="nil"/>
              <w:tr2bl w:val="nil"/>
            </w:tcBorders>
            <w:noWrap w:val="0"/>
            <w:vAlign w:val="center"/>
          </w:tcPr>
          <w:p w14:paraId="6440ACFB">
            <w:pPr>
              <w:jc w:val="center"/>
              <w:rPr>
                <w:rFonts w:hint="eastAsia" w:ascii="微软雅黑" w:hAnsi="微软雅黑" w:eastAsia="微软雅黑" w:cs="微软雅黑"/>
                <w:i w:val="0"/>
                <w:iCs w:val="0"/>
                <w:color w:val="000000"/>
                <w:sz w:val="20"/>
                <w:szCs w:val="20"/>
                <w:u w:val="none"/>
              </w:rPr>
            </w:pPr>
          </w:p>
        </w:tc>
      </w:tr>
      <w:tr w14:paraId="767CB8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C2E87D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A45469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4C57CD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14.热成像相机传感器类型为非制冷氧化钒（VOx）微测热辐射计；</w:t>
            </w:r>
          </w:p>
        </w:tc>
        <w:tc>
          <w:tcPr>
            <w:tcW w:w="282" w:type="pct"/>
            <w:vMerge w:val="continue"/>
            <w:tcBorders>
              <w:tl2br w:val="nil"/>
              <w:tr2bl w:val="nil"/>
            </w:tcBorders>
            <w:noWrap w:val="0"/>
            <w:vAlign w:val="center"/>
          </w:tcPr>
          <w:p w14:paraId="184B1F30">
            <w:pPr>
              <w:jc w:val="center"/>
              <w:rPr>
                <w:rFonts w:hint="eastAsia" w:ascii="微软雅黑" w:hAnsi="微软雅黑" w:eastAsia="微软雅黑" w:cs="微软雅黑"/>
                <w:i w:val="0"/>
                <w:iCs w:val="0"/>
                <w:color w:val="000000"/>
                <w:sz w:val="20"/>
                <w:szCs w:val="20"/>
                <w:u w:val="none"/>
              </w:rPr>
            </w:pPr>
          </w:p>
        </w:tc>
      </w:tr>
      <w:tr w14:paraId="786B66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6B66F1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078805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EF6CCA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15.至少支持32倍数字变焦；</w:t>
            </w:r>
          </w:p>
        </w:tc>
        <w:tc>
          <w:tcPr>
            <w:tcW w:w="282" w:type="pct"/>
            <w:vMerge w:val="continue"/>
            <w:tcBorders>
              <w:tl2br w:val="nil"/>
              <w:tr2bl w:val="nil"/>
            </w:tcBorders>
            <w:noWrap w:val="0"/>
            <w:vAlign w:val="center"/>
          </w:tcPr>
          <w:p w14:paraId="32BBD84B">
            <w:pPr>
              <w:jc w:val="center"/>
              <w:rPr>
                <w:rFonts w:hint="eastAsia" w:ascii="微软雅黑" w:hAnsi="微软雅黑" w:eastAsia="微软雅黑" w:cs="微软雅黑"/>
                <w:i w:val="0"/>
                <w:iCs w:val="0"/>
                <w:color w:val="000000"/>
                <w:sz w:val="20"/>
                <w:szCs w:val="20"/>
                <w:u w:val="none"/>
              </w:rPr>
            </w:pPr>
          </w:p>
        </w:tc>
      </w:tr>
      <w:tr w14:paraId="616F5A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1F404A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6686F9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101C1F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16.热成像相机视频拍摄分辨率不小于1280 × 1024@30fps；</w:t>
            </w:r>
          </w:p>
        </w:tc>
        <w:tc>
          <w:tcPr>
            <w:tcW w:w="282" w:type="pct"/>
            <w:vMerge w:val="continue"/>
            <w:tcBorders>
              <w:tl2br w:val="nil"/>
              <w:tr2bl w:val="nil"/>
            </w:tcBorders>
            <w:noWrap w:val="0"/>
            <w:vAlign w:val="center"/>
          </w:tcPr>
          <w:p w14:paraId="3A6E45A5">
            <w:pPr>
              <w:jc w:val="center"/>
              <w:rPr>
                <w:rFonts w:hint="eastAsia" w:ascii="微软雅黑" w:hAnsi="微软雅黑" w:eastAsia="微软雅黑" w:cs="微软雅黑"/>
                <w:i w:val="0"/>
                <w:iCs w:val="0"/>
                <w:color w:val="000000"/>
                <w:sz w:val="20"/>
                <w:szCs w:val="20"/>
                <w:u w:val="none"/>
              </w:rPr>
            </w:pPr>
          </w:p>
        </w:tc>
      </w:tr>
      <w:tr w14:paraId="423CF7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22AC4F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C63EB9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285CDD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17.测温方式至少支持点测温、区域测温、中心点测温；</w:t>
            </w:r>
          </w:p>
        </w:tc>
        <w:tc>
          <w:tcPr>
            <w:tcW w:w="282" w:type="pct"/>
            <w:vMerge w:val="continue"/>
            <w:tcBorders>
              <w:tl2br w:val="nil"/>
              <w:tr2bl w:val="nil"/>
            </w:tcBorders>
            <w:noWrap w:val="0"/>
            <w:vAlign w:val="center"/>
          </w:tcPr>
          <w:p w14:paraId="50B0A472">
            <w:pPr>
              <w:jc w:val="center"/>
              <w:rPr>
                <w:rFonts w:hint="eastAsia" w:ascii="微软雅黑" w:hAnsi="微软雅黑" w:eastAsia="微软雅黑" w:cs="微软雅黑"/>
                <w:i w:val="0"/>
                <w:iCs w:val="0"/>
                <w:color w:val="000000"/>
                <w:sz w:val="20"/>
                <w:szCs w:val="20"/>
                <w:u w:val="none"/>
              </w:rPr>
            </w:pPr>
          </w:p>
        </w:tc>
      </w:tr>
      <w:tr w14:paraId="2E1043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F14003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D8172A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CE5DF4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18.至少支持高温警报功能；</w:t>
            </w:r>
          </w:p>
        </w:tc>
        <w:tc>
          <w:tcPr>
            <w:tcW w:w="282" w:type="pct"/>
            <w:vMerge w:val="continue"/>
            <w:tcBorders>
              <w:tl2br w:val="nil"/>
              <w:tr2bl w:val="nil"/>
            </w:tcBorders>
            <w:noWrap w:val="0"/>
            <w:vAlign w:val="center"/>
          </w:tcPr>
          <w:p w14:paraId="49046718">
            <w:pPr>
              <w:jc w:val="center"/>
              <w:rPr>
                <w:rFonts w:hint="eastAsia" w:ascii="微软雅黑" w:hAnsi="微软雅黑" w:eastAsia="微软雅黑" w:cs="微软雅黑"/>
                <w:i w:val="0"/>
                <w:iCs w:val="0"/>
                <w:color w:val="000000"/>
                <w:sz w:val="20"/>
                <w:szCs w:val="20"/>
                <w:u w:val="none"/>
              </w:rPr>
            </w:pPr>
          </w:p>
        </w:tc>
      </w:tr>
      <w:tr w14:paraId="14BD03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D39C65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34A052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DD923C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19.激光测距仪波长不小于905 nm；</w:t>
            </w:r>
          </w:p>
        </w:tc>
        <w:tc>
          <w:tcPr>
            <w:tcW w:w="282" w:type="pct"/>
            <w:vMerge w:val="continue"/>
            <w:tcBorders>
              <w:tl2br w:val="nil"/>
              <w:tr2bl w:val="nil"/>
            </w:tcBorders>
            <w:noWrap w:val="0"/>
            <w:vAlign w:val="center"/>
          </w:tcPr>
          <w:p w14:paraId="43700930">
            <w:pPr>
              <w:jc w:val="center"/>
              <w:rPr>
                <w:rFonts w:hint="eastAsia" w:ascii="微软雅黑" w:hAnsi="微软雅黑" w:eastAsia="微软雅黑" w:cs="微软雅黑"/>
                <w:i w:val="0"/>
                <w:iCs w:val="0"/>
                <w:color w:val="000000"/>
                <w:sz w:val="20"/>
                <w:szCs w:val="20"/>
                <w:u w:val="none"/>
              </w:rPr>
            </w:pPr>
          </w:p>
        </w:tc>
      </w:tr>
      <w:tr w14:paraId="560F83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C825A2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81932F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C4A6E6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20.激光测距仪测量范围不小于3000 m；</w:t>
            </w:r>
          </w:p>
        </w:tc>
        <w:tc>
          <w:tcPr>
            <w:tcW w:w="282" w:type="pct"/>
            <w:vMerge w:val="continue"/>
            <w:tcBorders>
              <w:tl2br w:val="nil"/>
              <w:tr2bl w:val="nil"/>
            </w:tcBorders>
            <w:noWrap w:val="0"/>
            <w:vAlign w:val="center"/>
          </w:tcPr>
          <w:p w14:paraId="2456CFDC">
            <w:pPr>
              <w:jc w:val="center"/>
              <w:rPr>
                <w:rFonts w:hint="eastAsia" w:ascii="微软雅黑" w:hAnsi="微软雅黑" w:eastAsia="微软雅黑" w:cs="微软雅黑"/>
                <w:i w:val="0"/>
                <w:iCs w:val="0"/>
                <w:color w:val="000000"/>
                <w:sz w:val="20"/>
                <w:szCs w:val="20"/>
                <w:u w:val="none"/>
              </w:rPr>
            </w:pPr>
          </w:p>
        </w:tc>
      </w:tr>
      <w:tr w14:paraId="065ABD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8B578D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7641D3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AE6F67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21.近红外补光灯波长不小于850 nm；</w:t>
            </w:r>
          </w:p>
        </w:tc>
        <w:tc>
          <w:tcPr>
            <w:tcW w:w="282" w:type="pct"/>
            <w:vMerge w:val="continue"/>
            <w:tcBorders>
              <w:tl2br w:val="nil"/>
              <w:tr2bl w:val="nil"/>
            </w:tcBorders>
            <w:noWrap w:val="0"/>
            <w:vAlign w:val="center"/>
          </w:tcPr>
          <w:p w14:paraId="4D327AA5">
            <w:pPr>
              <w:jc w:val="center"/>
              <w:rPr>
                <w:rFonts w:hint="eastAsia" w:ascii="微软雅黑" w:hAnsi="微软雅黑" w:eastAsia="微软雅黑" w:cs="微软雅黑"/>
                <w:i w:val="0"/>
                <w:iCs w:val="0"/>
                <w:color w:val="000000"/>
                <w:sz w:val="20"/>
                <w:szCs w:val="20"/>
                <w:u w:val="none"/>
              </w:rPr>
            </w:pPr>
          </w:p>
        </w:tc>
      </w:tr>
      <w:tr w14:paraId="4DCCBD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CE4A35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E11F60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B15B4C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22.补光区域大小：100 米处：直径≥8 m；</w:t>
            </w:r>
          </w:p>
        </w:tc>
        <w:tc>
          <w:tcPr>
            <w:tcW w:w="282" w:type="pct"/>
            <w:vMerge w:val="continue"/>
            <w:tcBorders>
              <w:tl2br w:val="nil"/>
              <w:tr2bl w:val="nil"/>
            </w:tcBorders>
            <w:noWrap w:val="0"/>
            <w:vAlign w:val="center"/>
          </w:tcPr>
          <w:p w14:paraId="2F602E29">
            <w:pPr>
              <w:jc w:val="center"/>
              <w:rPr>
                <w:rFonts w:hint="eastAsia" w:ascii="微软雅黑" w:hAnsi="微软雅黑" w:eastAsia="微软雅黑" w:cs="微软雅黑"/>
                <w:i w:val="0"/>
                <w:iCs w:val="0"/>
                <w:color w:val="000000"/>
                <w:sz w:val="20"/>
                <w:szCs w:val="20"/>
                <w:u w:val="none"/>
              </w:rPr>
            </w:pPr>
          </w:p>
        </w:tc>
      </w:tr>
      <w:tr w14:paraId="6A53CB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718EDC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AD03B5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2AD98A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23.相机混合光学变焦倍数不少于34倍</w:t>
            </w:r>
          </w:p>
        </w:tc>
        <w:tc>
          <w:tcPr>
            <w:tcW w:w="282" w:type="pct"/>
            <w:vMerge w:val="continue"/>
            <w:tcBorders>
              <w:tl2br w:val="nil"/>
              <w:tr2bl w:val="nil"/>
            </w:tcBorders>
            <w:noWrap w:val="0"/>
            <w:vAlign w:val="center"/>
          </w:tcPr>
          <w:p w14:paraId="6CC86DEF">
            <w:pPr>
              <w:jc w:val="center"/>
              <w:rPr>
                <w:rFonts w:hint="eastAsia" w:ascii="微软雅黑" w:hAnsi="微软雅黑" w:eastAsia="微软雅黑" w:cs="微软雅黑"/>
                <w:i w:val="0"/>
                <w:iCs w:val="0"/>
                <w:color w:val="000000"/>
                <w:sz w:val="20"/>
                <w:szCs w:val="20"/>
                <w:u w:val="none"/>
              </w:rPr>
            </w:pPr>
          </w:p>
        </w:tc>
      </w:tr>
      <w:tr w14:paraId="25656C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F39074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645FFC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672A7A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24.最大变焦倍数不小于400倍；</w:t>
            </w:r>
          </w:p>
        </w:tc>
        <w:tc>
          <w:tcPr>
            <w:tcW w:w="282" w:type="pct"/>
            <w:vMerge w:val="continue"/>
            <w:tcBorders>
              <w:tl2br w:val="nil"/>
              <w:tr2bl w:val="nil"/>
            </w:tcBorders>
            <w:noWrap w:val="0"/>
            <w:vAlign w:val="center"/>
          </w:tcPr>
          <w:p w14:paraId="0657B2E5">
            <w:pPr>
              <w:jc w:val="center"/>
              <w:rPr>
                <w:rFonts w:hint="eastAsia" w:ascii="微软雅黑" w:hAnsi="微软雅黑" w:eastAsia="微软雅黑" w:cs="微软雅黑"/>
                <w:i w:val="0"/>
                <w:iCs w:val="0"/>
                <w:color w:val="000000"/>
                <w:sz w:val="20"/>
                <w:szCs w:val="20"/>
                <w:u w:val="none"/>
              </w:rPr>
            </w:pPr>
          </w:p>
        </w:tc>
      </w:tr>
      <w:tr w14:paraId="431B70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50FDBE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20CF78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E99DCB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25.至少支持指点对准、超清矩阵拍照、夜景模式、时间戳水印、智能拍照、视频预录制、红外超分等功能。</w:t>
            </w:r>
          </w:p>
        </w:tc>
        <w:tc>
          <w:tcPr>
            <w:tcW w:w="282" w:type="pct"/>
            <w:vMerge w:val="continue"/>
            <w:tcBorders>
              <w:tl2br w:val="nil"/>
              <w:tr2bl w:val="nil"/>
            </w:tcBorders>
            <w:noWrap w:val="0"/>
            <w:vAlign w:val="center"/>
          </w:tcPr>
          <w:p w14:paraId="1171EF4D">
            <w:pPr>
              <w:jc w:val="center"/>
              <w:rPr>
                <w:rFonts w:hint="eastAsia" w:ascii="微软雅黑" w:hAnsi="微软雅黑" w:eastAsia="微软雅黑" w:cs="微软雅黑"/>
                <w:i w:val="0"/>
                <w:iCs w:val="0"/>
                <w:color w:val="000000"/>
                <w:sz w:val="20"/>
                <w:szCs w:val="20"/>
                <w:u w:val="none"/>
              </w:rPr>
            </w:pPr>
          </w:p>
        </w:tc>
      </w:tr>
      <w:tr w14:paraId="03981E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5045489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457" w:type="pct"/>
            <w:vMerge w:val="restart"/>
            <w:tcBorders>
              <w:tl2br w:val="nil"/>
              <w:tr2bl w:val="nil"/>
            </w:tcBorders>
            <w:noWrap w:val="0"/>
            <w:vAlign w:val="center"/>
          </w:tcPr>
          <w:p w14:paraId="58149EE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机载计算机模块</w:t>
            </w:r>
          </w:p>
        </w:tc>
        <w:tc>
          <w:tcPr>
            <w:tcW w:w="4025" w:type="pct"/>
            <w:tcBorders>
              <w:tl2br w:val="nil"/>
              <w:tr2bl w:val="nil"/>
            </w:tcBorders>
            <w:noWrap w:val="0"/>
            <w:vAlign w:val="center"/>
          </w:tcPr>
          <w:p w14:paraId="04DBD54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机载计算机模块</w:t>
            </w:r>
          </w:p>
        </w:tc>
        <w:tc>
          <w:tcPr>
            <w:tcW w:w="282" w:type="pct"/>
            <w:vMerge w:val="restart"/>
            <w:tcBorders>
              <w:tl2br w:val="nil"/>
              <w:tr2bl w:val="nil"/>
            </w:tcBorders>
            <w:noWrap w:val="0"/>
            <w:vAlign w:val="center"/>
          </w:tcPr>
          <w:p w14:paraId="38CA443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4D0954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F61A15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99B4E2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F01B44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1.重量：≤400g；</w:t>
            </w:r>
          </w:p>
        </w:tc>
        <w:tc>
          <w:tcPr>
            <w:tcW w:w="282" w:type="pct"/>
            <w:vMerge w:val="continue"/>
            <w:tcBorders>
              <w:tl2br w:val="nil"/>
              <w:tr2bl w:val="nil"/>
            </w:tcBorders>
            <w:noWrap w:val="0"/>
            <w:vAlign w:val="center"/>
          </w:tcPr>
          <w:p w14:paraId="1F8FE38C">
            <w:pPr>
              <w:jc w:val="center"/>
              <w:rPr>
                <w:rFonts w:hint="eastAsia" w:ascii="微软雅黑" w:hAnsi="微软雅黑" w:eastAsia="微软雅黑" w:cs="微软雅黑"/>
                <w:i w:val="0"/>
                <w:iCs w:val="0"/>
                <w:color w:val="000000"/>
                <w:sz w:val="20"/>
                <w:szCs w:val="20"/>
                <w:u w:val="none"/>
              </w:rPr>
            </w:pPr>
          </w:p>
        </w:tc>
      </w:tr>
      <w:tr w14:paraId="0FA7ED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178C15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414C2C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9AF8E7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2.AI性能：≥21TOPS；</w:t>
            </w:r>
          </w:p>
        </w:tc>
        <w:tc>
          <w:tcPr>
            <w:tcW w:w="282" w:type="pct"/>
            <w:vMerge w:val="continue"/>
            <w:tcBorders>
              <w:tl2br w:val="nil"/>
              <w:tr2bl w:val="nil"/>
            </w:tcBorders>
            <w:noWrap w:val="0"/>
            <w:vAlign w:val="center"/>
          </w:tcPr>
          <w:p w14:paraId="0E1E60AD">
            <w:pPr>
              <w:jc w:val="center"/>
              <w:rPr>
                <w:rFonts w:hint="eastAsia" w:ascii="微软雅黑" w:hAnsi="微软雅黑" w:eastAsia="微软雅黑" w:cs="微软雅黑"/>
                <w:i w:val="0"/>
                <w:iCs w:val="0"/>
                <w:color w:val="000000"/>
                <w:sz w:val="20"/>
                <w:szCs w:val="20"/>
                <w:u w:val="none"/>
              </w:rPr>
            </w:pPr>
          </w:p>
        </w:tc>
      </w:tr>
      <w:tr w14:paraId="7CF1A9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1CBC7E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786928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0677AA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3.最大抗风等级：≥6级；</w:t>
            </w:r>
          </w:p>
        </w:tc>
        <w:tc>
          <w:tcPr>
            <w:tcW w:w="282" w:type="pct"/>
            <w:vMerge w:val="continue"/>
            <w:tcBorders>
              <w:tl2br w:val="nil"/>
              <w:tr2bl w:val="nil"/>
            </w:tcBorders>
            <w:noWrap w:val="0"/>
            <w:vAlign w:val="center"/>
          </w:tcPr>
          <w:p w14:paraId="2D9F9353">
            <w:pPr>
              <w:jc w:val="center"/>
              <w:rPr>
                <w:rFonts w:hint="eastAsia" w:ascii="微软雅黑" w:hAnsi="微软雅黑" w:eastAsia="微软雅黑" w:cs="微软雅黑"/>
                <w:i w:val="0"/>
                <w:iCs w:val="0"/>
                <w:color w:val="000000"/>
                <w:sz w:val="20"/>
                <w:szCs w:val="20"/>
                <w:u w:val="none"/>
              </w:rPr>
            </w:pPr>
          </w:p>
        </w:tc>
      </w:tr>
      <w:tr w14:paraId="050FE7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C5D245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7A32C4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B6EC78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4.内存：≥8GB 128位 LPDDR4；</w:t>
            </w:r>
          </w:p>
        </w:tc>
        <w:tc>
          <w:tcPr>
            <w:tcW w:w="282" w:type="pct"/>
            <w:vMerge w:val="continue"/>
            <w:tcBorders>
              <w:tl2br w:val="nil"/>
              <w:tr2bl w:val="nil"/>
            </w:tcBorders>
            <w:noWrap w:val="0"/>
            <w:vAlign w:val="center"/>
          </w:tcPr>
          <w:p w14:paraId="1CF2AB7B">
            <w:pPr>
              <w:jc w:val="center"/>
              <w:rPr>
                <w:rFonts w:hint="eastAsia" w:ascii="微软雅黑" w:hAnsi="微软雅黑" w:eastAsia="微软雅黑" w:cs="微软雅黑"/>
                <w:i w:val="0"/>
                <w:iCs w:val="0"/>
                <w:color w:val="000000"/>
                <w:sz w:val="20"/>
                <w:szCs w:val="20"/>
                <w:u w:val="none"/>
              </w:rPr>
            </w:pPr>
          </w:p>
        </w:tc>
      </w:tr>
      <w:tr w14:paraId="276BB7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D12C17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E387BD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16CEBF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5.功率：5-25W之间；</w:t>
            </w:r>
          </w:p>
        </w:tc>
        <w:tc>
          <w:tcPr>
            <w:tcW w:w="282" w:type="pct"/>
            <w:vMerge w:val="continue"/>
            <w:tcBorders>
              <w:tl2br w:val="nil"/>
              <w:tr2bl w:val="nil"/>
            </w:tcBorders>
            <w:noWrap w:val="0"/>
            <w:vAlign w:val="center"/>
          </w:tcPr>
          <w:p w14:paraId="52D1EED4">
            <w:pPr>
              <w:jc w:val="center"/>
              <w:rPr>
                <w:rFonts w:hint="eastAsia" w:ascii="微软雅黑" w:hAnsi="微软雅黑" w:eastAsia="微软雅黑" w:cs="微软雅黑"/>
                <w:i w:val="0"/>
                <w:iCs w:val="0"/>
                <w:color w:val="000000"/>
                <w:sz w:val="20"/>
                <w:szCs w:val="20"/>
                <w:u w:val="none"/>
              </w:rPr>
            </w:pPr>
          </w:p>
        </w:tc>
      </w:tr>
      <w:tr w14:paraId="1D637C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6C58135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20D621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C2F2FA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6.机载计算机预安装Icrest2SDK1.0；Jetpack4.5.1； Ubuntu18.04；CUDA10.2；OpenCV4.1；ROS；CMake；Git；Htop Terminator；Eigen；Ceres等基础SDK开发软件；（供应商提供预安装软件截图）</w:t>
            </w:r>
          </w:p>
        </w:tc>
        <w:tc>
          <w:tcPr>
            <w:tcW w:w="282" w:type="pct"/>
            <w:vMerge w:val="continue"/>
            <w:tcBorders>
              <w:tl2br w:val="nil"/>
              <w:tr2bl w:val="nil"/>
            </w:tcBorders>
            <w:noWrap w:val="0"/>
            <w:vAlign w:val="center"/>
          </w:tcPr>
          <w:p w14:paraId="1F011854">
            <w:pPr>
              <w:jc w:val="center"/>
              <w:rPr>
                <w:rFonts w:hint="eastAsia" w:ascii="微软雅黑" w:hAnsi="微软雅黑" w:eastAsia="微软雅黑" w:cs="微软雅黑"/>
                <w:i w:val="0"/>
                <w:iCs w:val="0"/>
                <w:color w:val="000000"/>
                <w:sz w:val="20"/>
                <w:szCs w:val="20"/>
                <w:u w:val="none"/>
              </w:rPr>
            </w:pPr>
          </w:p>
        </w:tc>
      </w:tr>
      <w:tr w14:paraId="15691B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2A6907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0236FE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B1F6D0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r>
              <w:rPr>
                <w:rFonts w:hint="eastAsia" w:ascii="微软雅黑" w:hAnsi="微软雅黑" w:eastAsia="微软雅黑" w:cs="微软雅黑"/>
                <w:i w:val="0"/>
                <w:iCs w:val="0"/>
                <w:color w:val="000000"/>
                <w:kern w:val="0"/>
                <w:sz w:val="20"/>
                <w:szCs w:val="20"/>
                <w:highlight w:val="yellow"/>
                <w:u w:val="none"/>
                <w:lang w:val="en-US" w:eastAsia="zh-CN" w:bidi="ar"/>
              </w:rPr>
              <w:t>.I/O接口：USB2.0及以上不少于两个，UART接口不少于一个，HDMI接口不少于一个；</w:t>
            </w:r>
          </w:p>
        </w:tc>
        <w:tc>
          <w:tcPr>
            <w:tcW w:w="282" w:type="pct"/>
            <w:vMerge w:val="continue"/>
            <w:tcBorders>
              <w:tl2br w:val="nil"/>
              <w:tr2bl w:val="nil"/>
            </w:tcBorders>
            <w:noWrap w:val="0"/>
            <w:vAlign w:val="center"/>
          </w:tcPr>
          <w:p w14:paraId="16D0A279">
            <w:pPr>
              <w:jc w:val="center"/>
              <w:rPr>
                <w:rFonts w:hint="eastAsia" w:ascii="微软雅黑" w:hAnsi="微软雅黑" w:eastAsia="微软雅黑" w:cs="微软雅黑"/>
                <w:i w:val="0"/>
                <w:iCs w:val="0"/>
                <w:color w:val="000000"/>
                <w:sz w:val="20"/>
                <w:szCs w:val="20"/>
                <w:u w:val="none"/>
              </w:rPr>
            </w:pPr>
          </w:p>
        </w:tc>
      </w:tr>
      <w:tr w14:paraId="5F64CC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1EE268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2DF22B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5A3D7C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8.防护等级：IP45；</w:t>
            </w:r>
          </w:p>
        </w:tc>
        <w:tc>
          <w:tcPr>
            <w:tcW w:w="282" w:type="pct"/>
            <w:vMerge w:val="continue"/>
            <w:tcBorders>
              <w:tl2br w:val="nil"/>
              <w:tr2bl w:val="nil"/>
            </w:tcBorders>
            <w:noWrap w:val="0"/>
            <w:vAlign w:val="center"/>
          </w:tcPr>
          <w:p w14:paraId="16E0BC23">
            <w:pPr>
              <w:jc w:val="center"/>
              <w:rPr>
                <w:rFonts w:hint="eastAsia" w:ascii="微软雅黑" w:hAnsi="微软雅黑" w:eastAsia="微软雅黑" w:cs="微软雅黑"/>
                <w:i w:val="0"/>
                <w:iCs w:val="0"/>
                <w:color w:val="000000"/>
                <w:sz w:val="20"/>
                <w:szCs w:val="20"/>
                <w:u w:val="none"/>
              </w:rPr>
            </w:pPr>
          </w:p>
        </w:tc>
      </w:tr>
      <w:tr w14:paraId="7F25A6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EA00F6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100F7A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E3C0EC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▲9.机载计算机模块能够搭载在工业级典型场景应用平台上使用；（供应商提供搭载连接后的安装截图及连通功能截图）</w:t>
            </w:r>
          </w:p>
        </w:tc>
        <w:tc>
          <w:tcPr>
            <w:tcW w:w="282" w:type="pct"/>
            <w:vMerge w:val="continue"/>
            <w:tcBorders>
              <w:tl2br w:val="nil"/>
              <w:tr2bl w:val="nil"/>
            </w:tcBorders>
            <w:noWrap w:val="0"/>
            <w:vAlign w:val="center"/>
          </w:tcPr>
          <w:p w14:paraId="48B8E141">
            <w:pPr>
              <w:jc w:val="center"/>
              <w:rPr>
                <w:rFonts w:hint="eastAsia" w:ascii="微软雅黑" w:hAnsi="微软雅黑" w:eastAsia="微软雅黑" w:cs="微软雅黑"/>
                <w:i w:val="0"/>
                <w:iCs w:val="0"/>
                <w:color w:val="000000"/>
                <w:sz w:val="20"/>
                <w:szCs w:val="20"/>
                <w:u w:val="none"/>
              </w:rPr>
            </w:pPr>
          </w:p>
        </w:tc>
      </w:tr>
      <w:tr w14:paraId="3D9932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8EDFE4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0F1E5E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6408B3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▲10.通过机载计算机模块完成AI模型训练，具备较高识别准确性，训练完成后能够生成pt和onnx等格式模型文件；（供应商提供模型文件截图证明）</w:t>
            </w:r>
          </w:p>
        </w:tc>
        <w:tc>
          <w:tcPr>
            <w:tcW w:w="282" w:type="pct"/>
            <w:vMerge w:val="continue"/>
            <w:tcBorders>
              <w:tl2br w:val="nil"/>
              <w:tr2bl w:val="nil"/>
            </w:tcBorders>
            <w:noWrap w:val="0"/>
            <w:vAlign w:val="center"/>
          </w:tcPr>
          <w:p w14:paraId="6ABAAB37">
            <w:pPr>
              <w:jc w:val="center"/>
              <w:rPr>
                <w:rFonts w:hint="eastAsia" w:ascii="微软雅黑" w:hAnsi="微软雅黑" w:eastAsia="微软雅黑" w:cs="微软雅黑"/>
                <w:i w:val="0"/>
                <w:iCs w:val="0"/>
                <w:color w:val="000000"/>
                <w:sz w:val="20"/>
                <w:szCs w:val="20"/>
                <w:u w:val="none"/>
              </w:rPr>
            </w:pPr>
          </w:p>
        </w:tc>
      </w:tr>
      <w:tr w14:paraId="00620A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DC18A1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D6E73B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D34EE2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11.机载计算机模块内的模型机相关运行数据支持导出；</w:t>
            </w:r>
          </w:p>
        </w:tc>
        <w:tc>
          <w:tcPr>
            <w:tcW w:w="282" w:type="pct"/>
            <w:vMerge w:val="continue"/>
            <w:tcBorders>
              <w:tl2br w:val="nil"/>
              <w:tr2bl w:val="nil"/>
            </w:tcBorders>
            <w:noWrap w:val="0"/>
            <w:vAlign w:val="center"/>
          </w:tcPr>
          <w:p w14:paraId="60D1BC46">
            <w:pPr>
              <w:jc w:val="center"/>
              <w:rPr>
                <w:rFonts w:hint="eastAsia" w:ascii="微软雅黑" w:hAnsi="微软雅黑" w:eastAsia="微软雅黑" w:cs="微软雅黑"/>
                <w:i w:val="0"/>
                <w:iCs w:val="0"/>
                <w:color w:val="000000"/>
                <w:sz w:val="20"/>
                <w:szCs w:val="20"/>
                <w:u w:val="none"/>
              </w:rPr>
            </w:pPr>
          </w:p>
        </w:tc>
      </w:tr>
      <w:tr w14:paraId="2E378F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794E17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4A66AF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DC4558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12.机载计算机模块能够实现通过代码程序运行控制工业级典型场景应用平台完成针对目标点的自动识别锁定并自动多角度拍照功能；</w:t>
            </w:r>
          </w:p>
        </w:tc>
        <w:tc>
          <w:tcPr>
            <w:tcW w:w="282" w:type="pct"/>
            <w:vMerge w:val="continue"/>
            <w:tcBorders>
              <w:tl2br w:val="nil"/>
              <w:tr2bl w:val="nil"/>
            </w:tcBorders>
            <w:noWrap w:val="0"/>
            <w:vAlign w:val="center"/>
          </w:tcPr>
          <w:p w14:paraId="60B9B6DC">
            <w:pPr>
              <w:jc w:val="center"/>
              <w:rPr>
                <w:rFonts w:hint="eastAsia" w:ascii="微软雅黑" w:hAnsi="微软雅黑" w:eastAsia="微软雅黑" w:cs="微软雅黑"/>
                <w:i w:val="0"/>
                <w:iCs w:val="0"/>
                <w:color w:val="000000"/>
                <w:sz w:val="20"/>
                <w:szCs w:val="20"/>
                <w:u w:val="none"/>
              </w:rPr>
            </w:pPr>
          </w:p>
        </w:tc>
      </w:tr>
      <w:tr w14:paraId="2F9589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5521BE7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EFAEC6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654AA6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13.机载计算机模块能够通过修改相关代码实现云台锁定控制开关功能、识别后拍照数量设置功能、图像解码开关功能、图像识别开关功能、相机拍照控制开关功能、飞行速度设置功能。</w:t>
            </w:r>
          </w:p>
        </w:tc>
        <w:tc>
          <w:tcPr>
            <w:tcW w:w="282" w:type="pct"/>
            <w:vMerge w:val="continue"/>
            <w:tcBorders>
              <w:tl2br w:val="nil"/>
              <w:tr2bl w:val="nil"/>
            </w:tcBorders>
            <w:noWrap w:val="0"/>
            <w:vAlign w:val="center"/>
          </w:tcPr>
          <w:p w14:paraId="04A818D4">
            <w:pPr>
              <w:jc w:val="center"/>
              <w:rPr>
                <w:rFonts w:hint="eastAsia" w:ascii="微软雅黑" w:hAnsi="微软雅黑" w:eastAsia="微软雅黑" w:cs="微软雅黑"/>
                <w:i w:val="0"/>
                <w:iCs w:val="0"/>
                <w:color w:val="000000"/>
                <w:sz w:val="20"/>
                <w:szCs w:val="20"/>
                <w:u w:val="none"/>
              </w:rPr>
            </w:pPr>
          </w:p>
        </w:tc>
      </w:tr>
      <w:tr w14:paraId="2664FE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41EB3EA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457" w:type="pct"/>
            <w:vMerge w:val="restart"/>
            <w:tcBorders>
              <w:tl2br w:val="nil"/>
              <w:tr2bl w:val="nil"/>
            </w:tcBorders>
            <w:noWrap w:val="0"/>
            <w:vAlign w:val="center"/>
          </w:tcPr>
          <w:p w14:paraId="68F8F52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负载套件</w:t>
            </w:r>
          </w:p>
        </w:tc>
        <w:tc>
          <w:tcPr>
            <w:tcW w:w="4025" w:type="pct"/>
            <w:tcBorders>
              <w:tl2br w:val="nil"/>
              <w:tr2bl w:val="nil"/>
            </w:tcBorders>
            <w:noWrap w:val="0"/>
            <w:vAlign w:val="center"/>
          </w:tcPr>
          <w:p w14:paraId="2E07700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一、物流抓取任务套件</w:t>
            </w:r>
          </w:p>
        </w:tc>
        <w:tc>
          <w:tcPr>
            <w:tcW w:w="282" w:type="pct"/>
            <w:vMerge w:val="restart"/>
            <w:tcBorders>
              <w:tl2br w:val="nil"/>
              <w:tr2bl w:val="nil"/>
            </w:tcBorders>
            <w:noWrap w:val="0"/>
            <w:vAlign w:val="center"/>
          </w:tcPr>
          <w:p w14:paraId="3904431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28DD8C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7CB5D1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220F18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9A0631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1.材质：硬质铝合金；</w:t>
            </w:r>
          </w:p>
        </w:tc>
        <w:tc>
          <w:tcPr>
            <w:tcW w:w="282" w:type="pct"/>
            <w:vMerge w:val="continue"/>
            <w:tcBorders>
              <w:tl2br w:val="nil"/>
              <w:tr2bl w:val="nil"/>
            </w:tcBorders>
            <w:noWrap w:val="0"/>
            <w:vAlign w:val="center"/>
          </w:tcPr>
          <w:p w14:paraId="31E4875B">
            <w:pPr>
              <w:jc w:val="center"/>
              <w:rPr>
                <w:rFonts w:hint="eastAsia" w:ascii="微软雅黑" w:hAnsi="微软雅黑" w:eastAsia="微软雅黑" w:cs="微软雅黑"/>
                <w:i w:val="0"/>
                <w:iCs w:val="0"/>
                <w:color w:val="000000"/>
                <w:sz w:val="20"/>
                <w:szCs w:val="20"/>
                <w:u w:val="none"/>
              </w:rPr>
            </w:pPr>
          </w:p>
        </w:tc>
      </w:tr>
      <w:tr w14:paraId="7F5A7D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C36F71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49963D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736EFD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2.结构：抓取机构；</w:t>
            </w:r>
          </w:p>
        </w:tc>
        <w:tc>
          <w:tcPr>
            <w:tcW w:w="282" w:type="pct"/>
            <w:vMerge w:val="continue"/>
            <w:tcBorders>
              <w:tl2br w:val="nil"/>
              <w:tr2bl w:val="nil"/>
            </w:tcBorders>
            <w:noWrap w:val="0"/>
            <w:vAlign w:val="center"/>
          </w:tcPr>
          <w:p w14:paraId="2611A476">
            <w:pPr>
              <w:jc w:val="center"/>
              <w:rPr>
                <w:rFonts w:hint="eastAsia" w:ascii="微软雅黑" w:hAnsi="微软雅黑" w:eastAsia="微软雅黑" w:cs="微软雅黑"/>
                <w:i w:val="0"/>
                <w:iCs w:val="0"/>
                <w:color w:val="000000"/>
                <w:sz w:val="20"/>
                <w:szCs w:val="20"/>
                <w:u w:val="none"/>
              </w:rPr>
            </w:pPr>
          </w:p>
        </w:tc>
      </w:tr>
      <w:tr w14:paraId="43A59C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E94A14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6E00C6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DE1A8E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3.重量：≥135g</w:t>
            </w:r>
            <w:r>
              <w:rPr>
                <w:rFonts w:hint="eastAsia" w:ascii="微软雅黑" w:hAnsi="微软雅黑" w:eastAsia="微软雅黑" w:cs="微软雅黑"/>
                <w:i w:val="0"/>
                <w:iCs w:val="0"/>
                <w:color w:val="000000"/>
                <w:kern w:val="0"/>
                <w:sz w:val="20"/>
                <w:szCs w:val="20"/>
                <w:u w:val="none"/>
                <w:lang w:val="en-US" w:eastAsia="zh-CN" w:bidi="ar"/>
              </w:rPr>
              <w:t>；</w:t>
            </w:r>
          </w:p>
        </w:tc>
        <w:tc>
          <w:tcPr>
            <w:tcW w:w="282" w:type="pct"/>
            <w:vMerge w:val="continue"/>
            <w:tcBorders>
              <w:tl2br w:val="nil"/>
              <w:tr2bl w:val="nil"/>
            </w:tcBorders>
            <w:noWrap w:val="0"/>
            <w:vAlign w:val="center"/>
          </w:tcPr>
          <w:p w14:paraId="77D56BD5">
            <w:pPr>
              <w:jc w:val="center"/>
              <w:rPr>
                <w:rFonts w:hint="eastAsia" w:ascii="微软雅黑" w:hAnsi="微软雅黑" w:eastAsia="微软雅黑" w:cs="微软雅黑"/>
                <w:i w:val="0"/>
                <w:iCs w:val="0"/>
                <w:color w:val="000000"/>
                <w:sz w:val="20"/>
                <w:szCs w:val="20"/>
                <w:u w:val="none"/>
              </w:rPr>
            </w:pPr>
          </w:p>
        </w:tc>
      </w:tr>
      <w:tr w14:paraId="21D72C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DB9FB5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DA2FDB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A6035A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4.控制方式：至少支持PWM；</w:t>
            </w:r>
          </w:p>
        </w:tc>
        <w:tc>
          <w:tcPr>
            <w:tcW w:w="282" w:type="pct"/>
            <w:vMerge w:val="continue"/>
            <w:tcBorders>
              <w:tl2br w:val="nil"/>
              <w:tr2bl w:val="nil"/>
            </w:tcBorders>
            <w:noWrap w:val="0"/>
            <w:vAlign w:val="center"/>
          </w:tcPr>
          <w:p w14:paraId="172AD90D">
            <w:pPr>
              <w:jc w:val="center"/>
              <w:rPr>
                <w:rFonts w:hint="eastAsia" w:ascii="微软雅黑" w:hAnsi="微软雅黑" w:eastAsia="微软雅黑" w:cs="微软雅黑"/>
                <w:i w:val="0"/>
                <w:iCs w:val="0"/>
                <w:color w:val="000000"/>
                <w:sz w:val="20"/>
                <w:szCs w:val="20"/>
                <w:u w:val="none"/>
              </w:rPr>
            </w:pPr>
          </w:p>
        </w:tc>
      </w:tr>
      <w:tr w14:paraId="0F52A6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D7C209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585D86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C91DC3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二、抛投任务套件</w:t>
            </w:r>
          </w:p>
        </w:tc>
        <w:tc>
          <w:tcPr>
            <w:tcW w:w="282" w:type="pct"/>
            <w:vMerge w:val="continue"/>
            <w:tcBorders>
              <w:tl2br w:val="nil"/>
              <w:tr2bl w:val="nil"/>
            </w:tcBorders>
            <w:noWrap w:val="0"/>
            <w:vAlign w:val="center"/>
          </w:tcPr>
          <w:p w14:paraId="0950DA68">
            <w:pPr>
              <w:jc w:val="center"/>
              <w:rPr>
                <w:rFonts w:hint="eastAsia" w:ascii="微软雅黑" w:hAnsi="微软雅黑" w:eastAsia="微软雅黑" w:cs="微软雅黑"/>
                <w:i w:val="0"/>
                <w:iCs w:val="0"/>
                <w:color w:val="000000"/>
                <w:sz w:val="20"/>
                <w:szCs w:val="20"/>
                <w:u w:val="none"/>
              </w:rPr>
            </w:pPr>
          </w:p>
        </w:tc>
      </w:tr>
      <w:tr w14:paraId="3AAAED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41C50A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9B3AE8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EB291E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1.材质：硬质铝合金；</w:t>
            </w:r>
          </w:p>
        </w:tc>
        <w:tc>
          <w:tcPr>
            <w:tcW w:w="282" w:type="pct"/>
            <w:vMerge w:val="continue"/>
            <w:tcBorders>
              <w:tl2br w:val="nil"/>
              <w:tr2bl w:val="nil"/>
            </w:tcBorders>
            <w:noWrap w:val="0"/>
            <w:vAlign w:val="center"/>
          </w:tcPr>
          <w:p w14:paraId="5A7EE8ED">
            <w:pPr>
              <w:jc w:val="center"/>
              <w:rPr>
                <w:rFonts w:hint="eastAsia" w:ascii="微软雅黑" w:hAnsi="微软雅黑" w:eastAsia="微软雅黑" w:cs="微软雅黑"/>
                <w:i w:val="0"/>
                <w:iCs w:val="0"/>
                <w:color w:val="000000"/>
                <w:sz w:val="20"/>
                <w:szCs w:val="20"/>
                <w:u w:val="none"/>
              </w:rPr>
            </w:pPr>
          </w:p>
        </w:tc>
      </w:tr>
      <w:tr w14:paraId="016A6B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93B7D3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11B34F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A2A9D7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2.结构：投放机构；</w:t>
            </w:r>
          </w:p>
        </w:tc>
        <w:tc>
          <w:tcPr>
            <w:tcW w:w="282" w:type="pct"/>
            <w:vMerge w:val="continue"/>
            <w:tcBorders>
              <w:tl2br w:val="nil"/>
              <w:tr2bl w:val="nil"/>
            </w:tcBorders>
            <w:noWrap w:val="0"/>
            <w:vAlign w:val="center"/>
          </w:tcPr>
          <w:p w14:paraId="3661382E">
            <w:pPr>
              <w:jc w:val="center"/>
              <w:rPr>
                <w:rFonts w:hint="eastAsia" w:ascii="微软雅黑" w:hAnsi="微软雅黑" w:eastAsia="微软雅黑" w:cs="微软雅黑"/>
                <w:i w:val="0"/>
                <w:iCs w:val="0"/>
                <w:color w:val="000000"/>
                <w:sz w:val="20"/>
                <w:szCs w:val="20"/>
                <w:u w:val="none"/>
              </w:rPr>
            </w:pPr>
          </w:p>
        </w:tc>
      </w:tr>
      <w:tr w14:paraId="40B146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8F3507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1A1088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9C7F4B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3.重量：</w:t>
            </w:r>
            <w:r>
              <w:rPr>
                <w:rFonts w:hint="eastAsia" w:ascii="微软雅黑" w:hAnsi="微软雅黑" w:eastAsia="微软雅黑" w:cs="微软雅黑"/>
                <w:i w:val="0"/>
                <w:iCs w:val="0"/>
                <w:color w:val="000000"/>
                <w:kern w:val="0"/>
                <w:sz w:val="20"/>
                <w:szCs w:val="20"/>
                <w:highlight w:val="yellow"/>
                <w:u w:val="none"/>
                <w:lang w:val="en-US" w:eastAsia="zh-CN" w:bidi="ar"/>
              </w:rPr>
              <w:t>≥95g</w:t>
            </w:r>
            <w:r>
              <w:rPr>
                <w:rFonts w:hint="eastAsia" w:ascii="微软雅黑" w:hAnsi="微软雅黑" w:eastAsia="微软雅黑" w:cs="微软雅黑"/>
                <w:i w:val="0"/>
                <w:iCs w:val="0"/>
                <w:color w:val="000000"/>
                <w:kern w:val="0"/>
                <w:sz w:val="20"/>
                <w:szCs w:val="20"/>
                <w:u w:val="none"/>
                <w:lang w:val="en-US" w:eastAsia="zh-CN" w:bidi="ar"/>
              </w:rPr>
              <w:t>；</w:t>
            </w:r>
          </w:p>
        </w:tc>
        <w:tc>
          <w:tcPr>
            <w:tcW w:w="282" w:type="pct"/>
            <w:vMerge w:val="continue"/>
            <w:tcBorders>
              <w:tl2br w:val="nil"/>
              <w:tr2bl w:val="nil"/>
            </w:tcBorders>
            <w:noWrap w:val="0"/>
            <w:vAlign w:val="center"/>
          </w:tcPr>
          <w:p w14:paraId="02C8D1DE">
            <w:pPr>
              <w:jc w:val="center"/>
              <w:rPr>
                <w:rFonts w:hint="eastAsia" w:ascii="微软雅黑" w:hAnsi="微软雅黑" w:eastAsia="微软雅黑" w:cs="微软雅黑"/>
                <w:i w:val="0"/>
                <w:iCs w:val="0"/>
                <w:color w:val="000000"/>
                <w:sz w:val="20"/>
                <w:szCs w:val="20"/>
                <w:u w:val="none"/>
              </w:rPr>
            </w:pPr>
          </w:p>
        </w:tc>
      </w:tr>
      <w:tr w14:paraId="3C58CA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F284C3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18BC17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34E856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4.控制方式：至少支持PWM；</w:t>
            </w:r>
          </w:p>
        </w:tc>
        <w:tc>
          <w:tcPr>
            <w:tcW w:w="282" w:type="pct"/>
            <w:vMerge w:val="continue"/>
            <w:tcBorders>
              <w:tl2br w:val="nil"/>
              <w:tr2bl w:val="nil"/>
            </w:tcBorders>
            <w:noWrap w:val="0"/>
            <w:vAlign w:val="center"/>
          </w:tcPr>
          <w:p w14:paraId="5F1B1F89">
            <w:pPr>
              <w:jc w:val="center"/>
              <w:rPr>
                <w:rFonts w:hint="eastAsia" w:ascii="微软雅黑" w:hAnsi="微软雅黑" w:eastAsia="微软雅黑" w:cs="微软雅黑"/>
                <w:i w:val="0"/>
                <w:iCs w:val="0"/>
                <w:color w:val="000000"/>
                <w:sz w:val="20"/>
                <w:szCs w:val="20"/>
                <w:u w:val="none"/>
              </w:rPr>
            </w:pPr>
          </w:p>
        </w:tc>
      </w:tr>
      <w:tr w14:paraId="7B538E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CF6452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3FDCB5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6B5BA9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三、航拍任务套件</w:t>
            </w:r>
          </w:p>
        </w:tc>
        <w:tc>
          <w:tcPr>
            <w:tcW w:w="282" w:type="pct"/>
            <w:vMerge w:val="continue"/>
            <w:tcBorders>
              <w:tl2br w:val="nil"/>
              <w:tr2bl w:val="nil"/>
            </w:tcBorders>
            <w:noWrap w:val="0"/>
            <w:vAlign w:val="center"/>
          </w:tcPr>
          <w:p w14:paraId="2008D447">
            <w:pPr>
              <w:jc w:val="center"/>
              <w:rPr>
                <w:rFonts w:hint="eastAsia" w:ascii="微软雅黑" w:hAnsi="微软雅黑" w:eastAsia="微软雅黑" w:cs="微软雅黑"/>
                <w:i w:val="0"/>
                <w:iCs w:val="0"/>
                <w:color w:val="000000"/>
                <w:sz w:val="20"/>
                <w:szCs w:val="20"/>
                <w:u w:val="none"/>
              </w:rPr>
            </w:pPr>
          </w:p>
        </w:tc>
      </w:tr>
      <w:tr w14:paraId="515C63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126ADB3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135D0B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94E66C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1.云台处理器至少搭载32位ARM运算芯片、板载陀螺仪、加速器传感器；至少支持7通道PWM/Sum输入/输出；至少包含3个AUX接口；至少支持红外led接口、S-Bus。</w:t>
            </w:r>
          </w:p>
        </w:tc>
        <w:tc>
          <w:tcPr>
            <w:tcW w:w="282" w:type="pct"/>
            <w:vMerge w:val="continue"/>
            <w:tcBorders>
              <w:tl2br w:val="nil"/>
              <w:tr2bl w:val="nil"/>
            </w:tcBorders>
            <w:noWrap w:val="0"/>
            <w:vAlign w:val="center"/>
          </w:tcPr>
          <w:p w14:paraId="0E24A471">
            <w:pPr>
              <w:jc w:val="center"/>
              <w:rPr>
                <w:rFonts w:hint="eastAsia" w:ascii="微软雅黑" w:hAnsi="微软雅黑" w:eastAsia="微软雅黑" w:cs="微软雅黑"/>
                <w:i w:val="0"/>
                <w:iCs w:val="0"/>
                <w:color w:val="000000"/>
                <w:sz w:val="20"/>
                <w:szCs w:val="20"/>
                <w:u w:val="none"/>
              </w:rPr>
            </w:pPr>
          </w:p>
        </w:tc>
      </w:tr>
      <w:tr w14:paraId="53CD5A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1C18B04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B2F986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29DA43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2.图像拍照分辨率：16M/14M/12M/8.3M/5M/3M；至少支持AV/HD输出；最大支持SD卡内存：≥64G；压缩格式：至少可支持H.264；光圈至少可达到F/2.8；角度至少可达到170度。</w:t>
            </w:r>
          </w:p>
        </w:tc>
        <w:tc>
          <w:tcPr>
            <w:tcW w:w="282" w:type="pct"/>
            <w:vMerge w:val="continue"/>
            <w:tcBorders>
              <w:tl2br w:val="nil"/>
              <w:tr2bl w:val="nil"/>
            </w:tcBorders>
            <w:noWrap w:val="0"/>
            <w:vAlign w:val="center"/>
          </w:tcPr>
          <w:p w14:paraId="54EC399F">
            <w:pPr>
              <w:jc w:val="center"/>
              <w:rPr>
                <w:rFonts w:hint="eastAsia" w:ascii="微软雅黑" w:hAnsi="微软雅黑" w:eastAsia="微软雅黑" w:cs="微软雅黑"/>
                <w:i w:val="0"/>
                <w:iCs w:val="0"/>
                <w:color w:val="000000"/>
                <w:sz w:val="20"/>
                <w:szCs w:val="20"/>
                <w:u w:val="none"/>
              </w:rPr>
            </w:pPr>
          </w:p>
        </w:tc>
      </w:tr>
      <w:tr w14:paraId="04CB8A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28FC005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3475B5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D49EFB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3.图传发射模块输出功率至少支持0mW/25mW/200mW/400mW/600mW；全制式视频格式至少支持NTSC/PAL；发射频段至少支持5.8GHz。</w:t>
            </w:r>
          </w:p>
        </w:tc>
        <w:tc>
          <w:tcPr>
            <w:tcW w:w="282" w:type="pct"/>
            <w:vMerge w:val="continue"/>
            <w:tcBorders>
              <w:tl2br w:val="nil"/>
              <w:tr2bl w:val="nil"/>
            </w:tcBorders>
            <w:noWrap w:val="0"/>
            <w:vAlign w:val="center"/>
          </w:tcPr>
          <w:p w14:paraId="1A7882A7">
            <w:pPr>
              <w:jc w:val="center"/>
              <w:rPr>
                <w:rFonts w:hint="eastAsia" w:ascii="微软雅黑" w:hAnsi="微软雅黑" w:eastAsia="微软雅黑" w:cs="微软雅黑"/>
                <w:i w:val="0"/>
                <w:iCs w:val="0"/>
                <w:color w:val="000000"/>
                <w:sz w:val="20"/>
                <w:szCs w:val="20"/>
                <w:u w:val="none"/>
              </w:rPr>
            </w:pPr>
          </w:p>
        </w:tc>
      </w:tr>
      <w:tr w14:paraId="4B3A77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24B0BC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241E42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24D7C9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4.接收显示器分辨率：≥800×480dpi；显示比例至少支持16:9/4:3两种比例；接收频段至少支持5.8GHz；彩色制式至少支持PAL/NTSC。</w:t>
            </w:r>
          </w:p>
        </w:tc>
        <w:tc>
          <w:tcPr>
            <w:tcW w:w="282" w:type="pct"/>
            <w:vMerge w:val="continue"/>
            <w:tcBorders>
              <w:tl2br w:val="nil"/>
              <w:tr2bl w:val="nil"/>
            </w:tcBorders>
            <w:noWrap w:val="0"/>
            <w:vAlign w:val="center"/>
          </w:tcPr>
          <w:p w14:paraId="4CF1F8C0">
            <w:pPr>
              <w:jc w:val="center"/>
              <w:rPr>
                <w:rFonts w:hint="eastAsia" w:ascii="微软雅黑" w:hAnsi="微软雅黑" w:eastAsia="微软雅黑" w:cs="微软雅黑"/>
                <w:i w:val="0"/>
                <w:iCs w:val="0"/>
                <w:color w:val="000000"/>
                <w:sz w:val="20"/>
                <w:szCs w:val="20"/>
                <w:u w:val="none"/>
              </w:rPr>
            </w:pPr>
          </w:p>
        </w:tc>
      </w:tr>
      <w:tr w14:paraId="190F7C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26EEB74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457" w:type="pct"/>
            <w:vMerge w:val="restart"/>
            <w:tcBorders>
              <w:tl2br w:val="nil"/>
              <w:tr2bl w:val="nil"/>
            </w:tcBorders>
            <w:noWrap w:val="0"/>
            <w:vAlign w:val="center"/>
          </w:tcPr>
          <w:p w14:paraId="195FA1B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任务载荷套件</w:t>
            </w:r>
          </w:p>
        </w:tc>
        <w:tc>
          <w:tcPr>
            <w:tcW w:w="4025" w:type="pct"/>
            <w:tcBorders>
              <w:tl2br w:val="nil"/>
              <w:tr2bl w:val="nil"/>
            </w:tcBorders>
            <w:noWrap w:val="0"/>
            <w:vAlign w:val="center"/>
          </w:tcPr>
          <w:p w14:paraId="3373581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1.TFMINI 模块</w:t>
            </w:r>
          </w:p>
        </w:tc>
        <w:tc>
          <w:tcPr>
            <w:tcW w:w="282" w:type="pct"/>
            <w:vMerge w:val="restart"/>
            <w:tcBorders>
              <w:tl2br w:val="nil"/>
              <w:tr2bl w:val="nil"/>
            </w:tcBorders>
            <w:noWrap w:val="0"/>
            <w:vAlign w:val="center"/>
          </w:tcPr>
          <w:p w14:paraId="22FBB2D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64EBBF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C1C3AA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D4DD0C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35F7F4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测 量 范 围 ： 0.1m~12m@90% 反射率 0.1~7m@10% 反 射 率</w:t>
            </w:r>
          </w:p>
        </w:tc>
        <w:tc>
          <w:tcPr>
            <w:tcW w:w="282" w:type="pct"/>
            <w:vMerge w:val="continue"/>
            <w:tcBorders>
              <w:tl2br w:val="nil"/>
              <w:tr2bl w:val="nil"/>
            </w:tcBorders>
            <w:noWrap w:val="0"/>
            <w:vAlign w:val="center"/>
          </w:tcPr>
          <w:p w14:paraId="71510FD5">
            <w:pPr>
              <w:jc w:val="center"/>
              <w:rPr>
                <w:rFonts w:hint="eastAsia" w:ascii="微软雅黑" w:hAnsi="微软雅黑" w:eastAsia="微软雅黑" w:cs="微软雅黑"/>
                <w:i w:val="0"/>
                <w:iCs w:val="0"/>
                <w:color w:val="000000"/>
                <w:sz w:val="20"/>
                <w:szCs w:val="20"/>
                <w:u w:val="none"/>
              </w:rPr>
            </w:pPr>
          </w:p>
        </w:tc>
      </w:tr>
      <w:tr w14:paraId="0BC7F0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FA8CC8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C16A4C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605B59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0.1m~12m@90%反射率(70Klux)0.1~7m@10%反射率(70Klux)</w:t>
            </w:r>
          </w:p>
        </w:tc>
        <w:tc>
          <w:tcPr>
            <w:tcW w:w="282" w:type="pct"/>
            <w:vMerge w:val="continue"/>
            <w:tcBorders>
              <w:tl2br w:val="nil"/>
              <w:tr2bl w:val="nil"/>
            </w:tcBorders>
            <w:noWrap w:val="0"/>
            <w:vAlign w:val="center"/>
          </w:tcPr>
          <w:p w14:paraId="201AE2A2">
            <w:pPr>
              <w:jc w:val="center"/>
              <w:rPr>
                <w:rFonts w:hint="eastAsia" w:ascii="微软雅黑" w:hAnsi="微软雅黑" w:eastAsia="微软雅黑" w:cs="微软雅黑"/>
                <w:i w:val="0"/>
                <w:iCs w:val="0"/>
                <w:color w:val="000000"/>
                <w:sz w:val="20"/>
                <w:szCs w:val="20"/>
                <w:u w:val="none"/>
              </w:rPr>
            </w:pPr>
          </w:p>
        </w:tc>
      </w:tr>
      <w:tr w14:paraId="71C1B3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A28940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37DBA6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31AA7B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准确度：±6cm@(0.1-6m) ±1%@(6m-12m)</w:t>
            </w:r>
          </w:p>
        </w:tc>
        <w:tc>
          <w:tcPr>
            <w:tcW w:w="282" w:type="pct"/>
            <w:vMerge w:val="continue"/>
            <w:tcBorders>
              <w:tl2br w:val="nil"/>
              <w:tr2bl w:val="nil"/>
            </w:tcBorders>
            <w:noWrap w:val="0"/>
            <w:vAlign w:val="center"/>
          </w:tcPr>
          <w:p w14:paraId="2BA78EE9">
            <w:pPr>
              <w:jc w:val="center"/>
              <w:rPr>
                <w:rFonts w:hint="eastAsia" w:ascii="微软雅黑" w:hAnsi="微软雅黑" w:eastAsia="微软雅黑" w:cs="微软雅黑"/>
                <w:i w:val="0"/>
                <w:iCs w:val="0"/>
                <w:color w:val="000000"/>
                <w:sz w:val="20"/>
                <w:szCs w:val="20"/>
                <w:u w:val="none"/>
              </w:rPr>
            </w:pPr>
          </w:p>
        </w:tc>
      </w:tr>
      <w:tr w14:paraId="637B96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03FDD5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DECF31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5EB362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距离分辨率：1cm</w:t>
            </w:r>
          </w:p>
        </w:tc>
        <w:tc>
          <w:tcPr>
            <w:tcW w:w="282" w:type="pct"/>
            <w:vMerge w:val="continue"/>
            <w:tcBorders>
              <w:tl2br w:val="nil"/>
              <w:tr2bl w:val="nil"/>
            </w:tcBorders>
            <w:noWrap w:val="0"/>
            <w:vAlign w:val="center"/>
          </w:tcPr>
          <w:p w14:paraId="4814F67A">
            <w:pPr>
              <w:jc w:val="center"/>
              <w:rPr>
                <w:rFonts w:hint="eastAsia" w:ascii="微软雅黑" w:hAnsi="微软雅黑" w:eastAsia="微软雅黑" w:cs="微软雅黑"/>
                <w:i w:val="0"/>
                <w:iCs w:val="0"/>
                <w:color w:val="000000"/>
                <w:sz w:val="20"/>
                <w:szCs w:val="20"/>
                <w:u w:val="none"/>
              </w:rPr>
            </w:pPr>
          </w:p>
        </w:tc>
      </w:tr>
      <w:tr w14:paraId="611102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761CE8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11B27E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807705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帧率：1-10000Hz(默认 100Hz）</w:t>
            </w:r>
          </w:p>
        </w:tc>
        <w:tc>
          <w:tcPr>
            <w:tcW w:w="282" w:type="pct"/>
            <w:vMerge w:val="continue"/>
            <w:tcBorders>
              <w:tl2br w:val="nil"/>
              <w:tr2bl w:val="nil"/>
            </w:tcBorders>
            <w:noWrap w:val="0"/>
            <w:vAlign w:val="center"/>
          </w:tcPr>
          <w:p w14:paraId="3BF5695B">
            <w:pPr>
              <w:jc w:val="center"/>
              <w:rPr>
                <w:rFonts w:hint="eastAsia" w:ascii="微软雅黑" w:hAnsi="微软雅黑" w:eastAsia="微软雅黑" w:cs="微软雅黑"/>
                <w:i w:val="0"/>
                <w:iCs w:val="0"/>
                <w:color w:val="000000"/>
                <w:sz w:val="20"/>
                <w:szCs w:val="20"/>
                <w:u w:val="none"/>
              </w:rPr>
            </w:pPr>
          </w:p>
        </w:tc>
      </w:tr>
      <w:tr w14:paraId="3223C9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028709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7B4B15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3C7995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抗环境光能力：70Klux</w:t>
            </w:r>
          </w:p>
        </w:tc>
        <w:tc>
          <w:tcPr>
            <w:tcW w:w="282" w:type="pct"/>
            <w:vMerge w:val="continue"/>
            <w:tcBorders>
              <w:tl2br w:val="nil"/>
              <w:tr2bl w:val="nil"/>
            </w:tcBorders>
            <w:noWrap w:val="0"/>
            <w:vAlign w:val="center"/>
          </w:tcPr>
          <w:p w14:paraId="0881399E">
            <w:pPr>
              <w:jc w:val="center"/>
              <w:rPr>
                <w:rFonts w:hint="eastAsia" w:ascii="微软雅黑" w:hAnsi="微软雅黑" w:eastAsia="微软雅黑" w:cs="微软雅黑"/>
                <w:i w:val="0"/>
                <w:iCs w:val="0"/>
                <w:color w:val="000000"/>
                <w:sz w:val="20"/>
                <w:szCs w:val="20"/>
                <w:u w:val="none"/>
              </w:rPr>
            </w:pPr>
          </w:p>
        </w:tc>
      </w:tr>
      <w:tr w14:paraId="3CB959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0A8622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9A9E5D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29115A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工作温度：0℃-60℃</w:t>
            </w:r>
          </w:p>
        </w:tc>
        <w:tc>
          <w:tcPr>
            <w:tcW w:w="282" w:type="pct"/>
            <w:vMerge w:val="continue"/>
            <w:tcBorders>
              <w:tl2br w:val="nil"/>
              <w:tr2bl w:val="nil"/>
            </w:tcBorders>
            <w:noWrap w:val="0"/>
            <w:vAlign w:val="center"/>
          </w:tcPr>
          <w:p w14:paraId="5B0D5C4C">
            <w:pPr>
              <w:jc w:val="center"/>
              <w:rPr>
                <w:rFonts w:hint="eastAsia" w:ascii="微软雅黑" w:hAnsi="微软雅黑" w:eastAsia="微软雅黑" w:cs="微软雅黑"/>
                <w:i w:val="0"/>
                <w:iCs w:val="0"/>
                <w:color w:val="000000"/>
                <w:sz w:val="20"/>
                <w:szCs w:val="20"/>
                <w:u w:val="none"/>
              </w:rPr>
            </w:pPr>
          </w:p>
        </w:tc>
      </w:tr>
      <w:tr w14:paraId="204BC2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A40702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08F5B8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80DAAA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光源：VCSEL</w:t>
            </w:r>
          </w:p>
        </w:tc>
        <w:tc>
          <w:tcPr>
            <w:tcW w:w="282" w:type="pct"/>
            <w:vMerge w:val="continue"/>
            <w:tcBorders>
              <w:tl2br w:val="nil"/>
              <w:tr2bl w:val="nil"/>
            </w:tcBorders>
            <w:noWrap w:val="0"/>
            <w:vAlign w:val="center"/>
          </w:tcPr>
          <w:p w14:paraId="6356613C">
            <w:pPr>
              <w:jc w:val="center"/>
              <w:rPr>
                <w:rFonts w:hint="eastAsia" w:ascii="微软雅黑" w:hAnsi="微软雅黑" w:eastAsia="微软雅黑" w:cs="微软雅黑"/>
                <w:i w:val="0"/>
                <w:iCs w:val="0"/>
                <w:color w:val="000000"/>
                <w:sz w:val="20"/>
                <w:szCs w:val="20"/>
                <w:u w:val="none"/>
              </w:rPr>
            </w:pPr>
          </w:p>
        </w:tc>
      </w:tr>
      <w:tr w14:paraId="014DFD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CE51D1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9CCFD2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802DF3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中心波长：850nm</w:t>
            </w:r>
          </w:p>
        </w:tc>
        <w:tc>
          <w:tcPr>
            <w:tcW w:w="282" w:type="pct"/>
            <w:vMerge w:val="continue"/>
            <w:tcBorders>
              <w:tl2br w:val="nil"/>
              <w:tr2bl w:val="nil"/>
            </w:tcBorders>
            <w:noWrap w:val="0"/>
            <w:vAlign w:val="center"/>
          </w:tcPr>
          <w:p w14:paraId="7B714733">
            <w:pPr>
              <w:jc w:val="center"/>
              <w:rPr>
                <w:rFonts w:hint="eastAsia" w:ascii="微软雅黑" w:hAnsi="微软雅黑" w:eastAsia="微软雅黑" w:cs="微软雅黑"/>
                <w:i w:val="0"/>
                <w:iCs w:val="0"/>
                <w:color w:val="000000"/>
                <w:sz w:val="20"/>
                <w:szCs w:val="20"/>
                <w:u w:val="none"/>
              </w:rPr>
            </w:pPr>
          </w:p>
        </w:tc>
      </w:tr>
      <w:tr w14:paraId="45E80E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445422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9488CE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73B1AF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人眼安全：Class1</w:t>
            </w:r>
          </w:p>
        </w:tc>
        <w:tc>
          <w:tcPr>
            <w:tcW w:w="282" w:type="pct"/>
            <w:vMerge w:val="continue"/>
            <w:tcBorders>
              <w:tl2br w:val="nil"/>
              <w:tr2bl w:val="nil"/>
            </w:tcBorders>
            <w:noWrap w:val="0"/>
            <w:vAlign w:val="center"/>
          </w:tcPr>
          <w:p w14:paraId="6A427940">
            <w:pPr>
              <w:jc w:val="center"/>
              <w:rPr>
                <w:rFonts w:hint="eastAsia" w:ascii="微软雅黑" w:hAnsi="微软雅黑" w:eastAsia="微软雅黑" w:cs="微软雅黑"/>
                <w:i w:val="0"/>
                <w:iCs w:val="0"/>
                <w:color w:val="000000"/>
                <w:sz w:val="20"/>
                <w:szCs w:val="20"/>
                <w:u w:val="none"/>
              </w:rPr>
            </w:pPr>
          </w:p>
        </w:tc>
      </w:tr>
      <w:tr w14:paraId="69C927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D6D216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1A396B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216888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供电电压：5V±0.1v</w:t>
            </w:r>
          </w:p>
        </w:tc>
        <w:tc>
          <w:tcPr>
            <w:tcW w:w="282" w:type="pct"/>
            <w:vMerge w:val="continue"/>
            <w:tcBorders>
              <w:tl2br w:val="nil"/>
              <w:tr2bl w:val="nil"/>
            </w:tcBorders>
            <w:noWrap w:val="0"/>
            <w:vAlign w:val="center"/>
          </w:tcPr>
          <w:p w14:paraId="3D48339C">
            <w:pPr>
              <w:jc w:val="center"/>
              <w:rPr>
                <w:rFonts w:hint="eastAsia" w:ascii="微软雅黑" w:hAnsi="微软雅黑" w:eastAsia="微软雅黑" w:cs="微软雅黑"/>
                <w:i w:val="0"/>
                <w:iCs w:val="0"/>
                <w:color w:val="000000"/>
                <w:sz w:val="20"/>
                <w:szCs w:val="20"/>
                <w:u w:val="none"/>
              </w:rPr>
            </w:pPr>
          </w:p>
        </w:tc>
      </w:tr>
      <w:tr w14:paraId="4CCBC0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8BAFC5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DF801A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8F3070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2.超声波雷达模块</w:t>
            </w:r>
          </w:p>
        </w:tc>
        <w:tc>
          <w:tcPr>
            <w:tcW w:w="282" w:type="pct"/>
            <w:vMerge w:val="continue"/>
            <w:tcBorders>
              <w:tl2br w:val="nil"/>
              <w:tr2bl w:val="nil"/>
            </w:tcBorders>
            <w:noWrap w:val="0"/>
            <w:vAlign w:val="center"/>
          </w:tcPr>
          <w:p w14:paraId="00226047">
            <w:pPr>
              <w:jc w:val="center"/>
              <w:rPr>
                <w:rFonts w:hint="eastAsia" w:ascii="微软雅黑" w:hAnsi="微软雅黑" w:eastAsia="微软雅黑" w:cs="微软雅黑"/>
                <w:i w:val="0"/>
                <w:iCs w:val="0"/>
                <w:color w:val="000000"/>
                <w:sz w:val="20"/>
                <w:szCs w:val="20"/>
                <w:u w:val="none"/>
              </w:rPr>
            </w:pPr>
          </w:p>
        </w:tc>
      </w:tr>
      <w:tr w14:paraId="618F00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F6A4C0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97893D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611001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工作电压：DC 2.4V~5.5V</w:t>
            </w:r>
          </w:p>
        </w:tc>
        <w:tc>
          <w:tcPr>
            <w:tcW w:w="282" w:type="pct"/>
            <w:vMerge w:val="continue"/>
            <w:tcBorders>
              <w:tl2br w:val="nil"/>
              <w:tr2bl w:val="nil"/>
            </w:tcBorders>
            <w:noWrap w:val="0"/>
            <w:vAlign w:val="center"/>
          </w:tcPr>
          <w:p w14:paraId="74977F3C">
            <w:pPr>
              <w:jc w:val="center"/>
              <w:rPr>
                <w:rFonts w:hint="eastAsia" w:ascii="微软雅黑" w:hAnsi="微软雅黑" w:eastAsia="微软雅黑" w:cs="微软雅黑"/>
                <w:i w:val="0"/>
                <w:iCs w:val="0"/>
                <w:color w:val="000000"/>
                <w:sz w:val="20"/>
                <w:szCs w:val="20"/>
                <w:u w:val="none"/>
              </w:rPr>
            </w:pPr>
          </w:p>
        </w:tc>
      </w:tr>
      <w:tr w14:paraId="7EFB9A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CD9D35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9D29FC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195E01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静态电流：2mA</w:t>
            </w:r>
          </w:p>
        </w:tc>
        <w:tc>
          <w:tcPr>
            <w:tcW w:w="282" w:type="pct"/>
            <w:vMerge w:val="continue"/>
            <w:tcBorders>
              <w:tl2br w:val="nil"/>
              <w:tr2bl w:val="nil"/>
            </w:tcBorders>
            <w:noWrap w:val="0"/>
            <w:vAlign w:val="center"/>
          </w:tcPr>
          <w:p w14:paraId="22BE3EB1">
            <w:pPr>
              <w:jc w:val="center"/>
              <w:rPr>
                <w:rFonts w:hint="eastAsia" w:ascii="微软雅黑" w:hAnsi="微软雅黑" w:eastAsia="微软雅黑" w:cs="微软雅黑"/>
                <w:i w:val="0"/>
                <w:iCs w:val="0"/>
                <w:color w:val="000000"/>
                <w:sz w:val="20"/>
                <w:szCs w:val="20"/>
                <w:u w:val="none"/>
              </w:rPr>
            </w:pPr>
          </w:p>
        </w:tc>
      </w:tr>
      <w:tr w14:paraId="2D119C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66AADD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A7CB4F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E4CD1E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工作温度：-20°~＋70°</w:t>
            </w:r>
          </w:p>
        </w:tc>
        <w:tc>
          <w:tcPr>
            <w:tcW w:w="282" w:type="pct"/>
            <w:vMerge w:val="continue"/>
            <w:tcBorders>
              <w:tl2br w:val="nil"/>
              <w:tr2bl w:val="nil"/>
            </w:tcBorders>
            <w:noWrap w:val="0"/>
            <w:vAlign w:val="center"/>
          </w:tcPr>
          <w:p w14:paraId="46113123">
            <w:pPr>
              <w:jc w:val="center"/>
              <w:rPr>
                <w:rFonts w:hint="eastAsia" w:ascii="微软雅黑" w:hAnsi="微软雅黑" w:eastAsia="微软雅黑" w:cs="微软雅黑"/>
                <w:i w:val="0"/>
                <w:iCs w:val="0"/>
                <w:color w:val="000000"/>
                <w:sz w:val="20"/>
                <w:szCs w:val="20"/>
                <w:u w:val="none"/>
              </w:rPr>
            </w:pPr>
          </w:p>
        </w:tc>
      </w:tr>
      <w:tr w14:paraId="04A0BD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C58076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E2C863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087D50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输出方式：电平或 UART（跳线帽选择）</w:t>
            </w:r>
          </w:p>
        </w:tc>
        <w:tc>
          <w:tcPr>
            <w:tcW w:w="282" w:type="pct"/>
            <w:vMerge w:val="continue"/>
            <w:tcBorders>
              <w:tl2br w:val="nil"/>
              <w:tr2bl w:val="nil"/>
            </w:tcBorders>
            <w:noWrap w:val="0"/>
            <w:vAlign w:val="center"/>
          </w:tcPr>
          <w:p w14:paraId="72B2EF16">
            <w:pPr>
              <w:jc w:val="center"/>
              <w:rPr>
                <w:rFonts w:hint="eastAsia" w:ascii="微软雅黑" w:hAnsi="微软雅黑" w:eastAsia="微软雅黑" w:cs="微软雅黑"/>
                <w:i w:val="0"/>
                <w:iCs w:val="0"/>
                <w:color w:val="000000"/>
                <w:sz w:val="20"/>
                <w:szCs w:val="20"/>
                <w:u w:val="none"/>
              </w:rPr>
            </w:pPr>
          </w:p>
        </w:tc>
      </w:tr>
      <w:tr w14:paraId="1202EF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992EB8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D4295F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64DA76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感应角度：小于 15°</w:t>
            </w:r>
          </w:p>
        </w:tc>
        <w:tc>
          <w:tcPr>
            <w:tcW w:w="282" w:type="pct"/>
            <w:vMerge w:val="continue"/>
            <w:tcBorders>
              <w:tl2br w:val="nil"/>
              <w:tr2bl w:val="nil"/>
            </w:tcBorders>
            <w:noWrap w:val="0"/>
            <w:vAlign w:val="center"/>
          </w:tcPr>
          <w:p w14:paraId="3179DC3D">
            <w:pPr>
              <w:jc w:val="center"/>
              <w:rPr>
                <w:rFonts w:hint="eastAsia" w:ascii="微软雅黑" w:hAnsi="微软雅黑" w:eastAsia="微软雅黑" w:cs="微软雅黑"/>
                <w:i w:val="0"/>
                <w:iCs w:val="0"/>
                <w:color w:val="000000"/>
                <w:sz w:val="20"/>
                <w:szCs w:val="20"/>
                <w:u w:val="none"/>
              </w:rPr>
            </w:pPr>
          </w:p>
        </w:tc>
      </w:tr>
      <w:tr w14:paraId="0B8FDC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189D5B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9E31F6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8037C4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探测距离：2cm-450cm</w:t>
            </w:r>
          </w:p>
        </w:tc>
        <w:tc>
          <w:tcPr>
            <w:tcW w:w="282" w:type="pct"/>
            <w:vMerge w:val="continue"/>
            <w:tcBorders>
              <w:tl2br w:val="nil"/>
              <w:tr2bl w:val="nil"/>
            </w:tcBorders>
            <w:noWrap w:val="0"/>
            <w:vAlign w:val="center"/>
          </w:tcPr>
          <w:p w14:paraId="75CA26FB">
            <w:pPr>
              <w:jc w:val="center"/>
              <w:rPr>
                <w:rFonts w:hint="eastAsia" w:ascii="微软雅黑" w:hAnsi="微软雅黑" w:eastAsia="微软雅黑" w:cs="微软雅黑"/>
                <w:i w:val="0"/>
                <w:iCs w:val="0"/>
                <w:color w:val="000000"/>
                <w:sz w:val="20"/>
                <w:szCs w:val="20"/>
                <w:u w:val="none"/>
              </w:rPr>
            </w:pPr>
          </w:p>
        </w:tc>
      </w:tr>
      <w:tr w14:paraId="1DE13A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36496D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CE564D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8B4271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探测精度：0.3cm+1%</w:t>
            </w:r>
          </w:p>
        </w:tc>
        <w:tc>
          <w:tcPr>
            <w:tcW w:w="282" w:type="pct"/>
            <w:vMerge w:val="continue"/>
            <w:tcBorders>
              <w:tl2br w:val="nil"/>
              <w:tr2bl w:val="nil"/>
            </w:tcBorders>
            <w:noWrap w:val="0"/>
            <w:vAlign w:val="center"/>
          </w:tcPr>
          <w:p w14:paraId="19E60C62">
            <w:pPr>
              <w:jc w:val="center"/>
              <w:rPr>
                <w:rFonts w:hint="eastAsia" w:ascii="微软雅黑" w:hAnsi="微软雅黑" w:eastAsia="微软雅黑" w:cs="微软雅黑"/>
                <w:i w:val="0"/>
                <w:iCs w:val="0"/>
                <w:color w:val="000000"/>
                <w:sz w:val="20"/>
                <w:szCs w:val="20"/>
                <w:u w:val="none"/>
              </w:rPr>
            </w:pPr>
          </w:p>
        </w:tc>
      </w:tr>
      <w:tr w14:paraId="342974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9AAE02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36EEAF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80B9AF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UART 模式下串口配置：波特率 9600，起始位 1 位，停止位 1</w:t>
            </w:r>
          </w:p>
        </w:tc>
        <w:tc>
          <w:tcPr>
            <w:tcW w:w="282" w:type="pct"/>
            <w:vMerge w:val="continue"/>
            <w:tcBorders>
              <w:tl2br w:val="nil"/>
              <w:tr2bl w:val="nil"/>
            </w:tcBorders>
            <w:noWrap w:val="0"/>
            <w:vAlign w:val="center"/>
          </w:tcPr>
          <w:p w14:paraId="1358AEF9">
            <w:pPr>
              <w:jc w:val="center"/>
              <w:rPr>
                <w:rFonts w:hint="eastAsia" w:ascii="微软雅黑" w:hAnsi="微软雅黑" w:eastAsia="微软雅黑" w:cs="微软雅黑"/>
                <w:i w:val="0"/>
                <w:iCs w:val="0"/>
                <w:color w:val="000000"/>
                <w:sz w:val="20"/>
                <w:szCs w:val="20"/>
                <w:u w:val="none"/>
              </w:rPr>
            </w:pPr>
          </w:p>
        </w:tc>
      </w:tr>
      <w:tr w14:paraId="4D0684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1D3666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EC3DED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B6531E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位，数据位 8 位，无奇偶校验，无流控制。</w:t>
            </w:r>
          </w:p>
        </w:tc>
        <w:tc>
          <w:tcPr>
            <w:tcW w:w="282" w:type="pct"/>
            <w:vMerge w:val="continue"/>
            <w:tcBorders>
              <w:tl2br w:val="nil"/>
              <w:tr2bl w:val="nil"/>
            </w:tcBorders>
            <w:noWrap w:val="0"/>
            <w:vAlign w:val="center"/>
          </w:tcPr>
          <w:p w14:paraId="26602E7C">
            <w:pPr>
              <w:jc w:val="center"/>
              <w:rPr>
                <w:rFonts w:hint="eastAsia" w:ascii="微软雅黑" w:hAnsi="微软雅黑" w:eastAsia="微软雅黑" w:cs="微软雅黑"/>
                <w:i w:val="0"/>
                <w:iCs w:val="0"/>
                <w:color w:val="000000"/>
                <w:sz w:val="20"/>
                <w:szCs w:val="20"/>
                <w:u w:val="none"/>
              </w:rPr>
            </w:pPr>
          </w:p>
        </w:tc>
      </w:tr>
      <w:tr w14:paraId="691E09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75283A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B5821B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A08C1D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3.光流模块</w:t>
            </w:r>
          </w:p>
        </w:tc>
        <w:tc>
          <w:tcPr>
            <w:tcW w:w="282" w:type="pct"/>
            <w:vMerge w:val="continue"/>
            <w:tcBorders>
              <w:tl2br w:val="nil"/>
              <w:tr2bl w:val="nil"/>
            </w:tcBorders>
            <w:noWrap w:val="0"/>
            <w:vAlign w:val="center"/>
          </w:tcPr>
          <w:p w14:paraId="7F0CD253">
            <w:pPr>
              <w:jc w:val="center"/>
              <w:rPr>
                <w:rFonts w:hint="eastAsia" w:ascii="微软雅黑" w:hAnsi="微软雅黑" w:eastAsia="微软雅黑" w:cs="微软雅黑"/>
                <w:i w:val="0"/>
                <w:iCs w:val="0"/>
                <w:color w:val="000000"/>
                <w:sz w:val="20"/>
                <w:szCs w:val="20"/>
                <w:u w:val="none"/>
              </w:rPr>
            </w:pPr>
          </w:p>
        </w:tc>
      </w:tr>
      <w:tr w14:paraId="483329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DB144F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B5D3A1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AF52F2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有效距离：0cm-700cm</w:t>
            </w:r>
          </w:p>
        </w:tc>
        <w:tc>
          <w:tcPr>
            <w:tcW w:w="282" w:type="pct"/>
            <w:vMerge w:val="continue"/>
            <w:tcBorders>
              <w:tl2br w:val="nil"/>
              <w:tr2bl w:val="nil"/>
            </w:tcBorders>
            <w:noWrap w:val="0"/>
            <w:vAlign w:val="center"/>
          </w:tcPr>
          <w:p w14:paraId="376EC3F1">
            <w:pPr>
              <w:jc w:val="center"/>
              <w:rPr>
                <w:rFonts w:hint="eastAsia" w:ascii="微软雅黑" w:hAnsi="微软雅黑" w:eastAsia="微软雅黑" w:cs="微软雅黑"/>
                <w:i w:val="0"/>
                <w:iCs w:val="0"/>
                <w:color w:val="000000"/>
                <w:sz w:val="20"/>
                <w:szCs w:val="20"/>
                <w:u w:val="none"/>
              </w:rPr>
            </w:pPr>
          </w:p>
        </w:tc>
      </w:tr>
      <w:tr w14:paraId="531679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ADD239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9517E9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34D427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速度范围：0-500cm/s</w:t>
            </w:r>
          </w:p>
        </w:tc>
        <w:tc>
          <w:tcPr>
            <w:tcW w:w="282" w:type="pct"/>
            <w:vMerge w:val="continue"/>
            <w:tcBorders>
              <w:tl2br w:val="nil"/>
              <w:tr2bl w:val="nil"/>
            </w:tcBorders>
            <w:noWrap w:val="0"/>
            <w:vAlign w:val="center"/>
          </w:tcPr>
          <w:p w14:paraId="74F3B431">
            <w:pPr>
              <w:jc w:val="center"/>
              <w:rPr>
                <w:rFonts w:hint="eastAsia" w:ascii="微软雅黑" w:hAnsi="微软雅黑" w:eastAsia="微软雅黑" w:cs="微软雅黑"/>
                <w:i w:val="0"/>
                <w:iCs w:val="0"/>
                <w:color w:val="000000"/>
                <w:sz w:val="20"/>
                <w:szCs w:val="20"/>
                <w:u w:val="none"/>
              </w:rPr>
            </w:pPr>
          </w:p>
        </w:tc>
      </w:tr>
      <w:tr w14:paraId="2ED337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6CDD1D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714772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8B89AF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4.OpenMV</w:t>
            </w:r>
          </w:p>
        </w:tc>
        <w:tc>
          <w:tcPr>
            <w:tcW w:w="282" w:type="pct"/>
            <w:vMerge w:val="continue"/>
            <w:tcBorders>
              <w:tl2br w:val="nil"/>
              <w:tr2bl w:val="nil"/>
            </w:tcBorders>
            <w:noWrap w:val="0"/>
            <w:vAlign w:val="center"/>
          </w:tcPr>
          <w:p w14:paraId="790EF3D2">
            <w:pPr>
              <w:jc w:val="center"/>
              <w:rPr>
                <w:rFonts w:hint="eastAsia" w:ascii="微软雅黑" w:hAnsi="微软雅黑" w:eastAsia="微软雅黑" w:cs="微软雅黑"/>
                <w:i w:val="0"/>
                <w:iCs w:val="0"/>
                <w:color w:val="000000"/>
                <w:sz w:val="20"/>
                <w:szCs w:val="20"/>
                <w:u w:val="none"/>
              </w:rPr>
            </w:pPr>
          </w:p>
        </w:tc>
      </w:tr>
      <w:tr w14:paraId="548021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0DA403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4F1A62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AC99B4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以 STM32H743ViT6 为核心，集成了 OV7725 摄像头芯片（OV7725 支持多种不同分辨率图像的输出，包括 VGA （ 640x480 ） 、 QVGA（320x240）），在小巧的硬件模块上，用 C 语言高效地实现了核心机器视觉算法，提供 Python 编程接口。</w:t>
            </w:r>
          </w:p>
        </w:tc>
        <w:tc>
          <w:tcPr>
            <w:tcW w:w="282" w:type="pct"/>
            <w:vMerge w:val="continue"/>
            <w:tcBorders>
              <w:tl2br w:val="nil"/>
              <w:tr2bl w:val="nil"/>
            </w:tcBorders>
            <w:noWrap w:val="0"/>
            <w:vAlign w:val="center"/>
          </w:tcPr>
          <w:p w14:paraId="767E4C21">
            <w:pPr>
              <w:jc w:val="center"/>
              <w:rPr>
                <w:rFonts w:hint="eastAsia" w:ascii="微软雅黑" w:hAnsi="微软雅黑" w:eastAsia="微软雅黑" w:cs="微软雅黑"/>
                <w:i w:val="0"/>
                <w:iCs w:val="0"/>
                <w:color w:val="000000"/>
                <w:sz w:val="20"/>
                <w:szCs w:val="20"/>
                <w:u w:val="none"/>
              </w:rPr>
            </w:pPr>
          </w:p>
        </w:tc>
      </w:tr>
      <w:tr w14:paraId="408190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4F6DA10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457" w:type="pct"/>
            <w:vMerge w:val="restart"/>
            <w:tcBorders>
              <w:tl2br w:val="nil"/>
              <w:tr2bl w:val="nil"/>
            </w:tcBorders>
            <w:noWrap w:val="0"/>
            <w:vAlign w:val="center"/>
          </w:tcPr>
          <w:p w14:paraId="71DE490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抛投模块</w:t>
            </w:r>
          </w:p>
        </w:tc>
        <w:tc>
          <w:tcPr>
            <w:tcW w:w="4025" w:type="pct"/>
            <w:tcBorders>
              <w:tl2br w:val="nil"/>
              <w:tr2bl w:val="nil"/>
            </w:tcBorders>
            <w:noWrap w:val="0"/>
            <w:vAlign w:val="center"/>
          </w:tcPr>
          <w:p w14:paraId="39F1D6A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1.尺寸：≥55×55×50mm；</w:t>
            </w:r>
          </w:p>
        </w:tc>
        <w:tc>
          <w:tcPr>
            <w:tcW w:w="282" w:type="pct"/>
            <w:vMerge w:val="restart"/>
            <w:tcBorders>
              <w:tl2br w:val="nil"/>
              <w:tr2bl w:val="nil"/>
            </w:tcBorders>
            <w:noWrap w:val="0"/>
            <w:vAlign w:val="center"/>
          </w:tcPr>
          <w:p w14:paraId="5443C18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5361B2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759447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740E6D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4BE5FF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2.防护等级：≥IP4X；</w:t>
            </w:r>
          </w:p>
        </w:tc>
        <w:tc>
          <w:tcPr>
            <w:tcW w:w="282" w:type="pct"/>
            <w:vMerge w:val="continue"/>
            <w:tcBorders>
              <w:tl2br w:val="nil"/>
              <w:tr2bl w:val="nil"/>
            </w:tcBorders>
            <w:noWrap w:val="0"/>
            <w:vAlign w:val="center"/>
          </w:tcPr>
          <w:p w14:paraId="1CBDF87B">
            <w:pPr>
              <w:jc w:val="center"/>
              <w:rPr>
                <w:rFonts w:hint="eastAsia" w:ascii="微软雅黑" w:hAnsi="微软雅黑" w:eastAsia="微软雅黑" w:cs="微软雅黑"/>
                <w:i w:val="0"/>
                <w:iCs w:val="0"/>
                <w:color w:val="000000"/>
                <w:sz w:val="20"/>
                <w:szCs w:val="20"/>
                <w:u w:val="none"/>
              </w:rPr>
            </w:pPr>
          </w:p>
        </w:tc>
      </w:tr>
      <w:tr w14:paraId="278AEC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43A3B7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8E0AF9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F32CE3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3.重量：≥120g；</w:t>
            </w:r>
          </w:p>
        </w:tc>
        <w:tc>
          <w:tcPr>
            <w:tcW w:w="282" w:type="pct"/>
            <w:vMerge w:val="continue"/>
            <w:tcBorders>
              <w:tl2br w:val="nil"/>
              <w:tr2bl w:val="nil"/>
            </w:tcBorders>
            <w:noWrap w:val="0"/>
            <w:vAlign w:val="center"/>
          </w:tcPr>
          <w:p w14:paraId="3F5C9D6B">
            <w:pPr>
              <w:jc w:val="center"/>
              <w:rPr>
                <w:rFonts w:hint="eastAsia" w:ascii="微软雅黑" w:hAnsi="微软雅黑" w:eastAsia="微软雅黑" w:cs="微软雅黑"/>
                <w:i w:val="0"/>
                <w:iCs w:val="0"/>
                <w:color w:val="000000"/>
                <w:sz w:val="20"/>
                <w:szCs w:val="20"/>
                <w:u w:val="none"/>
              </w:rPr>
            </w:pPr>
          </w:p>
        </w:tc>
      </w:tr>
      <w:tr w14:paraId="4005CF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C682CD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64B4F1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4CE565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4.额定功率：≥10W；</w:t>
            </w:r>
          </w:p>
        </w:tc>
        <w:tc>
          <w:tcPr>
            <w:tcW w:w="282" w:type="pct"/>
            <w:vMerge w:val="continue"/>
            <w:tcBorders>
              <w:tl2br w:val="nil"/>
              <w:tr2bl w:val="nil"/>
            </w:tcBorders>
            <w:noWrap w:val="0"/>
            <w:vAlign w:val="center"/>
          </w:tcPr>
          <w:p w14:paraId="4BF9F93E">
            <w:pPr>
              <w:jc w:val="center"/>
              <w:rPr>
                <w:rFonts w:hint="eastAsia" w:ascii="微软雅黑" w:hAnsi="微软雅黑" w:eastAsia="微软雅黑" w:cs="微软雅黑"/>
                <w:i w:val="0"/>
                <w:iCs w:val="0"/>
                <w:color w:val="000000"/>
                <w:sz w:val="20"/>
                <w:szCs w:val="20"/>
                <w:u w:val="none"/>
              </w:rPr>
            </w:pPr>
          </w:p>
        </w:tc>
      </w:tr>
      <w:tr w14:paraId="5961F6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A4E0DF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8B5805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DBCF78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5.挂载数量：≥4；</w:t>
            </w:r>
          </w:p>
        </w:tc>
        <w:tc>
          <w:tcPr>
            <w:tcW w:w="282" w:type="pct"/>
            <w:vMerge w:val="continue"/>
            <w:tcBorders>
              <w:tl2br w:val="nil"/>
              <w:tr2bl w:val="nil"/>
            </w:tcBorders>
            <w:noWrap w:val="0"/>
            <w:vAlign w:val="center"/>
          </w:tcPr>
          <w:p w14:paraId="5DF225BC">
            <w:pPr>
              <w:jc w:val="center"/>
              <w:rPr>
                <w:rFonts w:hint="eastAsia" w:ascii="微软雅黑" w:hAnsi="微软雅黑" w:eastAsia="微软雅黑" w:cs="微软雅黑"/>
                <w:i w:val="0"/>
                <w:iCs w:val="0"/>
                <w:color w:val="000000"/>
                <w:sz w:val="20"/>
                <w:szCs w:val="20"/>
                <w:u w:val="none"/>
              </w:rPr>
            </w:pPr>
          </w:p>
        </w:tc>
      </w:tr>
      <w:tr w14:paraId="3C45AE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5D5AF8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D2548F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A9AB49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6.单个挂载重量：最大3kg；总挂载重量：最大12kg；</w:t>
            </w:r>
          </w:p>
        </w:tc>
        <w:tc>
          <w:tcPr>
            <w:tcW w:w="282" w:type="pct"/>
            <w:vMerge w:val="continue"/>
            <w:tcBorders>
              <w:tl2br w:val="nil"/>
              <w:tr2bl w:val="nil"/>
            </w:tcBorders>
            <w:noWrap w:val="0"/>
            <w:vAlign w:val="center"/>
          </w:tcPr>
          <w:p w14:paraId="0419AF04">
            <w:pPr>
              <w:jc w:val="center"/>
              <w:rPr>
                <w:rFonts w:hint="eastAsia" w:ascii="微软雅黑" w:hAnsi="微软雅黑" w:eastAsia="微软雅黑" w:cs="微软雅黑"/>
                <w:i w:val="0"/>
                <w:iCs w:val="0"/>
                <w:color w:val="000000"/>
                <w:sz w:val="20"/>
                <w:szCs w:val="20"/>
                <w:u w:val="none"/>
              </w:rPr>
            </w:pPr>
          </w:p>
        </w:tc>
      </w:tr>
      <w:tr w14:paraId="6D63C2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70F8A2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3E8CB8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375FF8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7.投放功能至少支持单点投放.一键全投；</w:t>
            </w:r>
          </w:p>
        </w:tc>
        <w:tc>
          <w:tcPr>
            <w:tcW w:w="282" w:type="pct"/>
            <w:vMerge w:val="continue"/>
            <w:tcBorders>
              <w:tl2br w:val="nil"/>
              <w:tr2bl w:val="nil"/>
            </w:tcBorders>
            <w:noWrap w:val="0"/>
            <w:vAlign w:val="center"/>
          </w:tcPr>
          <w:p w14:paraId="3D4E2729">
            <w:pPr>
              <w:jc w:val="center"/>
              <w:rPr>
                <w:rFonts w:hint="eastAsia" w:ascii="微软雅黑" w:hAnsi="微软雅黑" w:eastAsia="微软雅黑" w:cs="微软雅黑"/>
                <w:i w:val="0"/>
                <w:iCs w:val="0"/>
                <w:color w:val="000000"/>
                <w:sz w:val="20"/>
                <w:szCs w:val="20"/>
                <w:u w:val="none"/>
              </w:rPr>
            </w:pPr>
          </w:p>
        </w:tc>
      </w:tr>
      <w:tr w14:paraId="55A8F0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333336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88F9FE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CDCBBF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8.安装方式至少支持快拆式。</w:t>
            </w:r>
          </w:p>
        </w:tc>
        <w:tc>
          <w:tcPr>
            <w:tcW w:w="282" w:type="pct"/>
            <w:vMerge w:val="continue"/>
            <w:tcBorders>
              <w:tl2br w:val="nil"/>
              <w:tr2bl w:val="nil"/>
            </w:tcBorders>
            <w:noWrap w:val="0"/>
            <w:vAlign w:val="center"/>
          </w:tcPr>
          <w:p w14:paraId="067D5ED4">
            <w:pPr>
              <w:jc w:val="center"/>
              <w:rPr>
                <w:rFonts w:hint="eastAsia" w:ascii="微软雅黑" w:hAnsi="微软雅黑" w:eastAsia="微软雅黑" w:cs="微软雅黑"/>
                <w:i w:val="0"/>
                <w:iCs w:val="0"/>
                <w:color w:val="000000"/>
                <w:sz w:val="20"/>
                <w:szCs w:val="20"/>
                <w:u w:val="none"/>
              </w:rPr>
            </w:pPr>
          </w:p>
        </w:tc>
      </w:tr>
      <w:tr w14:paraId="566B92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46C6E1D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457" w:type="pct"/>
            <w:vMerge w:val="restart"/>
            <w:tcBorders>
              <w:tl2br w:val="nil"/>
              <w:tr2bl w:val="nil"/>
            </w:tcBorders>
            <w:noWrap w:val="0"/>
            <w:vAlign w:val="center"/>
          </w:tcPr>
          <w:p w14:paraId="3201E40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机械臂载荷</w:t>
            </w:r>
          </w:p>
        </w:tc>
        <w:tc>
          <w:tcPr>
            <w:tcW w:w="4025" w:type="pct"/>
            <w:tcBorders>
              <w:tl2br w:val="nil"/>
              <w:tr2bl w:val="nil"/>
            </w:tcBorders>
            <w:noWrap w:val="0"/>
            <w:vAlign w:val="center"/>
          </w:tcPr>
          <w:p w14:paraId="08F546A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1.手臂臂展：≥600mm；</w:t>
            </w:r>
          </w:p>
        </w:tc>
        <w:tc>
          <w:tcPr>
            <w:tcW w:w="282" w:type="pct"/>
            <w:vMerge w:val="restart"/>
            <w:tcBorders>
              <w:tl2br w:val="nil"/>
              <w:tr2bl w:val="nil"/>
            </w:tcBorders>
            <w:noWrap w:val="0"/>
            <w:vAlign w:val="center"/>
          </w:tcPr>
          <w:p w14:paraId="58E770B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564A15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D0EBAC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0861CF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402842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2.手臂自由度：≥4；</w:t>
            </w:r>
          </w:p>
        </w:tc>
        <w:tc>
          <w:tcPr>
            <w:tcW w:w="282" w:type="pct"/>
            <w:vMerge w:val="continue"/>
            <w:tcBorders>
              <w:tl2br w:val="nil"/>
              <w:tr2bl w:val="nil"/>
            </w:tcBorders>
            <w:noWrap w:val="0"/>
            <w:vAlign w:val="center"/>
          </w:tcPr>
          <w:p w14:paraId="394DA7AB">
            <w:pPr>
              <w:jc w:val="center"/>
              <w:rPr>
                <w:rFonts w:hint="eastAsia" w:ascii="微软雅黑" w:hAnsi="微软雅黑" w:eastAsia="微软雅黑" w:cs="微软雅黑"/>
                <w:i w:val="0"/>
                <w:iCs w:val="0"/>
                <w:color w:val="000000"/>
                <w:sz w:val="20"/>
                <w:szCs w:val="20"/>
                <w:u w:val="none"/>
              </w:rPr>
            </w:pPr>
          </w:p>
        </w:tc>
      </w:tr>
      <w:tr w14:paraId="463A8D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70799C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DF17B6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EA607A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3.末端执行器最大速度：≥1m/s；</w:t>
            </w:r>
          </w:p>
        </w:tc>
        <w:tc>
          <w:tcPr>
            <w:tcW w:w="282" w:type="pct"/>
            <w:vMerge w:val="continue"/>
            <w:tcBorders>
              <w:tl2br w:val="nil"/>
              <w:tr2bl w:val="nil"/>
            </w:tcBorders>
            <w:noWrap w:val="0"/>
            <w:vAlign w:val="center"/>
          </w:tcPr>
          <w:p w14:paraId="2783CC1B">
            <w:pPr>
              <w:jc w:val="center"/>
              <w:rPr>
                <w:rFonts w:hint="eastAsia" w:ascii="微软雅黑" w:hAnsi="微软雅黑" w:eastAsia="微软雅黑" w:cs="微软雅黑"/>
                <w:i w:val="0"/>
                <w:iCs w:val="0"/>
                <w:color w:val="000000"/>
                <w:sz w:val="20"/>
                <w:szCs w:val="20"/>
                <w:u w:val="none"/>
              </w:rPr>
            </w:pPr>
          </w:p>
        </w:tc>
      </w:tr>
      <w:tr w14:paraId="1931A0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EA3DE4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17C916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49B938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4.末端最大负载：≥500g；</w:t>
            </w:r>
          </w:p>
        </w:tc>
        <w:tc>
          <w:tcPr>
            <w:tcW w:w="282" w:type="pct"/>
            <w:vMerge w:val="continue"/>
            <w:tcBorders>
              <w:tl2br w:val="nil"/>
              <w:tr2bl w:val="nil"/>
            </w:tcBorders>
            <w:noWrap w:val="0"/>
            <w:vAlign w:val="center"/>
          </w:tcPr>
          <w:p w14:paraId="2DEC3122">
            <w:pPr>
              <w:jc w:val="center"/>
              <w:rPr>
                <w:rFonts w:hint="eastAsia" w:ascii="微软雅黑" w:hAnsi="微软雅黑" w:eastAsia="微软雅黑" w:cs="微软雅黑"/>
                <w:i w:val="0"/>
                <w:iCs w:val="0"/>
                <w:color w:val="000000"/>
                <w:sz w:val="20"/>
                <w:szCs w:val="20"/>
                <w:u w:val="none"/>
              </w:rPr>
            </w:pPr>
          </w:p>
        </w:tc>
      </w:tr>
      <w:tr w14:paraId="7DCB9D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633E96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E77CEB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D531AD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5.可伸展至无人机旋翼外侧进行作业而不影响无人机平稳悬停/飞行；</w:t>
            </w:r>
          </w:p>
        </w:tc>
        <w:tc>
          <w:tcPr>
            <w:tcW w:w="282" w:type="pct"/>
            <w:vMerge w:val="continue"/>
            <w:tcBorders>
              <w:tl2br w:val="nil"/>
              <w:tr2bl w:val="nil"/>
            </w:tcBorders>
            <w:noWrap w:val="0"/>
            <w:vAlign w:val="center"/>
          </w:tcPr>
          <w:p w14:paraId="38505122">
            <w:pPr>
              <w:jc w:val="center"/>
              <w:rPr>
                <w:rFonts w:hint="eastAsia" w:ascii="微软雅黑" w:hAnsi="微软雅黑" w:eastAsia="微软雅黑" w:cs="微软雅黑"/>
                <w:i w:val="0"/>
                <w:iCs w:val="0"/>
                <w:color w:val="000000"/>
                <w:sz w:val="20"/>
                <w:szCs w:val="20"/>
                <w:u w:val="none"/>
              </w:rPr>
            </w:pPr>
          </w:p>
        </w:tc>
      </w:tr>
      <w:tr w14:paraId="23C9FD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8AB9E6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184BAA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B980EF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6.支持遥控器单独控制；</w:t>
            </w:r>
          </w:p>
        </w:tc>
        <w:tc>
          <w:tcPr>
            <w:tcW w:w="282" w:type="pct"/>
            <w:vMerge w:val="continue"/>
            <w:tcBorders>
              <w:tl2br w:val="nil"/>
              <w:tr2bl w:val="nil"/>
            </w:tcBorders>
            <w:noWrap w:val="0"/>
            <w:vAlign w:val="center"/>
          </w:tcPr>
          <w:p w14:paraId="5C47F388">
            <w:pPr>
              <w:jc w:val="center"/>
              <w:rPr>
                <w:rFonts w:hint="eastAsia" w:ascii="微软雅黑" w:hAnsi="微软雅黑" w:eastAsia="微软雅黑" w:cs="微软雅黑"/>
                <w:i w:val="0"/>
                <w:iCs w:val="0"/>
                <w:color w:val="000000"/>
                <w:sz w:val="20"/>
                <w:szCs w:val="20"/>
                <w:u w:val="none"/>
              </w:rPr>
            </w:pPr>
          </w:p>
        </w:tc>
      </w:tr>
      <w:tr w14:paraId="43C678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CB22CB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C742B7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193EDE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7.支持双路、多视角无线传输，高分辨率、超广角、高速数据采集传输；</w:t>
            </w:r>
          </w:p>
        </w:tc>
        <w:tc>
          <w:tcPr>
            <w:tcW w:w="282" w:type="pct"/>
            <w:vMerge w:val="continue"/>
            <w:tcBorders>
              <w:tl2br w:val="nil"/>
              <w:tr2bl w:val="nil"/>
            </w:tcBorders>
            <w:noWrap w:val="0"/>
            <w:vAlign w:val="center"/>
          </w:tcPr>
          <w:p w14:paraId="1262759B">
            <w:pPr>
              <w:jc w:val="center"/>
              <w:rPr>
                <w:rFonts w:hint="eastAsia" w:ascii="微软雅黑" w:hAnsi="微软雅黑" w:eastAsia="微软雅黑" w:cs="微软雅黑"/>
                <w:i w:val="0"/>
                <w:iCs w:val="0"/>
                <w:color w:val="000000"/>
                <w:sz w:val="20"/>
                <w:szCs w:val="20"/>
                <w:u w:val="none"/>
              </w:rPr>
            </w:pPr>
          </w:p>
        </w:tc>
      </w:tr>
      <w:tr w14:paraId="7B4A0A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7AC738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9B7FBD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629C6A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8.搭载实时高清显示屏，高频数据传输反馈，超远程控制。</w:t>
            </w:r>
          </w:p>
        </w:tc>
        <w:tc>
          <w:tcPr>
            <w:tcW w:w="282" w:type="pct"/>
            <w:vMerge w:val="continue"/>
            <w:tcBorders>
              <w:tl2br w:val="nil"/>
              <w:tr2bl w:val="nil"/>
            </w:tcBorders>
            <w:noWrap w:val="0"/>
            <w:vAlign w:val="center"/>
          </w:tcPr>
          <w:p w14:paraId="5517BAEE">
            <w:pPr>
              <w:jc w:val="center"/>
              <w:rPr>
                <w:rFonts w:hint="eastAsia" w:ascii="微软雅黑" w:hAnsi="微软雅黑" w:eastAsia="微软雅黑" w:cs="微软雅黑"/>
                <w:i w:val="0"/>
                <w:iCs w:val="0"/>
                <w:color w:val="000000"/>
                <w:sz w:val="20"/>
                <w:szCs w:val="20"/>
                <w:u w:val="none"/>
              </w:rPr>
            </w:pPr>
          </w:p>
        </w:tc>
      </w:tr>
      <w:tr w14:paraId="17A5E2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35" w:type="pct"/>
            <w:tcBorders>
              <w:tl2br w:val="nil"/>
              <w:tr2bl w:val="nil"/>
            </w:tcBorders>
            <w:noWrap w:val="0"/>
            <w:vAlign w:val="center"/>
          </w:tcPr>
          <w:p w14:paraId="2053D89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457" w:type="pct"/>
            <w:tcBorders>
              <w:tl2br w:val="nil"/>
              <w:tr2bl w:val="nil"/>
            </w:tcBorders>
            <w:noWrap w:val="0"/>
            <w:vAlign w:val="center"/>
          </w:tcPr>
          <w:p w14:paraId="5F863F3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双云台挂载组件</w:t>
            </w:r>
          </w:p>
        </w:tc>
        <w:tc>
          <w:tcPr>
            <w:tcW w:w="4025" w:type="pct"/>
            <w:tcBorders>
              <w:tl2br w:val="nil"/>
              <w:tr2bl w:val="nil"/>
            </w:tcBorders>
            <w:noWrap w:val="0"/>
            <w:vAlign w:val="center"/>
          </w:tcPr>
          <w:p w14:paraId="379EE10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1.与典型场景应用飞行模块搭配，安装负载至飞行器底部，防水等级达 IP44。</w:t>
            </w:r>
          </w:p>
        </w:tc>
        <w:tc>
          <w:tcPr>
            <w:tcW w:w="282" w:type="pct"/>
            <w:tcBorders>
              <w:tl2br w:val="nil"/>
              <w:tr2bl w:val="nil"/>
            </w:tcBorders>
            <w:noWrap w:val="0"/>
            <w:vAlign w:val="center"/>
          </w:tcPr>
          <w:p w14:paraId="24AA3A4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49C9EF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restart"/>
            <w:tcBorders>
              <w:tl2br w:val="nil"/>
              <w:tr2bl w:val="nil"/>
            </w:tcBorders>
            <w:noWrap w:val="0"/>
            <w:vAlign w:val="center"/>
          </w:tcPr>
          <w:p w14:paraId="0B6CEFA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457" w:type="pct"/>
            <w:vMerge w:val="restart"/>
            <w:tcBorders>
              <w:tl2br w:val="nil"/>
              <w:tr2bl w:val="nil"/>
            </w:tcBorders>
            <w:noWrap w:val="0"/>
            <w:vAlign w:val="center"/>
          </w:tcPr>
          <w:p w14:paraId="08D1C3D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无人机装调检修实训平台</w:t>
            </w:r>
            <w:r>
              <w:rPr>
                <w:rFonts w:hint="eastAsia" w:ascii="宋体" w:hAnsi="宋体" w:cs="宋体"/>
                <w:i w:val="0"/>
                <w:iCs w:val="0"/>
                <w:color w:val="auto"/>
                <w:kern w:val="0"/>
                <w:sz w:val="18"/>
                <w:szCs w:val="18"/>
                <w:u w:val="none"/>
                <w:lang w:val="en-US" w:eastAsia="zh-CN" w:bidi="ar"/>
              </w:rPr>
              <w:t>★</w:t>
            </w:r>
          </w:p>
        </w:tc>
        <w:tc>
          <w:tcPr>
            <w:tcW w:w="4025" w:type="pct"/>
            <w:tcBorders>
              <w:tl2br w:val="nil"/>
              <w:tr2bl w:val="nil"/>
            </w:tcBorders>
            <w:noWrap w:val="0"/>
            <w:vAlign w:val="center"/>
          </w:tcPr>
          <w:p w14:paraId="74CE5BD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一、产品总体要求</w:t>
            </w:r>
          </w:p>
        </w:tc>
        <w:tc>
          <w:tcPr>
            <w:tcW w:w="282" w:type="pct"/>
            <w:vMerge w:val="restart"/>
            <w:tcBorders>
              <w:tl2br w:val="nil"/>
              <w:tr2bl w:val="nil"/>
            </w:tcBorders>
            <w:noWrap w:val="0"/>
            <w:vAlign w:val="center"/>
          </w:tcPr>
          <w:p w14:paraId="65ED929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14:paraId="7E2ADE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A2978F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115AC6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02F60C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1、整体规格要求：长*宽*高：1640mm*900mm*1515mm（±20mm不含指示灯及监控装置伸展位置）；</w:t>
            </w:r>
          </w:p>
        </w:tc>
        <w:tc>
          <w:tcPr>
            <w:tcW w:w="282" w:type="pct"/>
            <w:vMerge w:val="continue"/>
            <w:tcBorders>
              <w:tl2br w:val="nil"/>
              <w:tr2bl w:val="nil"/>
            </w:tcBorders>
            <w:noWrap w:val="0"/>
            <w:vAlign w:val="center"/>
          </w:tcPr>
          <w:p w14:paraId="42EF5B2E">
            <w:pPr>
              <w:jc w:val="center"/>
              <w:rPr>
                <w:rFonts w:hint="eastAsia" w:ascii="微软雅黑" w:hAnsi="微软雅黑" w:eastAsia="微软雅黑" w:cs="微软雅黑"/>
                <w:i w:val="0"/>
                <w:iCs w:val="0"/>
                <w:color w:val="000000"/>
                <w:sz w:val="20"/>
                <w:szCs w:val="20"/>
                <w:u w:val="none"/>
              </w:rPr>
            </w:pPr>
          </w:p>
        </w:tc>
      </w:tr>
      <w:tr w14:paraId="3194B7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5" w:type="pct"/>
            <w:vMerge w:val="continue"/>
            <w:tcBorders>
              <w:tl2br w:val="nil"/>
              <w:tr2bl w:val="nil"/>
            </w:tcBorders>
            <w:noWrap w:val="0"/>
            <w:vAlign w:val="center"/>
          </w:tcPr>
          <w:p w14:paraId="30C9340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6E8EBC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53B53A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设备主体配置四层抽屉式储物间及对开储物隔间，整体材料采用型材加钣金组成，表面采用阳极氧化，台体配置可折叠拓展桌面长*宽：≥598mm*816mm；并配置USB插板、十孔插座、按钮盒、指示灯、电控箱及可升降监控系统（摄像头采用不低于200万红外定焦海螺半球网络摄像机）。</w:t>
            </w:r>
          </w:p>
        </w:tc>
        <w:tc>
          <w:tcPr>
            <w:tcW w:w="282" w:type="pct"/>
            <w:vMerge w:val="continue"/>
            <w:tcBorders>
              <w:tl2br w:val="nil"/>
              <w:tr2bl w:val="nil"/>
            </w:tcBorders>
            <w:noWrap w:val="0"/>
            <w:vAlign w:val="center"/>
          </w:tcPr>
          <w:p w14:paraId="49C99161">
            <w:pPr>
              <w:jc w:val="center"/>
              <w:rPr>
                <w:rFonts w:hint="eastAsia" w:ascii="微软雅黑" w:hAnsi="微软雅黑" w:eastAsia="微软雅黑" w:cs="微软雅黑"/>
                <w:i w:val="0"/>
                <w:iCs w:val="0"/>
                <w:color w:val="000000"/>
                <w:sz w:val="20"/>
                <w:szCs w:val="20"/>
                <w:u w:val="none"/>
              </w:rPr>
            </w:pPr>
          </w:p>
        </w:tc>
      </w:tr>
      <w:tr w14:paraId="30CD8D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4257218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8AAF30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CAEC15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3、设备要求由实训台台架、无人机组装调试模块、飞行测试模块、无人机参数配置模块、无人机维修定损考核系统、工具模块等部分组成。满足无人机组装与调试、无人机检修、无人机飞行测试等需求。</w:t>
            </w:r>
          </w:p>
        </w:tc>
        <w:tc>
          <w:tcPr>
            <w:tcW w:w="282" w:type="pct"/>
            <w:vMerge w:val="continue"/>
            <w:tcBorders>
              <w:tl2br w:val="nil"/>
              <w:tr2bl w:val="nil"/>
            </w:tcBorders>
            <w:noWrap w:val="0"/>
            <w:vAlign w:val="center"/>
          </w:tcPr>
          <w:p w14:paraId="2942A971">
            <w:pPr>
              <w:jc w:val="center"/>
              <w:rPr>
                <w:rFonts w:hint="eastAsia" w:ascii="微软雅黑" w:hAnsi="微软雅黑" w:eastAsia="微软雅黑" w:cs="微软雅黑"/>
                <w:i w:val="0"/>
                <w:iCs w:val="0"/>
                <w:color w:val="000000"/>
                <w:sz w:val="20"/>
                <w:szCs w:val="20"/>
                <w:u w:val="none"/>
              </w:rPr>
            </w:pPr>
          </w:p>
        </w:tc>
      </w:tr>
      <w:tr w14:paraId="1D5ACC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CE5130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1A4FC0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F89F0E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二、平台结构与组成要求</w:t>
            </w:r>
          </w:p>
        </w:tc>
        <w:tc>
          <w:tcPr>
            <w:tcW w:w="282" w:type="pct"/>
            <w:vMerge w:val="continue"/>
            <w:tcBorders>
              <w:tl2br w:val="nil"/>
              <w:tr2bl w:val="nil"/>
            </w:tcBorders>
            <w:noWrap w:val="0"/>
            <w:vAlign w:val="center"/>
          </w:tcPr>
          <w:p w14:paraId="26F8763F">
            <w:pPr>
              <w:jc w:val="center"/>
              <w:rPr>
                <w:rFonts w:hint="eastAsia" w:ascii="微软雅黑" w:hAnsi="微软雅黑" w:eastAsia="微软雅黑" w:cs="微软雅黑"/>
                <w:i w:val="0"/>
                <w:iCs w:val="0"/>
                <w:color w:val="000000"/>
                <w:sz w:val="20"/>
                <w:szCs w:val="20"/>
                <w:u w:val="none"/>
              </w:rPr>
            </w:pPr>
          </w:p>
        </w:tc>
      </w:tr>
      <w:tr w14:paraId="678433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084099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A99B3B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7A4FB7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（一）无人机组装调试模块</w:t>
            </w:r>
          </w:p>
        </w:tc>
        <w:tc>
          <w:tcPr>
            <w:tcW w:w="282" w:type="pct"/>
            <w:vMerge w:val="continue"/>
            <w:tcBorders>
              <w:tl2br w:val="nil"/>
              <w:tr2bl w:val="nil"/>
            </w:tcBorders>
            <w:noWrap w:val="0"/>
            <w:vAlign w:val="center"/>
          </w:tcPr>
          <w:p w14:paraId="1FE809C0">
            <w:pPr>
              <w:jc w:val="center"/>
              <w:rPr>
                <w:rFonts w:hint="eastAsia" w:ascii="微软雅黑" w:hAnsi="微软雅黑" w:eastAsia="微软雅黑" w:cs="微软雅黑"/>
                <w:i w:val="0"/>
                <w:iCs w:val="0"/>
                <w:color w:val="000000"/>
                <w:sz w:val="20"/>
                <w:szCs w:val="20"/>
                <w:u w:val="none"/>
              </w:rPr>
            </w:pPr>
          </w:p>
        </w:tc>
      </w:tr>
      <w:tr w14:paraId="63DB7B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76BAF3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C7087F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F56364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1、要求提供三种机架布局机型，分别为“十”字型，“X”型和“H”型；</w:t>
            </w:r>
          </w:p>
        </w:tc>
        <w:tc>
          <w:tcPr>
            <w:tcW w:w="282" w:type="pct"/>
            <w:vMerge w:val="continue"/>
            <w:tcBorders>
              <w:tl2br w:val="nil"/>
              <w:tr2bl w:val="nil"/>
            </w:tcBorders>
            <w:noWrap w:val="0"/>
            <w:vAlign w:val="center"/>
          </w:tcPr>
          <w:p w14:paraId="7BD0536C">
            <w:pPr>
              <w:jc w:val="center"/>
              <w:rPr>
                <w:rFonts w:hint="eastAsia" w:ascii="微软雅黑" w:hAnsi="微软雅黑" w:eastAsia="微软雅黑" w:cs="微软雅黑"/>
                <w:i w:val="0"/>
                <w:iCs w:val="0"/>
                <w:color w:val="000000"/>
                <w:sz w:val="20"/>
                <w:szCs w:val="20"/>
                <w:u w:val="none"/>
              </w:rPr>
            </w:pPr>
          </w:p>
        </w:tc>
      </w:tr>
      <w:tr w14:paraId="545CD2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52ABDF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75C67A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D29E7E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2、要求每种机架布局的中心板部件，能够满足三种机型装配使用；</w:t>
            </w:r>
          </w:p>
        </w:tc>
        <w:tc>
          <w:tcPr>
            <w:tcW w:w="282" w:type="pct"/>
            <w:vMerge w:val="continue"/>
            <w:tcBorders>
              <w:tl2br w:val="nil"/>
              <w:tr2bl w:val="nil"/>
            </w:tcBorders>
            <w:noWrap w:val="0"/>
            <w:vAlign w:val="center"/>
          </w:tcPr>
          <w:p w14:paraId="6EAC7A7F">
            <w:pPr>
              <w:jc w:val="center"/>
              <w:rPr>
                <w:rFonts w:hint="eastAsia" w:ascii="微软雅黑" w:hAnsi="微软雅黑" w:eastAsia="微软雅黑" w:cs="微软雅黑"/>
                <w:i w:val="0"/>
                <w:iCs w:val="0"/>
                <w:color w:val="000000"/>
                <w:sz w:val="20"/>
                <w:szCs w:val="20"/>
                <w:u w:val="none"/>
              </w:rPr>
            </w:pPr>
          </w:p>
        </w:tc>
      </w:tr>
      <w:tr w14:paraId="453C81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D94ACD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0E40C2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812AB3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3、平台要求提供五种不同规格电机；且每种不同规格电机4颗；</w:t>
            </w:r>
          </w:p>
        </w:tc>
        <w:tc>
          <w:tcPr>
            <w:tcW w:w="282" w:type="pct"/>
            <w:vMerge w:val="continue"/>
            <w:tcBorders>
              <w:tl2br w:val="nil"/>
              <w:tr2bl w:val="nil"/>
            </w:tcBorders>
            <w:noWrap w:val="0"/>
            <w:vAlign w:val="center"/>
          </w:tcPr>
          <w:p w14:paraId="7F6C4909">
            <w:pPr>
              <w:jc w:val="center"/>
              <w:rPr>
                <w:rFonts w:hint="eastAsia" w:ascii="微软雅黑" w:hAnsi="微软雅黑" w:eastAsia="微软雅黑" w:cs="微软雅黑"/>
                <w:i w:val="0"/>
                <w:iCs w:val="0"/>
                <w:color w:val="000000"/>
                <w:sz w:val="20"/>
                <w:szCs w:val="20"/>
                <w:u w:val="none"/>
              </w:rPr>
            </w:pPr>
          </w:p>
        </w:tc>
      </w:tr>
      <w:tr w14:paraId="6978FD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0F607A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BAF930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51B202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4、电调规格类型不少于三种，且要求分别包含20A、30A、40A，每种不少于4条，总数不少于12条；</w:t>
            </w:r>
          </w:p>
        </w:tc>
        <w:tc>
          <w:tcPr>
            <w:tcW w:w="282" w:type="pct"/>
            <w:vMerge w:val="continue"/>
            <w:tcBorders>
              <w:tl2br w:val="nil"/>
              <w:tr2bl w:val="nil"/>
            </w:tcBorders>
            <w:noWrap w:val="0"/>
            <w:vAlign w:val="center"/>
          </w:tcPr>
          <w:p w14:paraId="1EE8D132">
            <w:pPr>
              <w:jc w:val="center"/>
              <w:rPr>
                <w:rFonts w:hint="eastAsia" w:ascii="微软雅黑" w:hAnsi="微软雅黑" w:eastAsia="微软雅黑" w:cs="微软雅黑"/>
                <w:i w:val="0"/>
                <w:iCs w:val="0"/>
                <w:color w:val="000000"/>
                <w:sz w:val="20"/>
                <w:szCs w:val="20"/>
                <w:u w:val="none"/>
              </w:rPr>
            </w:pPr>
          </w:p>
        </w:tc>
      </w:tr>
      <w:tr w14:paraId="78F969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E8119D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801211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BC0D04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5、桨叶规格不少于4种，材质要求为塑料，每种规格不少于两对，总数不少于8对；</w:t>
            </w:r>
          </w:p>
        </w:tc>
        <w:tc>
          <w:tcPr>
            <w:tcW w:w="282" w:type="pct"/>
            <w:vMerge w:val="continue"/>
            <w:tcBorders>
              <w:tl2br w:val="nil"/>
              <w:tr2bl w:val="nil"/>
            </w:tcBorders>
            <w:noWrap w:val="0"/>
            <w:vAlign w:val="center"/>
          </w:tcPr>
          <w:p w14:paraId="139B90CD">
            <w:pPr>
              <w:jc w:val="center"/>
              <w:rPr>
                <w:rFonts w:hint="eastAsia" w:ascii="微软雅黑" w:hAnsi="微软雅黑" w:eastAsia="微软雅黑" w:cs="微软雅黑"/>
                <w:i w:val="0"/>
                <w:iCs w:val="0"/>
                <w:color w:val="000000"/>
                <w:sz w:val="20"/>
                <w:szCs w:val="20"/>
                <w:u w:val="none"/>
              </w:rPr>
            </w:pPr>
          </w:p>
        </w:tc>
      </w:tr>
      <w:tr w14:paraId="035B49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06F20C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4286FB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C7CDB6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6、电池规格：4S，容量≥5000mah，放电倍率≥30C，数量不少于3块；</w:t>
            </w:r>
          </w:p>
        </w:tc>
        <w:tc>
          <w:tcPr>
            <w:tcW w:w="282" w:type="pct"/>
            <w:vMerge w:val="continue"/>
            <w:tcBorders>
              <w:tl2br w:val="nil"/>
              <w:tr2bl w:val="nil"/>
            </w:tcBorders>
            <w:noWrap w:val="0"/>
            <w:vAlign w:val="center"/>
          </w:tcPr>
          <w:p w14:paraId="7AD12C68">
            <w:pPr>
              <w:jc w:val="center"/>
              <w:rPr>
                <w:rFonts w:hint="eastAsia" w:ascii="微软雅黑" w:hAnsi="微软雅黑" w:eastAsia="微软雅黑" w:cs="微软雅黑"/>
                <w:i w:val="0"/>
                <w:iCs w:val="0"/>
                <w:color w:val="000000"/>
                <w:sz w:val="20"/>
                <w:szCs w:val="20"/>
                <w:u w:val="none"/>
              </w:rPr>
            </w:pPr>
          </w:p>
        </w:tc>
      </w:tr>
      <w:tr w14:paraId="619BE1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4DA857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3CE2AA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E4CCE0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7、飞行控制器：支持定点模式、定高模式、任务模式和返航模式；</w:t>
            </w:r>
          </w:p>
        </w:tc>
        <w:tc>
          <w:tcPr>
            <w:tcW w:w="282" w:type="pct"/>
            <w:vMerge w:val="continue"/>
            <w:tcBorders>
              <w:tl2br w:val="nil"/>
              <w:tr2bl w:val="nil"/>
            </w:tcBorders>
            <w:noWrap w:val="0"/>
            <w:vAlign w:val="center"/>
          </w:tcPr>
          <w:p w14:paraId="0C945D04">
            <w:pPr>
              <w:jc w:val="center"/>
              <w:rPr>
                <w:rFonts w:hint="eastAsia" w:ascii="微软雅黑" w:hAnsi="微软雅黑" w:eastAsia="微软雅黑" w:cs="微软雅黑"/>
                <w:i w:val="0"/>
                <w:iCs w:val="0"/>
                <w:color w:val="000000"/>
                <w:sz w:val="20"/>
                <w:szCs w:val="20"/>
                <w:u w:val="none"/>
              </w:rPr>
            </w:pPr>
          </w:p>
        </w:tc>
      </w:tr>
      <w:tr w14:paraId="696749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A8C97E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4F58D6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E622E8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8、飞行控制器内部集成蜂鸣器，免于外接蜂鸣器模块，FLASH存储≥8MB，供电范围4.8〜5.5V；</w:t>
            </w:r>
          </w:p>
        </w:tc>
        <w:tc>
          <w:tcPr>
            <w:tcW w:w="282" w:type="pct"/>
            <w:vMerge w:val="continue"/>
            <w:tcBorders>
              <w:tl2br w:val="nil"/>
              <w:tr2bl w:val="nil"/>
            </w:tcBorders>
            <w:noWrap w:val="0"/>
            <w:vAlign w:val="center"/>
          </w:tcPr>
          <w:p w14:paraId="6FDC4C1B">
            <w:pPr>
              <w:jc w:val="center"/>
              <w:rPr>
                <w:rFonts w:hint="eastAsia" w:ascii="微软雅黑" w:hAnsi="微软雅黑" w:eastAsia="微软雅黑" w:cs="微软雅黑"/>
                <w:i w:val="0"/>
                <w:iCs w:val="0"/>
                <w:color w:val="000000"/>
                <w:sz w:val="20"/>
                <w:szCs w:val="20"/>
                <w:u w:val="none"/>
              </w:rPr>
            </w:pPr>
          </w:p>
        </w:tc>
      </w:tr>
      <w:tr w14:paraId="491D7B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5" w:type="pct"/>
            <w:vMerge w:val="continue"/>
            <w:tcBorders>
              <w:tl2br w:val="nil"/>
              <w:tr2bl w:val="nil"/>
            </w:tcBorders>
            <w:noWrap w:val="0"/>
            <w:vAlign w:val="center"/>
          </w:tcPr>
          <w:p w14:paraId="26DA85C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287673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CCACAB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飞行控制器内部集成要求包含蜂鸣器传感器模块、空速传感器模块、磁罗盘传感器模块、气压高度计模块、磁罗盘与加速度计模块、陀螺传感器模块、陀螺与加速度计传感器模块、CAN总线模块、声音报警模块、七彩指示灯模块、低压差供电模块、飞行数据存储模块、电平转换模块、参数存储模块、主控制器模块、输入输出控制器模块等；</w:t>
            </w:r>
          </w:p>
        </w:tc>
        <w:tc>
          <w:tcPr>
            <w:tcW w:w="282" w:type="pct"/>
            <w:vMerge w:val="continue"/>
            <w:tcBorders>
              <w:tl2br w:val="nil"/>
              <w:tr2bl w:val="nil"/>
            </w:tcBorders>
            <w:noWrap w:val="0"/>
            <w:vAlign w:val="center"/>
          </w:tcPr>
          <w:p w14:paraId="6A355101">
            <w:pPr>
              <w:jc w:val="center"/>
              <w:rPr>
                <w:rFonts w:hint="eastAsia" w:ascii="微软雅黑" w:hAnsi="微软雅黑" w:eastAsia="微软雅黑" w:cs="微软雅黑"/>
                <w:i w:val="0"/>
                <w:iCs w:val="0"/>
                <w:color w:val="000000"/>
                <w:sz w:val="20"/>
                <w:szCs w:val="20"/>
                <w:u w:val="none"/>
              </w:rPr>
            </w:pPr>
          </w:p>
        </w:tc>
      </w:tr>
      <w:tr w14:paraId="4501D4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FC52A4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C04629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BEFB2A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10、飞行控制器外设串口要求包含数传串口、RTK串口、GPS串口、外置罗盘、光流串口、TFMINI串口等；</w:t>
            </w:r>
          </w:p>
        </w:tc>
        <w:tc>
          <w:tcPr>
            <w:tcW w:w="282" w:type="pct"/>
            <w:vMerge w:val="continue"/>
            <w:tcBorders>
              <w:tl2br w:val="nil"/>
              <w:tr2bl w:val="nil"/>
            </w:tcBorders>
            <w:noWrap w:val="0"/>
            <w:vAlign w:val="center"/>
          </w:tcPr>
          <w:p w14:paraId="3ABE2298">
            <w:pPr>
              <w:jc w:val="center"/>
              <w:rPr>
                <w:rFonts w:hint="eastAsia" w:ascii="微软雅黑" w:hAnsi="微软雅黑" w:eastAsia="微软雅黑" w:cs="微软雅黑"/>
                <w:i w:val="0"/>
                <w:iCs w:val="0"/>
                <w:color w:val="000000"/>
                <w:sz w:val="20"/>
                <w:szCs w:val="20"/>
                <w:u w:val="none"/>
              </w:rPr>
            </w:pPr>
          </w:p>
        </w:tc>
      </w:tr>
      <w:tr w14:paraId="5DCF05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1B8E5F2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E9AD2E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D7C5C7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飞行控制器要求采用高性能STM32H743VIT6处理器或同等性能及其以上性能产品，主频不低于480Mhz，带有双精度浮点硬件处理器，飞控系统要求具备：磁罗盘异常修正，单参数调节，多传感器融合，超快速二次开发等功能；</w:t>
            </w:r>
          </w:p>
        </w:tc>
        <w:tc>
          <w:tcPr>
            <w:tcW w:w="282" w:type="pct"/>
            <w:vMerge w:val="continue"/>
            <w:tcBorders>
              <w:tl2br w:val="nil"/>
              <w:tr2bl w:val="nil"/>
            </w:tcBorders>
            <w:noWrap w:val="0"/>
            <w:vAlign w:val="center"/>
          </w:tcPr>
          <w:p w14:paraId="4F810D50">
            <w:pPr>
              <w:jc w:val="center"/>
              <w:rPr>
                <w:rFonts w:hint="eastAsia" w:ascii="微软雅黑" w:hAnsi="微软雅黑" w:eastAsia="微软雅黑" w:cs="微软雅黑"/>
                <w:i w:val="0"/>
                <w:iCs w:val="0"/>
                <w:color w:val="000000"/>
                <w:sz w:val="20"/>
                <w:szCs w:val="20"/>
                <w:u w:val="none"/>
              </w:rPr>
            </w:pPr>
          </w:p>
        </w:tc>
      </w:tr>
      <w:tr w14:paraId="2B4CB4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187FC4D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7C1875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8A8B22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遥控器工作频率：2400MHz〜2483.5MHz；通道数不少于12个；支持宽电压输入；支持SBUS.PWM信号输出，系统功耗≥80mA；传输速率≥38kbps；遥控系统具备信号发射指示灯，调制模式支持GFSK模式；且遥控器具备三段开关不少于1个，二段开关不少于1个；</w:t>
            </w:r>
          </w:p>
        </w:tc>
        <w:tc>
          <w:tcPr>
            <w:tcW w:w="282" w:type="pct"/>
            <w:vMerge w:val="continue"/>
            <w:tcBorders>
              <w:tl2br w:val="nil"/>
              <w:tr2bl w:val="nil"/>
            </w:tcBorders>
            <w:noWrap w:val="0"/>
            <w:vAlign w:val="center"/>
          </w:tcPr>
          <w:p w14:paraId="4183C533">
            <w:pPr>
              <w:jc w:val="center"/>
              <w:rPr>
                <w:rFonts w:hint="eastAsia" w:ascii="微软雅黑" w:hAnsi="微软雅黑" w:eastAsia="微软雅黑" w:cs="微软雅黑"/>
                <w:i w:val="0"/>
                <w:iCs w:val="0"/>
                <w:color w:val="000000"/>
                <w:sz w:val="20"/>
                <w:szCs w:val="20"/>
                <w:u w:val="none"/>
              </w:rPr>
            </w:pPr>
          </w:p>
        </w:tc>
      </w:tr>
      <w:tr w14:paraId="34EA6D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3E417F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7EB337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6DB571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13、充电器：支持输入交流100-240V，可满足LiPo、LiHV、LiFe电池充电，充电平衡精度&lt;0.005V，同时支持放电功能。</w:t>
            </w:r>
          </w:p>
        </w:tc>
        <w:tc>
          <w:tcPr>
            <w:tcW w:w="282" w:type="pct"/>
            <w:vMerge w:val="continue"/>
            <w:tcBorders>
              <w:tl2br w:val="nil"/>
              <w:tr2bl w:val="nil"/>
            </w:tcBorders>
            <w:noWrap w:val="0"/>
            <w:vAlign w:val="center"/>
          </w:tcPr>
          <w:p w14:paraId="67C6C15F">
            <w:pPr>
              <w:jc w:val="center"/>
              <w:rPr>
                <w:rFonts w:hint="eastAsia" w:ascii="微软雅黑" w:hAnsi="微软雅黑" w:eastAsia="微软雅黑" w:cs="微软雅黑"/>
                <w:i w:val="0"/>
                <w:iCs w:val="0"/>
                <w:color w:val="000000"/>
                <w:sz w:val="20"/>
                <w:szCs w:val="20"/>
                <w:u w:val="none"/>
              </w:rPr>
            </w:pPr>
          </w:p>
        </w:tc>
      </w:tr>
      <w:tr w14:paraId="7D5A1D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E9BBAA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E387D9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49949C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（二）工具模块</w:t>
            </w:r>
          </w:p>
        </w:tc>
        <w:tc>
          <w:tcPr>
            <w:tcW w:w="282" w:type="pct"/>
            <w:vMerge w:val="continue"/>
            <w:tcBorders>
              <w:tl2br w:val="nil"/>
              <w:tr2bl w:val="nil"/>
            </w:tcBorders>
            <w:noWrap w:val="0"/>
            <w:vAlign w:val="center"/>
          </w:tcPr>
          <w:p w14:paraId="100F2C75">
            <w:pPr>
              <w:jc w:val="center"/>
              <w:rPr>
                <w:rFonts w:hint="eastAsia" w:ascii="微软雅黑" w:hAnsi="微软雅黑" w:eastAsia="微软雅黑" w:cs="微软雅黑"/>
                <w:i w:val="0"/>
                <w:iCs w:val="0"/>
                <w:color w:val="000000"/>
                <w:sz w:val="20"/>
                <w:szCs w:val="20"/>
                <w:u w:val="none"/>
              </w:rPr>
            </w:pPr>
          </w:p>
        </w:tc>
      </w:tr>
      <w:tr w14:paraId="6B2644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235" w:type="pct"/>
            <w:vMerge w:val="continue"/>
            <w:tcBorders>
              <w:tl2br w:val="nil"/>
              <w:tr2bl w:val="nil"/>
            </w:tcBorders>
            <w:noWrap w:val="0"/>
            <w:vAlign w:val="center"/>
          </w:tcPr>
          <w:p w14:paraId="7819DDE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D7D7C2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76E9B8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配套各个型号的内六角工具套装、尖嘴钳、剥线钳等工具，为无人机拆装、维修等实训任务提供支持。工具类型要求包含水平仪、万用表、测电器、试电笔、卷尺、直头镊子、弯头镊子、1.5m内六角螺丝刀、2.0m内六角螺丝刀、2.5m内六角螺丝刀、3.0m内六角螺丝刀、3.0十字螺丝刀、3.0一字螺丝刀、0*75mm 十字螺丝刀、M8套筒螺丝刀、M5.5套筒螺丝刀、美工刀、平口锉刀、水口钳、尖嘴剥线钳、电机固定钳、电烙铁套装、吸锡器、香蕉头焊台、焊锡丝、松香、助焊膏、热风枪、USB伸缩数据线、螺丝胶、热熔胶枪。</w:t>
            </w:r>
          </w:p>
        </w:tc>
        <w:tc>
          <w:tcPr>
            <w:tcW w:w="282" w:type="pct"/>
            <w:vMerge w:val="continue"/>
            <w:tcBorders>
              <w:tl2br w:val="nil"/>
              <w:tr2bl w:val="nil"/>
            </w:tcBorders>
            <w:noWrap w:val="0"/>
            <w:vAlign w:val="center"/>
          </w:tcPr>
          <w:p w14:paraId="63A8F16D">
            <w:pPr>
              <w:jc w:val="center"/>
              <w:rPr>
                <w:rFonts w:hint="eastAsia" w:ascii="微软雅黑" w:hAnsi="微软雅黑" w:eastAsia="微软雅黑" w:cs="微软雅黑"/>
                <w:i w:val="0"/>
                <w:iCs w:val="0"/>
                <w:color w:val="000000"/>
                <w:sz w:val="20"/>
                <w:szCs w:val="20"/>
                <w:u w:val="none"/>
              </w:rPr>
            </w:pPr>
          </w:p>
        </w:tc>
      </w:tr>
      <w:tr w14:paraId="1332D1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FB0155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56F88E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C13F38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（三）无人机飞行测试模块</w:t>
            </w:r>
          </w:p>
        </w:tc>
        <w:tc>
          <w:tcPr>
            <w:tcW w:w="282" w:type="pct"/>
            <w:vMerge w:val="continue"/>
            <w:tcBorders>
              <w:tl2br w:val="nil"/>
              <w:tr2bl w:val="nil"/>
            </w:tcBorders>
            <w:noWrap w:val="0"/>
            <w:vAlign w:val="center"/>
          </w:tcPr>
          <w:p w14:paraId="78DE5C27">
            <w:pPr>
              <w:jc w:val="center"/>
              <w:rPr>
                <w:rFonts w:hint="eastAsia" w:ascii="微软雅黑" w:hAnsi="微软雅黑" w:eastAsia="微软雅黑" w:cs="微软雅黑"/>
                <w:i w:val="0"/>
                <w:iCs w:val="0"/>
                <w:color w:val="000000"/>
                <w:sz w:val="20"/>
                <w:szCs w:val="20"/>
                <w:u w:val="none"/>
              </w:rPr>
            </w:pPr>
          </w:p>
        </w:tc>
      </w:tr>
      <w:tr w14:paraId="1816FE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439ADC9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AD1AB6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DF8E5D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1、飞行测试模块要求包含一台四旋翼无人机、配备飞行升降装置、飞行测试笼，能够满足学生针对无人机进行前倾、后倾、左倾、右倾姿态验证，确保飞行调试过程中的安全。</w:t>
            </w:r>
          </w:p>
        </w:tc>
        <w:tc>
          <w:tcPr>
            <w:tcW w:w="282" w:type="pct"/>
            <w:vMerge w:val="continue"/>
            <w:tcBorders>
              <w:tl2br w:val="nil"/>
              <w:tr2bl w:val="nil"/>
            </w:tcBorders>
            <w:noWrap w:val="0"/>
            <w:vAlign w:val="center"/>
          </w:tcPr>
          <w:p w14:paraId="5D1BBD59">
            <w:pPr>
              <w:jc w:val="center"/>
              <w:rPr>
                <w:rFonts w:hint="eastAsia" w:ascii="微软雅黑" w:hAnsi="微软雅黑" w:eastAsia="微软雅黑" w:cs="微软雅黑"/>
                <w:i w:val="0"/>
                <w:iCs w:val="0"/>
                <w:color w:val="000000"/>
                <w:sz w:val="20"/>
                <w:szCs w:val="20"/>
                <w:u w:val="none"/>
              </w:rPr>
            </w:pPr>
          </w:p>
        </w:tc>
      </w:tr>
      <w:tr w14:paraId="101F8C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5C3420E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5BC9D9B">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6E80EE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2、安全防护笼尺寸：长*宽*高800mm*800mm*700mm（±20mm）;整体围栏材料采用铝型材材料，网面采用镀锌丝喷塑网片，底座采用钢板底座，防护笼设置不少于2面金属合页式门。</w:t>
            </w:r>
          </w:p>
        </w:tc>
        <w:tc>
          <w:tcPr>
            <w:tcW w:w="282" w:type="pct"/>
            <w:vMerge w:val="continue"/>
            <w:tcBorders>
              <w:tl2br w:val="nil"/>
              <w:tr2bl w:val="nil"/>
            </w:tcBorders>
            <w:noWrap w:val="0"/>
            <w:vAlign w:val="center"/>
          </w:tcPr>
          <w:p w14:paraId="5B9623C5">
            <w:pPr>
              <w:jc w:val="center"/>
              <w:rPr>
                <w:rFonts w:hint="eastAsia" w:ascii="微软雅黑" w:hAnsi="微软雅黑" w:eastAsia="微软雅黑" w:cs="微软雅黑"/>
                <w:i w:val="0"/>
                <w:iCs w:val="0"/>
                <w:color w:val="000000"/>
                <w:sz w:val="20"/>
                <w:szCs w:val="20"/>
                <w:u w:val="none"/>
              </w:rPr>
            </w:pPr>
          </w:p>
        </w:tc>
      </w:tr>
      <w:tr w14:paraId="288C11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2BBC5A51">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2D0943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5BF8CF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▲3、无人机飞行验证装置要求由定制化铝件组成，固定在桌面上并与无人机底部进行连接，无人机飞行验证时能够上升≥5.5cm，当无人机上升后要求能够进行前倾、后倾、左倾、右倾姿态验证。</w:t>
            </w:r>
          </w:p>
        </w:tc>
        <w:tc>
          <w:tcPr>
            <w:tcW w:w="282" w:type="pct"/>
            <w:vMerge w:val="continue"/>
            <w:tcBorders>
              <w:tl2br w:val="nil"/>
              <w:tr2bl w:val="nil"/>
            </w:tcBorders>
            <w:noWrap w:val="0"/>
            <w:vAlign w:val="center"/>
          </w:tcPr>
          <w:p w14:paraId="5E04E816">
            <w:pPr>
              <w:jc w:val="center"/>
              <w:rPr>
                <w:rFonts w:hint="eastAsia" w:ascii="微软雅黑" w:hAnsi="微软雅黑" w:eastAsia="微软雅黑" w:cs="微软雅黑"/>
                <w:i w:val="0"/>
                <w:iCs w:val="0"/>
                <w:color w:val="000000"/>
                <w:sz w:val="20"/>
                <w:szCs w:val="20"/>
                <w:u w:val="none"/>
              </w:rPr>
            </w:pPr>
          </w:p>
        </w:tc>
      </w:tr>
      <w:tr w14:paraId="6E0967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AC3E10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0FC52D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8763F7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4、四旋翼检修无人机具体参数要求如下：</w:t>
            </w:r>
          </w:p>
        </w:tc>
        <w:tc>
          <w:tcPr>
            <w:tcW w:w="282" w:type="pct"/>
            <w:vMerge w:val="continue"/>
            <w:tcBorders>
              <w:tl2br w:val="nil"/>
              <w:tr2bl w:val="nil"/>
            </w:tcBorders>
            <w:noWrap w:val="0"/>
            <w:vAlign w:val="center"/>
          </w:tcPr>
          <w:p w14:paraId="53BD610E">
            <w:pPr>
              <w:jc w:val="center"/>
              <w:rPr>
                <w:rFonts w:hint="eastAsia" w:ascii="微软雅黑" w:hAnsi="微软雅黑" w:eastAsia="微软雅黑" w:cs="微软雅黑"/>
                <w:i w:val="0"/>
                <w:iCs w:val="0"/>
                <w:color w:val="000000"/>
                <w:sz w:val="20"/>
                <w:szCs w:val="20"/>
                <w:u w:val="none"/>
              </w:rPr>
            </w:pPr>
          </w:p>
        </w:tc>
      </w:tr>
      <w:tr w14:paraId="4EB166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11B5FC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51A987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2EF7DB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1）机架布局为“X”，机身轴距≥450mm；</w:t>
            </w:r>
          </w:p>
        </w:tc>
        <w:tc>
          <w:tcPr>
            <w:tcW w:w="282" w:type="pct"/>
            <w:vMerge w:val="continue"/>
            <w:tcBorders>
              <w:tl2br w:val="nil"/>
              <w:tr2bl w:val="nil"/>
            </w:tcBorders>
            <w:noWrap w:val="0"/>
            <w:vAlign w:val="center"/>
          </w:tcPr>
          <w:p w14:paraId="3A59F949">
            <w:pPr>
              <w:jc w:val="center"/>
              <w:rPr>
                <w:rFonts w:hint="eastAsia" w:ascii="微软雅黑" w:hAnsi="微软雅黑" w:eastAsia="微软雅黑" w:cs="微软雅黑"/>
                <w:i w:val="0"/>
                <w:iCs w:val="0"/>
                <w:color w:val="000000"/>
                <w:sz w:val="20"/>
                <w:szCs w:val="20"/>
                <w:u w:val="none"/>
              </w:rPr>
            </w:pPr>
          </w:p>
        </w:tc>
      </w:tr>
      <w:tr w14:paraId="63532C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1DFA8F8">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B7B5D6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1B227F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2）机身材料：要求碳纤维和航空铝；配备ABS塑料可拆卸壳体；</w:t>
            </w:r>
          </w:p>
        </w:tc>
        <w:tc>
          <w:tcPr>
            <w:tcW w:w="282" w:type="pct"/>
            <w:vMerge w:val="continue"/>
            <w:tcBorders>
              <w:tl2br w:val="nil"/>
              <w:tr2bl w:val="nil"/>
            </w:tcBorders>
            <w:noWrap w:val="0"/>
            <w:vAlign w:val="center"/>
          </w:tcPr>
          <w:p w14:paraId="08B5634E">
            <w:pPr>
              <w:jc w:val="center"/>
              <w:rPr>
                <w:rFonts w:hint="eastAsia" w:ascii="微软雅黑" w:hAnsi="微软雅黑" w:eastAsia="微软雅黑" w:cs="微软雅黑"/>
                <w:i w:val="0"/>
                <w:iCs w:val="0"/>
                <w:color w:val="000000"/>
                <w:sz w:val="20"/>
                <w:szCs w:val="20"/>
                <w:u w:val="none"/>
              </w:rPr>
            </w:pPr>
          </w:p>
        </w:tc>
      </w:tr>
      <w:tr w14:paraId="664558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BD7905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D807D1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292354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3）工作环境温度支持范围：-10〜40℃；</w:t>
            </w:r>
          </w:p>
        </w:tc>
        <w:tc>
          <w:tcPr>
            <w:tcW w:w="282" w:type="pct"/>
            <w:vMerge w:val="continue"/>
            <w:tcBorders>
              <w:tl2br w:val="nil"/>
              <w:tr2bl w:val="nil"/>
            </w:tcBorders>
            <w:noWrap w:val="0"/>
            <w:vAlign w:val="center"/>
          </w:tcPr>
          <w:p w14:paraId="7DEB5913">
            <w:pPr>
              <w:jc w:val="center"/>
              <w:rPr>
                <w:rFonts w:hint="eastAsia" w:ascii="微软雅黑" w:hAnsi="微软雅黑" w:eastAsia="微软雅黑" w:cs="微软雅黑"/>
                <w:i w:val="0"/>
                <w:iCs w:val="0"/>
                <w:color w:val="000000"/>
                <w:sz w:val="20"/>
                <w:szCs w:val="20"/>
                <w:u w:val="none"/>
              </w:rPr>
            </w:pPr>
          </w:p>
        </w:tc>
      </w:tr>
      <w:tr w14:paraId="23559A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5C30A0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27FFC5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3AF4DD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4）无刷电机规格：定子直径≥23mm；高度≥12mm；KV值：≥1100KV，且带正反牙螺纹；</w:t>
            </w:r>
          </w:p>
        </w:tc>
        <w:tc>
          <w:tcPr>
            <w:tcW w:w="282" w:type="pct"/>
            <w:vMerge w:val="continue"/>
            <w:tcBorders>
              <w:tl2br w:val="nil"/>
              <w:tr2bl w:val="nil"/>
            </w:tcBorders>
            <w:noWrap w:val="0"/>
            <w:vAlign w:val="center"/>
          </w:tcPr>
          <w:p w14:paraId="268A3861">
            <w:pPr>
              <w:jc w:val="center"/>
              <w:rPr>
                <w:rFonts w:hint="eastAsia" w:ascii="微软雅黑" w:hAnsi="微软雅黑" w:eastAsia="微软雅黑" w:cs="微软雅黑"/>
                <w:i w:val="0"/>
                <w:iCs w:val="0"/>
                <w:color w:val="000000"/>
                <w:sz w:val="20"/>
                <w:szCs w:val="20"/>
                <w:u w:val="none"/>
              </w:rPr>
            </w:pPr>
          </w:p>
        </w:tc>
      </w:tr>
      <w:tr w14:paraId="7955C1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F817FD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101FBE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A4E95E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5)桨叶材质：塑料；</w:t>
            </w:r>
          </w:p>
        </w:tc>
        <w:tc>
          <w:tcPr>
            <w:tcW w:w="282" w:type="pct"/>
            <w:vMerge w:val="continue"/>
            <w:tcBorders>
              <w:tl2br w:val="nil"/>
              <w:tr2bl w:val="nil"/>
            </w:tcBorders>
            <w:noWrap w:val="0"/>
            <w:vAlign w:val="center"/>
          </w:tcPr>
          <w:p w14:paraId="622488C8">
            <w:pPr>
              <w:jc w:val="center"/>
              <w:rPr>
                <w:rFonts w:hint="eastAsia" w:ascii="微软雅黑" w:hAnsi="微软雅黑" w:eastAsia="微软雅黑" w:cs="微软雅黑"/>
                <w:i w:val="0"/>
                <w:iCs w:val="0"/>
                <w:color w:val="000000"/>
                <w:sz w:val="20"/>
                <w:szCs w:val="20"/>
                <w:u w:val="none"/>
              </w:rPr>
            </w:pPr>
          </w:p>
        </w:tc>
      </w:tr>
      <w:tr w14:paraId="12DD4E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6626BC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6A2E4D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60AB72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6)下中心板工作电源：2S锂电池，容量：≥600mAh；</w:t>
            </w:r>
          </w:p>
        </w:tc>
        <w:tc>
          <w:tcPr>
            <w:tcW w:w="282" w:type="pct"/>
            <w:vMerge w:val="continue"/>
            <w:tcBorders>
              <w:tl2br w:val="nil"/>
              <w:tr2bl w:val="nil"/>
            </w:tcBorders>
            <w:noWrap w:val="0"/>
            <w:vAlign w:val="center"/>
          </w:tcPr>
          <w:p w14:paraId="6D3D55D4">
            <w:pPr>
              <w:jc w:val="center"/>
              <w:rPr>
                <w:rFonts w:hint="eastAsia" w:ascii="微软雅黑" w:hAnsi="微软雅黑" w:eastAsia="微软雅黑" w:cs="微软雅黑"/>
                <w:i w:val="0"/>
                <w:iCs w:val="0"/>
                <w:color w:val="000000"/>
                <w:sz w:val="20"/>
                <w:szCs w:val="20"/>
                <w:u w:val="none"/>
              </w:rPr>
            </w:pPr>
          </w:p>
        </w:tc>
      </w:tr>
      <w:tr w14:paraId="1C3F3F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08D262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C521ED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169F8C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7)每根机臂上具备≥10个检测点；</w:t>
            </w:r>
          </w:p>
        </w:tc>
        <w:tc>
          <w:tcPr>
            <w:tcW w:w="282" w:type="pct"/>
            <w:vMerge w:val="continue"/>
            <w:tcBorders>
              <w:tl2br w:val="nil"/>
              <w:tr2bl w:val="nil"/>
            </w:tcBorders>
            <w:noWrap w:val="0"/>
            <w:vAlign w:val="center"/>
          </w:tcPr>
          <w:p w14:paraId="3C6ACB50">
            <w:pPr>
              <w:jc w:val="center"/>
              <w:rPr>
                <w:rFonts w:hint="eastAsia" w:ascii="微软雅黑" w:hAnsi="微软雅黑" w:eastAsia="微软雅黑" w:cs="微软雅黑"/>
                <w:i w:val="0"/>
                <w:iCs w:val="0"/>
                <w:color w:val="000000"/>
                <w:sz w:val="20"/>
                <w:szCs w:val="20"/>
                <w:u w:val="none"/>
              </w:rPr>
            </w:pPr>
          </w:p>
        </w:tc>
      </w:tr>
      <w:tr w14:paraId="2B8F81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58487D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55567E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AA8ADC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8)下中心板具有独立供电功能，电池具备自动充电接口，具备保护功能开关；</w:t>
            </w:r>
          </w:p>
        </w:tc>
        <w:tc>
          <w:tcPr>
            <w:tcW w:w="282" w:type="pct"/>
            <w:vMerge w:val="continue"/>
            <w:tcBorders>
              <w:tl2br w:val="nil"/>
              <w:tr2bl w:val="nil"/>
            </w:tcBorders>
            <w:noWrap w:val="0"/>
            <w:vAlign w:val="center"/>
          </w:tcPr>
          <w:p w14:paraId="5A8D40BD">
            <w:pPr>
              <w:jc w:val="center"/>
              <w:rPr>
                <w:rFonts w:hint="eastAsia" w:ascii="微软雅黑" w:hAnsi="微软雅黑" w:eastAsia="微软雅黑" w:cs="微软雅黑"/>
                <w:i w:val="0"/>
                <w:iCs w:val="0"/>
                <w:color w:val="000000"/>
                <w:sz w:val="20"/>
                <w:szCs w:val="20"/>
                <w:u w:val="none"/>
              </w:rPr>
            </w:pPr>
          </w:p>
        </w:tc>
      </w:tr>
      <w:tr w14:paraId="03B0F2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695CD9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539441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33E8D3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9)主控制芯片：采用ESP32-D0WDQ6或同等规格及以上；</w:t>
            </w:r>
          </w:p>
        </w:tc>
        <w:tc>
          <w:tcPr>
            <w:tcW w:w="282" w:type="pct"/>
            <w:vMerge w:val="continue"/>
            <w:tcBorders>
              <w:tl2br w:val="nil"/>
              <w:tr2bl w:val="nil"/>
            </w:tcBorders>
            <w:noWrap w:val="0"/>
            <w:vAlign w:val="center"/>
          </w:tcPr>
          <w:p w14:paraId="1E44FB27">
            <w:pPr>
              <w:jc w:val="center"/>
              <w:rPr>
                <w:rFonts w:hint="eastAsia" w:ascii="微软雅黑" w:hAnsi="微软雅黑" w:eastAsia="微软雅黑" w:cs="微软雅黑"/>
                <w:i w:val="0"/>
                <w:iCs w:val="0"/>
                <w:color w:val="000000"/>
                <w:sz w:val="20"/>
                <w:szCs w:val="20"/>
                <w:u w:val="none"/>
              </w:rPr>
            </w:pPr>
          </w:p>
        </w:tc>
      </w:tr>
      <w:tr w14:paraId="7C10FE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A6833C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4657BE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9C3B65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10)通信方式／协议：不低于2.4G　wifi/MQTT；</w:t>
            </w:r>
          </w:p>
        </w:tc>
        <w:tc>
          <w:tcPr>
            <w:tcW w:w="282" w:type="pct"/>
            <w:vMerge w:val="continue"/>
            <w:tcBorders>
              <w:tl2br w:val="nil"/>
              <w:tr2bl w:val="nil"/>
            </w:tcBorders>
            <w:noWrap w:val="0"/>
            <w:vAlign w:val="center"/>
          </w:tcPr>
          <w:p w14:paraId="3C298C40">
            <w:pPr>
              <w:jc w:val="center"/>
              <w:rPr>
                <w:rFonts w:hint="eastAsia" w:ascii="微软雅黑" w:hAnsi="微软雅黑" w:eastAsia="微软雅黑" w:cs="微软雅黑"/>
                <w:i w:val="0"/>
                <w:iCs w:val="0"/>
                <w:color w:val="000000"/>
                <w:sz w:val="20"/>
                <w:szCs w:val="20"/>
                <w:u w:val="none"/>
              </w:rPr>
            </w:pPr>
          </w:p>
        </w:tc>
      </w:tr>
      <w:tr w14:paraId="6AEA03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938039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C8C1E23">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B0928F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11)下中心板要求具备电量检测及低电量指示功能；</w:t>
            </w:r>
          </w:p>
        </w:tc>
        <w:tc>
          <w:tcPr>
            <w:tcW w:w="282" w:type="pct"/>
            <w:vMerge w:val="continue"/>
            <w:tcBorders>
              <w:tl2br w:val="nil"/>
              <w:tr2bl w:val="nil"/>
            </w:tcBorders>
            <w:noWrap w:val="0"/>
            <w:vAlign w:val="center"/>
          </w:tcPr>
          <w:p w14:paraId="31B8C0FC">
            <w:pPr>
              <w:jc w:val="center"/>
              <w:rPr>
                <w:rFonts w:hint="eastAsia" w:ascii="微软雅黑" w:hAnsi="微软雅黑" w:eastAsia="微软雅黑" w:cs="微软雅黑"/>
                <w:i w:val="0"/>
                <w:iCs w:val="0"/>
                <w:color w:val="000000"/>
                <w:sz w:val="20"/>
                <w:szCs w:val="20"/>
                <w:u w:val="none"/>
              </w:rPr>
            </w:pPr>
          </w:p>
        </w:tc>
      </w:tr>
      <w:tr w14:paraId="21F8E9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168898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BEF0A0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ADD724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12)下中心板上要求具备设备状态指示：准备状态：绿色；正常工作状态：蓝色；错误状态：红色；</w:t>
            </w:r>
          </w:p>
        </w:tc>
        <w:tc>
          <w:tcPr>
            <w:tcW w:w="282" w:type="pct"/>
            <w:vMerge w:val="continue"/>
            <w:tcBorders>
              <w:tl2br w:val="nil"/>
              <w:tr2bl w:val="nil"/>
            </w:tcBorders>
            <w:noWrap w:val="0"/>
            <w:vAlign w:val="center"/>
          </w:tcPr>
          <w:p w14:paraId="194715A6">
            <w:pPr>
              <w:jc w:val="center"/>
              <w:rPr>
                <w:rFonts w:hint="eastAsia" w:ascii="微软雅黑" w:hAnsi="微软雅黑" w:eastAsia="微软雅黑" w:cs="微软雅黑"/>
                <w:i w:val="0"/>
                <w:iCs w:val="0"/>
                <w:color w:val="000000"/>
                <w:sz w:val="20"/>
                <w:szCs w:val="20"/>
                <w:u w:val="none"/>
              </w:rPr>
            </w:pPr>
          </w:p>
        </w:tc>
      </w:tr>
      <w:tr w14:paraId="393626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0BEE95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F96743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1C5A00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13)下中心板要求支持远程无线自主升级功能；</w:t>
            </w:r>
          </w:p>
        </w:tc>
        <w:tc>
          <w:tcPr>
            <w:tcW w:w="282" w:type="pct"/>
            <w:vMerge w:val="continue"/>
            <w:tcBorders>
              <w:tl2br w:val="nil"/>
              <w:tr2bl w:val="nil"/>
            </w:tcBorders>
            <w:noWrap w:val="0"/>
            <w:vAlign w:val="center"/>
          </w:tcPr>
          <w:p w14:paraId="3B70275B">
            <w:pPr>
              <w:jc w:val="center"/>
              <w:rPr>
                <w:rFonts w:hint="eastAsia" w:ascii="微软雅黑" w:hAnsi="微软雅黑" w:eastAsia="微软雅黑" w:cs="微软雅黑"/>
                <w:i w:val="0"/>
                <w:iCs w:val="0"/>
                <w:color w:val="000000"/>
                <w:sz w:val="20"/>
                <w:szCs w:val="20"/>
                <w:u w:val="none"/>
              </w:rPr>
            </w:pPr>
          </w:p>
        </w:tc>
      </w:tr>
      <w:tr w14:paraId="27151F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41F5A9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9E87B5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E691B0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14)四旋翼检修无人机要求具备开放式检测点位并预留检测开口，包含信号接口、GPS、LED灯、电调等检测点位；</w:t>
            </w:r>
          </w:p>
        </w:tc>
        <w:tc>
          <w:tcPr>
            <w:tcW w:w="282" w:type="pct"/>
            <w:vMerge w:val="continue"/>
            <w:tcBorders>
              <w:tl2br w:val="nil"/>
              <w:tr2bl w:val="nil"/>
            </w:tcBorders>
            <w:noWrap w:val="0"/>
            <w:vAlign w:val="center"/>
          </w:tcPr>
          <w:p w14:paraId="13742543">
            <w:pPr>
              <w:jc w:val="center"/>
              <w:rPr>
                <w:rFonts w:hint="eastAsia" w:ascii="微软雅黑" w:hAnsi="微软雅黑" w:eastAsia="微软雅黑" w:cs="微软雅黑"/>
                <w:i w:val="0"/>
                <w:iCs w:val="0"/>
                <w:color w:val="000000"/>
                <w:sz w:val="20"/>
                <w:szCs w:val="20"/>
                <w:u w:val="none"/>
              </w:rPr>
            </w:pPr>
          </w:p>
        </w:tc>
      </w:tr>
      <w:tr w14:paraId="547106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AA4374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8EE1E3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A3A6B9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15）要求支持通过故障下发平台使用无线方式设置故障至四旋翼检修无人机上；</w:t>
            </w:r>
          </w:p>
        </w:tc>
        <w:tc>
          <w:tcPr>
            <w:tcW w:w="282" w:type="pct"/>
            <w:vMerge w:val="continue"/>
            <w:tcBorders>
              <w:tl2br w:val="nil"/>
              <w:tr2bl w:val="nil"/>
            </w:tcBorders>
            <w:noWrap w:val="0"/>
            <w:vAlign w:val="center"/>
          </w:tcPr>
          <w:p w14:paraId="168E4E22">
            <w:pPr>
              <w:jc w:val="center"/>
              <w:rPr>
                <w:rFonts w:hint="eastAsia" w:ascii="微软雅黑" w:hAnsi="微软雅黑" w:eastAsia="微软雅黑" w:cs="微软雅黑"/>
                <w:i w:val="0"/>
                <w:iCs w:val="0"/>
                <w:color w:val="000000"/>
                <w:sz w:val="20"/>
                <w:szCs w:val="20"/>
                <w:u w:val="none"/>
              </w:rPr>
            </w:pPr>
          </w:p>
        </w:tc>
      </w:tr>
      <w:tr w14:paraId="217EE3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486A8D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522D69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3A62F8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（四）无人机维修定损考核平台</w:t>
            </w:r>
          </w:p>
        </w:tc>
        <w:tc>
          <w:tcPr>
            <w:tcW w:w="282" w:type="pct"/>
            <w:vMerge w:val="continue"/>
            <w:tcBorders>
              <w:tl2br w:val="nil"/>
              <w:tr2bl w:val="nil"/>
            </w:tcBorders>
            <w:noWrap w:val="0"/>
            <w:vAlign w:val="center"/>
          </w:tcPr>
          <w:p w14:paraId="3D46A2E7">
            <w:pPr>
              <w:jc w:val="center"/>
              <w:rPr>
                <w:rFonts w:hint="eastAsia" w:ascii="微软雅黑" w:hAnsi="微软雅黑" w:eastAsia="微软雅黑" w:cs="微软雅黑"/>
                <w:i w:val="0"/>
                <w:iCs w:val="0"/>
                <w:color w:val="000000"/>
                <w:sz w:val="20"/>
                <w:szCs w:val="20"/>
                <w:u w:val="none"/>
              </w:rPr>
            </w:pPr>
          </w:p>
        </w:tc>
      </w:tr>
      <w:tr w14:paraId="586AC1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5" w:type="pct"/>
            <w:vMerge w:val="continue"/>
            <w:tcBorders>
              <w:tl2br w:val="nil"/>
              <w:tr2bl w:val="nil"/>
            </w:tcBorders>
            <w:noWrap w:val="0"/>
            <w:vAlign w:val="center"/>
          </w:tcPr>
          <w:p w14:paraId="23B3095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9DE92D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46D736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包含一套完整的维修定损考核系统，软件平台要求包含学生使用端及后台管理端，后台管理端包含题库管理、考试管理、人员管理、设备管理、系统管理等模块内容，平台具备考试模式和练习模式，学生能够通过平台进行故障检测及试卷答题，平台能够按照学生端提交答案进行评分及汇总等功能。</w:t>
            </w:r>
          </w:p>
        </w:tc>
        <w:tc>
          <w:tcPr>
            <w:tcW w:w="282" w:type="pct"/>
            <w:vMerge w:val="continue"/>
            <w:tcBorders>
              <w:tl2br w:val="nil"/>
              <w:tr2bl w:val="nil"/>
            </w:tcBorders>
            <w:noWrap w:val="0"/>
            <w:vAlign w:val="center"/>
          </w:tcPr>
          <w:p w14:paraId="1992F600">
            <w:pPr>
              <w:jc w:val="center"/>
              <w:rPr>
                <w:rFonts w:hint="eastAsia" w:ascii="微软雅黑" w:hAnsi="微软雅黑" w:eastAsia="微软雅黑" w:cs="微软雅黑"/>
                <w:i w:val="0"/>
                <w:iCs w:val="0"/>
                <w:color w:val="000000"/>
                <w:sz w:val="20"/>
                <w:szCs w:val="20"/>
                <w:u w:val="none"/>
              </w:rPr>
            </w:pPr>
          </w:p>
        </w:tc>
      </w:tr>
      <w:tr w14:paraId="21497B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97F83D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2428C9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4C6557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学生使用端要求：</w:t>
            </w:r>
          </w:p>
        </w:tc>
        <w:tc>
          <w:tcPr>
            <w:tcW w:w="282" w:type="pct"/>
            <w:vMerge w:val="continue"/>
            <w:tcBorders>
              <w:tl2br w:val="nil"/>
              <w:tr2bl w:val="nil"/>
            </w:tcBorders>
            <w:noWrap w:val="0"/>
            <w:vAlign w:val="center"/>
          </w:tcPr>
          <w:p w14:paraId="5A0F4A40">
            <w:pPr>
              <w:jc w:val="center"/>
              <w:rPr>
                <w:rFonts w:hint="eastAsia" w:ascii="微软雅黑" w:hAnsi="微软雅黑" w:eastAsia="微软雅黑" w:cs="微软雅黑"/>
                <w:i w:val="0"/>
                <w:iCs w:val="0"/>
                <w:color w:val="000000"/>
                <w:sz w:val="20"/>
                <w:szCs w:val="20"/>
                <w:u w:val="none"/>
              </w:rPr>
            </w:pPr>
          </w:p>
        </w:tc>
      </w:tr>
      <w:tr w14:paraId="06033D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35" w:type="pct"/>
            <w:vMerge w:val="continue"/>
            <w:tcBorders>
              <w:tl2br w:val="nil"/>
              <w:tr2bl w:val="nil"/>
            </w:tcBorders>
            <w:noWrap w:val="0"/>
            <w:vAlign w:val="center"/>
          </w:tcPr>
          <w:p w14:paraId="79B46FD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CF6553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A35AB8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在学生使用端登入页中，首次登录时，系统自动获取当前未绑定的飞机端设备列表，可选择飞机端设备与学生端进行绑定。当软件启动时，会自动检测四旋翼检修无人机设备是否在线；若不在线，则出现红色的异常提醒框，并无法登录学生端；若正常连通，则异常提醒框会消失，可正常登录学生端使用。</w:t>
            </w:r>
          </w:p>
        </w:tc>
        <w:tc>
          <w:tcPr>
            <w:tcW w:w="282" w:type="pct"/>
            <w:vMerge w:val="continue"/>
            <w:tcBorders>
              <w:tl2br w:val="nil"/>
              <w:tr2bl w:val="nil"/>
            </w:tcBorders>
            <w:noWrap w:val="0"/>
            <w:vAlign w:val="center"/>
          </w:tcPr>
          <w:p w14:paraId="46AC84CF">
            <w:pPr>
              <w:jc w:val="center"/>
              <w:rPr>
                <w:rFonts w:hint="eastAsia" w:ascii="微软雅黑" w:hAnsi="微软雅黑" w:eastAsia="微软雅黑" w:cs="微软雅黑"/>
                <w:i w:val="0"/>
                <w:iCs w:val="0"/>
                <w:color w:val="000000"/>
                <w:sz w:val="20"/>
                <w:szCs w:val="20"/>
                <w:u w:val="none"/>
              </w:rPr>
            </w:pPr>
          </w:p>
        </w:tc>
      </w:tr>
      <w:tr w14:paraId="0CC31E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25ED99F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26F113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9E6028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2、用户登录时，根据后台的设置，自动进入考试模式或练习模式。</w:t>
            </w:r>
          </w:p>
        </w:tc>
        <w:tc>
          <w:tcPr>
            <w:tcW w:w="282" w:type="pct"/>
            <w:vMerge w:val="continue"/>
            <w:tcBorders>
              <w:tl2br w:val="nil"/>
              <w:tr2bl w:val="nil"/>
            </w:tcBorders>
            <w:noWrap w:val="0"/>
            <w:vAlign w:val="center"/>
          </w:tcPr>
          <w:p w14:paraId="716E73DE">
            <w:pPr>
              <w:jc w:val="center"/>
              <w:rPr>
                <w:rFonts w:hint="eastAsia" w:ascii="微软雅黑" w:hAnsi="微软雅黑" w:eastAsia="微软雅黑" w:cs="微软雅黑"/>
                <w:i w:val="0"/>
                <w:iCs w:val="0"/>
                <w:color w:val="000000"/>
                <w:sz w:val="20"/>
                <w:szCs w:val="20"/>
                <w:u w:val="none"/>
              </w:rPr>
            </w:pPr>
          </w:p>
        </w:tc>
      </w:tr>
      <w:tr w14:paraId="5A5BF8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6A0573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72A43B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A576AC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3、当进入考试模式考试前，若该试卷设置了“主题图”或“考试须知”等信息，则在考试开始前，页面主体区会一直显示此内容。</w:t>
            </w:r>
          </w:p>
        </w:tc>
        <w:tc>
          <w:tcPr>
            <w:tcW w:w="282" w:type="pct"/>
            <w:vMerge w:val="continue"/>
            <w:tcBorders>
              <w:tl2br w:val="nil"/>
              <w:tr2bl w:val="nil"/>
            </w:tcBorders>
            <w:noWrap w:val="0"/>
            <w:vAlign w:val="center"/>
          </w:tcPr>
          <w:p w14:paraId="4B6F4E0A">
            <w:pPr>
              <w:jc w:val="center"/>
              <w:rPr>
                <w:rFonts w:hint="eastAsia" w:ascii="微软雅黑" w:hAnsi="微软雅黑" w:eastAsia="微软雅黑" w:cs="微软雅黑"/>
                <w:i w:val="0"/>
                <w:iCs w:val="0"/>
                <w:color w:val="000000"/>
                <w:sz w:val="20"/>
                <w:szCs w:val="20"/>
                <w:u w:val="none"/>
              </w:rPr>
            </w:pPr>
          </w:p>
        </w:tc>
      </w:tr>
      <w:tr w14:paraId="2A8F2F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6872BF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47BFC4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365C53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4、在考试模式考试中，学生根据下发的试题进行答题，根据实际检查的故障进行故障项的选择。</w:t>
            </w:r>
          </w:p>
        </w:tc>
        <w:tc>
          <w:tcPr>
            <w:tcW w:w="282" w:type="pct"/>
            <w:vMerge w:val="continue"/>
            <w:tcBorders>
              <w:tl2br w:val="nil"/>
              <w:tr2bl w:val="nil"/>
            </w:tcBorders>
            <w:noWrap w:val="0"/>
            <w:vAlign w:val="center"/>
          </w:tcPr>
          <w:p w14:paraId="49522DFA">
            <w:pPr>
              <w:jc w:val="center"/>
              <w:rPr>
                <w:rFonts w:hint="eastAsia" w:ascii="微软雅黑" w:hAnsi="微软雅黑" w:eastAsia="微软雅黑" w:cs="微软雅黑"/>
                <w:i w:val="0"/>
                <w:iCs w:val="0"/>
                <w:color w:val="000000"/>
                <w:sz w:val="20"/>
                <w:szCs w:val="20"/>
                <w:u w:val="none"/>
              </w:rPr>
            </w:pPr>
          </w:p>
        </w:tc>
      </w:tr>
      <w:tr w14:paraId="5A1E6E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5AD3FE4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9DDDA2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049696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　若学生提交的故障数未达到试卷设置的故障数量可进行多次提交，已提交的选项不可修改；若有命中正确答案，则系统自动下发对应的指令对飞机端实行故障清除；</w:t>
            </w:r>
          </w:p>
        </w:tc>
        <w:tc>
          <w:tcPr>
            <w:tcW w:w="282" w:type="pct"/>
            <w:vMerge w:val="continue"/>
            <w:tcBorders>
              <w:tl2br w:val="nil"/>
              <w:tr2bl w:val="nil"/>
            </w:tcBorders>
            <w:noWrap w:val="0"/>
            <w:vAlign w:val="center"/>
          </w:tcPr>
          <w:p w14:paraId="1018D2DC">
            <w:pPr>
              <w:jc w:val="center"/>
              <w:rPr>
                <w:rFonts w:hint="eastAsia" w:ascii="微软雅黑" w:hAnsi="微软雅黑" w:eastAsia="微软雅黑" w:cs="微软雅黑"/>
                <w:i w:val="0"/>
                <w:iCs w:val="0"/>
                <w:color w:val="000000"/>
                <w:sz w:val="20"/>
                <w:szCs w:val="20"/>
                <w:u w:val="none"/>
              </w:rPr>
            </w:pPr>
          </w:p>
        </w:tc>
      </w:tr>
      <w:tr w14:paraId="386012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0480A9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EC69F74">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D21F65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　当学生已选满选项时提交，则为“交卷”， 交卷后，系统支持显示或不显示成绩，可在后台端设置；</w:t>
            </w:r>
          </w:p>
        </w:tc>
        <w:tc>
          <w:tcPr>
            <w:tcW w:w="282" w:type="pct"/>
            <w:vMerge w:val="continue"/>
            <w:tcBorders>
              <w:tl2br w:val="nil"/>
              <w:tr2bl w:val="nil"/>
            </w:tcBorders>
            <w:noWrap w:val="0"/>
            <w:vAlign w:val="center"/>
          </w:tcPr>
          <w:p w14:paraId="174FB0B8">
            <w:pPr>
              <w:jc w:val="center"/>
              <w:rPr>
                <w:rFonts w:hint="eastAsia" w:ascii="微软雅黑" w:hAnsi="微软雅黑" w:eastAsia="微软雅黑" w:cs="微软雅黑"/>
                <w:i w:val="0"/>
                <w:iCs w:val="0"/>
                <w:color w:val="000000"/>
                <w:sz w:val="20"/>
                <w:szCs w:val="20"/>
                <w:u w:val="none"/>
              </w:rPr>
            </w:pPr>
          </w:p>
        </w:tc>
      </w:tr>
      <w:tr w14:paraId="7E725B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57F1E89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5F7701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F76A62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③　关闭考试结果弹窗后，学员端界面可显示批卷结果；后台端可自定义设置显示内容，是否显示批卷详细内容，或者是简单批卷结果。</w:t>
            </w:r>
          </w:p>
        </w:tc>
        <w:tc>
          <w:tcPr>
            <w:tcW w:w="282" w:type="pct"/>
            <w:vMerge w:val="continue"/>
            <w:tcBorders>
              <w:tl2br w:val="nil"/>
              <w:tr2bl w:val="nil"/>
            </w:tcBorders>
            <w:noWrap w:val="0"/>
            <w:vAlign w:val="center"/>
          </w:tcPr>
          <w:p w14:paraId="207FADA5">
            <w:pPr>
              <w:jc w:val="center"/>
              <w:rPr>
                <w:rFonts w:hint="eastAsia" w:ascii="微软雅黑" w:hAnsi="微软雅黑" w:eastAsia="微软雅黑" w:cs="微软雅黑"/>
                <w:i w:val="0"/>
                <w:iCs w:val="0"/>
                <w:color w:val="000000"/>
                <w:sz w:val="20"/>
                <w:szCs w:val="20"/>
                <w:u w:val="none"/>
              </w:rPr>
            </w:pPr>
          </w:p>
        </w:tc>
      </w:tr>
      <w:tr w14:paraId="3357AC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75BAF9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77D199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CF9C8F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④　若在考试倒计时结束时，学生仍未交卷，则系统会自动强制交卷。</w:t>
            </w:r>
          </w:p>
        </w:tc>
        <w:tc>
          <w:tcPr>
            <w:tcW w:w="282" w:type="pct"/>
            <w:vMerge w:val="continue"/>
            <w:tcBorders>
              <w:tl2br w:val="nil"/>
              <w:tr2bl w:val="nil"/>
            </w:tcBorders>
            <w:noWrap w:val="0"/>
            <w:vAlign w:val="center"/>
          </w:tcPr>
          <w:p w14:paraId="13C87539">
            <w:pPr>
              <w:jc w:val="center"/>
              <w:rPr>
                <w:rFonts w:hint="eastAsia" w:ascii="微软雅黑" w:hAnsi="微软雅黑" w:eastAsia="微软雅黑" w:cs="微软雅黑"/>
                <w:i w:val="0"/>
                <w:iCs w:val="0"/>
                <w:color w:val="000000"/>
                <w:sz w:val="20"/>
                <w:szCs w:val="20"/>
                <w:u w:val="none"/>
              </w:rPr>
            </w:pPr>
          </w:p>
        </w:tc>
      </w:tr>
      <w:tr w14:paraId="42A8FD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55B2A8F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F0278E8">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B616A7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5、在练习模式练习面板中，要求练习模式的答题形式与考试模式一致，但练习模式下没有倒计时，不会强制交卷；点击“开始答题”或“重新答题”，系统则会从试卷库中随机抽取一套练习卷下发。</w:t>
            </w:r>
          </w:p>
        </w:tc>
        <w:tc>
          <w:tcPr>
            <w:tcW w:w="282" w:type="pct"/>
            <w:vMerge w:val="continue"/>
            <w:tcBorders>
              <w:tl2br w:val="nil"/>
              <w:tr2bl w:val="nil"/>
            </w:tcBorders>
            <w:noWrap w:val="0"/>
            <w:vAlign w:val="center"/>
          </w:tcPr>
          <w:p w14:paraId="1D9AB68E">
            <w:pPr>
              <w:jc w:val="center"/>
              <w:rPr>
                <w:rFonts w:hint="eastAsia" w:ascii="微软雅黑" w:hAnsi="微软雅黑" w:eastAsia="微软雅黑" w:cs="微软雅黑"/>
                <w:i w:val="0"/>
                <w:iCs w:val="0"/>
                <w:color w:val="000000"/>
                <w:sz w:val="20"/>
                <w:szCs w:val="20"/>
                <w:u w:val="none"/>
              </w:rPr>
            </w:pPr>
          </w:p>
        </w:tc>
      </w:tr>
      <w:tr w14:paraId="405444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762A336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707672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740D5D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6、在练习模式练习统计中，要求能够显示当前学生的训练次数、答题准确率、总得分，并可查看每次练习的答题详情，显示所有学生的练习排行榜。</w:t>
            </w:r>
          </w:p>
        </w:tc>
        <w:tc>
          <w:tcPr>
            <w:tcW w:w="282" w:type="pct"/>
            <w:vMerge w:val="continue"/>
            <w:tcBorders>
              <w:tl2br w:val="nil"/>
              <w:tr2bl w:val="nil"/>
            </w:tcBorders>
            <w:noWrap w:val="0"/>
            <w:vAlign w:val="center"/>
          </w:tcPr>
          <w:p w14:paraId="0E4736CD">
            <w:pPr>
              <w:jc w:val="center"/>
              <w:rPr>
                <w:rFonts w:hint="eastAsia" w:ascii="微软雅黑" w:hAnsi="微软雅黑" w:eastAsia="微软雅黑" w:cs="微软雅黑"/>
                <w:i w:val="0"/>
                <w:iCs w:val="0"/>
                <w:color w:val="000000"/>
                <w:sz w:val="20"/>
                <w:szCs w:val="20"/>
                <w:u w:val="none"/>
              </w:rPr>
            </w:pPr>
          </w:p>
        </w:tc>
      </w:tr>
      <w:tr w14:paraId="4EA088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1D5AAA7">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5914B4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277630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后台管理端要求：</w:t>
            </w:r>
          </w:p>
        </w:tc>
        <w:tc>
          <w:tcPr>
            <w:tcW w:w="282" w:type="pct"/>
            <w:vMerge w:val="continue"/>
            <w:tcBorders>
              <w:tl2br w:val="nil"/>
              <w:tr2bl w:val="nil"/>
            </w:tcBorders>
            <w:noWrap w:val="0"/>
            <w:vAlign w:val="center"/>
          </w:tcPr>
          <w:p w14:paraId="30621798">
            <w:pPr>
              <w:jc w:val="center"/>
              <w:rPr>
                <w:rFonts w:hint="eastAsia" w:ascii="微软雅黑" w:hAnsi="微软雅黑" w:eastAsia="微软雅黑" w:cs="微软雅黑"/>
                <w:i w:val="0"/>
                <w:iCs w:val="0"/>
                <w:color w:val="000000"/>
                <w:sz w:val="20"/>
                <w:szCs w:val="20"/>
                <w:u w:val="none"/>
              </w:rPr>
            </w:pPr>
          </w:p>
        </w:tc>
      </w:tr>
      <w:tr w14:paraId="2DD227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D1A3EA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E28FA7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D6D949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1、要求后台管理端包含考试管理、人员管理、设备管理、系统管理四大模块。</w:t>
            </w:r>
          </w:p>
        </w:tc>
        <w:tc>
          <w:tcPr>
            <w:tcW w:w="282" w:type="pct"/>
            <w:vMerge w:val="continue"/>
            <w:tcBorders>
              <w:tl2br w:val="nil"/>
              <w:tr2bl w:val="nil"/>
            </w:tcBorders>
            <w:noWrap w:val="0"/>
            <w:vAlign w:val="center"/>
          </w:tcPr>
          <w:p w14:paraId="44D0E41D">
            <w:pPr>
              <w:jc w:val="center"/>
              <w:rPr>
                <w:rFonts w:hint="eastAsia" w:ascii="微软雅黑" w:hAnsi="微软雅黑" w:eastAsia="微软雅黑" w:cs="微软雅黑"/>
                <w:i w:val="0"/>
                <w:iCs w:val="0"/>
                <w:color w:val="000000"/>
                <w:sz w:val="20"/>
                <w:szCs w:val="20"/>
                <w:u w:val="none"/>
              </w:rPr>
            </w:pPr>
          </w:p>
        </w:tc>
      </w:tr>
      <w:tr w14:paraId="2913E7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trPr>
        <w:tc>
          <w:tcPr>
            <w:tcW w:w="235" w:type="pct"/>
            <w:vMerge w:val="continue"/>
            <w:tcBorders>
              <w:tl2br w:val="nil"/>
              <w:tr2bl w:val="nil"/>
            </w:tcBorders>
            <w:noWrap w:val="0"/>
            <w:vAlign w:val="center"/>
          </w:tcPr>
          <w:p w14:paraId="4E13AB1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811F60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4BC22B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要求考试管理下拉列表中包含题库管理、考试管理、答题记录及文章管理。试卷管理可对预设试卷进行增删改查；设置试卷时，可对该试卷的试题答案进行设置，可选中指定的试卷进行下发；“考试时间”“发卷类型”“定时发卷”支持自定义设置。支持将该试卷下发到所有学生端（四旋翼检修无人机必须在线），或指定的学生端（四旋翼检修无人机必须在线）；考试场次中可查看所有的发卷记录；若该场次还未开考，则可对其进行编辑；若该场次正在考试中，或者已结束，则不允许修改，亦可临时组卷；答题记录中可查看所有人的答题记录，包含了考试模式和练习模式下的所有答题记录，可根据不同的条件进行筛选，点击指定的答题记录，可查看学生的答题详情。</w:t>
            </w:r>
          </w:p>
        </w:tc>
        <w:tc>
          <w:tcPr>
            <w:tcW w:w="282" w:type="pct"/>
            <w:vMerge w:val="continue"/>
            <w:tcBorders>
              <w:tl2br w:val="nil"/>
              <w:tr2bl w:val="nil"/>
            </w:tcBorders>
            <w:noWrap w:val="0"/>
            <w:vAlign w:val="center"/>
          </w:tcPr>
          <w:p w14:paraId="0E393199">
            <w:pPr>
              <w:jc w:val="center"/>
              <w:rPr>
                <w:rFonts w:hint="eastAsia" w:ascii="微软雅黑" w:hAnsi="微软雅黑" w:eastAsia="微软雅黑" w:cs="微软雅黑"/>
                <w:i w:val="0"/>
                <w:iCs w:val="0"/>
                <w:color w:val="000000"/>
                <w:sz w:val="20"/>
                <w:szCs w:val="20"/>
                <w:u w:val="none"/>
              </w:rPr>
            </w:pPr>
          </w:p>
        </w:tc>
      </w:tr>
      <w:tr w14:paraId="0AA174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235" w:type="pct"/>
            <w:vMerge w:val="continue"/>
            <w:tcBorders>
              <w:tl2br w:val="nil"/>
              <w:tr2bl w:val="nil"/>
            </w:tcBorders>
            <w:noWrap w:val="0"/>
            <w:vAlign w:val="center"/>
          </w:tcPr>
          <w:p w14:paraId="795FBF6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F476D60">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4ECFD0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要求人员管理中包含管理员管理、学生管理、学生数据导入。管理员可添加、删除、修改后台管理员；为每个管理员授予不同的“角色”，以实现差异化功能授权；学生管理可在线添加、删除、修改学生人员数据；学生管理支持批量导入学生数据；下载系统中的excel模板，按照模板格式填写学生数据，将填好学生数据的excel拖到“文件上传框”中，可对excel中读取到的学生数据进行预览，确认无误的话，点击“导入”按钮即可完成批量学生数据导入。</w:t>
            </w:r>
          </w:p>
        </w:tc>
        <w:tc>
          <w:tcPr>
            <w:tcW w:w="282" w:type="pct"/>
            <w:vMerge w:val="continue"/>
            <w:tcBorders>
              <w:tl2br w:val="nil"/>
              <w:tr2bl w:val="nil"/>
            </w:tcBorders>
            <w:noWrap w:val="0"/>
            <w:vAlign w:val="center"/>
          </w:tcPr>
          <w:p w14:paraId="07503383">
            <w:pPr>
              <w:jc w:val="center"/>
              <w:rPr>
                <w:rFonts w:hint="eastAsia" w:ascii="微软雅黑" w:hAnsi="微软雅黑" w:eastAsia="微软雅黑" w:cs="微软雅黑"/>
                <w:i w:val="0"/>
                <w:iCs w:val="0"/>
                <w:color w:val="000000"/>
                <w:sz w:val="20"/>
                <w:szCs w:val="20"/>
                <w:u w:val="none"/>
              </w:rPr>
            </w:pPr>
          </w:p>
        </w:tc>
      </w:tr>
      <w:tr w14:paraId="102428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5" w:type="pct"/>
            <w:vMerge w:val="continue"/>
            <w:tcBorders>
              <w:tl2br w:val="nil"/>
              <w:tr2bl w:val="nil"/>
            </w:tcBorders>
            <w:noWrap w:val="0"/>
            <w:vAlign w:val="center"/>
          </w:tcPr>
          <w:p w14:paraId="3F25AD00">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D22ABA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76EB1F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要求设备管理包含学生端软件列表、故障分类、故障项管理。当学生端软件启动时学生端信息自动注册到系统中；学生端首次登录时，可选择与指定的四旋翼检修无人机设备进行绑定，同时将四旋翼检修无人机的信息自动注册到后台关联的学生端，方便管理人员对学生端和四旋翼检修无人机设备进行有效管理。</w:t>
            </w:r>
          </w:p>
        </w:tc>
        <w:tc>
          <w:tcPr>
            <w:tcW w:w="282" w:type="pct"/>
            <w:vMerge w:val="continue"/>
            <w:tcBorders>
              <w:tl2br w:val="nil"/>
              <w:tr2bl w:val="nil"/>
            </w:tcBorders>
            <w:noWrap w:val="0"/>
            <w:vAlign w:val="center"/>
          </w:tcPr>
          <w:p w14:paraId="2DC7F56C">
            <w:pPr>
              <w:jc w:val="center"/>
              <w:rPr>
                <w:rFonts w:hint="eastAsia" w:ascii="微软雅黑" w:hAnsi="微软雅黑" w:eastAsia="微软雅黑" w:cs="微软雅黑"/>
                <w:i w:val="0"/>
                <w:iCs w:val="0"/>
                <w:color w:val="000000"/>
                <w:sz w:val="20"/>
                <w:szCs w:val="20"/>
                <w:u w:val="none"/>
              </w:rPr>
            </w:pPr>
          </w:p>
        </w:tc>
      </w:tr>
      <w:tr w14:paraId="1296CE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5" w:type="pct"/>
            <w:vMerge w:val="continue"/>
            <w:tcBorders>
              <w:tl2br w:val="nil"/>
              <w:tr2bl w:val="nil"/>
            </w:tcBorders>
            <w:noWrap w:val="0"/>
            <w:vAlign w:val="center"/>
          </w:tcPr>
          <w:p w14:paraId="235CF2A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E4F50D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93183B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5、要求系统管理包含权限管理、系统配置、附件管理、个人资料界面设置，且权限管理还包含角色组管理、菜单规则管理、管理员日志管理。文章管理可在后台动态添加一些文章，用于学生端呈现。</w:t>
            </w:r>
          </w:p>
        </w:tc>
        <w:tc>
          <w:tcPr>
            <w:tcW w:w="282" w:type="pct"/>
            <w:vMerge w:val="continue"/>
            <w:tcBorders>
              <w:tl2br w:val="nil"/>
              <w:tr2bl w:val="nil"/>
            </w:tcBorders>
            <w:noWrap w:val="0"/>
            <w:vAlign w:val="center"/>
          </w:tcPr>
          <w:p w14:paraId="0564279F">
            <w:pPr>
              <w:jc w:val="center"/>
              <w:rPr>
                <w:rFonts w:hint="eastAsia" w:ascii="微软雅黑" w:hAnsi="微软雅黑" w:eastAsia="微软雅黑" w:cs="微软雅黑"/>
                <w:i w:val="0"/>
                <w:iCs w:val="0"/>
                <w:color w:val="000000"/>
                <w:sz w:val="20"/>
                <w:szCs w:val="20"/>
                <w:u w:val="none"/>
              </w:rPr>
            </w:pPr>
          </w:p>
        </w:tc>
      </w:tr>
      <w:tr w14:paraId="7F6EC5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4BBDA7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F5CFE4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FA8A4E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（五）无人机参数配置模块</w:t>
            </w:r>
          </w:p>
        </w:tc>
        <w:tc>
          <w:tcPr>
            <w:tcW w:w="282" w:type="pct"/>
            <w:vMerge w:val="continue"/>
            <w:tcBorders>
              <w:tl2br w:val="nil"/>
              <w:tr2bl w:val="nil"/>
            </w:tcBorders>
            <w:noWrap w:val="0"/>
            <w:vAlign w:val="center"/>
          </w:tcPr>
          <w:p w14:paraId="684D183E">
            <w:pPr>
              <w:jc w:val="center"/>
              <w:rPr>
                <w:rFonts w:hint="eastAsia" w:ascii="微软雅黑" w:hAnsi="微软雅黑" w:eastAsia="微软雅黑" w:cs="微软雅黑"/>
                <w:i w:val="0"/>
                <w:iCs w:val="0"/>
                <w:color w:val="000000"/>
                <w:sz w:val="20"/>
                <w:szCs w:val="20"/>
                <w:u w:val="none"/>
              </w:rPr>
            </w:pPr>
          </w:p>
        </w:tc>
      </w:tr>
      <w:tr w14:paraId="1AA8A6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2A128DC">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72626BF">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1358A2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1、工业控制机：</w:t>
            </w:r>
          </w:p>
        </w:tc>
        <w:tc>
          <w:tcPr>
            <w:tcW w:w="282" w:type="pct"/>
            <w:vMerge w:val="continue"/>
            <w:tcBorders>
              <w:tl2br w:val="nil"/>
              <w:tr2bl w:val="nil"/>
            </w:tcBorders>
            <w:noWrap w:val="0"/>
            <w:vAlign w:val="center"/>
          </w:tcPr>
          <w:p w14:paraId="74CE1C18">
            <w:pPr>
              <w:jc w:val="center"/>
              <w:rPr>
                <w:rFonts w:hint="eastAsia" w:ascii="微软雅黑" w:hAnsi="微软雅黑" w:eastAsia="微软雅黑" w:cs="微软雅黑"/>
                <w:i w:val="0"/>
                <w:iCs w:val="0"/>
                <w:color w:val="000000"/>
                <w:sz w:val="20"/>
                <w:szCs w:val="20"/>
                <w:u w:val="none"/>
              </w:rPr>
            </w:pPr>
          </w:p>
        </w:tc>
      </w:tr>
      <w:tr w14:paraId="041112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DB5FCB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E64857E">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161396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1）箱外观尺寸：234mm×205mm×53 mm（长×宽×高，±10mm）；</w:t>
            </w:r>
          </w:p>
        </w:tc>
        <w:tc>
          <w:tcPr>
            <w:tcW w:w="282" w:type="pct"/>
            <w:vMerge w:val="continue"/>
            <w:tcBorders>
              <w:tl2br w:val="nil"/>
              <w:tr2bl w:val="nil"/>
            </w:tcBorders>
            <w:noWrap w:val="0"/>
            <w:vAlign w:val="center"/>
          </w:tcPr>
          <w:p w14:paraId="7439680B">
            <w:pPr>
              <w:jc w:val="center"/>
              <w:rPr>
                <w:rFonts w:hint="eastAsia" w:ascii="微软雅黑" w:hAnsi="微软雅黑" w:eastAsia="微软雅黑" w:cs="微软雅黑"/>
                <w:i w:val="0"/>
                <w:iCs w:val="0"/>
                <w:color w:val="000000"/>
                <w:sz w:val="20"/>
                <w:szCs w:val="20"/>
                <w:u w:val="none"/>
              </w:rPr>
            </w:pPr>
          </w:p>
        </w:tc>
      </w:tr>
      <w:tr w14:paraId="3C3319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D437B2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3632BF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20D84F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highlight w:val="red"/>
                <w:u w:val="none"/>
              </w:rPr>
            </w:pPr>
            <w:r>
              <w:rPr>
                <w:rFonts w:hint="eastAsia" w:ascii="微软雅黑" w:hAnsi="微软雅黑" w:eastAsia="微软雅黑" w:cs="微软雅黑"/>
                <w:i w:val="0"/>
                <w:iCs w:val="0"/>
                <w:color w:val="000000"/>
                <w:kern w:val="0"/>
                <w:sz w:val="20"/>
                <w:szCs w:val="20"/>
                <w:highlight w:val="red"/>
                <w:u w:val="none"/>
                <w:lang w:val="en-US" w:eastAsia="zh-CN" w:bidi="ar"/>
              </w:rPr>
              <w:t>2）处理器：不低于4代I5 4200U；</w:t>
            </w:r>
          </w:p>
        </w:tc>
        <w:tc>
          <w:tcPr>
            <w:tcW w:w="282" w:type="pct"/>
            <w:vMerge w:val="continue"/>
            <w:tcBorders>
              <w:tl2br w:val="nil"/>
              <w:tr2bl w:val="nil"/>
            </w:tcBorders>
            <w:noWrap w:val="0"/>
            <w:vAlign w:val="center"/>
          </w:tcPr>
          <w:p w14:paraId="5A43D570">
            <w:pPr>
              <w:jc w:val="center"/>
              <w:rPr>
                <w:rFonts w:hint="eastAsia" w:ascii="微软雅黑" w:hAnsi="微软雅黑" w:eastAsia="微软雅黑" w:cs="微软雅黑"/>
                <w:i w:val="0"/>
                <w:iCs w:val="0"/>
                <w:color w:val="000000"/>
                <w:sz w:val="20"/>
                <w:szCs w:val="20"/>
                <w:u w:val="none"/>
              </w:rPr>
            </w:pPr>
          </w:p>
        </w:tc>
      </w:tr>
      <w:tr w14:paraId="5246032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F50154E">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AE1362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62B9B81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highlight w:val="red"/>
                <w:u w:val="none"/>
              </w:rPr>
            </w:pPr>
            <w:r>
              <w:rPr>
                <w:rFonts w:hint="eastAsia" w:ascii="微软雅黑" w:hAnsi="微软雅黑" w:eastAsia="微软雅黑" w:cs="微软雅黑"/>
                <w:i w:val="0"/>
                <w:iCs w:val="0"/>
                <w:color w:val="000000"/>
                <w:kern w:val="0"/>
                <w:sz w:val="20"/>
                <w:szCs w:val="20"/>
                <w:highlight w:val="red"/>
                <w:u w:val="none"/>
                <w:lang w:val="en-US" w:eastAsia="zh-CN" w:bidi="ar"/>
              </w:rPr>
              <w:t>3）内存：≥4G；</w:t>
            </w:r>
          </w:p>
        </w:tc>
        <w:tc>
          <w:tcPr>
            <w:tcW w:w="282" w:type="pct"/>
            <w:vMerge w:val="continue"/>
            <w:tcBorders>
              <w:tl2br w:val="nil"/>
              <w:tr2bl w:val="nil"/>
            </w:tcBorders>
            <w:noWrap w:val="0"/>
            <w:vAlign w:val="center"/>
          </w:tcPr>
          <w:p w14:paraId="0AD47DAB">
            <w:pPr>
              <w:jc w:val="center"/>
              <w:rPr>
                <w:rFonts w:hint="eastAsia" w:ascii="微软雅黑" w:hAnsi="微软雅黑" w:eastAsia="微软雅黑" w:cs="微软雅黑"/>
                <w:i w:val="0"/>
                <w:iCs w:val="0"/>
                <w:color w:val="000000"/>
                <w:sz w:val="20"/>
                <w:szCs w:val="20"/>
                <w:u w:val="none"/>
              </w:rPr>
            </w:pPr>
          </w:p>
        </w:tc>
      </w:tr>
      <w:tr w14:paraId="661B4B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AF3733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EE66249">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22F227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4）固态硬盘：≥128G；     </w:t>
            </w:r>
          </w:p>
        </w:tc>
        <w:tc>
          <w:tcPr>
            <w:tcW w:w="282" w:type="pct"/>
            <w:vMerge w:val="continue"/>
            <w:tcBorders>
              <w:tl2br w:val="nil"/>
              <w:tr2bl w:val="nil"/>
            </w:tcBorders>
            <w:noWrap w:val="0"/>
            <w:vAlign w:val="center"/>
          </w:tcPr>
          <w:p w14:paraId="2E4B525A">
            <w:pPr>
              <w:jc w:val="center"/>
              <w:rPr>
                <w:rFonts w:hint="eastAsia" w:ascii="微软雅黑" w:hAnsi="微软雅黑" w:eastAsia="微软雅黑" w:cs="微软雅黑"/>
                <w:i w:val="0"/>
                <w:iCs w:val="0"/>
                <w:color w:val="000000"/>
                <w:sz w:val="20"/>
                <w:szCs w:val="20"/>
                <w:u w:val="none"/>
              </w:rPr>
            </w:pPr>
          </w:p>
        </w:tc>
      </w:tr>
      <w:tr w14:paraId="059A13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506B272">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29766F7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3033F2C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5）接口：不少于HDDN/LAN*2/RS232*5/RS232(485)*1/USB*6/DC12V；</w:t>
            </w:r>
          </w:p>
        </w:tc>
        <w:tc>
          <w:tcPr>
            <w:tcW w:w="282" w:type="pct"/>
            <w:vMerge w:val="continue"/>
            <w:tcBorders>
              <w:tl2br w:val="nil"/>
              <w:tr2bl w:val="nil"/>
            </w:tcBorders>
            <w:noWrap w:val="0"/>
            <w:vAlign w:val="center"/>
          </w:tcPr>
          <w:p w14:paraId="612966E5">
            <w:pPr>
              <w:jc w:val="center"/>
              <w:rPr>
                <w:rFonts w:hint="eastAsia" w:ascii="微软雅黑" w:hAnsi="微软雅黑" w:eastAsia="微软雅黑" w:cs="微软雅黑"/>
                <w:i w:val="0"/>
                <w:iCs w:val="0"/>
                <w:color w:val="000000"/>
                <w:sz w:val="20"/>
                <w:szCs w:val="20"/>
                <w:u w:val="none"/>
              </w:rPr>
            </w:pPr>
          </w:p>
        </w:tc>
      </w:tr>
      <w:tr w14:paraId="63849C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437C2C84">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270176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17C0735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6）开机按钮线：延长≥1.5米；     </w:t>
            </w:r>
          </w:p>
        </w:tc>
        <w:tc>
          <w:tcPr>
            <w:tcW w:w="282" w:type="pct"/>
            <w:vMerge w:val="continue"/>
            <w:tcBorders>
              <w:tl2br w:val="nil"/>
              <w:tr2bl w:val="nil"/>
            </w:tcBorders>
            <w:noWrap w:val="0"/>
            <w:vAlign w:val="center"/>
          </w:tcPr>
          <w:p w14:paraId="718EEA33">
            <w:pPr>
              <w:jc w:val="center"/>
              <w:rPr>
                <w:rFonts w:hint="eastAsia" w:ascii="微软雅黑" w:hAnsi="微软雅黑" w:eastAsia="微软雅黑" w:cs="微软雅黑"/>
                <w:i w:val="0"/>
                <w:iCs w:val="0"/>
                <w:color w:val="000000"/>
                <w:sz w:val="20"/>
                <w:szCs w:val="20"/>
                <w:u w:val="none"/>
              </w:rPr>
            </w:pPr>
          </w:p>
        </w:tc>
      </w:tr>
      <w:tr w14:paraId="42B2D4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11CA2E6">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34E812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C2717B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7）开机按钮：直径≥19mm；     </w:t>
            </w:r>
          </w:p>
        </w:tc>
        <w:tc>
          <w:tcPr>
            <w:tcW w:w="282" w:type="pct"/>
            <w:vMerge w:val="continue"/>
            <w:tcBorders>
              <w:tl2br w:val="nil"/>
              <w:tr2bl w:val="nil"/>
            </w:tcBorders>
            <w:noWrap w:val="0"/>
            <w:vAlign w:val="center"/>
          </w:tcPr>
          <w:p w14:paraId="62D3C7D0">
            <w:pPr>
              <w:jc w:val="center"/>
              <w:rPr>
                <w:rFonts w:hint="eastAsia" w:ascii="微软雅黑" w:hAnsi="微软雅黑" w:eastAsia="微软雅黑" w:cs="微软雅黑"/>
                <w:i w:val="0"/>
                <w:iCs w:val="0"/>
                <w:color w:val="000000"/>
                <w:sz w:val="20"/>
                <w:szCs w:val="20"/>
                <w:u w:val="none"/>
              </w:rPr>
            </w:pPr>
          </w:p>
        </w:tc>
      </w:tr>
      <w:tr w14:paraId="7C2487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74A17B69">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0CD6DAB7">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432F97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2、显示屏参数：</w:t>
            </w:r>
          </w:p>
        </w:tc>
        <w:tc>
          <w:tcPr>
            <w:tcW w:w="282" w:type="pct"/>
            <w:vMerge w:val="continue"/>
            <w:tcBorders>
              <w:tl2br w:val="nil"/>
              <w:tr2bl w:val="nil"/>
            </w:tcBorders>
            <w:noWrap w:val="0"/>
            <w:vAlign w:val="center"/>
          </w:tcPr>
          <w:p w14:paraId="686F0784">
            <w:pPr>
              <w:jc w:val="center"/>
              <w:rPr>
                <w:rFonts w:hint="eastAsia" w:ascii="微软雅黑" w:hAnsi="微软雅黑" w:eastAsia="微软雅黑" w:cs="微软雅黑"/>
                <w:i w:val="0"/>
                <w:iCs w:val="0"/>
                <w:color w:val="000000"/>
                <w:sz w:val="20"/>
                <w:szCs w:val="20"/>
                <w:u w:val="none"/>
              </w:rPr>
            </w:pPr>
          </w:p>
        </w:tc>
      </w:tr>
      <w:tr w14:paraId="15AE0E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6C22CB0F">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FFBC0B6">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5A51A13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1）显示屏尺寸：≥27英寸；     </w:t>
            </w:r>
          </w:p>
        </w:tc>
        <w:tc>
          <w:tcPr>
            <w:tcW w:w="282" w:type="pct"/>
            <w:vMerge w:val="continue"/>
            <w:tcBorders>
              <w:tl2br w:val="nil"/>
              <w:tr2bl w:val="nil"/>
            </w:tcBorders>
            <w:noWrap w:val="0"/>
            <w:vAlign w:val="center"/>
          </w:tcPr>
          <w:p w14:paraId="7E1B4D53">
            <w:pPr>
              <w:jc w:val="center"/>
              <w:rPr>
                <w:rFonts w:hint="eastAsia" w:ascii="微软雅黑" w:hAnsi="微软雅黑" w:eastAsia="微软雅黑" w:cs="微软雅黑"/>
                <w:i w:val="0"/>
                <w:iCs w:val="0"/>
                <w:color w:val="000000"/>
                <w:sz w:val="20"/>
                <w:szCs w:val="20"/>
                <w:u w:val="none"/>
              </w:rPr>
            </w:pPr>
          </w:p>
        </w:tc>
      </w:tr>
      <w:tr w14:paraId="3993D6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2AEFE4B">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1D1F3E4D">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8315B6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2）屏幕比例：16:9；    </w:t>
            </w:r>
          </w:p>
        </w:tc>
        <w:tc>
          <w:tcPr>
            <w:tcW w:w="282" w:type="pct"/>
            <w:vMerge w:val="continue"/>
            <w:tcBorders>
              <w:tl2br w:val="nil"/>
              <w:tr2bl w:val="nil"/>
            </w:tcBorders>
            <w:noWrap w:val="0"/>
            <w:vAlign w:val="center"/>
          </w:tcPr>
          <w:p w14:paraId="02906E37">
            <w:pPr>
              <w:jc w:val="center"/>
              <w:rPr>
                <w:rFonts w:hint="eastAsia" w:ascii="微软雅黑" w:hAnsi="微软雅黑" w:eastAsia="微软雅黑" w:cs="微软雅黑"/>
                <w:i w:val="0"/>
                <w:iCs w:val="0"/>
                <w:color w:val="000000"/>
                <w:sz w:val="20"/>
                <w:szCs w:val="20"/>
                <w:u w:val="none"/>
              </w:rPr>
            </w:pPr>
          </w:p>
        </w:tc>
      </w:tr>
      <w:tr w14:paraId="0EC6CC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0B0CEEB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5AFCFE51">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2DD88E3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3）屏幕分辨率：≥1920x1080；     </w:t>
            </w:r>
          </w:p>
        </w:tc>
        <w:tc>
          <w:tcPr>
            <w:tcW w:w="282" w:type="pct"/>
            <w:vMerge w:val="continue"/>
            <w:tcBorders>
              <w:tl2br w:val="nil"/>
              <w:tr2bl w:val="nil"/>
            </w:tcBorders>
            <w:noWrap w:val="0"/>
            <w:vAlign w:val="center"/>
          </w:tcPr>
          <w:p w14:paraId="26806FA6">
            <w:pPr>
              <w:jc w:val="center"/>
              <w:rPr>
                <w:rFonts w:hint="eastAsia" w:ascii="微软雅黑" w:hAnsi="微软雅黑" w:eastAsia="微软雅黑" w:cs="微软雅黑"/>
                <w:i w:val="0"/>
                <w:iCs w:val="0"/>
                <w:color w:val="000000"/>
                <w:sz w:val="20"/>
                <w:szCs w:val="20"/>
                <w:u w:val="none"/>
              </w:rPr>
            </w:pPr>
          </w:p>
        </w:tc>
      </w:tr>
      <w:tr w14:paraId="0AAF01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1DCC9E45">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6FDEB2EA">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84F774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4）面板类型：采用IPS技术；     </w:t>
            </w:r>
          </w:p>
        </w:tc>
        <w:tc>
          <w:tcPr>
            <w:tcW w:w="282" w:type="pct"/>
            <w:vMerge w:val="continue"/>
            <w:tcBorders>
              <w:tl2br w:val="nil"/>
              <w:tr2bl w:val="nil"/>
            </w:tcBorders>
            <w:noWrap w:val="0"/>
            <w:vAlign w:val="center"/>
          </w:tcPr>
          <w:p w14:paraId="79918F00">
            <w:pPr>
              <w:jc w:val="center"/>
              <w:rPr>
                <w:rFonts w:hint="eastAsia" w:ascii="微软雅黑" w:hAnsi="微软雅黑" w:eastAsia="微软雅黑" w:cs="微软雅黑"/>
                <w:i w:val="0"/>
                <w:iCs w:val="0"/>
                <w:color w:val="000000"/>
                <w:sz w:val="20"/>
                <w:szCs w:val="20"/>
                <w:u w:val="none"/>
              </w:rPr>
            </w:pPr>
          </w:p>
        </w:tc>
      </w:tr>
      <w:tr w14:paraId="41A752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048D86A">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3563BE0C">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4076EF1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5）刷新率（MAX）：≥100Hz；</w:t>
            </w:r>
          </w:p>
        </w:tc>
        <w:tc>
          <w:tcPr>
            <w:tcW w:w="282" w:type="pct"/>
            <w:vMerge w:val="continue"/>
            <w:tcBorders>
              <w:tl2br w:val="nil"/>
              <w:tr2bl w:val="nil"/>
            </w:tcBorders>
            <w:noWrap w:val="0"/>
            <w:vAlign w:val="center"/>
          </w:tcPr>
          <w:p w14:paraId="18B58324">
            <w:pPr>
              <w:jc w:val="center"/>
              <w:rPr>
                <w:rFonts w:hint="eastAsia" w:ascii="微软雅黑" w:hAnsi="微软雅黑" w:eastAsia="微软雅黑" w:cs="微软雅黑"/>
                <w:i w:val="0"/>
                <w:iCs w:val="0"/>
                <w:color w:val="000000"/>
                <w:sz w:val="20"/>
                <w:szCs w:val="20"/>
                <w:u w:val="none"/>
              </w:rPr>
            </w:pPr>
          </w:p>
        </w:tc>
      </w:tr>
      <w:tr w14:paraId="49B07E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5" w:type="pct"/>
            <w:vMerge w:val="continue"/>
            <w:tcBorders>
              <w:tl2br w:val="nil"/>
              <w:tr2bl w:val="nil"/>
            </w:tcBorders>
            <w:noWrap w:val="0"/>
            <w:vAlign w:val="center"/>
          </w:tcPr>
          <w:p w14:paraId="308AA203">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4850DB52">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0570DF9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6）显示器整体要求嵌入台体；</w:t>
            </w:r>
          </w:p>
        </w:tc>
        <w:tc>
          <w:tcPr>
            <w:tcW w:w="282" w:type="pct"/>
            <w:vMerge w:val="continue"/>
            <w:tcBorders>
              <w:tl2br w:val="nil"/>
              <w:tr2bl w:val="nil"/>
            </w:tcBorders>
            <w:noWrap w:val="0"/>
            <w:vAlign w:val="center"/>
          </w:tcPr>
          <w:p w14:paraId="76E87AE7">
            <w:pPr>
              <w:jc w:val="center"/>
              <w:rPr>
                <w:rFonts w:hint="eastAsia" w:ascii="微软雅黑" w:hAnsi="微软雅黑" w:eastAsia="微软雅黑" w:cs="微软雅黑"/>
                <w:i w:val="0"/>
                <w:iCs w:val="0"/>
                <w:color w:val="000000"/>
                <w:sz w:val="20"/>
                <w:szCs w:val="20"/>
                <w:u w:val="none"/>
              </w:rPr>
            </w:pPr>
          </w:p>
        </w:tc>
      </w:tr>
      <w:tr w14:paraId="6B1132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235" w:type="pct"/>
            <w:vMerge w:val="continue"/>
            <w:tcBorders>
              <w:tl2br w:val="nil"/>
              <w:tr2bl w:val="nil"/>
            </w:tcBorders>
            <w:noWrap w:val="0"/>
            <w:vAlign w:val="center"/>
          </w:tcPr>
          <w:p w14:paraId="259FB1ED">
            <w:pPr>
              <w:jc w:val="center"/>
              <w:rPr>
                <w:rFonts w:hint="eastAsia" w:ascii="微软雅黑" w:hAnsi="微软雅黑" w:eastAsia="微软雅黑" w:cs="微软雅黑"/>
                <w:i w:val="0"/>
                <w:iCs w:val="0"/>
                <w:color w:val="000000"/>
                <w:sz w:val="20"/>
                <w:szCs w:val="20"/>
                <w:u w:val="none"/>
              </w:rPr>
            </w:pPr>
          </w:p>
        </w:tc>
        <w:tc>
          <w:tcPr>
            <w:tcW w:w="457" w:type="pct"/>
            <w:vMerge w:val="continue"/>
            <w:tcBorders>
              <w:tl2br w:val="nil"/>
              <w:tr2bl w:val="nil"/>
            </w:tcBorders>
            <w:noWrap w:val="0"/>
            <w:vAlign w:val="center"/>
          </w:tcPr>
          <w:p w14:paraId="7BADAF95">
            <w:pPr>
              <w:jc w:val="left"/>
              <w:rPr>
                <w:rFonts w:hint="eastAsia" w:ascii="微软雅黑" w:hAnsi="微软雅黑" w:eastAsia="微软雅黑" w:cs="微软雅黑"/>
                <w:i w:val="0"/>
                <w:iCs w:val="0"/>
                <w:color w:val="000000"/>
                <w:sz w:val="20"/>
                <w:szCs w:val="20"/>
                <w:u w:val="none"/>
              </w:rPr>
            </w:pPr>
          </w:p>
        </w:tc>
        <w:tc>
          <w:tcPr>
            <w:tcW w:w="4025" w:type="pct"/>
            <w:tcBorders>
              <w:tl2br w:val="nil"/>
              <w:tr2bl w:val="nil"/>
            </w:tcBorders>
            <w:noWrap w:val="0"/>
            <w:vAlign w:val="center"/>
          </w:tcPr>
          <w:p w14:paraId="777B9A8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7）并配置无线鼠标键盘</w:t>
            </w:r>
          </w:p>
        </w:tc>
        <w:tc>
          <w:tcPr>
            <w:tcW w:w="282" w:type="pct"/>
            <w:vMerge w:val="continue"/>
            <w:tcBorders>
              <w:tl2br w:val="nil"/>
              <w:tr2bl w:val="nil"/>
            </w:tcBorders>
            <w:noWrap w:val="0"/>
            <w:vAlign w:val="center"/>
          </w:tcPr>
          <w:p w14:paraId="4705672F">
            <w:pPr>
              <w:jc w:val="center"/>
              <w:rPr>
                <w:rFonts w:hint="eastAsia" w:ascii="微软雅黑" w:hAnsi="微软雅黑" w:eastAsia="微软雅黑" w:cs="微软雅黑"/>
                <w:i w:val="0"/>
                <w:iCs w:val="0"/>
                <w:color w:val="000000"/>
                <w:sz w:val="20"/>
                <w:szCs w:val="20"/>
                <w:u w:val="none"/>
              </w:rPr>
            </w:pPr>
          </w:p>
        </w:tc>
      </w:tr>
    </w:tbl>
    <w:p w14:paraId="4570E09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宋体" w:hAnsi="宋体" w:eastAsia="宋体" w:cs="宋体"/>
          <w:b/>
          <w:bCs/>
          <w:color w:val="auto"/>
          <w:kern w:val="0"/>
          <w:sz w:val="21"/>
          <w:szCs w:val="21"/>
          <w:highlight w:val="yellow"/>
          <w:lang w:val="en-US" w:eastAsia="zh-CN" w:bidi="ar-SA"/>
        </w:rPr>
      </w:pPr>
    </w:p>
    <w:p w14:paraId="631859E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宋体" w:hAnsi="宋体" w:eastAsia="宋体" w:cs="宋体"/>
          <w:b/>
          <w:bCs/>
          <w:color w:val="auto"/>
          <w:kern w:val="0"/>
          <w:sz w:val="21"/>
          <w:szCs w:val="21"/>
          <w:highlight w:val="yellow"/>
          <w:lang w:val="en-US" w:eastAsia="zh-CN" w:bidi="ar-SA"/>
        </w:rPr>
      </w:pPr>
    </w:p>
    <w:p w14:paraId="2AB7568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宋体" w:hAnsi="宋体" w:eastAsia="宋体" w:cs="宋体"/>
          <w:b/>
          <w:bCs/>
          <w:color w:val="auto"/>
          <w:kern w:val="0"/>
          <w:sz w:val="21"/>
          <w:szCs w:val="21"/>
          <w:highlight w:val="yellow"/>
          <w:lang w:val="en-US" w:eastAsia="zh-CN" w:bidi="ar-SA"/>
        </w:rPr>
      </w:pPr>
      <w:r>
        <w:rPr>
          <w:rFonts w:hint="eastAsia" w:ascii="宋体" w:hAnsi="宋体" w:eastAsia="宋体" w:cs="宋体"/>
          <w:b/>
          <w:bCs/>
          <w:color w:val="auto"/>
          <w:kern w:val="0"/>
          <w:sz w:val="21"/>
          <w:szCs w:val="21"/>
          <w:highlight w:val="yellow"/>
          <w:lang w:val="en-US" w:eastAsia="zh-CN" w:bidi="ar-SA"/>
        </w:rPr>
        <w:t>注：</w:t>
      </w:r>
    </w:p>
    <w:p w14:paraId="259AFCB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kern w:val="0"/>
          <w:sz w:val="21"/>
          <w:szCs w:val="21"/>
          <w:highlight w:val="yellow"/>
          <w:lang w:val="en-US" w:eastAsia="zh-CN" w:bidi="ar-SA"/>
        </w:rPr>
        <w:t>1、上表标注“</w:t>
      </w:r>
      <w:r>
        <w:rPr>
          <w:rFonts w:hint="eastAsia" w:ascii="宋体" w:hAnsi="宋体" w:cs="宋体"/>
          <w:i w:val="0"/>
          <w:iCs w:val="0"/>
          <w:color w:val="auto"/>
          <w:kern w:val="0"/>
          <w:sz w:val="18"/>
          <w:szCs w:val="18"/>
          <w:highlight w:val="yellow"/>
          <w:u w:val="none"/>
          <w:lang w:val="en-US" w:eastAsia="zh-CN" w:bidi="ar"/>
        </w:rPr>
        <w:t>★</w:t>
      </w:r>
      <w:r>
        <w:rPr>
          <w:rFonts w:hint="eastAsia" w:ascii="宋体" w:hAnsi="宋体" w:eastAsia="宋体" w:cs="宋体"/>
          <w:b/>
          <w:bCs/>
          <w:color w:val="auto"/>
          <w:kern w:val="0"/>
          <w:sz w:val="21"/>
          <w:szCs w:val="21"/>
          <w:highlight w:val="yellow"/>
          <w:lang w:val="en-US" w:eastAsia="zh-CN" w:bidi="ar-SA"/>
        </w:rPr>
        <w:t>”的</w:t>
      </w:r>
      <w:r>
        <w:rPr>
          <w:rFonts w:hint="eastAsia" w:ascii="宋体" w:hAnsi="宋体" w:eastAsia="宋体" w:cs="宋体"/>
          <w:b/>
          <w:bCs/>
          <w:color w:val="auto"/>
          <w:sz w:val="21"/>
          <w:szCs w:val="21"/>
          <w:highlight w:val="yellow"/>
          <w:lang w:val="en-US" w:eastAsia="zh-CN"/>
        </w:rPr>
        <w:t>为核心产品。</w:t>
      </w:r>
    </w:p>
    <w:p w14:paraId="4F200AF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highlight w:val="yellow"/>
          <w:lang w:val="en-US" w:eastAsia="zh-CN"/>
        </w:rPr>
        <w:t>2、产品为核心产品的：本项目多家供应商提供的核心产品品牌相同的，通过资格审查、符合性审查的不同供应商按1家供应商计算，评审后得分最高的同品牌供应商获得中标人推荐资格；评审得分相同的，由采购人或者采购人委托评标委员会按照以下方式确定1个供应商获得中标人推荐资格，其他同品牌供应商不作为中标候选人。</w:t>
      </w:r>
    </w:p>
    <w:p w14:paraId="279304A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yellow"/>
          <w:lang w:val="en-US" w:eastAsia="zh-CN"/>
        </w:rPr>
        <w:t>确定方式：得分相同的，按投标报价由低到高顺序排列；得分且投标报价相同的，按技术和商务优劣顺序排列。</w:t>
      </w:r>
    </w:p>
    <w:p w14:paraId="0A0DFB7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b/>
          <w:bCs/>
          <w:color w:val="auto"/>
          <w:sz w:val="21"/>
          <w:szCs w:val="21"/>
          <w:highlight w:val="none"/>
          <w:lang w:val="en-US" w:eastAsia="zh-CN"/>
        </w:rPr>
      </w:pPr>
    </w:p>
    <w:bookmarkEnd w:id="225"/>
    <w:p w14:paraId="3305E15C">
      <w:pPr>
        <w:pStyle w:val="6"/>
        <w:jc w:val="center"/>
        <w:rPr>
          <w:rFonts w:hint="default"/>
          <w:b/>
          <w:bCs/>
          <w:szCs w:val="24"/>
          <w:lang w:val="en-US"/>
        </w:rPr>
      </w:pPr>
      <w:bookmarkStart w:id="234" w:name="_Toc30136"/>
      <w:bookmarkStart w:id="235" w:name="_Toc6755"/>
      <w:bookmarkStart w:id="236" w:name="_Toc31222"/>
      <w:bookmarkStart w:id="237" w:name="_Toc21359"/>
      <w:r>
        <w:rPr>
          <w:rFonts w:hint="eastAsia"/>
          <w:color w:val="auto"/>
          <w:highlight w:val="none"/>
        </w:rPr>
        <w:br w:type="page"/>
      </w:r>
      <w:bookmarkStart w:id="238" w:name="_Toc20594"/>
      <w:r>
        <w:rPr>
          <w:rFonts w:hint="default"/>
          <w:color w:val="auto"/>
          <w:highlight w:val="none"/>
          <w:lang w:val="en-US" w:eastAsia="zh-CN"/>
        </w:rPr>
        <w:t>第</w:t>
      </w:r>
      <w:r>
        <w:rPr>
          <w:rFonts w:hint="eastAsia"/>
          <w:color w:val="auto"/>
          <w:highlight w:val="none"/>
          <w:lang w:val="en-US" w:eastAsia="zh-CN"/>
        </w:rPr>
        <w:t>二</w:t>
      </w:r>
      <w:r>
        <w:rPr>
          <w:rFonts w:hint="default"/>
          <w:color w:val="auto"/>
          <w:highlight w:val="none"/>
          <w:lang w:val="en-US" w:eastAsia="zh-CN"/>
        </w:rPr>
        <w:t xml:space="preserve">节 </w:t>
      </w:r>
      <w:r>
        <w:rPr>
          <w:rFonts w:hint="eastAsia"/>
          <w:color w:val="auto"/>
          <w:highlight w:val="none"/>
          <w:lang w:val="en-US" w:eastAsia="zh-CN"/>
        </w:rPr>
        <w:t>商务要求</w:t>
      </w:r>
      <w:bookmarkEnd w:id="238"/>
    </w:p>
    <w:p w14:paraId="12E5E01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rPr>
      </w:pPr>
      <w:r>
        <w:rPr>
          <w:rFonts w:hint="eastAsia" w:ascii="宋体" w:hAnsi="宋体" w:eastAsia="宋体" w:cs="宋体"/>
          <w:b/>
          <w:bCs/>
        </w:rPr>
        <w:t>一、交货</w:t>
      </w:r>
      <w:r>
        <w:rPr>
          <w:rFonts w:hint="eastAsia" w:ascii="宋体" w:hAnsi="宋体" w:eastAsia="宋体" w:cs="宋体"/>
          <w:b/>
          <w:bCs/>
          <w:lang w:val="en-US" w:eastAsia="zh-CN"/>
        </w:rPr>
        <w:t>安装</w:t>
      </w:r>
      <w:r>
        <w:rPr>
          <w:rFonts w:hint="eastAsia" w:ascii="宋体" w:hAnsi="宋体" w:eastAsia="宋体" w:cs="宋体"/>
          <w:b/>
          <w:bCs/>
        </w:rPr>
        <w:t>期及交货地点</w:t>
      </w:r>
    </w:p>
    <w:p w14:paraId="31788C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rPr>
        <w:t>交货</w:t>
      </w:r>
      <w:r>
        <w:rPr>
          <w:rFonts w:hint="eastAsia" w:ascii="宋体" w:hAnsi="宋体" w:eastAsia="宋体" w:cs="宋体"/>
          <w:lang w:val="en-US" w:eastAsia="zh-CN"/>
        </w:rPr>
        <w:t>安</w:t>
      </w:r>
      <w:r>
        <w:rPr>
          <w:rFonts w:hint="eastAsia" w:ascii="宋体" w:hAnsi="宋体" w:eastAsia="宋体" w:cs="宋体"/>
          <w:color w:val="auto"/>
          <w:lang w:val="en-US" w:eastAsia="zh-CN"/>
        </w:rPr>
        <w:t>装</w:t>
      </w:r>
      <w:r>
        <w:rPr>
          <w:rFonts w:hint="eastAsia" w:ascii="宋体" w:hAnsi="宋体" w:eastAsia="宋体" w:cs="宋体"/>
          <w:color w:val="auto"/>
        </w:rPr>
        <w:t>期：</w:t>
      </w:r>
      <w:r>
        <w:rPr>
          <w:rFonts w:hint="eastAsia" w:ascii="宋体" w:hAnsi="宋体" w:cs="宋体"/>
          <w:color w:val="auto"/>
          <w:kern w:val="0"/>
          <w:szCs w:val="24"/>
          <w:highlight w:val="none"/>
          <w:lang w:val="en-US" w:eastAsia="zh-CN"/>
        </w:rPr>
        <w:t>自合同签订之日起30</w:t>
      </w:r>
      <w:r>
        <w:rPr>
          <w:rFonts w:hint="eastAsia" w:ascii="宋体" w:hAnsi="宋体" w:cs="宋体"/>
          <w:color w:val="auto"/>
          <w:kern w:val="0"/>
          <w:szCs w:val="24"/>
          <w:highlight w:val="none"/>
        </w:rPr>
        <w:t>个</w:t>
      </w:r>
      <w:r>
        <w:rPr>
          <w:rFonts w:hint="eastAsia" w:ascii="宋体" w:hAnsi="宋体" w:cs="宋体"/>
          <w:color w:val="auto"/>
          <w:kern w:val="0"/>
          <w:szCs w:val="24"/>
          <w:highlight w:val="none"/>
          <w:lang w:val="en-US" w:eastAsia="zh-CN"/>
        </w:rPr>
        <w:t>日历日</w:t>
      </w:r>
      <w:r>
        <w:rPr>
          <w:rFonts w:hint="eastAsia" w:ascii="宋体" w:hAnsi="宋体" w:cs="宋体"/>
          <w:color w:val="auto"/>
          <w:kern w:val="0"/>
          <w:szCs w:val="24"/>
          <w:highlight w:val="none"/>
        </w:rPr>
        <w:t>内</w:t>
      </w:r>
      <w:r>
        <w:rPr>
          <w:rFonts w:hint="eastAsia" w:ascii="宋体" w:hAnsi="宋体" w:cs="宋体"/>
          <w:color w:val="auto"/>
          <w:kern w:val="0"/>
          <w:szCs w:val="24"/>
          <w:highlight w:val="none"/>
          <w:lang w:eastAsia="zh-CN"/>
        </w:rPr>
        <w:t>供货、安装调试</w:t>
      </w:r>
      <w:r>
        <w:rPr>
          <w:rFonts w:hint="eastAsia" w:ascii="宋体" w:hAnsi="宋体" w:cs="宋体"/>
          <w:color w:val="auto"/>
          <w:kern w:val="0"/>
          <w:szCs w:val="24"/>
          <w:highlight w:val="none"/>
        </w:rPr>
        <w:t>并交付使用。</w:t>
      </w:r>
    </w:p>
    <w:p w14:paraId="053738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交货地点：采购人指定地点。</w:t>
      </w:r>
    </w:p>
    <w:p w14:paraId="77C0B431">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rPr>
          <w:rFonts w:hint="eastAsia" w:ascii="宋体" w:hAnsi="宋体" w:eastAsia="宋体" w:cs="宋体"/>
          <w:b/>
          <w:bCs/>
        </w:rPr>
      </w:pPr>
      <w:r>
        <w:rPr>
          <w:rFonts w:hint="eastAsia" w:ascii="宋体" w:hAnsi="宋体" w:eastAsia="宋体" w:cs="宋体"/>
          <w:b/>
          <w:bCs/>
        </w:rPr>
        <w:t>二、质量标准</w:t>
      </w:r>
    </w:p>
    <w:p w14:paraId="3BF131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完全</w:t>
      </w:r>
      <w:r>
        <w:rPr>
          <w:rFonts w:hint="eastAsia" w:ascii="宋体" w:hAnsi="宋体" w:cs="宋体"/>
          <w:color w:val="auto"/>
          <w:kern w:val="0"/>
          <w:szCs w:val="24"/>
          <w:highlight w:val="none"/>
        </w:rPr>
        <w:t>符合采购文件及国家规定的质量标准、规格和性能的要求</w:t>
      </w:r>
      <w:r>
        <w:rPr>
          <w:rFonts w:hint="eastAsia" w:ascii="宋体" w:hAnsi="宋体" w:cs="宋体"/>
          <w:color w:val="auto"/>
          <w:kern w:val="0"/>
          <w:szCs w:val="24"/>
          <w:highlight w:val="none"/>
          <w:lang w:eastAsia="zh-CN"/>
        </w:rPr>
        <w:t>。</w:t>
      </w:r>
    </w:p>
    <w:p w14:paraId="288C53CD">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rPr>
          <w:rFonts w:hint="eastAsia" w:ascii="宋体" w:hAnsi="宋体" w:eastAsia="宋体" w:cs="宋体"/>
          <w:b/>
          <w:bCs/>
        </w:rPr>
      </w:pPr>
      <w:r>
        <w:rPr>
          <w:rFonts w:hint="eastAsia" w:ascii="宋体" w:hAnsi="宋体" w:eastAsia="宋体" w:cs="宋体"/>
          <w:b/>
          <w:bCs/>
        </w:rPr>
        <w:t>三、质保期</w:t>
      </w:r>
    </w:p>
    <w:p w14:paraId="3E043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rPr>
      </w:pPr>
      <w:r>
        <w:rPr>
          <w:rFonts w:hint="eastAsia" w:ascii="宋体" w:hAnsi="宋体" w:eastAsia="宋体" w:cs="宋体"/>
          <w:color w:val="auto"/>
          <w:kern w:val="0"/>
          <w:sz w:val="24"/>
          <w:szCs w:val="24"/>
          <w:highlight w:val="none"/>
          <w:lang w:val="en-US" w:eastAsia="zh-CN"/>
        </w:rPr>
        <w:t>硬件质保</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年，软件质保</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年，自</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整体验收合格之日起计算。</w:t>
      </w:r>
    </w:p>
    <w:p w14:paraId="680D59E4">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rPr>
          <w:rFonts w:hint="eastAsia" w:ascii="宋体" w:hAnsi="宋体" w:eastAsia="宋体" w:cs="宋体"/>
          <w:b/>
          <w:bCs/>
        </w:rPr>
      </w:pPr>
      <w:r>
        <w:rPr>
          <w:rFonts w:hint="eastAsia" w:ascii="宋体" w:hAnsi="宋体" w:eastAsia="宋体" w:cs="宋体"/>
          <w:b/>
          <w:bCs/>
        </w:rPr>
        <w:t>四、付款方式</w:t>
      </w:r>
    </w:p>
    <w:p w14:paraId="3F5F49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1、合同签订后，支付合同总价的30%为预付款；全部产品交货完成及所有平台搭建完毕，并经安装调试合格后支付合同总价的70%。</w:t>
      </w:r>
    </w:p>
    <w:p w14:paraId="7C8B08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2、中标人需向采购人提供合法有效的增值税发票。</w:t>
      </w:r>
    </w:p>
    <w:p w14:paraId="41C07A0F">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rPr>
          <w:rFonts w:hint="eastAsia" w:ascii="宋体" w:hAnsi="宋体" w:eastAsia="宋体" w:cs="宋体"/>
          <w:b/>
          <w:bCs/>
        </w:rPr>
      </w:pPr>
      <w:r>
        <w:rPr>
          <w:rFonts w:hint="eastAsia" w:ascii="宋体" w:hAnsi="宋体" w:eastAsia="宋体" w:cs="宋体"/>
          <w:b/>
          <w:bCs/>
        </w:rPr>
        <w:t>五、履约保证金</w:t>
      </w:r>
    </w:p>
    <w:p w14:paraId="48CE07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eastAsia="zh-CN"/>
        </w:rPr>
        <w:t>、中标人在签订项目合同前向采购人缴纳合同金额5%的履约保证金。</w:t>
      </w:r>
    </w:p>
    <w:p w14:paraId="18270C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cs="宋体"/>
          <w:lang w:eastAsia="zh-CN"/>
        </w:rPr>
        <w:t>、</w:t>
      </w:r>
      <w:r>
        <w:rPr>
          <w:rFonts w:hint="eastAsia" w:ascii="宋体" w:hAnsi="宋体" w:eastAsia="宋体" w:cs="宋体"/>
          <w:lang w:eastAsia="zh-CN"/>
        </w:rPr>
        <w:t>中标人如未按时足额缴纳履约保证金或未在规定限期内签订合同（中标通知书发出后30个日历日内），采购人有权取消其中标资格、撤销其中标通知书，其所缴纳的投标保证金、履约保证金将不予退还，采购人有权另选中标人或重新采购。</w:t>
      </w:r>
    </w:p>
    <w:p w14:paraId="19B3903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rPr>
      </w:pPr>
      <w:r>
        <w:rPr>
          <w:rFonts w:hint="eastAsia" w:ascii="宋体" w:hAnsi="宋体" w:eastAsia="宋体" w:cs="宋体"/>
          <w:lang w:eastAsia="zh-CN"/>
        </w:rPr>
        <w:t>3</w:t>
      </w:r>
      <w:r>
        <w:rPr>
          <w:rFonts w:hint="eastAsia" w:ascii="宋体" w:hAnsi="宋体" w:cs="宋体"/>
          <w:lang w:eastAsia="zh-CN"/>
        </w:rPr>
        <w:t>、</w:t>
      </w:r>
      <w:r>
        <w:rPr>
          <w:rFonts w:hint="eastAsia" w:ascii="宋体" w:hAnsi="宋体" w:eastAsia="宋体" w:cs="宋体"/>
          <w:lang w:eastAsia="zh-CN"/>
        </w:rPr>
        <w:t>如在合同执行过程中，达不到相应文件的服务承诺，采购人将扣除履约保证金，履约保证金不足以赔偿损失的，按实际损失金额赔偿。项目正式验收合格12个月后，在无违约情况下，中标人提交书面申请，采购人一次性无息退还其履约保证金。</w:t>
      </w:r>
    </w:p>
    <w:p w14:paraId="7C44DB04">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rPr>
          <w:rFonts w:hint="eastAsia" w:ascii="宋体" w:hAnsi="宋体" w:eastAsia="宋体" w:cs="宋体"/>
          <w:b/>
          <w:bCs/>
          <w:highlight w:val="none"/>
        </w:rPr>
      </w:pPr>
      <w:r>
        <w:rPr>
          <w:rFonts w:hint="eastAsia" w:ascii="宋体" w:hAnsi="宋体" w:eastAsia="宋体" w:cs="宋体"/>
          <w:b/>
          <w:bCs/>
        </w:rPr>
        <w:t>六、验</w:t>
      </w:r>
      <w:r>
        <w:rPr>
          <w:rFonts w:hint="eastAsia" w:ascii="宋体" w:hAnsi="宋体" w:eastAsia="宋体" w:cs="宋体"/>
          <w:b/>
          <w:bCs/>
          <w:highlight w:val="none"/>
        </w:rPr>
        <w:t>收</w:t>
      </w:r>
    </w:p>
    <w:p w14:paraId="7F5DEEC9">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产品安装调试完毕后，验收前，采购人有权随机抽取货物送第三方有资质的检测机构进行质量检测，验收不合格的，采购人有权拒付货款并追究其相关责任。</w:t>
      </w:r>
    </w:p>
    <w:p w14:paraId="534AFAF4">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检测费用及更换费用均由中标人承担，供应商在报价时应予以考虑。检测不达标的，中标人整改后，采购人有权按前述方式重新抽检，相关费用由中标人承担。</w:t>
      </w:r>
    </w:p>
    <w:p w14:paraId="27C7231D">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供货后，按双方签订的合同和本技术条款进行验收。</w:t>
      </w:r>
    </w:p>
    <w:p w14:paraId="6CEF8B3C">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版权: 所有中标人应当保证交付给采购人的产品不侵犯任何其他方的合法权益，如发生其他方指控采购人侵权，全部责任由中标人承担。</w:t>
      </w:r>
    </w:p>
    <w:p w14:paraId="7C62F3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rPr>
      </w:pPr>
    </w:p>
    <w:p w14:paraId="498BED5A">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textAlignment w:val="auto"/>
        <w:rPr>
          <w:rFonts w:hint="eastAsia" w:ascii="宋体" w:hAnsi="宋体" w:eastAsia="宋体" w:cs="宋体"/>
          <w:b/>
          <w:bCs/>
        </w:rPr>
      </w:pPr>
      <w:r>
        <w:rPr>
          <w:rFonts w:hint="eastAsia" w:ascii="宋体" w:hAnsi="宋体" w:eastAsia="宋体" w:cs="宋体"/>
          <w:b/>
          <w:bCs/>
          <w:lang w:val="en-US" w:eastAsia="zh-CN"/>
        </w:rPr>
        <w:t>七、</w:t>
      </w:r>
      <w:r>
        <w:rPr>
          <w:rFonts w:hint="eastAsia" w:ascii="宋体" w:hAnsi="宋体" w:eastAsia="宋体" w:cs="宋体"/>
          <w:b/>
          <w:bCs/>
        </w:rPr>
        <w:t>其他</w:t>
      </w:r>
    </w:p>
    <w:p w14:paraId="3199DF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中标人提供的产品及配套材料必须为全新的，标牌、技术说明文件齐全， 产品包装完好；</w:t>
      </w:r>
    </w:p>
    <w:p w14:paraId="13863C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中标人按照采购人的要求和项目实施的需要为采购人提供详细的技术方案、设备手册、配置资料等。</w:t>
      </w:r>
    </w:p>
    <w:p w14:paraId="2ABF22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highlight w:val="green"/>
        </w:rPr>
      </w:pPr>
      <w:r>
        <w:rPr>
          <w:rFonts w:hint="eastAsia" w:ascii="宋体" w:hAnsi="宋体" w:eastAsia="宋体" w:cs="宋体"/>
          <w:lang w:val="en-US" w:eastAsia="zh-CN"/>
        </w:rPr>
        <w:t>3、</w:t>
      </w:r>
      <w:r>
        <w:rPr>
          <w:rFonts w:hint="eastAsia" w:ascii="宋体" w:hAnsi="宋体" w:eastAsia="宋体" w:cs="宋体"/>
        </w:rPr>
        <w:t>若其提供的产品和服务出现任何问题和故障时，中标人须按照采购人的要求，在收到采购人通知后1小时内响应，</w:t>
      </w:r>
      <w:r>
        <w:rPr>
          <w:rFonts w:hint="eastAsia" w:ascii="宋体" w:hAnsi="宋体" w:cs="宋体"/>
          <w:highlight w:val="green"/>
          <w:lang w:val="en-US" w:eastAsia="zh-CN"/>
        </w:rPr>
        <w:t>24</w:t>
      </w:r>
      <w:r>
        <w:rPr>
          <w:rFonts w:hint="eastAsia" w:ascii="宋体" w:hAnsi="宋体" w:eastAsia="宋体" w:cs="宋体"/>
          <w:highlight w:val="green"/>
        </w:rPr>
        <w:t>小时内抵达现场维修。</w:t>
      </w:r>
      <w:r>
        <w:rPr>
          <w:rFonts w:hint="eastAsia" w:ascii="宋体" w:hAnsi="宋体" w:cs="宋体"/>
          <w:highlight w:val="green"/>
          <w:lang w:val="en-US" w:eastAsia="zh-CN"/>
        </w:rPr>
        <w:t>中标人还须提供无人机相关备品备件（投标供应商提供承诺并加盖单位公章。）</w:t>
      </w:r>
    </w:p>
    <w:p w14:paraId="4344E56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rPr>
        <w:t>供应商必须无条件保证所提供的产品，在制造、技术标准、检验标准，符合国家有关产品制造和验收标准，如果有不符之处，供应商应在投标文件中加以说明，并提请采购人注意。</w:t>
      </w:r>
    </w:p>
    <w:p w14:paraId="13B2E7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eastAsia="宋体" w:cs="宋体"/>
        </w:rPr>
        <w:t>签订合同时，采购人将在合同中明确</w:t>
      </w:r>
      <w:r>
        <w:rPr>
          <w:rFonts w:hint="eastAsia" w:ascii="宋体" w:hAnsi="宋体" w:cs="宋体"/>
          <w:lang w:val="en-US" w:eastAsia="zh-CN"/>
        </w:rPr>
        <w:t>中标</w:t>
      </w:r>
      <w:r>
        <w:rPr>
          <w:rFonts w:hint="eastAsia" w:ascii="宋体" w:hAnsi="宋体" w:eastAsia="宋体" w:cs="宋体"/>
        </w:rPr>
        <w:t>人须承担的因产品质量问题等原因造成的安全责任条款，因此产生的一切责任及损失由中标人承担。</w:t>
      </w:r>
    </w:p>
    <w:p w14:paraId="33CD61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6、需提供赛事服务技术支持，比赛前15日历日至少安排两名工作人员进行赛事指导。</w:t>
      </w:r>
    </w:p>
    <w:p w14:paraId="27F63FD0">
      <w:pPr>
        <w:rPr>
          <w:rFonts w:hint="eastAsia"/>
        </w:rPr>
        <w:sectPr>
          <w:pgSz w:w="11910" w:h="16840"/>
          <w:pgMar w:top="1440" w:right="1080" w:bottom="1440" w:left="1080" w:header="0" w:footer="210" w:gutter="0"/>
          <w:pgNumType w:fmt="decimal"/>
          <w:cols w:space="0" w:num="1"/>
          <w:rtlGutter w:val="0"/>
          <w:docGrid w:linePitch="0" w:charSpace="0"/>
        </w:sectPr>
      </w:pPr>
    </w:p>
    <w:p w14:paraId="016986D5">
      <w:pPr>
        <w:pStyle w:val="5"/>
        <w:ind w:left="0" w:leftChars="0" w:firstLine="0" w:firstLineChars="0"/>
        <w:jc w:val="center"/>
        <w:rPr>
          <w:rFonts w:hint="eastAsia"/>
          <w:color w:val="auto"/>
          <w:highlight w:val="none"/>
        </w:rPr>
      </w:pPr>
      <w:bookmarkStart w:id="239" w:name="_Toc19798"/>
      <w:r>
        <w:rPr>
          <w:rFonts w:hint="eastAsia"/>
          <w:color w:val="auto"/>
          <w:highlight w:val="none"/>
        </w:rPr>
        <w:t>第六章 合同条款及格式</w:t>
      </w:r>
      <w:bookmarkEnd w:id="226"/>
      <w:bookmarkEnd w:id="227"/>
      <w:bookmarkEnd w:id="228"/>
      <w:bookmarkEnd w:id="234"/>
      <w:bookmarkEnd w:id="235"/>
      <w:bookmarkEnd w:id="236"/>
      <w:bookmarkEnd w:id="237"/>
      <w:bookmarkEnd w:id="239"/>
    </w:p>
    <w:p w14:paraId="70DBDE84">
      <w:pPr>
        <w:jc w:val="center"/>
        <w:rPr>
          <w:rFonts w:hint="eastAsia"/>
          <w:color w:val="auto"/>
          <w:highlight w:val="none"/>
        </w:rPr>
      </w:pPr>
      <w:bookmarkStart w:id="240" w:name="_Toc27691"/>
      <w:bookmarkStart w:id="241" w:name="_Toc18706"/>
      <w:r>
        <w:rPr>
          <w:rFonts w:hint="eastAsia"/>
          <w:color w:val="auto"/>
          <w:highlight w:val="none"/>
        </w:rPr>
        <w:t>（具体以双方签订为准）</w:t>
      </w:r>
      <w:bookmarkEnd w:id="240"/>
      <w:bookmarkEnd w:id="241"/>
    </w:p>
    <w:p w14:paraId="10B18D73">
      <w:pPr>
        <w:autoSpaceDE w:val="0"/>
        <w:autoSpaceDN w:val="0"/>
        <w:adjustRightInd w:val="0"/>
        <w:spacing w:line="200" w:lineRule="exact"/>
        <w:jc w:val="left"/>
        <w:rPr>
          <w:rFonts w:hint="eastAsia" w:ascii="宋体" w:hAnsi="宋体" w:cs="宋体"/>
          <w:color w:val="auto"/>
          <w:kern w:val="0"/>
          <w:sz w:val="20"/>
          <w:szCs w:val="20"/>
          <w:highlight w:val="none"/>
        </w:rPr>
      </w:pPr>
    </w:p>
    <w:p w14:paraId="2F6481B0">
      <w:pPr>
        <w:pStyle w:val="13"/>
        <w:spacing w:after="0"/>
        <w:ind w:left="0" w:leftChars="0"/>
        <w:jc w:val="center"/>
        <w:rPr>
          <w:rFonts w:hint="eastAsia" w:ascii="宋体" w:hAnsi="宋体" w:eastAsia="宋体" w:cs="宋体"/>
          <w:b/>
          <w:bCs/>
          <w:spacing w:val="-20"/>
          <w:kern w:val="44"/>
          <w:sz w:val="48"/>
          <w:szCs w:val="48"/>
        </w:rPr>
      </w:pPr>
      <w:r>
        <w:rPr>
          <w:rFonts w:hint="eastAsia" w:ascii="宋体" w:hAnsi="宋体" w:cs="宋体"/>
          <w:color w:val="auto"/>
          <w:kern w:val="0"/>
          <w:sz w:val="20"/>
          <w:szCs w:val="20"/>
          <w:highlight w:val="none"/>
        </w:rPr>
        <w:br w:type="page"/>
      </w:r>
      <w:r>
        <w:rPr>
          <w:rFonts w:hint="eastAsia" w:ascii="宋体" w:hAnsi="宋体" w:eastAsia="宋体" w:cs="宋体"/>
          <w:b/>
          <w:bCs/>
          <w:spacing w:val="-20"/>
          <w:kern w:val="44"/>
          <w:sz w:val="48"/>
          <w:szCs w:val="48"/>
        </w:rPr>
        <w:t>政府采购</w:t>
      </w:r>
      <w:r>
        <w:rPr>
          <w:rFonts w:hint="eastAsia" w:ascii="宋体" w:hAnsi="宋体" w:eastAsia="宋体" w:cs="宋体"/>
          <w:b/>
          <w:bCs/>
          <w:spacing w:val="-20"/>
          <w:kern w:val="44"/>
          <w:sz w:val="48"/>
          <w:szCs w:val="48"/>
          <w:lang w:eastAsia="zh-CN"/>
        </w:rPr>
        <w:t>货物买卖</w:t>
      </w:r>
      <w:r>
        <w:rPr>
          <w:rFonts w:hint="eastAsia" w:ascii="宋体" w:hAnsi="宋体" w:eastAsia="宋体" w:cs="宋体"/>
          <w:b/>
          <w:bCs/>
          <w:spacing w:val="-20"/>
          <w:kern w:val="44"/>
          <w:sz w:val="48"/>
          <w:szCs w:val="48"/>
        </w:rPr>
        <w:t>合同</w:t>
      </w:r>
    </w:p>
    <w:p w14:paraId="566420F4">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14:paraId="6B5FB3EB">
      <w:pPr>
        <w:ind w:left="0" w:leftChars="0"/>
        <w:rPr>
          <w:rFonts w:ascii="宋体" w:hAnsi="宋体" w:eastAsia="宋体" w:cs="宋体"/>
          <w:b/>
          <w:bCs/>
          <w:spacing w:val="-20"/>
          <w:kern w:val="44"/>
          <w:sz w:val="40"/>
          <w:szCs w:val="40"/>
        </w:rPr>
      </w:pPr>
    </w:p>
    <w:p w14:paraId="4B210665">
      <w:pPr>
        <w:ind w:left="0" w:leftChars="0"/>
        <w:rPr>
          <w:rFonts w:ascii="宋体" w:hAnsi="宋体" w:eastAsia="宋体" w:cs="宋体"/>
          <w:b/>
          <w:bCs/>
          <w:spacing w:val="-20"/>
          <w:kern w:val="44"/>
          <w:sz w:val="40"/>
          <w:szCs w:val="40"/>
        </w:rPr>
      </w:pPr>
    </w:p>
    <w:p w14:paraId="472595C7">
      <w:pPr>
        <w:ind w:left="0" w:leftChars="0"/>
        <w:rPr>
          <w:rFonts w:ascii="宋体" w:hAnsi="宋体" w:eastAsia="宋体" w:cs="宋体"/>
          <w:b/>
          <w:bCs/>
          <w:spacing w:val="-20"/>
          <w:kern w:val="44"/>
          <w:sz w:val="40"/>
          <w:szCs w:val="40"/>
        </w:rPr>
      </w:pPr>
    </w:p>
    <w:p w14:paraId="439A8EEC">
      <w:pPr>
        <w:spacing w:line="360" w:lineRule="auto"/>
        <w:ind w:left="480" w:leftChars="200"/>
        <w:rPr>
          <w:rFonts w:ascii="Times New Roman" w:hAnsi="Times New Roman" w:eastAsia="宋体" w:cs="Times New Roman"/>
          <w:sz w:val="32"/>
          <w:szCs w:val="32"/>
        </w:rPr>
      </w:pPr>
      <w:r>
        <w:rPr>
          <w:rFonts w:hint="eastAsia" w:ascii="宋体" w:hAnsi="宋体" w:eastAsia="宋体" w:cs="宋体"/>
          <w:kern w:val="0"/>
          <w:sz w:val="32"/>
          <w:szCs w:val="32"/>
        </w:rPr>
        <w:t>项目名称：</w:t>
      </w:r>
      <w:r>
        <w:rPr>
          <w:rFonts w:hint="eastAsia" w:ascii="Times New Roman" w:hAnsi="Times New Roman" w:eastAsia="宋体" w:cs="Times New Roman"/>
          <w:sz w:val="32"/>
          <w:szCs w:val="32"/>
          <w:u w:val="single"/>
        </w:rPr>
        <w:t xml:space="preserve">                             </w:t>
      </w:r>
    </w:p>
    <w:p w14:paraId="0151C90C">
      <w:pPr>
        <w:spacing w:line="360" w:lineRule="auto"/>
        <w:ind w:left="480" w:leftChars="2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合同编号：</w:t>
      </w:r>
      <w:r>
        <w:rPr>
          <w:rFonts w:hint="eastAsia" w:ascii="Times New Roman" w:hAnsi="Times New Roman" w:eastAsia="宋体" w:cs="Times New Roman"/>
          <w:sz w:val="32"/>
          <w:szCs w:val="32"/>
          <w:u w:val="single"/>
        </w:rPr>
        <w:t xml:space="preserve">                             </w:t>
      </w:r>
    </w:p>
    <w:p w14:paraId="28994853">
      <w:pPr>
        <w:spacing w:line="360" w:lineRule="auto"/>
        <w:ind w:left="480" w:leftChars="200"/>
        <w:rPr>
          <w:rFonts w:ascii="Times New Roman" w:hAnsi="Times New Roman" w:eastAsia="宋体" w:cs="Times New Roman"/>
          <w:sz w:val="32"/>
          <w:szCs w:val="32"/>
        </w:rPr>
      </w:pPr>
      <w:r>
        <w:rPr>
          <w:rFonts w:hint="eastAsia" w:ascii="Times New Roman" w:hAnsi="Times New Roman" w:eastAsia="宋体" w:cs="Times New Roman"/>
          <w:sz w:val="32"/>
          <w:szCs w:val="32"/>
        </w:rPr>
        <w:t>甲    方：</w:t>
      </w:r>
      <w:r>
        <w:rPr>
          <w:rFonts w:hint="eastAsia" w:ascii="Times New Roman" w:hAnsi="Times New Roman" w:eastAsia="宋体" w:cs="Times New Roman"/>
          <w:sz w:val="32"/>
          <w:szCs w:val="32"/>
          <w:u w:val="single"/>
        </w:rPr>
        <w:t xml:space="preserve">                             </w:t>
      </w:r>
    </w:p>
    <w:p w14:paraId="2D6391F1">
      <w:pPr>
        <w:spacing w:line="360" w:lineRule="auto"/>
        <w:ind w:left="480" w:leftChars="2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乙    方：</w:t>
      </w:r>
      <w:r>
        <w:rPr>
          <w:rFonts w:hint="eastAsia" w:ascii="Times New Roman" w:hAnsi="Times New Roman" w:eastAsia="宋体" w:cs="Times New Roman"/>
          <w:sz w:val="32"/>
          <w:szCs w:val="32"/>
          <w:u w:val="single"/>
        </w:rPr>
        <w:t xml:space="preserve">                             </w:t>
      </w:r>
    </w:p>
    <w:p w14:paraId="68615C7F">
      <w:pPr>
        <w:spacing w:line="360" w:lineRule="auto"/>
        <w:ind w:left="480" w:leftChars="200"/>
        <w:rPr>
          <w:rFonts w:ascii="Times New Roman" w:hAnsi="Times New Roman" w:eastAsia="宋体" w:cs="Times New Roman"/>
          <w:sz w:val="32"/>
          <w:szCs w:val="32"/>
        </w:rPr>
      </w:pPr>
      <w:r>
        <w:rPr>
          <w:rFonts w:hint="eastAsia" w:ascii="Times New Roman" w:hAnsi="Times New Roman" w:eastAsia="宋体" w:cs="Times New Roman"/>
          <w:sz w:val="32"/>
          <w:szCs w:val="32"/>
        </w:rPr>
        <w:t>签订时间：</w:t>
      </w:r>
      <w:r>
        <w:rPr>
          <w:rFonts w:hint="eastAsia" w:ascii="Times New Roman" w:hAnsi="Times New Roman" w:eastAsia="宋体" w:cs="Times New Roman"/>
          <w:sz w:val="32"/>
          <w:szCs w:val="32"/>
          <w:u w:val="single"/>
        </w:rPr>
        <w:t xml:space="preserve">      </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sz w:val="32"/>
          <w:szCs w:val="32"/>
          <w:u w:val="single"/>
        </w:rPr>
        <w:t xml:space="preserve">            </w:t>
      </w:r>
    </w:p>
    <w:p w14:paraId="4883D8A4">
      <w:pPr>
        <w:ind w:left="0" w:leftChars="0"/>
        <w:rPr>
          <w:rFonts w:ascii="Times New Roman" w:hAnsi="Times New Roman" w:eastAsia="宋体" w:cs="Times New Roman"/>
          <w:sz w:val="21"/>
          <w:szCs w:val="24"/>
        </w:rPr>
      </w:pPr>
    </w:p>
    <w:p w14:paraId="4773C107">
      <w:pPr>
        <w:ind w:left="0" w:leftChars="0"/>
        <w:rPr>
          <w:rFonts w:ascii="Times New Roman" w:hAnsi="Times New Roman" w:eastAsia="黑体" w:cs="Times New Roman"/>
          <w:sz w:val="44"/>
          <w:szCs w:val="44"/>
        </w:rPr>
      </w:pPr>
      <w:r>
        <w:rPr>
          <w:rFonts w:ascii="Times New Roman" w:hAnsi="Times New Roman" w:eastAsia="黑体" w:cs="Times New Roman"/>
          <w:sz w:val="44"/>
          <w:szCs w:val="44"/>
        </w:rPr>
        <w:br w:type="page"/>
      </w:r>
    </w:p>
    <w:p w14:paraId="16FD1F87">
      <w:pPr>
        <w:ind w:left="0" w:leftChars="0"/>
        <w:rPr>
          <w:rFonts w:ascii="Times New Roman" w:hAnsi="Times New Roman" w:eastAsia="黑体" w:cs="Times New Roman"/>
          <w:sz w:val="44"/>
          <w:szCs w:val="44"/>
        </w:rPr>
      </w:pPr>
    </w:p>
    <w:p w14:paraId="1151079C">
      <w:pPr>
        <w:ind w:left="0" w:leftChars="0"/>
        <w:rPr>
          <w:rFonts w:ascii="Times New Roman" w:hAnsi="Times New Roman" w:eastAsia="黑体" w:cs="Times New Roman"/>
          <w:sz w:val="44"/>
          <w:szCs w:val="44"/>
        </w:rPr>
      </w:pPr>
    </w:p>
    <w:p w14:paraId="1FF643D2">
      <w:pPr>
        <w:ind w:left="0" w:leftChars="0"/>
        <w:jc w:val="center"/>
        <w:rPr>
          <w:rFonts w:hint="eastAsia" w:ascii="Times New Roman" w:hAnsi="Times New Roman" w:eastAsia="黑体" w:cs="Times New Roman"/>
          <w:sz w:val="44"/>
          <w:szCs w:val="44"/>
          <w:lang w:eastAsia="zh-CN"/>
        </w:rPr>
      </w:pPr>
      <w:r>
        <w:rPr>
          <w:rFonts w:hint="eastAsia" w:ascii="Times New Roman" w:hAnsi="Times New Roman" w:eastAsia="黑体" w:cs="Times New Roman"/>
          <w:sz w:val="44"/>
          <w:szCs w:val="44"/>
          <w:lang w:eastAsia="zh-CN"/>
        </w:rPr>
        <w:t>使</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用</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说</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明</w:t>
      </w:r>
    </w:p>
    <w:p w14:paraId="28B0FA4B">
      <w:pPr>
        <w:ind w:left="0" w:leftChars="0" w:firstLine="640" w:firstLineChars="200"/>
        <w:rPr>
          <w:rFonts w:hint="eastAsia" w:ascii="仿宋_GB2312" w:hAnsi="仿宋_GB2312" w:eastAsia="仿宋_GB2312" w:cs="仿宋_GB2312"/>
          <w:sz w:val="32"/>
          <w:szCs w:val="32"/>
          <w:lang w:val="en-US" w:eastAsia="zh-CN"/>
        </w:rPr>
      </w:pPr>
    </w:p>
    <w:p w14:paraId="6D62A6BD">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67D66E2">
      <w:pPr>
        <w:ind w:left="0" w:leftChars="0" w:firstLine="0" w:firstLineChars="0"/>
        <w:rPr>
          <w:rFonts w:hint="default"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C2AF498">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939FA69">
      <w:pPr>
        <w:ind w:firstLine="880" w:firstLineChars="200"/>
        <w:jc w:val="both"/>
        <w:rPr>
          <w:rFonts w:eastAsia="黑体"/>
          <w:sz w:val="44"/>
          <w:szCs w:val="44"/>
        </w:rPr>
        <w:sectPr>
          <w:headerReference r:id="rId14" w:type="default"/>
          <w:footerReference r:id="rId1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08BFB54">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bookmarkStart w:id="242" w:name="_Toc22209"/>
      <w:bookmarkStart w:id="243" w:name="_Toc32332"/>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242"/>
      <w:bookmarkEnd w:id="243"/>
    </w:p>
    <w:p w14:paraId="37A5FACF">
      <w:pPr>
        <w:adjustRightInd w:val="0"/>
        <w:snapToGrid w:val="0"/>
        <w:spacing w:before="0" w:beforeLines="0" w:line="400" w:lineRule="exact"/>
        <w:ind w:left="0" w:leftChars="0"/>
        <w:rPr>
          <w:rFonts w:ascii="宋体" w:hAnsi="宋体" w:eastAsia="宋体" w:cs="Times New Roman"/>
          <w:sz w:val="21"/>
          <w:szCs w:val="21"/>
        </w:rPr>
      </w:pPr>
      <w:r>
        <w:rPr>
          <w:rFonts w:hint="eastAsia" w:ascii="宋体" w:hAnsi="宋体" w:eastAsia="宋体" w:cs="Times New Roman"/>
          <w:sz w:val="21"/>
          <w:szCs w:val="21"/>
        </w:rPr>
        <w:t>甲方（全称）：</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（采购人</w:t>
      </w:r>
      <w:r>
        <w:rPr>
          <w:rFonts w:hint="eastAsia" w:ascii="宋体" w:hAnsi="宋体" w:eastAsia="宋体" w:cs="Times New Roman"/>
          <w:sz w:val="21"/>
          <w:szCs w:val="21"/>
          <w:lang w:eastAsia="zh-CN"/>
        </w:rPr>
        <w:t>、受采购人委托签订合同的单位</w:t>
      </w:r>
      <w:r>
        <w:rPr>
          <w:rFonts w:hint="eastAsia" w:ascii="宋体" w:hAnsi="宋体" w:eastAsia="宋体" w:cs="Times New Roman"/>
          <w:sz w:val="21"/>
          <w:szCs w:val="21"/>
        </w:rPr>
        <w:t>或采购</w:t>
      </w:r>
      <w:r>
        <w:rPr>
          <w:rFonts w:hint="eastAsia" w:ascii="宋体" w:hAnsi="宋体" w:eastAsia="宋体" w:cs="Times New Roman"/>
          <w:sz w:val="21"/>
          <w:szCs w:val="21"/>
          <w:lang w:val="en-US" w:eastAsia="zh-CN"/>
        </w:rPr>
        <w:tab/>
      </w: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文件约定的合同甲方）</w:t>
      </w:r>
    </w:p>
    <w:p w14:paraId="609D174C">
      <w:pPr>
        <w:adjustRightInd w:val="0"/>
        <w:snapToGrid w:val="0"/>
        <w:spacing w:before="0" w:beforeLines="0" w:line="400" w:lineRule="exact"/>
        <w:ind w:left="0" w:leftChars="0"/>
        <w:rPr>
          <w:rFonts w:ascii="宋体" w:hAnsi="宋体" w:eastAsia="宋体" w:cs="Times New Roman"/>
          <w:sz w:val="21"/>
          <w:szCs w:val="21"/>
        </w:rPr>
      </w:pPr>
      <w:r>
        <w:rPr>
          <w:rFonts w:hint="eastAsia" w:ascii="宋体" w:hAnsi="宋体" w:eastAsia="宋体" w:cs="Times New Roman"/>
          <w:sz w:val="21"/>
          <w:szCs w:val="21"/>
        </w:rPr>
        <w:t>乙方</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（全称）：</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（供应商）</w:t>
      </w:r>
    </w:p>
    <w:p w14:paraId="3D096B30">
      <w:pPr>
        <w:adjustRightInd w:val="0"/>
        <w:snapToGrid w:val="0"/>
        <w:spacing w:before="0" w:beforeLines="0" w:line="400" w:lineRule="exact"/>
        <w:ind w:left="0" w:leftChars="0"/>
        <w:rPr>
          <w:rFonts w:hint="eastAsia" w:ascii="宋体" w:hAnsi="宋体" w:eastAsia="宋体" w:cs="Times New Roman"/>
          <w:sz w:val="21"/>
          <w:szCs w:val="21"/>
        </w:rPr>
      </w:pPr>
      <w:r>
        <w:rPr>
          <w:rFonts w:hint="eastAsia" w:ascii="宋体" w:hAnsi="宋体" w:eastAsia="宋体" w:cs="Times New Roman"/>
          <w:sz w:val="21"/>
          <w:szCs w:val="21"/>
        </w:rPr>
        <w:t>乙方2（全称）：</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（联合体成员供应商或其他合同主体）（如有）</w:t>
      </w:r>
    </w:p>
    <w:p w14:paraId="5FB511D8">
      <w:pPr>
        <w:adjustRightInd w:val="0"/>
        <w:snapToGrid w:val="0"/>
        <w:spacing w:before="0" w:beforeLines="0" w:line="400" w:lineRule="exact"/>
        <w:ind w:left="0" w:leftChars="0"/>
        <w:rPr>
          <w:rFonts w:hint="eastAsia" w:ascii="宋体" w:hAnsi="宋体" w:eastAsia="宋体" w:cs="Times New Roman"/>
          <w:sz w:val="21"/>
          <w:szCs w:val="21"/>
        </w:rPr>
      </w:pPr>
      <w:r>
        <w:rPr>
          <w:rFonts w:hint="eastAsia" w:ascii="Times New Roman" w:hAnsi="Times New Roman" w:eastAsia="宋体" w:cs="Times New Roman"/>
          <w:sz w:val="21"/>
          <w:szCs w:val="24"/>
          <w:lang w:eastAsia="zh-CN"/>
        </w:rPr>
        <w:t>乙方</w:t>
      </w:r>
      <w:r>
        <w:rPr>
          <w:rFonts w:hint="eastAsia" w:ascii="宋体" w:hAnsi="宋体" w:eastAsia="宋体" w:cs="Times New Roman"/>
          <w:sz w:val="21"/>
          <w:szCs w:val="21"/>
          <w:lang w:val="en-US" w:eastAsia="zh-CN"/>
        </w:rPr>
        <w:t>3</w:t>
      </w:r>
      <w:r>
        <w:rPr>
          <w:rFonts w:hint="eastAsia" w:ascii="Times New Roman" w:hAnsi="Times New Roman" w:eastAsia="宋体" w:cs="Times New Roman"/>
          <w:sz w:val="21"/>
          <w:szCs w:val="24"/>
          <w:lang w:val="en-US" w:eastAsia="zh-CN"/>
        </w:rPr>
        <w:t>（全称）</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（联合体成员供应商或其他合同主体）（如有）</w:t>
      </w:r>
    </w:p>
    <w:p w14:paraId="5FA8031B">
      <w:pPr>
        <w:spacing w:beforeLines="0" w:line="400" w:lineRule="exact"/>
        <w:ind w:left="0" w:leftChars="0"/>
        <w:rPr>
          <w:rFonts w:hint="default" w:ascii="Times New Roman" w:hAnsi="Times New Roman" w:eastAsia="宋体" w:cs="Times New Roman"/>
          <w:sz w:val="21"/>
          <w:szCs w:val="24"/>
          <w:lang w:val="en-US" w:eastAsia="zh-CN"/>
        </w:rPr>
      </w:pPr>
    </w:p>
    <w:p w14:paraId="1064EB08">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的招标/谈判文件等采购文件、乙方的《投标（响应）文件》及《中标（成交）通知书》，甲乙双方同意签订本合同。具体情况及要求如下：     </w:t>
      </w:r>
    </w:p>
    <w:p w14:paraId="0ABEF474">
      <w:pPr>
        <w:numPr>
          <w:ilvl w:val="0"/>
          <w:numId w:val="2"/>
        </w:numPr>
        <w:adjustRightInd w:val="0"/>
        <w:snapToGrid w:val="0"/>
        <w:spacing w:before="0" w:beforeLines="0" w:line="400" w:lineRule="exact"/>
        <w:ind w:left="0" w:leftChars="0" w:firstLine="422" w:firstLineChars="200"/>
        <w:rPr>
          <w:rFonts w:ascii="宋体" w:hAnsi="宋体" w:eastAsia="宋体" w:cs="Times New Roman"/>
          <w:b/>
          <w:sz w:val="21"/>
          <w:szCs w:val="21"/>
        </w:rPr>
      </w:pPr>
      <w:r>
        <w:rPr>
          <w:rFonts w:hint="eastAsia" w:ascii="宋体" w:hAnsi="宋体" w:eastAsia="宋体" w:cs="Times New Roman"/>
          <w:b/>
          <w:sz w:val="21"/>
          <w:szCs w:val="21"/>
        </w:rPr>
        <w:t>项目信息</w:t>
      </w:r>
    </w:p>
    <w:p w14:paraId="0454F2B1">
      <w:pPr>
        <w:widowControl w:val="0"/>
        <w:numPr>
          <w:ilvl w:val="0"/>
          <w:numId w:val="3"/>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ascii="宋体" w:hAnsi="宋体" w:eastAsia="宋体" w:cs="Times New Roman"/>
          <w:kern w:val="2"/>
          <w:sz w:val="21"/>
          <w:szCs w:val="21"/>
          <w:u w:val="single"/>
          <w:lang w:val="en-US" w:eastAsia="zh-CN" w:bidi="ar-SA"/>
        </w:rPr>
        <w:t xml:space="preserve">                                          </w:t>
      </w:r>
    </w:p>
    <w:p w14:paraId="4A7DFA5C">
      <w:pPr>
        <w:widowControl w:val="0"/>
        <w:numPr>
          <w:ilvl w:val="0"/>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14:paraId="576A5A81">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14:paraId="17FDB1EE">
      <w:pPr>
        <w:adjustRightInd w:val="0"/>
        <w:snapToGrid w:val="0"/>
        <w:spacing w:before="0" w:beforeLines="0" w:line="400" w:lineRule="exact"/>
        <w:ind w:left="0" w:leftChars="0" w:firstLine="420" w:firstLineChars="200"/>
        <w:rPr>
          <w:rFonts w:hint="eastAsia" w:ascii="宋体" w:hAnsi="宋体" w:eastAsia="宋体" w:cs="Times New Roman"/>
          <w:sz w:val="21"/>
          <w:szCs w:val="21"/>
        </w:rPr>
      </w:pPr>
      <w:r>
        <w:rPr>
          <w:rFonts w:hint="eastAsia" w:ascii="宋体" w:hAnsi="宋体" w:eastAsia="宋体" w:cs="Times New Roman"/>
          <w:sz w:val="21"/>
          <w:szCs w:val="21"/>
        </w:rPr>
        <w:t>（3）项目内容：</w:t>
      </w:r>
    </w:p>
    <w:p w14:paraId="48730B5E">
      <w:pPr>
        <w:adjustRightInd w:val="0"/>
        <w:snapToGrid w:val="0"/>
        <w:spacing w:before="0" w:beforeLines="0" w:line="400" w:lineRule="exact"/>
        <w:ind w:left="0" w:leftChars="0"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lang w:eastAsia="zh-CN"/>
        </w:rPr>
        <w:t>采购标的及数量</w:t>
      </w:r>
      <w:r>
        <w:rPr>
          <w:rFonts w:hint="eastAsia" w:ascii="宋体" w:hAnsi="宋体" w:eastAsia="宋体" w:cs="Times New Roman"/>
          <w:sz w:val="21"/>
          <w:szCs w:val="21"/>
          <w:lang w:val="en-US" w:eastAsia="zh-CN"/>
        </w:rPr>
        <w:t>（台/套</w:t>
      </w:r>
      <w:r>
        <w:rPr>
          <w:rFonts w:hint="default" w:ascii="宋体" w:hAnsi="宋体" w:eastAsia="宋体" w:cs="Times New Roman"/>
          <w:sz w:val="21"/>
          <w:szCs w:val="21"/>
          <w:lang w:val="en" w:eastAsia="zh-CN"/>
        </w:rPr>
        <w:t>/</w:t>
      </w:r>
      <w:r>
        <w:rPr>
          <w:rFonts w:hint="eastAsia" w:ascii="宋体" w:hAnsi="宋体" w:eastAsia="宋体" w:cs="Times New Roman"/>
          <w:sz w:val="21"/>
          <w:szCs w:val="21"/>
          <w:lang w:val="en" w:eastAsia="zh-CN"/>
        </w:rPr>
        <w:t>个</w:t>
      </w:r>
      <w:r>
        <w:rPr>
          <w:rFonts w:hint="default" w:ascii="宋体" w:hAnsi="宋体" w:eastAsia="宋体" w:cs="Times New Roman"/>
          <w:sz w:val="21"/>
          <w:szCs w:val="21"/>
          <w:lang w:val="en" w:eastAsia="zh-CN"/>
        </w:rPr>
        <w:t>/</w:t>
      </w:r>
      <w:r>
        <w:rPr>
          <w:rFonts w:hint="eastAsia" w:ascii="宋体" w:hAnsi="宋体" w:eastAsia="宋体" w:cs="Times New Roman"/>
          <w:sz w:val="21"/>
          <w:szCs w:val="21"/>
          <w:lang w:val="en" w:eastAsia="zh-CN"/>
        </w:rPr>
        <w:t>架</w:t>
      </w:r>
      <w:r>
        <w:rPr>
          <w:rFonts w:hint="default" w:ascii="宋体" w:hAnsi="宋体" w:eastAsia="宋体" w:cs="Times New Roman"/>
          <w:sz w:val="21"/>
          <w:szCs w:val="21"/>
          <w:lang w:val="en" w:eastAsia="zh-CN"/>
        </w:rPr>
        <w:t>/</w:t>
      </w:r>
      <w:r>
        <w:rPr>
          <w:rFonts w:hint="eastAsia" w:ascii="宋体" w:hAnsi="宋体" w:eastAsia="宋体" w:cs="Times New Roman"/>
          <w:sz w:val="21"/>
          <w:szCs w:val="21"/>
          <w:lang w:val="en" w:eastAsia="zh-CN"/>
        </w:rPr>
        <w:t>组等</w:t>
      </w:r>
      <w:r>
        <w:rPr>
          <w:rFonts w:hint="eastAsia" w:ascii="宋体" w:hAnsi="宋体" w:eastAsia="宋体" w:cs="Times New Roman"/>
          <w:sz w:val="21"/>
          <w:szCs w:val="21"/>
          <w:lang w:val="en-US" w:eastAsia="zh-CN"/>
        </w:rPr>
        <w:t>）</w:t>
      </w:r>
      <w:r>
        <w:rPr>
          <w:rFonts w:hint="eastAsia" w:ascii="宋体" w:hAnsi="宋体" w:eastAsia="宋体" w:cs="Times New Roman"/>
          <w:sz w:val="21"/>
          <w:szCs w:val="21"/>
          <w:lang w:eastAsia="zh-CN"/>
        </w:rPr>
        <w:t>：</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u w:val="none"/>
          <w:lang w:val="en-US" w:eastAsia="zh-CN"/>
        </w:rPr>
        <w:t xml:space="preserve">            </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lang w:val="en-US" w:eastAsia="zh-CN"/>
        </w:rPr>
        <w:t xml:space="preserve"> </w:t>
      </w:r>
    </w:p>
    <w:p w14:paraId="311B8618">
      <w:pPr>
        <w:numPr>
          <w:ilvl w:val="0"/>
          <w:numId w:val="0"/>
        </w:numPr>
        <w:adjustRightInd w:val="0"/>
        <w:snapToGrid w:val="0"/>
        <w:spacing w:before="0" w:beforeLines="0" w:line="400" w:lineRule="exact"/>
        <w:ind w:left="0" w:leftChars="0" w:firstLine="420" w:firstLineChars="200"/>
        <w:rPr>
          <w:rFonts w:hint="default" w:ascii="宋体" w:hAnsi="宋体" w:eastAsia="宋体" w:cs="宋体"/>
          <w:sz w:val="21"/>
          <w:szCs w:val="21"/>
          <w:lang w:val="en" w:eastAsia="zh-CN"/>
        </w:rPr>
      </w:pPr>
      <w:r>
        <w:rPr>
          <w:rFonts w:hint="eastAsia" w:ascii="宋体" w:hAnsi="宋体" w:eastAsia="宋体" w:cs="Times New Roman"/>
          <w:sz w:val="21"/>
          <w:szCs w:val="21"/>
          <w:highlight w:val="none"/>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default"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default"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default" w:ascii="宋体" w:hAnsi="宋体" w:eastAsia="宋体" w:cs="宋体"/>
          <w:sz w:val="21"/>
          <w:szCs w:val="21"/>
          <w:u w:val="none"/>
          <w:lang w:val="en" w:eastAsia="zh-CN"/>
        </w:rPr>
        <w:t xml:space="preserve">     </w:t>
      </w:r>
      <w:r>
        <w:rPr>
          <w:rFonts w:hint="eastAsia" w:ascii="宋体" w:hAnsi="宋体" w:eastAsia="宋体" w:cs="宋体"/>
          <w:sz w:val="21"/>
          <w:szCs w:val="21"/>
          <w:lang w:val="en-US" w:eastAsia="zh-CN"/>
        </w:rPr>
        <w:t>规格型号：</w:t>
      </w:r>
      <w:r>
        <w:rPr>
          <w:rFonts w:hint="eastAsia" w:ascii="宋体" w:hAnsi="宋体" w:eastAsia="宋体" w:cs="宋体"/>
          <w:sz w:val="21"/>
          <w:szCs w:val="21"/>
          <w:u w:val="single"/>
          <w:lang w:val="en-US" w:eastAsia="zh-CN"/>
        </w:rPr>
        <w:t xml:space="preserve">   </w:t>
      </w:r>
      <w:r>
        <w:rPr>
          <w:rFonts w:hint="default"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default" w:ascii="宋体" w:hAnsi="宋体" w:eastAsia="宋体" w:cs="宋体"/>
          <w:sz w:val="21"/>
          <w:szCs w:val="21"/>
          <w:u w:val="single"/>
          <w:lang w:val="en" w:eastAsia="zh-CN"/>
        </w:rPr>
        <w:t xml:space="preserve">   </w:t>
      </w:r>
    </w:p>
    <w:p w14:paraId="079AA0F9">
      <w:pPr>
        <w:adjustRightInd w:val="0"/>
        <w:snapToGrid w:val="0"/>
        <w:spacing w:before="0" w:beforeLines="0" w:line="400" w:lineRule="exact"/>
        <w:ind w:left="0" w:leftChars="0" w:firstLine="945" w:firstLineChars="450"/>
        <w:rPr>
          <w:rFonts w:ascii="宋体" w:hAnsi="宋体" w:eastAsia="宋体" w:cs="Times New Roman"/>
          <w:sz w:val="21"/>
          <w:szCs w:val="21"/>
          <w:highlight w:val="none"/>
          <w:u w:val="single"/>
        </w:rPr>
      </w:pPr>
      <w:r>
        <w:rPr>
          <w:rFonts w:hint="eastAsia" w:ascii="宋体" w:hAnsi="宋体" w:eastAsia="宋体" w:cs="Times New Roman"/>
          <w:sz w:val="21"/>
          <w:szCs w:val="21"/>
          <w:highlight w:val="none"/>
          <w:u w:val="none"/>
          <w:lang w:val="en-US" w:eastAsia="zh-CN"/>
        </w:rPr>
        <w:t>采购标的的技术要求、商务要求具体见附件。</w:t>
      </w:r>
    </w:p>
    <w:p w14:paraId="61B60995">
      <w:pPr>
        <w:numPr>
          <w:ilvl w:val="0"/>
          <w:numId w:val="0"/>
        </w:numPr>
        <w:adjustRightInd w:val="0"/>
        <w:snapToGrid w:val="0"/>
        <w:spacing w:before="0" w:beforeLines="0" w:line="400" w:lineRule="exact"/>
        <w:ind w:left="0" w:leftChars="0" w:firstLine="945" w:firstLineChars="450"/>
        <w:rPr>
          <w:rFonts w:hint="eastAsia" w:ascii="宋体" w:hAnsi="宋体" w:eastAsia="宋体" w:cs="宋体"/>
          <w:sz w:val="21"/>
          <w:szCs w:val="21"/>
          <w:lang w:val="en-US" w:eastAsia="zh-CN"/>
        </w:rPr>
      </w:pPr>
      <w:r>
        <w:rPr>
          <w:rFonts w:hint="eastAsia" w:ascii="汉仪书宋二S" w:hAnsi="汉仪书宋二S" w:eastAsia="汉仪书宋二S" w:cs="汉仪书宋二S"/>
          <w:sz w:val="21"/>
          <w:szCs w:val="21"/>
          <w:lang w:val="en-US" w:eastAsia="zh-CN"/>
        </w:rPr>
        <w:t>①</w:t>
      </w:r>
      <w:r>
        <w:rPr>
          <w:rFonts w:hint="eastAsia" w:ascii="宋体" w:hAnsi="宋体" w:eastAsia="宋体" w:cs="宋体"/>
          <w:sz w:val="21"/>
          <w:szCs w:val="21"/>
          <w:lang w:val="en-US" w:eastAsia="zh-CN"/>
        </w:rPr>
        <w:t>涉及信息类产品，请填写该产品关键部件的品牌、型号：</w:t>
      </w:r>
    </w:p>
    <w:p w14:paraId="2601A031">
      <w:pPr>
        <w:numPr>
          <w:ilvl w:val="0"/>
          <w:numId w:val="0"/>
        </w:numPr>
        <w:adjustRightInd w:val="0"/>
        <w:snapToGrid w:val="0"/>
        <w:spacing w:before="0" w:beforeLines="0" w:line="400" w:lineRule="exact"/>
        <w:ind w:left="0" w:leftChars="0" w:firstLine="420" w:firstLineChars="200"/>
        <w:rPr>
          <w:rFonts w:hint="eastAsia" w:ascii="宋体" w:hAnsi="宋体" w:eastAsia="宋体" w:cs="宋体"/>
          <w:kern w:val="0"/>
          <w:sz w:val="21"/>
          <w:szCs w:val="21"/>
          <w:u w:val="single"/>
          <w:lang w:val="en-US" w:eastAsia="zh-CN"/>
        </w:rPr>
      </w:pPr>
      <w:r>
        <w:rPr>
          <w:rFonts w:hint="eastAsia" w:ascii="宋体" w:hAnsi="宋体" w:eastAsia="宋体" w:cs="宋体"/>
          <w:sz w:val="21"/>
          <w:szCs w:val="21"/>
          <w:lang w:val="en-US" w:eastAsia="zh-CN"/>
        </w:rPr>
        <w:t xml:space="preserve">     标的名称：</w:t>
      </w:r>
      <w:r>
        <w:rPr>
          <w:rFonts w:hint="eastAsia" w:ascii="宋体" w:hAnsi="宋体" w:eastAsia="宋体" w:cs="宋体"/>
          <w:kern w:val="0"/>
          <w:sz w:val="21"/>
          <w:szCs w:val="21"/>
          <w:u w:val="single"/>
          <w:lang w:val="en-US" w:eastAsia="zh-CN"/>
        </w:rPr>
        <w:t xml:space="preserve">      </w:t>
      </w:r>
      <w:r>
        <w:rPr>
          <w:rFonts w:hint="default" w:ascii="宋体" w:hAnsi="宋体" w:eastAsia="宋体" w:cs="宋体"/>
          <w:kern w:val="0"/>
          <w:sz w:val="21"/>
          <w:szCs w:val="21"/>
          <w:u w:val="single"/>
          <w:lang w:val="en" w:eastAsia="zh-CN"/>
        </w:rPr>
        <w:t xml:space="preserve">               </w:t>
      </w:r>
      <w:r>
        <w:rPr>
          <w:rFonts w:hint="eastAsia" w:ascii="宋体" w:hAnsi="宋体" w:eastAsia="宋体" w:cs="宋体"/>
          <w:kern w:val="0"/>
          <w:sz w:val="21"/>
          <w:szCs w:val="21"/>
          <w:u w:val="single"/>
          <w:lang w:val="en-US" w:eastAsia="zh-CN"/>
        </w:rPr>
        <w:t xml:space="preserve">    </w:t>
      </w:r>
    </w:p>
    <w:p w14:paraId="18EE9ABB">
      <w:pPr>
        <w:numPr>
          <w:ilvl w:val="0"/>
          <w:numId w:val="0"/>
        </w:numPr>
        <w:adjustRightInd w:val="0"/>
        <w:snapToGrid w:val="0"/>
        <w:spacing w:before="0" w:beforeLines="0" w:line="400" w:lineRule="exact"/>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15FA6F85">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14:paraId="4F24FF37">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14:paraId="691D8837">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29B0CC03">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14:paraId="5D1CC241">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14:paraId="51C8F86C">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14:paraId="2CF5BD9D">
      <w:pPr>
        <w:numPr>
          <w:ilvl w:val="0"/>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政府集中采购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部门集中采购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分散采购</w:t>
      </w:r>
    </w:p>
    <w:p w14:paraId="5F178B26">
      <w:pPr>
        <w:numPr>
          <w:ilvl w:val="0"/>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邀请招标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竞争性谈判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竞争性磋商</w:t>
      </w:r>
    </w:p>
    <w:p w14:paraId="6D8F8442">
      <w:pPr>
        <w:numPr>
          <w:ilvl w:val="0"/>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bidi="ar-SA"/>
        </w:rPr>
      </w:pP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询价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14:paraId="54F3F759">
      <w:pPr>
        <w:numPr>
          <w:ilvl w:val="0"/>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14:paraId="2F492EC0">
      <w:pPr>
        <w:numPr>
          <w:ilvl w:val="0"/>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B309DD3">
      <w:pPr>
        <w:numPr>
          <w:ilvl w:val="0"/>
          <w:numId w:val="0"/>
        </w:numPr>
        <w:adjustRightInd w:val="0"/>
        <w:snapToGrid w:val="0"/>
        <w:spacing w:before="0" w:beforeLines="0" w:line="400" w:lineRule="exact"/>
        <w:ind w:left="0" w:leftChars="0" w:firstLine="0" w:firstLineChars="0"/>
        <w:rPr>
          <w:rFonts w:hint="eastAsia" w:ascii="宋体" w:hAnsi="宋体" w:eastAsia="宋体" w:cs="Times New Roman"/>
          <w:iCs/>
          <w:sz w:val="21"/>
          <w:szCs w:val="21"/>
        </w:rPr>
      </w:pPr>
      <w:r>
        <w:rPr>
          <w:rFonts w:hint="eastAsia" w:ascii="宋体" w:hAnsi="宋体" w:eastAsia="宋体" w:cs="Times New Roman"/>
          <w:w w:val="100"/>
          <w:sz w:val="21"/>
          <w:szCs w:val="21"/>
          <w:lang w:val="en-US" w:eastAsia="zh-CN"/>
        </w:rPr>
        <w:t xml:space="preserve">         本合同</w:t>
      </w:r>
      <w:r>
        <w:rPr>
          <w:rFonts w:hint="eastAsia" w:ascii="宋体" w:hAnsi="宋体" w:eastAsia="宋体" w:cs="Times New Roman"/>
          <w:w w:val="100"/>
          <w:sz w:val="21"/>
          <w:szCs w:val="21"/>
        </w:rPr>
        <w:t>是否</w:t>
      </w:r>
      <w:r>
        <w:rPr>
          <w:rFonts w:hint="eastAsia" w:ascii="宋体" w:hAnsi="宋体" w:eastAsia="宋体" w:cs="Times New Roman"/>
          <w:w w:val="100"/>
          <w:sz w:val="21"/>
          <w:szCs w:val="21"/>
          <w:lang w:eastAsia="zh-CN"/>
        </w:rPr>
        <w:t>为专门面向</w:t>
      </w:r>
      <w:r>
        <w:rPr>
          <w:rFonts w:hint="eastAsia" w:ascii="宋体" w:hAnsi="宋体" w:eastAsia="宋体" w:cs="Times New Roman"/>
          <w:w w:val="100"/>
          <w:sz w:val="21"/>
          <w:szCs w:val="21"/>
        </w:rPr>
        <w:t>中小企业</w:t>
      </w:r>
      <w:r>
        <w:rPr>
          <w:rFonts w:hint="eastAsia" w:ascii="宋体" w:hAnsi="宋体" w:eastAsia="宋体" w:cs="Times New Roman"/>
          <w:w w:val="100"/>
          <w:sz w:val="21"/>
          <w:szCs w:val="21"/>
          <w:lang w:eastAsia="zh-CN"/>
        </w:rPr>
        <w:t>的采</w:t>
      </w:r>
      <w:r>
        <w:rPr>
          <w:rFonts w:hint="eastAsia" w:ascii="宋体" w:hAnsi="宋体" w:eastAsia="宋体" w:cs="Times New Roman"/>
          <w:w w:val="100"/>
          <w:sz w:val="21"/>
          <w:szCs w:val="21"/>
          <w:shd w:val="clear" w:color="auto" w:fill="auto"/>
          <w:lang w:eastAsia="zh-CN"/>
        </w:rPr>
        <w:t>购</w:t>
      </w:r>
      <w:r>
        <w:rPr>
          <w:rFonts w:hint="eastAsia" w:ascii="宋体" w:hAnsi="宋体" w:eastAsia="宋体" w:cs="Times New Roman"/>
          <w:w w:val="100"/>
          <w:sz w:val="21"/>
          <w:szCs w:val="21"/>
          <w:shd w:val="clear" w:color="auto" w:fill="auto"/>
        </w:rPr>
        <w:t>合同</w:t>
      </w:r>
      <w:r>
        <w:rPr>
          <w:rFonts w:hint="eastAsia" w:ascii="宋体" w:hAnsi="宋体" w:eastAsia="宋体" w:cs="Times New Roman"/>
          <w:w w:val="100"/>
          <w:sz w:val="21"/>
          <w:szCs w:val="21"/>
          <w:shd w:val="clear" w:color="auto" w:fill="auto"/>
          <w:lang w:eastAsia="zh-CN"/>
        </w:rPr>
        <w:t>（中小企业预留合同）</w:t>
      </w:r>
      <w:r>
        <w:rPr>
          <w:rFonts w:hint="eastAsia" w:ascii="宋体" w:hAnsi="宋体" w:eastAsia="宋体" w:cs="Times New Roman"/>
          <w:sz w:val="21"/>
          <w:szCs w:val="21"/>
          <w:shd w:val="clear" w:color="auto" w:fill="auto"/>
        </w:rPr>
        <w:t>：</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 xml:space="preserve">是 </w:t>
      </w: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否</w:t>
      </w:r>
    </w:p>
    <w:p w14:paraId="1301E235">
      <w:pPr>
        <w:numPr>
          <w:ilvl w:val="0"/>
          <w:numId w:val="0"/>
        </w:numPr>
        <w:adjustRightInd w:val="0"/>
        <w:snapToGrid w:val="0"/>
        <w:spacing w:before="0" w:beforeLines="0" w:line="400" w:lineRule="exact"/>
        <w:ind w:left="0" w:leftChars="0" w:firstLine="0" w:firstLineChars="0"/>
        <w:rPr>
          <w:rFonts w:hint="eastAsia" w:ascii="宋体" w:hAnsi="宋体" w:eastAsia="宋体" w:cs="Times New Roman"/>
          <w:iCs/>
          <w:sz w:val="21"/>
          <w:szCs w:val="21"/>
        </w:rPr>
      </w:pPr>
      <w:r>
        <w:rPr>
          <w:rFonts w:hint="eastAsia" w:ascii="Times New Roman" w:hAnsi="Times New Roman" w:eastAsia="宋体" w:cs="Times New Roman"/>
          <w:sz w:val="21"/>
          <w:szCs w:val="24"/>
          <w:lang w:val="en-US" w:eastAsia="zh-CN"/>
        </w:rPr>
        <w:t xml:space="preserve">         若本项目不专门面向中小企业采购，是否给予小微企业评审优惠：</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 xml:space="preserve">是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否</w:t>
      </w:r>
    </w:p>
    <w:p w14:paraId="64D22340">
      <w:pPr>
        <w:numPr>
          <w:ilvl w:val="0"/>
          <w:numId w:val="0"/>
        </w:numPr>
        <w:adjustRightInd w:val="0"/>
        <w:snapToGrid w:val="0"/>
        <w:spacing w:before="0" w:beforeLines="0" w:line="400" w:lineRule="exact"/>
        <w:ind w:left="0" w:leftChars="0" w:firstLine="0" w:firstLineChars="0"/>
        <w:rPr>
          <w:rFonts w:hint="eastAsia" w:ascii="宋体" w:hAnsi="宋体" w:eastAsia="宋体" w:cs="Times New Roman"/>
          <w:iCs/>
          <w:sz w:val="21"/>
          <w:szCs w:val="21"/>
        </w:rPr>
      </w:pPr>
      <w:r>
        <w:rPr>
          <w:rFonts w:hint="eastAsia" w:ascii="Times New Roman" w:hAnsi="Times New Roman" w:eastAsia="宋体" w:cs="Times New Roman"/>
          <w:sz w:val="21"/>
          <w:szCs w:val="24"/>
          <w:lang w:val="en-US" w:eastAsia="zh-CN"/>
        </w:rPr>
        <w:t xml:space="preserve">         中标（成交）采购标的制造商是否为残疾人福利性单位：</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 xml:space="preserve">是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否</w:t>
      </w:r>
    </w:p>
    <w:p w14:paraId="2BF74BBD">
      <w:pPr>
        <w:numPr>
          <w:ilvl w:val="0"/>
          <w:numId w:val="0"/>
        </w:numPr>
        <w:snapToGrid w:val="0"/>
        <w:spacing w:beforeLines="0" w:line="400" w:lineRule="exact"/>
        <w:ind w:left="0" w:leftChars="0" w:firstLine="0" w:firstLineChars="0"/>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 xml:space="preserve">         中标（成交）采购标的制造商是否为监狱企业：</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 xml:space="preserve">是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否</w:t>
      </w:r>
    </w:p>
    <w:p w14:paraId="74AADB8E">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w:t>
      </w:r>
      <w:r>
        <w:rPr>
          <w:rFonts w:hint="default" w:ascii="宋体" w:hAnsi="宋体" w:eastAsia="宋体" w:cs="Times New Roman"/>
          <w:sz w:val="21"/>
          <w:szCs w:val="21"/>
          <w:lang w:val="en" w:eastAsia="zh-CN"/>
        </w:rPr>
        <w:t>7</w:t>
      </w:r>
      <w:r>
        <w:rPr>
          <w:rFonts w:hint="eastAsia" w:ascii="宋体" w:hAnsi="宋体" w:eastAsia="宋体" w:cs="Times New Roman"/>
          <w:sz w:val="21"/>
          <w:szCs w:val="21"/>
        </w:rPr>
        <w:t>）合同是否分包：</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 xml:space="preserve">是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否</w:t>
      </w:r>
    </w:p>
    <w:p w14:paraId="0D63BE5D">
      <w:pPr>
        <w:adjustRightInd w:val="0"/>
        <w:snapToGrid w:val="0"/>
        <w:spacing w:before="0" w:beforeLines="0" w:line="400" w:lineRule="exact"/>
        <w:ind w:left="0" w:leftChars="0" w:firstLine="840" w:firstLineChars="400"/>
        <w:rPr>
          <w:rFonts w:hint="eastAsia" w:ascii="宋体" w:hAnsi="宋体" w:eastAsia="宋体" w:cs="Times New Roman"/>
          <w:sz w:val="21"/>
          <w:szCs w:val="21"/>
          <w:u w:val="single"/>
        </w:rPr>
      </w:pP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分包主要内容：</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u w:val="single"/>
        </w:rPr>
        <w:t xml:space="preserve">   </w:t>
      </w:r>
    </w:p>
    <w:p w14:paraId="58B61993">
      <w:pPr>
        <w:adjustRightInd w:val="0"/>
        <w:snapToGrid w:val="0"/>
        <w:spacing w:before="0" w:beforeLines="0" w:line="400" w:lineRule="exact"/>
        <w:ind w:left="0" w:leftChars="0" w:firstLine="840" w:firstLineChars="400"/>
        <w:rPr>
          <w:rFonts w:hint="eastAsia" w:ascii="宋体" w:hAnsi="宋体" w:eastAsia="宋体" w:cs="Times New Roman"/>
          <w:sz w:val="21"/>
          <w:szCs w:val="21"/>
          <w:highlight w:val="none"/>
        </w:rPr>
      </w:pPr>
      <w:r>
        <w:rPr>
          <w:rFonts w:hint="eastAsia" w:ascii="宋体" w:hAnsi="宋体" w:eastAsia="宋体" w:cs="Times New Roman"/>
          <w:sz w:val="21"/>
          <w:szCs w:val="21"/>
          <w:u w:val="none"/>
          <w:lang w:val="en-US" w:eastAsia="zh-CN"/>
        </w:rPr>
        <w:t xml:space="preserve"> </w:t>
      </w:r>
      <w:r>
        <w:rPr>
          <w:rFonts w:hint="eastAsia" w:ascii="宋体" w:hAnsi="宋体" w:eastAsia="宋体" w:cs="Times New Roman"/>
          <w:sz w:val="21"/>
          <w:szCs w:val="21"/>
        </w:rPr>
        <w:t>分包</w:t>
      </w:r>
      <w:r>
        <w:rPr>
          <w:rFonts w:hint="eastAsia" w:ascii="宋体" w:hAnsi="宋体" w:eastAsia="宋体" w:cs="Times New Roman"/>
          <w:sz w:val="21"/>
          <w:szCs w:val="21"/>
          <w:highlight w:val="none"/>
        </w:rPr>
        <w:t>供应商</w:t>
      </w:r>
      <w:r>
        <w:rPr>
          <w:rFonts w:hint="eastAsia" w:ascii="宋体" w:hAnsi="宋体" w:eastAsia="宋体" w:cs="Times New Roman"/>
          <w:sz w:val="21"/>
          <w:szCs w:val="21"/>
          <w:highlight w:val="none"/>
          <w:lang w:eastAsia="zh-CN"/>
        </w:rPr>
        <w:t>/制造商</w:t>
      </w:r>
      <w:r>
        <w:rPr>
          <w:rFonts w:hint="eastAsia" w:ascii="宋体" w:hAnsi="宋体" w:eastAsia="宋体" w:cs="Times New Roman"/>
          <w:sz w:val="21"/>
          <w:szCs w:val="21"/>
          <w:highlight w:val="none"/>
        </w:rPr>
        <w:t>名称</w:t>
      </w:r>
      <w:r>
        <w:rPr>
          <w:rFonts w:hint="eastAsia" w:ascii="宋体" w:hAnsi="宋体" w:eastAsia="宋体" w:cs="Times New Roman"/>
          <w:sz w:val="21"/>
          <w:szCs w:val="21"/>
          <w:highlight w:val="none"/>
          <w:lang w:eastAsia="zh-CN"/>
        </w:rPr>
        <w:t>（如供应商和制造商不同，请分别填写）</w:t>
      </w:r>
      <w:r>
        <w:rPr>
          <w:rFonts w:hint="eastAsia" w:ascii="宋体" w:hAnsi="宋体" w:eastAsia="宋体" w:cs="Times New Roman"/>
          <w:sz w:val="21"/>
          <w:szCs w:val="21"/>
          <w:highlight w:val="none"/>
        </w:rPr>
        <w:t>：</w:t>
      </w:r>
    </w:p>
    <w:p w14:paraId="34D2AC24">
      <w:pPr>
        <w:adjustRightInd w:val="0"/>
        <w:snapToGrid w:val="0"/>
        <w:spacing w:before="0" w:beforeLines="0" w:line="400" w:lineRule="exact"/>
        <w:ind w:left="0" w:leftChars="0" w:firstLine="840" w:firstLineChars="400"/>
        <w:rPr>
          <w:rFonts w:ascii="宋体" w:hAnsi="宋体" w:eastAsia="宋体" w:cs="Times New Roman"/>
          <w:sz w:val="21"/>
          <w:szCs w:val="21"/>
          <w:highlight w:val="none"/>
          <w:u w:val="single"/>
        </w:rPr>
      </w:pPr>
      <w:r>
        <w:rPr>
          <w:rFonts w:hint="eastAsia" w:ascii="宋体" w:hAnsi="宋体" w:eastAsia="宋体" w:cs="Times New Roman"/>
          <w:sz w:val="21"/>
          <w:szCs w:val="21"/>
          <w:highlight w:val="none"/>
          <w:u w:val="none"/>
        </w:rPr>
        <w:t xml:space="preserve"> </w:t>
      </w:r>
      <w:r>
        <w:rPr>
          <w:rFonts w:hint="eastAsia" w:ascii="宋体" w:hAnsi="宋体" w:eastAsia="宋体" w:cs="Times New Roman"/>
          <w:sz w:val="21"/>
          <w:szCs w:val="21"/>
          <w:highlight w:val="none"/>
          <w:u w:val="single"/>
          <w:lang w:val="en-US" w:eastAsia="zh-CN"/>
        </w:rPr>
        <w:t xml:space="preserve">  </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u w:val="single"/>
          <w:lang w:val="en-US" w:eastAsia="zh-CN"/>
        </w:rPr>
        <w:t xml:space="preserve">                       </w:t>
      </w:r>
    </w:p>
    <w:p w14:paraId="6EEE6931">
      <w:pPr>
        <w:adjustRightInd w:val="0"/>
        <w:snapToGrid w:val="0"/>
        <w:spacing w:before="0" w:beforeLines="0" w:line="400" w:lineRule="exact"/>
        <w:ind w:left="0" w:leftChars="0" w:firstLine="840" w:firstLineChars="400"/>
        <w:rPr>
          <w:rFonts w:hint="eastAsia" w:ascii="宋体" w:hAnsi="宋体" w:eastAsia="宋体" w:cs="Times New Roman"/>
          <w:sz w:val="21"/>
          <w:szCs w:val="21"/>
        </w:rPr>
      </w:pP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分包供应商</w:t>
      </w:r>
      <w:r>
        <w:rPr>
          <w:rFonts w:hint="eastAsia" w:ascii="宋体" w:hAnsi="宋体" w:eastAsia="宋体" w:cs="Times New Roman"/>
          <w:sz w:val="21"/>
          <w:szCs w:val="21"/>
          <w:highlight w:val="none"/>
          <w:lang w:val="en-US" w:eastAsia="zh-CN"/>
        </w:rPr>
        <w:t>/</w:t>
      </w:r>
      <w:r>
        <w:rPr>
          <w:rFonts w:hint="eastAsia" w:ascii="宋体" w:hAnsi="宋体" w:eastAsia="宋体" w:cs="Times New Roman"/>
          <w:sz w:val="21"/>
          <w:szCs w:val="21"/>
          <w:highlight w:val="none"/>
          <w:lang w:eastAsia="zh-CN"/>
        </w:rPr>
        <w:t>制造商</w:t>
      </w:r>
      <w:r>
        <w:rPr>
          <w:rFonts w:hint="eastAsia" w:ascii="宋体" w:hAnsi="宋体" w:eastAsia="宋体" w:cs="Times New Roman"/>
          <w:sz w:val="21"/>
          <w:szCs w:val="21"/>
        </w:rPr>
        <w:t>类型</w:t>
      </w:r>
      <w:r>
        <w:rPr>
          <w:rFonts w:hint="eastAsia" w:ascii="宋体" w:hAnsi="宋体" w:eastAsia="宋体" w:cs="Times New Roman"/>
          <w:sz w:val="21"/>
          <w:szCs w:val="21"/>
          <w:highlight w:val="none"/>
          <w:lang w:eastAsia="zh-CN"/>
        </w:rPr>
        <w:t>（如果供应商和制造商不同，只填写制造商类型）</w:t>
      </w:r>
      <w:r>
        <w:rPr>
          <w:rFonts w:hint="eastAsia" w:ascii="宋体" w:hAnsi="宋体" w:eastAsia="宋体" w:cs="Times New Roman"/>
          <w:sz w:val="21"/>
          <w:szCs w:val="21"/>
        </w:rPr>
        <w:t>：</w:t>
      </w:r>
    </w:p>
    <w:p w14:paraId="308FAEAB">
      <w:pPr>
        <w:adjustRightInd w:val="0"/>
        <w:snapToGrid w:val="0"/>
        <w:spacing w:beforeLines="0" w:line="400" w:lineRule="exact"/>
        <w:ind w:left="0" w:leftChars="0" w:firstLine="840" w:firstLineChars="400"/>
        <w:rPr>
          <w:rFonts w:hint="eastAsia" w:ascii="宋体" w:hAnsi="宋体" w:eastAsia="宋体" w:cs="Times New Roman"/>
          <w:iCs/>
          <w:sz w:val="21"/>
          <w:szCs w:val="21"/>
          <w:lang w:val="en-US" w:eastAsia="zh-CN"/>
        </w:rPr>
      </w:pP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 xml:space="preserve">大型企业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 xml:space="preserve">中型企业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小微型企业</w:t>
      </w:r>
      <w:r>
        <w:rPr>
          <w:rFonts w:hint="eastAsia" w:ascii="宋体" w:hAnsi="宋体" w:eastAsia="宋体" w:cs="Times New Roman"/>
          <w:iCs/>
          <w:sz w:val="21"/>
          <w:szCs w:val="21"/>
          <w:lang w:val="en-US" w:eastAsia="zh-CN"/>
        </w:rPr>
        <w:t xml:space="preserve">  </w:t>
      </w:r>
    </w:p>
    <w:p w14:paraId="456E9124">
      <w:pPr>
        <w:adjustRightInd w:val="0"/>
        <w:snapToGrid w:val="0"/>
        <w:spacing w:beforeLines="0" w:line="400" w:lineRule="exact"/>
        <w:ind w:left="0" w:leftChars="0" w:firstLine="840" w:firstLineChars="400"/>
        <w:rPr>
          <w:rFonts w:hint="default" w:ascii="Times New Roman" w:hAnsi="Times New Roman" w:eastAsia="华文楷体" w:cs="Times New Roman"/>
          <w:sz w:val="21"/>
          <w:szCs w:val="24"/>
          <w:u w:val="none"/>
          <w:lang w:val="en-US" w:eastAsia="zh-CN"/>
        </w:rPr>
      </w:pP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lang w:eastAsia="zh-CN"/>
        </w:rPr>
        <w:t>残疾人福利性单位</w:t>
      </w: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lang w:eastAsia="zh-CN"/>
        </w:rPr>
        <w:t>监狱</w:t>
      </w:r>
      <w:r>
        <w:rPr>
          <w:rFonts w:hint="eastAsia" w:ascii="宋体" w:hAnsi="宋体" w:eastAsia="宋体" w:cs="Times New Roman"/>
          <w:iCs/>
          <w:sz w:val="21"/>
          <w:szCs w:val="21"/>
        </w:rPr>
        <w:t>企业</w:t>
      </w: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lang w:eastAsia="zh-CN"/>
        </w:rPr>
        <w:t>其他</w:t>
      </w:r>
    </w:p>
    <w:p w14:paraId="388FAA96">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 w:val="21"/>
          <w:szCs w:val="21"/>
          <w:highlight w:val="none"/>
        </w:rPr>
      </w:pPr>
      <w:r>
        <w:rPr>
          <w:rFonts w:hint="eastAsia" w:ascii="宋体" w:hAnsi="宋体" w:eastAsia="宋体" w:cs="Times New Roman"/>
          <w:sz w:val="21"/>
          <w:szCs w:val="21"/>
          <w:highlight w:val="none"/>
          <w:u w:val="none"/>
          <w:lang w:val="en-US" w:eastAsia="zh-CN"/>
        </w:rPr>
        <w:t xml:space="preserve">    </w:t>
      </w:r>
      <w:r>
        <w:rPr>
          <w:rFonts w:hint="eastAsia" w:ascii="宋体" w:hAnsi="宋体" w:eastAsia="宋体" w:cs="宋体"/>
          <w:sz w:val="21"/>
          <w:szCs w:val="21"/>
          <w:highlight w:val="none"/>
          <w:u w:val="none"/>
          <w:lang w:val="en-US" w:eastAsia="zh-CN"/>
        </w:rPr>
        <w:t>（</w:t>
      </w:r>
      <w:r>
        <w:rPr>
          <w:rFonts w:hint="default" w:ascii="宋体" w:hAnsi="宋体" w:eastAsia="宋体" w:cs="宋体"/>
          <w:sz w:val="21"/>
          <w:szCs w:val="21"/>
          <w:highlight w:val="none"/>
          <w:u w:val="none"/>
          <w:lang w:val="en" w:eastAsia="zh-CN"/>
        </w:rPr>
        <w:t>8</w:t>
      </w:r>
      <w:r>
        <w:rPr>
          <w:rFonts w:hint="eastAsia" w:ascii="宋体" w:hAnsi="宋体" w:eastAsia="宋体" w:cs="宋体"/>
          <w:sz w:val="21"/>
          <w:szCs w:val="21"/>
          <w:highlight w:val="none"/>
          <w:u w:val="none"/>
          <w:lang w:val="en-US" w:eastAsia="zh-CN"/>
        </w:rPr>
        <w:t>）中标（成交）供应商是否为外商投资企业：</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4A280FB3">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2CD4D70F">
      <w:pPr>
        <w:numPr>
          <w:ilvl w:val="0"/>
          <w:numId w:val="0"/>
        </w:numPr>
        <w:adjustRightInd w:val="0"/>
        <w:snapToGrid w:val="0"/>
        <w:spacing w:before="0" w:beforeLines="0" w:line="400" w:lineRule="exact"/>
        <w:ind w:left="0" w:leftChars="0"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B7A82FE">
      <w:pPr>
        <w:numPr>
          <w:ilvl w:val="0"/>
          <w:numId w:val="0"/>
        </w:numPr>
        <w:adjustRightInd w:val="0"/>
        <w:snapToGrid w:val="0"/>
        <w:spacing w:before="0" w:beforeLines="0" w:line="400" w:lineRule="exact"/>
        <w:ind w:left="0" w:leftChars="0" w:firstLine="840" w:firstLineChars="400"/>
        <w:rPr>
          <w:rFonts w:hint="eastAsia" w:ascii="宋体" w:hAnsi="宋体" w:eastAsia="宋体" w:cs="宋体"/>
          <w:sz w:val="21"/>
          <w:szCs w:val="21"/>
          <w:u w:val="single"/>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p>
    <w:p w14:paraId="374171D8">
      <w:pPr>
        <w:numPr>
          <w:ilvl w:val="0"/>
          <w:numId w:val="0"/>
        </w:numPr>
        <w:adjustRightInd w:val="0"/>
        <w:snapToGrid w:val="0"/>
        <w:spacing w:before="0" w:beforeLines="0" w:line="400" w:lineRule="exact"/>
        <w:ind w:left="0" w:leftChars="0" w:firstLine="840" w:firstLineChars="400"/>
        <w:rPr>
          <w:rFonts w:hint="eastAsia" w:ascii="宋体" w:hAnsi="宋体" w:eastAsia="宋体" w:cs="Times New Roman"/>
          <w:iCs w:val="0"/>
          <w:sz w:val="21"/>
          <w:szCs w:val="21"/>
        </w:rPr>
      </w:pPr>
      <w:r>
        <w:rPr>
          <w:rFonts w:hint="eastAsia" w:ascii="宋体" w:hAnsi="宋体" w:eastAsia="宋体" w:cs="宋体"/>
          <w:sz w:val="21"/>
          <w:szCs w:val="21"/>
          <w:lang w:val="en-US" w:eastAsia="zh-CN"/>
        </w:rPr>
        <w:t xml:space="preserve">        国别：</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规格型号：</w:t>
      </w:r>
      <w:r>
        <w:rPr>
          <w:rFonts w:hint="eastAsia" w:ascii="宋体" w:hAnsi="宋体" w:eastAsia="宋体" w:cs="宋体"/>
          <w:sz w:val="21"/>
          <w:szCs w:val="21"/>
          <w:u w:val="single"/>
          <w:lang w:val="en-US" w:eastAsia="zh-CN"/>
        </w:rPr>
        <w:t xml:space="preserve">        </w:t>
      </w:r>
      <w:r>
        <w:rPr>
          <w:rFonts w:hint="eastAsia" w:ascii="宋体" w:hAnsi="宋体" w:eastAsia="宋体" w:cs="Times New Roman"/>
          <w:iCs w:val="0"/>
          <w:sz w:val="21"/>
          <w:szCs w:val="21"/>
        </w:rPr>
        <w:t xml:space="preserve">      </w:t>
      </w:r>
    </w:p>
    <w:p w14:paraId="4601E2D5">
      <w:pPr>
        <w:adjustRightInd w:val="0"/>
        <w:snapToGrid w:val="0"/>
        <w:spacing w:before="0" w:beforeLines="0" w:line="400" w:lineRule="exact"/>
        <w:ind w:left="0" w:leftChars="0" w:firstLine="840" w:firstLineChars="400"/>
        <w:rPr>
          <w:rFonts w:hint="eastAsia" w:ascii="宋体" w:hAnsi="宋体" w:eastAsia="宋体" w:cs="Times New Roman"/>
          <w:sz w:val="21"/>
          <w:szCs w:val="21"/>
          <w:u w:val="none"/>
          <w:lang w:val="en-US" w:eastAsia="zh-CN"/>
        </w:rPr>
      </w:pPr>
      <w:r>
        <w:rPr>
          <w:rFonts w:hint="eastAsia" w:ascii="宋体" w:hAnsi="宋体" w:eastAsia="宋体" w:cs="Times New Roman"/>
          <w:iCs w:val="0"/>
          <w:sz w:val="21"/>
          <w:szCs w:val="21"/>
          <w:lang w:val="en-US" w:eastAsia="zh-CN"/>
        </w:rPr>
        <w:t xml:space="preserve"> </w:t>
      </w:r>
      <w:r>
        <w:rPr>
          <w:rFonts w:hint="eastAsia" w:ascii="宋体" w:hAnsi="宋体" w:eastAsia="宋体" w:cs="Times New Roman"/>
          <w:iCs w:val="0"/>
          <w:sz w:val="21"/>
          <w:szCs w:val="21"/>
        </w:rPr>
        <w:sym w:font="Wingdings" w:char="00A8"/>
      </w:r>
      <w:r>
        <w:rPr>
          <w:rFonts w:hint="eastAsia" w:ascii="宋体" w:hAnsi="宋体" w:eastAsia="宋体" w:cs="Times New Roman"/>
          <w:iCs w:val="0"/>
          <w:sz w:val="21"/>
          <w:szCs w:val="21"/>
          <w:lang w:eastAsia="zh-CN"/>
        </w:rPr>
        <w:t>否</w:t>
      </w:r>
    </w:p>
    <w:p w14:paraId="0CEEBF27">
      <w:pPr>
        <w:numPr>
          <w:ilvl w:val="0"/>
          <w:numId w:val="0"/>
        </w:numPr>
        <w:tabs>
          <w:tab w:val="left" w:pos="740"/>
        </w:tabs>
        <w:adjustRightInd w:val="0"/>
        <w:snapToGrid w:val="0"/>
        <w:spacing w:before="0" w:beforeLines="0" w:line="400" w:lineRule="exact"/>
        <w:ind w:left="0" w:leftChars="0" w:firstLine="0" w:firstLineChars="0"/>
        <w:rPr>
          <w:rFonts w:hint="eastAsia" w:ascii="宋体" w:hAnsi="宋体" w:eastAsia="宋体" w:cs="Times New Roman"/>
          <w:b w:val="0"/>
          <w:bCs w:val="0"/>
          <w:sz w:val="21"/>
          <w:szCs w:val="21"/>
          <w:u w:val="none"/>
          <w:lang w:val="en-US" w:eastAsia="zh-CN"/>
        </w:rPr>
      </w:pPr>
      <w:r>
        <w:rPr>
          <w:rFonts w:hint="eastAsia" w:ascii="宋体" w:hAnsi="宋体" w:eastAsia="宋体" w:cs="Times New Roman"/>
          <w:b w:val="0"/>
          <w:bCs w:val="0"/>
          <w:sz w:val="21"/>
          <w:szCs w:val="21"/>
          <w:u w:val="none"/>
          <w:lang w:val="en-US" w:eastAsia="zh-CN"/>
        </w:rPr>
        <w:t xml:space="preserve">    （1</w:t>
      </w:r>
      <w:r>
        <w:rPr>
          <w:rFonts w:hint="default" w:ascii="宋体" w:hAnsi="宋体" w:eastAsia="宋体" w:cs="Times New Roman"/>
          <w:b w:val="0"/>
          <w:bCs w:val="0"/>
          <w:sz w:val="21"/>
          <w:szCs w:val="21"/>
          <w:u w:val="none"/>
          <w:lang w:val="en" w:eastAsia="zh-CN"/>
        </w:rPr>
        <w:t>0</w:t>
      </w:r>
      <w:r>
        <w:rPr>
          <w:rFonts w:hint="eastAsia" w:ascii="宋体" w:hAnsi="宋体" w:eastAsia="宋体" w:cs="Times New Roman"/>
          <w:b w:val="0"/>
          <w:bCs w:val="0"/>
          <w:sz w:val="21"/>
          <w:szCs w:val="21"/>
          <w:u w:val="none"/>
          <w:lang w:val="en-US" w:eastAsia="zh-CN"/>
        </w:rPr>
        <w:t>）是否涉及节能产品：</w:t>
      </w:r>
    </w:p>
    <w:p w14:paraId="35BBC5B2">
      <w:pPr>
        <w:numPr>
          <w:ilvl w:val="0"/>
          <w:numId w:val="0"/>
        </w:numPr>
        <w:tabs>
          <w:tab w:val="left" w:pos="740"/>
        </w:tabs>
        <w:adjustRightInd w:val="0"/>
        <w:snapToGrid w:val="0"/>
        <w:spacing w:before="0" w:beforeLines="0" w:line="400" w:lineRule="exact"/>
        <w:ind w:left="0" w:leftChars="0" w:firstLine="0" w:firstLineChars="0"/>
        <w:rPr>
          <w:rFonts w:hint="eastAsia" w:ascii="宋体" w:hAnsi="宋体" w:eastAsia="宋体" w:cs="Times New Roman"/>
          <w:iCs/>
          <w:sz w:val="21"/>
          <w:szCs w:val="21"/>
          <w:lang w:val="en-US" w:eastAsia="zh-CN"/>
        </w:rPr>
      </w:pPr>
      <w:r>
        <w:rPr>
          <w:rFonts w:hint="eastAsia" w:ascii="宋体" w:hAnsi="宋体" w:eastAsia="宋体" w:cs="Times New Roman"/>
          <w:b w:val="0"/>
          <w:bCs w:val="0"/>
          <w:sz w:val="21"/>
          <w:szCs w:val="21"/>
          <w:u w:val="none"/>
          <w:lang w:val="en-US" w:eastAsia="zh-CN"/>
        </w:rPr>
        <w:t xml:space="preserve">         </w:t>
      </w:r>
      <w:r>
        <w:rPr>
          <w:rFonts w:hint="eastAsia" w:ascii="宋体" w:hAnsi="宋体" w:eastAsia="宋体" w:cs="Times New Roman"/>
          <w:iCs w:val="0"/>
          <w:sz w:val="21"/>
          <w:szCs w:val="21"/>
        </w:rPr>
        <w:sym w:font="Wingdings" w:char="00A8"/>
      </w:r>
      <w:r>
        <w:rPr>
          <w:rFonts w:hint="eastAsia" w:ascii="宋体" w:hAnsi="宋体" w:eastAsia="宋体" w:cs="Times New Roman"/>
          <w:iCs w:val="0"/>
          <w:sz w:val="21"/>
          <w:szCs w:val="21"/>
        </w:rPr>
        <w:t>是</w:t>
      </w:r>
      <w:r>
        <w:rPr>
          <w:rFonts w:hint="eastAsia" w:ascii="宋体" w:hAnsi="宋体" w:eastAsia="宋体" w:cs="Times New Roman"/>
          <w:iCs w:val="0"/>
          <w:sz w:val="21"/>
          <w:szCs w:val="21"/>
          <w:lang w:eastAsia="zh-CN"/>
        </w:rPr>
        <w:t>，《节能产品政府采购品目清单》的底级品目名称：</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iCs/>
          <w:sz w:val="21"/>
          <w:szCs w:val="21"/>
          <w:lang w:val="en-US" w:eastAsia="zh-CN"/>
        </w:rPr>
        <w:t xml:space="preserve">     </w:t>
      </w:r>
    </w:p>
    <w:p w14:paraId="29167805">
      <w:pPr>
        <w:numPr>
          <w:ilvl w:val="0"/>
          <w:numId w:val="0"/>
        </w:numPr>
        <w:tabs>
          <w:tab w:val="left" w:pos="740"/>
        </w:tabs>
        <w:adjustRightInd w:val="0"/>
        <w:snapToGrid w:val="0"/>
        <w:spacing w:before="0" w:beforeLines="0" w:line="400" w:lineRule="exact"/>
        <w:ind w:left="0" w:leftChars="0" w:firstLine="0" w:firstLineChars="0"/>
        <w:rPr>
          <w:rFonts w:hint="eastAsia" w:ascii="宋体" w:hAnsi="宋体" w:eastAsia="宋体" w:cs="Times New Roman"/>
          <w:iCs/>
          <w:sz w:val="21"/>
          <w:szCs w:val="21"/>
          <w:lang w:val="en-US" w:eastAsia="zh-CN"/>
        </w:rPr>
      </w:pP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lang w:eastAsia="zh-CN"/>
        </w:rPr>
        <w:t>强制采购</w:t>
      </w: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lang w:eastAsia="zh-CN"/>
        </w:rPr>
        <w:t>优先采购</w:t>
      </w:r>
      <w:r>
        <w:rPr>
          <w:rFonts w:hint="eastAsia" w:ascii="宋体" w:hAnsi="宋体" w:eastAsia="宋体" w:cs="Times New Roman"/>
          <w:iCs/>
          <w:sz w:val="21"/>
          <w:szCs w:val="21"/>
          <w:lang w:val="en-US" w:eastAsia="zh-CN"/>
        </w:rPr>
        <w:t xml:space="preserve">    </w:t>
      </w:r>
    </w:p>
    <w:p w14:paraId="3712C2D5">
      <w:pPr>
        <w:numPr>
          <w:ilvl w:val="0"/>
          <w:numId w:val="0"/>
        </w:numPr>
        <w:tabs>
          <w:tab w:val="left" w:pos="740"/>
        </w:tabs>
        <w:adjustRightInd w:val="0"/>
        <w:snapToGrid w:val="0"/>
        <w:spacing w:before="0" w:beforeLines="0" w:line="400" w:lineRule="exact"/>
        <w:ind w:left="0" w:leftChars="0" w:firstLine="0" w:firstLineChars="0"/>
        <w:rPr>
          <w:rFonts w:hint="eastAsia" w:ascii="宋体" w:hAnsi="宋体" w:eastAsia="宋体" w:cs="Times New Roman"/>
          <w:iCs w:val="0"/>
          <w:sz w:val="21"/>
          <w:szCs w:val="21"/>
        </w:rPr>
      </w:pPr>
      <w:r>
        <w:rPr>
          <w:rFonts w:hint="eastAsia" w:ascii="宋体" w:hAnsi="宋体" w:eastAsia="宋体" w:cs="Times New Roman"/>
          <w:iCs/>
          <w:sz w:val="21"/>
          <w:szCs w:val="21"/>
          <w:lang w:val="en-US" w:eastAsia="zh-CN"/>
        </w:rPr>
        <w:t xml:space="preserve">         </w:t>
      </w:r>
      <w:r>
        <w:rPr>
          <w:rFonts w:hint="eastAsia" w:ascii="宋体" w:hAnsi="宋体" w:eastAsia="宋体" w:cs="Times New Roman"/>
          <w:iCs w:val="0"/>
          <w:sz w:val="21"/>
          <w:szCs w:val="21"/>
        </w:rPr>
        <w:sym w:font="Wingdings" w:char="00A8"/>
      </w:r>
      <w:r>
        <w:rPr>
          <w:rFonts w:hint="eastAsia" w:ascii="宋体" w:hAnsi="宋体" w:eastAsia="宋体" w:cs="Times New Roman"/>
          <w:iCs w:val="0"/>
          <w:sz w:val="21"/>
          <w:szCs w:val="21"/>
        </w:rPr>
        <w:t>否</w:t>
      </w:r>
    </w:p>
    <w:p w14:paraId="63ABE88B">
      <w:pPr>
        <w:numPr>
          <w:ilvl w:val="0"/>
          <w:numId w:val="0"/>
        </w:numPr>
        <w:tabs>
          <w:tab w:val="left" w:pos="740"/>
        </w:tabs>
        <w:adjustRightInd w:val="0"/>
        <w:snapToGrid w:val="0"/>
        <w:spacing w:before="0" w:beforeLines="0" w:line="400" w:lineRule="exact"/>
        <w:ind w:left="0" w:leftChars="0" w:firstLine="0" w:firstLineChars="0"/>
        <w:rPr>
          <w:rFonts w:hint="eastAsia" w:ascii="宋体" w:hAnsi="宋体" w:eastAsia="宋体" w:cs="Times New Roman"/>
          <w:b w:val="0"/>
          <w:bCs w:val="0"/>
          <w:sz w:val="21"/>
          <w:szCs w:val="21"/>
          <w:u w:val="none"/>
          <w:lang w:val="en-US" w:eastAsia="zh-CN"/>
        </w:rPr>
      </w:pPr>
      <w:r>
        <w:rPr>
          <w:rFonts w:hint="eastAsia" w:ascii="宋体" w:hAnsi="宋体" w:eastAsia="宋体" w:cs="Times New Roman"/>
          <w:b w:val="0"/>
          <w:bCs w:val="0"/>
          <w:sz w:val="21"/>
          <w:szCs w:val="21"/>
          <w:u w:val="none"/>
          <w:lang w:val="en-US" w:eastAsia="zh-CN"/>
        </w:rPr>
        <w:t xml:space="preserve">          是否涉及环境标志产品：</w:t>
      </w:r>
    </w:p>
    <w:p w14:paraId="4DFADB3F">
      <w:pPr>
        <w:numPr>
          <w:ilvl w:val="0"/>
          <w:numId w:val="0"/>
        </w:numPr>
        <w:tabs>
          <w:tab w:val="left" w:pos="740"/>
        </w:tabs>
        <w:adjustRightInd w:val="0"/>
        <w:snapToGrid w:val="0"/>
        <w:spacing w:before="0" w:beforeLines="0" w:line="400" w:lineRule="exact"/>
        <w:ind w:left="0" w:leftChars="0" w:firstLine="0" w:firstLineChars="0"/>
        <w:rPr>
          <w:rFonts w:hint="eastAsia" w:ascii="宋体" w:hAnsi="宋体" w:eastAsia="宋体" w:cs="Times New Roman"/>
          <w:iCs w:val="0"/>
          <w:sz w:val="21"/>
          <w:szCs w:val="21"/>
          <w:lang w:eastAsia="zh-CN"/>
        </w:rPr>
      </w:pPr>
      <w:r>
        <w:rPr>
          <w:rFonts w:hint="eastAsia" w:ascii="宋体" w:hAnsi="宋体" w:eastAsia="宋体" w:cs="Times New Roman"/>
          <w:b w:val="0"/>
          <w:bCs w:val="0"/>
          <w:sz w:val="21"/>
          <w:szCs w:val="21"/>
          <w:u w:val="none"/>
          <w:lang w:val="en-US" w:eastAsia="zh-CN"/>
        </w:rPr>
        <w:t xml:space="preserve">         </w:t>
      </w:r>
      <w:r>
        <w:rPr>
          <w:rFonts w:hint="eastAsia" w:ascii="宋体" w:hAnsi="宋体" w:eastAsia="宋体" w:cs="Times New Roman"/>
          <w:iCs w:val="0"/>
          <w:sz w:val="21"/>
          <w:szCs w:val="21"/>
        </w:rPr>
        <w:sym w:font="Wingdings" w:char="00A8"/>
      </w:r>
      <w:r>
        <w:rPr>
          <w:rFonts w:hint="eastAsia" w:ascii="宋体" w:hAnsi="宋体" w:eastAsia="宋体" w:cs="Times New Roman"/>
          <w:iCs w:val="0"/>
          <w:sz w:val="21"/>
          <w:szCs w:val="21"/>
        </w:rPr>
        <w:t>是</w:t>
      </w:r>
      <w:r>
        <w:rPr>
          <w:rFonts w:hint="eastAsia" w:ascii="宋体" w:hAnsi="宋体" w:eastAsia="宋体" w:cs="Times New Roman"/>
          <w:iCs w:val="0"/>
          <w:sz w:val="21"/>
          <w:szCs w:val="21"/>
          <w:lang w:eastAsia="zh-CN"/>
        </w:rPr>
        <w:t>，《环境标志产品政府采购品目清单》的底级品目名称：</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iCs/>
          <w:sz w:val="21"/>
          <w:szCs w:val="21"/>
          <w:lang w:val="en-US" w:eastAsia="zh-CN"/>
        </w:rPr>
        <w:t xml:space="preserve"> </w:t>
      </w:r>
    </w:p>
    <w:p w14:paraId="7532EFA5">
      <w:pPr>
        <w:numPr>
          <w:ilvl w:val="0"/>
          <w:numId w:val="0"/>
        </w:numPr>
        <w:tabs>
          <w:tab w:val="left" w:pos="740"/>
        </w:tabs>
        <w:adjustRightInd w:val="0"/>
        <w:snapToGrid w:val="0"/>
        <w:spacing w:before="0" w:beforeLines="0" w:line="400" w:lineRule="exact"/>
        <w:ind w:left="0" w:leftChars="0" w:firstLine="0" w:firstLineChars="0"/>
        <w:rPr>
          <w:rFonts w:hint="eastAsia" w:ascii="宋体" w:hAnsi="宋体" w:eastAsia="宋体" w:cs="Times New Roman"/>
          <w:iCs/>
          <w:sz w:val="21"/>
          <w:szCs w:val="21"/>
          <w:lang w:val="en-US" w:eastAsia="zh-CN"/>
        </w:rPr>
      </w:pP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lang w:eastAsia="zh-CN"/>
        </w:rPr>
        <w:t>强制采购</w:t>
      </w: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lang w:eastAsia="zh-CN"/>
        </w:rPr>
        <w:t>优先采购</w:t>
      </w:r>
      <w:r>
        <w:rPr>
          <w:rFonts w:hint="eastAsia" w:ascii="宋体" w:hAnsi="宋体" w:eastAsia="宋体" w:cs="Times New Roman"/>
          <w:iCs/>
          <w:sz w:val="21"/>
          <w:szCs w:val="21"/>
          <w:lang w:val="en-US" w:eastAsia="zh-CN"/>
        </w:rPr>
        <w:t xml:space="preserve">    </w:t>
      </w:r>
    </w:p>
    <w:p w14:paraId="22886723">
      <w:pPr>
        <w:numPr>
          <w:ilvl w:val="0"/>
          <w:numId w:val="0"/>
        </w:numPr>
        <w:tabs>
          <w:tab w:val="left" w:pos="740"/>
        </w:tabs>
        <w:adjustRightInd w:val="0"/>
        <w:snapToGrid w:val="0"/>
        <w:spacing w:before="0" w:beforeLines="0" w:line="400" w:lineRule="exact"/>
        <w:ind w:left="0" w:leftChars="0" w:firstLine="0" w:firstLineChars="0"/>
        <w:rPr>
          <w:rFonts w:hint="eastAsia" w:ascii="宋体" w:hAnsi="宋体" w:eastAsia="宋体" w:cs="Times New Roman"/>
          <w:b w:val="0"/>
          <w:bCs w:val="0"/>
          <w:sz w:val="21"/>
          <w:szCs w:val="21"/>
          <w:u w:val="none"/>
          <w:lang w:val="en-US" w:eastAsia="zh-CN"/>
        </w:rPr>
      </w:pPr>
      <w:r>
        <w:rPr>
          <w:rFonts w:hint="eastAsia" w:ascii="宋体" w:hAnsi="宋体" w:eastAsia="宋体" w:cs="Times New Roman"/>
          <w:iCs/>
          <w:sz w:val="21"/>
          <w:szCs w:val="21"/>
          <w:lang w:val="en-US" w:eastAsia="zh-CN"/>
        </w:rPr>
        <w:t xml:space="preserve">         </w:t>
      </w:r>
      <w:r>
        <w:rPr>
          <w:rFonts w:hint="eastAsia" w:ascii="宋体" w:hAnsi="宋体" w:eastAsia="宋体" w:cs="Times New Roman"/>
          <w:iCs w:val="0"/>
          <w:sz w:val="21"/>
          <w:szCs w:val="21"/>
        </w:rPr>
        <w:sym w:font="Wingdings" w:char="00A8"/>
      </w:r>
      <w:r>
        <w:rPr>
          <w:rFonts w:hint="eastAsia" w:ascii="宋体" w:hAnsi="宋体" w:eastAsia="宋体" w:cs="Times New Roman"/>
          <w:iCs w:val="0"/>
          <w:sz w:val="21"/>
          <w:szCs w:val="21"/>
        </w:rPr>
        <w:t>否</w:t>
      </w:r>
    </w:p>
    <w:p w14:paraId="055EADBF">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14:paraId="1DA4C22D">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14:paraId="33892505">
      <w:pPr>
        <w:numPr>
          <w:ilvl w:val="0"/>
          <w:numId w:val="0"/>
        </w:numPr>
        <w:tabs>
          <w:tab w:val="left" w:pos="740"/>
        </w:tabs>
        <w:adjustRightInd w:val="0"/>
        <w:snapToGrid w:val="0"/>
        <w:spacing w:before="0" w:beforeLines="0" w:line="400" w:lineRule="exact"/>
        <w:ind w:left="0" w:leftChars="0" w:firstLine="0" w:firstLineChars="0"/>
        <w:rPr>
          <w:rFonts w:hint="eastAsia" w:ascii="宋体" w:hAnsi="宋体" w:eastAsia="宋体" w:cs="Times New Roman"/>
          <w:iCs/>
          <w:sz w:val="21"/>
          <w:szCs w:val="21"/>
          <w:lang w:val="en-US" w:eastAsia="zh-CN"/>
        </w:rPr>
      </w:pP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lang w:eastAsia="zh-CN"/>
        </w:rPr>
        <w:t>强制采购</w:t>
      </w: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lang w:eastAsia="zh-CN"/>
        </w:rPr>
        <w:t>优先采购</w:t>
      </w:r>
      <w:r>
        <w:rPr>
          <w:rFonts w:hint="eastAsia" w:ascii="宋体" w:hAnsi="宋体" w:eastAsia="宋体" w:cs="Times New Roman"/>
          <w:iCs/>
          <w:sz w:val="21"/>
          <w:szCs w:val="21"/>
          <w:lang w:val="en-US" w:eastAsia="zh-CN"/>
        </w:rPr>
        <w:t xml:space="preserve">    </w:t>
      </w:r>
    </w:p>
    <w:p w14:paraId="5A6E19EE">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14:paraId="745A4968">
      <w:pPr>
        <w:numPr>
          <w:ilvl w:val="0"/>
          <w:numId w:val="0"/>
        </w:numPr>
        <w:adjustRightInd w:val="0"/>
        <w:snapToGrid w:val="0"/>
        <w:spacing w:before="0" w:beforeLines="0" w:line="400" w:lineRule="exact"/>
        <w:ind w:left="0" w:leftChars="0" w:firstLine="0" w:firstLineChars="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    （1</w:t>
      </w:r>
      <w:r>
        <w:rPr>
          <w:rFonts w:hint="default" w:ascii="宋体" w:hAnsi="宋体" w:eastAsia="宋体" w:cs="Times New Roman"/>
          <w:sz w:val="21"/>
          <w:szCs w:val="21"/>
          <w:lang w:val="en" w:eastAsia="zh-CN"/>
        </w:rPr>
        <w:t>1</w:t>
      </w:r>
      <w:r>
        <w:rPr>
          <w:rFonts w:hint="eastAsia" w:ascii="宋体" w:hAnsi="宋体" w:eastAsia="宋体" w:cs="Times New Roman"/>
          <w:sz w:val="21"/>
          <w:szCs w:val="21"/>
          <w:lang w:val="en-US" w:eastAsia="zh-CN"/>
        </w:rPr>
        <w:t>）涉及商品包装和快递包装的，是否参考</w:t>
      </w:r>
      <w:r>
        <w:rPr>
          <w:rFonts w:hint="eastAsia" w:ascii="宋体" w:hAnsi="宋体" w:eastAsia="宋体" w:cs="Times New Roman"/>
          <w:sz w:val="21"/>
          <w:szCs w:val="21"/>
        </w:rPr>
        <w:t>《商品包装政府采购需求标准（试行）》、《快递包装政府采购需求标准（试行）》</w:t>
      </w:r>
      <w:r>
        <w:rPr>
          <w:rFonts w:hint="eastAsia" w:ascii="宋体" w:hAnsi="宋体" w:eastAsia="宋体" w:cs="Times New Roman"/>
          <w:sz w:val="21"/>
          <w:szCs w:val="21"/>
          <w:lang w:eastAsia="zh-CN"/>
        </w:rPr>
        <w:t>明确产品及相关快递服务的具体包装要求：</w:t>
      </w:r>
    </w:p>
    <w:p w14:paraId="230C7650">
      <w:pPr>
        <w:numPr>
          <w:ilvl w:val="0"/>
          <w:numId w:val="0"/>
        </w:numPr>
        <w:adjustRightInd w:val="0"/>
        <w:snapToGrid w:val="0"/>
        <w:spacing w:before="0" w:beforeLines="0" w:line="400" w:lineRule="exact"/>
        <w:ind w:left="0" w:leftChars="0" w:firstLine="840" w:firstLineChars="400"/>
        <w:rPr>
          <w:rFonts w:hint="eastAsia" w:ascii="宋体" w:hAnsi="宋体" w:eastAsia="宋体" w:cs="Times New Roman"/>
          <w:iCs w:val="0"/>
          <w:sz w:val="21"/>
          <w:szCs w:val="21"/>
          <w:lang w:val="en-US" w:eastAsia="zh-CN"/>
        </w:rPr>
      </w:pPr>
      <w:r>
        <w:rPr>
          <w:rFonts w:hint="eastAsia" w:ascii="宋体" w:hAnsi="宋体" w:eastAsia="宋体" w:cs="Times New Roman"/>
          <w:iCs w:val="0"/>
          <w:sz w:val="21"/>
          <w:szCs w:val="21"/>
        </w:rPr>
        <w:sym w:font="Wingdings" w:char="00A8"/>
      </w:r>
      <w:r>
        <w:rPr>
          <w:rFonts w:hint="eastAsia" w:ascii="宋体" w:hAnsi="宋体" w:eastAsia="宋体" w:cs="Times New Roman"/>
          <w:iCs w:val="0"/>
          <w:sz w:val="21"/>
          <w:szCs w:val="21"/>
        </w:rPr>
        <w:t xml:space="preserve">是       </w:t>
      </w:r>
      <w:r>
        <w:rPr>
          <w:rFonts w:hint="eastAsia" w:ascii="宋体" w:hAnsi="宋体" w:eastAsia="宋体" w:cs="Times New Roman"/>
          <w:iCs w:val="0"/>
          <w:sz w:val="21"/>
          <w:szCs w:val="21"/>
        </w:rPr>
        <w:sym w:font="Wingdings" w:char="00A8"/>
      </w:r>
      <w:r>
        <w:rPr>
          <w:rFonts w:hint="eastAsia" w:ascii="宋体" w:hAnsi="宋体" w:eastAsia="宋体" w:cs="Times New Roman"/>
          <w:iCs w:val="0"/>
          <w:sz w:val="21"/>
          <w:szCs w:val="21"/>
        </w:rPr>
        <w:t>否</w:t>
      </w:r>
      <w:r>
        <w:rPr>
          <w:rFonts w:hint="eastAsia" w:ascii="宋体" w:hAnsi="宋体" w:eastAsia="宋体" w:cs="Times New Roman"/>
          <w:iCs w:val="0"/>
          <w:sz w:val="21"/>
          <w:szCs w:val="21"/>
          <w:lang w:val="en-US" w:eastAsia="zh-CN"/>
        </w:rPr>
        <w:t xml:space="preserve">      </w:t>
      </w:r>
      <w:r>
        <w:rPr>
          <w:rFonts w:hint="eastAsia" w:ascii="宋体" w:hAnsi="宋体" w:eastAsia="宋体" w:cs="Times New Roman"/>
          <w:iCs w:val="0"/>
          <w:sz w:val="21"/>
          <w:szCs w:val="21"/>
        </w:rPr>
        <w:sym w:font="Wingdings" w:char="00A8"/>
      </w:r>
      <w:r>
        <w:rPr>
          <w:rFonts w:hint="eastAsia" w:ascii="宋体" w:hAnsi="宋体" w:eastAsia="宋体" w:cs="Times New Roman"/>
          <w:iCs w:val="0"/>
          <w:sz w:val="21"/>
          <w:szCs w:val="21"/>
          <w:lang w:eastAsia="zh-CN"/>
        </w:rPr>
        <w:t>不涉及</w:t>
      </w:r>
    </w:p>
    <w:p w14:paraId="25A4B660">
      <w:pPr>
        <w:numPr>
          <w:ilvl w:val="0"/>
          <w:numId w:val="2"/>
        </w:numPr>
        <w:adjustRightInd w:val="0"/>
        <w:snapToGrid w:val="0"/>
        <w:spacing w:before="0" w:beforeLines="0" w:line="400" w:lineRule="exact"/>
        <w:ind w:left="0" w:leftChars="0" w:firstLine="422" w:firstLineChars="200"/>
        <w:rPr>
          <w:rFonts w:ascii="宋体" w:hAnsi="宋体" w:eastAsia="宋体" w:cs="Times New Roman"/>
          <w:b/>
          <w:sz w:val="21"/>
          <w:szCs w:val="21"/>
          <w:highlight w:val="none"/>
        </w:rPr>
      </w:pPr>
      <w:r>
        <w:rPr>
          <w:rFonts w:hint="eastAsia" w:ascii="宋体" w:hAnsi="宋体" w:eastAsia="宋体" w:cs="Times New Roman"/>
          <w:b/>
          <w:sz w:val="21"/>
          <w:szCs w:val="21"/>
          <w:highlight w:val="none"/>
        </w:rPr>
        <w:t>合同金额</w:t>
      </w:r>
    </w:p>
    <w:p w14:paraId="734EE930">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（1）合同金额小写：</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u w:val="single"/>
        </w:rPr>
        <w:t xml:space="preserve">      </w:t>
      </w:r>
    </w:p>
    <w:p w14:paraId="37A2A07A">
      <w:pPr>
        <w:adjustRightInd w:val="0"/>
        <w:snapToGrid w:val="0"/>
        <w:spacing w:before="0" w:beforeLines="0" w:line="400" w:lineRule="exact"/>
        <w:ind w:left="0" w:leftChars="0" w:firstLine="0" w:firstLineChars="0"/>
        <w:rPr>
          <w:rFonts w:ascii="宋体" w:hAnsi="宋体" w:eastAsia="宋体" w:cs="Times New Roman"/>
          <w:sz w:val="21"/>
          <w:szCs w:val="21"/>
          <w:u w:val="single"/>
        </w:rPr>
      </w:pP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大写：</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u w:val="single"/>
        </w:rPr>
        <w:t xml:space="preserve">      </w:t>
      </w:r>
    </w:p>
    <w:p w14:paraId="1808E96A">
      <w:pPr>
        <w:adjustRightInd w:val="0"/>
        <w:snapToGrid w:val="0"/>
        <w:spacing w:before="0" w:beforeLines="0" w:line="400" w:lineRule="exact"/>
        <w:ind w:left="0" w:leftChars="0" w:firstLine="0" w:firstLineChars="0"/>
        <w:rPr>
          <w:rFonts w:ascii="宋体" w:hAnsi="宋体" w:eastAsia="宋体" w:cs="Times New Roman"/>
          <w:sz w:val="21"/>
          <w:szCs w:val="21"/>
        </w:rPr>
      </w:pP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分包金额</w:t>
      </w:r>
      <w:r>
        <w:rPr>
          <w:rFonts w:hint="eastAsia" w:ascii="宋体" w:hAnsi="宋体" w:eastAsia="宋体" w:cs="Times New Roman"/>
          <w:sz w:val="21"/>
          <w:szCs w:val="21"/>
          <w:lang w:eastAsia="zh-CN"/>
        </w:rPr>
        <w:t>（如有）</w:t>
      </w:r>
      <w:r>
        <w:rPr>
          <w:rFonts w:hint="eastAsia" w:ascii="宋体" w:hAnsi="宋体" w:eastAsia="宋体" w:cs="Times New Roman"/>
          <w:sz w:val="21"/>
          <w:szCs w:val="21"/>
        </w:rPr>
        <w:t>小写：</w:t>
      </w:r>
      <w:r>
        <w:rPr>
          <w:rFonts w:hint="eastAsia" w:ascii="宋体" w:hAnsi="宋体" w:eastAsia="宋体" w:cs="Times New Roman"/>
          <w:sz w:val="21"/>
          <w:szCs w:val="21"/>
          <w:u w:val="single"/>
        </w:rPr>
        <w:t xml:space="preserve">                   </w:t>
      </w:r>
    </w:p>
    <w:p w14:paraId="7225F877">
      <w:pPr>
        <w:adjustRightInd w:val="0"/>
        <w:snapToGrid w:val="0"/>
        <w:spacing w:before="0" w:beforeLines="0" w:line="400" w:lineRule="exact"/>
        <w:ind w:left="0" w:leftChars="0" w:firstLine="0" w:firstLineChars="0"/>
        <w:rPr>
          <w:rFonts w:hint="eastAsia" w:ascii="宋体" w:hAnsi="宋体" w:eastAsia="宋体" w:cs="Times New Roman"/>
          <w:sz w:val="21"/>
          <w:szCs w:val="21"/>
          <w:u w:val="single"/>
        </w:rPr>
      </w:pP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大写：</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u w:val="single"/>
        </w:rPr>
        <w:t xml:space="preserve">   </w:t>
      </w:r>
    </w:p>
    <w:p w14:paraId="5606EA97">
      <w:pPr>
        <w:adjustRightInd w:val="0"/>
        <w:snapToGrid w:val="0"/>
        <w:spacing w:before="0" w:beforeLines="0" w:line="400" w:lineRule="exact"/>
        <w:ind w:left="0" w:leftChars="0" w:firstLine="0" w:firstLineChars="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    （注：固定单价合同应填写单价和最高限价）</w:t>
      </w:r>
    </w:p>
    <w:p w14:paraId="04EB21C4">
      <w:pPr>
        <w:numPr>
          <w:ilvl w:val="0"/>
          <w:numId w:val="0"/>
        </w:numPr>
        <w:adjustRightInd w:val="0"/>
        <w:snapToGrid w:val="0"/>
        <w:spacing w:before="0" w:beforeLines="0" w:line="400" w:lineRule="exact"/>
        <w:ind w:left="0" w:leftChars="0" w:firstLine="0" w:firstLineChars="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eastAsia="zh-CN"/>
        </w:rPr>
        <w:t>）</w:t>
      </w:r>
      <w:r>
        <w:rPr>
          <w:rFonts w:hint="eastAsia" w:ascii="宋体" w:hAnsi="宋体" w:eastAsia="宋体" w:cs="Times New Roman"/>
          <w:sz w:val="21"/>
          <w:szCs w:val="21"/>
        </w:rPr>
        <w:t>合同定价方式</w:t>
      </w:r>
      <w:r>
        <w:rPr>
          <w:rFonts w:hint="eastAsia" w:ascii="宋体" w:hAnsi="宋体" w:eastAsia="宋体" w:cs="Times New Roman"/>
          <w:sz w:val="21"/>
          <w:szCs w:val="21"/>
          <w:lang w:eastAsia="zh-CN"/>
        </w:rPr>
        <w:t>（采用组合定价方式的，可以勾选多项）</w:t>
      </w:r>
      <w:r>
        <w:rPr>
          <w:rFonts w:hint="eastAsia" w:ascii="宋体" w:hAnsi="宋体" w:eastAsia="宋体" w:cs="Times New Roman"/>
          <w:sz w:val="21"/>
          <w:szCs w:val="21"/>
        </w:rPr>
        <w:t>：</w:t>
      </w:r>
    </w:p>
    <w:p w14:paraId="45EDB1ED">
      <w:pPr>
        <w:adjustRightInd w:val="0"/>
        <w:snapToGrid w:val="0"/>
        <w:spacing w:before="0" w:beforeLines="0" w:line="400" w:lineRule="exact"/>
        <w:ind w:left="0" w:leftChars="0" w:firstLine="420" w:firstLineChars="200"/>
        <w:rPr>
          <w:rFonts w:hint="eastAsia" w:ascii="宋体" w:hAnsi="宋体" w:eastAsia="宋体" w:cs="Times New Roman"/>
          <w:sz w:val="21"/>
          <w:szCs w:val="21"/>
          <w:lang w:eastAsia="zh-CN"/>
        </w:rPr>
      </w:pP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 xml:space="preserve">固定总价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固定单价</w:t>
      </w: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lang w:eastAsia="zh-CN"/>
        </w:rPr>
        <w:t>固定费率</w:t>
      </w:r>
      <w:r>
        <w:rPr>
          <w:rFonts w:hint="eastAsia" w:ascii="宋体" w:hAnsi="宋体" w:eastAsia="宋体" w:cs="Times New Roman"/>
          <w:iCs/>
          <w:sz w:val="21"/>
          <w:szCs w:val="21"/>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 xml:space="preserve">成本补偿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rPr>
        <w:t>绩效激励</w:t>
      </w:r>
      <w:r>
        <w:rPr>
          <w:rFonts w:hint="eastAsia" w:ascii="宋体" w:hAnsi="宋体" w:eastAsia="宋体" w:cs="Times New Roman"/>
          <w:iCs/>
          <w:sz w:val="21"/>
          <w:szCs w:val="21"/>
          <w:lang w:val="en-US" w:eastAsia="zh-CN"/>
        </w:rPr>
        <w:t xml:space="preserve"> </w:t>
      </w:r>
      <w:r>
        <w:rPr>
          <w:rFonts w:hint="eastAsia" w:ascii="宋体" w:hAnsi="宋体" w:eastAsia="宋体" w:cs="Times New Roman"/>
          <w:iCs/>
          <w:sz w:val="21"/>
          <w:szCs w:val="21"/>
        </w:rPr>
        <w:sym w:font="Wingdings" w:char="00A8"/>
      </w:r>
      <w:r>
        <w:rPr>
          <w:rFonts w:hint="eastAsia" w:ascii="宋体" w:hAnsi="宋体" w:eastAsia="宋体" w:cs="Times New Roman"/>
          <w:iCs/>
          <w:sz w:val="21"/>
          <w:szCs w:val="21"/>
          <w:lang w:eastAsia="zh-CN"/>
        </w:rPr>
        <w:t>其他</w:t>
      </w:r>
      <w:r>
        <w:rPr>
          <w:rFonts w:hint="eastAsia" w:ascii="宋体" w:hAnsi="宋体" w:eastAsia="宋体" w:cs="Times New Roman"/>
          <w:sz w:val="21"/>
          <w:szCs w:val="21"/>
          <w:u w:val="single"/>
        </w:rPr>
        <w:t xml:space="preserve">       </w:t>
      </w:r>
    </w:p>
    <w:p w14:paraId="00C98464">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14:paraId="51C3526A">
      <w:pPr>
        <w:adjustRightInd w:val="0"/>
        <w:snapToGrid w:val="0"/>
        <w:spacing w:before="0" w:beforeLines="0" w:line="400" w:lineRule="exact"/>
        <w:ind w:left="0" w:leftChars="0" w:firstLine="630" w:firstLineChars="300"/>
        <w:rPr>
          <w:rFonts w:ascii="宋体" w:hAnsi="宋体" w:eastAsia="宋体" w:cs="Times New Roman"/>
          <w:sz w:val="21"/>
          <w:szCs w:val="21"/>
          <w:u w:val="single"/>
        </w:rPr>
      </w:pPr>
      <w:r>
        <w:rPr>
          <w:rFonts w:hint="eastAsia" w:ascii="宋体" w:hAnsi="宋体" w:eastAsia="宋体" w:cs="Times New Roman"/>
          <w:sz w:val="21"/>
          <w:szCs w:val="21"/>
        </w:rPr>
        <w:sym w:font="Wingdings" w:char="00A8"/>
      </w:r>
      <w:r>
        <w:rPr>
          <w:rFonts w:hint="eastAsia" w:ascii="宋体" w:hAnsi="宋体" w:eastAsia="宋体" w:cs="Times New Roman"/>
          <w:sz w:val="21"/>
          <w:szCs w:val="21"/>
        </w:rPr>
        <w:t>全额付款：</w:t>
      </w:r>
      <w:r>
        <w:rPr>
          <w:rFonts w:hint="eastAsia" w:ascii="宋体" w:hAnsi="宋体" w:eastAsia="宋体" w:cs="Times New Roman"/>
          <w:sz w:val="21"/>
          <w:szCs w:val="21"/>
          <w:u w:val="single"/>
        </w:rPr>
        <w:t xml:space="preserve">     （应</w:t>
      </w:r>
      <w:r>
        <w:rPr>
          <w:rFonts w:hint="eastAsia" w:ascii="宋体" w:hAnsi="宋体" w:eastAsia="宋体" w:cs="Times New Roman"/>
          <w:sz w:val="21"/>
          <w:szCs w:val="21"/>
          <w:u w:val="single"/>
          <w:lang w:eastAsia="zh-CN"/>
        </w:rPr>
        <w:t>明确</w:t>
      </w:r>
      <w:r>
        <w:rPr>
          <w:rFonts w:hint="eastAsia" w:ascii="宋体" w:hAnsi="宋体" w:eastAsia="宋体" w:cs="Times New Roman"/>
          <w:sz w:val="21"/>
          <w:szCs w:val="21"/>
          <w:u w:val="single"/>
        </w:rPr>
        <w:t>一次性支付合同款项</w:t>
      </w:r>
      <w:r>
        <w:rPr>
          <w:rFonts w:hint="eastAsia" w:ascii="宋体" w:hAnsi="宋体" w:eastAsia="宋体" w:cs="Times New Roman"/>
          <w:sz w:val="21"/>
          <w:szCs w:val="21"/>
          <w:u w:val="single"/>
          <w:lang w:eastAsia="zh-CN"/>
        </w:rPr>
        <w:t>的条件</w:t>
      </w:r>
      <w:r>
        <w:rPr>
          <w:rFonts w:hint="eastAsia" w:ascii="宋体" w:hAnsi="宋体" w:eastAsia="宋体" w:cs="Times New Roman"/>
          <w:sz w:val="21"/>
          <w:szCs w:val="21"/>
          <w:u w:val="single"/>
        </w:rPr>
        <w:t xml:space="preserve">）                    </w:t>
      </w:r>
    </w:p>
    <w:p w14:paraId="1B06E627">
      <w:pPr>
        <w:snapToGrid w:val="0"/>
        <w:spacing w:beforeLines="0" w:line="400" w:lineRule="exact"/>
        <w:ind w:left="0" w:leftChars="0" w:firstLine="630" w:firstLineChars="300"/>
        <w:rPr>
          <w:rFonts w:ascii="Times New Roman" w:hAnsi="Times New Roman" w:eastAsia="宋体" w:cs="Times New Roman"/>
          <w:sz w:val="21"/>
          <w:szCs w:val="24"/>
        </w:rPr>
      </w:pPr>
      <w:r>
        <w:rPr>
          <w:rFonts w:hint="eastAsia" w:ascii="宋体" w:hAnsi="宋体" w:eastAsia="宋体" w:cs="Times New Roman"/>
          <w:sz w:val="21"/>
          <w:szCs w:val="21"/>
        </w:rPr>
        <w:sym w:font="Wingdings" w:char="00A8"/>
      </w:r>
      <w:r>
        <w:rPr>
          <w:rFonts w:hint="eastAsia" w:ascii="宋体" w:hAnsi="宋体" w:eastAsia="宋体" w:cs="Times New Roman"/>
          <w:sz w:val="21"/>
          <w:szCs w:val="21"/>
        </w:rPr>
        <w:t>分期付款：</w:t>
      </w:r>
      <w:r>
        <w:rPr>
          <w:rFonts w:hint="eastAsia" w:ascii="宋体" w:hAnsi="宋体" w:eastAsia="宋体" w:cs="Times New Roman"/>
          <w:sz w:val="21"/>
          <w:szCs w:val="21"/>
          <w:u w:val="single"/>
        </w:rPr>
        <w:t xml:space="preserve">  （应明确分期支付合同款项的各期比例和支付条件</w:t>
      </w:r>
      <w:r>
        <w:rPr>
          <w:rFonts w:hint="eastAsia" w:ascii="宋体" w:hAnsi="宋体" w:eastAsia="宋体" w:cs="Times New Roman"/>
          <w:sz w:val="21"/>
          <w:szCs w:val="21"/>
          <w:u w:val="single"/>
          <w:lang w:eastAsia="zh-CN"/>
        </w:rPr>
        <w:t>，各期支付条件应与分期履约验收情况挂钩</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u w:val="none"/>
          <w:lang w:eastAsia="zh-CN"/>
        </w:rPr>
        <w:t>，</w:t>
      </w:r>
      <w:r>
        <w:rPr>
          <w:rFonts w:hint="eastAsia" w:ascii="宋体" w:hAnsi="宋体" w:eastAsia="宋体" w:cs="Times New Roman"/>
          <w:sz w:val="21"/>
          <w:szCs w:val="21"/>
          <w:lang w:eastAsia="zh-CN"/>
        </w:rPr>
        <w:t>其中涉及预付款的</w:t>
      </w:r>
      <w:r>
        <w:rPr>
          <w:rFonts w:hint="eastAsia" w:ascii="宋体" w:hAnsi="宋体" w:eastAsia="宋体" w:cs="Times New Roman"/>
          <w:sz w:val="21"/>
          <w:szCs w:val="21"/>
        </w:rPr>
        <w:t>：</w:t>
      </w:r>
      <w:r>
        <w:rPr>
          <w:rFonts w:hint="eastAsia" w:ascii="宋体" w:hAnsi="宋体" w:eastAsia="宋体" w:cs="Times New Roman"/>
          <w:sz w:val="21"/>
          <w:szCs w:val="21"/>
          <w:u w:val="single"/>
        </w:rPr>
        <w:t xml:space="preserve"> （应明确预付款的支付比例和支付条件） </w:t>
      </w:r>
    </w:p>
    <w:p w14:paraId="70A35B34">
      <w:pPr>
        <w:adjustRightInd w:val="0"/>
        <w:snapToGrid w:val="0"/>
        <w:spacing w:before="0" w:beforeLines="0" w:line="400" w:lineRule="exact"/>
        <w:ind w:left="0" w:leftChars="0" w:firstLine="630" w:firstLineChars="300"/>
        <w:rPr>
          <w:rFonts w:ascii="宋体" w:hAnsi="宋体" w:eastAsia="宋体" w:cs="Times New Roman"/>
          <w:sz w:val="21"/>
          <w:szCs w:val="21"/>
          <w:u w:val="single"/>
        </w:rPr>
      </w:pPr>
      <w:r>
        <w:rPr>
          <w:rFonts w:hint="eastAsia" w:ascii="宋体" w:hAnsi="宋体" w:eastAsia="宋体" w:cs="Times New Roman"/>
          <w:sz w:val="21"/>
          <w:szCs w:val="21"/>
        </w:rPr>
        <w:sym w:font="Wingdings" w:char="00A8"/>
      </w:r>
      <w:r>
        <w:rPr>
          <w:rFonts w:hint="eastAsia" w:ascii="宋体" w:hAnsi="宋体" w:eastAsia="宋体" w:cs="Times New Roman"/>
          <w:sz w:val="21"/>
          <w:szCs w:val="21"/>
        </w:rPr>
        <w:t>成本补偿：</w:t>
      </w:r>
      <w:r>
        <w:rPr>
          <w:rFonts w:hint="eastAsia" w:ascii="宋体" w:hAnsi="宋体" w:eastAsia="宋体" w:cs="Times New Roman"/>
          <w:sz w:val="21"/>
          <w:szCs w:val="21"/>
          <w:u w:val="single"/>
        </w:rPr>
        <w:t xml:space="preserve">      （应明确按照成本补偿方式的支付方式和支付条件）   </w:t>
      </w:r>
    </w:p>
    <w:p w14:paraId="67881955">
      <w:pPr>
        <w:adjustRightInd w:val="0"/>
        <w:snapToGrid w:val="0"/>
        <w:spacing w:before="0" w:beforeLines="0" w:line="400" w:lineRule="exact"/>
        <w:ind w:left="0" w:leftChars="0" w:firstLine="630" w:firstLineChars="300"/>
        <w:rPr>
          <w:rFonts w:ascii="宋体" w:hAnsi="宋体" w:eastAsia="宋体" w:cs="Times New Roman"/>
          <w:sz w:val="21"/>
          <w:szCs w:val="21"/>
        </w:rPr>
      </w:pPr>
      <w:r>
        <w:rPr>
          <w:rFonts w:hint="eastAsia" w:ascii="宋体" w:hAnsi="宋体" w:eastAsia="宋体" w:cs="Times New Roman"/>
          <w:sz w:val="21"/>
          <w:szCs w:val="21"/>
        </w:rPr>
        <w:sym w:font="Wingdings" w:char="00A8"/>
      </w:r>
      <w:r>
        <w:rPr>
          <w:rFonts w:hint="eastAsia" w:ascii="宋体" w:hAnsi="宋体" w:eastAsia="宋体" w:cs="Times New Roman"/>
          <w:sz w:val="21"/>
          <w:szCs w:val="21"/>
        </w:rPr>
        <w:t>绩效激励：</w:t>
      </w:r>
      <w:r>
        <w:rPr>
          <w:rFonts w:hint="eastAsia" w:ascii="宋体" w:hAnsi="宋体" w:eastAsia="宋体" w:cs="Times New Roman"/>
          <w:sz w:val="21"/>
          <w:szCs w:val="21"/>
          <w:u w:val="single"/>
        </w:rPr>
        <w:t xml:space="preserve">      （应明确按照绩效激励方式的支付方式和支付条件）   </w:t>
      </w:r>
    </w:p>
    <w:p w14:paraId="48C73984">
      <w:pPr>
        <w:numPr>
          <w:ilvl w:val="0"/>
          <w:numId w:val="2"/>
        </w:numPr>
        <w:adjustRightInd w:val="0"/>
        <w:snapToGrid w:val="0"/>
        <w:spacing w:before="0" w:beforeLines="0" w:line="400" w:lineRule="exact"/>
        <w:ind w:left="0" w:leftChars="0" w:firstLine="422" w:firstLineChars="200"/>
        <w:rPr>
          <w:rFonts w:ascii="宋体" w:hAnsi="宋体" w:eastAsia="宋体" w:cs="Times New Roman"/>
          <w:b/>
          <w:bCs w:val="0"/>
          <w:sz w:val="21"/>
          <w:szCs w:val="21"/>
          <w:u w:val="single"/>
        </w:rPr>
      </w:pPr>
      <w:r>
        <w:rPr>
          <w:rFonts w:hint="eastAsia" w:ascii="宋体" w:hAnsi="宋体" w:eastAsia="宋体" w:cs="Times New Roman"/>
          <w:b/>
          <w:bCs w:val="0"/>
          <w:sz w:val="21"/>
          <w:szCs w:val="21"/>
        </w:rPr>
        <w:t>合同履行</w:t>
      </w:r>
    </w:p>
    <w:p w14:paraId="50FF3898">
      <w:pPr>
        <w:adjustRightInd w:val="0"/>
        <w:snapToGrid w:val="0"/>
        <w:spacing w:before="0" w:beforeLines="0" w:line="4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（1）起始日期：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日，完成日期：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BA4FF66">
      <w:pPr>
        <w:adjustRightInd w:val="0"/>
        <w:snapToGrid w:val="0"/>
        <w:spacing w:before="0" w:beforeLines="0" w:line="400" w:lineRule="exact"/>
        <w:ind w:left="0" w:leftChars="0" w:firstLine="420" w:firstLineChars="200"/>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lang w:eastAsia="zh-CN"/>
        </w:rPr>
        <w:t>履约</w:t>
      </w:r>
      <w:r>
        <w:rPr>
          <w:rFonts w:hint="eastAsia" w:ascii="宋体" w:hAnsi="宋体" w:eastAsia="宋体" w:cs="宋体"/>
          <w:sz w:val="21"/>
          <w:szCs w:val="21"/>
        </w:rPr>
        <w:t>地点</w:t>
      </w:r>
      <w:r>
        <w:rPr>
          <w:rFonts w:hint="eastAsia" w:ascii="宋体" w:hAnsi="宋体" w:eastAsia="宋体" w:cs="宋体"/>
          <w:b w:val="0"/>
          <w:bCs/>
          <w:sz w:val="21"/>
          <w:szCs w:val="21"/>
        </w:rPr>
        <w:t>：</w:t>
      </w:r>
      <w:r>
        <w:rPr>
          <w:rFonts w:hint="eastAsia" w:ascii="宋体" w:hAnsi="宋体" w:eastAsia="宋体" w:cs="宋体"/>
          <w:sz w:val="21"/>
          <w:szCs w:val="21"/>
          <w:u w:val="single"/>
        </w:rPr>
        <w:t xml:space="preserve">                             </w:t>
      </w:r>
    </w:p>
    <w:p w14:paraId="0409F34F">
      <w:pPr>
        <w:adjustRightInd w:val="0"/>
        <w:snapToGrid w:val="0"/>
        <w:spacing w:before="0" w:beforeLines="0" w:line="400" w:lineRule="exact"/>
        <w:ind w:left="0" w:leftChars="0" w:firstLine="420" w:firstLineChars="200"/>
        <w:rPr>
          <w:rFonts w:hint="eastAsia" w:ascii="宋体" w:hAnsi="宋体" w:eastAsia="宋体" w:cs="宋体"/>
          <w:sz w:val="21"/>
          <w:szCs w:val="21"/>
          <w:lang w:eastAsia="zh-CN"/>
        </w:rPr>
      </w:pPr>
      <w:r>
        <w:rPr>
          <w:rFonts w:hint="eastAsia" w:ascii="宋体" w:hAnsi="宋体" w:eastAsia="宋体" w:cs="宋体"/>
          <w:bCs/>
          <w:sz w:val="21"/>
          <w:szCs w:val="21"/>
        </w:rPr>
        <w:t>（3）履约担保：</w:t>
      </w:r>
      <w:r>
        <w:rPr>
          <w:rFonts w:hint="eastAsia" w:ascii="宋体" w:hAnsi="宋体" w:eastAsia="宋体" w:cs="宋体"/>
          <w:sz w:val="21"/>
          <w:szCs w:val="24"/>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74D1D4E">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14:paraId="157A843D">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14:paraId="76701480">
      <w:pPr>
        <w:snapToGrid w:val="0"/>
        <w:spacing w:beforeLines="0" w:line="400" w:lineRule="exact"/>
        <w:ind w:left="0" w:leftChars="0" w:firstLine="420" w:firstLineChars="200"/>
        <w:rPr>
          <w:rFonts w:hint="eastAsia" w:ascii="宋体" w:hAnsi="宋体" w:eastAsia="宋体" w:cs="宋体"/>
          <w:sz w:val="21"/>
          <w:szCs w:val="24"/>
          <w:lang w:val="en-US" w:eastAsia="zh-CN"/>
        </w:rPr>
      </w:pPr>
      <w:r>
        <w:rPr>
          <w:rFonts w:hint="eastAsia" w:ascii="宋体" w:hAnsi="宋体" w:eastAsia="宋体" w:cs="宋体"/>
          <w:bCs/>
          <w:sz w:val="21"/>
          <w:szCs w:val="21"/>
          <w:u w:val="none"/>
          <w:lang w:val="en-US" w:eastAsia="zh-CN"/>
        </w:rPr>
        <w:t xml:space="preserve">    履约担保期限</w:t>
      </w:r>
      <w:r>
        <w:rPr>
          <w:rFonts w:hint="eastAsia" w:ascii="宋体" w:hAnsi="宋体" w:eastAsia="宋体" w:cs="宋体"/>
          <w:bCs/>
          <w:sz w:val="21"/>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1643B0D">
      <w:pPr>
        <w:adjustRightInd w:val="0"/>
        <w:snapToGrid w:val="0"/>
        <w:spacing w:before="0" w:beforeLines="0" w:line="40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（4）分期履行要求：</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1391F9B">
      <w:pPr>
        <w:adjustRightInd w:val="0"/>
        <w:snapToGrid w:val="0"/>
        <w:spacing w:before="0" w:beforeLines="0" w:line="400" w:lineRule="exact"/>
        <w:ind w:left="0" w:leftChars="0" w:firstLine="420" w:firstLineChars="200"/>
        <w:rPr>
          <w:rFonts w:hint="eastAsia" w:ascii="宋体" w:hAnsi="宋体" w:eastAsia="宋体" w:cs="宋体"/>
          <w:sz w:val="21"/>
          <w:szCs w:val="21"/>
          <w:u w:val="single"/>
        </w:rPr>
      </w:pPr>
      <w:r>
        <w:rPr>
          <w:rFonts w:hint="eastAsia" w:ascii="宋体" w:hAnsi="宋体" w:eastAsia="宋体" w:cs="宋体"/>
          <w:bCs/>
          <w:sz w:val="21"/>
          <w:szCs w:val="21"/>
        </w:rPr>
        <w:t>（5）</w:t>
      </w:r>
      <w:r>
        <w:rPr>
          <w:rFonts w:hint="eastAsia" w:ascii="宋体" w:hAnsi="宋体" w:eastAsia="宋体" w:cs="宋体"/>
          <w:bCs/>
          <w:sz w:val="21"/>
          <w:szCs w:val="21"/>
          <w:lang w:eastAsia="zh-CN"/>
        </w:rPr>
        <w:t>风险处置措施和替代方案</w:t>
      </w:r>
      <w:r>
        <w:rPr>
          <w:rFonts w:hint="eastAsia" w:ascii="宋体" w:hAnsi="宋体" w:eastAsia="宋体" w:cs="宋体"/>
          <w:bCs/>
          <w:sz w:val="21"/>
          <w:szCs w:val="21"/>
        </w:rPr>
        <w:t>：</w:t>
      </w:r>
      <w:r>
        <w:rPr>
          <w:rFonts w:hint="eastAsia" w:ascii="宋体" w:hAnsi="宋体" w:eastAsia="宋体" w:cs="宋体"/>
          <w:color w:val="0000FF"/>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p>
    <w:p w14:paraId="7AE48ACB">
      <w:pPr>
        <w:numPr>
          <w:ilvl w:val="0"/>
          <w:numId w:val="2"/>
        </w:numPr>
        <w:adjustRightInd w:val="0"/>
        <w:snapToGrid w:val="0"/>
        <w:spacing w:before="0" w:beforeLines="0" w:line="400" w:lineRule="exact"/>
        <w:ind w:left="0" w:leftChars="0" w:firstLine="422" w:firstLineChars="200"/>
        <w:rPr>
          <w:rFonts w:ascii="宋体" w:hAnsi="宋体" w:eastAsia="宋体" w:cs="Times New Roman"/>
          <w:b/>
          <w:sz w:val="21"/>
          <w:szCs w:val="21"/>
        </w:rPr>
      </w:pPr>
      <w:r>
        <w:rPr>
          <w:rFonts w:hint="eastAsia" w:ascii="宋体" w:hAnsi="宋体" w:eastAsia="宋体" w:cs="Times New Roman"/>
          <w:b/>
          <w:sz w:val="21"/>
          <w:szCs w:val="21"/>
        </w:rPr>
        <w:t>合同验收</w:t>
      </w:r>
    </w:p>
    <w:p w14:paraId="12547F23">
      <w:pPr>
        <w:numPr>
          <w:ilvl w:val="0"/>
          <w:numId w:val="4"/>
        </w:numPr>
        <w:adjustRightInd w:val="0"/>
        <w:snapToGrid w:val="0"/>
        <w:spacing w:before="0" w:beforeLines="0" w:line="400" w:lineRule="exact"/>
        <w:ind w:left="0" w:leftChars="0"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验收组织方式：</w:t>
      </w:r>
      <w:r>
        <w:rPr>
          <w:rFonts w:hint="eastAsia" w:ascii="宋体" w:hAnsi="宋体" w:eastAsia="宋体" w:cs="宋体"/>
          <w:sz w:val="21"/>
          <w:szCs w:val="21"/>
        </w:rPr>
        <w:sym w:font="Wingdings" w:char="00A8"/>
      </w:r>
      <w:r>
        <w:rPr>
          <w:rFonts w:hint="eastAsia" w:ascii="宋体" w:hAnsi="宋体" w:eastAsia="宋体" w:cs="Times New Roman"/>
          <w:bCs/>
          <w:sz w:val="21"/>
          <w:szCs w:val="21"/>
        </w:rPr>
        <w:t xml:space="preserve">自行组织 </w:t>
      </w:r>
      <w:r>
        <w:rPr>
          <w:rFonts w:hint="eastAsia" w:ascii="宋体" w:hAnsi="宋体" w:eastAsia="宋体" w:cs="宋体"/>
          <w:sz w:val="21"/>
          <w:szCs w:val="21"/>
        </w:rPr>
        <w:sym w:font="Wingdings" w:char="00A8"/>
      </w:r>
      <w:r>
        <w:rPr>
          <w:rFonts w:hint="eastAsia" w:ascii="宋体" w:hAnsi="宋体" w:eastAsia="宋体" w:cs="Times New Roman"/>
          <w:bCs/>
          <w:sz w:val="21"/>
          <w:szCs w:val="21"/>
        </w:rPr>
        <w:t>委托第三方组织</w:t>
      </w:r>
    </w:p>
    <w:p w14:paraId="119F7379">
      <w:pPr>
        <w:numPr>
          <w:ilvl w:val="0"/>
          <w:numId w:val="0"/>
        </w:numPr>
        <w:adjustRightInd w:val="0"/>
        <w:snapToGrid w:val="0"/>
        <w:spacing w:before="0" w:beforeLines="0" w:line="400" w:lineRule="exact"/>
        <w:ind w:left="0" w:leftChars="0"/>
        <w:rPr>
          <w:rFonts w:ascii="宋体" w:hAnsi="宋体" w:eastAsia="宋体" w:cs="Times New Roman"/>
          <w:bCs/>
          <w:sz w:val="21"/>
          <w:szCs w:val="21"/>
        </w:rPr>
      </w:pPr>
      <w:r>
        <w:rPr>
          <w:rFonts w:hint="eastAsia" w:ascii="宋体" w:hAnsi="宋体" w:eastAsia="宋体" w:cs="Times New Roman"/>
          <w:bCs/>
          <w:sz w:val="21"/>
          <w:szCs w:val="21"/>
          <w:lang w:val="en-US" w:eastAsia="zh-CN"/>
        </w:rPr>
        <w:t xml:space="preserve">         </w:t>
      </w:r>
      <w:r>
        <w:rPr>
          <w:rFonts w:hint="eastAsia" w:ascii="宋体" w:hAnsi="宋体" w:eastAsia="宋体" w:cs="Times New Roman"/>
          <w:bCs/>
          <w:sz w:val="21"/>
          <w:szCs w:val="21"/>
        </w:rPr>
        <w:t>验收主体：</w:t>
      </w:r>
      <w:r>
        <w:rPr>
          <w:rFonts w:hint="eastAsia" w:ascii="宋体" w:hAnsi="宋体" w:eastAsia="宋体" w:cs="Times New Roman"/>
          <w:bCs/>
          <w:sz w:val="21"/>
          <w:szCs w:val="21"/>
          <w:u w:val="single"/>
        </w:rPr>
        <w:t xml:space="preserve">                  </w:t>
      </w:r>
    </w:p>
    <w:p w14:paraId="2A50D48D">
      <w:pPr>
        <w:adjustRightInd w:val="0"/>
        <w:snapToGrid w:val="0"/>
        <w:spacing w:before="0" w:beforeLines="0" w:line="400" w:lineRule="exact"/>
        <w:ind w:left="0" w:leftChars="0" w:firstLine="0" w:firstLineChars="0"/>
        <w:rPr>
          <w:rFonts w:ascii="宋体" w:hAnsi="宋体" w:eastAsia="宋体" w:cs="Times New Roman"/>
          <w:bCs/>
          <w:sz w:val="21"/>
          <w:szCs w:val="21"/>
        </w:rPr>
      </w:pPr>
      <w:r>
        <w:rPr>
          <w:rFonts w:hint="eastAsia" w:ascii="宋体" w:hAnsi="宋体" w:eastAsia="宋体" w:cs="Times New Roman"/>
          <w:bCs/>
          <w:sz w:val="21"/>
          <w:szCs w:val="21"/>
          <w:lang w:val="en-US" w:eastAsia="zh-CN"/>
        </w:rPr>
        <w:t xml:space="preserve">        </w:t>
      </w:r>
      <w:r>
        <w:rPr>
          <w:rFonts w:hint="eastAsia" w:ascii="宋体" w:hAnsi="宋体" w:eastAsia="宋体" w:cs="Times New Roman"/>
          <w:bCs/>
          <w:sz w:val="21"/>
          <w:szCs w:val="21"/>
        </w:rPr>
        <w:t>是否邀请本项目的其他供应商</w:t>
      </w:r>
      <w:r>
        <w:rPr>
          <w:rFonts w:hint="eastAsia" w:ascii="宋体" w:hAnsi="宋体" w:eastAsia="宋体" w:cs="Times New Roman"/>
          <w:bCs/>
          <w:sz w:val="21"/>
          <w:szCs w:val="21"/>
          <w:lang w:eastAsia="zh-CN"/>
        </w:rPr>
        <w:t>参加验收</w:t>
      </w:r>
      <w:r>
        <w:rPr>
          <w:rFonts w:hint="eastAsia" w:ascii="宋体" w:hAnsi="宋体" w:eastAsia="宋体" w:cs="Times New Roman"/>
          <w:bCs/>
          <w:sz w:val="21"/>
          <w:szCs w:val="21"/>
        </w:rPr>
        <w:t>：</w:t>
      </w:r>
      <w:r>
        <w:rPr>
          <w:rFonts w:hint="eastAsia" w:ascii="宋体" w:hAnsi="宋体" w:eastAsia="宋体" w:cs="宋体"/>
          <w:sz w:val="21"/>
          <w:szCs w:val="21"/>
        </w:rPr>
        <w:sym w:font="Wingdings" w:char="00A8"/>
      </w:r>
      <w:r>
        <w:rPr>
          <w:rFonts w:hint="eastAsia" w:ascii="宋体" w:hAnsi="宋体" w:eastAsia="宋体" w:cs="Times New Roman"/>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 w:val="21"/>
          <w:szCs w:val="21"/>
        </w:rPr>
        <w:t>否</w:t>
      </w:r>
    </w:p>
    <w:p w14:paraId="30F2A3B1">
      <w:pPr>
        <w:adjustRightInd w:val="0"/>
        <w:snapToGrid w:val="0"/>
        <w:spacing w:before="0" w:beforeLines="0" w:line="400" w:lineRule="exact"/>
        <w:ind w:left="0" w:leftChars="0" w:firstLine="840" w:firstLineChars="400"/>
        <w:rPr>
          <w:rFonts w:ascii="宋体" w:hAnsi="宋体" w:eastAsia="宋体" w:cs="Times New Roman"/>
          <w:bCs/>
          <w:sz w:val="21"/>
          <w:szCs w:val="21"/>
        </w:rPr>
      </w:pPr>
      <w:r>
        <w:rPr>
          <w:rFonts w:hint="eastAsia" w:ascii="宋体" w:hAnsi="宋体" w:eastAsia="宋体" w:cs="Times New Roman"/>
          <w:bCs/>
          <w:sz w:val="21"/>
          <w:szCs w:val="21"/>
        </w:rPr>
        <w:t>是否邀请专家</w:t>
      </w:r>
      <w:r>
        <w:rPr>
          <w:rFonts w:hint="eastAsia" w:ascii="宋体" w:hAnsi="宋体" w:eastAsia="宋体" w:cs="Times New Roman"/>
          <w:bCs/>
          <w:sz w:val="21"/>
          <w:szCs w:val="21"/>
          <w:lang w:eastAsia="zh-CN"/>
        </w:rPr>
        <w:t>参加验收</w:t>
      </w:r>
      <w:r>
        <w:rPr>
          <w:rFonts w:hint="eastAsia" w:ascii="宋体" w:hAnsi="宋体" w:eastAsia="宋体" w:cs="Times New Roman"/>
          <w:bCs/>
          <w:sz w:val="21"/>
          <w:szCs w:val="21"/>
        </w:rPr>
        <w:t>：</w:t>
      </w:r>
      <w:r>
        <w:rPr>
          <w:rFonts w:hint="eastAsia" w:ascii="宋体" w:hAnsi="宋体" w:eastAsia="宋体" w:cs="宋体"/>
          <w:sz w:val="21"/>
          <w:szCs w:val="21"/>
        </w:rPr>
        <w:sym w:font="Wingdings" w:char="00A8"/>
      </w:r>
      <w:r>
        <w:rPr>
          <w:rFonts w:hint="eastAsia" w:ascii="宋体" w:hAnsi="宋体" w:eastAsia="宋体" w:cs="Times New Roman"/>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 w:val="21"/>
          <w:szCs w:val="21"/>
        </w:rPr>
        <w:t>否</w:t>
      </w:r>
    </w:p>
    <w:p w14:paraId="2009640A">
      <w:pPr>
        <w:adjustRightInd w:val="0"/>
        <w:snapToGrid w:val="0"/>
        <w:spacing w:before="0" w:beforeLines="0" w:line="400" w:lineRule="exact"/>
        <w:ind w:left="0" w:leftChars="0" w:firstLine="840" w:firstLineChars="400"/>
        <w:rPr>
          <w:rFonts w:ascii="宋体" w:hAnsi="宋体" w:eastAsia="宋体" w:cs="Times New Roman"/>
          <w:bCs/>
          <w:sz w:val="21"/>
          <w:szCs w:val="21"/>
        </w:rPr>
      </w:pPr>
      <w:r>
        <w:rPr>
          <w:rFonts w:hint="eastAsia" w:ascii="宋体" w:hAnsi="宋体" w:eastAsia="宋体" w:cs="Times New Roman"/>
          <w:bCs/>
          <w:sz w:val="21"/>
          <w:szCs w:val="21"/>
        </w:rPr>
        <w:t>是否邀请服务对象</w:t>
      </w:r>
      <w:r>
        <w:rPr>
          <w:rFonts w:hint="eastAsia" w:ascii="宋体" w:hAnsi="宋体" w:eastAsia="宋体" w:cs="Times New Roman"/>
          <w:bCs/>
          <w:sz w:val="21"/>
          <w:szCs w:val="21"/>
          <w:lang w:eastAsia="zh-CN"/>
        </w:rPr>
        <w:t>参加验收</w:t>
      </w:r>
      <w:r>
        <w:rPr>
          <w:rFonts w:hint="eastAsia" w:ascii="宋体" w:hAnsi="宋体" w:eastAsia="宋体" w:cs="Times New Roman"/>
          <w:bCs/>
          <w:sz w:val="21"/>
          <w:szCs w:val="21"/>
        </w:rPr>
        <w:t>：</w:t>
      </w:r>
      <w:r>
        <w:rPr>
          <w:rFonts w:hint="eastAsia" w:ascii="宋体" w:hAnsi="宋体" w:eastAsia="宋体" w:cs="宋体"/>
          <w:sz w:val="21"/>
          <w:szCs w:val="21"/>
        </w:rPr>
        <w:sym w:font="Wingdings" w:char="00A8"/>
      </w:r>
      <w:r>
        <w:rPr>
          <w:rFonts w:hint="eastAsia" w:ascii="宋体" w:hAnsi="宋体" w:eastAsia="宋体" w:cs="Times New Roman"/>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 w:val="21"/>
          <w:szCs w:val="21"/>
        </w:rPr>
        <w:t>否</w:t>
      </w:r>
    </w:p>
    <w:p w14:paraId="12462E89">
      <w:pPr>
        <w:adjustRightInd w:val="0"/>
        <w:snapToGrid w:val="0"/>
        <w:spacing w:before="0" w:beforeLines="0" w:line="400" w:lineRule="exact"/>
        <w:ind w:left="0" w:leftChars="0" w:firstLine="840" w:firstLineChars="400"/>
        <w:rPr>
          <w:rFonts w:ascii="宋体" w:hAnsi="宋体" w:eastAsia="宋体" w:cs="Times New Roman"/>
          <w:bCs/>
          <w:sz w:val="21"/>
          <w:szCs w:val="21"/>
        </w:rPr>
      </w:pPr>
      <w:r>
        <w:rPr>
          <w:rFonts w:hint="eastAsia" w:ascii="宋体" w:hAnsi="宋体" w:eastAsia="宋体" w:cs="Times New Roman"/>
          <w:bCs/>
          <w:sz w:val="21"/>
          <w:szCs w:val="21"/>
        </w:rPr>
        <w:t>是否邀请第三方检测机构</w:t>
      </w:r>
      <w:r>
        <w:rPr>
          <w:rFonts w:hint="eastAsia" w:ascii="宋体" w:hAnsi="宋体" w:eastAsia="宋体" w:cs="Times New Roman"/>
          <w:bCs/>
          <w:sz w:val="21"/>
          <w:szCs w:val="21"/>
          <w:lang w:eastAsia="zh-CN"/>
        </w:rPr>
        <w:t>参加验收</w:t>
      </w:r>
      <w:r>
        <w:rPr>
          <w:rFonts w:hint="eastAsia" w:ascii="宋体" w:hAnsi="宋体" w:eastAsia="宋体" w:cs="Times New Roman"/>
          <w:bCs/>
          <w:sz w:val="21"/>
          <w:szCs w:val="21"/>
        </w:rPr>
        <w:t>：</w:t>
      </w:r>
      <w:r>
        <w:rPr>
          <w:rFonts w:hint="eastAsia" w:ascii="宋体" w:hAnsi="宋体" w:eastAsia="宋体" w:cs="宋体"/>
          <w:sz w:val="21"/>
          <w:szCs w:val="21"/>
        </w:rPr>
        <w:sym w:font="Wingdings" w:char="00A8"/>
      </w:r>
      <w:r>
        <w:rPr>
          <w:rFonts w:hint="eastAsia" w:ascii="宋体" w:hAnsi="宋体" w:eastAsia="宋体" w:cs="Times New Roman"/>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 w:val="21"/>
          <w:szCs w:val="21"/>
        </w:rPr>
        <w:t>否</w:t>
      </w:r>
    </w:p>
    <w:p w14:paraId="6C240CF5">
      <w:pPr>
        <w:adjustRightInd w:val="0"/>
        <w:snapToGrid w:val="0"/>
        <w:spacing w:before="0" w:beforeLines="0" w:line="400" w:lineRule="exact"/>
        <w:ind w:left="0" w:leftChars="0" w:firstLine="840" w:firstLineChars="400"/>
        <w:rPr>
          <w:rFonts w:hint="eastAsia" w:ascii="宋体" w:hAnsi="宋体" w:eastAsia="宋体" w:cs="Times New Roman"/>
          <w:bCs/>
          <w:sz w:val="21"/>
          <w:szCs w:val="21"/>
        </w:rPr>
      </w:pPr>
      <w:r>
        <w:rPr>
          <w:rFonts w:hint="eastAsia" w:ascii="宋体" w:hAnsi="宋体" w:eastAsia="宋体" w:cs="Times New Roman"/>
          <w:bCs/>
          <w:sz w:val="21"/>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Times New Roman"/>
          <w:bCs/>
          <w:sz w:val="21"/>
          <w:szCs w:val="21"/>
        </w:rPr>
        <w:t>是</w:t>
      </w:r>
      <w:r>
        <w:rPr>
          <w:rFonts w:hint="eastAsia" w:ascii="宋体" w:hAnsi="宋体" w:eastAsia="宋体" w:cs="Times New Roman"/>
          <w:bCs/>
          <w:sz w:val="21"/>
          <w:szCs w:val="21"/>
          <w:lang w:eastAsia="zh-CN"/>
        </w:rPr>
        <w:t>，抽查比例：</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u w:val="single"/>
          <w:lang w:val="en-US" w:eastAsia="zh-CN"/>
        </w:rPr>
        <w:t xml:space="preserve">     </w:t>
      </w:r>
      <w:r>
        <w:rPr>
          <w:rFonts w:hint="eastAsia" w:ascii="宋体" w:hAnsi="宋体" w:eastAsia="宋体" w:cs="Times New Roman"/>
          <w:bCs/>
          <w:sz w:val="21"/>
          <w:szCs w:val="21"/>
        </w:rPr>
        <w:t xml:space="preserve"> </w:t>
      </w:r>
      <w:r>
        <w:rPr>
          <w:rFonts w:hint="eastAsia" w:ascii="宋体" w:hAnsi="宋体" w:eastAsia="宋体" w:cs="宋体"/>
          <w:sz w:val="21"/>
          <w:szCs w:val="21"/>
        </w:rPr>
        <w:sym w:font="Wingdings" w:char="00A8"/>
      </w:r>
      <w:r>
        <w:rPr>
          <w:rFonts w:hint="eastAsia" w:ascii="宋体" w:hAnsi="宋体" w:eastAsia="宋体" w:cs="Times New Roman"/>
          <w:bCs/>
          <w:sz w:val="21"/>
          <w:szCs w:val="21"/>
        </w:rPr>
        <w:t>否</w:t>
      </w:r>
    </w:p>
    <w:p w14:paraId="36806142">
      <w:pPr>
        <w:adjustRightInd w:val="0"/>
        <w:snapToGrid w:val="0"/>
        <w:spacing w:before="0" w:beforeLines="0" w:line="400" w:lineRule="exact"/>
        <w:ind w:left="0" w:leftChars="0" w:firstLine="840" w:firstLineChars="400"/>
        <w:rPr>
          <w:rFonts w:hint="eastAsia" w:ascii="宋体" w:hAnsi="宋体" w:eastAsia="宋体" w:cs="Times New Roman"/>
          <w:bCs/>
          <w:sz w:val="21"/>
          <w:szCs w:val="21"/>
          <w:u w:val="single"/>
          <w:lang w:eastAsia="zh-CN"/>
        </w:rPr>
      </w:pPr>
      <w:r>
        <w:rPr>
          <w:rFonts w:hint="eastAsia" w:ascii="宋体" w:hAnsi="宋体" w:eastAsia="宋体" w:cs="Times New Roman"/>
          <w:bCs/>
          <w:sz w:val="21"/>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Times New Roman"/>
          <w:bCs/>
          <w:sz w:val="21"/>
          <w:szCs w:val="21"/>
        </w:rPr>
        <w:t>是</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u w:val="single"/>
          <w:lang w:eastAsia="zh-CN"/>
        </w:rPr>
        <w:t>（应明确对被破坏的检测产品的处理方式）</w:t>
      </w:r>
    </w:p>
    <w:p w14:paraId="5BF8CF53">
      <w:pPr>
        <w:adjustRightInd w:val="0"/>
        <w:snapToGrid w:val="0"/>
        <w:spacing w:before="0" w:beforeLines="0" w:line="400" w:lineRule="exact"/>
        <w:ind w:left="0" w:leftChars="0" w:firstLine="840" w:firstLineChars="400"/>
        <w:rPr>
          <w:rFonts w:hint="eastAsia" w:ascii="宋体" w:hAnsi="宋体" w:eastAsia="宋体" w:cs="Times New Roman"/>
          <w:bCs/>
          <w:sz w:val="21"/>
          <w:szCs w:val="21"/>
          <w:lang w:eastAsia="zh-CN"/>
        </w:rPr>
      </w:pPr>
      <w:r>
        <w:rPr>
          <w:rFonts w:hint="eastAsia" w:ascii="宋体" w:hAnsi="宋体" w:eastAsia="宋体" w:cs="Times New Roman"/>
          <w:bCs/>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Times New Roman"/>
          <w:bCs/>
          <w:sz w:val="21"/>
          <w:szCs w:val="21"/>
        </w:rPr>
        <w:t>否</w:t>
      </w:r>
    </w:p>
    <w:p w14:paraId="5B045EE9">
      <w:pPr>
        <w:adjustRightInd w:val="0"/>
        <w:snapToGrid w:val="0"/>
        <w:spacing w:before="0" w:beforeLines="0" w:line="400" w:lineRule="exact"/>
        <w:ind w:left="0" w:leftChars="0" w:firstLine="840" w:firstLineChars="400"/>
        <w:rPr>
          <w:rFonts w:hint="eastAsia" w:ascii="宋体" w:hAnsi="宋体" w:eastAsia="宋体" w:cs="Times New Roman"/>
          <w:bCs/>
          <w:sz w:val="21"/>
          <w:szCs w:val="21"/>
          <w:u w:val="single"/>
        </w:rPr>
      </w:pPr>
      <w:r>
        <w:rPr>
          <w:rFonts w:hint="eastAsia" w:ascii="宋体" w:hAnsi="宋体" w:eastAsia="宋体" w:cs="Times New Roman"/>
          <w:bCs/>
          <w:sz w:val="21"/>
          <w:szCs w:val="21"/>
        </w:rPr>
        <w:t>验收组织的其他事项：</w:t>
      </w:r>
      <w:r>
        <w:rPr>
          <w:rFonts w:hint="eastAsia" w:ascii="宋体" w:hAnsi="宋体" w:eastAsia="宋体" w:cs="Times New Roman"/>
          <w:bCs/>
          <w:sz w:val="21"/>
          <w:szCs w:val="21"/>
          <w:u w:val="single"/>
        </w:rPr>
        <w:t xml:space="preserve">                </w:t>
      </w:r>
    </w:p>
    <w:p w14:paraId="549DD8B5">
      <w:pPr>
        <w:adjustRightInd w:val="0"/>
        <w:snapToGrid w:val="0"/>
        <w:spacing w:before="0" w:beforeLines="0" w:line="400" w:lineRule="exact"/>
        <w:ind w:left="0" w:leftChars="0" w:firstLine="420" w:firstLineChars="200"/>
        <w:rPr>
          <w:rFonts w:hint="eastAsia" w:ascii="宋体" w:hAnsi="宋体" w:eastAsia="宋体" w:cs="Times New Roman"/>
          <w:bCs/>
          <w:sz w:val="21"/>
          <w:szCs w:val="21"/>
          <w:u w:val="single"/>
        </w:rPr>
      </w:pPr>
      <w:r>
        <w:rPr>
          <w:rFonts w:hint="eastAsia" w:ascii="宋体" w:hAnsi="宋体" w:eastAsia="宋体" w:cs="Times New Roman"/>
          <w:bCs/>
          <w:sz w:val="21"/>
          <w:szCs w:val="21"/>
        </w:rPr>
        <w:t>（2）履约验收时间：</w:t>
      </w:r>
      <w:r>
        <w:rPr>
          <w:rFonts w:hint="eastAsia" w:ascii="宋体" w:hAnsi="宋体" w:eastAsia="宋体" w:cs="Times New Roman"/>
          <w:bCs/>
          <w:sz w:val="21"/>
          <w:szCs w:val="21"/>
          <w:u w:val="single"/>
        </w:rPr>
        <w:t>（计划于何时验收/供应商提出验收申请之日起   日内组织验收）</w:t>
      </w:r>
      <w:r>
        <w:rPr>
          <w:rFonts w:hint="eastAsia" w:ascii="宋体" w:hAnsi="宋体" w:eastAsia="宋体" w:cs="Times New Roman"/>
          <w:bCs/>
          <w:sz w:val="21"/>
          <w:szCs w:val="21"/>
          <w:u w:val="single"/>
          <w:lang w:val="en-US" w:eastAsia="zh-CN"/>
        </w:rPr>
        <w:t xml:space="preserve"> </w:t>
      </w:r>
    </w:p>
    <w:p w14:paraId="088A4F93">
      <w:pPr>
        <w:adjustRightInd w:val="0"/>
        <w:snapToGrid w:val="0"/>
        <w:spacing w:before="0" w:beforeLines="0" w:line="400" w:lineRule="exact"/>
        <w:ind w:left="0" w:leftChars="0"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（3）履约验收方式：</w:t>
      </w:r>
      <w:r>
        <w:rPr>
          <w:rFonts w:hint="eastAsia" w:ascii="宋体" w:hAnsi="宋体" w:eastAsia="宋体" w:cs="宋体"/>
          <w:sz w:val="21"/>
          <w:szCs w:val="21"/>
        </w:rPr>
        <w:sym w:font="Wingdings" w:char="00A8"/>
      </w:r>
      <w:r>
        <w:rPr>
          <w:rFonts w:hint="eastAsia" w:ascii="宋体" w:hAnsi="宋体" w:eastAsia="宋体" w:cs="Times New Roman"/>
          <w:bCs/>
          <w:sz w:val="21"/>
          <w:szCs w:val="21"/>
        </w:rPr>
        <w:t xml:space="preserve">一次性验收         </w:t>
      </w:r>
    </w:p>
    <w:p w14:paraId="536F7A0E">
      <w:pPr>
        <w:adjustRightInd w:val="0"/>
        <w:snapToGrid w:val="0"/>
        <w:spacing w:before="0" w:beforeLines="0" w:line="400" w:lineRule="exact"/>
        <w:ind w:left="0" w:leftChars="0" w:firstLine="0" w:firstLine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Times New Roman"/>
          <w:bCs/>
          <w:sz w:val="21"/>
          <w:szCs w:val="21"/>
        </w:rPr>
        <w:t>分期/分项验收</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u w:val="single"/>
          <w:lang w:eastAsia="zh-CN"/>
        </w:rPr>
        <w:t>（应明确分期</w:t>
      </w:r>
      <w:r>
        <w:rPr>
          <w:rFonts w:hint="default" w:ascii="宋体" w:hAnsi="宋体" w:eastAsia="宋体" w:cs="Times New Roman"/>
          <w:bCs/>
          <w:sz w:val="21"/>
          <w:szCs w:val="21"/>
          <w:u w:val="single"/>
          <w:lang w:val="en" w:eastAsia="zh-CN"/>
        </w:rPr>
        <w:t>/</w:t>
      </w:r>
      <w:r>
        <w:rPr>
          <w:rFonts w:hint="eastAsia" w:ascii="宋体" w:hAnsi="宋体" w:eastAsia="宋体" w:cs="Times New Roman"/>
          <w:bCs/>
          <w:sz w:val="21"/>
          <w:szCs w:val="21"/>
          <w:u w:val="single"/>
          <w:lang w:val="en" w:eastAsia="zh-CN"/>
        </w:rPr>
        <w:t>分项验收的工作安排</w:t>
      </w:r>
      <w:r>
        <w:rPr>
          <w:rFonts w:hint="eastAsia" w:ascii="宋体" w:hAnsi="宋体" w:eastAsia="宋体" w:cs="Times New Roman"/>
          <w:bCs/>
          <w:sz w:val="21"/>
          <w:szCs w:val="21"/>
          <w:u w:val="single"/>
          <w:lang w:eastAsia="zh-CN"/>
        </w:rPr>
        <w:t>）</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u w:val="single"/>
          <w:lang w:val="en-US" w:eastAsia="zh-CN"/>
        </w:rPr>
        <w:t xml:space="preserve"> </w:t>
      </w:r>
    </w:p>
    <w:p w14:paraId="0E2570E3">
      <w:pPr>
        <w:adjustRightInd w:val="0"/>
        <w:snapToGrid w:val="0"/>
        <w:spacing w:before="0" w:beforeLines="0" w:line="400" w:lineRule="exact"/>
        <w:ind w:left="0" w:leftChars="0" w:firstLine="420" w:firstLineChars="200"/>
        <w:rPr>
          <w:rFonts w:ascii="宋体" w:hAnsi="宋体" w:eastAsia="宋体" w:cs="Times New Roman"/>
          <w:bCs/>
          <w:sz w:val="21"/>
          <w:szCs w:val="21"/>
        </w:rPr>
      </w:pPr>
      <w:r>
        <w:rPr>
          <w:rFonts w:hint="eastAsia" w:ascii="宋体" w:hAnsi="宋体" w:eastAsia="宋体" w:cs="Times New Roman"/>
          <w:bCs/>
          <w:sz w:val="21"/>
          <w:szCs w:val="21"/>
        </w:rPr>
        <w:t>（4）履约验收程序：</w:t>
      </w:r>
      <w:r>
        <w:rPr>
          <w:rFonts w:hint="eastAsia" w:ascii="宋体" w:hAnsi="宋体" w:eastAsia="宋体" w:cs="Times New Roman"/>
          <w:bCs/>
          <w:sz w:val="21"/>
          <w:szCs w:val="21"/>
          <w:u w:val="single"/>
        </w:rPr>
        <w:t xml:space="preserve">                                         </w:t>
      </w:r>
    </w:p>
    <w:p w14:paraId="6A95C42D">
      <w:pPr>
        <w:adjustRightInd w:val="0"/>
        <w:snapToGrid w:val="0"/>
        <w:spacing w:before="0" w:beforeLines="0" w:line="400" w:lineRule="exact"/>
        <w:ind w:left="0" w:leftChars="0" w:firstLine="420" w:firstLineChars="200"/>
        <w:rPr>
          <w:rFonts w:ascii="宋体" w:hAnsi="宋体" w:eastAsia="宋体" w:cs="Times New Roman"/>
          <w:bCs/>
          <w:sz w:val="21"/>
          <w:szCs w:val="21"/>
          <w:u w:val="single"/>
        </w:rPr>
      </w:pPr>
      <w:r>
        <w:rPr>
          <w:rFonts w:hint="eastAsia" w:ascii="宋体" w:hAnsi="宋体" w:eastAsia="宋体" w:cs="Times New Roman"/>
          <w:bCs/>
          <w:sz w:val="21"/>
          <w:szCs w:val="21"/>
        </w:rPr>
        <w:t>（5）履约验收的内容：</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Times New Roman"/>
          <w:bCs/>
          <w:sz w:val="21"/>
          <w:szCs w:val="21"/>
          <w:u w:val="single"/>
        </w:rPr>
        <w:t xml:space="preserve">                                      </w:t>
      </w:r>
    </w:p>
    <w:p w14:paraId="773D5A86">
      <w:pPr>
        <w:adjustRightInd w:val="0"/>
        <w:snapToGrid w:val="0"/>
        <w:spacing w:before="0" w:beforeLines="0" w:line="400" w:lineRule="exact"/>
        <w:ind w:left="0" w:leftChars="0" w:firstLine="420" w:firstLineChars="200"/>
        <w:rPr>
          <w:rFonts w:hint="eastAsia" w:ascii="宋体" w:hAnsi="宋体" w:eastAsia="宋体" w:cs="Times New Roman"/>
          <w:bCs/>
          <w:sz w:val="21"/>
          <w:szCs w:val="21"/>
          <w:u w:val="single"/>
        </w:rPr>
      </w:pPr>
      <w:r>
        <w:rPr>
          <w:rFonts w:hint="eastAsia" w:ascii="宋体" w:hAnsi="宋体" w:eastAsia="宋体" w:cs="Times New Roman"/>
          <w:bCs/>
          <w:sz w:val="21"/>
          <w:szCs w:val="21"/>
        </w:rPr>
        <w:t>（6）履约验收标准：</w:t>
      </w:r>
      <w:r>
        <w:rPr>
          <w:rFonts w:hint="eastAsia" w:ascii="宋体" w:hAnsi="宋体" w:eastAsia="宋体" w:cs="Times New Roman"/>
          <w:bCs/>
          <w:sz w:val="21"/>
          <w:szCs w:val="21"/>
          <w:u w:val="single"/>
        </w:rPr>
        <w:t xml:space="preserve">                                         </w:t>
      </w:r>
    </w:p>
    <w:p w14:paraId="05E44364">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14:paraId="47543FBC">
      <w:pPr>
        <w:adjustRightInd w:val="0"/>
        <w:snapToGrid w:val="0"/>
        <w:spacing w:before="0" w:beforeLines="0" w:line="400" w:lineRule="exact"/>
        <w:ind w:left="0" w:leftChars="0"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（8）履约验收其他事项：</w:t>
      </w:r>
      <w:r>
        <w:rPr>
          <w:rFonts w:hint="eastAsia" w:ascii="宋体" w:hAnsi="宋体" w:eastAsia="宋体" w:cs="宋体"/>
          <w:bCs/>
          <w:sz w:val="21"/>
          <w:szCs w:val="21"/>
          <w:u w:val="single"/>
        </w:rPr>
        <w:t xml:space="preserve">      </w:t>
      </w:r>
      <w:r>
        <w:rPr>
          <w:rFonts w:hint="eastAsia" w:ascii="宋体" w:hAnsi="宋体" w:eastAsia="宋体" w:cs="宋体"/>
          <w:bCs/>
          <w:i w:val="0"/>
          <w:iCs w:val="0"/>
          <w:sz w:val="21"/>
          <w:szCs w:val="21"/>
          <w:u w:val="single"/>
        </w:rPr>
        <w:t>（产权过户登记等）</w:t>
      </w:r>
      <w:r>
        <w:rPr>
          <w:rFonts w:hint="eastAsia" w:ascii="宋体" w:hAnsi="宋体" w:eastAsia="宋体" w:cs="宋体"/>
          <w:bCs/>
          <w:sz w:val="21"/>
          <w:szCs w:val="21"/>
          <w:u w:val="single"/>
        </w:rPr>
        <w:t xml:space="preserve">          </w:t>
      </w:r>
    </w:p>
    <w:p w14:paraId="00C43339">
      <w:pPr>
        <w:numPr>
          <w:ilvl w:val="0"/>
          <w:numId w:val="2"/>
        </w:numPr>
        <w:adjustRightInd w:val="0"/>
        <w:snapToGrid w:val="0"/>
        <w:spacing w:before="0" w:beforeLines="0" w:line="400" w:lineRule="exact"/>
        <w:ind w:left="0" w:leftChars="0"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组成合同的文件</w:t>
      </w:r>
    </w:p>
    <w:p w14:paraId="000E5A63">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本协议书与下列文件一起构成合同文件，如下述文件之间有任何抵触、矛盾或歧义，应按以下顺序解释：</w:t>
      </w:r>
    </w:p>
    <w:p w14:paraId="6D92B788">
      <w:pPr>
        <w:adjustRightInd w:val="0"/>
        <w:snapToGrid w:val="0"/>
        <w:spacing w:before="0" w:beforeLines="0" w:line="400" w:lineRule="exact"/>
        <w:ind w:left="0" w:leftChars="0" w:firstLine="420" w:firstLineChars="200"/>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rPr>
        <w:t>（1）</w:t>
      </w:r>
      <w:r>
        <w:rPr>
          <w:rFonts w:hint="eastAsia" w:ascii="宋体" w:hAnsi="宋体" w:eastAsia="宋体" w:cs="Times New Roman"/>
          <w:color w:val="auto"/>
          <w:sz w:val="21"/>
          <w:szCs w:val="21"/>
          <w:lang w:eastAsia="zh-CN"/>
        </w:rPr>
        <w:t>政府采购</w:t>
      </w:r>
      <w:r>
        <w:rPr>
          <w:rFonts w:hint="eastAsia" w:ascii="宋体" w:hAnsi="宋体" w:eastAsia="宋体" w:cs="Times New Roman"/>
          <w:color w:val="auto"/>
          <w:sz w:val="21"/>
          <w:szCs w:val="21"/>
        </w:rPr>
        <w:t>合同协议书及其变更、补充</w:t>
      </w:r>
      <w:r>
        <w:rPr>
          <w:rFonts w:hint="eastAsia" w:ascii="宋体" w:hAnsi="宋体" w:eastAsia="宋体" w:cs="Times New Roman"/>
          <w:color w:val="auto"/>
          <w:sz w:val="21"/>
          <w:szCs w:val="21"/>
          <w:lang w:eastAsia="zh-CN"/>
        </w:rPr>
        <w:t>协议</w:t>
      </w:r>
    </w:p>
    <w:p w14:paraId="1A4AD171">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）政府采购合同专用条款</w:t>
      </w:r>
    </w:p>
    <w:p w14:paraId="1BC1D9D7">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）政府采购合同通用条款</w:t>
      </w:r>
    </w:p>
    <w:p w14:paraId="741B3F64">
      <w:pPr>
        <w:adjustRightInd w:val="0"/>
        <w:snapToGrid w:val="0"/>
        <w:spacing w:before="0" w:beforeLines="0" w:line="400" w:lineRule="exact"/>
        <w:ind w:left="0" w:leftChars="0"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w:t>
      </w:r>
      <w:r>
        <w:rPr>
          <w:rFonts w:hint="eastAsia" w:ascii="宋体" w:hAnsi="宋体" w:eastAsia="宋体" w:cs="Times New Roman"/>
          <w:color w:val="auto"/>
          <w:sz w:val="21"/>
          <w:szCs w:val="21"/>
          <w:lang w:val="en-US" w:eastAsia="zh-CN"/>
        </w:rPr>
        <w:t>4</w:t>
      </w:r>
      <w:r>
        <w:rPr>
          <w:rFonts w:hint="eastAsia" w:ascii="宋体" w:hAnsi="宋体" w:eastAsia="宋体" w:cs="Times New Roman"/>
          <w:color w:val="auto"/>
          <w:sz w:val="21"/>
          <w:szCs w:val="21"/>
        </w:rPr>
        <w:t>）中标</w:t>
      </w:r>
      <w:r>
        <w:rPr>
          <w:rFonts w:hint="eastAsia" w:ascii="宋体" w:hAnsi="宋体" w:eastAsia="宋体" w:cs="Times New Roman"/>
          <w:color w:val="auto"/>
          <w:sz w:val="21"/>
          <w:szCs w:val="21"/>
          <w:lang w:eastAsia="zh-CN"/>
        </w:rPr>
        <w:t>（成交）</w:t>
      </w:r>
      <w:r>
        <w:rPr>
          <w:rFonts w:hint="eastAsia" w:ascii="宋体" w:hAnsi="宋体" w:eastAsia="宋体" w:cs="Times New Roman"/>
          <w:color w:val="auto"/>
          <w:sz w:val="21"/>
          <w:szCs w:val="21"/>
        </w:rPr>
        <w:t>通知书</w:t>
      </w:r>
    </w:p>
    <w:p w14:paraId="73520446">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）投标（响应）文件</w:t>
      </w:r>
    </w:p>
    <w:p w14:paraId="6293D959">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（6）采购文件</w:t>
      </w:r>
    </w:p>
    <w:p w14:paraId="32DAEC27">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（7）有关技术文件，图纸</w:t>
      </w:r>
    </w:p>
    <w:p w14:paraId="2614DD46">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4F0C92C6">
      <w:pPr>
        <w:numPr>
          <w:ilvl w:val="0"/>
          <w:numId w:val="2"/>
        </w:numPr>
        <w:adjustRightInd w:val="0"/>
        <w:snapToGrid w:val="0"/>
        <w:spacing w:before="0" w:beforeLines="0" w:line="400" w:lineRule="exact"/>
        <w:ind w:left="0" w:leftChars="0"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合同生效</w:t>
      </w:r>
    </w:p>
    <w:p w14:paraId="306A11C0">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本合同自</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生效。</w:t>
      </w:r>
    </w:p>
    <w:p w14:paraId="0E891D4E">
      <w:pPr>
        <w:numPr>
          <w:ilvl w:val="0"/>
          <w:numId w:val="2"/>
        </w:numPr>
        <w:adjustRightInd w:val="0"/>
        <w:snapToGrid w:val="0"/>
        <w:spacing w:before="0" w:beforeLines="0" w:line="400" w:lineRule="exact"/>
        <w:ind w:left="0" w:leftChars="0"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合同份数</w:t>
      </w:r>
    </w:p>
    <w:p w14:paraId="05E51D1B">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本合同一式</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份，</w:t>
      </w:r>
      <w:r>
        <w:rPr>
          <w:rFonts w:hint="eastAsia" w:ascii="宋体" w:hAnsi="宋体" w:eastAsia="宋体" w:cs="Times New Roman"/>
          <w:sz w:val="21"/>
          <w:szCs w:val="21"/>
          <w:lang w:eastAsia="zh-CN"/>
        </w:rPr>
        <w:t>甲方</w:t>
      </w:r>
      <w:r>
        <w:rPr>
          <w:rFonts w:hint="eastAsia" w:ascii="宋体" w:hAnsi="宋体" w:eastAsia="宋体" w:cs="Times New Roman"/>
          <w:sz w:val="21"/>
          <w:szCs w:val="21"/>
        </w:rPr>
        <w:t>执</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份，</w:t>
      </w:r>
      <w:r>
        <w:rPr>
          <w:rFonts w:hint="eastAsia" w:ascii="宋体" w:hAnsi="宋体" w:eastAsia="宋体" w:cs="Times New Roman"/>
          <w:sz w:val="21"/>
          <w:szCs w:val="21"/>
          <w:lang w:eastAsia="zh-CN"/>
        </w:rPr>
        <w:t>乙方</w:t>
      </w:r>
      <w:r>
        <w:rPr>
          <w:rFonts w:hint="eastAsia" w:ascii="宋体" w:hAnsi="宋体" w:eastAsia="宋体" w:cs="Times New Roman"/>
          <w:sz w:val="21"/>
          <w:szCs w:val="21"/>
        </w:rPr>
        <w:t>执</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份，均具有同等法律效力。</w:t>
      </w:r>
    </w:p>
    <w:p w14:paraId="4C97D7FE">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合同订立时间：</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年</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月</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日</w:t>
      </w:r>
    </w:p>
    <w:p w14:paraId="71CA4ACE">
      <w:pPr>
        <w:adjustRightInd w:val="0"/>
        <w:snapToGrid w:val="0"/>
        <w:spacing w:before="0" w:beforeLines="0" w:line="400" w:lineRule="exact"/>
        <w:ind w:left="0" w:leftChars="0" w:firstLine="420" w:firstLineChars="200"/>
        <w:rPr>
          <w:rFonts w:ascii="宋体" w:hAnsi="宋体" w:eastAsia="宋体" w:cs="Times New Roman"/>
          <w:sz w:val="21"/>
          <w:szCs w:val="21"/>
        </w:rPr>
      </w:pPr>
      <w:r>
        <w:rPr>
          <w:rFonts w:hint="eastAsia" w:ascii="宋体" w:hAnsi="宋体" w:eastAsia="宋体" w:cs="Times New Roman"/>
          <w:sz w:val="21"/>
          <w:szCs w:val="21"/>
        </w:rPr>
        <w:t>合同订立地点：</w:t>
      </w:r>
      <w:r>
        <w:rPr>
          <w:rFonts w:hint="eastAsia" w:ascii="宋体" w:hAnsi="宋体" w:eastAsia="宋体" w:cs="Times New Roman"/>
          <w:sz w:val="21"/>
          <w:szCs w:val="21"/>
          <w:u w:val="single"/>
        </w:rPr>
        <w:t xml:space="preserve">                           </w:t>
      </w:r>
    </w:p>
    <w:p w14:paraId="3B628C66">
      <w:pPr>
        <w:adjustRightInd w:val="0"/>
        <w:snapToGrid w:val="0"/>
        <w:spacing w:before="0" w:beforeLines="0" w:line="400" w:lineRule="exact"/>
        <w:ind w:left="0" w:leftChars="0" w:firstLine="420" w:firstLineChars="200"/>
        <w:rPr>
          <w:rFonts w:hint="eastAsia" w:ascii="Times New Roman" w:hAnsi="Times New Roman" w:eastAsia="宋体" w:cs="Times New Roman"/>
          <w:kern w:val="2"/>
          <w:sz w:val="21"/>
          <w:szCs w:val="21"/>
          <w:lang w:val="en-US" w:eastAsia="zh-CN" w:bidi="ar-SA"/>
        </w:rPr>
      </w:pPr>
      <w:r>
        <w:rPr>
          <w:rFonts w:hint="eastAsia" w:ascii="宋体" w:hAnsi="宋体" w:eastAsia="宋体" w:cs="Times New Roman"/>
          <w:sz w:val="21"/>
          <w:szCs w:val="21"/>
        </w:rPr>
        <w:t>附件：具体标</w:t>
      </w:r>
      <w:r>
        <w:rPr>
          <w:rFonts w:hint="eastAsia" w:ascii="宋体" w:hAnsi="宋体" w:eastAsia="宋体" w:cs="Times New Roman"/>
          <w:sz w:val="21"/>
          <w:szCs w:val="21"/>
          <w:lang w:eastAsia="zh-CN"/>
        </w:rPr>
        <w:t>的及其</w:t>
      </w:r>
      <w:r>
        <w:rPr>
          <w:rFonts w:hint="eastAsia" w:ascii="宋体" w:hAnsi="宋体" w:eastAsia="宋体" w:cs="Times New Roman"/>
          <w:sz w:val="21"/>
          <w:szCs w:val="21"/>
          <w:highlight w:val="none"/>
          <w:u w:val="none"/>
          <w:lang w:val="en-US" w:eastAsia="zh-CN"/>
        </w:rPr>
        <w:t>技术要求和商务要求</w:t>
      </w:r>
      <w:r>
        <w:rPr>
          <w:rFonts w:hint="eastAsia" w:ascii="宋体" w:hAnsi="宋体" w:eastAsia="宋体" w:cs="Times New Roman"/>
          <w:sz w:val="21"/>
          <w:szCs w:val="21"/>
        </w:rPr>
        <w:t>、联合协议、分包</w:t>
      </w:r>
      <w:r>
        <w:rPr>
          <w:rFonts w:hint="eastAsia" w:ascii="宋体" w:hAnsi="宋体" w:eastAsia="宋体" w:cs="Times New Roman"/>
          <w:sz w:val="21"/>
          <w:szCs w:val="21"/>
          <w:lang w:eastAsia="zh-CN"/>
        </w:rPr>
        <w:t>意向</w:t>
      </w:r>
      <w:r>
        <w:rPr>
          <w:rFonts w:hint="eastAsia" w:ascii="宋体" w:hAnsi="宋体" w:eastAsia="宋体" w:cs="Times New Roman"/>
          <w:sz w:val="21"/>
          <w:szCs w:val="21"/>
        </w:rPr>
        <w:t>协议等。</w:t>
      </w:r>
      <w:r>
        <w:rPr>
          <w:rFonts w:hint="default" w:ascii="Arial" w:hAnsi="Arial" w:eastAsia="宋体" w:cs="Times New Roman"/>
          <w:b/>
          <w:bCs/>
          <w:kern w:val="2"/>
          <w:sz w:val="24"/>
          <w:szCs w:val="32"/>
          <w:lang w:val="en" w:eastAsia="zh-CN" w:bidi="ar-SA"/>
        </w:rPr>
        <w:t xml:space="preserve">   </w:t>
      </w:r>
      <w:r>
        <w:rPr>
          <w:rFonts w:hint="eastAsia" w:ascii="Times New Roman" w:hAnsi="Times New Roman" w:eastAsia="宋体" w:cs="Times New Roman"/>
          <w:sz w:val="21"/>
          <w:szCs w:val="24"/>
        </w:rPr>
        <w:br w:type="page"/>
      </w: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85"/>
        <w:gridCol w:w="2914"/>
        <w:gridCol w:w="2390"/>
        <w:gridCol w:w="2557"/>
      </w:tblGrid>
      <w:tr w14:paraId="4B59F9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7E017A2B">
            <w:pPr>
              <w:adjustRightInd w:val="0"/>
              <w:snapToGrid w:val="0"/>
              <w:spacing w:line="300" w:lineRule="exact"/>
              <w:ind w:left="0" w:leftChars="0"/>
              <w:jc w:val="center"/>
              <w:rPr>
                <w:rFonts w:ascii="Times New Roman" w:hAnsi="Times New Roman" w:eastAsia="宋体" w:cs="Times New Roman"/>
                <w:sz w:val="21"/>
                <w:szCs w:val="24"/>
              </w:rPr>
            </w:pPr>
            <w:r>
              <w:rPr>
                <w:rFonts w:ascii="Times New Roman" w:hAnsi="Times New Roman" w:eastAsia="宋体" w:cs="Times New Roman"/>
                <w:sz w:val="21"/>
                <w:szCs w:val="21"/>
              </w:rPr>
              <w:t>甲方</w:t>
            </w:r>
            <w:r>
              <w:rPr>
                <w:rFonts w:hint="eastAsia" w:ascii="Times New Roman" w:hAnsi="Times New Roman" w:eastAsia="宋体" w:cs="Times New Roman"/>
                <w:sz w:val="21"/>
                <w:szCs w:val="21"/>
              </w:rPr>
              <w:t>（采购人</w:t>
            </w:r>
            <w:r>
              <w:rPr>
                <w:rFonts w:hint="eastAsia" w:ascii="宋体" w:hAnsi="宋体" w:eastAsia="宋体" w:cs="Times New Roman"/>
                <w:sz w:val="21"/>
                <w:szCs w:val="21"/>
                <w:lang w:eastAsia="zh-CN"/>
              </w:rPr>
              <w:t>、受采购人委托签订合同的单位</w:t>
            </w:r>
            <w:r>
              <w:rPr>
                <w:rFonts w:hint="eastAsia" w:ascii="宋体" w:hAnsi="宋体" w:eastAsia="宋体" w:cs="Times New Roman"/>
                <w:sz w:val="21"/>
                <w:szCs w:val="21"/>
              </w:rPr>
              <w:t>或</w:t>
            </w:r>
            <w:r>
              <w:rPr>
                <w:rFonts w:hint="eastAsia" w:ascii="Times New Roman" w:hAnsi="Times New Roman" w:eastAsia="宋体" w:cs="Times New Roman"/>
                <w:sz w:val="21"/>
                <w:szCs w:val="21"/>
              </w:rPr>
              <w:t>采购文件约定的合同甲方）</w:t>
            </w:r>
          </w:p>
        </w:tc>
        <w:tc>
          <w:tcPr>
            <w:tcW w:w="2437" w:type="pct"/>
            <w:gridSpan w:val="2"/>
            <w:tcBorders>
              <w:left w:val="single" w:color="auto" w:sz="2" w:space="0"/>
              <w:bottom w:val="single" w:color="auto" w:sz="2" w:space="0"/>
            </w:tcBorders>
            <w:noWrap w:val="0"/>
            <w:vAlign w:val="center"/>
          </w:tcPr>
          <w:p w14:paraId="1A52121C">
            <w:pPr>
              <w:adjustRightInd w:val="0"/>
              <w:snapToGrid w:val="0"/>
              <w:spacing w:line="300" w:lineRule="exact"/>
              <w:ind w:left="0" w:leftChars="0"/>
              <w:jc w:val="center"/>
              <w:rPr>
                <w:rFonts w:ascii="Times New Roman" w:hAnsi="Times New Roman" w:eastAsia="宋体" w:cs="Times New Roman"/>
                <w:sz w:val="21"/>
                <w:szCs w:val="24"/>
              </w:rPr>
            </w:pPr>
            <w:r>
              <w:rPr>
                <w:rFonts w:ascii="Times New Roman" w:hAnsi="Times New Roman" w:eastAsia="宋体" w:cs="Times New Roman"/>
                <w:sz w:val="21"/>
                <w:szCs w:val="21"/>
              </w:rPr>
              <w:t>乙方</w:t>
            </w:r>
            <w:r>
              <w:rPr>
                <w:rFonts w:hint="eastAsia" w:ascii="Times New Roman" w:hAnsi="Times New Roman" w:eastAsia="宋体" w:cs="Times New Roman"/>
                <w:sz w:val="21"/>
                <w:szCs w:val="21"/>
              </w:rPr>
              <w:t>（供应商）</w:t>
            </w:r>
          </w:p>
        </w:tc>
      </w:tr>
      <w:tr w14:paraId="6F4168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114A21D5">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单位名称</w:t>
            </w:r>
            <w:r>
              <w:rPr>
                <w:rFonts w:hint="eastAsia" w:ascii="Times New Roman" w:hAnsi="Times New Roman" w:eastAsia="宋体" w:cs="Times New Roman"/>
                <w:sz w:val="21"/>
                <w:szCs w:val="21"/>
              </w:rPr>
              <w:t>（公章</w:t>
            </w:r>
            <w:r>
              <w:rPr>
                <w:rFonts w:hint="eastAsia" w:ascii="Times New Roman" w:hAnsi="Times New Roman" w:eastAsia="宋体" w:cs="Times New Roman"/>
                <w:sz w:val="21"/>
                <w:szCs w:val="21"/>
                <w:lang w:eastAsia="zh-CN"/>
              </w:rPr>
              <w:t>或合同章</w:t>
            </w:r>
            <w:r>
              <w:rPr>
                <w:rFonts w:hint="eastAsia" w:ascii="Times New Roman" w:hAnsi="Times New Roman" w:eastAsia="宋体" w:cs="Times New Roman"/>
                <w:sz w:val="21"/>
                <w:szCs w:val="21"/>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7D0FC2F">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D3F7291">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单位名称</w:t>
            </w:r>
            <w:r>
              <w:rPr>
                <w:rFonts w:hint="eastAsia" w:ascii="Times New Roman" w:hAnsi="Times New Roman" w:eastAsia="宋体" w:cs="Times New Roman"/>
                <w:sz w:val="21"/>
                <w:szCs w:val="21"/>
              </w:rPr>
              <w:t>（公章</w:t>
            </w:r>
            <w:r>
              <w:rPr>
                <w:rFonts w:hint="eastAsia" w:ascii="Times New Roman" w:hAnsi="Times New Roman" w:eastAsia="宋体" w:cs="Times New Roman"/>
                <w:sz w:val="21"/>
                <w:szCs w:val="21"/>
                <w:lang w:eastAsia="zh-CN"/>
              </w:rPr>
              <w:t>或合同章</w:t>
            </w:r>
            <w:r>
              <w:rPr>
                <w:rFonts w:hint="eastAsia" w:ascii="Times New Roman" w:hAnsi="Times New Roman" w:eastAsia="宋体" w:cs="Times New Roman"/>
                <w:sz w:val="21"/>
                <w:szCs w:val="21"/>
              </w:rPr>
              <w:t>）</w:t>
            </w:r>
          </w:p>
        </w:tc>
        <w:tc>
          <w:tcPr>
            <w:tcW w:w="1259" w:type="pct"/>
            <w:tcBorders>
              <w:top w:val="single" w:color="auto" w:sz="2" w:space="0"/>
              <w:left w:val="single" w:color="auto" w:sz="2" w:space="0"/>
              <w:bottom w:val="single" w:color="auto" w:sz="2" w:space="0"/>
            </w:tcBorders>
            <w:noWrap w:val="0"/>
            <w:vAlign w:val="center"/>
          </w:tcPr>
          <w:p w14:paraId="03777943">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41679E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3525455C">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法定代表人</w:t>
            </w:r>
          </w:p>
          <w:p w14:paraId="25E01DF0">
            <w:pPr>
              <w:adjustRightInd w:val="0"/>
              <w:snapToGrid w:val="0"/>
              <w:spacing w:line="300" w:lineRule="exact"/>
              <w:ind w:left="0" w:leftChars="0" w:firstLine="100" w:firstLineChars="48"/>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或其</w:t>
            </w:r>
            <w:r>
              <w:rPr>
                <w:rFonts w:ascii="Times New Roman" w:hAnsi="Times New Roman" w:eastAsia="宋体" w:cs="Times New Roman"/>
                <w:sz w:val="21"/>
                <w:szCs w:val="21"/>
              </w:rPr>
              <w:t>委托代理人</w:t>
            </w:r>
            <w:r>
              <w:rPr>
                <w:rFonts w:hint="eastAsia" w:ascii="Times New Roman" w:hAnsi="Times New Roman" w:eastAsia="宋体" w:cs="Times New Roman"/>
                <w:sz w:val="21"/>
                <w:szCs w:val="21"/>
              </w:rPr>
              <w:t>（签章）</w:t>
            </w:r>
          </w:p>
        </w:tc>
        <w:tc>
          <w:tcPr>
            <w:tcW w:w="1436" w:type="pct"/>
            <w:vMerge w:val="restart"/>
            <w:tcBorders>
              <w:top w:val="single" w:color="auto" w:sz="2" w:space="0"/>
              <w:left w:val="single" w:color="auto" w:sz="2" w:space="0"/>
              <w:right w:val="single" w:color="auto" w:sz="2" w:space="0"/>
            </w:tcBorders>
            <w:noWrap w:val="0"/>
            <w:vAlign w:val="center"/>
          </w:tcPr>
          <w:p w14:paraId="728B1CFD">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right w:val="single" w:color="auto" w:sz="2" w:space="0"/>
            </w:tcBorders>
            <w:noWrap w:val="0"/>
            <w:vAlign w:val="center"/>
          </w:tcPr>
          <w:p w14:paraId="12E333C4">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法定代表人</w:t>
            </w:r>
          </w:p>
          <w:p w14:paraId="0EF17432">
            <w:pPr>
              <w:adjustRightInd w:val="0"/>
              <w:snapToGrid w:val="0"/>
              <w:spacing w:line="300" w:lineRule="exact"/>
              <w:ind w:left="0" w:left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或其</w:t>
            </w:r>
            <w:r>
              <w:rPr>
                <w:rFonts w:ascii="Times New Roman" w:hAnsi="Times New Roman" w:eastAsia="宋体" w:cs="Times New Roman"/>
                <w:sz w:val="21"/>
                <w:szCs w:val="21"/>
              </w:rPr>
              <w:t>委托代理人</w:t>
            </w:r>
            <w:r>
              <w:rPr>
                <w:rFonts w:hint="eastAsia" w:ascii="Times New Roman" w:hAnsi="Times New Roman" w:eastAsia="宋体" w:cs="Times New Roman"/>
                <w:sz w:val="21"/>
                <w:szCs w:val="21"/>
              </w:rPr>
              <w:t>（签章）</w:t>
            </w:r>
          </w:p>
        </w:tc>
        <w:tc>
          <w:tcPr>
            <w:tcW w:w="1259" w:type="pct"/>
            <w:tcBorders>
              <w:top w:val="single" w:color="auto" w:sz="2" w:space="0"/>
              <w:left w:val="single" w:color="auto" w:sz="2" w:space="0"/>
              <w:bottom w:val="single" w:color="auto" w:sz="2" w:space="0"/>
            </w:tcBorders>
            <w:noWrap w:val="0"/>
            <w:vAlign w:val="center"/>
          </w:tcPr>
          <w:p w14:paraId="00503B1B">
            <w:pPr>
              <w:adjustRightInd w:val="0"/>
              <w:snapToGrid w:val="0"/>
              <w:spacing w:line="300" w:lineRule="exact"/>
              <w:ind w:left="0" w:leftChars="0"/>
              <w:jc w:val="center"/>
              <w:rPr>
                <w:rFonts w:ascii="Times New Roman" w:hAnsi="Times New Roman" w:eastAsia="宋体" w:cs="Times New Roman"/>
                <w:sz w:val="21"/>
                <w:szCs w:val="21"/>
              </w:rPr>
            </w:pPr>
          </w:p>
        </w:tc>
      </w:tr>
      <w:tr w14:paraId="5E7AD2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08C215C9">
            <w:pPr>
              <w:adjustRightInd w:val="0"/>
              <w:snapToGrid w:val="0"/>
              <w:spacing w:line="300" w:lineRule="exact"/>
              <w:ind w:left="0" w:leftChars="0"/>
              <w:jc w:val="center"/>
              <w:rPr>
                <w:rFonts w:ascii="Times New Roman" w:hAnsi="Times New Roman" w:eastAsia="宋体" w:cs="Times New Roman"/>
                <w:sz w:val="21"/>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411E5412">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5BB60BC">
            <w:pPr>
              <w:adjustRightInd w:val="0"/>
              <w:snapToGrid w:val="0"/>
              <w:spacing w:line="300" w:lineRule="exact"/>
              <w:ind w:left="0" w:left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64CED793">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7C5EDF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1CD40B1">
            <w:pPr>
              <w:adjustRightInd w:val="0"/>
              <w:snapToGrid w:val="0"/>
              <w:spacing w:line="300" w:lineRule="exact"/>
              <w:ind w:left="0" w:left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住</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70C5CCC">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FABA935">
            <w:pPr>
              <w:adjustRightInd w:val="0"/>
              <w:snapToGrid w:val="0"/>
              <w:spacing w:line="300" w:lineRule="exact"/>
              <w:ind w:left="0" w:left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住</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所</w:t>
            </w:r>
          </w:p>
        </w:tc>
        <w:tc>
          <w:tcPr>
            <w:tcW w:w="1259" w:type="pct"/>
            <w:tcBorders>
              <w:top w:val="single" w:color="auto" w:sz="2" w:space="0"/>
              <w:left w:val="single" w:color="auto" w:sz="2" w:space="0"/>
              <w:bottom w:val="single" w:color="auto" w:sz="2" w:space="0"/>
            </w:tcBorders>
            <w:noWrap w:val="0"/>
            <w:vAlign w:val="center"/>
          </w:tcPr>
          <w:p w14:paraId="10CFF844">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027F3C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2A7DCC9">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11CB1FF">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D39408F">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联 系 人</w:t>
            </w:r>
          </w:p>
        </w:tc>
        <w:tc>
          <w:tcPr>
            <w:tcW w:w="1259" w:type="pct"/>
            <w:tcBorders>
              <w:top w:val="single" w:color="auto" w:sz="2" w:space="0"/>
              <w:left w:val="single" w:color="auto" w:sz="2" w:space="0"/>
              <w:bottom w:val="single" w:color="auto" w:sz="2" w:space="0"/>
            </w:tcBorders>
            <w:noWrap w:val="0"/>
            <w:vAlign w:val="center"/>
          </w:tcPr>
          <w:p w14:paraId="62AADD1A">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388E1D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4D0A33D">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AA605EE">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BF3E803">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联系电话</w:t>
            </w:r>
          </w:p>
        </w:tc>
        <w:tc>
          <w:tcPr>
            <w:tcW w:w="1259" w:type="pct"/>
            <w:tcBorders>
              <w:top w:val="single" w:color="auto" w:sz="2" w:space="0"/>
              <w:left w:val="single" w:color="auto" w:sz="2" w:space="0"/>
              <w:bottom w:val="single" w:color="auto" w:sz="2" w:space="0"/>
            </w:tcBorders>
            <w:noWrap w:val="0"/>
            <w:vAlign w:val="center"/>
          </w:tcPr>
          <w:p w14:paraId="70F6FB07">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4FB517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EE78F17">
            <w:pPr>
              <w:adjustRightInd w:val="0"/>
              <w:snapToGrid w:val="0"/>
              <w:spacing w:line="300" w:lineRule="exact"/>
              <w:ind w:left="0" w:left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D7DDC38">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EE4023B">
            <w:pPr>
              <w:adjustRightInd w:val="0"/>
              <w:snapToGrid w:val="0"/>
              <w:spacing w:line="300" w:lineRule="exact"/>
              <w:ind w:left="0" w:left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6B7659EC">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581672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864FDDD">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86EC6E1">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ECB7643">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邮政编码</w:t>
            </w:r>
          </w:p>
        </w:tc>
        <w:tc>
          <w:tcPr>
            <w:tcW w:w="1259" w:type="pct"/>
            <w:tcBorders>
              <w:top w:val="single" w:color="auto" w:sz="2" w:space="0"/>
              <w:left w:val="single" w:color="auto" w:sz="2" w:space="0"/>
              <w:bottom w:val="single" w:color="auto" w:sz="2" w:space="0"/>
            </w:tcBorders>
            <w:noWrap w:val="0"/>
            <w:vAlign w:val="center"/>
          </w:tcPr>
          <w:p w14:paraId="40760E18">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796043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CDEC5DD">
            <w:pPr>
              <w:adjustRightInd w:val="0"/>
              <w:snapToGrid w:val="0"/>
              <w:spacing w:line="300" w:lineRule="exact"/>
              <w:ind w:left="0" w:left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F26FF17">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5FCA2A7">
            <w:pPr>
              <w:adjustRightInd w:val="0"/>
              <w:snapToGrid w:val="0"/>
              <w:spacing w:line="300" w:lineRule="exact"/>
              <w:ind w:left="0" w:left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电子邮箱</w:t>
            </w:r>
          </w:p>
        </w:tc>
        <w:tc>
          <w:tcPr>
            <w:tcW w:w="1259" w:type="pct"/>
            <w:tcBorders>
              <w:top w:val="single" w:color="auto" w:sz="2" w:space="0"/>
              <w:left w:val="single" w:color="auto" w:sz="2" w:space="0"/>
              <w:bottom w:val="single" w:color="auto" w:sz="2" w:space="0"/>
            </w:tcBorders>
            <w:noWrap w:val="0"/>
            <w:vAlign w:val="center"/>
          </w:tcPr>
          <w:p w14:paraId="0D9DDD80">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0E4AF7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59A06D7">
            <w:pPr>
              <w:adjustRightInd w:val="0"/>
              <w:snapToGrid w:val="0"/>
              <w:spacing w:line="300" w:lineRule="exact"/>
              <w:ind w:left="0" w:left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EE9C336">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3A5098D">
            <w:pPr>
              <w:adjustRightInd w:val="0"/>
              <w:snapToGrid w:val="0"/>
              <w:spacing w:line="300" w:lineRule="exact"/>
              <w:ind w:left="0" w:left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2160C052">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4BFD00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FE81EA0">
            <w:pPr>
              <w:adjustRightInd w:val="0"/>
              <w:snapToGrid w:val="0"/>
              <w:spacing w:line="300" w:lineRule="exact"/>
              <w:ind w:left="0" w:leftChars="0"/>
              <w:jc w:val="center"/>
              <w:rPr>
                <w:rFonts w:ascii="Times New Roman" w:hAnsi="Times New Roman" w:eastAsia="宋体" w:cs="Times New Roman"/>
                <w:sz w:val="21"/>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E432022">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4CF029A">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开户名称</w:t>
            </w:r>
          </w:p>
        </w:tc>
        <w:tc>
          <w:tcPr>
            <w:tcW w:w="1259" w:type="pct"/>
            <w:tcBorders>
              <w:top w:val="single" w:color="auto" w:sz="2" w:space="0"/>
              <w:left w:val="single" w:color="auto" w:sz="2" w:space="0"/>
              <w:bottom w:val="single" w:color="auto" w:sz="2" w:space="0"/>
            </w:tcBorders>
            <w:noWrap w:val="0"/>
            <w:vAlign w:val="center"/>
          </w:tcPr>
          <w:p w14:paraId="2E09ACF5">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689F62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E81F737">
            <w:pPr>
              <w:adjustRightInd w:val="0"/>
              <w:snapToGrid w:val="0"/>
              <w:spacing w:line="300" w:lineRule="exact"/>
              <w:ind w:left="0" w:leftChars="0"/>
              <w:jc w:val="center"/>
              <w:rPr>
                <w:rFonts w:ascii="Times New Roman" w:hAnsi="Times New Roman" w:eastAsia="宋体" w:cs="Times New Roman"/>
                <w:sz w:val="21"/>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ABF67D4">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E77CD26">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开户银行</w:t>
            </w:r>
          </w:p>
        </w:tc>
        <w:tc>
          <w:tcPr>
            <w:tcW w:w="1259" w:type="pct"/>
            <w:tcBorders>
              <w:top w:val="single" w:color="auto" w:sz="2" w:space="0"/>
              <w:left w:val="single" w:color="auto" w:sz="2" w:space="0"/>
              <w:bottom w:val="single" w:color="auto" w:sz="2" w:space="0"/>
            </w:tcBorders>
            <w:noWrap w:val="0"/>
            <w:vAlign w:val="center"/>
          </w:tcPr>
          <w:p w14:paraId="45543F03">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63BACA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B73E4FD">
            <w:pPr>
              <w:adjustRightInd w:val="0"/>
              <w:snapToGrid w:val="0"/>
              <w:spacing w:line="300" w:lineRule="exact"/>
              <w:ind w:left="0" w:leftChars="0"/>
              <w:jc w:val="center"/>
              <w:rPr>
                <w:rFonts w:ascii="Times New Roman" w:hAnsi="Times New Roman" w:eastAsia="宋体" w:cs="Times New Roman"/>
                <w:sz w:val="21"/>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270A2E5">
            <w:pPr>
              <w:adjustRightInd w:val="0"/>
              <w:snapToGrid w:val="0"/>
              <w:spacing w:line="300" w:lineRule="exact"/>
              <w:ind w:left="0" w:leftChars="0"/>
              <w:jc w:val="center"/>
              <w:rPr>
                <w:rFonts w:ascii="Times New Roman" w:hAnsi="Times New Roman" w:eastAsia="宋体" w:cs="Times New Roman"/>
                <w:sz w:val="21"/>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E26D76D">
            <w:pPr>
              <w:adjustRightInd w:val="0"/>
              <w:snapToGrid w:val="0"/>
              <w:spacing w:line="300" w:lineRule="exact"/>
              <w:ind w:left="0" w:leftChars="0"/>
              <w:jc w:val="center"/>
              <w:rPr>
                <w:rFonts w:ascii="Times New Roman" w:hAnsi="Times New Roman" w:eastAsia="宋体" w:cs="Times New Roman"/>
                <w:sz w:val="21"/>
                <w:szCs w:val="21"/>
              </w:rPr>
            </w:pPr>
            <w:r>
              <w:rPr>
                <w:rFonts w:ascii="Times New Roman" w:hAnsi="Times New Roman" w:eastAsia="宋体" w:cs="Times New Roman"/>
                <w:sz w:val="21"/>
                <w:szCs w:val="21"/>
              </w:rPr>
              <w:t>银行账号</w:t>
            </w:r>
          </w:p>
        </w:tc>
        <w:tc>
          <w:tcPr>
            <w:tcW w:w="1259" w:type="pct"/>
            <w:tcBorders>
              <w:top w:val="single" w:color="auto" w:sz="2" w:space="0"/>
              <w:left w:val="single" w:color="auto" w:sz="2" w:space="0"/>
              <w:bottom w:val="single" w:color="auto" w:sz="2" w:space="0"/>
            </w:tcBorders>
            <w:noWrap w:val="0"/>
            <w:vAlign w:val="center"/>
          </w:tcPr>
          <w:p w14:paraId="64A111DD">
            <w:pPr>
              <w:adjustRightInd w:val="0"/>
              <w:snapToGrid w:val="0"/>
              <w:spacing w:line="300" w:lineRule="exact"/>
              <w:ind w:left="0" w:leftChars="0"/>
              <w:jc w:val="center"/>
              <w:rPr>
                <w:rFonts w:ascii="Times New Roman" w:hAnsi="Times New Roman" w:eastAsia="宋体" w:cs="Times New Roman"/>
                <w:spacing w:val="20"/>
                <w:sz w:val="21"/>
                <w:szCs w:val="21"/>
              </w:rPr>
            </w:pPr>
          </w:p>
        </w:tc>
      </w:tr>
      <w:tr w14:paraId="34C04C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360FF966">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14:paraId="0E0E1DAF">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244" w:name="_Toc27624"/>
      <w:bookmarkStart w:id="245" w:name="_Toc4467"/>
      <w:r>
        <w:rPr>
          <w:rFonts w:hint="eastAsia" w:ascii="黑体" w:hAnsi="黑体" w:eastAsia="黑体" w:cs="Times New Roman"/>
          <w:b w:val="0"/>
          <w:bCs w:val="0"/>
          <w:kern w:val="2"/>
          <w:sz w:val="28"/>
          <w:szCs w:val="28"/>
          <w:lang w:val="en-US" w:eastAsia="zh-CN" w:bidi="ar-SA"/>
        </w:rPr>
        <w:t>第二节 政府采购合同通用条款</w:t>
      </w:r>
      <w:bookmarkEnd w:id="244"/>
      <w:bookmarkEnd w:id="245"/>
    </w:p>
    <w:p w14:paraId="76828488">
      <w:pPr>
        <w:tabs>
          <w:tab w:val="left" w:pos="8820"/>
          <w:tab w:val="left" w:pos="9345"/>
          <w:tab w:val="left" w:pos="9765"/>
        </w:tabs>
        <w:adjustRightInd w:val="0"/>
        <w:snapToGrid w:val="0"/>
        <w:spacing w:before="0" w:line="400" w:lineRule="exact"/>
        <w:ind w:left="0" w:leftChars="0"/>
        <w:jc w:val="left"/>
        <w:rPr>
          <w:rFonts w:ascii="宋体" w:hAnsi="宋体" w:eastAsia="宋体" w:cs="Times New Roman"/>
          <w:b/>
          <w:bCs/>
          <w:sz w:val="24"/>
          <w:szCs w:val="24"/>
        </w:rPr>
      </w:pPr>
      <w:r>
        <w:rPr>
          <w:rFonts w:hint="eastAsia" w:ascii="宋体" w:hAnsi="宋体" w:eastAsia="宋体" w:cs="Times New Roman"/>
          <w:b/>
          <w:sz w:val="24"/>
          <w:szCs w:val="24"/>
        </w:rPr>
        <w:t>1.</w:t>
      </w:r>
      <w:r>
        <w:rPr>
          <w:rFonts w:hint="eastAsia" w:ascii="宋体" w:hAnsi="宋体" w:eastAsia="宋体" w:cs="Times New Roman"/>
          <w:b/>
          <w:sz w:val="24"/>
          <w:szCs w:val="24"/>
          <w:lang w:val="en-US" w:eastAsia="zh-CN"/>
        </w:rPr>
        <w:t xml:space="preserve"> </w:t>
      </w:r>
      <w:r>
        <w:rPr>
          <w:rFonts w:hint="eastAsia" w:ascii="宋体" w:hAnsi="宋体" w:eastAsia="宋体" w:cs="Times New Roman"/>
          <w:b/>
          <w:bCs/>
          <w:sz w:val="24"/>
          <w:szCs w:val="24"/>
        </w:rPr>
        <w:t>定义</w:t>
      </w:r>
    </w:p>
    <w:p w14:paraId="19D40089">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1.1合同当事人</w:t>
      </w:r>
    </w:p>
    <w:p w14:paraId="1BC0600F">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（1）采购人（以下称甲方）是指使用财政性资金，通过政府采购方式向供应商购买货物</w:t>
      </w:r>
      <w:r>
        <w:rPr>
          <w:rFonts w:hint="eastAsia" w:ascii="宋体" w:hAnsi="宋体" w:eastAsia="宋体" w:cs="Times New Roman"/>
          <w:color w:val="auto"/>
          <w:sz w:val="21"/>
          <w:szCs w:val="21"/>
          <w:highlight w:val="none"/>
          <w:lang w:val="en-US" w:eastAsia="zh-CN"/>
        </w:rPr>
        <w:t>及其相关服务的</w:t>
      </w:r>
      <w:r>
        <w:rPr>
          <w:rFonts w:hint="eastAsia" w:ascii="宋体" w:hAnsi="宋体" w:eastAsia="宋体" w:cs="Times New Roman"/>
          <w:color w:val="auto"/>
          <w:sz w:val="21"/>
          <w:szCs w:val="21"/>
          <w:highlight w:val="none"/>
        </w:rPr>
        <w:t>国家机关、事业单位、团体组织。</w:t>
      </w:r>
    </w:p>
    <w:p w14:paraId="3A9C8C25">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（2）供应商（以下称</w:t>
      </w:r>
      <w:r>
        <w:rPr>
          <w:rFonts w:hint="eastAsia" w:ascii="宋体" w:hAnsi="宋体" w:eastAsia="宋体" w:cs="Times New Roman"/>
          <w:color w:val="auto"/>
          <w:sz w:val="21"/>
          <w:szCs w:val="21"/>
          <w:highlight w:val="none"/>
          <w:lang w:eastAsia="zh-CN"/>
        </w:rPr>
        <w:t>乙</w:t>
      </w:r>
      <w:r>
        <w:rPr>
          <w:rFonts w:hint="eastAsia" w:ascii="宋体" w:hAnsi="宋体" w:eastAsia="宋体" w:cs="Times New Roman"/>
          <w:color w:val="auto"/>
          <w:sz w:val="21"/>
          <w:szCs w:val="21"/>
          <w:highlight w:val="none"/>
        </w:rPr>
        <w:t>方）是指参加政府采购活动并且中标（成交），向采购人提供</w:t>
      </w:r>
      <w:r>
        <w:rPr>
          <w:rFonts w:hint="eastAsia" w:ascii="宋体" w:hAnsi="宋体" w:eastAsia="宋体" w:cs="Times New Roman"/>
          <w:color w:val="auto"/>
          <w:sz w:val="21"/>
          <w:szCs w:val="21"/>
          <w:highlight w:val="none"/>
          <w:lang w:val="en-US" w:eastAsia="zh-CN"/>
        </w:rPr>
        <w:t>合同约定的货物及其相关服务的法人、非法人组织或者自然人</w:t>
      </w:r>
      <w:r>
        <w:rPr>
          <w:rFonts w:hint="eastAsia" w:ascii="宋体" w:hAnsi="宋体" w:eastAsia="宋体" w:cs="Times New Roman"/>
          <w:color w:val="auto"/>
          <w:sz w:val="21"/>
          <w:szCs w:val="21"/>
          <w:highlight w:val="none"/>
        </w:rPr>
        <w:t>。</w:t>
      </w:r>
    </w:p>
    <w:p w14:paraId="76128AA0">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（3）其他合同主体是指除采购人和供应商以外，</w:t>
      </w:r>
      <w:r>
        <w:rPr>
          <w:rFonts w:hint="eastAsia" w:ascii="宋体" w:hAnsi="宋体" w:eastAsia="宋体" w:cs="宋体"/>
          <w:bCs/>
          <w:color w:val="000000"/>
          <w:sz w:val="21"/>
          <w:szCs w:val="21"/>
        </w:rPr>
        <w:t>依法参与合同缔结或履行，享有权利、承担义务的合同当事人</w:t>
      </w:r>
      <w:r>
        <w:rPr>
          <w:rFonts w:hint="eastAsia" w:ascii="宋体" w:hAnsi="宋体" w:eastAsia="宋体" w:cs="Times New Roman"/>
          <w:color w:val="auto"/>
          <w:sz w:val="21"/>
          <w:szCs w:val="21"/>
          <w:highlight w:val="none"/>
        </w:rPr>
        <w:t>。</w:t>
      </w:r>
    </w:p>
    <w:p w14:paraId="775C5855">
      <w:pPr>
        <w:tabs>
          <w:tab w:val="left" w:pos="570"/>
          <w:tab w:val="left" w:pos="9240"/>
          <w:tab w:val="left" w:pos="9555"/>
        </w:tabs>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1.2本合同下列术语应解释为：</w:t>
      </w:r>
    </w:p>
    <w:p w14:paraId="5A03C0CD">
      <w:pPr>
        <w:adjustRightInd w:val="0"/>
        <w:snapToGrid w:val="0"/>
        <w:spacing w:before="0" w:beforeLines="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（1）“合同”系指</w:t>
      </w:r>
      <w:r>
        <w:rPr>
          <w:rFonts w:hint="eastAsia" w:ascii="宋体" w:hAnsi="宋体" w:eastAsia="宋体" w:cs="宋体"/>
          <w:bCs/>
          <w:color w:val="000000"/>
          <w:sz w:val="21"/>
          <w:szCs w:val="21"/>
        </w:rPr>
        <w:t>合同当事人意思表示达成一致的任何协议，包括签署的</w:t>
      </w:r>
      <w:r>
        <w:rPr>
          <w:rFonts w:hint="eastAsia" w:ascii="宋体" w:hAnsi="宋体" w:eastAsia="宋体" w:cs="Times New Roman"/>
          <w:color w:val="auto"/>
          <w:sz w:val="21"/>
          <w:szCs w:val="21"/>
          <w:lang w:eastAsia="zh-CN"/>
        </w:rPr>
        <w:t>政府采购</w:t>
      </w:r>
      <w:r>
        <w:rPr>
          <w:rFonts w:hint="eastAsia" w:ascii="宋体" w:hAnsi="宋体" w:eastAsia="宋体" w:cs="Times New Roman"/>
          <w:color w:val="auto"/>
          <w:sz w:val="21"/>
          <w:szCs w:val="21"/>
        </w:rPr>
        <w:t>合同协议书及其变更、补充</w:t>
      </w:r>
      <w:r>
        <w:rPr>
          <w:rFonts w:hint="eastAsia" w:ascii="宋体" w:hAnsi="宋体" w:eastAsia="宋体" w:cs="Times New Roman"/>
          <w:color w:val="auto"/>
          <w:sz w:val="21"/>
          <w:szCs w:val="21"/>
          <w:lang w:eastAsia="zh-CN"/>
        </w:rPr>
        <w:t>协议，</w:t>
      </w:r>
      <w:r>
        <w:rPr>
          <w:rFonts w:hint="eastAsia" w:ascii="宋体" w:hAnsi="宋体" w:eastAsia="宋体" w:cs="Times New Roman"/>
          <w:sz w:val="21"/>
          <w:szCs w:val="21"/>
        </w:rPr>
        <w:t>政府采购合同专用条款</w:t>
      </w:r>
      <w:r>
        <w:rPr>
          <w:rFonts w:hint="eastAsia" w:ascii="宋体" w:hAnsi="宋体" w:eastAsia="宋体" w:cs="Times New Roman"/>
          <w:sz w:val="21"/>
          <w:szCs w:val="21"/>
          <w:lang w:eastAsia="zh-CN"/>
        </w:rPr>
        <w:t>，</w:t>
      </w:r>
      <w:r>
        <w:rPr>
          <w:rFonts w:hint="eastAsia" w:ascii="宋体" w:hAnsi="宋体" w:eastAsia="宋体" w:cs="Times New Roman"/>
          <w:sz w:val="21"/>
          <w:szCs w:val="21"/>
        </w:rPr>
        <w:t>政府采购合同通用条款</w:t>
      </w:r>
      <w:r>
        <w:rPr>
          <w:rFonts w:hint="eastAsia" w:ascii="宋体" w:hAnsi="宋体" w:eastAsia="宋体" w:cs="Times New Roman"/>
          <w:sz w:val="21"/>
          <w:szCs w:val="21"/>
          <w:lang w:eastAsia="zh-CN"/>
        </w:rPr>
        <w:t>，</w:t>
      </w:r>
      <w:r>
        <w:rPr>
          <w:rFonts w:hint="eastAsia" w:ascii="宋体" w:hAnsi="宋体" w:eastAsia="宋体" w:cs="Times New Roman"/>
          <w:color w:val="auto"/>
          <w:sz w:val="21"/>
          <w:szCs w:val="21"/>
        </w:rPr>
        <w:t>中标</w:t>
      </w:r>
      <w:r>
        <w:rPr>
          <w:rFonts w:hint="eastAsia" w:ascii="宋体" w:hAnsi="宋体" w:eastAsia="宋体" w:cs="Times New Roman"/>
          <w:color w:val="auto"/>
          <w:sz w:val="21"/>
          <w:szCs w:val="21"/>
          <w:lang w:eastAsia="zh-CN"/>
        </w:rPr>
        <w:t>（成交）</w:t>
      </w:r>
      <w:r>
        <w:rPr>
          <w:rFonts w:hint="eastAsia" w:ascii="宋体" w:hAnsi="宋体" w:eastAsia="宋体" w:cs="Times New Roman"/>
          <w:color w:val="auto"/>
          <w:sz w:val="21"/>
          <w:szCs w:val="21"/>
        </w:rPr>
        <w:t>通知书</w:t>
      </w:r>
      <w:r>
        <w:rPr>
          <w:rFonts w:hint="eastAsia" w:ascii="宋体" w:hAnsi="宋体" w:eastAsia="宋体" w:cs="Times New Roman"/>
          <w:color w:val="auto"/>
          <w:sz w:val="21"/>
          <w:szCs w:val="21"/>
          <w:lang w:eastAsia="zh-CN"/>
        </w:rPr>
        <w:t>，</w:t>
      </w:r>
      <w:r>
        <w:rPr>
          <w:rFonts w:hint="eastAsia" w:ascii="宋体" w:hAnsi="宋体" w:eastAsia="宋体" w:cs="Times New Roman"/>
          <w:sz w:val="21"/>
          <w:szCs w:val="21"/>
        </w:rPr>
        <w:t>投标（响应）文件</w:t>
      </w:r>
      <w:r>
        <w:rPr>
          <w:rFonts w:hint="eastAsia" w:ascii="宋体" w:hAnsi="宋体" w:eastAsia="宋体" w:cs="Times New Roman"/>
          <w:sz w:val="21"/>
          <w:szCs w:val="21"/>
          <w:lang w:eastAsia="zh-CN"/>
        </w:rPr>
        <w:t>，</w:t>
      </w:r>
      <w:r>
        <w:rPr>
          <w:rFonts w:hint="eastAsia" w:ascii="宋体" w:hAnsi="宋体" w:eastAsia="宋体" w:cs="Times New Roman"/>
          <w:sz w:val="21"/>
          <w:szCs w:val="21"/>
        </w:rPr>
        <w:t>采购文件</w:t>
      </w:r>
      <w:r>
        <w:rPr>
          <w:rFonts w:hint="eastAsia" w:ascii="宋体" w:hAnsi="宋体" w:eastAsia="宋体" w:cs="Times New Roman"/>
          <w:sz w:val="21"/>
          <w:szCs w:val="21"/>
          <w:lang w:eastAsia="zh-CN"/>
        </w:rPr>
        <w:t>，</w:t>
      </w:r>
      <w:r>
        <w:rPr>
          <w:rFonts w:hint="eastAsia" w:ascii="宋体" w:hAnsi="宋体" w:eastAsia="宋体" w:cs="Times New Roman"/>
          <w:sz w:val="21"/>
          <w:szCs w:val="21"/>
        </w:rPr>
        <w:t>有关技术文件</w:t>
      </w:r>
      <w:r>
        <w:rPr>
          <w:rFonts w:hint="eastAsia" w:ascii="宋体" w:hAnsi="宋体" w:eastAsia="宋体" w:cs="Times New Roman"/>
          <w:sz w:val="21"/>
          <w:szCs w:val="21"/>
          <w:lang w:eastAsia="zh-CN"/>
        </w:rPr>
        <w:t>和</w:t>
      </w:r>
      <w:r>
        <w:rPr>
          <w:rFonts w:hint="eastAsia" w:ascii="宋体" w:hAnsi="宋体" w:eastAsia="宋体" w:cs="Times New Roman"/>
          <w:sz w:val="21"/>
          <w:szCs w:val="21"/>
        </w:rPr>
        <w:t>图纸</w:t>
      </w:r>
      <w:r>
        <w:rPr>
          <w:rFonts w:hint="eastAsia" w:ascii="宋体" w:hAnsi="宋体" w:eastAsia="宋体" w:cs="Times New Roman"/>
          <w:sz w:val="21"/>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s="Times New Roman"/>
          <w:color w:val="auto"/>
          <w:sz w:val="21"/>
          <w:szCs w:val="21"/>
          <w:highlight w:val="none"/>
        </w:rPr>
        <w:t>。</w:t>
      </w:r>
    </w:p>
    <w:p w14:paraId="2565DA80">
      <w:pPr>
        <w:tabs>
          <w:tab w:val="left" w:pos="570"/>
          <w:tab w:val="left" w:pos="9240"/>
          <w:tab w:val="left" w:pos="9555"/>
        </w:tabs>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）“合同价</w:t>
      </w:r>
      <w:r>
        <w:rPr>
          <w:rFonts w:hint="eastAsia" w:ascii="宋体" w:hAnsi="宋体" w:eastAsia="宋体" w:cs="Times New Roman"/>
          <w:color w:val="auto"/>
          <w:sz w:val="21"/>
          <w:szCs w:val="21"/>
          <w:highlight w:val="none"/>
          <w:lang w:val="en-US" w:eastAsia="zh-CN"/>
        </w:rPr>
        <w:t>款</w:t>
      </w:r>
      <w:r>
        <w:rPr>
          <w:rFonts w:hint="eastAsia" w:ascii="宋体" w:hAnsi="宋体" w:eastAsia="宋体" w:cs="Times New Roman"/>
          <w:color w:val="auto"/>
          <w:sz w:val="21"/>
          <w:szCs w:val="21"/>
          <w:highlight w:val="none"/>
        </w:rPr>
        <w:t>”系指根据本合同规定乙方在全面履行合同义务后甲方应支付给乙方的价款。</w:t>
      </w:r>
    </w:p>
    <w:p w14:paraId="5288A160">
      <w:pPr>
        <w:tabs>
          <w:tab w:val="left" w:pos="570"/>
          <w:tab w:val="left" w:pos="9240"/>
          <w:tab w:val="left" w:pos="9555"/>
        </w:tabs>
        <w:adjustRightInd w:val="0"/>
        <w:snapToGrid w:val="0"/>
        <w:spacing w:before="0" w:line="400" w:lineRule="exact"/>
        <w:ind w:left="0" w:leftChars="0" w:firstLine="420" w:firstLineChars="200"/>
        <w:jc w:val="left"/>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）“货物”系指乙方根据本合同规定须向甲方提供的各种形态和种类的物品，包括原材料、设备、产品（</w:t>
      </w:r>
      <w:r>
        <w:rPr>
          <w:rFonts w:hint="eastAsia" w:ascii="宋体" w:hAnsi="宋体" w:eastAsia="宋体" w:cs="Times New Roman"/>
          <w:color w:val="000000"/>
          <w:sz w:val="21"/>
          <w:szCs w:val="21"/>
          <w:highlight w:val="none"/>
        </w:rPr>
        <w:t>包括软件）及相关的其备品备件、工具、手册及</w:t>
      </w:r>
      <w:r>
        <w:rPr>
          <w:rFonts w:hint="default" w:ascii="宋体" w:hAnsi="宋体" w:eastAsia="宋体" w:cs="Times New Roman"/>
          <w:color w:val="000000"/>
          <w:sz w:val="21"/>
          <w:szCs w:val="21"/>
          <w:highlight w:val="none"/>
          <w:lang w:val="en"/>
        </w:rPr>
        <w:t>其他</w:t>
      </w:r>
      <w:r>
        <w:rPr>
          <w:rFonts w:hint="eastAsia" w:ascii="宋体" w:hAnsi="宋体" w:eastAsia="宋体" w:cs="Times New Roman"/>
          <w:color w:val="000000"/>
          <w:sz w:val="21"/>
          <w:szCs w:val="21"/>
          <w:highlight w:val="none"/>
        </w:rPr>
        <w:t>技术资料和材料</w:t>
      </w:r>
      <w:r>
        <w:rPr>
          <w:rFonts w:hint="eastAsia" w:ascii="宋体" w:hAnsi="宋体" w:eastAsia="宋体" w:cs="Times New Roman"/>
          <w:color w:val="000000"/>
          <w:sz w:val="21"/>
          <w:szCs w:val="21"/>
          <w:highlight w:val="none"/>
          <w:lang w:eastAsia="zh-CN"/>
        </w:rPr>
        <w:t>等</w:t>
      </w:r>
      <w:r>
        <w:rPr>
          <w:rFonts w:hint="eastAsia" w:ascii="宋体" w:hAnsi="宋体" w:eastAsia="宋体" w:cs="Times New Roman"/>
          <w:color w:val="000000"/>
          <w:sz w:val="21"/>
          <w:szCs w:val="21"/>
          <w:highlight w:val="none"/>
        </w:rPr>
        <w:t>。</w:t>
      </w:r>
    </w:p>
    <w:p w14:paraId="2E561537">
      <w:pPr>
        <w:adjustRightInd w:val="0"/>
        <w:snapToGrid w:val="0"/>
        <w:spacing w:before="0" w:line="400" w:lineRule="exact"/>
        <w:ind w:left="0" w:leftChars="0" w:firstLine="420" w:firstLineChars="200"/>
        <w:jc w:val="left"/>
        <w:rPr>
          <w:rFonts w:hint="eastAsia" w:ascii="宋体" w:hAnsi="宋体" w:eastAsia="宋体" w:cs="Times New Roman"/>
          <w:color w:val="000000"/>
          <w:sz w:val="21"/>
          <w:szCs w:val="21"/>
          <w:highlight w:val="yellow"/>
          <w:lang w:eastAsia="zh-CN"/>
        </w:rPr>
      </w:pPr>
      <w:r>
        <w:rPr>
          <w:rFonts w:hint="eastAsia" w:ascii="宋体" w:hAnsi="宋体" w:eastAsia="宋体" w:cs="Times New Roman"/>
          <w:color w:val="000000"/>
          <w:sz w:val="21"/>
          <w:szCs w:val="21"/>
          <w:highlight w:val="none"/>
        </w:rPr>
        <w:t>（</w:t>
      </w:r>
      <w:r>
        <w:rPr>
          <w:rFonts w:hint="eastAsia" w:ascii="宋体" w:hAnsi="宋体" w:eastAsia="宋体" w:cs="Times New Roman"/>
          <w:color w:val="000000"/>
          <w:sz w:val="21"/>
          <w:szCs w:val="21"/>
          <w:highlight w:val="none"/>
          <w:lang w:val="en-US" w:eastAsia="zh-CN"/>
        </w:rPr>
        <w:t>4</w:t>
      </w:r>
      <w:r>
        <w:rPr>
          <w:rFonts w:hint="eastAsia" w:ascii="宋体" w:hAnsi="宋体" w:eastAsia="宋体" w:cs="Times New Roman"/>
          <w:color w:val="000000"/>
          <w:sz w:val="21"/>
          <w:szCs w:val="21"/>
          <w:highlight w:val="none"/>
        </w:rPr>
        <w:t>）“</w:t>
      </w:r>
      <w:r>
        <w:rPr>
          <w:rFonts w:hint="eastAsia" w:ascii="宋体" w:hAnsi="宋体" w:eastAsia="宋体" w:cs="Times New Roman"/>
          <w:color w:val="auto"/>
          <w:sz w:val="21"/>
          <w:szCs w:val="21"/>
          <w:highlight w:val="none"/>
          <w:lang w:val="en-US" w:eastAsia="zh-CN"/>
        </w:rPr>
        <w:t>相关</w:t>
      </w:r>
      <w:r>
        <w:rPr>
          <w:rFonts w:hint="eastAsia" w:ascii="宋体" w:hAnsi="宋体" w:eastAsia="宋体" w:cs="Times New Roman"/>
          <w:color w:val="000000"/>
          <w:sz w:val="21"/>
          <w:szCs w:val="21"/>
          <w:highlight w:val="none"/>
        </w:rPr>
        <w:t>服务”系指根据合同规定，乙方应提供的</w:t>
      </w:r>
      <w:r>
        <w:rPr>
          <w:rFonts w:hint="eastAsia" w:ascii="宋体" w:hAnsi="宋体" w:eastAsia="宋体" w:cs="Times New Roman"/>
          <w:color w:val="000000"/>
          <w:sz w:val="21"/>
          <w:szCs w:val="21"/>
          <w:highlight w:val="none"/>
          <w:lang w:val="en-US" w:eastAsia="zh-CN"/>
        </w:rPr>
        <w:t>与货物有关的</w:t>
      </w:r>
      <w:r>
        <w:rPr>
          <w:rFonts w:hint="eastAsia" w:ascii="宋体" w:hAnsi="宋体" w:eastAsia="宋体" w:cs="Times New Roman"/>
          <w:color w:val="000000"/>
          <w:sz w:val="21"/>
          <w:szCs w:val="21"/>
          <w:highlight w:val="none"/>
        </w:rPr>
        <w:t>技术、管理和</w:t>
      </w:r>
      <w:r>
        <w:rPr>
          <w:rFonts w:hint="default" w:ascii="宋体" w:hAnsi="宋体" w:eastAsia="宋体" w:cs="Times New Roman"/>
          <w:color w:val="000000"/>
          <w:sz w:val="21"/>
          <w:szCs w:val="21"/>
          <w:highlight w:val="none"/>
          <w:lang w:val="en"/>
        </w:rPr>
        <w:t>其他</w:t>
      </w:r>
      <w:r>
        <w:rPr>
          <w:rFonts w:hint="eastAsia" w:ascii="宋体" w:hAnsi="宋体" w:eastAsia="宋体" w:cs="Times New Roman"/>
          <w:color w:val="000000"/>
          <w:sz w:val="21"/>
          <w:szCs w:val="21"/>
          <w:highlight w:val="none"/>
        </w:rPr>
        <w:t>服务，包括但不限于：管理和质量保证、运输、保险、检验、现场准备、安装、集成、调试、培训、维修、</w:t>
      </w:r>
      <w:r>
        <w:rPr>
          <w:rFonts w:hint="eastAsia" w:ascii="宋体" w:hAnsi="宋体" w:eastAsia="宋体" w:cs="Times New Roman"/>
          <w:color w:val="000000"/>
          <w:sz w:val="21"/>
          <w:szCs w:val="21"/>
          <w:highlight w:val="none"/>
          <w:lang w:eastAsia="zh-CN"/>
        </w:rPr>
        <w:t>废弃处置、</w:t>
      </w:r>
      <w:r>
        <w:rPr>
          <w:rFonts w:hint="eastAsia" w:ascii="宋体" w:hAnsi="宋体" w:eastAsia="宋体" w:cs="Times New Roman"/>
          <w:color w:val="000000"/>
          <w:sz w:val="21"/>
          <w:szCs w:val="21"/>
          <w:highlight w:val="none"/>
        </w:rPr>
        <w:t>技术支持等以及合同中规定乙方应承担的</w:t>
      </w:r>
      <w:r>
        <w:rPr>
          <w:rFonts w:hint="default" w:ascii="宋体" w:hAnsi="宋体" w:eastAsia="宋体" w:cs="Times New Roman"/>
          <w:color w:val="000000"/>
          <w:sz w:val="21"/>
          <w:szCs w:val="21"/>
          <w:highlight w:val="none"/>
          <w:lang w:val="en"/>
        </w:rPr>
        <w:t>其他</w:t>
      </w:r>
      <w:r>
        <w:rPr>
          <w:rFonts w:hint="eastAsia" w:ascii="宋体" w:hAnsi="宋体" w:eastAsia="宋体" w:cs="Times New Roman"/>
          <w:color w:val="000000"/>
          <w:sz w:val="21"/>
          <w:szCs w:val="21"/>
          <w:highlight w:val="none"/>
        </w:rPr>
        <w:t>义务。</w:t>
      </w:r>
    </w:p>
    <w:p w14:paraId="6AEF20C5">
      <w:pPr>
        <w:adjustRightInd w:val="0"/>
        <w:snapToGrid w:val="0"/>
        <w:spacing w:before="0" w:line="400" w:lineRule="exact"/>
        <w:ind w:left="0" w:leftChars="0" w:firstLine="420" w:firstLineChars="200"/>
        <w:jc w:val="left"/>
        <w:rPr>
          <w:rFonts w:hint="eastAsia" w:ascii="宋体" w:hAnsi="宋体" w:eastAsia="宋体" w:cs="Times New Roman"/>
          <w:color w:val="000000"/>
          <w:sz w:val="21"/>
          <w:szCs w:val="21"/>
          <w:highlight w:val="yellow"/>
          <w:lang w:eastAsia="zh-CN"/>
        </w:rPr>
      </w:pPr>
      <w:r>
        <w:rPr>
          <w:rFonts w:hint="eastAsia" w:ascii="宋体" w:hAnsi="宋体" w:eastAsia="宋体" w:cs="Times New Roman"/>
          <w:color w:val="000000"/>
          <w:sz w:val="21"/>
          <w:szCs w:val="21"/>
          <w:highlight w:val="none"/>
        </w:rPr>
        <w:t>（</w:t>
      </w:r>
      <w:r>
        <w:rPr>
          <w:rFonts w:hint="eastAsia" w:ascii="宋体" w:hAnsi="宋体" w:eastAsia="宋体" w:cs="Times New Roman"/>
          <w:color w:val="000000"/>
          <w:sz w:val="21"/>
          <w:szCs w:val="21"/>
          <w:highlight w:val="none"/>
          <w:lang w:val="en-US" w:eastAsia="zh-CN"/>
        </w:rPr>
        <w:t>5</w:t>
      </w:r>
      <w:r>
        <w:rPr>
          <w:rFonts w:hint="eastAsia" w:ascii="宋体" w:hAnsi="宋体" w:eastAsia="宋体" w:cs="Times New Roman"/>
          <w:color w:val="000000"/>
          <w:sz w:val="21"/>
          <w:szCs w:val="21"/>
          <w:highlight w:val="none"/>
        </w:rPr>
        <w:t>）“分包”系指中标</w:t>
      </w:r>
      <w:r>
        <w:rPr>
          <w:rFonts w:hint="eastAsia" w:ascii="宋体" w:hAnsi="宋体" w:eastAsia="宋体" w:cs="Times New Roman"/>
          <w:color w:val="000000"/>
          <w:sz w:val="21"/>
          <w:szCs w:val="21"/>
          <w:highlight w:val="none"/>
          <w:lang w:eastAsia="zh-CN"/>
        </w:rPr>
        <w:t>（</w:t>
      </w:r>
      <w:r>
        <w:rPr>
          <w:rFonts w:hint="eastAsia" w:ascii="宋体" w:hAnsi="宋体" w:eastAsia="宋体" w:cs="Times New Roman"/>
          <w:color w:val="000000"/>
          <w:sz w:val="21"/>
          <w:szCs w:val="21"/>
          <w:highlight w:val="none"/>
        </w:rPr>
        <w:t>成交</w:t>
      </w:r>
      <w:r>
        <w:rPr>
          <w:rFonts w:hint="eastAsia" w:ascii="宋体" w:hAnsi="宋体" w:eastAsia="宋体" w:cs="Times New Roman"/>
          <w:color w:val="000000"/>
          <w:sz w:val="21"/>
          <w:szCs w:val="21"/>
          <w:highlight w:val="none"/>
          <w:lang w:eastAsia="zh-CN"/>
        </w:rPr>
        <w:t>）</w:t>
      </w:r>
      <w:r>
        <w:rPr>
          <w:rFonts w:hint="eastAsia" w:ascii="宋体" w:hAnsi="宋体" w:eastAsia="宋体" w:cs="Times New Roman"/>
          <w:color w:val="000000"/>
          <w:sz w:val="21"/>
          <w:szCs w:val="21"/>
          <w:highlight w:val="none"/>
        </w:rPr>
        <w:t>供应商按采购文件、投标（响应）文件的规定，根据分包意向协议，将中标</w:t>
      </w:r>
      <w:r>
        <w:rPr>
          <w:rFonts w:hint="eastAsia" w:ascii="宋体" w:hAnsi="宋体" w:eastAsia="宋体" w:cs="Times New Roman"/>
          <w:color w:val="000000"/>
          <w:sz w:val="21"/>
          <w:szCs w:val="21"/>
          <w:highlight w:val="none"/>
          <w:lang w:eastAsia="zh-CN"/>
        </w:rPr>
        <w:t>（</w:t>
      </w:r>
      <w:r>
        <w:rPr>
          <w:rFonts w:hint="eastAsia" w:ascii="宋体" w:hAnsi="宋体" w:eastAsia="宋体" w:cs="Times New Roman"/>
          <w:color w:val="000000"/>
          <w:sz w:val="21"/>
          <w:szCs w:val="21"/>
          <w:highlight w:val="none"/>
        </w:rPr>
        <w:t>成交</w:t>
      </w:r>
      <w:r>
        <w:rPr>
          <w:rFonts w:hint="eastAsia" w:ascii="宋体" w:hAnsi="宋体" w:eastAsia="宋体" w:cs="Times New Roman"/>
          <w:color w:val="000000"/>
          <w:sz w:val="21"/>
          <w:szCs w:val="21"/>
          <w:highlight w:val="none"/>
          <w:lang w:eastAsia="zh-CN"/>
        </w:rPr>
        <w:t>）</w:t>
      </w:r>
      <w:r>
        <w:rPr>
          <w:rFonts w:hint="eastAsia" w:ascii="宋体" w:hAnsi="宋体" w:eastAsia="宋体" w:cs="Times New Roman"/>
          <w:color w:val="000000"/>
          <w:sz w:val="21"/>
          <w:szCs w:val="21"/>
          <w:highlight w:val="none"/>
        </w:rPr>
        <w:t>项目中的部分履约内容，分给具有相应资质条件的供应商履行合同的行为。</w:t>
      </w:r>
    </w:p>
    <w:p w14:paraId="73A49E43">
      <w:pPr>
        <w:tabs>
          <w:tab w:val="left" w:pos="570"/>
          <w:tab w:val="left" w:pos="9240"/>
          <w:tab w:val="left" w:pos="9555"/>
        </w:tabs>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w:t>
      </w:r>
      <w:r>
        <w:rPr>
          <w:rFonts w:hint="eastAsia" w:ascii="宋体" w:hAnsi="宋体" w:eastAsia="宋体" w:cs="Times New Roman"/>
          <w:color w:val="000000"/>
          <w:sz w:val="21"/>
          <w:szCs w:val="21"/>
          <w:highlight w:val="none"/>
          <w:lang w:val="en-US" w:eastAsia="zh-CN"/>
        </w:rPr>
        <w:t>6</w:t>
      </w:r>
      <w:r>
        <w:rPr>
          <w:rFonts w:hint="eastAsia" w:ascii="宋体" w:hAnsi="宋体" w:eastAsia="宋体" w:cs="Times New Roman"/>
          <w:color w:val="000000"/>
          <w:sz w:val="21"/>
          <w:szCs w:val="21"/>
          <w:highlight w:val="none"/>
        </w:rPr>
        <w:t>）</w:t>
      </w:r>
      <w:r>
        <w:rPr>
          <w:rFonts w:hint="eastAsia" w:ascii="宋体" w:hAnsi="宋体" w:eastAsia="宋体" w:cs="Times New Roman"/>
          <w:sz w:val="21"/>
          <w:szCs w:val="21"/>
        </w:rPr>
        <w:t>“联合体”系指</w:t>
      </w:r>
      <w:r>
        <w:rPr>
          <w:rFonts w:hint="eastAsia" w:ascii="宋体" w:hAnsi="宋体" w:eastAsia="宋体" w:cs="Times New Roman"/>
          <w:sz w:val="21"/>
          <w:szCs w:val="21"/>
          <w:lang w:eastAsia="zh-CN"/>
        </w:rPr>
        <w:t>由</w:t>
      </w:r>
      <w:r>
        <w:rPr>
          <w:rFonts w:hint="eastAsia" w:ascii="宋体" w:hAnsi="宋体" w:eastAsia="宋体" w:cs="Times New Roman"/>
          <w:sz w:val="21"/>
          <w:szCs w:val="21"/>
        </w:rPr>
        <w:t>两个以上的自然人、法人或者</w:t>
      </w:r>
      <w:r>
        <w:rPr>
          <w:rFonts w:hint="eastAsia" w:ascii="宋体" w:hAnsi="宋体" w:eastAsia="宋体" w:cs="Times New Roman"/>
          <w:sz w:val="21"/>
          <w:szCs w:val="21"/>
          <w:lang w:val="en-US" w:eastAsia="zh-CN"/>
        </w:rPr>
        <w:t>非法人</w:t>
      </w:r>
      <w:r>
        <w:rPr>
          <w:rFonts w:hint="eastAsia" w:ascii="宋体" w:hAnsi="宋体" w:eastAsia="宋体" w:cs="Times New Roman"/>
          <w:sz w:val="21"/>
          <w:szCs w:val="21"/>
        </w:rPr>
        <w:t>组织组成，</w:t>
      </w:r>
      <w:r>
        <w:rPr>
          <w:rFonts w:hint="eastAsia" w:ascii="宋体" w:hAnsi="宋体" w:eastAsia="宋体" w:cs="Times New Roman"/>
          <w:sz w:val="21"/>
          <w:szCs w:val="21"/>
          <w:lang w:eastAsia="zh-CN"/>
        </w:rPr>
        <w:t>以一个供应商的身份共同参加政府采购的主体</w:t>
      </w:r>
      <w:r>
        <w:rPr>
          <w:rFonts w:hint="eastAsia" w:ascii="宋体" w:hAnsi="宋体" w:eastAsia="宋体" w:cs="Times New Roman"/>
          <w:color w:val="000000"/>
          <w:sz w:val="21"/>
          <w:szCs w:val="21"/>
          <w:highlight w:val="none"/>
          <w:lang w:eastAsia="zh-CN"/>
        </w:rPr>
        <w:t>。</w:t>
      </w:r>
      <w:r>
        <w:rPr>
          <w:rFonts w:hint="eastAsia" w:ascii="宋体" w:hAnsi="宋体" w:eastAsia="宋体" w:cs="Times New Roman"/>
          <w:color w:val="000000"/>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Times New Roman"/>
          <w:color w:val="000000"/>
          <w:sz w:val="21"/>
          <w:szCs w:val="21"/>
          <w:highlight w:val="none"/>
          <w:lang w:eastAsia="zh-CN"/>
        </w:rPr>
        <w:t>甲方</w:t>
      </w:r>
      <w:r>
        <w:rPr>
          <w:rFonts w:hint="eastAsia" w:ascii="宋体" w:hAnsi="宋体" w:eastAsia="宋体" w:cs="Times New Roman"/>
          <w:color w:val="000000"/>
          <w:sz w:val="21"/>
          <w:szCs w:val="21"/>
          <w:highlight w:val="none"/>
        </w:rPr>
        <w:t>承担连带责任。联合体具体要求见【</w:t>
      </w:r>
      <w:r>
        <w:rPr>
          <w:rFonts w:hint="eastAsia" w:ascii="宋体" w:hAnsi="宋体" w:eastAsia="宋体" w:cs="Times New Roman"/>
          <w:b/>
          <w:bCs/>
          <w:color w:val="000000"/>
          <w:sz w:val="21"/>
          <w:szCs w:val="21"/>
          <w:highlight w:val="none"/>
        </w:rPr>
        <w:t>政府采购合同专用条款</w:t>
      </w:r>
      <w:r>
        <w:rPr>
          <w:rFonts w:hint="eastAsia" w:ascii="宋体" w:hAnsi="宋体" w:eastAsia="宋体" w:cs="Times New Roman"/>
          <w:color w:val="000000"/>
          <w:sz w:val="21"/>
          <w:szCs w:val="21"/>
          <w:highlight w:val="none"/>
        </w:rPr>
        <w:t>】。</w:t>
      </w:r>
    </w:p>
    <w:p w14:paraId="0C35DE1C">
      <w:pPr>
        <w:tabs>
          <w:tab w:val="left" w:pos="570"/>
          <w:tab w:val="left" w:pos="9240"/>
          <w:tab w:val="left" w:pos="9555"/>
        </w:tabs>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w:t>
      </w:r>
      <w:r>
        <w:rPr>
          <w:rFonts w:hint="eastAsia" w:ascii="宋体" w:hAnsi="宋体" w:eastAsia="宋体" w:cs="Times New Roman"/>
          <w:color w:val="000000"/>
          <w:sz w:val="21"/>
          <w:szCs w:val="21"/>
          <w:highlight w:val="none"/>
          <w:lang w:val="en-US" w:eastAsia="zh-CN"/>
        </w:rPr>
        <w:t>7</w:t>
      </w:r>
      <w:r>
        <w:rPr>
          <w:rFonts w:hint="eastAsia" w:ascii="宋体" w:hAnsi="宋体" w:eastAsia="宋体" w:cs="Times New Roman"/>
          <w:color w:val="000000"/>
          <w:sz w:val="21"/>
          <w:szCs w:val="21"/>
          <w:highlight w:val="none"/>
        </w:rPr>
        <w:t>）其他术语解释，见【</w:t>
      </w:r>
      <w:r>
        <w:rPr>
          <w:rFonts w:hint="eastAsia" w:ascii="宋体" w:hAnsi="宋体" w:eastAsia="宋体" w:cs="Times New Roman"/>
          <w:b/>
          <w:bCs/>
          <w:color w:val="000000"/>
          <w:sz w:val="21"/>
          <w:szCs w:val="21"/>
          <w:highlight w:val="none"/>
        </w:rPr>
        <w:t>政府采购合同专用条款</w:t>
      </w:r>
      <w:r>
        <w:rPr>
          <w:rFonts w:hint="eastAsia" w:ascii="宋体" w:hAnsi="宋体" w:eastAsia="宋体" w:cs="Times New Roman"/>
          <w:color w:val="000000"/>
          <w:sz w:val="21"/>
          <w:szCs w:val="21"/>
          <w:highlight w:val="none"/>
        </w:rPr>
        <w:t>】。</w:t>
      </w:r>
    </w:p>
    <w:p w14:paraId="794D7C7F">
      <w:pPr>
        <w:numPr>
          <w:ilvl w:val="0"/>
          <w:numId w:val="5"/>
        </w:numPr>
        <w:autoSpaceDE w:val="0"/>
        <w:autoSpaceDN w:val="0"/>
        <w:adjustRightInd w:val="0"/>
        <w:snapToGrid w:val="0"/>
        <w:spacing w:before="0" w:line="400" w:lineRule="exact"/>
        <w:ind w:left="0" w:leftChars="0"/>
        <w:jc w:val="left"/>
        <w:rPr>
          <w:rFonts w:ascii="宋体" w:hAnsi="宋体" w:eastAsia="宋体" w:cs="Times New Roman"/>
          <w:b/>
          <w:bCs/>
          <w:color w:val="000000"/>
          <w:sz w:val="24"/>
          <w:szCs w:val="24"/>
          <w:highlight w:val="none"/>
        </w:rPr>
      </w:pPr>
      <w:r>
        <w:rPr>
          <w:rFonts w:hint="eastAsia" w:ascii="宋体" w:hAnsi="宋体" w:eastAsia="宋体" w:cs="Times New Roman"/>
          <w:b/>
          <w:color w:val="000000"/>
          <w:sz w:val="24"/>
          <w:szCs w:val="24"/>
          <w:highlight w:val="none"/>
        </w:rPr>
        <w:t>合同标的及金额</w:t>
      </w:r>
    </w:p>
    <w:p w14:paraId="27C16686">
      <w:pPr>
        <w:autoSpaceDE w:val="0"/>
        <w:autoSpaceDN w:val="0"/>
        <w:adjustRightInd w:val="0"/>
        <w:snapToGrid w:val="0"/>
        <w:spacing w:before="0" w:line="400" w:lineRule="exact"/>
        <w:ind w:left="0" w:leftChars="0" w:firstLine="420" w:firstLineChars="200"/>
        <w:jc w:val="left"/>
        <w:rPr>
          <w:rFonts w:ascii="宋体" w:hAnsi="宋体" w:eastAsia="宋体" w:cs="Times New Roman"/>
          <w:b/>
          <w:bCs/>
          <w:i/>
          <w:iCs/>
          <w:color w:val="000000"/>
          <w:sz w:val="21"/>
          <w:szCs w:val="21"/>
          <w:highlight w:val="none"/>
        </w:rPr>
      </w:pPr>
      <w:r>
        <w:rPr>
          <w:rFonts w:hint="eastAsia" w:ascii="宋体" w:hAnsi="宋体" w:eastAsia="宋体" w:cs="Times New Roman"/>
          <w:color w:val="000000"/>
          <w:sz w:val="21"/>
          <w:szCs w:val="21"/>
          <w:highlight w:val="none"/>
          <w:lang w:eastAsia="zh-CN"/>
        </w:rPr>
        <w:t>2</w:t>
      </w:r>
      <w:r>
        <w:rPr>
          <w:rFonts w:hint="eastAsia" w:ascii="宋体" w:hAnsi="宋体" w:eastAsia="宋体" w:cs="Times New Roman"/>
          <w:color w:val="000000"/>
          <w:sz w:val="21"/>
          <w:szCs w:val="21"/>
          <w:highlight w:val="none"/>
        </w:rPr>
        <w:t>.1 合同标的及金额应与中标（成交）结果一致。乙方为履行本合同而发生的所有费用均应包含在合同</w:t>
      </w:r>
      <w:r>
        <w:rPr>
          <w:rFonts w:hint="eastAsia" w:ascii="宋体" w:hAnsi="宋体" w:eastAsia="宋体" w:cs="Times New Roman"/>
          <w:color w:val="000000"/>
          <w:sz w:val="21"/>
          <w:szCs w:val="21"/>
          <w:highlight w:val="none"/>
          <w:lang w:eastAsia="zh-CN"/>
        </w:rPr>
        <w:t>价款</w:t>
      </w:r>
      <w:r>
        <w:rPr>
          <w:rFonts w:hint="eastAsia" w:ascii="宋体" w:hAnsi="宋体" w:eastAsia="宋体" w:cs="Times New Roman"/>
          <w:color w:val="000000"/>
          <w:sz w:val="21"/>
          <w:szCs w:val="21"/>
          <w:highlight w:val="none"/>
        </w:rPr>
        <w:t>中，甲方不再另行支付</w:t>
      </w:r>
      <w:r>
        <w:rPr>
          <w:rFonts w:hint="default" w:ascii="宋体" w:hAnsi="宋体" w:eastAsia="宋体" w:cs="Times New Roman"/>
          <w:color w:val="000000"/>
          <w:sz w:val="21"/>
          <w:szCs w:val="21"/>
          <w:highlight w:val="none"/>
          <w:lang w:val="en"/>
        </w:rPr>
        <w:t>其他</w:t>
      </w:r>
      <w:r>
        <w:rPr>
          <w:rFonts w:hint="eastAsia" w:ascii="宋体" w:hAnsi="宋体" w:eastAsia="宋体" w:cs="Times New Roman"/>
          <w:color w:val="000000"/>
          <w:sz w:val="21"/>
          <w:szCs w:val="21"/>
          <w:highlight w:val="none"/>
        </w:rPr>
        <w:t>任何费用。</w:t>
      </w:r>
    </w:p>
    <w:p w14:paraId="0AD6A10C">
      <w:pPr>
        <w:adjustRightInd w:val="0"/>
        <w:snapToGrid w:val="0"/>
        <w:spacing w:before="0" w:line="400" w:lineRule="exact"/>
        <w:ind w:left="0" w:leftChars="0"/>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lang w:eastAsia="zh-CN"/>
        </w:rPr>
        <w:t>3</w:t>
      </w:r>
      <w:r>
        <w:rPr>
          <w:rFonts w:hint="eastAsia" w:ascii="宋体" w:hAnsi="宋体" w:eastAsia="宋体" w:cs="Times New Roman"/>
          <w:b/>
          <w:color w:val="000000"/>
          <w:sz w:val="24"/>
          <w:szCs w:val="24"/>
          <w:highlight w:val="none"/>
          <w:lang w:val="en-US" w:eastAsia="zh-CN"/>
        </w:rPr>
        <w:t xml:space="preserve">. </w:t>
      </w:r>
      <w:r>
        <w:rPr>
          <w:rFonts w:hint="eastAsia" w:ascii="宋体" w:hAnsi="宋体" w:eastAsia="宋体" w:cs="Times New Roman"/>
          <w:b/>
          <w:color w:val="000000"/>
          <w:sz w:val="24"/>
          <w:szCs w:val="24"/>
          <w:highlight w:val="none"/>
        </w:rPr>
        <w:t>履行合同的时间、地点和方式</w:t>
      </w:r>
    </w:p>
    <w:p w14:paraId="76EB52D9">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3</w:t>
      </w:r>
      <w:r>
        <w:rPr>
          <w:rFonts w:hint="eastAsia" w:ascii="宋体" w:hAnsi="宋体" w:eastAsia="宋体" w:cs="Times New Roman"/>
          <w:color w:val="000000"/>
          <w:sz w:val="21"/>
          <w:szCs w:val="21"/>
          <w:highlight w:val="none"/>
        </w:rPr>
        <w:t xml:space="preserve">.1 </w:t>
      </w:r>
      <w:r>
        <w:rPr>
          <w:rFonts w:hint="eastAsia" w:ascii="宋体" w:hAnsi="宋体" w:eastAsia="宋体" w:cs="宋体"/>
          <w:sz w:val="21"/>
          <w:szCs w:val="21"/>
        </w:rPr>
        <w:t>乙方应当在约定的时间、地点</w:t>
      </w:r>
      <w:r>
        <w:rPr>
          <w:rFonts w:hint="eastAsia" w:ascii="宋体" w:hAnsi="宋体" w:eastAsia="宋体" w:cs="宋体"/>
          <w:sz w:val="21"/>
          <w:szCs w:val="21"/>
          <w:lang w:eastAsia="zh-CN"/>
        </w:rPr>
        <w:t>，按照约定</w:t>
      </w:r>
      <w:r>
        <w:rPr>
          <w:rFonts w:hint="eastAsia" w:ascii="宋体" w:hAnsi="宋体" w:eastAsia="宋体" w:cs="宋体"/>
          <w:sz w:val="21"/>
          <w:szCs w:val="21"/>
        </w:rPr>
        <w:t>方式履行合同。</w:t>
      </w:r>
    </w:p>
    <w:p w14:paraId="1F594327">
      <w:pPr>
        <w:autoSpaceDE w:val="0"/>
        <w:autoSpaceDN w:val="0"/>
        <w:adjustRightInd w:val="0"/>
        <w:snapToGrid w:val="0"/>
        <w:spacing w:before="0" w:line="400" w:lineRule="exact"/>
        <w:ind w:left="0" w:leftChars="0"/>
        <w:jc w:val="left"/>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4</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甲方的权利和义务</w:t>
      </w:r>
    </w:p>
    <w:p w14:paraId="7AB94125">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4</w:t>
      </w:r>
      <w:r>
        <w:rPr>
          <w:rFonts w:hint="eastAsia" w:ascii="宋体" w:hAnsi="宋体" w:eastAsia="宋体" w:cs="Times New Roman"/>
          <w:color w:val="000000"/>
          <w:sz w:val="21"/>
          <w:szCs w:val="21"/>
          <w:highlight w:val="none"/>
        </w:rPr>
        <w:t>.1</w:t>
      </w:r>
      <w:r>
        <w:rPr>
          <w:rFonts w:ascii="宋体" w:hAnsi="宋体" w:eastAsia="宋体" w:cs="Times New Roman"/>
          <w:color w:val="000000"/>
          <w:sz w:val="21"/>
          <w:szCs w:val="21"/>
          <w:highlight w:val="none"/>
        </w:rPr>
        <w:t xml:space="preserve"> 签署合同后，甲方</w:t>
      </w:r>
      <w:r>
        <w:rPr>
          <w:rFonts w:hint="eastAsia" w:ascii="宋体" w:hAnsi="宋体" w:eastAsia="宋体" w:cs="Times New Roman"/>
          <w:color w:val="000000"/>
          <w:sz w:val="21"/>
          <w:szCs w:val="21"/>
          <w:highlight w:val="none"/>
          <w:lang w:eastAsia="zh-CN"/>
        </w:rPr>
        <w:t>应</w:t>
      </w:r>
      <w:r>
        <w:rPr>
          <w:rFonts w:ascii="宋体" w:hAnsi="宋体" w:eastAsia="宋体" w:cs="Times New Roman"/>
          <w:color w:val="000000"/>
          <w:sz w:val="21"/>
          <w:szCs w:val="21"/>
          <w:highlight w:val="none"/>
        </w:rPr>
        <w:t>确定</w:t>
      </w:r>
      <w:r>
        <w:rPr>
          <w:rFonts w:hint="eastAsia" w:ascii="宋体" w:hAnsi="宋体" w:eastAsia="宋体" w:cs="Times New Roman"/>
          <w:color w:val="000000"/>
          <w:sz w:val="21"/>
          <w:szCs w:val="21"/>
          <w:highlight w:val="none"/>
          <w:lang w:val="en-US" w:eastAsia="zh-CN"/>
        </w:rPr>
        <w:t>项目负责人（或项目联系人）</w:t>
      </w:r>
      <w:r>
        <w:rPr>
          <w:rFonts w:ascii="宋体" w:hAnsi="宋体" w:eastAsia="宋体" w:cs="Times New Roman"/>
          <w:color w:val="000000"/>
          <w:sz w:val="21"/>
          <w:szCs w:val="21"/>
          <w:highlight w:val="none"/>
        </w:rPr>
        <w:t>，负责与本合同有关的事务。</w:t>
      </w:r>
      <w:r>
        <w:rPr>
          <w:rFonts w:hint="eastAsia" w:ascii="宋体" w:hAnsi="宋体" w:eastAsia="宋体" w:cs="Times New Roman"/>
          <w:color w:val="000000"/>
          <w:sz w:val="21"/>
          <w:szCs w:val="21"/>
          <w:highlight w:val="none"/>
        </w:rPr>
        <w:t>甲方有权对乙方的履约行为进行检查，并</w:t>
      </w:r>
      <w:r>
        <w:rPr>
          <w:rFonts w:ascii="宋体" w:hAnsi="宋体" w:eastAsia="宋体" w:cs="Times New Roman"/>
          <w:color w:val="000000"/>
          <w:sz w:val="21"/>
          <w:szCs w:val="21"/>
          <w:highlight w:val="none"/>
        </w:rPr>
        <w:t>及时确认乙方提交的事项</w:t>
      </w:r>
      <w:r>
        <w:rPr>
          <w:rFonts w:hint="eastAsia" w:ascii="宋体" w:hAnsi="宋体" w:eastAsia="宋体" w:cs="Times New Roman"/>
          <w:color w:val="000000"/>
          <w:sz w:val="21"/>
          <w:szCs w:val="21"/>
          <w:highlight w:val="none"/>
        </w:rPr>
        <w:t>。甲方应当</w:t>
      </w:r>
      <w:r>
        <w:rPr>
          <w:rFonts w:ascii="宋体" w:hAnsi="宋体" w:eastAsia="宋体" w:cs="Times New Roman"/>
          <w:color w:val="000000"/>
          <w:sz w:val="21"/>
          <w:szCs w:val="21"/>
          <w:highlight w:val="none"/>
        </w:rPr>
        <w:t>配合乙方完成</w:t>
      </w:r>
      <w:r>
        <w:rPr>
          <w:rFonts w:hint="eastAsia" w:ascii="宋体" w:hAnsi="宋体" w:eastAsia="宋体" w:cs="Times New Roman"/>
          <w:color w:val="000000"/>
          <w:sz w:val="21"/>
          <w:szCs w:val="21"/>
          <w:highlight w:val="none"/>
        </w:rPr>
        <w:t>相关项目</w:t>
      </w:r>
      <w:r>
        <w:rPr>
          <w:rFonts w:ascii="宋体" w:hAnsi="宋体" w:eastAsia="宋体" w:cs="Times New Roman"/>
          <w:color w:val="000000"/>
          <w:sz w:val="21"/>
          <w:szCs w:val="21"/>
          <w:highlight w:val="none"/>
        </w:rPr>
        <w:t>实施工作。</w:t>
      </w:r>
    </w:p>
    <w:p w14:paraId="3CAEB261">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4</w:t>
      </w:r>
      <w:r>
        <w:rPr>
          <w:rFonts w:hint="eastAsia" w:ascii="宋体" w:hAnsi="宋体" w:eastAsia="宋体" w:cs="Times New Roman"/>
          <w:color w:val="000000"/>
          <w:sz w:val="21"/>
          <w:szCs w:val="21"/>
          <w:highlight w:val="none"/>
        </w:rPr>
        <w:t xml:space="preserve">.2 </w:t>
      </w:r>
      <w:r>
        <w:rPr>
          <w:rFonts w:ascii="宋体" w:hAnsi="宋体" w:eastAsia="宋体" w:cs="Times New Roman"/>
          <w:color w:val="000000"/>
          <w:sz w:val="21"/>
          <w:szCs w:val="21"/>
          <w:highlight w:val="none"/>
        </w:rPr>
        <w:t>甲方有权要求乙方按时提交各阶段有关</w:t>
      </w:r>
      <w:r>
        <w:rPr>
          <w:rFonts w:hint="eastAsia" w:ascii="宋体" w:hAnsi="宋体" w:eastAsia="宋体" w:cs="Times New Roman"/>
          <w:color w:val="000000"/>
          <w:sz w:val="21"/>
          <w:szCs w:val="21"/>
          <w:highlight w:val="none"/>
        </w:rPr>
        <w:t>安排计划</w:t>
      </w:r>
      <w:r>
        <w:rPr>
          <w:rFonts w:ascii="宋体" w:hAnsi="宋体" w:eastAsia="宋体" w:cs="Times New Roman"/>
          <w:color w:val="000000"/>
          <w:sz w:val="21"/>
          <w:szCs w:val="21"/>
          <w:highlight w:val="none"/>
        </w:rPr>
        <w:t>，并有权</w:t>
      </w:r>
      <w:r>
        <w:rPr>
          <w:rFonts w:hint="eastAsia" w:ascii="宋体" w:hAnsi="宋体" w:eastAsia="宋体" w:cs="Times New Roman"/>
          <w:color w:val="000000"/>
          <w:sz w:val="21"/>
          <w:szCs w:val="21"/>
          <w:highlight w:val="none"/>
        </w:rPr>
        <w:t>定期核对乙方提供货物数量、规格、质量等内容。甲方</w:t>
      </w:r>
      <w:r>
        <w:rPr>
          <w:rFonts w:ascii="宋体" w:hAnsi="宋体" w:eastAsia="宋体" w:cs="Times New Roman"/>
          <w:color w:val="000000"/>
          <w:sz w:val="21"/>
          <w:szCs w:val="21"/>
          <w:highlight w:val="none"/>
        </w:rPr>
        <w:t>有权督促乙方工作并要求乙方</w:t>
      </w:r>
      <w:r>
        <w:rPr>
          <w:rFonts w:hint="eastAsia" w:ascii="宋体" w:hAnsi="宋体" w:eastAsia="宋体" w:cs="Times New Roman"/>
          <w:color w:val="000000"/>
          <w:sz w:val="21"/>
          <w:szCs w:val="21"/>
          <w:highlight w:val="none"/>
        </w:rPr>
        <w:t>更</w:t>
      </w:r>
      <w:r>
        <w:rPr>
          <w:rFonts w:ascii="宋体" w:hAnsi="宋体" w:eastAsia="宋体" w:cs="Times New Roman"/>
          <w:color w:val="000000"/>
          <w:sz w:val="21"/>
          <w:szCs w:val="21"/>
          <w:highlight w:val="none"/>
        </w:rPr>
        <w:t>换不符合要求的</w:t>
      </w:r>
      <w:r>
        <w:rPr>
          <w:rFonts w:hint="eastAsia" w:ascii="宋体" w:hAnsi="宋体" w:eastAsia="宋体" w:cs="Times New Roman"/>
          <w:color w:val="000000"/>
          <w:sz w:val="21"/>
          <w:szCs w:val="21"/>
          <w:highlight w:val="none"/>
        </w:rPr>
        <w:t>货物</w:t>
      </w:r>
      <w:r>
        <w:rPr>
          <w:rFonts w:ascii="宋体" w:hAnsi="宋体" w:eastAsia="宋体" w:cs="Times New Roman"/>
          <w:color w:val="000000"/>
          <w:sz w:val="21"/>
          <w:szCs w:val="21"/>
          <w:highlight w:val="none"/>
        </w:rPr>
        <w:t>。</w:t>
      </w:r>
    </w:p>
    <w:p w14:paraId="447F890A">
      <w:pPr>
        <w:autoSpaceDE w:val="0"/>
        <w:autoSpaceDN w:val="0"/>
        <w:adjustRightInd w:val="0"/>
        <w:snapToGrid w:val="0"/>
        <w:spacing w:before="0" w:line="400" w:lineRule="exact"/>
        <w:ind w:left="0" w:leftChars="0" w:firstLine="420" w:firstLineChars="20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4</w:t>
      </w:r>
      <w:r>
        <w:rPr>
          <w:rFonts w:hint="eastAsia" w:ascii="宋体" w:hAnsi="宋体" w:eastAsia="宋体" w:cs="Times New Roman"/>
          <w:color w:val="000000"/>
          <w:sz w:val="21"/>
          <w:szCs w:val="21"/>
          <w:highlight w:val="none"/>
        </w:rPr>
        <w:t>.</w:t>
      </w:r>
      <w:r>
        <w:rPr>
          <w:rFonts w:ascii="宋体" w:hAnsi="宋体" w:eastAsia="宋体" w:cs="Times New Roman"/>
          <w:color w:val="000000"/>
          <w:sz w:val="21"/>
          <w:szCs w:val="21"/>
          <w:highlight w:val="none"/>
        </w:rPr>
        <w:t>3</w:t>
      </w:r>
      <w:r>
        <w:rPr>
          <w:rFonts w:hint="eastAsia" w:ascii="宋体" w:hAnsi="宋体" w:eastAsia="宋体" w:cs="Times New Roman"/>
          <w:color w:val="000000"/>
          <w:sz w:val="21"/>
          <w:szCs w:val="21"/>
          <w:highlight w:val="none"/>
        </w:rPr>
        <w:t xml:space="preserve"> </w:t>
      </w:r>
      <w:r>
        <w:rPr>
          <w:rFonts w:ascii="宋体" w:hAnsi="宋体" w:eastAsia="宋体" w:cs="Times New Roman"/>
          <w:color w:val="000000"/>
          <w:sz w:val="21"/>
          <w:szCs w:val="21"/>
          <w:highlight w:val="none"/>
        </w:rPr>
        <w:t>甲方</w:t>
      </w:r>
      <w:r>
        <w:rPr>
          <w:rFonts w:hint="eastAsia" w:ascii="宋体" w:hAnsi="宋体" w:eastAsia="宋体" w:cs="Times New Roman"/>
          <w:color w:val="000000"/>
          <w:sz w:val="21"/>
          <w:szCs w:val="21"/>
          <w:highlight w:val="none"/>
        </w:rPr>
        <w:t>有权要求乙方对缺陷部分予以修复，并按合同约定享有货物保修及其他合同约定的权利。</w:t>
      </w:r>
    </w:p>
    <w:p w14:paraId="33C47B30">
      <w:pPr>
        <w:snapToGrid w:val="0"/>
        <w:spacing w:line="400" w:lineRule="exact"/>
        <w:ind w:left="0" w:leftChars="0" w:firstLine="420" w:firstLineChars="200"/>
        <w:rPr>
          <w:rFonts w:hint="eastAsia" w:ascii="Times New Roman" w:hAnsi="Times New Roman" w:eastAsia="华文楷体" w:cs="Times New Roman"/>
          <w:sz w:val="21"/>
          <w:szCs w:val="24"/>
          <w:lang w:val="en-US" w:eastAsia="zh-CN"/>
        </w:rPr>
      </w:pPr>
      <w:r>
        <w:rPr>
          <w:rFonts w:hint="default" w:ascii="宋体" w:hAnsi="宋体" w:eastAsia="宋体" w:cs="Times New Roman"/>
          <w:color w:val="000000"/>
          <w:sz w:val="21"/>
          <w:szCs w:val="21"/>
          <w:highlight w:val="none"/>
          <w:lang w:val="en-US" w:eastAsia="zh-CN"/>
        </w:rPr>
        <w:t>4.4 甲方应当按照合同约定及时对交付的货物进行验收</w:t>
      </w:r>
      <w:r>
        <w:rPr>
          <w:rFonts w:hint="eastAsia" w:ascii="宋体" w:hAnsi="宋体" w:eastAsia="宋体" w:cs="Times New Roman"/>
          <w:color w:val="000000"/>
          <w:sz w:val="21"/>
          <w:szCs w:val="21"/>
          <w:highlight w:val="none"/>
          <w:lang w:val="en-US" w:eastAsia="zh-CN"/>
        </w:rPr>
        <w:t>，</w:t>
      </w:r>
      <w:r>
        <w:rPr>
          <w:rFonts w:hint="eastAsia" w:ascii="宋体" w:hAnsi="宋体" w:eastAsia="宋体" w:cs="宋体"/>
          <w:b w:val="0"/>
          <w:bCs w:val="0"/>
          <w:sz w:val="21"/>
          <w:szCs w:val="21"/>
          <w:highlight w:val="none"/>
          <w:lang w:eastAsia="zh-CN"/>
        </w:rPr>
        <w:t>未</w:t>
      </w:r>
      <w:r>
        <w:rPr>
          <w:rFonts w:hint="eastAsia" w:ascii="宋体" w:hAnsi="宋体" w:eastAsia="宋体" w:cs="Times New Roman"/>
          <w:color w:val="000000"/>
          <w:sz w:val="21"/>
          <w:szCs w:val="21"/>
          <w:highlight w:val="none"/>
          <w:lang w:val="en-US" w:eastAsia="zh-CN"/>
        </w:rPr>
        <w:t>在</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约定的期限内对乙方履约提出任何异议或者向乙方作出任何说明的，</w:t>
      </w:r>
      <w:r>
        <w:rPr>
          <w:rFonts w:hint="eastAsia" w:ascii="宋体" w:hAnsi="宋体" w:eastAsia="宋体" w:cs="Times New Roman"/>
          <w:color w:val="000000"/>
          <w:sz w:val="21"/>
          <w:szCs w:val="21"/>
          <w:highlight w:val="none"/>
          <w:lang w:val="en-US" w:eastAsia="zh-CN"/>
        </w:rPr>
        <w:t>视为验收通过。</w:t>
      </w:r>
    </w:p>
    <w:p w14:paraId="475A48C3">
      <w:pPr>
        <w:autoSpaceDE w:val="0"/>
        <w:autoSpaceDN w:val="0"/>
        <w:adjustRightInd w:val="0"/>
        <w:snapToGrid w:val="0"/>
        <w:spacing w:line="400" w:lineRule="exact"/>
        <w:ind w:left="0" w:leftChars="0" w:firstLine="420" w:firstLineChars="200"/>
        <w:jc w:val="left"/>
        <w:rPr>
          <w:rFonts w:hint="eastAsia" w:ascii="宋体" w:hAnsi="宋体" w:eastAsia="宋体" w:cs="Times New Roman"/>
          <w:color w:val="000000"/>
          <w:sz w:val="21"/>
          <w:szCs w:val="21"/>
          <w:highlight w:val="none"/>
        </w:rPr>
      </w:pPr>
      <w:r>
        <w:rPr>
          <w:rFonts w:hint="default" w:ascii="宋体" w:hAnsi="宋体" w:eastAsia="宋体" w:cs="Times New Roman"/>
          <w:color w:val="000000"/>
          <w:sz w:val="21"/>
          <w:szCs w:val="21"/>
          <w:highlight w:val="none"/>
          <w:lang w:eastAsia="zh-CN"/>
        </w:rPr>
        <w:t>4</w:t>
      </w:r>
      <w:r>
        <w:rPr>
          <w:rFonts w:hint="eastAsia" w:ascii="宋体" w:hAnsi="宋体" w:eastAsia="宋体" w:cs="Times New Roman"/>
          <w:color w:val="000000"/>
          <w:sz w:val="21"/>
          <w:szCs w:val="21"/>
          <w:highlight w:val="none"/>
        </w:rPr>
        <w:t>.</w:t>
      </w:r>
      <w:r>
        <w:rPr>
          <w:rFonts w:hint="default" w:ascii="宋体" w:hAnsi="宋体" w:eastAsia="宋体" w:cs="Times New Roman"/>
          <w:color w:val="000000"/>
          <w:sz w:val="21"/>
          <w:szCs w:val="21"/>
          <w:highlight w:val="none"/>
          <w:lang w:val="en-US" w:eastAsia="zh-CN"/>
        </w:rPr>
        <w:t>5</w:t>
      </w:r>
      <w:r>
        <w:rPr>
          <w:rFonts w:ascii="宋体" w:hAnsi="宋体" w:eastAsia="宋体" w:cs="Times New Roman"/>
          <w:color w:val="000000"/>
          <w:sz w:val="21"/>
          <w:szCs w:val="21"/>
          <w:highlight w:val="none"/>
        </w:rPr>
        <w:t xml:space="preserve"> </w:t>
      </w:r>
      <w:r>
        <w:rPr>
          <w:rFonts w:hint="eastAsia" w:ascii="宋体" w:hAnsi="宋体" w:eastAsia="宋体" w:cs="Times New Roman"/>
          <w:color w:val="000000"/>
          <w:sz w:val="21"/>
          <w:szCs w:val="21"/>
          <w:highlight w:val="none"/>
        </w:rPr>
        <w:t>甲方应当根据合同约定</w:t>
      </w:r>
      <w:r>
        <w:rPr>
          <w:rFonts w:hint="eastAsia" w:ascii="宋体" w:hAnsi="宋体" w:eastAsia="宋体" w:cs="Times New Roman"/>
          <w:color w:val="000000"/>
          <w:sz w:val="21"/>
          <w:szCs w:val="21"/>
          <w:highlight w:val="none"/>
          <w:lang w:eastAsia="zh-CN"/>
        </w:rPr>
        <w:t>及</w:t>
      </w:r>
      <w:r>
        <w:rPr>
          <w:rFonts w:hint="eastAsia" w:ascii="宋体" w:hAnsi="宋体" w:eastAsia="宋体" w:cs="Times New Roman"/>
          <w:color w:val="000000"/>
          <w:sz w:val="21"/>
          <w:szCs w:val="21"/>
          <w:highlight w:val="none"/>
        </w:rPr>
        <w:t>时向乙方支付</w:t>
      </w:r>
      <w:r>
        <w:rPr>
          <w:rFonts w:hint="eastAsia" w:ascii="宋体" w:hAnsi="宋体" w:eastAsia="宋体" w:cs="Times New Roman"/>
          <w:color w:val="000000"/>
          <w:sz w:val="21"/>
          <w:szCs w:val="21"/>
          <w:highlight w:val="none"/>
          <w:lang w:eastAsia="zh-CN"/>
        </w:rPr>
        <w:t>合同价款</w:t>
      </w:r>
      <w:r>
        <w:rPr>
          <w:rFonts w:hint="default" w:ascii="宋体" w:hAnsi="宋体" w:eastAsia="宋体" w:cs="Times New Roman"/>
          <w:color w:val="000000"/>
          <w:sz w:val="21"/>
          <w:szCs w:val="21"/>
          <w:highlight w:val="none"/>
          <w:lang w:eastAsia="zh-CN"/>
        </w:rPr>
        <w:t>，不得以内部人员变更、履行内部付款流程等为由，拒绝或迟延支付。</w:t>
      </w:r>
    </w:p>
    <w:p w14:paraId="31085F51">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4</w:t>
      </w:r>
      <w:r>
        <w:rPr>
          <w:rFonts w:hint="eastAsia" w:ascii="宋体" w:hAnsi="宋体" w:eastAsia="宋体" w:cs="Times New Roman"/>
          <w:color w:val="000000"/>
          <w:sz w:val="21"/>
          <w:szCs w:val="21"/>
          <w:highlight w:val="none"/>
        </w:rPr>
        <w:t>.</w:t>
      </w:r>
      <w:r>
        <w:rPr>
          <w:rFonts w:hint="eastAsia" w:ascii="宋体" w:hAnsi="宋体" w:eastAsia="宋体" w:cs="Times New Roman"/>
          <w:color w:val="000000"/>
          <w:sz w:val="21"/>
          <w:szCs w:val="21"/>
          <w:highlight w:val="none"/>
          <w:lang w:val="en-US" w:eastAsia="zh-CN"/>
        </w:rPr>
        <w:t>6</w:t>
      </w:r>
      <w:r>
        <w:rPr>
          <w:rFonts w:ascii="宋体" w:hAnsi="宋体" w:eastAsia="宋体" w:cs="Times New Roman"/>
          <w:color w:val="000000"/>
          <w:sz w:val="21"/>
          <w:szCs w:val="21"/>
          <w:highlight w:val="none"/>
        </w:rPr>
        <w:t xml:space="preserve"> </w:t>
      </w:r>
      <w:r>
        <w:rPr>
          <w:rFonts w:hint="eastAsia" w:ascii="宋体" w:hAnsi="宋体" w:eastAsia="宋体" w:cs="Times New Roman"/>
          <w:color w:val="000000"/>
          <w:sz w:val="21"/>
          <w:szCs w:val="21"/>
          <w:highlight w:val="none"/>
        </w:rPr>
        <w:t>国家法律法规规定</w:t>
      </w:r>
      <w:r>
        <w:rPr>
          <w:rFonts w:hint="eastAsia" w:ascii="宋体" w:hAnsi="宋体" w:eastAsia="宋体" w:cs="Times New Roman"/>
          <w:color w:val="000000"/>
          <w:sz w:val="21"/>
          <w:szCs w:val="21"/>
          <w:highlight w:val="none"/>
          <w:lang w:eastAsia="zh-CN"/>
        </w:rPr>
        <w:t>及</w:t>
      </w:r>
      <w:r>
        <w:rPr>
          <w:rFonts w:hint="eastAsia" w:ascii="宋体" w:hAnsi="宋体" w:eastAsia="宋体" w:cs="宋体"/>
          <w:b/>
          <w:bCs/>
          <w:sz w:val="21"/>
          <w:szCs w:val="21"/>
          <w:highlight w:val="none"/>
        </w:rPr>
        <w:t>【政府采购合同专用条款】</w:t>
      </w:r>
      <w:r>
        <w:rPr>
          <w:rFonts w:hint="eastAsia" w:ascii="宋体" w:hAnsi="宋体" w:eastAsia="宋体" w:cs="Times New Roman"/>
          <w:color w:val="000000"/>
          <w:sz w:val="21"/>
          <w:szCs w:val="21"/>
          <w:highlight w:val="none"/>
          <w:lang w:eastAsia="zh-CN"/>
        </w:rPr>
        <w:t>约定应</w:t>
      </w:r>
      <w:r>
        <w:rPr>
          <w:rFonts w:hint="eastAsia" w:ascii="宋体" w:hAnsi="宋体" w:eastAsia="宋体" w:cs="Times New Roman"/>
          <w:color w:val="000000"/>
          <w:sz w:val="21"/>
          <w:szCs w:val="21"/>
          <w:highlight w:val="none"/>
        </w:rPr>
        <w:t>由甲方承担的其他义务和责任。</w:t>
      </w:r>
    </w:p>
    <w:p w14:paraId="54C52794">
      <w:pPr>
        <w:autoSpaceDE w:val="0"/>
        <w:autoSpaceDN w:val="0"/>
        <w:adjustRightInd w:val="0"/>
        <w:snapToGrid w:val="0"/>
        <w:spacing w:before="0" w:line="400" w:lineRule="exact"/>
        <w:ind w:left="0" w:leftChars="0"/>
        <w:jc w:val="left"/>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5</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乙方的权利和义务</w:t>
      </w:r>
    </w:p>
    <w:p w14:paraId="278A6E88">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5</w:t>
      </w:r>
      <w:r>
        <w:rPr>
          <w:rFonts w:hint="eastAsia" w:ascii="宋体" w:hAnsi="宋体" w:eastAsia="宋体" w:cs="Times New Roman"/>
          <w:color w:val="000000"/>
          <w:sz w:val="21"/>
          <w:szCs w:val="21"/>
          <w:highlight w:val="none"/>
        </w:rPr>
        <w:t xml:space="preserve">.1 </w:t>
      </w:r>
      <w:r>
        <w:rPr>
          <w:rFonts w:ascii="宋体" w:hAnsi="宋体" w:eastAsia="宋体" w:cs="Times New Roman"/>
          <w:color w:val="000000"/>
          <w:sz w:val="21"/>
          <w:szCs w:val="21"/>
          <w:highlight w:val="none"/>
        </w:rPr>
        <w:t>签署合同后，乙方</w:t>
      </w:r>
      <w:r>
        <w:rPr>
          <w:rFonts w:hint="eastAsia" w:ascii="宋体" w:hAnsi="宋体" w:eastAsia="宋体" w:cs="Times New Roman"/>
          <w:color w:val="000000"/>
          <w:sz w:val="21"/>
          <w:szCs w:val="21"/>
          <w:highlight w:val="none"/>
          <w:lang w:eastAsia="zh-CN"/>
        </w:rPr>
        <w:t>应</w:t>
      </w:r>
      <w:r>
        <w:rPr>
          <w:rFonts w:ascii="宋体" w:hAnsi="宋体" w:eastAsia="宋体" w:cs="Times New Roman"/>
          <w:color w:val="000000"/>
          <w:sz w:val="21"/>
          <w:szCs w:val="21"/>
          <w:highlight w:val="none"/>
        </w:rPr>
        <w:t>确定</w:t>
      </w:r>
      <w:r>
        <w:rPr>
          <w:rFonts w:hint="eastAsia" w:ascii="宋体" w:hAnsi="宋体" w:eastAsia="宋体" w:cs="Times New Roman"/>
          <w:color w:val="000000"/>
          <w:sz w:val="21"/>
          <w:szCs w:val="21"/>
          <w:highlight w:val="none"/>
          <w:lang w:val="en-US" w:eastAsia="zh-CN"/>
        </w:rPr>
        <w:t>项目负责人（或项目联系人）</w:t>
      </w:r>
      <w:r>
        <w:rPr>
          <w:rFonts w:ascii="宋体" w:hAnsi="宋体" w:eastAsia="宋体" w:cs="Times New Roman"/>
          <w:color w:val="000000"/>
          <w:sz w:val="21"/>
          <w:szCs w:val="21"/>
          <w:highlight w:val="none"/>
        </w:rPr>
        <w:t>，负责与本合同有关的事务。</w:t>
      </w:r>
    </w:p>
    <w:p w14:paraId="3253DECF">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5</w:t>
      </w:r>
      <w:r>
        <w:rPr>
          <w:rFonts w:hint="eastAsia" w:ascii="宋体" w:hAnsi="宋体" w:eastAsia="宋体" w:cs="Times New Roman"/>
          <w:color w:val="000000"/>
          <w:sz w:val="21"/>
          <w:szCs w:val="21"/>
          <w:highlight w:val="none"/>
        </w:rPr>
        <w:t>.</w:t>
      </w:r>
      <w:r>
        <w:rPr>
          <w:rFonts w:ascii="宋体" w:hAnsi="宋体" w:eastAsia="宋体" w:cs="Times New Roman"/>
          <w:color w:val="000000"/>
          <w:sz w:val="21"/>
          <w:szCs w:val="21"/>
          <w:highlight w:val="none"/>
        </w:rPr>
        <w:t>2 乙方应按照合同要求</w:t>
      </w:r>
      <w:r>
        <w:rPr>
          <w:rFonts w:hint="eastAsia" w:ascii="宋体" w:hAnsi="宋体" w:eastAsia="宋体" w:cs="Times New Roman"/>
          <w:color w:val="000000"/>
          <w:sz w:val="21"/>
          <w:szCs w:val="21"/>
          <w:highlight w:val="none"/>
        </w:rPr>
        <w:t>履约</w:t>
      </w:r>
      <w:r>
        <w:rPr>
          <w:rFonts w:ascii="宋体" w:hAnsi="宋体" w:eastAsia="宋体" w:cs="Times New Roman"/>
          <w:color w:val="000000"/>
          <w:sz w:val="21"/>
          <w:szCs w:val="21"/>
          <w:highlight w:val="none"/>
        </w:rPr>
        <w:t>，充分合理安排，确保</w:t>
      </w:r>
      <w:r>
        <w:rPr>
          <w:rFonts w:hint="eastAsia" w:ascii="宋体" w:hAnsi="宋体" w:eastAsia="宋体" w:cs="Times New Roman"/>
          <w:color w:val="000000"/>
          <w:sz w:val="21"/>
          <w:szCs w:val="21"/>
          <w:highlight w:val="none"/>
        </w:rPr>
        <w:t>提供的货物</w:t>
      </w:r>
      <w:r>
        <w:rPr>
          <w:rFonts w:hint="eastAsia" w:ascii="宋体" w:hAnsi="宋体" w:eastAsia="宋体" w:cs="Times New Roman"/>
          <w:color w:val="000000"/>
          <w:sz w:val="21"/>
          <w:szCs w:val="21"/>
          <w:highlight w:val="none"/>
          <w:lang w:eastAsia="zh-CN"/>
        </w:rPr>
        <w:t>及相关</w:t>
      </w:r>
      <w:r>
        <w:rPr>
          <w:rFonts w:hint="eastAsia" w:ascii="宋体" w:hAnsi="宋体" w:eastAsia="宋体" w:cs="Times New Roman"/>
          <w:color w:val="000000"/>
          <w:sz w:val="21"/>
          <w:szCs w:val="21"/>
          <w:highlight w:val="none"/>
        </w:rPr>
        <w:t>服务符合合同</w:t>
      </w:r>
      <w:r>
        <w:rPr>
          <w:rFonts w:hint="eastAsia" w:ascii="宋体" w:hAnsi="宋体" w:eastAsia="宋体" w:cs="Times New Roman"/>
          <w:color w:val="000000"/>
          <w:sz w:val="21"/>
          <w:szCs w:val="21"/>
          <w:highlight w:val="none"/>
          <w:lang w:eastAsia="zh-CN"/>
        </w:rPr>
        <w:t>有关</w:t>
      </w:r>
      <w:r>
        <w:rPr>
          <w:rFonts w:ascii="宋体" w:hAnsi="宋体" w:eastAsia="宋体" w:cs="Times New Roman"/>
          <w:color w:val="000000"/>
          <w:sz w:val="21"/>
          <w:szCs w:val="21"/>
          <w:highlight w:val="none"/>
        </w:rPr>
        <w:t>要求</w:t>
      </w:r>
      <w:r>
        <w:rPr>
          <w:rFonts w:hint="eastAsia" w:ascii="宋体" w:hAnsi="宋体" w:eastAsia="宋体" w:cs="Times New Roman"/>
          <w:color w:val="000000"/>
          <w:sz w:val="21"/>
          <w:szCs w:val="21"/>
          <w:highlight w:val="none"/>
        </w:rPr>
        <w:t>。接受项目行业管理部门及政府有关部门的指导，配合甲方的履约检查</w:t>
      </w:r>
      <w:r>
        <w:rPr>
          <w:rFonts w:hint="eastAsia" w:ascii="宋体" w:hAnsi="宋体" w:eastAsia="宋体" w:cs="Times New Roman"/>
          <w:color w:val="000000"/>
          <w:sz w:val="21"/>
          <w:szCs w:val="21"/>
          <w:highlight w:val="none"/>
          <w:lang w:eastAsia="zh-CN"/>
        </w:rPr>
        <w:t>及验收</w:t>
      </w:r>
      <w:r>
        <w:rPr>
          <w:rFonts w:hint="eastAsia" w:ascii="宋体" w:hAnsi="宋体" w:eastAsia="宋体" w:cs="Times New Roman"/>
          <w:color w:val="000000"/>
          <w:sz w:val="21"/>
          <w:szCs w:val="21"/>
          <w:highlight w:val="none"/>
        </w:rPr>
        <w:t>，并</w:t>
      </w:r>
      <w:r>
        <w:rPr>
          <w:rFonts w:ascii="宋体" w:hAnsi="宋体" w:eastAsia="宋体" w:cs="Times New Roman"/>
          <w:color w:val="000000"/>
          <w:sz w:val="21"/>
          <w:szCs w:val="21"/>
          <w:highlight w:val="none"/>
        </w:rPr>
        <w:t>负责项目实施过程中的所有协调工作。</w:t>
      </w:r>
    </w:p>
    <w:p w14:paraId="55AF4CE9">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14:paraId="38677219">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6283B52A">
      <w:pPr>
        <w:numPr>
          <w:ilvl w:val="0"/>
          <w:numId w:val="6"/>
        </w:numPr>
        <w:autoSpaceDE w:val="0"/>
        <w:autoSpaceDN w:val="0"/>
        <w:adjustRightInd w:val="0"/>
        <w:snapToGrid w:val="0"/>
        <w:spacing w:before="0" w:line="400" w:lineRule="exact"/>
        <w:ind w:left="0" w:leftChars="0"/>
        <w:jc w:val="left"/>
        <w:rPr>
          <w:rFonts w:hint="eastAsia"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rPr>
        <w:t>合同履</w:t>
      </w:r>
      <w:r>
        <w:rPr>
          <w:rFonts w:hint="eastAsia" w:ascii="宋体" w:hAnsi="宋体" w:eastAsia="宋体" w:cs="Times New Roman"/>
          <w:b/>
          <w:bCs/>
          <w:color w:val="000000"/>
          <w:sz w:val="24"/>
          <w:szCs w:val="24"/>
          <w:highlight w:val="none"/>
          <w:lang w:val="en-US" w:eastAsia="zh-CN"/>
        </w:rPr>
        <w:t>行</w:t>
      </w:r>
    </w:p>
    <w:p w14:paraId="2F8C48FC">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6</w:t>
      </w:r>
      <w:r>
        <w:rPr>
          <w:rFonts w:hint="eastAsia" w:ascii="宋体" w:hAnsi="宋体" w:eastAsia="宋体" w:cs="Times New Roman"/>
          <w:color w:val="000000"/>
          <w:sz w:val="21"/>
          <w:szCs w:val="21"/>
          <w:highlight w:val="none"/>
        </w:rPr>
        <w:t>.1 甲乙双方应当按照</w:t>
      </w:r>
      <w:r>
        <w:rPr>
          <w:rFonts w:hint="eastAsia" w:ascii="宋体" w:hAnsi="宋体" w:eastAsia="宋体" w:cs="宋体"/>
          <w:b/>
          <w:bCs/>
          <w:sz w:val="21"/>
          <w:szCs w:val="21"/>
          <w:highlight w:val="none"/>
        </w:rPr>
        <w:t>【政府采购合同专用条款】</w:t>
      </w:r>
      <w:r>
        <w:rPr>
          <w:rFonts w:hint="eastAsia" w:ascii="宋体" w:hAnsi="宋体" w:eastAsia="宋体" w:cs="Times New Roman"/>
          <w:color w:val="000000"/>
          <w:sz w:val="21"/>
          <w:szCs w:val="21"/>
          <w:highlight w:val="none"/>
        </w:rPr>
        <w:t>约定顺序履行合同义务；如果没有先后顺序的，应当同时履行。</w:t>
      </w:r>
    </w:p>
    <w:p w14:paraId="6A1CEBB2">
      <w:pPr>
        <w:autoSpaceDE w:val="0"/>
        <w:autoSpaceDN w:val="0"/>
        <w:adjustRightInd w:val="0"/>
        <w:snapToGrid w:val="0"/>
        <w:spacing w:before="0" w:line="400" w:lineRule="exact"/>
        <w:ind w:left="0" w:leftChars="0" w:firstLine="420" w:firstLineChars="200"/>
        <w:jc w:val="left"/>
        <w:rPr>
          <w:rFonts w:ascii="Times New Roman" w:hAnsi="Times New Roman" w:eastAsia="宋体" w:cs="Times New Roman"/>
          <w:sz w:val="21"/>
          <w:szCs w:val="24"/>
        </w:rPr>
      </w:pPr>
      <w:r>
        <w:rPr>
          <w:rFonts w:hint="eastAsia" w:ascii="宋体" w:hAnsi="宋体" w:eastAsia="宋体" w:cs="Times New Roman"/>
          <w:color w:val="000000"/>
          <w:sz w:val="21"/>
          <w:szCs w:val="21"/>
          <w:highlight w:val="none"/>
          <w:lang w:eastAsia="zh-CN"/>
        </w:rPr>
        <w:t>6</w:t>
      </w:r>
      <w:r>
        <w:rPr>
          <w:rFonts w:hint="eastAsia" w:ascii="宋体" w:hAnsi="宋体" w:eastAsia="宋体" w:cs="Times New Roman"/>
          <w:color w:val="000000"/>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2E8BC6B5">
      <w:pPr>
        <w:adjustRightInd w:val="0"/>
        <w:snapToGrid w:val="0"/>
        <w:spacing w:before="0" w:line="400" w:lineRule="exact"/>
        <w:ind w:left="0" w:leftChars="0"/>
        <w:jc w:val="left"/>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7</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货物包装、运输</w:t>
      </w:r>
      <w:r>
        <w:rPr>
          <w:rFonts w:hint="eastAsia" w:ascii="宋体" w:hAnsi="宋体" w:eastAsia="宋体" w:cs="Times New Roman"/>
          <w:b/>
          <w:bCs/>
          <w:color w:val="000000"/>
          <w:sz w:val="24"/>
          <w:szCs w:val="24"/>
          <w:highlight w:val="none"/>
          <w:lang w:eastAsia="zh-CN"/>
        </w:rPr>
        <w:t>、</w:t>
      </w:r>
      <w:r>
        <w:rPr>
          <w:rFonts w:hint="eastAsia" w:ascii="宋体" w:hAnsi="宋体" w:eastAsia="宋体" w:cs="Times New Roman"/>
          <w:b/>
          <w:bCs/>
          <w:color w:val="000000"/>
          <w:sz w:val="24"/>
          <w:szCs w:val="24"/>
          <w:highlight w:val="none"/>
        </w:rPr>
        <w:t>保险</w:t>
      </w:r>
      <w:r>
        <w:rPr>
          <w:rFonts w:hint="eastAsia" w:ascii="宋体" w:hAnsi="宋体" w:eastAsia="宋体" w:cs="Times New Roman"/>
          <w:b/>
          <w:bCs/>
          <w:color w:val="000000"/>
          <w:sz w:val="24"/>
          <w:szCs w:val="24"/>
          <w:highlight w:val="none"/>
          <w:lang w:eastAsia="zh-CN"/>
        </w:rPr>
        <w:t>和交付</w:t>
      </w:r>
      <w:r>
        <w:rPr>
          <w:rFonts w:hint="eastAsia" w:ascii="宋体" w:hAnsi="宋体" w:eastAsia="宋体" w:cs="Times New Roman"/>
          <w:b/>
          <w:bCs/>
          <w:color w:val="000000"/>
          <w:sz w:val="24"/>
          <w:szCs w:val="24"/>
          <w:highlight w:val="none"/>
        </w:rPr>
        <w:t>要求</w:t>
      </w:r>
    </w:p>
    <w:p w14:paraId="622660FE">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7</w:t>
      </w:r>
      <w:r>
        <w:rPr>
          <w:rFonts w:hint="eastAsia" w:ascii="宋体" w:hAnsi="宋体" w:eastAsia="宋体" w:cs="Times New Roman"/>
          <w:color w:val="000000"/>
          <w:sz w:val="21"/>
          <w:szCs w:val="21"/>
          <w:highlight w:val="none"/>
        </w:rPr>
        <w:t>.1 本合同</w:t>
      </w:r>
      <w:r>
        <w:rPr>
          <w:rFonts w:hint="eastAsia" w:ascii="宋体" w:hAnsi="宋体" w:eastAsia="宋体" w:cs="Times New Roman"/>
          <w:bCs/>
          <w:color w:val="000000"/>
          <w:sz w:val="21"/>
          <w:szCs w:val="21"/>
          <w:highlight w:val="none"/>
        </w:rPr>
        <w:t>涉及商品包装</w:t>
      </w:r>
      <w:r>
        <w:rPr>
          <w:rFonts w:hint="eastAsia" w:ascii="宋体" w:hAnsi="宋体" w:eastAsia="宋体" w:cs="Times New Roman"/>
          <w:bCs/>
          <w:color w:val="000000"/>
          <w:sz w:val="21"/>
          <w:szCs w:val="21"/>
          <w:highlight w:val="none"/>
          <w:lang w:eastAsia="zh-CN"/>
        </w:rPr>
        <w:t>、</w:t>
      </w:r>
      <w:r>
        <w:rPr>
          <w:rFonts w:hint="eastAsia" w:ascii="宋体" w:hAnsi="宋体" w:eastAsia="宋体" w:cs="Times New Roman"/>
          <w:bCs/>
          <w:color w:val="000000"/>
          <w:sz w:val="21"/>
          <w:szCs w:val="21"/>
          <w:highlight w:val="none"/>
        </w:rPr>
        <w:t>快递包装的，</w:t>
      </w:r>
      <w:r>
        <w:rPr>
          <w:rFonts w:hint="eastAsia" w:ascii="宋体" w:hAnsi="宋体" w:eastAsia="宋体" w:cs="Times New Roman"/>
          <w:color w:val="000000"/>
          <w:sz w:val="21"/>
          <w:szCs w:val="21"/>
          <w:highlight w:val="none"/>
        </w:rPr>
        <w:t>除</w:t>
      </w:r>
      <w:r>
        <w:rPr>
          <w:rFonts w:hint="eastAsia" w:ascii="宋体" w:hAnsi="宋体" w:eastAsia="宋体" w:cs="Times New Roman"/>
          <w:b/>
          <w:color w:val="000000"/>
          <w:sz w:val="21"/>
          <w:szCs w:val="21"/>
          <w:highlight w:val="none"/>
        </w:rPr>
        <w:t>【政府采购合同专用条款】</w:t>
      </w:r>
      <w:r>
        <w:rPr>
          <w:rFonts w:hint="eastAsia" w:ascii="宋体" w:hAnsi="宋体" w:eastAsia="宋体" w:cs="Times New Roman"/>
          <w:bCs/>
          <w:color w:val="000000"/>
          <w:sz w:val="21"/>
          <w:szCs w:val="21"/>
          <w:highlight w:val="none"/>
        </w:rPr>
        <w:t>另有</w:t>
      </w:r>
      <w:r>
        <w:rPr>
          <w:rFonts w:hint="eastAsia" w:ascii="宋体" w:hAnsi="宋体" w:eastAsia="宋体" w:cs="Times New Roman"/>
          <w:bCs/>
          <w:color w:val="000000"/>
          <w:sz w:val="21"/>
          <w:szCs w:val="21"/>
          <w:highlight w:val="none"/>
          <w:lang w:eastAsia="zh-CN"/>
        </w:rPr>
        <w:t>约</w:t>
      </w:r>
      <w:r>
        <w:rPr>
          <w:rFonts w:hint="eastAsia" w:ascii="宋体" w:hAnsi="宋体" w:eastAsia="宋体" w:cs="Times New Roman"/>
          <w:bCs/>
          <w:color w:val="000000"/>
          <w:sz w:val="21"/>
          <w:szCs w:val="21"/>
          <w:highlight w:val="none"/>
        </w:rPr>
        <w:t>定</w:t>
      </w:r>
      <w:r>
        <w:rPr>
          <w:rFonts w:hint="eastAsia" w:ascii="宋体" w:hAnsi="宋体" w:eastAsia="宋体" w:cs="Times New Roman"/>
          <w:bCs/>
          <w:color w:val="000000"/>
          <w:sz w:val="21"/>
          <w:szCs w:val="21"/>
          <w:highlight w:val="none"/>
          <w:lang w:eastAsia="zh-CN"/>
        </w:rPr>
        <w:t>外</w:t>
      </w:r>
      <w:r>
        <w:rPr>
          <w:rFonts w:hint="eastAsia" w:ascii="宋体" w:hAnsi="宋体" w:eastAsia="宋体" w:cs="Times New Roman"/>
          <w:bCs/>
          <w:color w:val="000000"/>
          <w:sz w:val="21"/>
          <w:szCs w:val="21"/>
          <w:highlight w:val="none"/>
        </w:rPr>
        <w:t>，</w:t>
      </w:r>
      <w:r>
        <w:rPr>
          <w:rFonts w:hint="eastAsia" w:ascii="宋体" w:hAnsi="宋体" w:eastAsia="宋体" w:cs="Times New Roman"/>
          <w:color w:val="000000"/>
          <w:sz w:val="21"/>
          <w:szCs w:val="21"/>
          <w:highlight w:val="none"/>
        </w:rPr>
        <w:t>包装应适应远距离运输、防潮、防震、防锈和防野蛮装卸等要求，确保货物安全无损地运抵</w:t>
      </w:r>
      <w:r>
        <w:rPr>
          <w:rFonts w:hint="eastAsia" w:ascii="宋体" w:hAnsi="宋体" w:eastAsia="宋体" w:cs="Times New Roman"/>
          <w:b/>
          <w:color w:val="000000"/>
          <w:sz w:val="21"/>
          <w:szCs w:val="21"/>
          <w:highlight w:val="none"/>
        </w:rPr>
        <w:t>【政府采购合同专用条款】</w:t>
      </w:r>
      <w:r>
        <w:rPr>
          <w:rFonts w:hint="eastAsia" w:ascii="宋体" w:hAnsi="宋体" w:eastAsia="宋体" w:cs="Times New Roman"/>
          <w:b w:val="0"/>
          <w:bCs/>
          <w:color w:val="000000"/>
          <w:sz w:val="21"/>
          <w:szCs w:val="21"/>
          <w:highlight w:val="none"/>
          <w:lang w:eastAsia="zh-CN"/>
        </w:rPr>
        <w:t>约定的</w:t>
      </w:r>
      <w:r>
        <w:rPr>
          <w:rFonts w:hint="eastAsia" w:ascii="宋体" w:hAnsi="宋体" w:eastAsia="宋体" w:cs="Times New Roman"/>
          <w:color w:val="000000"/>
          <w:sz w:val="21"/>
          <w:szCs w:val="21"/>
          <w:highlight w:val="none"/>
        </w:rPr>
        <w:t>指定现场。</w:t>
      </w:r>
    </w:p>
    <w:p w14:paraId="7F035698">
      <w:pPr>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7</w:t>
      </w:r>
      <w:r>
        <w:rPr>
          <w:rFonts w:hint="eastAsia" w:ascii="宋体" w:hAnsi="宋体" w:eastAsia="宋体" w:cs="Times New Roman"/>
          <w:color w:val="000000"/>
          <w:sz w:val="21"/>
          <w:szCs w:val="21"/>
          <w:highlight w:val="none"/>
        </w:rPr>
        <w:t>.2 除</w:t>
      </w:r>
      <w:r>
        <w:rPr>
          <w:rFonts w:hint="eastAsia" w:ascii="宋体" w:hAnsi="宋体" w:eastAsia="宋体" w:cs="Times New Roman"/>
          <w:b/>
          <w:color w:val="000000"/>
          <w:sz w:val="21"/>
          <w:szCs w:val="21"/>
          <w:highlight w:val="none"/>
        </w:rPr>
        <w:t>【政府采购合同专用条款】</w:t>
      </w:r>
      <w:r>
        <w:rPr>
          <w:rFonts w:hint="eastAsia" w:ascii="宋体" w:hAnsi="宋体" w:eastAsia="宋体" w:cs="Times New Roman"/>
          <w:bCs/>
          <w:color w:val="000000"/>
          <w:sz w:val="21"/>
          <w:szCs w:val="21"/>
          <w:highlight w:val="none"/>
        </w:rPr>
        <w:t>另有</w:t>
      </w:r>
      <w:r>
        <w:rPr>
          <w:rFonts w:hint="eastAsia" w:ascii="宋体" w:hAnsi="宋体" w:eastAsia="宋体" w:cs="Times New Roman"/>
          <w:bCs/>
          <w:color w:val="000000"/>
          <w:sz w:val="21"/>
          <w:szCs w:val="21"/>
          <w:highlight w:val="none"/>
          <w:lang w:eastAsia="zh-CN"/>
        </w:rPr>
        <w:t>约</w:t>
      </w:r>
      <w:r>
        <w:rPr>
          <w:rFonts w:hint="eastAsia" w:ascii="宋体" w:hAnsi="宋体" w:eastAsia="宋体" w:cs="Times New Roman"/>
          <w:bCs/>
          <w:color w:val="000000"/>
          <w:sz w:val="21"/>
          <w:szCs w:val="21"/>
          <w:highlight w:val="none"/>
        </w:rPr>
        <w:t>定</w:t>
      </w:r>
      <w:r>
        <w:rPr>
          <w:rFonts w:hint="eastAsia" w:ascii="宋体" w:hAnsi="宋体" w:eastAsia="宋体" w:cs="Times New Roman"/>
          <w:bCs/>
          <w:color w:val="000000"/>
          <w:sz w:val="21"/>
          <w:szCs w:val="21"/>
          <w:highlight w:val="none"/>
          <w:lang w:eastAsia="zh-CN"/>
        </w:rPr>
        <w:t>外</w:t>
      </w:r>
      <w:r>
        <w:rPr>
          <w:rFonts w:hint="eastAsia" w:ascii="宋体" w:hAnsi="宋体" w:eastAsia="宋体" w:cs="Times New Roman"/>
          <w:bCs/>
          <w:color w:val="000000"/>
          <w:sz w:val="21"/>
          <w:szCs w:val="21"/>
          <w:highlight w:val="none"/>
        </w:rPr>
        <w:t>，</w:t>
      </w:r>
      <w:r>
        <w:rPr>
          <w:rFonts w:hint="eastAsia" w:ascii="宋体" w:hAnsi="宋体" w:eastAsia="宋体" w:cs="Times New Roman"/>
          <w:color w:val="000000"/>
          <w:sz w:val="21"/>
          <w:szCs w:val="21"/>
          <w:highlight w:val="none"/>
        </w:rPr>
        <w:t>乙方负责办理将货物运抵本合同规定的交货地点</w:t>
      </w:r>
      <w:r>
        <w:rPr>
          <w:rFonts w:hint="eastAsia" w:ascii="宋体" w:hAnsi="宋体" w:eastAsia="宋体" w:cs="Times New Roman"/>
          <w:color w:val="000000"/>
          <w:sz w:val="21"/>
          <w:szCs w:val="21"/>
          <w:highlight w:val="none"/>
          <w:lang w:eastAsia="zh-CN"/>
        </w:rPr>
        <w:t>，并装卸、交付至甲方</w:t>
      </w:r>
      <w:r>
        <w:rPr>
          <w:rFonts w:hint="eastAsia" w:ascii="宋体" w:hAnsi="宋体" w:eastAsia="宋体" w:cs="Times New Roman"/>
          <w:color w:val="000000"/>
          <w:sz w:val="21"/>
          <w:szCs w:val="21"/>
          <w:highlight w:val="none"/>
        </w:rPr>
        <w:t>的一切运输事项，相关费用应</w:t>
      </w:r>
      <w:r>
        <w:rPr>
          <w:rFonts w:hint="eastAsia" w:ascii="宋体" w:hAnsi="宋体" w:eastAsia="宋体" w:cs="Times New Roman"/>
          <w:color w:val="000000"/>
          <w:sz w:val="21"/>
          <w:szCs w:val="21"/>
          <w:highlight w:val="none"/>
          <w:lang w:eastAsia="zh-CN"/>
        </w:rPr>
        <w:t>包含</w:t>
      </w:r>
      <w:r>
        <w:rPr>
          <w:rFonts w:hint="eastAsia" w:ascii="宋体" w:hAnsi="宋体" w:eastAsia="宋体" w:cs="Times New Roman"/>
          <w:color w:val="000000"/>
          <w:sz w:val="21"/>
          <w:szCs w:val="21"/>
          <w:highlight w:val="none"/>
        </w:rPr>
        <w:t>在合同</w:t>
      </w:r>
      <w:r>
        <w:rPr>
          <w:rFonts w:hint="eastAsia" w:ascii="宋体" w:hAnsi="宋体" w:eastAsia="宋体" w:cs="Times New Roman"/>
          <w:color w:val="000000"/>
          <w:sz w:val="21"/>
          <w:szCs w:val="21"/>
          <w:highlight w:val="none"/>
          <w:lang w:eastAsia="zh-CN"/>
        </w:rPr>
        <w:t>价款</w:t>
      </w:r>
      <w:r>
        <w:rPr>
          <w:rFonts w:hint="eastAsia" w:ascii="宋体" w:hAnsi="宋体" w:eastAsia="宋体" w:cs="Times New Roman"/>
          <w:color w:val="000000"/>
          <w:sz w:val="21"/>
          <w:szCs w:val="21"/>
          <w:highlight w:val="none"/>
        </w:rPr>
        <w:t>中。</w:t>
      </w:r>
    </w:p>
    <w:p w14:paraId="249212ED">
      <w:pPr>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7</w:t>
      </w:r>
      <w:r>
        <w:rPr>
          <w:rFonts w:hint="eastAsia" w:ascii="宋体" w:hAnsi="宋体" w:eastAsia="宋体" w:cs="Times New Roman"/>
          <w:color w:val="000000"/>
          <w:sz w:val="21"/>
          <w:szCs w:val="21"/>
          <w:highlight w:val="none"/>
        </w:rPr>
        <w:t>.3 货物保险要求按</w:t>
      </w:r>
      <w:r>
        <w:rPr>
          <w:rFonts w:hint="eastAsia" w:ascii="宋体" w:hAnsi="宋体" w:eastAsia="宋体" w:cs="Times New Roman"/>
          <w:b/>
          <w:color w:val="000000"/>
          <w:sz w:val="21"/>
          <w:szCs w:val="21"/>
          <w:highlight w:val="none"/>
        </w:rPr>
        <w:t>【政府采购合同专用条款】</w:t>
      </w:r>
      <w:r>
        <w:rPr>
          <w:rFonts w:hint="eastAsia" w:ascii="宋体" w:hAnsi="宋体" w:eastAsia="宋体" w:cs="Times New Roman"/>
          <w:bCs/>
          <w:color w:val="000000"/>
          <w:sz w:val="21"/>
          <w:szCs w:val="21"/>
          <w:highlight w:val="none"/>
        </w:rPr>
        <w:t>规定执行</w:t>
      </w:r>
      <w:r>
        <w:rPr>
          <w:rFonts w:hint="eastAsia" w:ascii="宋体" w:hAnsi="宋体" w:eastAsia="宋体" w:cs="Times New Roman"/>
          <w:color w:val="000000"/>
          <w:sz w:val="21"/>
          <w:szCs w:val="21"/>
          <w:highlight w:val="none"/>
        </w:rPr>
        <w:t>。</w:t>
      </w:r>
    </w:p>
    <w:p w14:paraId="1EE82728">
      <w:pPr>
        <w:autoSpaceDE w:val="0"/>
        <w:autoSpaceDN w:val="0"/>
        <w:adjustRightInd w:val="0"/>
        <w:snapToGrid w:val="0"/>
        <w:spacing w:before="0" w:line="400" w:lineRule="exact"/>
        <w:ind w:left="0" w:leftChars="0" w:firstLine="420" w:firstLineChars="20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7</w:t>
      </w:r>
      <w:r>
        <w:rPr>
          <w:rFonts w:hint="eastAsia" w:ascii="宋体" w:hAnsi="宋体" w:eastAsia="宋体" w:cs="Times New Roman"/>
          <w:color w:val="000000"/>
          <w:sz w:val="21"/>
          <w:szCs w:val="21"/>
          <w:highlight w:val="none"/>
        </w:rPr>
        <w:t xml:space="preserve">.4 </w:t>
      </w:r>
      <w:r>
        <w:rPr>
          <w:rFonts w:hint="eastAsia" w:ascii="宋体" w:hAnsi="宋体" w:eastAsia="宋体" w:cs="Times New Roman"/>
          <w:color w:val="000000"/>
          <w:sz w:val="21"/>
          <w:szCs w:val="21"/>
          <w:highlight w:val="none"/>
          <w:lang w:val="en-US" w:eastAsia="zh-CN"/>
        </w:rPr>
        <w:t>除采购活动</w:t>
      </w:r>
      <w:r>
        <w:rPr>
          <w:rFonts w:hint="eastAsia" w:ascii="宋体" w:hAnsi="宋体" w:eastAsia="宋体" w:cs="Times New Roman"/>
          <w:color w:val="000000"/>
          <w:sz w:val="21"/>
          <w:szCs w:val="21"/>
          <w:highlight w:val="none"/>
        </w:rPr>
        <w:t>对商品包装</w:t>
      </w:r>
      <w:r>
        <w:rPr>
          <w:rFonts w:hint="eastAsia" w:ascii="宋体" w:hAnsi="宋体" w:eastAsia="宋体" w:cs="Times New Roman"/>
          <w:color w:val="000000"/>
          <w:sz w:val="21"/>
          <w:szCs w:val="21"/>
          <w:highlight w:val="none"/>
          <w:lang w:eastAsia="zh-CN"/>
        </w:rPr>
        <w:t>、</w:t>
      </w:r>
      <w:r>
        <w:rPr>
          <w:rFonts w:hint="eastAsia" w:ascii="宋体" w:hAnsi="宋体" w:eastAsia="宋体" w:cs="Times New Roman"/>
          <w:color w:val="000000"/>
          <w:sz w:val="21"/>
          <w:szCs w:val="21"/>
          <w:highlight w:val="none"/>
        </w:rPr>
        <w:t>快递包装</w:t>
      </w:r>
      <w:r>
        <w:rPr>
          <w:rFonts w:hint="eastAsia" w:ascii="宋体" w:hAnsi="宋体" w:eastAsia="宋体" w:cs="Times New Roman"/>
          <w:color w:val="000000"/>
          <w:sz w:val="21"/>
          <w:szCs w:val="21"/>
          <w:highlight w:val="none"/>
          <w:lang w:val="en-US" w:eastAsia="zh-CN"/>
        </w:rPr>
        <w:t>达成具体约定外</w:t>
      </w:r>
      <w:r>
        <w:rPr>
          <w:rFonts w:hint="eastAsia" w:ascii="宋体" w:hAnsi="宋体" w:eastAsia="宋体" w:cs="Times New Roman"/>
          <w:color w:val="000000"/>
          <w:sz w:val="21"/>
          <w:szCs w:val="21"/>
          <w:highlight w:val="none"/>
        </w:rPr>
        <w:t>，乙方提供产品及相关快递服务</w:t>
      </w:r>
      <w:r>
        <w:rPr>
          <w:rFonts w:hint="eastAsia" w:ascii="宋体" w:hAnsi="宋体" w:eastAsia="宋体" w:cs="Times New Roman"/>
          <w:color w:val="000000"/>
          <w:sz w:val="21"/>
          <w:szCs w:val="21"/>
          <w:highlight w:val="none"/>
          <w:lang w:val="en-US" w:eastAsia="zh-CN"/>
        </w:rPr>
        <w:t>涉及到</w:t>
      </w:r>
      <w:r>
        <w:rPr>
          <w:rFonts w:hint="eastAsia" w:ascii="宋体" w:hAnsi="宋体" w:eastAsia="宋体" w:cs="Times New Roman"/>
          <w:color w:val="000000"/>
          <w:sz w:val="21"/>
          <w:szCs w:val="21"/>
          <w:highlight w:val="none"/>
        </w:rPr>
        <w:t>具体包装要求</w:t>
      </w:r>
      <w:r>
        <w:rPr>
          <w:rFonts w:hint="eastAsia" w:ascii="宋体" w:hAnsi="宋体" w:eastAsia="宋体" w:cs="Times New Roman"/>
          <w:color w:val="000000"/>
          <w:sz w:val="21"/>
          <w:szCs w:val="21"/>
          <w:highlight w:val="none"/>
          <w:lang w:val="en-US" w:eastAsia="zh-CN"/>
        </w:rPr>
        <w:t>的，</w:t>
      </w:r>
      <w:r>
        <w:rPr>
          <w:rFonts w:hint="eastAsia" w:ascii="宋体" w:hAnsi="宋体" w:eastAsia="宋体" w:cs="Times New Roman"/>
          <w:color w:val="000000"/>
          <w:sz w:val="21"/>
          <w:szCs w:val="21"/>
          <w:highlight w:val="none"/>
        </w:rPr>
        <w:t>应</w:t>
      </w:r>
      <w:r>
        <w:rPr>
          <w:rFonts w:hint="eastAsia" w:ascii="宋体" w:hAnsi="宋体" w:eastAsia="宋体" w:cs="Times New Roman"/>
          <w:color w:val="000000"/>
          <w:sz w:val="21"/>
          <w:szCs w:val="21"/>
          <w:highlight w:val="none"/>
          <w:lang w:val="en-US" w:eastAsia="zh-CN"/>
        </w:rPr>
        <w:t>不低于</w:t>
      </w:r>
      <w:r>
        <w:rPr>
          <w:rFonts w:hint="eastAsia" w:ascii="宋体" w:hAnsi="宋体" w:eastAsia="宋体" w:cs="Times New Roman"/>
          <w:color w:val="000000"/>
          <w:sz w:val="21"/>
          <w:szCs w:val="21"/>
          <w:highlight w:val="none"/>
        </w:rPr>
        <w:t>《商品包装政府采购需求标准（试行）</w:t>
      </w:r>
      <w:r>
        <w:rPr>
          <w:rFonts w:hint="eastAsia" w:ascii="宋体" w:hAnsi="宋体" w:eastAsia="宋体" w:cs="Times New Roman"/>
          <w:color w:val="000000"/>
          <w:sz w:val="21"/>
          <w:szCs w:val="21"/>
          <w:highlight w:val="none"/>
          <w:lang w:eastAsia="zh-CN"/>
        </w:rPr>
        <w:t>》《</w:t>
      </w:r>
      <w:r>
        <w:rPr>
          <w:rFonts w:hint="eastAsia" w:ascii="宋体" w:hAnsi="宋体" w:eastAsia="宋体" w:cs="Times New Roman"/>
          <w:color w:val="000000"/>
          <w:sz w:val="21"/>
          <w:szCs w:val="21"/>
          <w:highlight w:val="none"/>
        </w:rPr>
        <w:t>快递包装政府采购需求标准（试行）》</w:t>
      </w:r>
      <w:r>
        <w:rPr>
          <w:rFonts w:hint="eastAsia" w:ascii="宋体" w:hAnsi="宋体" w:eastAsia="宋体" w:cs="Times New Roman"/>
          <w:color w:val="000000"/>
          <w:sz w:val="21"/>
          <w:szCs w:val="21"/>
          <w:highlight w:val="none"/>
          <w:lang w:val="en-US" w:eastAsia="zh-CN"/>
        </w:rPr>
        <w:t>标准</w:t>
      </w:r>
      <w:r>
        <w:rPr>
          <w:rFonts w:hint="eastAsia" w:ascii="宋体" w:hAnsi="宋体" w:eastAsia="宋体" w:cs="Times New Roman"/>
          <w:color w:val="000000"/>
          <w:sz w:val="21"/>
          <w:szCs w:val="21"/>
          <w:highlight w:val="none"/>
        </w:rPr>
        <w:t>，并作为履约验收的内容，必要时甲方可以要求乙方在履约验收环节出具检测报告。</w:t>
      </w:r>
    </w:p>
    <w:p w14:paraId="1C8A1666">
      <w:pPr>
        <w:autoSpaceDE w:val="0"/>
        <w:autoSpaceDN w:val="0"/>
        <w:adjustRightInd w:val="0"/>
        <w:snapToGrid w:val="0"/>
        <w:spacing w:before="0" w:line="400" w:lineRule="exact"/>
        <w:ind w:left="0" w:leftChars="0" w:firstLine="420" w:firstLineChars="20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val="en-US" w:eastAsia="zh-CN"/>
        </w:rPr>
        <w:t xml:space="preserve">7.5 </w:t>
      </w:r>
      <w:r>
        <w:rPr>
          <w:rFonts w:hint="eastAsia" w:ascii="宋体" w:hAnsi="宋体" w:eastAsia="宋体" w:cs="宋体"/>
          <w:color w:val="000000"/>
          <w:sz w:val="21"/>
          <w:szCs w:val="21"/>
        </w:rPr>
        <w:t>乙方在运输到达之前</w:t>
      </w:r>
      <w:r>
        <w:rPr>
          <w:rFonts w:hint="eastAsia" w:ascii="宋体" w:hAnsi="宋体" w:eastAsia="宋体" w:cs="宋体"/>
          <w:color w:val="000000"/>
          <w:sz w:val="21"/>
          <w:szCs w:val="21"/>
          <w:lang w:eastAsia="zh-CN"/>
        </w:rPr>
        <w:t>应</w:t>
      </w:r>
      <w:r>
        <w:rPr>
          <w:rFonts w:hint="eastAsia" w:ascii="宋体" w:hAnsi="宋体" w:eastAsia="宋体" w:cs="宋体"/>
          <w:color w:val="000000"/>
          <w:sz w:val="21"/>
          <w:szCs w:val="21"/>
        </w:rPr>
        <w:t>提前通知</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，并提示货物运输装卸的注意事项</w:t>
      </w:r>
      <w:r>
        <w:rPr>
          <w:rFonts w:hint="eastAsia" w:ascii="宋体" w:hAnsi="宋体" w:eastAsia="宋体" w:cs="宋体"/>
          <w:color w:val="000000"/>
          <w:sz w:val="21"/>
          <w:szCs w:val="21"/>
          <w:lang w:eastAsia="zh-CN"/>
        </w:rPr>
        <w:t>，甲方配合乙方做好货物的接收工作。</w:t>
      </w:r>
    </w:p>
    <w:p w14:paraId="7B715B72">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160D452A">
      <w:pPr>
        <w:adjustRightInd w:val="0"/>
        <w:snapToGrid w:val="0"/>
        <w:spacing w:before="0" w:line="400" w:lineRule="exact"/>
        <w:ind w:left="0" w:leftChars="0"/>
        <w:jc w:val="left"/>
        <w:rPr>
          <w:rFonts w:ascii="宋体" w:hAnsi="宋体" w:eastAsia="宋体" w:cs="Times New Roman"/>
          <w:b/>
          <w:color w:val="auto"/>
          <w:sz w:val="24"/>
          <w:szCs w:val="24"/>
          <w:highlight w:val="none"/>
        </w:rPr>
      </w:pPr>
      <w:r>
        <w:rPr>
          <w:rFonts w:hint="eastAsia" w:ascii="宋体" w:hAnsi="宋体" w:eastAsia="宋体" w:cs="Times New Roman"/>
          <w:b/>
          <w:color w:val="000000"/>
          <w:sz w:val="24"/>
          <w:szCs w:val="24"/>
          <w:highlight w:val="none"/>
          <w:lang w:eastAsia="zh-CN"/>
        </w:rPr>
        <w:t>8</w:t>
      </w:r>
      <w:r>
        <w:rPr>
          <w:rFonts w:hint="eastAsia" w:ascii="宋体" w:hAnsi="宋体" w:eastAsia="宋体" w:cs="Times New Roman"/>
          <w:b/>
          <w:color w:val="000000"/>
          <w:sz w:val="24"/>
          <w:szCs w:val="24"/>
          <w:highlight w:val="none"/>
          <w:lang w:val="en-US" w:eastAsia="zh-CN"/>
        </w:rPr>
        <w:t xml:space="preserve">. </w:t>
      </w:r>
      <w:r>
        <w:rPr>
          <w:rFonts w:hint="eastAsia" w:ascii="宋体" w:hAnsi="宋体" w:eastAsia="宋体" w:cs="Times New Roman"/>
          <w:b/>
          <w:color w:val="auto"/>
          <w:sz w:val="24"/>
          <w:szCs w:val="24"/>
          <w:highlight w:val="none"/>
        </w:rPr>
        <w:t>质量标准和保证</w:t>
      </w:r>
    </w:p>
    <w:p w14:paraId="27C9F858">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14:paraId="32F39C35">
      <w:pPr>
        <w:autoSpaceDE w:val="0"/>
        <w:autoSpaceDN w:val="0"/>
        <w:adjustRightInd w:val="0"/>
        <w:snapToGrid w:val="0"/>
        <w:spacing w:before="0" w:line="400" w:lineRule="exact"/>
        <w:ind w:left="0" w:leftChars="0"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（1）本合同下</w:t>
      </w:r>
      <w:r>
        <w:rPr>
          <w:rFonts w:hint="eastAsia" w:ascii="宋体" w:hAnsi="宋体" w:eastAsia="宋体" w:cs="Times New Roman"/>
          <w:color w:val="auto"/>
          <w:sz w:val="21"/>
          <w:szCs w:val="21"/>
          <w:highlight w:val="none"/>
          <w:lang w:eastAsia="zh-CN"/>
        </w:rPr>
        <w:t>提供</w:t>
      </w:r>
      <w:r>
        <w:rPr>
          <w:rFonts w:hint="eastAsia" w:ascii="宋体" w:hAnsi="宋体" w:eastAsia="宋体" w:cs="Times New Roman"/>
          <w:color w:val="auto"/>
          <w:sz w:val="21"/>
          <w:szCs w:val="21"/>
          <w:highlight w:val="none"/>
        </w:rPr>
        <w:t>的货物应符合</w:t>
      </w:r>
      <w:r>
        <w:rPr>
          <w:rFonts w:hint="eastAsia" w:ascii="宋体" w:hAnsi="宋体" w:eastAsia="宋体" w:cs="Times New Roman"/>
          <w:color w:val="auto"/>
          <w:sz w:val="21"/>
          <w:szCs w:val="21"/>
          <w:highlight w:val="none"/>
          <w:lang w:eastAsia="zh-CN"/>
        </w:rPr>
        <w:t>合同</w:t>
      </w:r>
      <w:r>
        <w:rPr>
          <w:rFonts w:hint="eastAsia" w:ascii="宋体" w:hAnsi="宋体" w:eastAsia="宋体" w:cs="宋体"/>
          <w:color w:val="000000"/>
          <w:sz w:val="21"/>
          <w:szCs w:val="21"/>
          <w:lang w:eastAsia="zh-CN"/>
        </w:rPr>
        <w:t>约</w:t>
      </w:r>
      <w:r>
        <w:rPr>
          <w:rFonts w:hint="eastAsia" w:ascii="宋体" w:hAnsi="宋体" w:eastAsia="宋体" w:cs="宋体"/>
          <w:color w:val="000000"/>
          <w:sz w:val="21"/>
          <w:szCs w:val="21"/>
        </w:rPr>
        <w:t>定的</w:t>
      </w:r>
      <w:r>
        <w:rPr>
          <w:rFonts w:hint="eastAsia" w:ascii="宋体" w:hAnsi="宋体" w:eastAsia="宋体" w:cs="宋体"/>
          <w:sz w:val="21"/>
          <w:szCs w:val="21"/>
        </w:rPr>
        <w:t>品牌、规格型号、技术性能、配置、质量、数量等要求。</w:t>
      </w:r>
      <w:r>
        <w:rPr>
          <w:rFonts w:hint="eastAsia" w:ascii="宋体" w:hAnsi="宋体" w:eastAsia="宋体" w:cs="Times New Roman"/>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Times New Roman"/>
          <w:color w:val="auto"/>
          <w:sz w:val="21"/>
          <w:szCs w:val="21"/>
          <w:highlight w:val="none"/>
          <w:lang w:eastAsia="zh-CN"/>
        </w:rPr>
        <w:t>。</w:t>
      </w:r>
    </w:p>
    <w:p w14:paraId="094852F4">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14:paraId="7F2386C1">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（3）乙方所</w:t>
      </w:r>
      <w:r>
        <w:rPr>
          <w:rFonts w:hint="eastAsia" w:ascii="宋体" w:hAnsi="宋体" w:eastAsia="宋体" w:cs="Times New Roman"/>
          <w:color w:val="auto"/>
          <w:sz w:val="21"/>
          <w:szCs w:val="21"/>
          <w:highlight w:val="none"/>
          <w:lang w:eastAsia="zh-CN"/>
        </w:rPr>
        <w:t>提供</w:t>
      </w:r>
      <w:r>
        <w:rPr>
          <w:rFonts w:hint="eastAsia" w:ascii="宋体" w:hAnsi="宋体" w:eastAsia="宋体" w:cs="Times New Roman"/>
          <w:color w:val="auto"/>
          <w:sz w:val="21"/>
          <w:szCs w:val="21"/>
          <w:highlight w:val="none"/>
        </w:rPr>
        <w:t>的货物应符合国家有关安全、环保、卫生</w:t>
      </w:r>
      <w:r>
        <w:rPr>
          <w:rFonts w:hint="eastAsia" w:ascii="宋体" w:hAnsi="宋体" w:eastAsia="宋体" w:cs="Times New Roman"/>
          <w:color w:val="auto"/>
          <w:sz w:val="21"/>
          <w:szCs w:val="21"/>
          <w:highlight w:val="none"/>
          <w:lang w:eastAsia="zh-CN"/>
        </w:rPr>
        <w:t>的</w:t>
      </w:r>
      <w:r>
        <w:rPr>
          <w:rFonts w:hint="eastAsia" w:ascii="宋体" w:hAnsi="宋体" w:eastAsia="宋体" w:cs="Times New Roman"/>
          <w:color w:val="auto"/>
          <w:sz w:val="21"/>
          <w:szCs w:val="21"/>
          <w:highlight w:val="none"/>
        </w:rPr>
        <w:t>规定。</w:t>
      </w:r>
    </w:p>
    <w:p w14:paraId="1CEE0AA4">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（4）乙方应向甲方提交所</w:t>
      </w:r>
      <w:r>
        <w:rPr>
          <w:rFonts w:hint="eastAsia" w:ascii="宋体" w:hAnsi="宋体" w:eastAsia="宋体" w:cs="Times New Roman"/>
          <w:color w:val="auto"/>
          <w:sz w:val="21"/>
          <w:szCs w:val="21"/>
          <w:highlight w:val="none"/>
          <w:lang w:eastAsia="zh-CN"/>
        </w:rPr>
        <w:t>提供</w:t>
      </w:r>
      <w:r>
        <w:rPr>
          <w:rFonts w:hint="eastAsia" w:ascii="宋体" w:hAnsi="宋体" w:eastAsia="宋体" w:cs="Times New Roman"/>
          <w:color w:val="auto"/>
          <w:sz w:val="21"/>
          <w:szCs w:val="21"/>
          <w:highlight w:val="none"/>
        </w:rPr>
        <w:t>货物的技术文件，包括相应的中文技术文件，如：产品目录、图纸、操作手册、使用说明、维护手册或服务指南</w:t>
      </w:r>
      <w:r>
        <w:rPr>
          <w:rFonts w:hint="eastAsia" w:ascii="宋体" w:hAnsi="宋体" w:eastAsia="宋体" w:cs="Times New Roman"/>
          <w:color w:val="auto"/>
          <w:sz w:val="21"/>
          <w:szCs w:val="21"/>
          <w:highlight w:val="none"/>
          <w:lang w:eastAsia="zh-CN"/>
        </w:rPr>
        <w:t>等</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上述</w:t>
      </w:r>
      <w:r>
        <w:rPr>
          <w:rFonts w:hint="eastAsia" w:ascii="宋体" w:hAnsi="宋体" w:eastAsia="宋体" w:cs="Times New Roman"/>
          <w:color w:val="auto"/>
          <w:sz w:val="21"/>
          <w:szCs w:val="21"/>
          <w:highlight w:val="none"/>
        </w:rPr>
        <w:t>文件应包装好随货物一同发运。</w:t>
      </w:r>
    </w:p>
    <w:p w14:paraId="03EDFA38">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8</w:t>
      </w:r>
      <w:r>
        <w:rPr>
          <w:rFonts w:hint="eastAsia" w:ascii="宋体" w:hAnsi="宋体" w:eastAsia="宋体" w:cs="Times New Roman"/>
          <w:color w:val="auto"/>
          <w:sz w:val="21"/>
          <w:szCs w:val="21"/>
          <w:highlight w:val="none"/>
        </w:rPr>
        <w:t>.2 保证</w:t>
      </w:r>
    </w:p>
    <w:p w14:paraId="40B9EA2D">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（1）乙方应保证</w:t>
      </w:r>
      <w:r>
        <w:rPr>
          <w:rFonts w:hint="eastAsia" w:ascii="宋体" w:hAnsi="宋体" w:eastAsia="宋体" w:cs="Times New Roman"/>
          <w:color w:val="auto"/>
          <w:sz w:val="21"/>
          <w:szCs w:val="21"/>
          <w:highlight w:val="none"/>
          <w:lang w:eastAsia="zh-CN"/>
        </w:rPr>
        <w:t>提供的货物</w:t>
      </w:r>
      <w:r>
        <w:rPr>
          <w:rFonts w:hint="eastAsia" w:ascii="宋体" w:hAnsi="宋体" w:eastAsia="宋体" w:cs="Times New Roman"/>
          <w:color w:val="auto"/>
          <w:sz w:val="21"/>
          <w:szCs w:val="21"/>
          <w:highlight w:val="none"/>
        </w:rPr>
        <w:t>完全符合合同规定的质量、规格和性能要求。乙方应保证货物在正确安装、正常使用和保养条件下，</w:t>
      </w:r>
      <w:r>
        <w:rPr>
          <w:rFonts w:hint="eastAsia" w:ascii="宋体" w:hAnsi="宋体" w:eastAsia="宋体" w:cs="宋体"/>
          <w:sz w:val="21"/>
          <w:szCs w:val="21"/>
        </w:rPr>
        <w:t>在其使用寿命期内具</w:t>
      </w:r>
      <w:r>
        <w:rPr>
          <w:rFonts w:hint="eastAsia" w:ascii="宋体" w:hAnsi="宋体" w:eastAsia="宋体" w:cs="宋体"/>
          <w:sz w:val="21"/>
          <w:szCs w:val="21"/>
          <w:lang w:eastAsia="zh-CN"/>
        </w:rPr>
        <w:t>备合同约定</w:t>
      </w:r>
      <w:r>
        <w:rPr>
          <w:rFonts w:hint="eastAsia" w:ascii="宋体" w:hAnsi="宋体" w:eastAsia="宋体" w:cs="宋体"/>
          <w:sz w:val="21"/>
          <w:szCs w:val="21"/>
        </w:rPr>
        <w:t>的性能</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存在</w:t>
      </w:r>
      <w:r>
        <w:rPr>
          <w:rFonts w:hint="eastAsia" w:ascii="宋体" w:hAnsi="宋体" w:eastAsia="宋体" w:cs="Times New Roman"/>
          <w:color w:val="auto"/>
          <w:sz w:val="21"/>
          <w:szCs w:val="21"/>
          <w:highlight w:val="none"/>
        </w:rPr>
        <w:t>质量保证期的，货物最终交付验收</w:t>
      </w:r>
      <w:r>
        <w:rPr>
          <w:rFonts w:hint="eastAsia" w:ascii="宋体" w:hAnsi="宋体" w:eastAsia="宋体" w:cs="Times New Roman"/>
          <w:color w:val="auto"/>
          <w:sz w:val="21"/>
          <w:szCs w:val="21"/>
          <w:highlight w:val="none"/>
          <w:lang w:eastAsia="zh-CN"/>
        </w:rPr>
        <w:t>合格</w:t>
      </w:r>
      <w:r>
        <w:rPr>
          <w:rFonts w:hint="eastAsia" w:ascii="宋体" w:hAnsi="宋体" w:eastAsia="宋体" w:cs="Times New Roman"/>
          <w:color w:val="auto"/>
          <w:sz w:val="21"/>
          <w:szCs w:val="21"/>
          <w:highlight w:val="none"/>
        </w:rPr>
        <w:t>后</w:t>
      </w:r>
      <w:r>
        <w:rPr>
          <w:rFonts w:hint="eastAsia" w:ascii="宋体" w:hAnsi="宋体" w:eastAsia="宋体" w:cs="Times New Roman"/>
          <w:color w:val="auto"/>
          <w:sz w:val="21"/>
          <w:szCs w:val="21"/>
          <w:highlight w:val="none"/>
          <w:lang w:eastAsia="zh-CN"/>
        </w:rPr>
        <w:t>在</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规定或乙方</w:t>
      </w:r>
      <w:r>
        <w:rPr>
          <w:rFonts w:hint="eastAsia" w:ascii="宋体" w:hAnsi="宋体" w:eastAsia="宋体" w:cs="Times New Roman"/>
          <w:color w:val="auto"/>
          <w:sz w:val="21"/>
          <w:szCs w:val="21"/>
          <w:highlight w:val="none"/>
          <w:lang w:eastAsia="zh-CN"/>
        </w:rPr>
        <w:t>书面</w:t>
      </w:r>
      <w:r>
        <w:rPr>
          <w:rFonts w:hint="eastAsia" w:ascii="宋体" w:hAnsi="宋体" w:eastAsia="宋体" w:cs="Times New Roman"/>
          <w:color w:val="auto"/>
          <w:sz w:val="21"/>
          <w:szCs w:val="21"/>
          <w:highlight w:val="none"/>
        </w:rPr>
        <w:t>承诺（两者以较长的为准）的质量保证期内，本保证保持有效。</w:t>
      </w:r>
    </w:p>
    <w:p w14:paraId="00C94998">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（2）在质量保证期内所发现的缺陷，甲方应尽快以书面形式通知乙方。</w:t>
      </w:r>
    </w:p>
    <w:p w14:paraId="01721B4E">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（3）乙方收到通知后</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应在</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规定的响应时间内以合理的速度免费维修或更换有缺陷的货物或部件。</w:t>
      </w:r>
    </w:p>
    <w:p w14:paraId="0444AF5D">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color w:val="000000"/>
          <w:sz w:val="21"/>
          <w:szCs w:val="21"/>
          <w:highlight w:val="none"/>
          <w:lang w:val="en-US" w:eastAsia="zh-CN"/>
        </w:rPr>
        <w:t>5</w:t>
      </w:r>
      <w:r>
        <w:rPr>
          <w:rFonts w:hint="eastAsia" w:ascii="宋体" w:hAnsi="宋体" w:eastAsia="宋体" w:cs="Times New Roman"/>
          <w:color w:val="auto"/>
          <w:sz w:val="21"/>
          <w:szCs w:val="21"/>
          <w:highlight w:val="none"/>
        </w:rPr>
        <w:t>.1条规定以书面形式</w:t>
      </w:r>
      <w:r>
        <w:rPr>
          <w:rFonts w:hint="eastAsia" w:ascii="宋体" w:hAnsi="宋体" w:eastAsia="宋体" w:cs="Times New Roman"/>
          <w:color w:val="000000"/>
          <w:sz w:val="21"/>
          <w:szCs w:val="21"/>
          <w:highlight w:val="none"/>
          <w:lang w:eastAsia="zh-CN"/>
        </w:rPr>
        <w:t>追究</w:t>
      </w:r>
      <w:r>
        <w:rPr>
          <w:rFonts w:hint="eastAsia" w:ascii="宋体" w:hAnsi="宋体" w:eastAsia="宋体" w:cs="Times New Roman"/>
          <w:color w:val="auto"/>
          <w:sz w:val="21"/>
          <w:szCs w:val="21"/>
          <w:highlight w:val="none"/>
        </w:rPr>
        <w:t>乙方</w:t>
      </w:r>
      <w:r>
        <w:rPr>
          <w:rFonts w:hint="eastAsia" w:ascii="宋体" w:hAnsi="宋体" w:eastAsia="宋体" w:cs="Times New Roman"/>
          <w:color w:val="000000"/>
          <w:sz w:val="21"/>
          <w:szCs w:val="21"/>
          <w:highlight w:val="none"/>
          <w:lang w:eastAsia="zh-CN"/>
        </w:rPr>
        <w:t>的违约责任</w:t>
      </w:r>
      <w:r>
        <w:rPr>
          <w:rFonts w:hint="eastAsia" w:ascii="宋体" w:hAnsi="宋体" w:eastAsia="宋体" w:cs="Times New Roman"/>
          <w:color w:val="auto"/>
          <w:sz w:val="21"/>
          <w:szCs w:val="21"/>
          <w:highlight w:val="none"/>
        </w:rPr>
        <w:t>。</w:t>
      </w:r>
    </w:p>
    <w:p w14:paraId="20EB9AFF">
      <w:pPr>
        <w:adjustRightInd w:val="0"/>
        <w:snapToGrid w:val="0"/>
        <w:spacing w:before="0" w:line="400" w:lineRule="exact"/>
        <w:ind w:left="0" w:leftChars="0" w:firstLine="420" w:firstLineChars="200"/>
        <w:jc w:val="left"/>
        <w:rPr>
          <w:rFonts w:ascii="Times New Roman" w:hAnsi="Times New Roman" w:eastAsia="宋体" w:cs="Times New Roman"/>
          <w:color w:val="auto"/>
          <w:sz w:val="21"/>
          <w:szCs w:val="24"/>
          <w:highlight w:val="none"/>
        </w:rPr>
      </w:pPr>
      <w:r>
        <w:rPr>
          <w:rFonts w:hint="eastAsia" w:ascii="宋体" w:hAnsi="宋体" w:eastAsia="宋体" w:cs="Times New Roman"/>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Times New Roman"/>
          <w:color w:val="auto"/>
          <w:sz w:val="21"/>
          <w:szCs w:val="21"/>
          <w:highlight w:val="none"/>
          <w:lang w:eastAsia="zh-CN"/>
        </w:rPr>
        <w:t>约定</w:t>
      </w:r>
      <w:r>
        <w:rPr>
          <w:rFonts w:hint="eastAsia" w:ascii="宋体" w:hAnsi="宋体" w:eastAsia="宋体" w:cs="Times New Roman"/>
          <w:color w:val="auto"/>
          <w:sz w:val="21"/>
          <w:szCs w:val="21"/>
          <w:highlight w:val="none"/>
        </w:rPr>
        <w:t>对乙方行使的其他权利不受影响。</w:t>
      </w:r>
    </w:p>
    <w:p w14:paraId="4B081149">
      <w:pPr>
        <w:adjustRightInd w:val="0"/>
        <w:snapToGrid w:val="0"/>
        <w:spacing w:before="0" w:line="400" w:lineRule="exact"/>
        <w:ind w:left="0" w:leftChars="0"/>
        <w:jc w:val="left"/>
        <w:rPr>
          <w:rFonts w:ascii="宋体" w:hAnsi="宋体" w:eastAsia="宋体" w:cs="Times New Roman"/>
          <w:b/>
          <w:bCs/>
          <w:color w:val="auto"/>
          <w:sz w:val="24"/>
          <w:szCs w:val="24"/>
          <w:highlight w:val="none"/>
        </w:rPr>
      </w:pPr>
      <w:r>
        <w:rPr>
          <w:rFonts w:hint="eastAsia" w:ascii="宋体" w:hAnsi="宋体" w:eastAsia="宋体" w:cs="Times New Roman"/>
          <w:b/>
          <w:bCs/>
          <w:color w:val="000000"/>
          <w:sz w:val="24"/>
          <w:szCs w:val="24"/>
          <w:highlight w:val="none"/>
          <w:lang w:eastAsia="zh-CN"/>
        </w:rPr>
        <w:t>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auto"/>
          <w:sz w:val="24"/>
          <w:szCs w:val="24"/>
          <w:highlight w:val="none"/>
        </w:rPr>
        <w:t>权利瑕疵担保</w:t>
      </w:r>
    </w:p>
    <w:p w14:paraId="255E8214">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9</w:t>
      </w:r>
      <w:r>
        <w:rPr>
          <w:rFonts w:hint="eastAsia" w:ascii="宋体" w:hAnsi="宋体" w:eastAsia="宋体" w:cs="Times New Roman"/>
          <w:color w:val="000000"/>
          <w:sz w:val="21"/>
          <w:szCs w:val="21"/>
          <w:highlight w:val="none"/>
        </w:rPr>
        <w:t>.1 乙方保证对其出售的货物享有合法的权利。</w:t>
      </w:r>
    </w:p>
    <w:p w14:paraId="038185E0">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9</w:t>
      </w:r>
      <w:r>
        <w:rPr>
          <w:rFonts w:hint="eastAsia" w:ascii="宋体" w:hAnsi="宋体" w:eastAsia="宋体" w:cs="Times New Roman"/>
          <w:color w:val="000000"/>
          <w:sz w:val="21"/>
          <w:szCs w:val="21"/>
          <w:highlight w:val="none"/>
        </w:rPr>
        <w:t xml:space="preserve">.2 </w:t>
      </w:r>
      <w:r>
        <w:rPr>
          <w:rFonts w:hint="eastAsia" w:ascii="宋体" w:hAnsi="宋体" w:eastAsia="宋体" w:cs="宋体"/>
          <w:sz w:val="21"/>
          <w:szCs w:val="15"/>
        </w:rPr>
        <w:t>乙方保证在交付的货物上不存在抵押权等担保物权。</w:t>
      </w:r>
    </w:p>
    <w:p w14:paraId="6B64CB11">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eastAsia="zh-CN"/>
        </w:rPr>
        <w:t>9</w:t>
      </w:r>
      <w:r>
        <w:rPr>
          <w:rFonts w:hint="eastAsia" w:ascii="宋体" w:hAnsi="宋体" w:eastAsia="宋体" w:cs="Times New Roman"/>
          <w:color w:val="000000"/>
          <w:sz w:val="21"/>
          <w:szCs w:val="21"/>
          <w:highlight w:val="none"/>
        </w:rPr>
        <w:t>.3 如甲方使用</w:t>
      </w:r>
      <w:r>
        <w:rPr>
          <w:rFonts w:hint="eastAsia" w:ascii="宋体" w:hAnsi="宋体" w:eastAsia="宋体" w:cs="Times New Roman"/>
          <w:color w:val="000000"/>
          <w:sz w:val="21"/>
          <w:szCs w:val="21"/>
          <w:highlight w:val="none"/>
          <w:lang w:val="en-US" w:eastAsia="zh-CN"/>
        </w:rPr>
        <w:t>上述</w:t>
      </w:r>
      <w:r>
        <w:rPr>
          <w:rFonts w:hint="eastAsia" w:ascii="宋体" w:hAnsi="宋体" w:eastAsia="宋体" w:cs="Times New Roman"/>
          <w:color w:val="000000"/>
          <w:sz w:val="21"/>
          <w:szCs w:val="21"/>
          <w:highlight w:val="none"/>
        </w:rPr>
        <w:t>货物构成</w:t>
      </w:r>
      <w:r>
        <w:rPr>
          <w:rFonts w:hint="eastAsia" w:ascii="宋体" w:hAnsi="宋体" w:eastAsia="宋体" w:cs="Times New Roman"/>
          <w:color w:val="000000"/>
          <w:sz w:val="21"/>
          <w:szCs w:val="21"/>
          <w:highlight w:val="none"/>
          <w:lang w:val="en-US" w:eastAsia="zh-CN"/>
        </w:rPr>
        <w:t>对第三人</w:t>
      </w:r>
      <w:r>
        <w:rPr>
          <w:rFonts w:hint="eastAsia" w:ascii="宋体" w:hAnsi="宋体" w:eastAsia="宋体" w:cs="Times New Roman"/>
          <w:color w:val="000000"/>
          <w:sz w:val="21"/>
          <w:szCs w:val="21"/>
          <w:highlight w:val="none"/>
        </w:rPr>
        <w:t>侵权的，则由乙方承担全部责任。</w:t>
      </w:r>
    </w:p>
    <w:p w14:paraId="4D1E57B5">
      <w:pPr>
        <w:autoSpaceDE w:val="0"/>
        <w:autoSpaceDN w:val="0"/>
        <w:adjustRightInd w:val="0"/>
        <w:snapToGrid w:val="0"/>
        <w:spacing w:before="0" w:line="400" w:lineRule="exact"/>
        <w:ind w:left="0" w:leftChars="0"/>
        <w:jc w:val="left"/>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rPr>
        <w:t>1</w:t>
      </w:r>
      <w:r>
        <w:rPr>
          <w:rFonts w:hint="eastAsia" w:ascii="宋体" w:hAnsi="宋体" w:eastAsia="宋体" w:cs="Times New Roman"/>
          <w:b/>
          <w:bCs/>
          <w:color w:val="000000"/>
          <w:sz w:val="24"/>
          <w:szCs w:val="24"/>
          <w:highlight w:val="none"/>
          <w:lang w:eastAsia="zh-CN"/>
        </w:rPr>
        <w:t>0</w:t>
      </w:r>
      <w:r>
        <w:rPr>
          <w:rFonts w:hint="eastAsia" w:ascii="宋体" w:hAnsi="宋体" w:eastAsia="宋体" w:cs="Times New Roman"/>
          <w:b/>
          <w:bCs/>
          <w:color w:val="000000"/>
          <w:sz w:val="24"/>
          <w:szCs w:val="24"/>
          <w:highlight w:val="none"/>
        </w:rPr>
        <w:t>.</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知识产权保护</w:t>
      </w:r>
    </w:p>
    <w:p w14:paraId="3569C4B0">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000000"/>
          <w:sz w:val="21"/>
          <w:szCs w:val="21"/>
          <w:highlight w:val="none"/>
        </w:rPr>
        <w:t>1</w:t>
      </w:r>
      <w:r>
        <w:rPr>
          <w:rFonts w:hint="eastAsia" w:ascii="宋体" w:hAnsi="宋体" w:eastAsia="宋体" w:cs="Times New Roman"/>
          <w:color w:val="000000"/>
          <w:sz w:val="21"/>
          <w:szCs w:val="21"/>
          <w:highlight w:val="none"/>
          <w:lang w:eastAsia="zh-CN"/>
        </w:rPr>
        <w:t>0</w:t>
      </w:r>
      <w:r>
        <w:rPr>
          <w:rFonts w:hint="eastAsia" w:ascii="宋体" w:hAnsi="宋体" w:eastAsia="宋体" w:cs="Times New Roman"/>
          <w:color w:val="000000"/>
          <w:sz w:val="21"/>
          <w:szCs w:val="21"/>
          <w:highlight w:val="none"/>
        </w:rPr>
        <w:t>.1 乙方对其所销售的货物应当享有知识产权或经权利人合法授权，保证没有侵犯任</w:t>
      </w:r>
      <w:r>
        <w:rPr>
          <w:rFonts w:hint="eastAsia" w:ascii="宋体" w:hAnsi="宋体" w:eastAsia="宋体" w:cs="Times New Roman"/>
          <w:color w:val="auto"/>
          <w:sz w:val="21"/>
          <w:szCs w:val="21"/>
          <w:highlight w:val="none"/>
        </w:rPr>
        <w:t>何第三人的知识产权等权利。</w:t>
      </w:r>
      <w:bookmarkStart w:id="246" w:name="_Hlk163047038"/>
      <w:r>
        <w:rPr>
          <w:rFonts w:hint="eastAsia" w:ascii="宋体" w:hAnsi="宋体" w:eastAsia="宋体" w:cs="宋体"/>
          <w:sz w:val="21"/>
          <w:szCs w:val="15"/>
        </w:rPr>
        <w:t>因违反前述约定对第三人构成侵权的，应当由乙方向第三人承担法律责任；甲方依法向第三人赔偿后，有权向乙方追偿。甲方有其他损失的，乙方应当赔偿</w:t>
      </w:r>
      <w:bookmarkEnd w:id="246"/>
      <w:r>
        <w:rPr>
          <w:rFonts w:hint="eastAsia" w:ascii="宋体" w:hAnsi="宋体" w:eastAsia="宋体" w:cs="Times New Roman"/>
          <w:color w:val="auto"/>
          <w:sz w:val="21"/>
          <w:szCs w:val="21"/>
          <w:highlight w:val="none"/>
        </w:rPr>
        <w:t>。</w:t>
      </w:r>
    </w:p>
    <w:p w14:paraId="7180698F">
      <w:pPr>
        <w:autoSpaceDE w:val="0"/>
        <w:autoSpaceDN w:val="0"/>
        <w:adjustRightInd w:val="0"/>
        <w:snapToGrid w:val="0"/>
        <w:spacing w:before="0" w:line="400" w:lineRule="exact"/>
        <w:ind w:left="0" w:leftChars="0"/>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保密义务</w:t>
      </w:r>
    </w:p>
    <w:p w14:paraId="75A73AD6">
      <w:pPr>
        <w:autoSpaceDE w:val="0"/>
        <w:autoSpaceDN w:val="0"/>
        <w:adjustRightInd w:val="0"/>
        <w:snapToGrid w:val="0"/>
        <w:spacing w:before="0" w:line="400" w:lineRule="exact"/>
        <w:ind w:left="0" w:leftChars="0" w:firstLine="420" w:firstLineChars="200"/>
        <w:jc w:val="left"/>
        <w:rPr>
          <w:rFonts w:hint="eastAsia" w:ascii="宋体" w:hAnsi="宋体" w:eastAsia="宋体" w:cs="宋体"/>
          <w:sz w:val="21"/>
          <w:szCs w:val="15"/>
        </w:rPr>
      </w:pPr>
      <w:r>
        <w:rPr>
          <w:rFonts w:hint="eastAsia" w:ascii="宋体" w:hAnsi="宋体" w:eastAsia="宋体" w:cs="宋体"/>
          <w:sz w:val="21"/>
          <w:szCs w:val="15"/>
          <w:lang w:val="en-US" w:eastAsia="zh-CN"/>
        </w:rPr>
        <w:t xml:space="preserve">11.1 </w:t>
      </w:r>
      <w:r>
        <w:rPr>
          <w:rFonts w:hint="eastAsia" w:ascii="宋体" w:hAnsi="宋体" w:eastAsia="宋体" w:cs="宋体"/>
          <w:sz w:val="21"/>
          <w:szCs w:val="15"/>
        </w:rPr>
        <w:t>甲、乙双方</w:t>
      </w:r>
      <w:r>
        <w:rPr>
          <w:rFonts w:hint="eastAsia" w:ascii="宋体" w:hAnsi="宋体" w:eastAsia="宋体" w:cs="宋体"/>
          <w:sz w:val="21"/>
          <w:szCs w:val="15"/>
          <w:lang w:eastAsia="zh-CN"/>
        </w:rPr>
        <w:t>对</w:t>
      </w:r>
      <w:r>
        <w:rPr>
          <w:rFonts w:hint="eastAsia" w:ascii="宋体" w:hAnsi="宋体" w:eastAsia="宋体" w:cs="宋体"/>
          <w:sz w:val="21"/>
          <w:szCs w:val="15"/>
        </w:rPr>
        <w:t>采购和合同履行过程中所获悉的</w:t>
      </w:r>
      <w:r>
        <w:rPr>
          <w:rFonts w:hint="eastAsia" w:ascii="宋体" w:hAnsi="宋体" w:eastAsia="宋体" w:cs="宋体"/>
          <w:sz w:val="21"/>
          <w:szCs w:val="15"/>
          <w:lang w:eastAsia="zh-CN"/>
        </w:rPr>
        <w:t>国家秘密、工作秘密、</w:t>
      </w:r>
      <w:r>
        <w:rPr>
          <w:rFonts w:hint="eastAsia" w:ascii="宋体" w:hAnsi="宋体" w:eastAsia="宋体" w:cs="宋体"/>
          <w:sz w:val="21"/>
          <w:szCs w:val="15"/>
        </w:rPr>
        <w:t>商业秘密或者其他应当保密的信息，均有保密义务</w:t>
      </w:r>
      <w:r>
        <w:rPr>
          <w:rFonts w:hint="eastAsia" w:ascii="宋体" w:hAnsi="宋体" w:eastAsia="宋体" w:cs="宋体"/>
          <w:sz w:val="21"/>
          <w:szCs w:val="15"/>
          <w:lang w:eastAsia="zh-CN"/>
        </w:rPr>
        <w:t>且不受合同有效期所限，直至该信息成为公开信息</w:t>
      </w:r>
      <w:r>
        <w:rPr>
          <w:rFonts w:hint="eastAsia" w:ascii="宋体" w:hAnsi="宋体" w:eastAsia="宋体" w:cs="宋体"/>
          <w:sz w:val="21"/>
          <w:szCs w:val="15"/>
        </w:rPr>
        <w:t>。泄露、不正当地使用</w:t>
      </w:r>
      <w:r>
        <w:rPr>
          <w:rFonts w:hint="eastAsia" w:ascii="宋体" w:hAnsi="宋体" w:eastAsia="宋体" w:cs="宋体"/>
          <w:sz w:val="21"/>
          <w:szCs w:val="15"/>
          <w:lang w:eastAsia="zh-CN"/>
        </w:rPr>
        <w:t>国家秘密、工作秘密、</w:t>
      </w:r>
      <w:r>
        <w:rPr>
          <w:rFonts w:hint="eastAsia" w:ascii="宋体" w:hAnsi="宋体" w:eastAsia="宋体" w:cs="宋体"/>
          <w:sz w:val="21"/>
          <w:szCs w:val="15"/>
        </w:rPr>
        <w:t>商业秘密或者</w:t>
      </w:r>
      <w:r>
        <w:rPr>
          <w:rFonts w:hint="eastAsia" w:ascii="宋体" w:hAnsi="宋体" w:eastAsia="宋体" w:cs="宋体"/>
          <w:sz w:val="21"/>
          <w:szCs w:val="15"/>
          <w:lang w:eastAsia="zh-CN"/>
        </w:rPr>
        <w:t>其他应当保密的</w:t>
      </w:r>
      <w:r>
        <w:rPr>
          <w:rFonts w:hint="eastAsia" w:ascii="宋体" w:hAnsi="宋体" w:eastAsia="宋体" w:cs="宋体"/>
          <w:sz w:val="21"/>
          <w:szCs w:val="15"/>
        </w:rPr>
        <w:t>信息，应当承担</w:t>
      </w:r>
      <w:r>
        <w:rPr>
          <w:rFonts w:hint="eastAsia" w:ascii="宋体" w:hAnsi="宋体" w:eastAsia="宋体" w:cs="宋体"/>
          <w:sz w:val="21"/>
          <w:szCs w:val="15"/>
          <w:lang w:eastAsia="zh-CN"/>
        </w:rPr>
        <w:t>相应</w:t>
      </w:r>
      <w:r>
        <w:rPr>
          <w:rFonts w:hint="eastAsia" w:ascii="宋体" w:hAnsi="宋体" w:eastAsia="宋体" w:cs="宋体"/>
          <w:sz w:val="21"/>
          <w:szCs w:val="15"/>
        </w:rPr>
        <w:t>责任。其他应当保密的信息由双方在</w:t>
      </w:r>
      <w:r>
        <w:rPr>
          <w:rFonts w:hint="eastAsia" w:ascii="宋体" w:hAnsi="宋体" w:eastAsia="宋体" w:cs="宋体"/>
          <w:b/>
          <w:bCs/>
          <w:sz w:val="21"/>
          <w:szCs w:val="15"/>
        </w:rPr>
        <w:t>【政府采购合同专用条款】</w:t>
      </w:r>
      <w:r>
        <w:rPr>
          <w:rFonts w:hint="eastAsia" w:ascii="宋体" w:hAnsi="宋体" w:eastAsia="宋体" w:cs="宋体"/>
          <w:sz w:val="21"/>
          <w:szCs w:val="15"/>
        </w:rPr>
        <w:t>中约定。</w:t>
      </w:r>
    </w:p>
    <w:p w14:paraId="7C780EDE">
      <w:pPr>
        <w:autoSpaceDE w:val="0"/>
        <w:autoSpaceDN w:val="0"/>
        <w:adjustRightInd w:val="0"/>
        <w:snapToGrid w:val="0"/>
        <w:spacing w:before="0" w:line="400" w:lineRule="exact"/>
        <w:ind w:left="0" w:leftChars="0"/>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2</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合同价款支付</w:t>
      </w:r>
    </w:p>
    <w:p w14:paraId="6EC65099">
      <w:pPr>
        <w:autoSpaceDE/>
        <w:autoSpaceDN/>
        <w:adjustRightInd w:val="0"/>
        <w:snapToGrid w:val="0"/>
        <w:spacing w:before="0" w:line="400" w:lineRule="exact"/>
        <w:ind w:left="0" w:leftChars="0" w:firstLine="420" w:firstLineChars="200"/>
        <w:jc w:val="left"/>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rPr>
        <w:t xml:space="preserve">.1 </w:t>
      </w:r>
      <w:r>
        <w:rPr>
          <w:rFonts w:hint="eastAsia" w:ascii="宋体" w:hAnsi="宋体" w:eastAsia="宋体" w:cs="Times New Roman"/>
          <w:color w:val="auto"/>
          <w:sz w:val="21"/>
          <w:szCs w:val="21"/>
          <w:highlight w:val="none"/>
          <w:lang w:eastAsia="zh-CN"/>
        </w:rPr>
        <w:t>合同价款支付</w:t>
      </w:r>
      <w:r>
        <w:rPr>
          <w:rFonts w:hint="eastAsia" w:ascii="宋体" w:hAnsi="宋体" w:eastAsia="宋体" w:cs="Times New Roman"/>
          <w:color w:val="auto"/>
          <w:sz w:val="21"/>
          <w:szCs w:val="21"/>
          <w:highlight w:val="none"/>
        </w:rPr>
        <w:t>按照国库集中支付</w:t>
      </w:r>
      <w:r>
        <w:rPr>
          <w:rFonts w:hint="eastAsia" w:ascii="宋体" w:hAnsi="宋体" w:eastAsia="宋体" w:cs="Times New Roman"/>
          <w:color w:val="auto"/>
          <w:sz w:val="21"/>
          <w:szCs w:val="21"/>
          <w:highlight w:val="none"/>
          <w:lang w:eastAsia="zh-CN"/>
        </w:rPr>
        <w:t>制度及财政管理相关</w:t>
      </w:r>
      <w:r>
        <w:rPr>
          <w:rFonts w:hint="eastAsia" w:ascii="宋体" w:hAnsi="宋体" w:eastAsia="宋体" w:cs="Times New Roman"/>
          <w:color w:val="auto"/>
          <w:sz w:val="21"/>
          <w:szCs w:val="21"/>
          <w:highlight w:val="none"/>
        </w:rPr>
        <w:t>规定执行。</w:t>
      </w:r>
    </w:p>
    <w:p w14:paraId="7D9B02B7">
      <w:pPr>
        <w:autoSpaceDE/>
        <w:autoSpaceDN/>
        <w:adjustRightInd w:val="0"/>
        <w:snapToGrid w:val="0"/>
        <w:spacing w:before="0" w:line="400" w:lineRule="exact"/>
        <w:ind w:left="0" w:leftChars="0" w:firstLine="420" w:firstLineChars="20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sz w:val="21"/>
          <w:szCs w:val="21"/>
          <w:highlight w:val="none"/>
          <w:lang w:val="en-US" w:eastAsia="zh-CN"/>
        </w:rPr>
        <w:t>政府采购合同专用条款</w:t>
      </w:r>
      <w:r>
        <w:rPr>
          <w:rFonts w:hint="eastAsia" w:ascii="宋体" w:hAnsi="宋体" w:eastAsia="宋体" w:cs="Times New Roman"/>
          <w:color w:val="auto"/>
          <w:sz w:val="21"/>
          <w:szCs w:val="21"/>
          <w:highlight w:val="none"/>
          <w:lang w:val="en-US" w:eastAsia="zh-CN"/>
        </w:rPr>
        <w:t>】中约定。</w:t>
      </w:r>
    </w:p>
    <w:p w14:paraId="2C59D6C0">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223B8037">
      <w:pPr>
        <w:adjustRightInd w:val="0"/>
        <w:snapToGrid w:val="0"/>
        <w:spacing w:before="0" w:line="400" w:lineRule="exact"/>
        <w:ind w:left="0" w:leftChars="0"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3</w:t>
      </w:r>
      <w:r>
        <w:rPr>
          <w:rFonts w:hint="eastAsia" w:ascii="宋体" w:hAnsi="宋体" w:eastAsia="宋体" w:cs="Times New Roman"/>
          <w:color w:val="auto"/>
          <w:sz w:val="21"/>
          <w:szCs w:val="21"/>
          <w:highlight w:val="none"/>
        </w:rPr>
        <w:t xml:space="preserve">.1 </w:t>
      </w:r>
      <w:r>
        <w:rPr>
          <w:rFonts w:hint="eastAsia" w:ascii="宋体" w:hAnsi="宋体" w:eastAsia="宋体" w:cs="宋体"/>
          <w:sz w:val="21"/>
          <w:szCs w:val="15"/>
        </w:rPr>
        <w:t>乙方应当以支票、汇票、本票或者金融机构、担保机构出具的保函等非现金形式提交。</w:t>
      </w:r>
    </w:p>
    <w:p w14:paraId="2E4A1584">
      <w:pPr>
        <w:adjustRightInd w:val="0"/>
        <w:snapToGrid w:val="0"/>
        <w:spacing w:before="0" w:line="400" w:lineRule="exact"/>
        <w:ind w:left="0" w:leftChars="0"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3</w:t>
      </w:r>
      <w:r>
        <w:rPr>
          <w:rFonts w:hint="eastAsia" w:ascii="宋体" w:hAnsi="宋体" w:eastAsia="宋体" w:cs="Times New Roman"/>
          <w:color w:val="auto"/>
          <w:sz w:val="21"/>
          <w:szCs w:val="21"/>
          <w:highlight w:val="none"/>
        </w:rPr>
        <w:t>.2 如果乙方</w:t>
      </w:r>
      <w:r>
        <w:rPr>
          <w:rFonts w:hint="eastAsia" w:ascii="宋体" w:hAnsi="宋体" w:eastAsia="宋体" w:cs="Times New Roman"/>
          <w:color w:val="auto"/>
          <w:sz w:val="21"/>
          <w:szCs w:val="21"/>
          <w:highlight w:val="none"/>
          <w:lang w:eastAsia="zh-CN"/>
        </w:rPr>
        <w:t>出现</w:t>
      </w:r>
      <w:r>
        <w:rPr>
          <w:rFonts w:hint="eastAsia" w:ascii="宋体" w:hAnsi="宋体" w:eastAsia="宋体" w:cs="宋体"/>
          <w:b/>
          <w:bCs/>
          <w:sz w:val="21"/>
          <w:szCs w:val="15"/>
          <w:highlight w:val="none"/>
        </w:rPr>
        <w:t>【政府采购合同专用条款】</w:t>
      </w:r>
      <w:r>
        <w:rPr>
          <w:rFonts w:hint="eastAsia" w:ascii="宋体" w:hAnsi="宋体" w:eastAsia="宋体" w:cs="宋体"/>
          <w:b w:val="0"/>
          <w:bCs w:val="0"/>
          <w:sz w:val="21"/>
          <w:szCs w:val="15"/>
          <w:highlight w:val="none"/>
          <w:lang w:eastAsia="zh-CN"/>
        </w:rPr>
        <w:t>约定</w:t>
      </w:r>
      <w:r>
        <w:rPr>
          <w:rFonts w:hint="eastAsia" w:ascii="宋体" w:hAnsi="宋体" w:eastAsia="宋体" w:cs="宋体"/>
          <w:b w:val="0"/>
          <w:bCs w:val="0"/>
          <w:sz w:val="21"/>
          <w:szCs w:val="15"/>
          <w:lang w:eastAsia="zh-CN"/>
        </w:rPr>
        <w:t>情形的</w:t>
      </w:r>
      <w:r>
        <w:rPr>
          <w:rFonts w:hint="eastAsia" w:ascii="宋体" w:hAnsi="宋体" w:eastAsia="宋体" w:cs="Times New Roman"/>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Times New Roman"/>
          <w:color w:val="auto"/>
          <w:sz w:val="21"/>
          <w:szCs w:val="21"/>
          <w:highlight w:val="none"/>
          <w:lang w:eastAsia="zh-CN"/>
        </w:rPr>
        <w:t>且</w:t>
      </w:r>
      <w:r>
        <w:rPr>
          <w:rFonts w:hint="eastAsia" w:ascii="宋体" w:hAnsi="宋体" w:eastAsia="宋体" w:cs="Times New Roman"/>
          <w:color w:val="auto"/>
          <w:sz w:val="21"/>
          <w:szCs w:val="21"/>
          <w:highlight w:val="none"/>
        </w:rPr>
        <w:t>不影响甲方要求乙方承担合同约定的超过履约保证金的违约责任的权利。</w:t>
      </w:r>
    </w:p>
    <w:p w14:paraId="34928390">
      <w:pPr>
        <w:spacing w:line="400" w:lineRule="exact"/>
        <w:ind w:left="0" w:leftChars="0" w:firstLine="420"/>
        <w:rPr>
          <w:rFonts w:ascii="Times New Roman" w:hAnsi="Times New Roman" w:eastAsia="宋体" w:cs="Times New Roman"/>
          <w:color w:val="auto"/>
          <w:sz w:val="21"/>
          <w:szCs w:val="24"/>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3</w:t>
      </w:r>
      <w:r>
        <w:rPr>
          <w:rFonts w:hint="eastAsia" w:ascii="宋体" w:hAnsi="宋体" w:eastAsia="宋体" w:cs="Times New Roman"/>
          <w:color w:val="auto"/>
          <w:sz w:val="21"/>
          <w:szCs w:val="21"/>
          <w:highlight w:val="none"/>
        </w:rPr>
        <w:t>.3 甲方在项目通过验收后按照</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规定的时间内将履约保证金退还乙方；逾期退还的，乙方可要求甲方支付违约金，违约金按照</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规定支付。</w:t>
      </w:r>
    </w:p>
    <w:p w14:paraId="71C35707">
      <w:pPr>
        <w:autoSpaceDE w:val="0"/>
        <w:autoSpaceDN w:val="0"/>
        <w:adjustRightInd w:val="0"/>
        <w:snapToGrid w:val="0"/>
        <w:spacing w:before="0" w:line="400" w:lineRule="exact"/>
        <w:ind w:left="0" w:leftChars="0"/>
        <w:jc w:val="left"/>
        <w:rPr>
          <w:rFonts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4</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售后</w:t>
      </w:r>
      <w:r>
        <w:rPr>
          <w:rFonts w:hint="eastAsia" w:ascii="宋体" w:hAnsi="宋体" w:eastAsia="宋体" w:cs="Times New Roman"/>
          <w:b/>
          <w:color w:val="auto"/>
          <w:sz w:val="24"/>
          <w:szCs w:val="24"/>
          <w:highlight w:val="none"/>
        </w:rPr>
        <w:t>服务</w:t>
      </w:r>
    </w:p>
    <w:p w14:paraId="6DE0AC60">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4</w:t>
      </w:r>
      <w:r>
        <w:rPr>
          <w:rFonts w:hint="eastAsia" w:ascii="宋体" w:hAnsi="宋体" w:eastAsia="宋体" w:cs="Times New Roman"/>
          <w:color w:val="auto"/>
          <w:sz w:val="21"/>
          <w:szCs w:val="21"/>
          <w:highlight w:val="none"/>
        </w:rPr>
        <w:t>.1 除项目不涉及或采购活动中明确约定无须承担外，乙方还应提供下列服务：</w:t>
      </w:r>
    </w:p>
    <w:p w14:paraId="00119336">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（1）货物的现场移动、安装、调试、启动监督及技术支持；</w:t>
      </w:r>
    </w:p>
    <w:p w14:paraId="7CA0EFEE">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（2）提供货物组装和维修所需的专用工具和辅助材料；</w:t>
      </w:r>
    </w:p>
    <w:p w14:paraId="75200FF9">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（3）在</w:t>
      </w:r>
      <w:r>
        <w:rPr>
          <w:rFonts w:hint="eastAsia" w:ascii="宋体" w:hAnsi="宋体" w:eastAsia="宋体" w:cs="宋体"/>
          <w:b/>
          <w:bCs/>
          <w:sz w:val="21"/>
          <w:szCs w:val="15"/>
          <w:highlight w:val="none"/>
        </w:rPr>
        <w:t>【政府采购合同专用条款】</w:t>
      </w:r>
      <w:r>
        <w:rPr>
          <w:rFonts w:hint="eastAsia" w:ascii="宋体" w:hAnsi="宋体" w:eastAsia="宋体" w:cs="Times New Roman"/>
          <w:color w:val="auto"/>
          <w:sz w:val="21"/>
          <w:szCs w:val="21"/>
          <w:highlight w:val="none"/>
          <w:lang w:eastAsia="zh-CN"/>
        </w:rPr>
        <w:t>约定</w:t>
      </w:r>
      <w:r>
        <w:rPr>
          <w:rFonts w:hint="eastAsia" w:ascii="宋体" w:hAnsi="宋体" w:eastAsia="宋体" w:cs="Times New Roman"/>
          <w:color w:val="auto"/>
          <w:sz w:val="21"/>
          <w:szCs w:val="21"/>
          <w:highlight w:val="none"/>
        </w:rPr>
        <w:t>的期限内对所有的货物实施运行监督、维修，但前提条件是该服务并不能免除乙方在质量保证期内所承担的义务；</w:t>
      </w:r>
    </w:p>
    <w:p w14:paraId="32D18371">
      <w:pPr>
        <w:autoSpaceDE w:val="0"/>
        <w:autoSpaceDN w:val="0"/>
        <w:adjustRightInd w:val="0"/>
        <w:snapToGrid w:val="0"/>
        <w:spacing w:before="0" w:line="400" w:lineRule="exact"/>
        <w:ind w:left="0" w:leftChars="0"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（4）在制造商</w:t>
      </w:r>
      <w:r>
        <w:rPr>
          <w:rFonts w:hint="eastAsia" w:ascii="宋体" w:hAnsi="宋体" w:eastAsia="宋体" w:cs="Times New Roman"/>
          <w:color w:val="auto"/>
          <w:sz w:val="21"/>
          <w:szCs w:val="21"/>
          <w:highlight w:val="none"/>
          <w:lang w:eastAsia="zh-CN"/>
        </w:rPr>
        <w:t>所在地</w:t>
      </w:r>
      <w:r>
        <w:rPr>
          <w:rFonts w:hint="eastAsia" w:ascii="宋体" w:hAnsi="宋体" w:eastAsia="宋体" w:cs="Times New Roman"/>
          <w:color w:val="auto"/>
          <w:sz w:val="21"/>
          <w:szCs w:val="21"/>
          <w:highlight w:val="none"/>
        </w:rPr>
        <w:t>或</w:t>
      </w:r>
      <w:r>
        <w:rPr>
          <w:rFonts w:hint="eastAsia" w:ascii="宋体" w:hAnsi="宋体" w:eastAsia="宋体" w:cs="Times New Roman"/>
          <w:color w:val="auto"/>
          <w:sz w:val="21"/>
          <w:szCs w:val="21"/>
          <w:highlight w:val="none"/>
          <w:lang w:eastAsia="zh-CN"/>
        </w:rPr>
        <w:t>指定</w:t>
      </w:r>
      <w:r>
        <w:rPr>
          <w:rFonts w:hint="eastAsia" w:ascii="宋体" w:hAnsi="宋体" w:eastAsia="宋体" w:cs="Times New Roman"/>
          <w:color w:val="auto"/>
          <w:sz w:val="21"/>
          <w:szCs w:val="21"/>
          <w:highlight w:val="none"/>
        </w:rPr>
        <w:t>现场就货物的安装、启动、运营、维护</w:t>
      </w:r>
      <w:r>
        <w:rPr>
          <w:rFonts w:hint="eastAsia" w:ascii="宋体" w:hAnsi="宋体" w:eastAsia="宋体" w:cs="Times New Roman"/>
          <w:color w:val="auto"/>
          <w:sz w:val="21"/>
          <w:szCs w:val="21"/>
          <w:highlight w:val="none"/>
          <w:lang w:eastAsia="zh-CN"/>
        </w:rPr>
        <w:t>、废弃处置等</w:t>
      </w:r>
      <w:r>
        <w:rPr>
          <w:rFonts w:hint="eastAsia" w:ascii="宋体" w:hAnsi="宋体" w:eastAsia="宋体" w:cs="Times New Roman"/>
          <w:color w:val="auto"/>
          <w:sz w:val="21"/>
          <w:szCs w:val="21"/>
          <w:highlight w:val="none"/>
        </w:rPr>
        <w:t>对甲方操作人员进行培训</w:t>
      </w:r>
      <w:r>
        <w:rPr>
          <w:rFonts w:hint="eastAsia" w:ascii="宋体" w:hAnsi="宋体" w:eastAsia="宋体" w:cs="宋体"/>
          <w:sz w:val="21"/>
          <w:szCs w:val="15"/>
          <w:lang w:eastAsia="zh-CN"/>
        </w:rPr>
        <w:t>；</w:t>
      </w:r>
    </w:p>
    <w:p w14:paraId="3E40467D">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14:paraId="4D42B7F2">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规定由乙方提供的其他服务。</w:t>
      </w:r>
    </w:p>
    <w:p w14:paraId="522EED64">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.2 乙方提供的</w:t>
      </w:r>
      <w:r>
        <w:rPr>
          <w:rFonts w:hint="eastAsia" w:ascii="宋体" w:hAnsi="宋体" w:eastAsia="宋体" w:cs="Times New Roman"/>
          <w:color w:val="auto"/>
          <w:sz w:val="21"/>
          <w:szCs w:val="21"/>
          <w:highlight w:val="none"/>
          <w:lang w:eastAsia="zh-CN"/>
        </w:rPr>
        <w:t>售后</w:t>
      </w:r>
      <w:r>
        <w:rPr>
          <w:rFonts w:hint="eastAsia" w:ascii="宋体" w:hAnsi="宋体" w:eastAsia="宋体" w:cs="Times New Roman"/>
          <w:color w:val="auto"/>
          <w:sz w:val="21"/>
          <w:szCs w:val="21"/>
          <w:highlight w:val="none"/>
        </w:rPr>
        <w:t>服务的费用</w:t>
      </w:r>
      <w:r>
        <w:rPr>
          <w:rFonts w:hint="eastAsia" w:ascii="宋体" w:hAnsi="宋体" w:eastAsia="宋体" w:cs="Times New Roman"/>
          <w:color w:val="auto"/>
          <w:sz w:val="21"/>
          <w:szCs w:val="21"/>
          <w:highlight w:val="none"/>
          <w:lang w:val="en-US" w:eastAsia="zh-CN"/>
        </w:rPr>
        <w:t>已</w:t>
      </w:r>
      <w:r>
        <w:rPr>
          <w:rFonts w:hint="eastAsia" w:ascii="宋体" w:hAnsi="宋体" w:eastAsia="宋体" w:cs="Times New Roman"/>
          <w:color w:val="auto"/>
          <w:sz w:val="21"/>
          <w:szCs w:val="21"/>
          <w:highlight w:val="none"/>
        </w:rPr>
        <w:t>包含在合同价款中，甲方不再另行支付。</w:t>
      </w:r>
    </w:p>
    <w:p w14:paraId="7881424C">
      <w:pPr>
        <w:adjustRightInd w:val="0"/>
        <w:snapToGrid w:val="0"/>
        <w:spacing w:before="0" w:line="400" w:lineRule="exact"/>
        <w:ind w:left="0" w:leftChars="0"/>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5</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违约责任</w:t>
      </w:r>
    </w:p>
    <w:p w14:paraId="4E5A7558">
      <w:pPr>
        <w:adjustRightInd w:val="0"/>
        <w:snapToGrid w:val="0"/>
        <w:spacing w:before="0" w:line="400" w:lineRule="exact"/>
        <w:ind w:left="0" w:leftChars="0" w:firstLine="420" w:firstLineChars="200"/>
        <w:jc w:val="left"/>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w:t>
      </w:r>
      <w:r>
        <w:rPr>
          <w:rFonts w:hint="eastAsia" w:ascii="宋体" w:hAnsi="宋体" w:eastAsia="宋体" w:cs="Times New Roman"/>
          <w:bCs/>
          <w:color w:val="auto"/>
          <w:sz w:val="21"/>
          <w:szCs w:val="21"/>
          <w:highlight w:val="none"/>
          <w:lang w:eastAsia="zh-CN"/>
        </w:rPr>
        <w:t>5</w:t>
      </w:r>
      <w:r>
        <w:rPr>
          <w:rFonts w:hint="eastAsia" w:ascii="宋体" w:hAnsi="宋体" w:eastAsia="宋体" w:cs="Times New Roman"/>
          <w:bCs/>
          <w:color w:val="auto"/>
          <w:sz w:val="21"/>
          <w:szCs w:val="21"/>
          <w:highlight w:val="none"/>
        </w:rPr>
        <w:t>.1质量瑕疵的</w:t>
      </w:r>
      <w:r>
        <w:rPr>
          <w:rFonts w:hint="eastAsia" w:ascii="宋体" w:hAnsi="宋体" w:eastAsia="宋体" w:cs="Times New Roman"/>
          <w:bCs/>
          <w:color w:val="auto"/>
          <w:sz w:val="21"/>
          <w:szCs w:val="21"/>
          <w:highlight w:val="none"/>
          <w:lang w:eastAsia="zh-CN"/>
        </w:rPr>
        <w:t>违约责任</w:t>
      </w:r>
    </w:p>
    <w:p w14:paraId="7583C2C0">
      <w:pPr>
        <w:autoSpaceDE w:val="0"/>
        <w:autoSpaceDN w:val="0"/>
        <w:adjustRightInd w:val="0"/>
        <w:snapToGrid w:val="0"/>
        <w:spacing w:before="0" w:line="400" w:lineRule="exact"/>
        <w:ind w:left="0" w:leftChars="0"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lang w:eastAsia="zh-CN"/>
        </w:rPr>
        <w:t>提供</w:t>
      </w:r>
      <w:r>
        <w:rPr>
          <w:rFonts w:hint="eastAsia" w:ascii="宋体" w:hAnsi="宋体" w:eastAsia="宋体" w:cs="Times New Roman"/>
          <w:color w:val="auto"/>
          <w:sz w:val="21"/>
          <w:szCs w:val="21"/>
          <w:highlight w:val="none"/>
        </w:rPr>
        <w:t>的产品不符合</w:t>
      </w:r>
      <w:r>
        <w:rPr>
          <w:rFonts w:hint="eastAsia" w:ascii="宋体" w:hAnsi="宋体" w:eastAsia="宋体" w:cs="Times New Roman"/>
          <w:color w:val="auto"/>
          <w:sz w:val="21"/>
          <w:szCs w:val="21"/>
          <w:highlight w:val="none"/>
          <w:lang w:eastAsia="zh-CN"/>
        </w:rPr>
        <w:t>合同约定的</w:t>
      </w:r>
      <w:r>
        <w:rPr>
          <w:rFonts w:hint="eastAsia" w:ascii="宋体" w:hAnsi="宋体" w:eastAsia="宋体" w:cs="Times New Roman"/>
          <w:color w:val="auto"/>
          <w:sz w:val="21"/>
          <w:szCs w:val="21"/>
          <w:highlight w:val="none"/>
        </w:rPr>
        <w:t>质量标准或存在产品质量缺陷，</w:t>
      </w:r>
      <w:r>
        <w:rPr>
          <w:rFonts w:hint="eastAsia" w:ascii="宋体" w:hAnsi="宋体" w:eastAsia="宋体" w:cs="Times New Roman"/>
          <w:color w:val="auto"/>
          <w:sz w:val="21"/>
          <w:szCs w:val="21"/>
          <w:highlight w:val="none"/>
          <w:lang w:eastAsia="zh-CN"/>
        </w:rPr>
        <w:t>甲方有权要求乙方根据</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b w:val="0"/>
          <w:bCs/>
          <w:color w:val="auto"/>
          <w:sz w:val="21"/>
          <w:szCs w:val="21"/>
          <w:highlight w:val="none"/>
          <w:lang w:eastAsia="zh-CN"/>
        </w:rPr>
        <w:t>要求</w:t>
      </w:r>
      <w:r>
        <w:rPr>
          <w:rFonts w:hint="eastAsia" w:ascii="宋体" w:hAnsi="宋体" w:eastAsia="宋体" w:cs="Times New Roman"/>
          <w:color w:val="auto"/>
          <w:sz w:val="21"/>
          <w:szCs w:val="21"/>
          <w:highlight w:val="none"/>
          <w:lang w:eastAsia="zh-CN"/>
        </w:rPr>
        <w:t>及时修理、重作、更换，并承担由此给甲</w:t>
      </w:r>
      <w:r>
        <w:rPr>
          <w:rFonts w:hint="eastAsia" w:ascii="宋体" w:hAnsi="宋体" w:eastAsia="宋体" w:cs="Times New Roman"/>
          <w:color w:val="auto"/>
          <w:sz w:val="21"/>
          <w:szCs w:val="21"/>
          <w:highlight w:val="none"/>
        </w:rPr>
        <w:t>方</w:t>
      </w:r>
      <w:r>
        <w:rPr>
          <w:rFonts w:hint="eastAsia" w:ascii="宋体" w:hAnsi="宋体" w:eastAsia="宋体" w:cs="Times New Roman"/>
          <w:color w:val="auto"/>
          <w:sz w:val="21"/>
          <w:szCs w:val="21"/>
          <w:highlight w:val="none"/>
          <w:lang w:eastAsia="zh-CN"/>
        </w:rPr>
        <w:t>造成的损失</w:t>
      </w:r>
      <w:r>
        <w:rPr>
          <w:rFonts w:hint="eastAsia" w:ascii="宋体" w:hAnsi="宋体" w:eastAsia="宋体" w:cs="Times New Roman"/>
          <w:color w:val="auto"/>
          <w:sz w:val="21"/>
          <w:szCs w:val="21"/>
          <w:highlight w:val="none"/>
        </w:rPr>
        <w:t>。</w:t>
      </w:r>
    </w:p>
    <w:p w14:paraId="60C62FE3">
      <w:pPr>
        <w:autoSpaceDE w:val="0"/>
        <w:autoSpaceDN w:val="0"/>
        <w:adjustRightInd w:val="0"/>
        <w:snapToGrid w:val="0"/>
        <w:spacing w:before="0" w:line="400" w:lineRule="exact"/>
        <w:ind w:left="0" w:leftChars="0"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w:t>
      </w:r>
      <w:r>
        <w:rPr>
          <w:rFonts w:hint="eastAsia" w:ascii="宋体" w:hAnsi="宋体" w:eastAsia="宋体" w:cs="Times New Roman"/>
          <w:bCs/>
          <w:color w:val="auto"/>
          <w:sz w:val="21"/>
          <w:szCs w:val="21"/>
          <w:highlight w:val="none"/>
          <w:lang w:eastAsia="zh-CN"/>
        </w:rPr>
        <w:t>5</w:t>
      </w:r>
      <w:r>
        <w:rPr>
          <w:rFonts w:hint="eastAsia" w:ascii="宋体" w:hAnsi="宋体" w:eastAsia="宋体" w:cs="Times New Roman"/>
          <w:bCs/>
          <w:color w:val="auto"/>
          <w:sz w:val="21"/>
          <w:szCs w:val="21"/>
          <w:highlight w:val="none"/>
        </w:rPr>
        <w:t>.2 迟延交货的违约责任</w:t>
      </w:r>
    </w:p>
    <w:p w14:paraId="5331BB2B">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（1）乙方应按照本合同规定的时间、地点交货和提供</w:t>
      </w:r>
      <w:r>
        <w:rPr>
          <w:rFonts w:hint="eastAsia" w:ascii="宋体" w:hAnsi="宋体" w:eastAsia="宋体" w:cs="Times New Roman"/>
          <w:color w:val="auto"/>
          <w:sz w:val="21"/>
          <w:szCs w:val="21"/>
          <w:highlight w:val="none"/>
          <w:lang w:eastAsia="zh-CN"/>
        </w:rPr>
        <w:t>相关</w:t>
      </w:r>
      <w:r>
        <w:rPr>
          <w:rFonts w:hint="eastAsia" w:ascii="宋体" w:hAnsi="宋体" w:eastAsia="宋体" w:cs="Times New Roman"/>
          <w:color w:val="auto"/>
          <w:sz w:val="21"/>
          <w:szCs w:val="21"/>
          <w:highlight w:val="none"/>
        </w:rPr>
        <w:t>服务。在履行合同过程中，如果乙方遇到可能</w:t>
      </w:r>
      <w:r>
        <w:rPr>
          <w:rFonts w:hint="eastAsia" w:ascii="宋体" w:hAnsi="宋体" w:eastAsia="宋体" w:cs="Times New Roman"/>
          <w:color w:val="auto"/>
          <w:sz w:val="21"/>
          <w:szCs w:val="21"/>
          <w:highlight w:val="none"/>
          <w:lang w:eastAsia="zh-CN"/>
        </w:rPr>
        <w:t>影响</w:t>
      </w:r>
      <w:r>
        <w:rPr>
          <w:rFonts w:hint="eastAsia" w:ascii="宋体" w:hAnsi="宋体" w:eastAsia="宋体" w:cs="Times New Roman"/>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Times New Roman"/>
          <w:color w:val="auto"/>
          <w:sz w:val="21"/>
          <w:szCs w:val="21"/>
          <w:highlight w:val="none"/>
          <w:lang w:eastAsia="zh-CN"/>
        </w:rPr>
        <w:t>长</w:t>
      </w:r>
      <w:r>
        <w:rPr>
          <w:rFonts w:hint="eastAsia" w:ascii="宋体" w:hAnsi="宋体" w:eastAsia="宋体" w:cs="Times New Roman"/>
          <w:color w:val="auto"/>
          <w:sz w:val="21"/>
          <w:szCs w:val="21"/>
          <w:highlight w:val="none"/>
        </w:rPr>
        <w:t>交货时间或延期提供服务。</w:t>
      </w:r>
    </w:p>
    <w:p w14:paraId="317EA96D">
      <w:pPr>
        <w:autoSpaceDE w:val="0"/>
        <w:autoSpaceDN w:val="0"/>
        <w:adjustRightInd w:val="0"/>
        <w:snapToGrid w:val="0"/>
        <w:spacing w:before="0" w:line="400" w:lineRule="exact"/>
        <w:ind w:left="0" w:leftChars="0" w:firstLine="420" w:firstLineChars="200"/>
        <w:jc w:val="left"/>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（2）如果乙方没有按照合同规定的时间交货和提供</w:t>
      </w:r>
      <w:r>
        <w:rPr>
          <w:rFonts w:hint="eastAsia" w:ascii="宋体" w:hAnsi="宋体" w:eastAsia="宋体" w:cs="Times New Roman"/>
          <w:color w:val="auto"/>
          <w:sz w:val="21"/>
          <w:szCs w:val="21"/>
          <w:highlight w:val="none"/>
          <w:lang w:eastAsia="zh-CN"/>
        </w:rPr>
        <w:t>相关</w:t>
      </w:r>
      <w:r>
        <w:rPr>
          <w:rFonts w:hint="eastAsia" w:ascii="宋体" w:hAnsi="宋体" w:eastAsia="宋体" w:cs="Times New Roman"/>
          <w:color w:val="auto"/>
          <w:sz w:val="21"/>
          <w:szCs w:val="21"/>
          <w:highlight w:val="none"/>
        </w:rPr>
        <w:t>服务，甲方有权从货款中扣除误期赔偿费而不影响合同项下的其他补救方法，赔偿费按</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规定执行。如果涉及公共利益，且赔偿金额无法弥补公共利益损失，</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可要求继续履行或者</w:t>
      </w:r>
      <w:r>
        <w:rPr>
          <w:rFonts w:hint="eastAsia" w:ascii="宋体" w:hAnsi="宋体" w:eastAsia="宋体" w:cs="Times New Roman"/>
          <w:color w:val="auto"/>
          <w:sz w:val="21"/>
          <w:szCs w:val="21"/>
          <w:highlight w:val="none"/>
          <w:lang w:eastAsia="zh-CN"/>
        </w:rPr>
        <w:t>采取其他补救措施</w:t>
      </w:r>
      <w:r>
        <w:rPr>
          <w:rFonts w:hint="eastAsia" w:ascii="宋体" w:hAnsi="宋体" w:eastAsia="宋体" w:cs="Times New Roman"/>
          <w:color w:val="auto"/>
          <w:sz w:val="21"/>
          <w:szCs w:val="21"/>
          <w:highlight w:val="none"/>
        </w:rPr>
        <w:t>。</w:t>
      </w:r>
    </w:p>
    <w:p w14:paraId="126128CE">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5</w:t>
      </w:r>
      <w:r>
        <w:rPr>
          <w:rFonts w:hint="eastAsia" w:ascii="宋体" w:hAnsi="宋体" w:eastAsia="宋体" w:cs="Times New Roman"/>
          <w:color w:val="auto"/>
          <w:sz w:val="21"/>
          <w:szCs w:val="21"/>
          <w:highlight w:val="none"/>
        </w:rPr>
        <w:t>.3 迟延支付的违约责任</w:t>
      </w:r>
    </w:p>
    <w:p w14:paraId="0C26A047">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甲方存在迟延支付乙方合同款项的，应当承担</w:t>
      </w:r>
      <w:r>
        <w:rPr>
          <w:rFonts w:hint="eastAsia" w:ascii="宋体" w:hAnsi="宋体" w:eastAsia="宋体" w:cs="Times New Roman"/>
          <w:b/>
          <w:bCs/>
          <w:color w:val="auto"/>
          <w:sz w:val="21"/>
          <w:szCs w:val="21"/>
          <w:highlight w:val="none"/>
        </w:rPr>
        <w:t>【政府采购合同专用条款】</w:t>
      </w:r>
      <w:r>
        <w:rPr>
          <w:rFonts w:hint="eastAsia" w:ascii="宋体" w:hAnsi="宋体" w:eastAsia="宋体" w:cs="Times New Roman"/>
          <w:color w:val="auto"/>
          <w:sz w:val="21"/>
          <w:szCs w:val="21"/>
          <w:highlight w:val="none"/>
        </w:rPr>
        <w:t>规定的逾期付款利息。</w:t>
      </w:r>
    </w:p>
    <w:p w14:paraId="34E977D6">
      <w:pPr>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bCs/>
          <w:color w:val="auto"/>
          <w:sz w:val="21"/>
          <w:szCs w:val="21"/>
          <w:highlight w:val="none"/>
        </w:rPr>
        <w:t>1</w:t>
      </w:r>
      <w:r>
        <w:rPr>
          <w:rFonts w:hint="eastAsia" w:ascii="宋体" w:hAnsi="宋体" w:eastAsia="宋体" w:cs="Times New Roman"/>
          <w:bCs/>
          <w:color w:val="auto"/>
          <w:sz w:val="21"/>
          <w:szCs w:val="21"/>
          <w:highlight w:val="none"/>
          <w:lang w:eastAsia="zh-CN"/>
        </w:rPr>
        <w:t>5</w:t>
      </w:r>
      <w:r>
        <w:rPr>
          <w:rFonts w:hint="eastAsia" w:ascii="宋体" w:hAnsi="宋体" w:eastAsia="宋体" w:cs="Times New Roman"/>
          <w:bCs/>
          <w:color w:val="auto"/>
          <w:sz w:val="21"/>
          <w:szCs w:val="21"/>
          <w:highlight w:val="none"/>
        </w:rPr>
        <w:t>.4其他违约责任根据项目实际需要按</w:t>
      </w:r>
      <w:r>
        <w:rPr>
          <w:rFonts w:hint="eastAsia" w:ascii="宋体" w:hAnsi="宋体" w:eastAsia="宋体" w:cs="Times New Roman"/>
          <w:b/>
          <w:bCs/>
          <w:color w:val="auto"/>
          <w:sz w:val="21"/>
          <w:szCs w:val="21"/>
          <w:highlight w:val="none"/>
        </w:rPr>
        <w:t>【政府采购合同专用条款】</w:t>
      </w:r>
      <w:r>
        <w:rPr>
          <w:rFonts w:hint="eastAsia" w:ascii="宋体" w:hAnsi="宋体" w:eastAsia="宋体" w:cs="Times New Roman"/>
          <w:color w:val="auto"/>
          <w:sz w:val="21"/>
          <w:szCs w:val="21"/>
          <w:highlight w:val="none"/>
        </w:rPr>
        <w:t>规定执行。</w:t>
      </w:r>
    </w:p>
    <w:p w14:paraId="73868A36">
      <w:pPr>
        <w:numPr>
          <w:ilvl w:val="0"/>
          <w:numId w:val="7"/>
        </w:numPr>
        <w:autoSpaceDE w:val="0"/>
        <w:autoSpaceDN w:val="0"/>
        <w:adjustRightInd w:val="0"/>
        <w:snapToGrid w:val="0"/>
        <w:spacing w:before="0" w:line="400" w:lineRule="exact"/>
        <w:ind w:left="0" w:leftChars="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合同变更</w:t>
      </w:r>
      <w:r>
        <w:rPr>
          <w:rFonts w:hint="eastAsia" w:ascii="宋体" w:hAnsi="宋体" w:eastAsia="宋体" w:cs="Times New Roman"/>
          <w:b/>
          <w:color w:val="auto"/>
          <w:sz w:val="24"/>
          <w:szCs w:val="24"/>
          <w:highlight w:val="none"/>
          <w:lang w:eastAsia="zh-CN"/>
        </w:rPr>
        <w:t>、中止与终止</w:t>
      </w:r>
    </w:p>
    <w:p w14:paraId="33E1C63B">
      <w:pPr>
        <w:autoSpaceDE/>
        <w:autoSpaceDN/>
        <w:adjustRightInd w:val="0"/>
        <w:snapToGrid w:val="0"/>
        <w:spacing w:before="0" w:line="400" w:lineRule="exact"/>
        <w:ind w:left="0" w:leftChars="0" w:firstLine="0" w:firstLineChars="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.1合同的</w:t>
      </w:r>
      <w:r>
        <w:rPr>
          <w:rFonts w:hint="eastAsia" w:ascii="宋体" w:hAnsi="宋体" w:eastAsia="宋体" w:cs="Times New Roman"/>
          <w:color w:val="auto"/>
          <w:sz w:val="21"/>
          <w:szCs w:val="21"/>
          <w:highlight w:val="none"/>
          <w:lang w:eastAsia="zh-CN"/>
        </w:rPr>
        <w:t>变更</w:t>
      </w:r>
    </w:p>
    <w:p w14:paraId="31DE6A6F">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政府采购合同履行中，</w:t>
      </w:r>
      <w:r>
        <w:rPr>
          <w:rFonts w:hint="eastAsia" w:ascii="宋体" w:hAnsi="宋体" w:eastAsia="宋体" w:cs="Times New Roman"/>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Times New Roman"/>
          <w:color w:val="auto"/>
          <w:sz w:val="21"/>
          <w:szCs w:val="21"/>
          <w:highlight w:val="none"/>
          <w:lang w:eastAsia="zh-CN"/>
        </w:rPr>
        <w:t>一致后</w:t>
      </w:r>
      <w:r>
        <w:rPr>
          <w:rFonts w:hint="eastAsia" w:ascii="宋体" w:hAnsi="宋体" w:eastAsia="宋体" w:cs="Times New Roman"/>
          <w:color w:val="auto"/>
          <w:sz w:val="21"/>
          <w:szCs w:val="21"/>
          <w:highlight w:val="none"/>
        </w:rPr>
        <w:t>签订补充协议。</w:t>
      </w:r>
    </w:p>
    <w:p w14:paraId="30EDFE0C">
      <w:pPr>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合同的中止</w:t>
      </w:r>
    </w:p>
    <w:p w14:paraId="236513FB">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（1）合同履行过程中因供应商就采购文件、采购过程或结果提起投诉的，甲方认为有必要的，</w:t>
      </w:r>
      <w:r>
        <w:rPr>
          <w:rFonts w:hint="eastAsia" w:ascii="宋体" w:hAnsi="宋体" w:eastAsia="宋体" w:cs="Times New Roman"/>
          <w:color w:val="auto"/>
          <w:sz w:val="21"/>
          <w:szCs w:val="21"/>
          <w:highlight w:val="none"/>
          <w:lang w:eastAsia="zh-CN"/>
        </w:rPr>
        <w:t>可以</w:t>
      </w:r>
      <w:r>
        <w:rPr>
          <w:rFonts w:hint="eastAsia" w:ascii="宋体" w:hAnsi="宋体" w:eastAsia="宋体" w:cs="Times New Roman"/>
          <w:color w:val="auto"/>
          <w:sz w:val="21"/>
          <w:szCs w:val="21"/>
          <w:highlight w:val="none"/>
        </w:rPr>
        <w:t>中止合同的履行。</w:t>
      </w:r>
    </w:p>
    <w:p w14:paraId="367BD0AB">
      <w:pPr>
        <w:autoSpaceDE w:val="0"/>
        <w:autoSpaceDN w:val="0"/>
        <w:adjustRightInd w:val="0"/>
        <w:snapToGrid w:val="0"/>
        <w:spacing w:before="0" w:line="400" w:lineRule="exact"/>
        <w:ind w:left="0" w:leftChars="0"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合同履行过程中，</w:t>
      </w:r>
      <w:r>
        <w:rPr>
          <w:rFonts w:hint="eastAsia" w:ascii="宋体" w:hAnsi="宋体" w:eastAsia="宋体" w:cs="Times New Roman"/>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Times New Roman"/>
          <w:color w:val="auto"/>
          <w:sz w:val="21"/>
          <w:szCs w:val="21"/>
          <w:highlight w:val="none"/>
          <w:lang w:eastAsia="zh-CN"/>
        </w:rPr>
        <w:t>，乙方有义务及时告知甲方</w:t>
      </w:r>
      <w:r>
        <w:rPr>
          <w:rFonts w:hint="eastAsia" w:ascii="宋体" w:hAnsi="宋体" w:eastAsia="宋体" w:cs="Times New Roman"/>
          <w:color w:val="auto"/>
          <w:sz w:val="21"/>
          <w:szCs w:val="21"/>
          <w:highlight w:val="none"/>
        </w:rPr>
        <w:t>。甲方</w:t>
      </w:r>
      <w:r>
        <w:rPr>
          <w:rFonts w:hint="eastAsia" w:ascii="宋体" w:hAnsi="宋体" w:eastAsia="宋体" w:cs="Times New Roman"/>
          <w:color w:val="auto"/>
          <w:sz w:val="21"/>
          <w:szCs w:val="21"/>
          <w:highlight w:val="none"/>
          <w:lang w:eastAsia="zh-CN"/>
        </w:rPr>
        <w:t>有权</w:t>
      </w:r>
      <w:r>
        <w:rPr>
          <w:rFonts w:hint="eastAsia" w:ascii="宋体" w:hAnsi="宋体" w:eastAsia="宋体" w:cs="Times New Roman"/>
          <w:color w:val="auto"/>
          <w:sz w:val="21"/>
          <w:szCs w:val="21"/>
          <w:highlight w:val="none"/>
        </w:rPr>
        <w:t>以书面形式通知乙方中止合同</w:t>
      </w:r>
      <w:r>
        <w:rPr>
          <w:rFonts w:hint="eastAsia" w:ascii="宋体" w:hAnsi="宋体" w:eastAsia="宋体" w:cs="Times New Roman"/>
          <w:color w:val="auto"/>
          <w:sz w:val="21"/>
          <w:szCs w:val="21"/>
          <w:highlight w:val="none"/>
          <w:lang w:eastAsia="zh-CN"/>
        </w:rPr>
        <w:t>并要求乙方在合理期限内消除相关情形或者提供适当担保。</w:t>
      </w:r>
      <w:r>
        <w:rPr>
          <w:rFonts w:hint="eastAsia" w:ascii="宋体" w:hAnsi="宋体" w:eastAsia="宋体" w:cs="Times New Roman"/>
          <w:color w:val="auto"/>
          <w:sz w:val="21"/>
          <w:szCs w:val="21"/>
          <w:highlight w:val="none"/>
        </w:rPr>
        <w:t>乙方提供适当担保的，</w:t>
      </w:r>
      <w:r>
        <w:rPr>
          <w:rFonts w:hint="eastAsia" w:ascii="宋体" w:hAnsi="宋体" w:eastAsia="宋体" w:cs="Times New Roman"/>
          <w:color w:val="auto"/>
          <w:sz w:val="21"/>
          <w:szCs w:val="21"/>
          <w:highlight w:val="none"/>
          <w:lang w:eastAsia="zh-CN"/>
        </w:rPr>
        <w:t>合同继续</w:t>
      </w:r>
      <w:r>
        <w:rPr>
          <w:rFonts w:hint="eastAsia" w:ascii="宋体" w:hAnsi="宋体" w:eastAsia="宋体" w:cs="Times New Roman"/>
          <w:color w:val="auto"/>
          <w:sz w:val="21"/>
          <w:szCs w:val="21"/>
          <w:highlight w:val="none"/>
        </w:rPr>
        <w:t>履行</w:t>
      </w:r>
      <w:r>
        <w:rPr>
          <w:rFonts w:hint="eastAsia" w:ascii="宋体" w:hAnsi="宋体" w:eastAsia="宋体" w:cs="Times New Roman"/>
          <w:color w:val="auto"/>
          <w:sz w:val="21"/>
          <w:szCs w:val="21"/>
          <w:highlight w:val="none"/>
          <w:lang w:eastAsia="zh-CN"/>
        </w:rPr>
        <w:t>；乙</w:t>
      </w:r>
      <w:r>
        <w:rPr>
          <w:rFonts w:hint="eastAsia" w:ascii="宋体" w:hAnsi="宋体" w:eastAsia="宋体" w:cs="Times New Roman"/>
          <w:color w:val="auto"/>
          <w:sz w:val="21"/>
          <w:szCs w:val="21"/>
          <w:highlight w:val="none"/>
        </w:rPr>
        <w:t>方在合理期限内未恢复履约能力且未提供适当担保的，视为拒绝</w:t>
      </w:r>
      <w:r>
        <w:rPr>
          <w:rFonts w:hint="eastAsia" w:ascii="宋体" w:hAnsi="宋体" w:eastAsia="宋体" w:cs="Times New Roman"/>
          <w:color w:val="auto"/>
          <w:sz w:val="21"/>
          <w:szCs w:val="21"/>
          <w:highlight w:val="none"/>
          <w:lang w:eastAsia="zh-CN"/>
        </w:rPr>
        <w:t>继续</w:t>
      </w:r>
      <w:r>
        <w:rPr>
          <w:rFonts w:hint="eastAsia" w:ascii="宋体" w:hAnsi="宋体" w:eastAsia="宋体" w:cs="Times New Roman"/>
          <w:color w:val="auto"/>
          <w:sz w:val="21"/>
          <w:szCs w:val="21"/>
          <w:highlight w:val="none"/>
        </w:rPr>
        <w:t>履约，甲方</w:t>
      </w:r>
      <w:r>
        <w:rPr>
          <w:rFonts w:hint="eastAsia" w:ascii="宋体" w:hAnsi="宋体" w:eastAsia="宋体" w:cs="Times New Roman"/>
          <w:color w:val="auto"/>
          <w:sz w:val="21"/>
          <w:szCs w:val="21"/>
          <w:highlight w:val="none"/>
          <w:lang w:eastAsia="zh-CN"/>
        </w:rPr>
        <w:t>有权</w:t>
      </w:r>
      <w:r>
        <w:rPr>
          <w:rFonts w:hint="eastAsia" w:ascii="宋体" w:hAnsi="宋体" w:eastAsia="宋体" w:cs="Times New Roman"/>
          <w:color w:val="auto"/>
          <w:sz w:val="21"/>
          <w:szCs w:val="21"/>
          <w:highlight w:val="none"/>
        </w:rPr>
        <w:t>解除合同并要求乙方承担</w:t>
      </w:r>
      <w:r>
        <w:rPr>
          <w:rFonts w:hint="eastAsia" w:ascii="宋体" w:hAnsi="宋体" w:eastAsia="宋体" w:cs="Times New Roman"/>
          <w:color w:val="auto"/>
          <w:sz w:val="21"/>
          <w:szCs w:val="21"/>
          <w:highlight w:val="none"/>
          <w:lang w:eastAsia="zh-CN"/>
        </w:rPr>
        <w:t>由此给甲方造成的损失</w:t>
      </w:r>
      <w:r>
        <w:rPr>
          <w:rFonts w:hint="eastAsia" w:ascii="宋体" w:hAnsi="宋体" w:eastAsia="宋体" w:cs="Times New Roman"/>
          <w:color w:val="auto"/>
          <w:sz w:val="21"/>
          <w:szCs w:val="21"/>
          <w:highlight w:val="none"/>
        </w:rPr>
        <w:t>。</w:t>
      </w:r>
    </w:p>
    <w:p w14:paraId="7E64440A">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17F22FA5">
      <w:pPr>
        <w:snapToGrid w:val="0"/>
        <w:spacing w:line="400" w:lineRule="exact"/>
        <w:ind w:left="0" w:leftChars="0" w:firstLine="420" w:firstLineChars="200"/>
        <w:jc w:val="left"/>
        <w:rPr>
          <w:rFonts w:ascii="Times New Roman" w:hAnsi="Times New Roman" w:eastAsia="宋体" w:cs="Times New Roman"/>
          <w:sz w:val="21"/>
          <w:szCs w:val="24"/>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）甲方不得以行政区划调整、政府换届、机构或者职能调整以及相关责任人更替为由中止合同。</w:t>
      </w:r>
    </w:p>
    <w:p w14:paraId="622DC937">
      <w:pPr>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合同的终止</w:t>
      </w:r>
    </w:p>
    <w:p w14:paraId="1569F715">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（1）合同因有效期限届满而终止；</w:t>
      </w:r>
    </w:p>
    <w:p w14:paraId="283A924D">
      <w:pPr>
        <w:snapToGrid w:val="0"/>
        <w:spacing w:line="400" w:lineRule="exact"/>
        <w:ind w:left="0" w:leftChars="0" w:firstLine="420" w:firstLineChars="200"/>
        <w:rPr>
          <w:rFonts w:hint="eastAsia" w:ascii="宋体" w:hAnsi="宋体" w:eastAsia="宋体" w:cs="宋体"/>
          <w:sz w:val="21"/>
          <w:szCs w:val="21"/>
          <w:lang w:eastAsia="zh-CN"/>
        </w:rPr>
      </w:pPr>
      <w:r>
        <w:rPr>
          <w:rFonts w:hint="eastAsia" w:ascii="宋体" w:hAnsi="宋体" w:eastAsia="宋体" w:cs="Times New Roman"/>
          <w:color w:val="auto"/>
          <w:sz w:val="21"/>
          <w:szCs w:val="21"/>
          <w:highlight w:val="none"/>
        </w:rPr>
        <w:t>（2）乙方未</w:t>
      </w:r>
      <w:r>
        <w:rPr>
          <w:rFonts w:hint="eastAsia" w:ascii="宋体" w:hAnsi="宋体" w:eastAsia="宋体" w:cs="Times New Roman"/>
          <w:color w:val="auto"/>
          <w:sz w:val="21"/>
          <w:szCs w:val="21"/>
          <w:highlight w:val="none"/>
          <w:lang w:eastAsia="zh-CN"/>
        </w:rPr>
        <w:t>按</w:t>
      </w:r>
      <w:r>
        <w:rPr>
          <w:rFonts w:hint="eastAsia" w:ascii="宋体" w:hAnsi="宋体" w:eastAsia="宋体" w:cs="Times New Roman"/>
          <w:color w:val="auto"/>
          <w:sz w:val="21"/>
          <w:szCs w:val="21"/>
          <w:highlight w:val="none"/>
        </w:rPr>
        <w:t>合同约定履行，构成根本性违约的，甲方有权终止合同</w:t>
      </w:r>
      <w:r>
        <w:rPr>
          <w:rFonts w:hint="eastAsia" w:ascii="宋体" w:hAnsi="宋体" w:eastAsia="宋体" w:cs="Times New Roman"/>
          <w:color w:val="auto"/>
          <w:sz w:val="21"/>
          <w:szCs w:val="21"/>
          <w:highlight w:val="none"/>
          <w:lang w:eastAsia="zh-CN"/>
        </w:rPr>
        <w:t>，</w:t>
      </w:r>
      <w:r>
        <w:rPr>
          <w:rFonts w:hint="eastAsia" w:ascii="宋体" w:hAnsi="宋体" w:eastAsia="宋体" w:cs="宋体"/>
          <w:sz w:val="21"/>
          <w:szCs w:val="21"/>
        </w:rPr>
        <w:t>并追究乙方的违约责</w:t>
      </w:r>
      <w:r>
        <w:rPr>
          <w:rFonts w:hint="eastAsia" w:ascii="宋体" w:hAnsi="宋体" w:eastAsia="宋体" w:cs="宋体"/>
          <w:sz w:val="21"/>
          <w:szCs w:val="21"/>
          <w:lang w:val="en-US" w:eastAsia="zh-CN"/>
        </w:rPr>
        <w:t>任</w:t>
      </w:r>
      <w:r>
        <w:rPr>
          <w:rFonts w:hint="eastAsia" w:ascii="宋体" w:hAnsi="宋体" w:eastAsia="宋体" w:cs="Times New Roman"/>
          <w:color w:val="auto"/>
          <w:sz w:val="21"/>
          <w:szCs w:val="21"/>
          <w:highlight w:val="none"/>
        </w:rPr>
        <w:t>。</w:t>
      </w:r>
    </w:p>
    <w:p w14:paraId="47130764">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14:paraId="598E2F6A">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14:paraId="727D15BF">
      <w:pPr>
        <w:autoSpaceDE w:val="0"/>
        <w:autoSpaceDN w:val="0"/>
        <w:adjustRightInd w:val="0"/>
        <w:snapToGrid w:val="0"/>
        <w:spacing w:before="0" w:line="400" w:lineRule="exact"/>
        <w:ind w:left="0" w:leftChars="0"/>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合同分包</w:t>
      </w:r>
    </w:p>
    <w:p w14:paraId="2E0BB9C2">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.1 乙方不得</w:t>
      </w:r>
      <w:r>
        <w:rPr>
          <w:rFonts w:hint="eastAsia" w:ascii="宋体" w:hAnsi="宋体" w:eastAsia="宋体" w:cs="Times New Roman"/>
          <w:color w:val="auto"/>
          <w:sz w:val="21"/>
          <w:szCs w:val="21"/>
          <w:highlight w:val="none"/>
          <w:lang w:eastAsia="zh-CN"/>
        </w:rPr>
        <w:t>将合同转包给其他供应商。涉及合同分包的，乙方</w:t>
      </w:r>
      <w:r>
        <w:rPr>
          <w:rFonts w:hint="eastAsia" w:ascii="宋体" w:hAnsi="宋体" w:eastAsia="宋体" w:cs="Times New Roman"/>
          <w:color w:val="auto"/>
          <w:sz w:val="21"/>
          <w:szCs w:val="21"/>
          <w:highlight w:val="none"/>
          <w:lang w:val="en-US" w:eastAsia="zh-CN"/>
        </w:rPr>
        <w:t>应</w:t>
      </w:r>
      <w:r>
        <w:rPr>
          <w:rFonts w:hint="eastAsia" w:ascii="宋体" w:hAnsi="宋体" w:eastAsia="宋体" w:cs="Times New Roman"/>
          <w:color w:val="auto"/>
          <w:sz w:val="21"/>
          <w:szCs w:val="21"/>
          <w:highlight w:val="none"/>
          <w:lang w:eastAsia="zh-CN"/>
        </w:rPr>
        <w:t>根据采购文件和投标（响应）文件规定进行</w:t>
      </w:r>
      <w:r>
        <w:rPr>
          <w:rFonts w:hint="eastAsia" w:ascii="宋体" w:hAnsi="宋体" w:eastAsia="宋体" w:cs="Times New Roman"/>
          <w:color w:val="auto"/>
          <w:sz w:val="21"/>
          <w:szCs w:val="21"/>
          <w:highlight w:val="none"/>
        </w:rPr>
        <w:t>合同分包。</w:t>
      </w:r>
    </w:p>
    <w:p w14:paraId="633D2133">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.2 乙方执行政府采购政策向中小企业依法分包的</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乙方应当按采购文件</w:t>
      </w:r>
      <w:r>
        <w:rPr>
          <w:rFonts w:hint="eastAsia" w:ascii="宋体" w:hAnsi="宋体" w:eastAsia="宋体" w:cs="Times New Roman"/>
          <w:color w:val="auto"/>
          <w:sz w:val="21"/>
          <w:szCs w:val="21"/>
          <w:highlight w:val="none"/>
          <w:lang w:eastAsia="zh-CN"/>
        </w:rPr>
        <w:t>和</w:t>
      </w:r>
      <w:r>
        <w:rPr>
          <w:rFonts w:hint="eastAsia" w:ascii="宋体" w:hAnsi="宋体" w:eastAsia="宋体" w:cs="Times New Roman"/>
          <w:color w:val="auto"/>
          <w:sz w:val="21"/>
          <w:szCs w:val="21"/>
          <w:highlight w:val="none"/>
        </w:rPr>
        <w:t>投标（响应）文件签订分包</w:t>
      </w:r>
      <w:r>
        <w:rPr>
          <w:rFonts w:hint="eastAsia" w:ascii="宋体" w:hAnsi="宋体" w:eastAsia="宋体" w:cs="Times New Roman"/>
          <w:color w:val="auto"/>
          <w:sz w:val="21"/>
          <w:szCs w:val="21"/>
          <w:highlight w:val="none"/>
          <w:lang w:eastAsia="zh-CN"/>
        </w:rPr>
        <w:t>意向</w:t>
      </w:r>
      <w:r>
        <w:rPr>
          <w:rFonts w:hint="eastAsia" w:ascii="宋体" w:hAnsi="宋体" w:eastAsia="宋体" w:cs="Times New Roman"/>
          <w:color w:val="auto"/>
          <w:sz w:val="21"/>
          <w:szCs w:val="21"/>
          <w:highlight w:val="none"/>
        </w:rPr>
        <w:t>协议，分包</w:t>
      </w:r>
      <w:r>
        <w:rPr>
          <w:rFonts w:hint="eastAsia" w:ascii="宋体" w:hAnsi="宋体" w:eastAsia="宋体" w:cs="Times New Roman"/>
          <w:color w:val="auto"/>
          <w:sz w:val="21"/>
          <w:szCs w:val="21"/>
          <w:highlight w:val="none"/>
          <w:lang w:eastAsia="zh-CN"/>
        </w:rPr>
        <w:t>意向</w:t>
      </w:r>
      <w:r>
        <w:rPr>
          <w:rFonts w:hint="eastAsia" w:ascii="宋体" w:hAnsi="宋体" w:eastAsia="宋体" w:cs="Times New Roman"/>
          <w:color w:val="auto"/>
          <w:sz w:val="21"/>
          <w:szCs w:val="21"/>
          <w:highlight w:val="none"/>
        </w:rPr>
        <w:t>协议属于本合同组成部分。</w:t>
      </w:r>
    </w:p>
    <w:p w14:paraId="7E8ABDDE">
      <w:pPr>
        <w:autoSpaceDE w:val="0"/>
        <w:autoSpaceDN w:val="0"/>
        <w:adjustRightInd w:val="0"/>
        <w:snapToGrid w:val="0"/>
        <w:spacing w:before="0" w:line="400" w:lineRule="exact"/>
        <w:ind w:left="0" w:leftChars="0"/>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不可抗力</w:t>
      </w:r>
    </w:p>
    <w:p w14:paraId="46AB7E4D">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1</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.1 不可抗力是指合同双方不能预见、不能避免且不能克服的客观情况。</w:t>
      </w:r>
    </w:p>
    <w:p w14:paraId="6C2522B6">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1</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.2 任何一方对由于不可抗力造成的部分或全部不能履行合同不承担违约责任。但迟延履行后发生不可抗力的，不能免除责任。</w:t>
      </w:r>
    </w:p>
    <w:p w14:paraId="20F95EF8">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1</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.3 遇有不可抗力的一方，应及时将事件情况以书面形式</w:t>
      </w:r>
      <w:r>
        <w:rPr>
          <w:rFonts w:hint="eastAsia" w:ascii="宋体" w:hAnsi="宋体" w:eastAsia="宋体" w:cs="Times New Roman"/>
          <w:color w:val="auto"/>
          <w:sz w:val="21"/>
          <w:szCs w:val="21"/>
          <w:highlight w:val="none"/>
          <w:lang w:eastAsia="zh-CN"/>
        </w:rPr>
        <w:t>告</w:t>
      </w:r>
      <w:r>
        <w:rPr>
          <w:rFonts w:hint="eastAsia" w:ascii="宋体" w:hAnsi="宋体" w:eastAsia="宋体" w:cs="Times New Roman"/>
          <w:color w:val="auto"/>
          <w:sz w:val="21"/>
          <w:szCs w:val="21"/>
          <w:highlight w:val="none"/>
        </w:rPr>
        <w:t>知另一方，并在事件发生后及时向另一方提交合同不能履行或部分不能履行或需要延期履行</w:t>
      </w:r>
      <w:r>
        <w:rPr>
          <w:rFonts w:hint="eastAsia" w:ascii="宋体" w:hAnsi="宋体" w:eastAsia="宋体" w:cs="Times New Roman"/>
          <w:color w:val="auto"/>
          <w:sz w:val="21"/>
          <w:szCs w:val="21"/>
          <w:highlight w:val="none"/>
          <w:lang w:eastAsia="zh-CN"/>
        </w:rPr>
        <w:t>的详细</w:t>
      </w:r>
      <w:r>
        <w:rPr>
          <w:rFonts w:hint="eastAsia" w:ascii="宋体" w:hAnsi="宋体" w:eastAsia="宋体" w:cs="Times New Roman"/>
          <w:color w:val="auto"/>
          <w:sz w:val="21"/>
          <w:szCs w:val="21"/>
          <w:highlight w:val="none"/>
        </w:rPr>
        <w:t>报告</w:t>
      </w:r>
      <w:r>
        <w:rPr>
          <w:rFonts w:hint="eastAsia" w:ascii="宋体" w:hAnsi="宋体" w:eastAsia="宋体" w:cs="Times New Roman"/>
          <w:color w:val="auto"/>
          <w:sz w:val="21"/>
          <w:szCs w:val="21"/>
          <w:highlight w:val="none"/>
          <w:lang w:eastAsia="zh-CN"/>
        </w:rPr>
        <w:t>，以</w:t>
      </w:r>
      <w:r>
        <w:rPr>
          <w:rFonts w:hint="eastAsia" w:ascii="宋体" w:hAnsi="宋体" w:eastAsia="宋体" w:cs="Times New Roman"/>
          <w:color w:val="auto"/>
          <w:sz w:val="21"/>
          <w:szCs w:val="21"/>
          <w:highlight w:val="none"/>
          <w:lang w:val="en-US" w:eastAsia="zh-CN"/>
        </w:rPr>
        <w:t>及证明不可抗力发生及其持续时间的证据</w:t>
      </w:r>
      <w:r>
        <w:rPr>
          <w:rFonts w:hint="eastAsia" w:ascii="宋体" w:hAnsi="宋体" w:eastAsia="宋体" w:cs="Times New Roman"/>
          <w:color w:val="auto"/>
          <w:sz w:val="21"/>
          <w:szCs w:val="21"/>
          <w:highlight w:val="none"/>
        </w:rPr>
        <w:t>。</w:t>
      </w:r>
    </w:p>
    <w:p w14:paraId="0FD877FE">
      <w:pPr>
        <w:autoSpaceDE w:val="0"/>
        <w:autoSpaceDN w:val="0"/>
        <w:adjustRightInd w:val="0"/>
        <w:snapToGrid w:val="0"/>
        <w:spacing w:before="0" w:line="400" w:lineRule="exact"/>
        <w:ind w:left="0" w:leftChars="0"/>
        <w:jc w:val="left"/>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19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解决争议的方法</w:t>
      </w:r>
    </w:p>
    <w:p w14:paraId="412F0D26">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7C458EF1">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14:paraId="14312DBD">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14:paraId="3D5B69F7">
      <w:pPr>
        <w:autoSpaceDE w:val="0"/>
        <w:autoSpaceDN w:val="0"/>
        <w:adjustRightInd w:val="0"/>
        <w:snapToGrid w:val="0"/>
        <w:spacing w:before="0" w:line="400" w:lineRule="exact"/>
        <w:ind w:left="0" w:leftChars="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lang w:val="en-US" w:eastAsia="zh-CN"/>
        </w:rPr>
        <w:t>20</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政府采购政策</w:t>
      </w:r>
    </w:p>
    <w:p w14:paraId="4E2A1572">
      <w:pPr>
        <w:autoSpaceDE w:val="0"/>
        <w:autoSpaceDN w:val="0"/>
        <w:adjustRightInd w:val="0"/>
        <w:snapToGrid w:val="0"/>
        <w:spacing w:before="0" w:line="400" w:lineRule="exact"/>
        <w:ind w:left="0" w:leftChars="0" w:firstLine="420" w:firstLineChars="200"/>
        <w:jc w:val="left"/>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20.1 </w:t>
      </w:r>
      <w:r>
        <w:rPr>
          <w:rFonts w:hint="eastAsia" w:ascii="宋体" w:hAnsi="宋体" w:eastAsia="宋体" w:cs="宋体"/>
          <w:sz w:val="21"/>
          <w:szCs w:val="24"/>
          <w:lang w:val="en-GB"/>
        </w:rPr>
        <w:t>本合同应当按照规定执行政府采购政策。</w:t>
      </w:r>
    </w:p>
    <w:p w14:paraId="27BF9A7F">
      <w:pPr>
        <w:autoSpaceDE w:val="0"/>
        <w:autoSpaceDN w:val="0"/>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0</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 xml:space="preserve"> 本合同依法执行政府采购政策的方式和内容，属于合同履约验收的范围。</w:t>
      </w:r>
      <w:r>
        <w:rPr>
          <w:rFonts w:hint="eastAsia" w:ascii="宋体" w:hAnsi="宋体" w:eastAsia="宋体" w:cs="宋体"/>
          <w:sz w:val="21"/>
          <w:szCs w:val="24"/>
          <w:lang w:eastAsia="zh-CN"/>
        </w:rPr>
        <w:t>甲乙双方</w:t>
      </w:r>
      <w:r>
        <w:rPr>
          <w:rFonts w:hint="eastAsia" w:ascii="宋体" w:hAnsi="宋体" w:eastAsia="宋体" w:cs="宋体"/>
          <w:sz w:val="21"/>
          <w:szCs w:val="24"/>
          <w:lang w:val="en-GB"/>
        </w:rPr>
        <w:t>未按规定要求执行政府采购政策造成损失的</w:t>
      </w:r>
      <w:r>
        <w:rPr>
          <w:rFonts w:hint="eastAsia" w:ascii="宋体" w:hAnsi="宋体" w:eastAsia="宋体" w:cs="Times New Roman"/>
          <w:color w:val="auto"/>
          <w:sz w:val="21"/>
          <w:szCs w:val="21"/>
          <w:highlight w:val="none"/>
        </w:rPr>
        <w:t>，有过错的一方应当承担赔偿责任，双方都有过错的，各自承担相应的责任。</w:t>
      </w:r>
    </w:p>
    <w:p w14:paraId="13839E75">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1DA0A30">
      <w:pPr>
        <w:autoSpaceDE w:val="0"/>
        <w:autoSpaceDN w:val="0"/>
        <w:adjustRightInd w:val="0"/>
        <w:snapToGrid w:val="0"/>
        <w:spacing w:before="0" w:line="400" w:lineRule="exact"/>
        <w:ind w:left="0" w:leftChars="0"/>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lang w:val="en-US" w:eastAsia="zh-CN"/>
        </w:rPr>
        <w:t>1</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法律适用</w:t>
      </w:r>
    </w:p>
    <w:p w14:paraId="76579D84">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14:paraId="2F06736C">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14:paraId="15D68007">
      <w:pPr>
        <w:numPr>
          <w:ilvl w:val="0"/>
          <w:numId w:val="0"/>
        </w:numPr>
        <w:autoSpaceDE w:val="0"/>
        <w:autoSpaceDN w:val="0"/>
        <w:adjustRightInd w:val="0"/>
        <w:snapToGrid w:val="0"/>
        <w:spacing w:before="0" w:line="400" w:lineRule="exact"/>
        <w:ind w:left="0" w:leftChars="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 xml:space="preserve">22. </w:t>
      </w:r>
      <w:r>
        <w:rPr>
          <w:rFonts w:hint="eastAsia" w:ascii="宋体" w:hAnsi="宋体" w:eastAsia="宋体" w:cs="Times New Roman"/>
          <w:b/>
          <w:color w:val="auto"/>
          <w:sz w:val="24"/>
          <w:szCs w:val="24"/>
          <w:highlight w:val="none"/>
        </w:rPr>
        <w:t>通知</w:t>
      </w:r>
    </w:p>
    <w:p w14:paraId="5A889127">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14:paraId="48BB1794">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56304839">
      <w:pPr>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本合同一方给另一方的通知均应采用书面形式，传真或快递送到本合同中规定的对方的地址和办理签收手续。</w:t>
      </w:r>
    </w:p>
    <w:p w14:paraId="00977802">
      <w:pPr>
        <w:adjustRightInd w:val="0"/>
        <w:snapToGrid w:val="0"/>
        <w:spacing w:before="0" w:line="400" w:lineRule="exact"/>
        <w:ind w:left="0" w:leftChars="0"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通知以送达之日或通知书中规定的生效之日起生效，两者中以较迟之日为准。</w:t>
      </w:r>
    </w:p>
    <w:p w14:paraId="5B368757">
      <w:pPr>
        <w:numPr>
          <w:ilvl w:val="0"/>
          <w:numId w:val="8"/>
        </w:numPr>
        <w:adjustRightInd w:val="0"/>
        <w:snapToGrid w:val="0"/>
        <w:spacing w:before="0" w:line="400" w:lineRule="exact"/>
        <w:ind w:left="0" w:leftChars="0"/>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合同未尽事项</w:t>
      </w:r>
    </w:p>
    <w:p w14:paraId="551FA08E">
      <w:pPr>
        <w:adjustRightInd w:val="0"/>
        <w:snapToGrid w:val="0"/>
        <w:spacing w:before="0" w:line="400" w:lineRule="exact"/>
        <w:ind w:left="0" w:leftChars="0" w:firstLine="420" w:firstLineChars="200"/>
        <w:jc w:val="left"/>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2</w:t>
      </w:r>
      <w:r>
        <w:rPr>
          <w:rFonts w:hint="eastAsia" w:ascii="宋体" w:hAnsi="宋体" w:eastAsia="宋体" w:cs="Times New Roman"/>
          <w:bCs/>
          <w:color w:val="auto"/>
          <w:sz w:val="21"/>
          <w:szCs w:val="21"/>
          <w:highlight w:val="none"/>
          <w:lang w:val="en-US" w:eastAsia="zh-CN"/>
        </w:rPr>
        <w:t>3</w:t>
      </w:r>
      <w:r>
        <w:rPr>
          <w:rFonts w:hint="eastAsia" w:ascii="宋体" w:hAnsi="宋体" w:eastAsia="宋体" w:cs="Times New Roman"/>
          <w:bCs/>
          <w:color w:val="auto"/>
          <w:sz w:val="21"/>
          <w:szCs w:val="21"/>
          <w:highlight w:val="none"/>
        </w:rPr>
        <w:t>.1合同未尽事项见</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bCs/>
          <w:color w:val="auto"/>
          <w:sz w:val="21"/>
          <w:szCs w:val="21"/>
          <w:highlight w:val="none"/>
        </w:rPr>
        <w:t>。</w:t>
      </w:r>
    </w:p>
    <w:p w14:paraId="35A848F2">
      <w:pPr>
        <w:adjustRightInd w:val="0"/>
        <w:snapToGrid w:val="0"/>
        <w:spacing w:line="400" w:lineRule="exact"/>
        <w:ind w:left="0" w:leftChars="0" w:firstLine="0" w:firstLineChars="0"/>
        <w:jc w:val="left"/>
        <w:rPr>
          <w:rFonts w:ascii="黑体" w:hAnsi="华文中宋" w:eastAsia="黑体" w:cs="Times New Roman"/>
          <w:color w:val="auto"/>
          <w:sz w:val="28"/>
          <w:szCs w:val="28"/>
        </w:rPr>
      </w:pPr>
      <w:r>
        <w:rPr>
          <w:rFonts w:hint="eastAsia" w:ascii="宋体" w:hAnsi="宋体" w:eastAsia="宋体" w:cs="Times New Roman"/>
          <w:bCs/>
          <w:color w:val="auto"/>
          <w:sz w:val="21"/>
          <w:szCs w:val="21"/>
          <w:highlight w:val="none"/>
          <w:lang w:val="en-US" w:eastAsia="zh-CN"/>
        </w:rPr>
        <w:t xml:space="preserve">    23.2 合同附件与合同正文具有同等的法律效力。</w:t>
      </w:r>
      <w:bookmarkStart w:id="247" w:name="_Toc20313"/>
    </w:p>
    <w:p w14:paraId="433B7D5F">
      <w:pPr>
        <w:adjustRightInd w:val="0"/>
        <w:snapToGrid w:val="0"/>
        <w:ind w:left="0" w:leftChars="0"/>
        <w:jc w:val="center"/>
        <w:rPr>
          <w:rFonts w:hint="eastAsia" w:ascii="黑体" w:hAnsi="华文中宋" w:eastAsia="黑体" w:cs="Times New Roman"/>
          <w:b w:val="0"/>
          <w:bCs w:val="0"/>
          <w:sz w:val="28"/>
          <w:szCs w:val="28"/>
        </w:rPr>
      </w:pPr>
      <w:r>
        <w:rPr>
          <w:rFonts w:hint="eastAsia" w:ascii="黑体" w:hAnsi="华文中宋" w:eastAsia="黑体" w:cs="Times New Roman"/>
          <w:b w:val="0"/>
          <w:bCs w:val="0"/>
          <w:sz w:val="28"/>
          <w:szCs w:val="28"/>
        </w:rPr>
        <w:br w:type="page"/>
      </w:r>
    </w:p>
    <w:p w14:paraId="3CE158B8">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bookmarkStart w:id="248" w:name="_Toc20245"/>
      <w:r>
        <w:rPr>
          <w:rFonts w:hint="eastAsia" w:ascii="黑体" w:hAnsi="华文中宋" w:eastAsia="黑体" w:cs="Times New Roman"/>
          <w:b w:val="0"/>
          <w:bCs w:val="0"/>
          <w:kern w:val="2"/>
          <w:sz w:val="28"/>
          <w:szCs w:val="28"/>
          <w:lang w:val="en-US" w:eastAsia="zh-CN" w:bidi="ar-SA"/>
        </w:rPr>
        <w:t>第三节 政府采购合同专用条款</w:t>
      </w:r>
      <w:bookmarkEnd w:id="247"/>
      <w:bookmarkEnd w:id="248"/>
    </w:p>
    <w:tbl>
      <w:tblPr>
        <w:tblStyle w:val="2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CFAF1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252C7D1">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5FE6B55F">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第1.2（</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）项</w:t>
            </w:r>
          </w:p>
        </w:tc>
        <w:tc>
          <w:tcPr>
            <w:tcW w:w="1742" w:type="dxa"/>
            <w:noWrap w:val="0"/>
            <w:vAlign w:val="center"/>
          </w:tcPr>
          <w:p w14:paraId="46AD8F1B">
            <w:pPr>
              <w:adjustRightInd w:val="0"/>
              <w:snapToGrid w:val="0"/>
              <w:ind w:left="0" w:leftChars="0"/>
              <w:jc w:val="left"/>
              <w:rPr>
                <w:rFonts w:ascii="宋体" w:hAnsi="宋体" w:eastAsia="宋体" w:cs="Times New Roman"/>
                <w:sz w:val="21"/>
                <w:szCs w:val="21"/>
              </w:rPr>
            </w:pPr>
            <w:r>
              <w:rPr>
                <w:rFonts w:hint="eastAsia" w:ascii="宋体" w:hAnsi="宋体" w:eastAsia="宋体" w:cs="Times New Roman"/>
                <w:sz w:val="21"/>
                <w:szCs w:val="21"/>
                <w:lang w:eastAsia="zh-CN"/>
              </w:rPr>
              <w:t>联合体具体要求</w:t>
            </w:r>
          </w:p>
        </w:tc>
        <w:tc>
          <w:tcPr>
            <w:tcW w:w="5170" w:type="dxa"/>
            <w:noWrap w:val="0"/>
            <w:vAlign w:val="center"/>
          </w:tcPr>
          <w:p w14:paraId="22178CE7">
            <w:pPr>
              <w:adjustRightInd w:val="0"/>
              <w:snapToGrid w:val="0"/>
              <w:ind w:left="0" w:leftChars="0"/>
              <w:jc w:val="left"/>
              <w:rPr>
                <w:rFonts w:ascii="宋体" w:hAnsi="宋体" w:eastAsia="宋体" w:cs="Times New Roman"/>
                <w:sz w:val="21"/>
                <w:szCs w:val="21"/>
              </w:rPr>
            </w:pPr>
          </w:p>
        </w:tc>
      </w:tr>
      <w:tr w14:paraId="0D3336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66F20EAF">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60462208">
            <w:pPr>
              <w:adjustRightInd w:val="0"/>
              <w:snapToGrid w:val="0"/>
              <w:ind w:left="0" w:left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第1.2（</w:t>
            </w: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）项</w:t>
            </w:r>
          </w:p>
        </w:tc>
        <w:tc>
          <w:tcPr>
            <w:tcW w:w="1742" w:type="dxa"/>
            <w:noWrap w:val="0"/>
            <w:vAlign w:val="center"/>
          </w:tcPr>
          <w:p w14:paraId="3F7D3188">
            <w:pPr>
              <w:adjustRightInd w:val="0"/>
              <w:snapToGrid w:val="0"/>
              <w:ind w:left="0" w:left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其他术语解释</w:t>
            </w:r>
          </w:p>
        </w:tc>
        <w:tc>
          <w:tcPr>
            <w:tcW w:w="5170" w:type="dxa"/>
            <w:noWrap w:val="0"/>
            <w:vAlign w:val="center"/>
          </w:tcPr>
          <w:p w14:paraId="79B0C227">
            <w:pPr>
              <w:adjustRightInd w:val="0"/>
              <w:snapToGrid w:val="0"/>
              <w:ind w:left="0" w:leftChars="0"/>
              <w:jc w:val="left"/>
              <w:rPr>
                <w:rFonts w:ascii="宋体" w:hAnsi="宋体" w:eastAsia="宋体" w:cs="Times New Roman"/>
                <w:kern w:val="2"/>
                <w:sz w:val="21"/>
                <w:szCs w:val="21"/>
                <w:lang w:val="en-US" w:eastAsia="zh-CN" w:bidi="ar-SA"/>
              </w:rPr>
            </w:pPr>
          </w:p>
        </w:tc>
      </w:tr>
      <w:tr w14:paraId="191B46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D69C6E7">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6F5F850C">
            <w:pPr>
              <w:adjustRightInd w:val="0"/>
              <w:snapToGrid w:val="0"/>
              <w:ind w:left="0" w:left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eastAsia="zh-CN"/>
              </w:rPr>
              <w:t>第</w:t>
            </w:r>
            <w:r>
              <w:rPr>
                <w:rFonts w:hint="eastAsia" w:ascii="宋体" w:hAnsi="宋体" w:eastAsia="宋体" w:cs="Times New Roman"/>
                <w:sz w:val="21"/>
                <w:szCs w:val="21"/>
                <w:lang w:val="en-US" w:eastAsia="zh-CN"/>
              </w:rPr>
              <w:t>4.4款</w:t>
            </w:r>
          </w:p>
        </w:tc>
        <w:tc>
          <w:tcPr>
            <w:tcW w:w="1742" w:type="dxa"/>
            <w:noWrap w:val="0"/>
            <w:vAlign w:val="center"/>
          </w:tcPr>
          <w:p w14:paraId="1B80CE3B">
            <w:pPr>
              <w:adjustRightInd w:val="0"/>
              <w:snapToGrid w:val="0"/>
              <w:ind w:left="0" w:leftChars="0"/>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履约验收中甲方提出异议或作出说明的期限</w:t>
            </w:r>
          </w:p>
        </w:tc>
        <w:tc>
          <w:tcPr>
            <w:tcW w:w="5170" w:type="dxa"/>
            <w:noWrap w:val="0"/>
            <w:vAlign w:val="center"/>
          </w:tcPr>
          <w:p w14:paraId="387B3FFC">
            <w:pPr>
              <w:adjustRightInd w:val="0"/>
              <w:snapToGrid w:val="0"/>
              <w:ind w:left="0" w:leftChars="0"/>
              <w:jc w:val="left"/>
              <w:rPr>
                <w:rFonts w:ascii="宋体" w:hAnsi="宋体" w:eastAsia="宋体" w:cs="Times New Roman"/>
                <w:kern w:val="2"/>
                <w:sz w:val="21"/>
                <w:szCs w:val="21"/>
                <w:lang w:val="en-US" w:eastAsia="zh-CN" w:bidi="ar-SA"/>
              </w:rPr>
            </w:pPr>
          </w:p>
        </w:tc>
      </w:tr>
      <w:tr w14:paraId="5E7AB5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24F569D">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70E04A97">
            <w:pPr>
              <w:adjustRightInd w:val="0"/>
              <w:snapToGrid w:val="0"/>
              <w:ind w:left="0" w:leftChars="0"/>
              <w:jc w:val="center"/>
              <w:rPr>
                <w:rFonts w:hint="eastAsia" w:ascii="宋体" w:hAnsi="宋体" w:eastAsia="宋体" w:cs="Times New Roman"/>
                <w:sz w:val="21"/>
                <w:szCs w:val="21"/>
              </w:rPr>
            </w:pPr>
            <w:r>
              <w:rPr>
                <w:rFonts w:hint="eastAsia" w:ascii="宋体" w:hAnsi="宋体" w:eastAsia="宋体" w:cs="Times New Roman"/>
                <w:sz w:val="21"/>
                <w:szCs w:val="21"/>
                <w:lang w:eastAsia="zh-CN"/>
              </w:rPr>
              <w:t>第</w:t>
            </w:r>
            <w:r>
              <w:rPr>
                <w:rFonts w:hint="eastAsia" w:ascii="宋体" w:hAnsi="宋体" w:eastAsia="宋体" w:cs="Times New Roman"/>
                <w:sz w:val="21"/>
                <w:szCs w:val="21"/>
                <w:lang w:val="en-US" w:eastAsia="zh-CN"/>
              </w:rPr>
              <w:t>4.6款</w:t>
            </w:r>
          </w:p>
        </w:tc>
        <w:tc>
          <w:tcPr>
            <w:tcW w:w="1742" w:type="dxa"/>
            <w:noWrap w:val="0"/>
            <w:vAlign w:val="center"/>
          </w:tcPr>
          <w:p w14:paraId="1F71FADD">
            <w:pPr>
              <w:adjustRightInd w:val="0"/>
              <w:snapToGrid w:val="0"/>
              <w:ind w:left="0" w:leftChars="0"/>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约定甲方承担的其他义务和责任</w:t>
            </w:r>
          </w:p>
        </w:tc>
        <w:tc>
          <w:tcPr>
            <w:tcW w:w="5170" w:type="dxa"/>
            <w:noWrap w:val="0"/>
            <w:vAlign w:val="center"/>
          </w:tcPr>
          <w:p w14:paraId="2D4253AA">
            <w:pPr>
              <w:adjustRightInd w:val="0"/>
              <w:snapToGrid w:val="0"/>
              <w:ind w:left="0" w:leftChars="0"/>
              <w:jc w:val="left"/>
              <w:rPr>
                <w:rFonts w:ascii="宋体" w:hAnsi="宋体" w:eastAsia="宋体" w:cs="Times New Roman"/>
                <w:kern w:val="2"/>
                <w:sz w:val="21"/>
                <w:szCs w:val="21"/>
                <w:lang w:val="en-US" w:eastAsia="zh-CN" w:bidi="ar-SA"/>
              </w:rPr>
            </w:pPr>
          </w:p>
        </w:tc>
      </w:tr>
      <w:tr w14:paraId="6A87AF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CD2D4F2">
            <w:pPr>
              <w:adjustRightInd w:val="0"/>
              <w:snapToGrid w:val="0"/>
              <w:ind w:left="0" w:leftChars="0"/>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第二节</w:t>
            </w:r>
          </w:p>
          <w:p w14:paraId="20F63A7C">
            <w:pPr>
              <w:snapToGrid w:val="0"/>
              <w:ind w:left="0" w:leftChars="0"/>
              <w:jc w:val="center"/>
              <w:rPr>
                <w:rFonts w:hint="default" w:ascii="Times New Roman" w:hAnsi="Times New Roman" w:eastAsia="宋体" w:cs="Times New Roman"/>
                <w:sz w:val="21"/>
                <w:szCs w:val="24"/>
                <w:lang w:val="en-US" w:eastAsia="zh-CN"/>
              </w:rPr>
            </w:pPr>
            <w:r>
              <w:rPr>
                <w:rFonts w:hint="eastAsia" w:ascii="宋体" w:hAnsi="宋体" w:eastAsia="宋体" w:cs="Times New Roman"/>
                <w:sz w:val="21"/>
                <w:szCs w:val="21"/>
                <w:lang w:eastAsia="zh-CN"/>
              </w:rPr>
              <w:t>第</w:t>
            </w:r>
            <w:r>
              <w:rPr>
                <w:rFonts w:hint="eastAsia" w:ascii="宋体" w:hAnsi="宋体" w:eastAsia="宋体" w:cs="Times New Roman"/>
                <w:sz w:val="21"/>
                <w:szCs w:val="21"/>
                <w:lang w:val="en-US" w:eastAsia="zh-CN"/>
              </w:rPr>
              <w:t>5.4款</w:t>
            </w:r>
          </w:p>
        </w:tc>
        <w:tc>
          <w:tcPr>
            <w:tcW w:w="1742" w:type="dxa"/>
            <w:noWrap w:val="0"/>
            <w:vAlign w:val="center"/>
          </w:tcPr>
          <w:p w14:paraId="19630A9E">
            <w:pPr>
              <w:adjustRightInd w:val="0"/>
              <w:snapToGrid w:val="0"/>
              <w:ind w:left="0" w:leftChars="0"/>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约定乙方承担的其他义务和责任</w:t>
            </w:r>
          </w:p>
        </w:tc>
        <w:tc>
          <w:tcPr>
            <w:tcW w:w="5170" w:type="dxa"/>
            <w:noWrap w:val="0"/>
            <w:vAlign w:val="center"/>
          </w:tcPr>
          <w:p w14:paraId="7D8A00F0">
            <w:pPr>
              <w:adjustRightInd w:val="0"/>
              <w:snapToGrid w:val="0"/>
              <w:ind w:left="0" w:leftChars="0"/>
              <w:jc w:val="left"/>
              <w:rPr>
                <w:rFonts w:ascii="宋体" w:hAnsi="宋体" w:eastAsia="宋体" w:cs="Times New Roman"/>
                <w:kern w:val="2"/>
                <w:sz w:val="21"/>
                <w:szCs w:val="21"/>
                <w:lang w:val="en-US" w:eastAsia="zh-CN" w:bidi="ar-SA"/>
              </w:rPr>
            </w:pPr>
          </w:p>
        </w:tc>
      </w:tr>
      <w:tr w14:paraId="63038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7087AA9">
            <w:pPr>
              <w:adjustRightInd w:val="0"/>
              <w:snapToGrid w:val="0"/>
              <w:ind w:left="0" w:leftChars="0"/>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第二节</w:t>
            </w:r>
          </w:p>
          <w:p w14:paraId="65F169F8">
            <w:pPr>
              <w:snapToGrid w:val="0"/>
              <w:ind w:left="0" w:leftChars="0"/>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第</w:t>
            </w:r>
            <w:r>
              <w:rPr>
                <w:rFonts w:hint="eastAsia" w:ascii="宋体" w:hAnsi="宋体" w:eastAsia="宋体" w:cs="Times New Roman"/>
                <w:sz w:val="21"/>
                <w:szCs w:val="21"/>
                <w:lang w:val="en-US" w:eastAsia="zh-CN"/>
              </w:rPr>
              <w:t>6.1款</w:t>
            </w:r>
          </w:p>
        </w:tc>
        <w:tc>
          <w:tcPr>
            <w:tcW w:w="1742" w:type="dxa"/>
            <w:noWrap w:val="0"/>
            <w:vAlign w:val="center"/>
          </w:tcPr>
          <w:p w14:paraId="09E09214">
            <w:pPr>
              <w:adjustRightInd w:val="0"/>
              <w:snapToGrid w:val="0"/>
              <w:ind w:left="0" w:leftChars="0"/>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履行合同义务的顺序</w:t>
            </w:r>
          </w:p>
        </w:tc>
        <w:tc>
          <w:tcPr>
            <w:tcW w:w="5170" w:type="dxa"/>
            <w:noWrap w:val="0"/>
            <w:vAlign w:val="center"/>
          </w:tcPr>
          <w:p w14:paraId="57BE6A45">
            <w:pPr>
              <w:adjustRightInd w:val="0"/>
              <w:snapToGrid w:val="0"/>
              <w:ind w:left="0" w:leftChars="0"/>
              <w:jc w:val="left"/>
              <w:rPr>
                <w:rFonts w:ascii="宋体" w:hAnsi="宋体" w:eastAsia="宋体" w:cs="Times New Roman"/>
                <w:kern w:val="2"/>
                <w:sz w:val="21"/>
                <w:szCs w:val="21"/>
                <w:lang w:val="en-US" w:eastAsia="zh-CN" w:bidi="ar-SA"/>
              </w:rPr>
            </w:pPr>
          </w:p>
        </w:tc>
      </w:tr>
      <w:tr w14:paraId="7F851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0BCBD589">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11068445">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w:t>
            </w: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.1</w:t>
            </w:r>
            <w:r>
              <w:rPr>
                <w:rFonts w:hint="eastAsia" w:ascii="宋体" w:hAnsi="宋体" w:eastAsia="宋体" w:cs="Times New Roman"/>
                <w:sz w:val="21"/>
                <w:szCs w:val="21"/>
                <w:lang w:val="en-US" w:eastAsia="zh-CN"/>
              </w:rPr>
              <w:t>款</w:t>
            </w:r>
          </w:p>
        </w:tc>
        <w:tc>
          <w:tcPr>
            <w:tcW w:w="1742" w:type="dxa"/>
            <w:noWrap w:val="0"/>
            <w:vAlign w:val="center"/>
          </w:tcPr>
          <w:p w14:paraId="540083B2">
            <w:pPr>
              <w:adjustRightInd w:val="0"/>
              <w:snapToGrid w:val="0"/>
              <w:ind w:left="0" w:leftChars="0"/>
              <w:jc w:val="left"/>
              <w:rPr>
                <w:rFonts w:ascii="宋体" w:hAnsi="宋体" w:eastAsia="宋体" w:cs="Times New Roman"/>
                <w:sz w:val="21"/>
                <w:szCs w:val="21"/>
              </w:rPr>
            </w:pPr>
            <w:r>
              <w:rPr>
                <w:rFonts w:hint="eastAsia" w:ascii="宋体" w:hAnsi="宋体" w:eastAsia="宋体" w:cs="Times New Roman"/>
                <w:sz w:val="21"/>
                <w:szCs w:val="21"/>
              </w:rPr>
              <w:t>包装</w:t>
            </w:r>
            <w:r>
              <w:rPr>
                <w:rFonts w:hint="eastAsia" w:ascii="宋体" w:hAnsi="宋体" w:eastAsia="宋体" w:cs="Times New Roman"/>
                <w:sz w:val="21"/>
                <w:szCs w:val="21"/>
                <w:lang w:eastAsia="zh-CN"/>
              </w:rPr>
              <w:t>特殊要求</w:t>
            </w:r>
          </w:p>
        </w:tc>
        <w:tc>
          <w:tcPr>
            <w:tcW w:w="5170" w:type="dxa"/>
            <w:noWrap w:val="0"/>
            <w:vAlign w:val="center"/>
          </w:tcPr>
          <w:p w14:paraId="3A012211">
            <w:pPr>
              <w:ind w:left="0" w:leftChars="0"/>
              <w:rPr>
                <w:rFonts w:ascii="Times New Roman" w:hAnsi="Times New Roman" w:eastAsia="宋体" w:cs="Times New Roman"/>
                <w:sz w:val="21"/>
                <w:szCs w:val="24"/>
              </w:rPr>
            </w:pPr>
          </w:p>
        </w:tc>
      </w:tr>
      <w:tr w14:paraId="38D9D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767D9E5B">
            <w:pPr>
              <w:adjustRightInd w:val="0"/>
              <w:snapToGrid w:val="0"/>
              <w:ind w:left="0" w:leftChars="0"/>
              <w:jc w:val="center"/>
              <w:rPr>
                <w:rFonts w:hint="eastAsia" w:ascii="宋体" w:hAnsi="宋体" w:eastAsia="宋体" w:cs="Times New Roman"/>
                <w:sz w:val="21"/>
                <w:szCs w:val="21"/>
              </w:rPr>
            </w:pPr>
          </w:p>
        </w:tc>
        <w:tc>
          <w:tcPr>
            <w:tcW w:w="1742" w:type="dxa"/>
            <w:noWrap w:val="0"/>
            <w:vAlign w:val="center"/>
          </w:tcPr>
          <w:p w14:paraId="4CDA99E6">
            <w:pPr>
              <w:adjustRightInd w:val="0"/>
              <w:snapToGrid w:val="0"/>
              <w:ind w:left="0" w:leftChars="0"/>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指定现场</w:t>
            </w:r>
          </w:p>
        </w:tc>
        <w:tc>
          <w:tcPr>
            <w:tcW w:w="5170" w:type="dxa"/>
            <w:noWrap w:val="0"/>
            <w:vAlign w:val="center"/>
          </w:tcPr>
          <w:p w14:paraId="5C2AE08E">
            <w:pPr>
              <w:ind w:left="0" w:leftChars="0"/>
              <w:rPr>
                <w:rFonts w:hint="eastAsia" w:ascii="Times New Roman" w:hAnsi="Times New Roman" w:eastAsia="宋体" w:cs="Times New Roman"/>
                <w:sz w:val="21"/>
                <w:szCs w:val="24"/>
              </w:rPr>
            </w:pPr>
          </w:p>
        </w:tc>
      </w:tr>
      <w:tr w14:paraId="120C1E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7EA60A77">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627F79B9">
            <w:pPr>
              <w:adjustRightInd w:val="0"/>
              <w:snapToGrid w:val="0"/>
              <w:ind w:left="0" w:leftChars="0"/>
              <w:jc w:val="center"/>
              <w:rPr>
                <w:rFonts w:hint="eastAsia" w:ascii="宋体" w:hAnsi="宋体" w:eastAsia="宋体" w:cs="Times New Roman"/>
                <w:sz w:val="21"/>
                <w:szCs w:val="21"/>
              </w:rPr>
            </w:pPr>
            <w:r>
              <w:rPr>
                <w:rFonts w:hint="eastAsia" w:ascii="宋体" w:hAnsi="宋体" w:eastAsia="宋体" w:cs="Times New Roman"/>
                <w:sz w:val="21"/>
                <w:szCs w:val="21"/>
              </w:rPr>
              <w:t>第</w:t>
            </w: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.2</w:t>
            </w:r>
            <w:r>
              <w:rPr>
                <w:rFonts w:hint="eastAsia" w:ascii="宋体" w:hAnsi="宋体" w:eastAsia="宋体" w:cs="Times New Roman"/>
                <w:sz w:val="21"/>
                <w:szCs w:val="21"/>
                <w:lang w:val="en-US" w:eastAsia="zh-CN"/>
              </w:rPr>
              <w:t>款</w:t>
            </w:r>
          </w:p>
        </w:tc>
        <w:tc>
          <w:tcPr>
            <w:tcW w:w="1742" w:type="dxa"/>
            <w:noWrap w:val="0"/>
            <w:vAlign w:val="center"/>
          </w:tcPr>
          <w:p w14:paraId="14F0D2EC">
            <w:pPr>
              <w:adjustRightInd w:val="0"/>
              <w:snapToGrid w:val="0"/>
              <w:ind w:left="0" w:leftChars="0"/>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运输特殊要求</w:t>
            </w:r>
          </w:p>
        </w:tc>
        <w:tc>
          <w:tcPr>
            <w:tcW w:w="5170" w:type="dxa"/>
            <w:noWrap w:val="0"/>
            <w:vAlign w:val="center"/>
          </w:tcPr>
          <w:p w14:paraId="4F5DA6FE">
            <w:pPr>
              <w:ind w:left="0" w:leftChars="0"/>
              <w:rPr>
                <w:rFonts w:hint="eastAsia" w:ascii="Times New Roman" w:hAnsi="Times New Roman" w:eastAsia="宋体" w:cs="Times New Roman"/>
                <w:sz w:val="21"/>
                <w:szCs w:val="24"/>
              </w:rPr>
            </w:pPr>
          </w:p>
        </w:tc>
      </w:tr>
      <w:tr w14:paraId="6CD51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3715A8C5">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6D4888B6">
            <w:pPr>
              <w:adjustRightInd w:val="0"/>
              <w:snapToGrid w:val="0"/>
              <w:ind w:left="0" w:leftChars="0"/>
              <w:jc w:val="center"/>
              <w:rPr>
                <w:rFonts w:hint="eastAsia" w:ascii="宋体" w:hAnsi="宋体" w:eastAsia="宋体" w:cs="Times New Roman"/>
                <w:sz w:val="21"/>
                <w:szCs w:val="21"/>
              </w:rPr>
            </w:pPr>
            <w:r>
              <w:rPr>
                <w:rFonts w:hint="eastAsia" w:ascii="宋体" w:hAnsi="宋体" w:eastAsia="宋体" w:cs="Times New Roman"/>
                <w:sz w:val="21"/>
                <w:szCs w:val="21"/>
              </w:rPr>
              <w:t>第</w:t>
            </w: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.3</w:t>
            </w:r>
            <w:r>
              <w:rPr>
                <w:rFonts w:hint="eastAsia" w:ascii="宋体" w:hAnsi="宋体" w:eastAsia="宋体" w:cs="Times New Roman"/>
                <w:sz w:val="21"/>
                <w:szCs w:val="21"/>
                <w:lang w:val="en-US" w:eastAsia="zh-CN"/>
              </w:rPr>
              <w:t>款</w:t>
            </w:r>
          </w:p>
        </w:tc>
        <w:tc>
          <w:tcPr>
            <w:tcW w:w="1742" w:type="dxa"/>
            <w:noWrap w:val="0"/>
            <w:vAlign w:val="center"/>
          </w:tcPr>
          <w:p w14:paraId="2032AC2F">
            <w:pPr>
              <w:adjustRightInd w:val="0"/>
              <w:snapToGrid w:val="0"/>
              <w:ind w:left="0" w:leftChars="0"/>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保险要求</w:t>
            </w:r>
          </w:p>
        </w:tc>
        <w:tc>
          <w:tcPr>
            <w:tcW w:w="5170" w:type="dxa"/>
            <w:noWrap w:val="0"/>
            <w:vAlign w:val="center"/>
          </w:tcPr>
          <w:p w14:paraId="3094CC76">
            <w:pPr>
              <w:ind w:left="0" w:leftChars="0"/>
              <w:rPr>
                <w:rFonts w:hint="eastAsia" w:ascii="Times New Roman" w:hAnsi="Times New Roman" w:eastAsia="宋体" w:cs="Times New Roman"/>
                <w:sz w:val="21"/>
                <w:szCs w:val="24"/>
              </w:rPr>
            </w:pPr>
          </w:p>
        </w:tc>
      </w:tr>
      <w:tr w14:paraId="24A46A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D3FCA32">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61725F65">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w:t>
            </w: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.2（1）项</w:t>
            </w:r>
          </w:p>
        </w:tc>
        <w:tc>
          <w:tcPr>
            <w:tcW w:w="1742" w:type="dxa"/>
            <w:noWrap w:val="0"/>
            <w:vAlign w:val="center"/>
          </w:tcPr>
          <w:p w14:paraId="175986AC">
            <w:pPr>
              <w:adjustRightInd w:val="0"/>
              <w:snapToGrid w:val="0"/>
              <w:ind w:left="0" w:leftChars="0"/>
              <w:jc w:val="left"/>
              <w:rPr>
                <w:rFonts w:ascii="宋体" w:hAnsi="宋体" w:eastAsia="宋体" w:cs="Times New Roman"/>
                <w:sz w:val="21"/>
                <w:szCs w:val="21"/>
              </w:rPr>
            </w:pPr>
            <w:r>
              <w:rPr>
                <w:rFonts w:hint="eastAsia" w:ascii="宋体" w:hAnsi="宋体" w:eastAsia="宋体" w:cs="Times New Roman"/>
                <w:sz w:val="21"/>
                <w:szCs w:val="21"/>
              </w:rPr>
              <w:t>质量保证期</w:t>
            </w:r>
          </w:p>
        </w:tc>
        <w:tc>
          <w:tcPr>
            <w:tcW w:w="5170" w:type="dxa"/>
            <w:noWrap w:val="0"/>
            <w:vAlign w:val="center"/>
          </w:tcPr>
          <w:p w14:paraId="6B6D64C9">
            <w:pPr>
              <w:autoSpaceDE w:val="0"/>
              <w:autoSpaceDN w:val="0"/>
              <w:adjustRightInd w:val="0"/>
              <w:snapToGrid w:val="0"/>
              <w:ind w:left="0" w:leftChars="0" w:firstLine="420" w:firstLineChars="200"/>
              <w:jc w:val="left"/>
              <w:rPr>
                <w:rFonts w:ascii="宋体" w:hAnsi="宋体" w:eastAsia="宋体" w:cs="Times New Roman"/>
                <w:sz w:val="21"/>
                <w:szCs w:val="21"/>
              </w:rPr>
            </w:pPr>
          </w:p>
        </w:tc>
      </w:tr>
      <w:tr w14:paraId="6B507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34BDE08">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1F7A48AD">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w:t>
            </w: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.2（3）项</w:t>
            </w:r>
          </w:p>
        </w:tc>
        <w:tc>
          <w:tcPr>
            <w:tcW w:w="1742" w:type="dxa"/>
            <w:noWrap w:val="0"/>
            <w:vAlign w:val="center"/>
          </w:tcPr>
          <w:p w14:paraId="4723929A">
            <w:pPr>
              <w:adjustRightInd w:val="0"/>
              <w:snapToGrid w:val="0"/>
              <w:ind w:left="0" w:leftChars="0"/>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货物质量缺陷</w:t>
            </w:r>
          </w:p>
          <w:p w14:paraId="715AE698">
            <w:pPr>
              <w:adjustRightInd w:val="0"/>
              <w:snapToGrid w:val="0"/>
              <w:ind w:left="0" w:leftChars="0"/>
              <w:jc w:val="left"/>
              <w:rPr>
                <w:rFonts w:ascii="宋体" w:hAnsi="宋体" w:eastAsia="宋体" w:cs="Times New Roman"/>
                <w:sz w:val="21"/>
                <w:szCs w:val="21"/>
              </w:rPr>
            </w:pPr>
            <w:r>
              <w:rPr>
                <w:rFonts w:hint="eastAsia" w:ascii="宋体" w:hAnsi="宋体" w:eastAsia="宋体" w:cs="Times New Roman"/>
                <w:sz w:val="21"/>
                <w:szCs w:val="21"/>
              </w:rPr>
              <w:t>响应时间</w:t>
            </w:r>
          </w:p>
        </w:tc>
        <w:tc>
          <w:tcPr>
            <w:tcW w:w="5170" w:type="dxa"/>
            <w:noWrap w:val="0"/>
            <w:vAlign w:val="center"/>
          </w:tcPr>
          <w:p w14:paraId="44CAD4EA">
            <w:pPr>
              <w:adjustRightInd w:val="0"/>
              <w:snapToGrid w:val="0"/>
              <w:ind w:left="0" w:leftChars="0"/>
              <w:jc w:val="left"/>
              <w:rPr>
                <w:rFonts w:ascii="宋体" w:hAnsi="宋体" w:eastAsia="宋体" w:cs="Times New Roman"/>
                <w:sz w:val="21"/>
                <w:szCs w:val="21"/>
              </w:rPr>
            </w:pPr>
          </w:p>
        </w:tc>
      </w:tr>
      <w:tr w14:paraId="00A186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3B22EC6">
            <w:pPr>
              <w:snapToGrid w:val="0"/>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第二节</w:t>
            </w:r>
          </w:p>
          <w:p w14:paraId="58CFDFC8">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noWrap w:val="0"/>
            <w:vAlign w:val="center"/>
          </w:tcPr>
          <w:p w14:paraId="5A67C07A">
            <w:pPr>
              <w:adjustRightInd w:val="0"/>
              <w:snapToGrid w:val="0"/>
              <w:ind w:left="0" w:leftChars="0"/>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其他应当保密的信息</w:t>
            </w:r>
          </w:p>
        </w:tc>
        <w:tc>
          <w:tcPr>
            <w:tcW w:w="5170" w:type="dxa"/>
            <w:noWrap w:val="0"/>
            <w:vAlign w:val="center"/>
          </w:tcPr>
          <w:p w14:paraId="03E0BA88">
            <w:pPr>
              <w:adjustRightInd w:val="0"/>
              <w:snapToGrid w:val="0"/>
              <w:ind w:left="0" w:leftChars="0"/>
              <w:jc w:val="left"/>
              <w:rPr>
                <w:rFonts w:ascii="宋体" w:hAnsi="宋体" w:eastAsia="宋体" w:cs="Times New Roman"/>
                <w:sz w:val="21"/>
                <w:szCs w:val="21"/>
              </w:rPr>
            </w:pPr>
          </w:p>
        </w:tc>
      </w:tr>
      <w:tr w14:paraId="668B7E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80326CB">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3F74DE03">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第1</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.2款</w:t>
            </w:r>
          </w:p>
        </w:tc>
        <w:tc>
          <w:tcPr>
            <w:tcW w:w="1742" w:type="dxa"/>
            <w:noWrap w:val="0"/>
            <w:vAlign w:val="center"/>
          </w:tcPr>
          <w:p w14:paraId="4A960A7D">
            <w:pPr>
              <w:adjustRightInd w:val="0"/>
              <w:snapToGrid w:val="0"/>
              <w:ind w:left="0" w:leftChars="0"/>
              <w:jc w:val="left"/>
              <w:rPr>
                <w:rFonts w:hint="eastAsia" w:ascii="宋体" w:hAnsi="宋体" w:eastAsia="宋体" w:cs="Times New Roman"/>
                <w:sz w:val="21"/>
                <w:szCs w:val="21"/>
                <w:lang w:eastAsia="zh-CN"/>
              </w:rPr>
            </w:pPr>
            <w:r>
              <w:rPr>
                <w:rFonts w:hint="eastAsia" w:ascii="宋体" w:hAnsi="宋体" w:eastAsia="宋体" w:cs="Times New Roman"/>
                <w:sz w:val="21"/>
                <w:szCs w:val="21"/>
              </w:rPr>
              <w:t>合同价款支付</w:t>
            </w:r>
            <w:r>
              <w:rPr>
                <w:rFonts w:hint="eastAsia" w:ascii="宋体" w:hAnsi="宋体" w:eastAsia="宋体" w:cs="Times New Roman"/>
                <w:sz w:val="21"/>
                <w:szCs w:val="21"/>
                <w:lang w:eastAsia="zh-CN"/>
              </w:rPr>
              <w:t>时间</w:t>
            </w:r>
          </w:p>
        </w:tc>
        <w:tc>
          <w:tcPr>
            <w:tcW w:w="5170" w:type="dxa"/>
            <w:noWrap w:val="0"/>
            <w:vAlign w:val="center"/>
          </w:tcPr>
          <w:p w14:paraId="35CDBE94">
            <w:pPr>
              <w:adjustRightInd w:val="0"/>
              <w:snapToGrid w:val="0"/>
              <w:ind w:left="0" w:leftChars="0"/>
              <w:jc w:val="left"/>
              <w:rPr>
                <w:rFonts w:ascii="宋体" w:hAnsi="宋体" w:eastAsia="宋体" w:cs="Times New Roman"/>
                <w:sz w:val="21"/>
                <w:szCs w:val="21"/>
              </w:rPr>
            </w:pPr>
          </w:p>
        </w:tc>
      </w:tr>
      <w:tr w14:paraId="270C94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5FD6FBD9">
            <w:pPr>
              <w:adjustRightInd w:val="0"/>
              <w:snapToGrid w:val="0"/>
              <w:ind w:left="0" w:leftChars="0"/>
              <w:jc w:val="center"/>
              <w:rPr>
                <w:rFonts w:hint="eastAsia" w:ascii="宋体" w:hAnsi="宋体" w:eastAsia="宋体" w:cs="Times New Roman"/>
                <w:sz w:val="21"/>
                <w:szCs w:val="21"/>
              </w:rPr>
            </w:pPr>
            <w:r>
              <w:rPr>
                <w:rFonts w:hint="eastAsia" w:ascii="宋体" w:hAnsi="宋体" w:eastAsia="宋体" w:cs="Times New Roman"/>
                <w:sz w:val="21"/>
                <w:szCs w:val="21"/>
              </w:rPr>
              <w:t>第二节</w:t>
            </w:r>
          </w:p>
          <w:p w14:paraId="63C0E8EA">
            <w:pPr>
              <w:adjustRightInd w:val="0"/>
              <w:snapToGrid w:val="0"/>
              <w:ind w:left="0" w:leftChars="0"/>
              <w:jc w:val="center"/>
              <w:rPr>
                <w:rFonts w:hint="eastAsia" w:ascii="宋体" w:hAnsi="宋体" w:eastAsia="宋体" w:cs="Times New Roman"/>
                <w:sz w:val="21"/>
                <w:szCs w:val="21"/>
              </w:rPr>
            </w:pPr>
            <w:r>
              <w:rPr>
                <w:rFonts w:hint="eastAsia" w:ascii="宋体" w:hAnsi="宋体" w:eastAsia="宋体" w:cs="Times New Roman"/>
                <w:sz w:val="21"/>
                <w:szCs w:val="21"/>
              </w:rPr>
              <w:t>第</w:t>
            </w:r>
            <w:r>
              <w:rPr>
                <w:rFonts w:hint="eastAsia" w:ascii="宋体" w:hAnsi="宋体" w:eastAsia="宋体" w:cs="Times New Roman"/>
                <w:sz w:val="21"/>
                <w:szCs w:val="21"/>
                <w:lang w:val="en-US" w:eastAsia="zh-CN"/>
              </w:rPr>
              <w:t>13.2</w:t>
            </w:r>
            <w:r>
              <w:rPr>
                <w:rFonts w:hint="eastAsia" w:ascii="宋体" w:hAnsi="宋体" w:eastAsia="宋体" w:cs="Times New Roman"/>
                <w:sz w:val="21"/>
                <w:szCs w:val="21"/>
              </w:rPr>
              <w:t>款</w:t>
            </w:r>
          </w:p>
        </w:tc>
        <w:tc>
          <w:tcPr>
            <w:tcW w:w="1742" w:type="dxa"/>
            <w:noWrap w:val="0"/>
            <w:vAlign w:val="center"/>
          </w:tcPr>
          <w:p w14:paraId="3BF25E45">
            <w:pPr>
              <w:adjustRightInd w:val="0"/>
              <w:snapToGrid w:val="0"/>
              <w:ind w:left="0" w:left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履约保证金不予退还的情形</w:t>
            </w:r>
          </w:p>
        </w:tc>
        <w:tc>
          <w:tcPr>
            <w:tcW w:w="5170" w:type="dxa"/>
            <w:noWrap w:val="0"/>
            <w:vAlign w:val="center"/>
          </w:tcPr>
          <w:p w14:paraId="53B6F501">
            <w:pPr>
              <w:adjustRightInd w:val="0"/>
              <w:snapToGrid w:val="0"/>
              <w:ind w:left="0" w:leftChars="0"/>
              <w:jc w:val="left"/>
              <w:rPr>
                <w:rFonts w:ascii="宋体" w:hAnsi="宋体" w:eastAsia="宋体" w:cs="Times New Roman"/>
                <w:sz w:val="21"/>
                <w:szCs w:val="21"/>
              </w:rPr>
            </w:pPr>
          </w:p>
        </w:tc>
      </w:tr>
      <w:tr w14:paraId="714717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978709A">
            <w:pPr>
              <w:adjustRightInd w:val="0"/>
              <w:snapToGrid w:val="0"/>
              <w:ind w:left="0" w:leftChars="0"/>
              <w:jc w:val="center"/>
              <w:rPr>
                <w:rFonts w:hint="eastAsia" w:ascii="宋体" w:hAnsi="宋体" w:eastAsia="宋体" w:cs="Times New Roman"/>
                <w:sz w:val="21"/>
                <w:szCs w:val="21"/>
              </w:rPr>
            </w:pPr>
            <w:r>
              <w:rPr>
                <w:rFonts w:hint="eastAsia" w:ascii="宋体" w:hAnsi="宋体" w:eastAsia="宋体" w:cs="Times New Roman"/>
                <w:sz w:val="21"/>
                <w:szCs w:val="21"/>
              </w:rPr>
              <w:t>第二节</w:t>
            </w:r>
          </w:p>
          <w:p w14:paraId="12A79269">
            <w:pPr>
              <w:adjustRightInd w:val="0"/>
              <w:snapToGrid w:val="0"/>
              <w:ind w:left="0" w:leftChars="0"/>
              <w:jc w:val="center"/>
              <w:rPr>
                <w:rFonts w:hint="eastAsia" w:ascii="宋体" w:hAnsi="宋体" w:eastAsia="宋体" w:cs="Times New Roman"/>
                <w:sz w:val="21"/>
                <w:szCs w:val="21"/>
              </w:rPr>
            </w:pPr>
            <w:r>
              <w:rPr>
                <w:rFonts w:hint="eastAsia" w:ascii="宋体" w:hAnsi="宋体" w:eastAsia="宋体" w:cs="Times New Roman"/>
                <w:sz w:val="21"/>
                <w:szCs w:val="21"/>
              </w:rPr>
              <w:t>第</w:t>
            </w:r>
            <w:r>
              <w:rPr>
                <w:rFonts w:hint="eastAsia" w:ascii="宋体" w:hAnsi="宋体" w:eastAsia="宋体" w:cs="Times New Roman"/>
                <w:sz w:val="21"/>
                <w:szCs w:val="21"/>
                <w:lang w:val="en-US" w:eastAsia="zh-CN"/>
              </w:rPr>
              <w:t>13.3</w:t>
            </w:r>
            <w:r>
              <w:rPr>
                <w:rFonts w:hint="eastAsia" w:ascii="宋体" w:hAnsi="宋体" w:eastAsia="宋体" w:cs="Times New Roman"/>
                <w:sz w:val="21"/>
                <w:szCs w:val="21"/>
              </w:rPr>
              <w:t>款</w:t>
            </w:r>
          </w:p>
        </w:tc>
        <w:tc>
          <w:tcPr>
            <w:tcW w:w="1742" w:type="dxa"/>
            <w:noWrap w:val="0"/>
            <w:vAlign w:val="center"/>
          </w:tcPr>
          <w:p w14:paraId="61667764">
            <w:pPr>
              <w:adjustRightInd w:val="0"/>
              <w:snapToGrid w:val="0"/>
              <w:ind w:left="0" w:leftChars="0"/>
              <w:jc w:val="left"/>
              <w:rPr>
                <w:rFonts w:ascii="宋体" w:hAnsi="宋体" w:eastAsia="宋体" w:cs="Times New Roman"/>
                <w:sz w:val="21"/>
                <w:szCs w:val="21"/>
              </w:rPr>
            </w:pPr>
            <w:r>
              <w:rPr>
                <w:rFonts w:hint="eastAsia" w:ascii="宋体" w:hAnsi="宋体" w:eastAsia="宋体" w:cs="Times New Roman"/>
                <w:sz w:val="21"/>
                <w:szCs w:val="21"/>
              </w:rPr>
              <w:t>履约保证金退还时间及</w:t>
            </w:r>
            <w:r>
              <w:rPr>
                <w:rFonts w:hint="eastAsia" w:ascii="宋体" w:hAnsi="宋体" w:eastAsia="宋体" w:cs="Times New Roman"/>
                <w:sz w:val="21"/>
                <w:szCs w:val="21"/>
                <w:lang w:eastAsia="zh-CN"/>
              </w:rPr>
              <w:t>逾期退还的</w:t>
            </w:r>
            <w:r>
              <w:rPr>
                <w:rFonts w:hint="eastAsia" w:ascii="宋体" w:hAnsi="宋体" w:eastAsia="宋体" w:cs="Times New Roman"/>
                <w:sz w:val="21"/>
                <w:szCs w:val="21"/>
              </w:rPr>
              <w:t>违约金</w:t>
            </w:r>
          </w:p>
        </w:tc>
        <w:tc>
          <w:tcPr>
            <w:tcW w:w="5170" w:type="dxa"/>
            <w:noWrap w:val="0"/>
            <w:vAlign w:val="center"/>
          </w:tcPr>
          <w:p w14:paraId="3BCEE528">
            <w:pPr>
              <w:adjustRightInd w:val="0"/>
              <w:snapToGrid w:val="0"/>
              <w:ind w:left="0" w:leftChars="0"/>
              <w:jc w:val="left"/>
              <w:rPr>
                <w:rFonts w:ascii="宋体" w:hAnsi="宋体" w:eastAsia="宋体" w:cs="Times New Roman"/>
                <w:sz w:val="21"/>
                <w:szCs w:val="21"/>
              </w:rPr>
            </w:pPr>
          </w:p>
        </w:tc>
      </w:tr>
      <w:tr w14:paraId="34B24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6255BC4">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6408EC85">
            <w:pPr>
              <w:adjustRightInd w:val="0"/>
              <w:snapToGrid w:val="0"/>
              <w:ind w:left="0" w:leftChars="0"/>
              <w:jc w:val="center"/>
              <w:rPr>
                <w:rFonts w:hint="eastAsia" w:ascii="宋体" w:hAnsi="宋体" w:eastAsia="宋体" w:cs="Times New Roman"/>
                <w:sz w:val="21"/>
                <w:szCs w:val="21"/>
              </w:rPr>
            </w:pPr>
            <w:r>
              <w:rPr>
                <w:rFonts w:hint="eastAsia" w:ascii="宋体" w:hAnsi="宋体" w:eastAsia="宋体" w:cs="Times New Roman"/>
                <w:sz w:val="21"/>
                <w:szCs w:val="21"/>
              </w:rPr>
              <w:t>第1</w:t>
            </w: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.1（</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）项</w:t>
            </w:r>
          </w:p>
        </w:tc>
        <w:tc>
          <w:tcPr>
            <w:tcW w:w="1742" w:type="dxa"/>
            <w:noWrap w:val="0"/>
            <w:vAlign w:val="center"/>
          </w:tcPr>
          <w:p w14:paraId="29E15AA4">
            <w:pPr>
              <w:adjustRightInd w:val="0"/>
              <w:snapToGrid w:val="0"/>
              <w:ind w:left="0" w:left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运行监督、维修期限</w:t>
            </w:r>
          </w:p>
        </w:tc>
        <w:tc>
          <w:tcPr>
            <w:tcW w:w="5170" w:type="dxa"/>
            <w:noWrap w:val="0"/>
            <w:vAlign w:val="center"/>
          </w:tcPr>
          <w:p w14:paraId="2B962C9D">
            <w:pPr>
              <w:adjustRightInd w:val="0"/>
              <w:snapToGrid w:val="0"/>
              <w:ind w:left="0" w:leftChars="0"/>
              <w:jc w:val="left"/>
              <w:rPr>
                <w:rFonts w:ascii="宋体" w:hAnsi="宋体" w:eastAsia="宋体" w:cs="Times New Roman"/>
                <w:sz w:val="21"/>
                <w:szCs w:val="21"/>
              </w:rPr>
            </w:pPr>
          </w:p>
        </w:tc>
      </w:tr>
      <w:tr w14:paraId="29B038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F06F69F">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79B4B998">
            <w:pPr>
              <w:adjustRightInd w:val="0"/>
              <w:snapToGrid w:val="0"/>
              <w:ind w:left="0" w:leftChars="0"/>
              <w:jc w:val="center"/>
              <w:rPr>
                <w:rFonts w:hint="eastAsia" w:ascii="宋体" w:hAnsi="宋体" w:eastAsia="宋体" w:cs="Times New Roman"/>
                <w:sz w:val="21"/>
                <w:szCs w:val="21"/>
              </w:rPr>
            </w:pPr>
            <w:r>
              <w:rPr>
                <w:rFonts w:hint="eastAsia" w:ascii="宋体" w:hAnsi="宋体" w:eastAsia="宋体" w:cs="Times New Roman"/>
                <w:sz w:val="21"/>
                <w:szCs w:val="21"/>
              </w:rPr>
              <w:t>第1</w:t>
            </w: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.1（</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）项</w:t>
            </w:r>
          </w:p>
        </w:tc>
        <w:tc>
          <w:tcPr>
            <w:tcW w:w="1742" w:type="dxa"/>
            <w:noWrap w:val="0"/>
            <w:vAlign w:val="center"/>
          </w:tcPr>
          <w:p w14:paraId="2FDB570D">
            <w:pPr>
              <w:adjustRightInd w:val="0"/>
              <w:snapToGrid w:val="0"/>
              <w:ind w:left="0" w:left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货物回收的约定</w:t>
            </w:r>
          </w:p>
        </w:tc>
        <w:tc>
          <w:tcPr>
            <w:tcW w:w="5170" w:type="dxa"/>
            <w:noWrap w:val="0"/>
            <w:vAlign w:val="center"/>
          </w:tcPr>
          <w:p w14:paraId="3772E44E">
            <w:pPr>
              <w:adjustRightInd w:val="0"/>
              <w:snapToGrid w:val="0"/>
              <w:ind w:left="0" w:leftChars="0"/>
              <w:jc w:val="left"/>
              <w:rPr>
                <w:rFonts w:ascii="宋体" w:hAnsi="宋体" w:eastAsia="宋体" w:cs="Times New Roman"/>
                <w:sz w:val="21"/>
                <w:szCs w:val="21"/>
              </w:rPr>
            </w:pPr>
          </w:p>
        </w:tc>
      </w:tr>
      <w:tr w14:paraId="6DEDE7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FD655F4">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3B4D8F26">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第1</w:t>
            </w: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.1（</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）项</w:t>
            </w:r>
          </w:p>
        </w:tc>
        <w:tc>
          <w:tcPr>
            <w:tcW w:w="1742" w:type="dxa"/>
            <w:noWrap w:val="0"/>
            <w:vAlign w:val="center"/>
          </w:tcPr>
          <w:p w14:paraId="032FAD7C">
            <w:pPr>
              <w:adjustRightInd w:val="0"/>
              <w:snapToGrid w:val="0"/>
              <w:ind w:left="0" w:leftChars="0"/>
              <w:jc w:val="left"/>
              <w:rPr>
                <w:rFonts w:ascii="宋体" w:hAnsi="宋体" w:eastAsia="宋体" w:cs="Times New Roman"/>
                <w:sz w:val="21"/>
                <w:szCs w:val="21"/>
              </w:rPr>
            </w:pPr>
            <w:r>
              <w:rPr>
                <w:rFonts w:hint="eastAsia" w:ascii="宋体" w:hAnsi="宋体" w:eastAsia="宋体" w:cs="Times New Roman"/>
                <w:sz w:val="21"/>
                <w:szCs w:val="21"/>
              </w:rPr>
              <w:t>乙方提供的其他服务</w:t>
            </w:r>
          </w:p>
        </w:tc>
        <w:tc>
          <w:tcPr>
            <w:tcW w:w="5170" w:type="dxa"/>
            <w:noWrap w:val="0"/>
            <w:vAlign w:val="center"/>
          </w:tcPr>
          <w:p w14:paraId="1D837572">
            <w:pPr>
              <w:adjustRightInd w:val="0"/>
              <w:snapToGrid w:val="0"/>
              <w:ind w:left="0" w:leftChars="0"/>
              <w:jc w:val="left"/>
              <w:rPr>
                <w:rFonts w:ascii="宋体" w:hAnsi="宋体" w:eastAsia="宋体" w:cs="Times New Roman"/>
                <w:sz w:val="21"/>
                <w:szCs w:val="21"/>
              </w:rPr>
            </w:pPr>
          </w:p>
        </w:tc>
      </w:tr>
      <w:tr w14:paraId="73787E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D49A56F">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56749FF6">
            <w:pPr>
              <w:adjustRightInd w:val="0"/>
              <w:snapToGrid w:val="0"/>
              <w:ind w:left="0" w:left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rPr>
              <w:t>第1</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1款</w:t>
            </w:r>
          </w:p>
        </w:tc>
        <w:tc>
          <w:tcPr>
            <w:tcW w:w="1742" w:type="dxa"/>
            <w:noWrap w:val="0"/>
            <w:vAlign w:val="center"/>
          </w:tcPr>
          <w:p w14:paraId="0A34298C">
            <w:pPr>
              <w:adjustRightInd w:val="0"/>
              <w:snapToGrid w:val="0"/>
              <w:ind w:left="0" w:leftChars="0"/>
              <w:jc w:val="left"/>
              <w:rPr>
                <w:rFonts w:hint="eastAsia" w:ascii="宋体" w:hAnsi="宋体" w:eastAsia="宋体" w:cs="Times New Roman"/>
                <w:sz w:val="21"/>
                <w:szCs w:val="21"/>
              </w:rPr>
            </w:pPr>
            <w:r>
              <w:rPr>
                <w:rFonts w:hint="eastAsia" w:ascii="宋体" w:hAnsi="宋体" w:eastAsia="宋体" w:cs="Times New Roman"/>
                <w:color w:val="auto"/>
                <w:sz w:val="21"/>
                <w:szCs w:val="21"/>
                <w:highlight w:val="none"/>
                <w:lang w:eastAsia="zh-CN"/>
              </w:rPr>
              <w:t>修理、重作、更换相关具体规定</w:t>
            </w:r>
          </w:p>
        </w:tc>
        <w:tc>
          <w:tcPr>
            <w:tcW w:w="5170" w:type="dxa"/>
            <w:noWrap w:val="0"/>
            <w:vAlign w:val="center"/>
          </w:tcPr>
          <w:p w14:paraId="38FF6AEC">
            <w:pPr>
              <w:adjustRightInd w:val="0"/>
              <w:snapToGrid w:val="0"/>
              <w:ind w:left="0" w:leftChars="0"/>
              <w:jc w:val="left"/>
              <w:rPr>
                <w:rFonts w:ascii="宋体" w:hAnsi="宋体" w:eastAsia="宋体" w:cs="Times New Roman"/>
                <w:sz w:val="21"/>
                <w:szCs w:val="21"/>
              </w:rPr>
            </w:pPr>
          </w:p>
        </w:tc>
      </w:tr>
      <w:tr w14:paraId="006ABD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C854EA1">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0C2F6403">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第1</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.2（2）项</w:t>
            </w:r>
          </w:p>
        </w:tc>
        <w:tc>
          <w:tcPr>
            <w:tcW w:w="1742" w:type="dxa"/>
            <w:noWrap w:val="0"/>
            <w:vAlign w:val="center"/>
          </w:tcPr>
          <w:p w14:paraId="78F72FDE">
            <w:pPr>
              <w:adjustRightInd w:val="0"/>
              <w:snapToGrid w:val="0"/>
              <w:ind w:left="0" w:leftChars="0"/>
              <w:jc w:val="left"/>
              <w:rPr>
                <w:rFonts w:ascii="宋体" w:hAnsi="宋体" w:eastAsia="宋体" w:cs="Times New Roman"/>
                <w:sz w:val="21"/>
                <w:szCs w:val="21"/>
              </w:rPr>
            </w:pPr>
            <w:r>
              <w:rPr>
                <w:rFonts w:hint="eastAsia" w:ascii="宋体" w:hAnsi="宋体" w:eastAsia="宋体" w:cs="Times New Roman"/>
                <w:sz w:val="21"/>
                <w:szCs w:val="21"/>
              </w:rPr>
              <w:t>迟延交货赔偿费</w:t>
            </w:r>
          </w:p>
        </w:tc>
        <w:tc>
          <w:tcPr>
            <w:tcW w:w="5170" w:type="dxa"/>
            <w:noWrap w:val="0"/>
            <w:vAlign w:val="center"/>
          </w:tcPr>
          <w:p w14:paraId="4D79FF41">
            <w:pPr>
              <w:adjustRightInd w:val="0"/>
              <w:snapToGrid w:val="0"/>
              <w:ind w:left="0" w:leftChars="0"/>
              <w:jc w:val="left"/>
              <w:rPr>
                <w:rFonts w:ascii="宋体" w:hAnsi="宋体" w:eastAsia="宋体" w:cs="Times New Roman"/>
                <w:sz w:val="21"/>
                <w:szCs w:val="21"/>
                <w:u w:val="single"/>
              </w:rPr>
            </w:pPr>
          </w:p>
        </w:tc>
      </w:tr>
      <w:tr w14:paraId="3571BC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AB206EA">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7C57D705">
            <w:pPr>
              <w:adjustRightInd w:val="0"/>
              <w:snapToGrid w:val="0"/>
              <w:ind w:left="0" w:leftChars="0"/>
              <w:jc w:val="center"/>
              <w:rPr>
                <w:rFonts w:hint="eastAsia" w:ascii="宋体" w:hAnsi="宋体" w:eastAsia="宋体" w:cs="Times New Roman"/>
                <w:sz w:val="21"/>
                <w:szCs w:val="21"/>
              </w:rPr>
            </w:pPr>
            <w:r>
              <w:rPr>
                <w:rFonts w:hint="eastAsia" w:ascii="宋体" w:hAnsi="宋体" w:eastAsia="宋体" w:cs="Times New Roman"/>
                <w:sz w:val="21"/>
                <w:szCs w:val="21"/>
              </w:rPr>
              <w:t>第1</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3款</w:t>
            </w:r>
          </w:p>
        </w:tc>
        <w:tc>
          <w:tcPr>
            <w:tcW w:w="1742" w:type="dxa"/>
            <w:noWrap w:val="0"/>
            <w:vAlign w:val="center"/>
          </w:tcPr>
          <w:p w14:paraId="5EF276C6">
            <w:pPr>
              <w:adjustRightInd w:val="0"/>
              <w:snapToGrid w:val="0"/>
              <w:ind w:left="0" w:leftChars="0"/>
              <w:jc w:val="left"/>
              <w:rPr>
                <w:rFonts w:hint="eastAsia" w:ascii="宋体" w:hAnsi="宋体" w:eastAsia="宋体" w:cs="Times New Roman"/>
                <w:sz w:val="21"/>
                <w:szCs w:val="21"/>
              </w:rPr>
            </w:pPr>
            <w:r>
              <w:rPr>
                <w:rFonts w:hint="eastAsia" w:ascii="宋体" w:hAnsi="宋体" w:eastAsia="宋体" w:cs="Times New Roman"/>
                <w:sz w:val="21"/>
                <w:szCs w:val="21"/>
              </w:rPr>
              <w:t>逾期付款利息</w:t>
            </w:r>
          </w:p>
        </w:tc>
        <w:tc>
          <w:tcPr>
            <w:tcW w:w="5170" w:type="dxa"/>
            <w:noWrap w:val="0"/>
            <w:vAlign w:val="center"/>
          </w:tcPr>
          <w:p w14:paraId="1A5C1FDC">
            <w:pPr>
              <w:adjustRightInd w:val="0"/>
              <w:snapToGrid w:val="0"/>
              <w:ind w:left="0" w:leftChars="0"/>
              <w:jc w:val="left"/>
              <w:rPr>
                <w:rFonts w:ascii="宋体" w:hAnsi="宋体" w:eastAsia="宋体" w:cs="Times New Roman"/>
                <w:sz w:val="21"/>
                <w:szCs w:val="21"/>
                <w:u w:val="single"/>
              </w:rPr>
            </w:pPr>
          </w:p>
        </w:tc>
      </w:tr>
      <w:tr w14:paraId="1CD90E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08AB49B2">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4DB6DA1A">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第1</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.4</w:t>
            </w:r>
            <w:r>
              <w:rPr>
                <w:rFonts w:hint="eastAsia" w:ascii="宋体" w:hAnsi="宋体" w:eastAsia="宋体" w:cs="Times New Roman"/>
                <w:sz w:val="21"/>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5CF98C44">
            <w:pPr>
              <w:adjustRightInd w:val="0"/>
              <w:snapToGrid w:val="0"/>
              <w:ind w:left="0" w:leftChars="0"/>
              <w:jc w:val="left"/>
              <w:rPr>
                <w:rFonts w:ascii="宋体" w:hAnsi="宋体" w:eastAsia="宋体" w:cs="Times New Roman"/>
                <w:sz w:val="21"/>
                <w:szCs w:val="21"/>
              </w:rPr>
            </w:pPr>
            <w:r>
              <w:rPr>
                <w:rFonts w:hint="eastAsia" w:ascii="宋体" w:hAnsi="宋体" w:eastAsia="宋体" w:cs="Times New Roman"/>
                <w:sz w:val="21"/>
                <w:szCs w:val="21"/>
              </w:rPr>
              <w:t>其他违约责任</w:t>
            </w:r>
          </w:p>
        </w:tc>
        <w:tc>
          <w:tcPr>
            <w:tcW w:w="5170" w:type="dxa"/>
            <w:tcBorders>
              <w:left w:val="single" w:color="auto" w:sz="2" w:space="0"/>
              <w:bottom w:val="single" w:color="auto" w:sz="2" w:space="0"/>
            </w:tcBorders>
            <w:noWrap w:val="0"/>
            <w:vAlign w:val="center"/>
          </w:tcPr>
          <w:p w14:paraId="35AC5D48">
            <w:pPr>
              <w:adjustRightInd w:val="0"/>
              <w:snapToGrid w:val="0"/>
              <w:ind w:left="0" w:leftChars="0"/>
              <w:jc w:val="left"/>
              <w:rPr>
                <w:rFonts w:ascii="宋体" w:hAnsi="宋体" w:eastAsia="宋体" w:cs="Times New Roman"/>
                <w:sz w:val="21"/>
                <w:szCs w:val="21"/>
                <w:u w:val="single"/>
              </w:rPr>
            </w:pPr>
          </w:p>
        </w:tc>
      </w:tr>
      <w:tr w14:paraId="4A1F32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012FDAC1">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240C6029">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w:t>
            </w:r>
            <w:r>
              <w:rPr>
                <w:rFonts w:hint="eastAsia" w:ascii="宋体" w:hAnsi="宋体" w:eastAsia="宋体" w:cs="Times New Roman"/>
                <w:sz w:val="21"/>
                <w:szCs w:val="21"/>
                <w:lang w:val="en-US" w:eastAsia="zh-CN"/>
              </w:rPr>
              <w:t>19</w:t>
            </w:r>
            <w:r>
              <w:rPr>
                <w:rFonts w:hint="eastAsia" w:ascii="宋体" w:hAnsi="宋体" w:eastAsia="宋体" w:cs="Times New Roman"/>
                <w:sz w:val="21"/>
                <w:szCs w:val="21"/>
              </w:rPr>
              <w:t>.2</w:t>
            </w:r>
            <w:r>
              <w:rPr>
                <w:rFonts w:hint="eastAsia" w:ascii="宋体" w:hAnsi="宋体" w:eastAsia="宋体" w:cs="Times New Roman"/>
                <w:sz w:val="21"/>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7965D6CF">
            <w:pPr>
              <w:adjustRightInd w:val="0"/>
              <w:snapToGrid w:val="0"/>
              <w:ind w:left="0" w:leftChars="0"/>
              <w:jc w:val="left"/>
              <w:rPr>
                <w:rFonts w:ascii="宋体" w:hAnsi="宋体" w:eastAsia="宋体" w:cs="Times New Roman"/>
                <w:sz w:val="21"/>
                <w:szCs w:val="21"/>
              </w:rPr>
            </w:pPr>
            <w:r>
              <w:rPr>
                <w:rFonts w:hint="eastAsia" w:ascii="宋体" w:hAnsi="宋体" w:eastAsia="宋体" w:cs="Times New Roman"/>
                <w:sz w:val="21"/>
                <w:szCs w:val="21"/>
                <w:lang w:val="en-US" w:eastAsia="zh-CN"/>
              </w:rPr>
              <w:t>解决争议的方法</w:t>
            </w:r>
          </w:p>
        </w:tc>
        <w:tc>
          <w:tcPr>
            <w:tcW w:w="5170" w:type="dxa"/>
            <w:tcBorders>
              <w:top w:val="single" w:color="auto" w:sz="2" w:space="0"/>
              <w:left w:val="single" w:color="auto" w:sz="2" w:space="0"/>
            </w:tcBorders>
            <w:noWrap w:val="0"/>
            <w:vAlign w:val="center"/>
          </w:tcPr>
          <w:p w14:paraId="4DE2F18A">
            <w:pPr>
              <w:autoSpaceDE w:val="0"/>
              <w:autoSpaceDN w:val="0"/>
              <w:adjustRightInd w:val="0"/>
              <w:snapToGrid w:val="0"/>
              <w:spacing w:line="400" w:lineRule="exact"/>
              <w:ind w:left="0" w:leftChars="0"/>
              <w:jc w:val="left"/>
              <w:rPr>
                <w:rFonts w:hint="eastAsia" w:ascii="宋体" w:hAnsi="宋体" w:eastAsia="宋体" w:cs="宋体"/>
                <w:b w:val="0"/>
                <w:bCs w:val="0"/>
                <w:iCs/>
                <w:sz w:val="21"/>
                <w:szCs w:val="21"/>
              </w:rPr>
            </w:pPr>
            <w:r>
              <w:rPr>
                <w:rFonts w:hint="eastAsia" w:ascii="宋体" w:hAnsi="宋体" w:eastAsia="宋体" w:cs="宋体"/>
                <w:b w:val="0"/>
                <w:bCs w:val="0"/>
                <w:iCs/>
                <w:sz w:val="21"/>
                <w:szCs w:val="21"/>
              </w:rPr>
              <w:t>因本合同及合同有关事项发生的争议，按下列第</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种方式解决：</w:t>
            </w:r>
          </w:p>
          <w:p w14:paraId="65341C90">
            <w:pPr>
              <w:autoSpaceDE w:val="0"/>
              <w:autoSpaceDN w:val="0"/>
              <w:adjustRightInd w:val="0"/>
              <w:snapToGrid w:val="0"/>
              <w:spacing w:line="400" w:lineRule="exact"/>
              <w:ind w:left="0" w:leftChars="0"/>
              <w:jc w:val="left"/>
              <w:rPr>
                <w:rFonts w:hint="eastAsia" w:ascii="宋体" w:hAnsi="宋体" w:eastAsia="宋体" w:cs="宋体"/>
                <w:b w:val="0"/>
                <w:bCs w:val="0"/>
                <w:iCs/>
                <w:sz w:val="21"/>
                <w:szCs w:val="21"/>
              </w:rPr>
            </w:pPr>
            <w:r>
              <w:rPr>
                <w:rFonts w:hint="eastAsia" w:ascii="宋体" w:hAnsi="宋体" w:eastAsia="宋体" w:cs="宋体"/>
                <w:b w:val="0"/>
                <w:bCs w:val="0"/>
                <w:iCs/>
                <w:sz w:val="21"/>
                <w:szCs w:val="21"/>
              </w:rPr>
              <w:t>（1）向</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仲裁委员会申请仲裁，仲裁地点为</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w:t>
            </w:r>
          </w:p>
          <w:p w14:paraId="206C149A">
            <w:pPr>
              <w:adjustRightInd w:val="0"/>
              <w:snapToGrid w:val="0"/>
              <w:ind w:left="0" w:leftChars="0" w:firstLine="0" w:firstLineChars="0"/>
              <w:jc w:val="left"/>
              <w:rPr>
                <w:rFonts w:ascii="宋体" w:hAnsi="宋体" w:eastAsia="宋体" w:cs="Times New Roman"/>
                <w:sz w:val="21"/>
                <w:szCs w:val="21"/>
                <w:u w:val="single"/>
              </w:rPr>
            </w:pPr>
            <w:r>
              <w:rPr>
                <w:rFonts w:hint="eastAsia" w:ascii="宋体" w:hAnsi="宋体" w:eastAsia="宋体" w:cs="宋体"/>
                <w:b w:val="0"/>
                <w:bCs w:val="0"/>
                <w:iCs/>
                <w:sz w:val="21"/>
                <w:szCs w:val="21"/>
              </w:rPr>
              <w:t>（2）向</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人民法院起诉。</w:t>
            </w:r>
          </w:p>
        </w:tc>
      </w:tr>
      <w:tr w14:paraId="3174AF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06495EE5">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第二节</w:t>
            </w:r>
          </w:p>
          <w:p w14:paraId="0A8E38A1">
            <w:pPr>
              <w:adjustRightInd w:val="0"/>
              <w:snapToGrid w:val="0"/>
              <w:ind w:left="0" w:leftChars="0"/>
              <w:jc w:val="center"/>
              <w:rPr>
                <w:rFonts w:ascii="宋体" w:hAnsi="宋体" w:eastAsia="宋体" w:cs="Times New Roman"/>
                <w:sz w:val="21"/>
                <w:szCs w:val="21"/>
              </w:rPr>
            </w:pPr>
            <w:r>
              <w:rPr>
                <w:rFonts w:hint="eastAsia" w:ascii="宋体" w:hAnsi="宋体" w:eastAsia="宋体" w:cs="Times New Roman"/>
                <w:sz w:val="21"/>
                <w:szCs w:val="21"/>
              </w:rPr>
              <w:t>第2</w:t>
            </w:r>
            <w:r>
              <w:rPr>
                <w:rFonts w:hint="eastAsia" w:ascii="宋体" w:hAnsi="宋体" w:eastAsia="宋体" w:cs="Times New Roman"/>
                <w:sz w:val="21"/>
                <w:szCs w:val="21"/>
                <w:lang w:val="en-US" w:eastAsia="zh-CN"/>
              </w:rPr>
              <w:t>3.1</w:t>
            </w:r>
            <w:r>
              <w:rPr>
                <w:rFonts w:hint="eastAsia" w:ascii="宋体" w:hAnsi="宋体" w:eastAsia="宋体" w:cs="Times New Roman"/>
                <w:sz w:val="21"/>
                <w:szCs w:val="21"/>
                <w:lang w:eastAsia="zh-CN"/>
              </w:rPr>
              <w:t>款</w:t>
            </w:r>
          </w:p>
        </w:tc>
        <w:tc>
          <w:tcPr>
            <w:tcW w:w="1742" w:type="dxa"/>
            <w:noWrap w:val="0"/>
            <w:vAlign w:val="center"/>
          </w:tcPr>
          <w:p w14:paraId="28172A3E">
            <w:pPr>
              <w:adjustRightInd w:val="0"/>
              <w:snapToGrid w:val="0"/>
              <w:ind w:left="0" w:leftChars="0"/>
              <w:jc w:val="left"/>
              <w:rPr>
                <w:rFonts w:ascii="宋体" w:hAnsi="宋体" w:eastAsia="宋体" w:cs="Times New Roman"/>
                <w:sz w:val="21"/>
                <w:szCs w:val="21"/>
              </w:rPr>
            </w:pPr>
            <w:r>
              <w:rPr>
                <w:rFonts w:hint="eastAsia" w:ascii="宋体" w:hAnsi="宋体" w:eastAsia="宋体" w:cs="Times New Roman"/>
                <w:bCs/>
                <w:color w:val="auto"/>
                <w:sz w:val="21"/>
                <w:szCs w:val="21"/>
                <w:highlight w:val="none"/>
                <w:lang w:eastAsia="zh-CN"/>
              </w:rPr>
              <w:t>其他专用条款</w:t>
            </w:r>
          </w:p>
        </w:tc>
        <w:tc>
          <w:tcPr>
            <w:tcW w:w="5170" w:type="dxa"/>
            <w:noWrap w:val="0"/>
            <w:vAlign w:val="center"/>
          </w:tcPr>
          <w:p w14:paraId="71DD3BB8">
            <w:pPr>
              <w:adjustRightInd w:val="0"/>
              <w:snapToGrid w:val="0"/>
              <w:ind w:left="0" w:leftChars="0"/>
              <w:jc w:val="left"/>
              <w:rPr>
                <w:rFonts w:hint="default" w:ascii="宋体" w:hAnsi="宋体" w:eastAsia="宋体" w:cs="Times New Roman"/>
                <w:sz w:val="21"/>
                <w:szCs w:val="21"/>
                <w:lang w:val="en-US" w:eastAsia="zh-CN"/>
              </w:rPr>
            </w:pPr>
          </w:p>
        </w:tc>
      </w:tr>
    </w:tbl>
    <w:p w14:paraId="2C264AF9">
      <w:pPr>
        <w:ind w:left="0" w:leftChars="0"/>
        <w:rPr>
          <w:rFonts w:ascii="Times New Roman" w:hAnsi="Times New Roman" w:eastAsia="宋体" w:cs="Times New Roman"/>
          <w:sz w:val="21"/>
          <w:szCs w:val="24"/>
        </w:rPr>
      </w:pPr>
    </w:p>
    <w:p w14:paraId="3FAA5A72">
      <w:pPr>
        <w:autoSpaceDE w:val="0"/>
        <w:autoSpaceDN w:val="0"/>
        <w:adjustRightInd w:val="0"/>
        <w:spacing w:line="200" w:lineRule="exact"/>
        <w:jc w:val="left"/>
        <w:rPr>
          <w:rFonts w:hint="eastAsia" w:ascii="宋体" w:hAnsi="宋体" w:cs="宋体"/>
          <w:color w:val="auto"/>
          <w:kern w:val="0"/>
          <w:sz w:val="20"/>
          <w:szCs w:val="20"/>
          <w:highlight w:val="none"/>
        </w:rPr>
      </w:pPr>
    </w:p>
    <w:p w14:paraId="0DBE22C5">
      <w:pPr>
        <w:autoSpaceDE w:val="0"/>
        <w:autoSpaceDN w:val="0"/>
        <w:adjustRightInd w:val="0"/>
        <w:spacing w:line="200" w:lineRule="exact"/>
        <w:jc w:val="left"/>
        <w:rPr>
          <w:rFonts w:hint="eastAsia" w:ascii="宋体" w:hAnsi="宋体" w:cs="宋体"/>
          <w:color w:val="auto"/>
          <w:kern w:val="0"/>
          <w:sz w:val="20"/>
          <w:szCs w:val="20"/>
          <w:highlight w:val="none"/>
        </w:rPr>
      </w:pPr>
    </w:p>
    <w:p w14:paraId="480798D9">
      <w:pPr>
        <w:autoSpaceDE w:val="0"/>
        <w:autoSpaceDN w:val="0"/>
        <w:adjustRightInd w:val="0"/>
        <w:spacing w:line="200" w:lineRule="exact"/>
        <w:jc w:val="left"/>
        <w:rPr>
          <w:rFonts w:hint="eastAsia" w:ascii="宋体" w:hAnsi="宋体" w:cs="宋体"/>
          <w:color w:val="auto"/>
          <w:kern w:val="0"/>
          <w:sz w:val="20"/>
          <w:szCs w:val="20"/>
          <w:highlight w:val="none"/>
        </w:rPr>
      </w:pPr>
    </w:p>
    <w:p w14:paraId="2106E18A">
      <w:pPr>
        <w:autoSpaceDE w:val="0"/>
        <w:autoSpaceDN w:val="0"/>
        <w:adjustRightInd w:val="0"/>
        <w:spacing w:line="200" w:lineRule="exact"/>
        <w:jc w:val="left"/>
        <w:rPr>
          <w:rFonts w:hint="eastAsia" w:ascii="宋体" w:hAnsi="宋体" w:cs="宋体"/>
          <w:color w:val="auto"/>
          <w:kern w:val="0"/>
          <w:sz w:val="20"/>
          <w:szCs w:val="20"/>
          <w:highlight w:val="none"/>
        </w:rPr>
      </w:pPr>
    </w:p>
    <w:p w14:paraId="0FF2F5B4">
      <w:pPr>
        <w:autoSpaceDE w:val="0"/>
        <w:autoSpaceDN w:val="0"/>
        <w:adjustRightInd w:val="0"/>
        <w:spacing w:line="200" w:lineRule="exact"/>
        <w:jc w:val="left"/>
        <w:rPr>
          <w:rFonts w:hint="eastAsia" w:ascii="宋体" w:hAnsi="宋体" w:cs="宋体"/>
          <w:color w:val="auto"/>
          <w:kern w:val="0"/>
          <w:sz w:val="20"/>
          <w:szCs w:val="20"/>
          <w:highlight w:val="none"/>
        </w:rPr>
      </w:pPr>
    </w:p>
    <w:p w14:paraId="23386BC8">
      <w:pPr>
        <w:autoSpaceDE w:val="0"/>
        <w:autoSpaceDN w:val="0"/>
        <w:adjustRightInd w:val="0"/>
        <w:spacing w:line="200" w:lineRule="exact"/>
        <w:jc w:val="left"/>
        <w:rPr>
          <w:rFonts w:hint="eastAsia" w:ascii="宋体" w:hAnsi="宋体" w:cs="宋体"/>
          <w:color w:val="auto"/>
          <w:kern w:val="0"/>
          <w:sz w:val="20"/>
          <w:szCs w:val="20"/>
          <w:highlight w:val="none"/>
        </w:rPr>
      </w:pPr>
    </w:p>
    <w:p w14:paraId="051ED6FE">
      <w:pPr>
        <w:autoSpaceDE w:val="0"/>
        <w:autoSpaceDN w:val="0"/>
        <w:adjustRightInd w:val="0"/>
        <w:spacing w:line="200" w:lineRule="exact"/>
        <w:jc w:val="left"/>
        <w:rPr>
          <w:rFonts w:hint="eastAsia" w:ascii="宋体" w:hAnsi="宋体" w:cs="宋体"/>
          <w:color w:val="auto"/>
          <w:kern w:val="0"/>
          <w:sz w:val="20"/>
          <w:szCs w:val="20"/>
          <w:highlight w:val="none"/>
        </w:rPr>
      </w:pPr>
    </w:p>
    <w:p w14:paraId="12794AD8">
      <w:pPr>
        <w:autoSpaceDE w:val="0"/>
        <w:autoSpaceDN w:val="0"/>
        <w:adjustRightInd w:val="0"/>
        <w:spacing w:line="200" w:lineRule="exact"/>
        <w:jc w:val="left"/>
        <w:rPr>
          <w:rFonts w:hint="eastAsia" w:ascii="宋体" w:hAnsi="宋体" w:cs="宋体"/>
          <w:color w:val="auto"/>
          <w:kern w:val="0"/>
          <w:sz w:val="20"/>
          <w:szCs w:val="20"/>
          <w:highlight w:val="none"/>
        </w:rPr>
      </w:pPr>
    </w:p>
    <w:p w14:paraId="71CA7431">
      <w:pPr>
        <w:autoSpaceDE w:val="0"/>
        <w:autoSpaceDN w:val="0"/>
        <w:adjustRightInd w:val="0"/>
        <w:spacing w:line="200" w:lineRule="exact"/>
        <w:jc w:val="left"/>
        <w:rPr>
          <w:rFonts w:hint="eastAsia" w:ascii="宋体" w:hAnsi="宋体" w:cs="宋体"/>
          <w:color w:val="auto"/>
          <w:kern w:val="0"/>
          <w:sz w:val="20"/>
          <w:szCs w:val="20"/>
          <w:highlight w:val="none"/>
        </w:rPr>
      </w:pPr>
    </w:p>
    <w:p w14:paraId="1C600861">
      <w:pPr>
        <w:autoSpaceDE w:val="0"/>
        <w:autoSpaceDN w:val="0"/>
        <w:adjustRightInd w:val="0"/>
        <w:spacing w:line="200" w:lineRule="exact"/>
        <w:jc w:val="left"/>
        <w:rPr>
          <w:rFonts w:hint="eastAsia" w:ascii="宋体" w:hAnsi="宋体" w:cs="宋体"/>
          <w:color w:val="auto"/>
          <w:kern w:val="0"/>
          <w:sz w:val="20"/>
          <w:szCs w:val="20"/>
          <w:highlight w:val="none"/>
        </w:rPr>
      </w:pPr>
    </w:p>
    <w:p w14:paraId="1C1A0C31">
      <w:pPr>
        <w:autoSpaceDE w:val="0"/>
        <w:autoSpaceDN w:val="0"/>
        <w:adjustRightInd w:val="0"/>
        <w:spacing w:line="200" w:lineRule="exact"/>
        <w:jc w:val="left"/>
        <w:rPr>
          <w:rFonts w:hint="eastAsia" w:ascii="宋体" w:hAnsi="宋体" w:cs="宋体"/>
          <w:color w:val="auto"/>
          <w:kern w:val="0"/>
          <w:sz w:val="20"/>
          <w:szCs w:val="20"/>
          <w:highlight w:val="none"/>
        </w:rPr>
      </w:pPr>
    </w:p>
    <w:p w14:paraId="61662496">
      <w:pPr>
        <w:autoSpaceDE w:val="0"/>
        <w:autoSpaceDN w:val="0"/>
        <w:adjustRightInd w:val="0"/>
        <w:spacing w:line="200" w:lineRule="exact"/>
        <w:jc w:val="left"/>
        <w:rPr>
          <w:rFonts w:hint="eastAsia" w:ascii="宋体" w:hAnsi="宋体" w:cs="宋体"/>
          <w:color w:val="auto"/>
          <w:kern w:val="0"/>
          <w:sz w:val="20"/>
          <w:szCs w:val="20"/>
          <w:highlight w:val="none"/>
        </w:rPr>
      </w:pPr>
    </w:p>
    <w:p w14:paraId="69505F79">
      <w:pPr>
        <w:autoSpaceDE w:val="0"/>
        <w:autoSpaceDN w:val="0"/>
        <w:adjustRightInd w:val="0"/>
        <w:spacing w:line="200" w:lineRule="exact"/>
        <w:jc w:val="left"/>
        <w:rPr>
          <w:rFonts w:hint="eastAsia" w:ascii="宋体" w:hAnsi="宋体" w:cs="宋体"/>
          <w:color w:val="auto"/>
          <w:kern w:val="0"/>
          <w:sz w:val="20"/>
          <w:szCs w:val="20"/>
          <w:highlight w:val="none"/>
        </w:rPr>
      </w:pPr>
    </w:p>
    <w:p w14:paraId="4014C03B">
      <w:pPr>
        <w:autoSpaceDE w:val="0"/>
        <w:autoSpaceDN w:val="0"/>
        <w:adjustRightInd w:val="0"/>
        <w:spacing w:line="200" w:lineRule="exact"/>
        <w:jc w:val="left"/>
        <w:rPr>
          <w:rFonts w:hint="eastAsia" w:ascii="宋体" w:hAnsi="宋体" w:cs="宋体"/>
          <w:color w:val="auto"/>
          <w:kern w:val="0"/>
          <w:sz w:val="20"/>
          <w:szCs w:val="20"/>
          <w:highlight w:val="none"/>
        </w:rPr>
      </w:pPr>
    </w:p>
    <w:p w14:paraId="09A09811">
      <w:pPr>
        <w:autoSpaceDE w:val="0"/>
        <w:autoSpaceDN w:val="0"/>
        <w:adjustRightInd w:val="0"/>
        <w:spacing w:line="553" w:lineRule="exact"/>
        <w:ind w:left="0" w:leftChars="0" w:right="-20"/>
        <w:jc w:val="left"/>
        <w:rPr>
          <w:rFonts w:hint="eastAsia" w:ascii="宋体" w:hAnsi="宋体" w:cs="宋体"/>
          <w:color w:val="auto"/>
          <w:kern w:val="0"/>
          <w:sz w:val="44"/>
          <w:szCs w:val="44"/>
          <w:highlight w:val="none"/>
        </w:rPr>
        <w:sectPr>
          <w:headerReference r:id="rId16" w:type="default"/>
          <w:footerReference r:id="rId17" w:type="default"/>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0" w:charSpace="0"/>
        </w:sectPr>
      </w:pPr>
    </w:p>
    <w:p w14:paraId="0FCBAC33">
      <w:pPr>
        <w:autoSpaceDE w:val="0"/>
        <w:autoSpaceDN w:val="0"/>
        <w:adjustRightInd w:val="0"/>
        <w:spacing w:line="595" w:lineRule="exact"/>
        <w:ind w:left="0" w:leftChars="0" w:right="-20"/>
        <w:jc w:val="left"/>
        <w:rPr>
          <w:rFonts w:hint="eastAsia" w:ascii="宋体" w:hAnsi="宋体" w:cs="宋体"/>
          <w:color w:val="auto"/>
          <w:spacing w:val="2"/>
          <w:kern w:val="0"/>
          <w:sz w:val="44"/>
          <w:szCs w:val="44"/>
          <w:highlight w:val="none"/>
        </w:rPr>
      </w:pPr>
    </w:p>
    <w:p w14:paraId="50A710AB">
      <w:pPr>
        <w:pStyle w:val="5"/>
        <w:rPr>
          <w:rFonts w:hint="eastAsia"/>
          <w:color w:val="auto"/>
          <w:highlight w:val="none"/>
        </w:rPr>
      </w:pPr>
      <w:bookmarkStart w:id="249" w:name="_Toc29637"/>
      <w:bookmarkStart w:id="250" w:name="_Toc31040"/>
      <w:bookmarkStart w:id="251" w:name="_Toc14978"/>
      <w:bookmarkStart w:id="252" w:name="_Toc13660"/>
      <w:bookmarkStart w:id="253" w:name="_Toc5872"/>
      <w:bookmarkStart w:id="254" w:name="_Toc20462"/>
      <w:bookmarkStart w:id="255" w:name="_Toc14077"/>
      <w:r>
        <w:rPr>
          <w:rFonts w:hint="eastAsia"/>
          <w:color w:val="auto"/>
          <w:highlight w:val="none"/>
        </w:rPr>
        <w:t>第七章 响应文件格式</w:t>
      </w:r>
      <w:bookmarkEnd w:id="249"/>
      <w:bookmarkEnd w:id="250"/>
      <w:bookmarkEnd w:id="251"/>
      <w:bookmarkEnd w:id="252"/>
      <w:bookmarkEnd w:id="253"/>
      <w:bookmarkEnd w:id="254"/>
      <w:bookmarkEnd w:id="255"/>
    </w:p>
    <w:p w14:paraId="502A75DC">
      <w:pPr>
        <w:autoSpaceDE w:val="0"/>
        <w:autoSpaceDN w:val="0"/>
        <w:adjustRightInd w:val="0"/>
        <w:spacing w:line="595" w:lineRule="exact"/>
        <w:ind w:right="-20"/>
        <w:jc w:val="left"/>
        <w:rPr>
          <w:rFonts w:hint="eastAsia" w:ascii="宋体" w:hAnsi="宋体" w:cs="宋体"/>
          <w:color w:val="auto"/>
          <w:kern w:val="0"/>
          <w:sz w:val="44"/>
          <w:szCs w:val="44"/>
          <w:highlight w:val="none"/>
        </w:rPr>
      </w:pPr>
    </w:p>
    <w:p w14:paraId="4B97ECC6">
      <w:pPr>
        <w:autoSpaceDE w:val="0"/>
        <w:autoSpaceDN w:val="0"/>
        <w:adjustRightInd w:val="0"/>
        <w:spacing w:line="595" w:lineRule="exact"/>
        <w:ind w:right="-20"/>
        <w:jc w:val="left"/>
        <w:rPr>
          <w:rFonts w:hint="eastAsia" w:ascii="宋体" w:hAnsi="宋体" w:cs="宋体"/>
          <w:color w:val="auto"/>
          <w:kern w:val="0"/>
          <w:sz w:val="44"/>
          <w:szCs w:val="44"/>
          <w:highlight w:val="none"/>
        </w:rPr>
      </w:pPr>
    </w:p>
    <w:p w14:paraId="15D68F54">
      <w:pPr>
        <w:autoSpaceDE w:val="0"/>
        <w:autoSpaceDN w:val="0"/>
        <w:adjustRightInd w:val="0"/>
        <w:spacing w:before="10"/>
        <w:jc w:val="right"/>
        <w:rPr>
          <w:rFonts w:hint="eastAsia" w:ascii="宋体" w:hAnsi="宋体" w:cs="宋体"/>
          <w:color w:val="auto"/>
          <w:kern w:val="0"/>
          <w:sz w:val="28"/>
          <w:szCs w:val="28"/>
          <w:highlight w:val="none"/>
        </w:rPr>
      </w:pPr>
    </w:p>
    <w:p w14:paraId="5CBBAB2D">
      <w:pPr>
        <w:autoSpaceDE w:val="0"/>
        <w:autoSpaceDN w:val="0"/>
        <w:adjustRightInd w:val="0"/>
        <w:jc w:val="righ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p>
    <w:p w14:paraId="62C31EC1">
      <w:pPr>
        <w:autoSpaceDE w:val="0"/>
        <w:autoSpaceDN w:val="0"/>
        <w:adjustRightInd w:val="0"/>
        <w:spacing w:line="200" w:lineRule="exact"/>
        <w:jc w:val="left"/>
        <w:rPr>
          <w:rFonts w:hint="eastAsia" w:ascii="宋体" w:hAnsi="宋体" w:cs="宋体"/>
          <w:color w:val="auto"/>
          <w:kern w:val="0"/>
          <w:sz w:val="20"/>
          <w:szCs w:val="20"/>
          <w:highlight w:val="none"/>
        </w:rPr>
      </w:pPr>
    </w:p>
    <w:p w14:paraId="6CFF520C">
      <w:pPr>
        <w:autoSpaceDE w:val="0"/>
        <w:autoSpaceDN w:val="0"/>
        <w:adjustRightInd w:val="0"/>
        <w:spacing w:line="200" w:lineRule="exact"/>
        <w:jc w:val="left"/>
        <w:rPr>
          <w:rFonts w:hint="eastAsia" w:ascii="宋体" w:hAnsi="宋体" w:cs="宋体"/>
          <w:color w:val="auto"/>
          <w:kern w:val="0"/>
          <w:sz w:val="20"/>
          <w:szCs w:val="20"/>
          <w:highlight w:val="none"/>
        </w:rPr>
      </w:pPr>
    </w:p>
    <w:p w14:paraId="08220E70">
      <w:pPr>
        <w:autoSpaceDE w:val="0"/>
        <w:autoSpaceDN w:val="0"/>
        <w:adjustRightInd w:val="0"/>
        <w:spacing w:line="200" w:lineRule="exact"/>
        <w:jc w:val="left"/>
        <w:rPr>
          <w:rFonts w:hint="eastAsia" w:ascii="宋体" w:hAnsi="宋体" w:cs="宋体"/>
          <w:color w:val="auto"/>
          <w:kern w:val="0"/>
          <w:sz w:val="20"/>
          <w:szCs w:val="20"/>
          <w:highlight w:val="none"/>
        </w:rPr>
      </w:pPr>
    </w:p>
    <w:p w14:paraId="65BB927D">
      <w:pPr>
        <w:autoSpaceDE w:val="0"/>
        <w:autoSpaceDN w:val="0"/>
        <w:adjustRightInd w:val="0"/>
        <w:spacing w:line="200" w:lineRule="exact"/>
        <w:jc w:val="left"/>
        <w:rPr>
          <w:rFonts w:hint="eastAsia" w:ascii="宋体" w:hAnsi="宋体" w:cs="宋体"/>
          <w:color w:val="auto"/>
          <w:kern w:val="0"/>
          <w:sz w:val="20"/>
          <w:szCs w:val="20"/>
          <w:highlight w:val="none"/>
        </w:rPr>
      </w:pPr>
    </w:p>
    <w:p w14:paraId="7CF48418">
      <w:pPr>
        <w:tabs>
          <w:tab w:val="left" w:pos="3469"/>
        </w:tabs>
        <w:autoSpaceDE w:val="0"/>
        <w:autoSpaceDN w:val="0"/>
        <w:adjustRightInd w:val="0"/>
        <w:spacing w:line="341" w:lineRule="exact"/>
        <w:ind w:right="-20"/>
        <w:jc w:val="center"/>
        <w:outlineLvl w:val="9"/>
        <w:rPr>
          <w:rFonts w:hint="eastAsia" w:ascii="宋体" w:hAnsi="宋体" w:cs="宋体"/>
          <w:color w:val="auto"/>
          <w:kern w:val="0"/>
          <w:sz w:val="28"/>
          <w:szCs w:val="28"/>
          <w:highlight w:val="none"/>
        </w:rPr>
      </w:pPr>
      <w:r>
        <w:rPr>
          <w:rFonts w:hint="eastAsia" w:ascii="宋体" w:hAnsi="宋体" w:cs="宋体"/>
          <w:color w:val="auto"/>
          <w:kern w:val="0"/>
          <w:position w:val="-3"/>
          <w:sz w:val="28"/>
          <w:szCs w:val="28"/>
          <w:highlight w:val="none"/>
          <w:u w:val="single"/>
        </w:rPr>
        <w:t>（项目</w:t>
      </w:r>
      <w:r>
        <w:rPr>
          <w:rFonts w:hint="eastAsia" w:ascii="宋体" w:hAnsi="宋体" w:cs="宋体"/>
          <w:color w:val="auto"/>
          <w:spacing w:val="-3"/>
          <w:kern w:val="0"/>
          <w:position w:val="-3"/>
          <w:sz w:val="28"/>
          <w:szCs w:val="28"/>
          <w:highlight w:val="none"/>
          <w:u w:val="single"/>
        </w:rPr>
        <w:t>名</w:t>
      </w:r>
      <w:r>
        <w:rPr>
          <w:rFonts w:hint="eastAsia" w:ascii="宋体" w:hAnsi="宋体" w:cs="宋体"/>
          <w:color w:val="auto"/>
          <w:kern w:val="0"/>
          <w:position w:val="-3"/>
          <w:sz w:val="28"/>
          <w:szCs w:val="28"/>
          <w:highlight w:val="none"/>
          <w:u w:val="single"/>
        </w:rPr>
        <w:t>称）</w:t>
      </w:r>
    </w:p>
    <w:p w14:paraId="32BA1C97">
      <w:pPr>
        <w:autoSpaceDE w:val="0"/>
        <w:autoSpaceDN w:val="0"/>
        <w:adjustRightInd w:val="0"/>
        <w:spacing w:before="7" w:line="100" w:lineRule="exact"/>
        <w:jc w:val="left"/>
        <w:rPr>
          <w:rFonts w:hint="eastAsia" w:ascii="宋体" w:hAnsi="宋体" w:cs="宋体"/>
          <w:color w:val="auto"/>
          <w:kern w:val="0"/>
          <w:sz w:val="10"/>
          <w:szCs w:val="10"/>
          <w:highlight w:val="none"/>
        </w:rPr>
      </w:pPr>
    </w:p>
    <w:p w14:paraId="56E3900D">
      <w:pPr>
        <w:autoSpaceDE w:val="0"/>
        <w:autoSpaceDN w:val="0"/>
        <w:adjustRightInd w:val="0"/>
        <w:spacing w:line="200" w:lineRule="exact"/>
        <w:jc w:val="left"/>
        <w:rPr>
          <w:rFonts w:hint="eastAsia" w:ascii="宋体" w:hAnsi="宋体" w:cs="宋体"/>
          <w:color w:val="auto"/>
          <w:kern w:val="0"/>
          <w:sz w:val="20"/>
          <w:szCs w:val="20"/>
          <w:highlight w:val="none"/>
        </w:rPr>
      </w:pPr>
    </w:p>
    <w:p w14:paraId="19558E98">
      <w:pPr>
        <w:autoSpaceDE w:val="0"/>
        <w:autoSpaceDN w:val="0"/>
        <w:adjustRightInd w:val="0"/>
        <w:spacing w:line="200" w:lineRule="exact"/>
        <w:jc w:val="left"/>
        <w:rPr>
          <w:rFonts w:hint="eastAsia" w:ascii="宋体" w:hAnsi="宋体" w:cs="宋体"/>
          <w:color w:val="auto"/>
          <w:kern w:val="0"/>
          <w:sz w:val="20"/>
          <w:szCs w:val="20"/>
          <w:highlight w:val="none"/>
        </w:rPr>
      </w:pPr>
    </w:p>
    <w:p w14:paraId="5DF9F955">
      <w:pPr>
        <w:jc w:val="center"/>
        <w:rPr>
          <w:rFonts w:hint="eastAsia" w:ascii="宋体" w:hAnsi="宋体" w:cs="宋体"/>
          <w:color w:val="auto"/>
          <w:highlight w:val="none"/>
        </w:rPr>
      </w:pPr>
      <w:r>
        <w:rPr>
          <w:rFonts w:hint="eastAsia" w:ascii="宋体" w:hAnsi="宋体" w:cs="宋体"/>
          <w:color w:val="auto"/>
          <w:sz w:val="96"/>
          <w:highlight w:val="none"/>
        </w:rPr>
        <w:t>响应文件</w:t>
      </w:r>
    </w:p>
    <w:p w14:paraId="095D7CBA">
      <w:pPr>
        <w:autoSpaceDE w:val="0"/>
        <w:autoSpaceDN w:val="0"/>
        <w:adjustRightInd w:val="0"/>
        <w:spacing w:line="200" w:lineRule="exact"/>
        <w:jc w:val="left"/>
        <w:rPr>
          <w:rFonts w:hint="eastAsia" w:ascii="宋体" w:hAnsi="宋体" w:cs="宋体"/>
          <w:color w:val="auto"/>
          <w:kern w:val="0"/>
          <w:sz w:val="20"/>
          <w:szCs w:val="20"/>
          <w:highlight w:val="none"/>
        </w:rPr>
      </w:pPr>
    </w:p>
    <w:p w14:paraId="56A9F958">
      <w:pPr>
        <w:autoSpaceDE w:val="0"/>
        <w:autoSpaceDN w:val="0"/>
        <w:adjustRightInd w:val="0"/>
        <w:spacing w:line="200" w:lineRule="exact"/>
        <w:jc w:val="left"/>
        <w:rPr>
          <w:rFonts w:hint="eastAsia" w:ascii="宋体" w:hAnsi="宋体" w:cs="宋体"/>
          <w:color w:val="auto"/>
          <w:kern w:val="0"/>
          <w:sz w:val="20"/>
          <w:szCs w:val="20"/>
          <w:highlight w:val="none"/>
        </w:rPr>
      </w:pPr>
    </w:p>
    <w:p w14:paraId="6177A2A9">
      <w:pPr>
        <w:autoSpaceDE w:val="0"/>
        <w:autoSpaceDN w:val="0"/>
        <w:adjustRightInd w:val="0"/>
        <w:spacing w:line="200" w:lineRule="exact"/>
        <w:jc w:val="left"/>
        <w:rPr>
          <w:rFonts w:hint="eastAsia" w:ascii="宋体" w:hAnsi="宋体" w:cs="宋体"/>
          <w:color w:val="auto"/>
          <w:kern w:val="0"/>
          <w:sz w:val="20"/>
          <w:szCs w:val="20"/>
          <w:highlight w:val="none"/>
        </w:rPr>
      </w:pPr>
    </w:p>
    <w:p w14:paraId="1345A1EB">
      <w:pPr>
        <w:autoSpaceDE w:val="0"/>
        <w:autoSpaceDN w:val="0"/>
        <w:adjustRightInd w:val="0"/>
        <w:spacing w:line="200" w:lineRule="exact"/>
        <w:jc w:val="left"/>
        <w:rPr>
          <w:rFonts w:hint="eastAsia" w:ascii="宋体" w:hAnsi="宋体" w:cs="宋体"/>
          <w:color w:val="auto"/>
          <w:kern w:val="0"/>
          <w:sz w:val="20"/>
          <w:szCs w:val="20"/>
          <w:highlight w:val="none"/>
        </w:rPr>
      </w:pPr>
    </w:p>
    <w:p w14:paraId="41852480">
      <w:pPr>
        <w:autoSpaceDE w:val="0"/>
        <w:autoSpaceDN w:val="0"/>
        <w:adjustRightInd w:val="0"/>
        <w:spacing w:line="200" w:lineRule="exact"/>
        <w:jc w:val="left"/>
        <w:rPr>
          <w:rFonts w:hint="eastAsia" w:ascii="宋体" w:hAnsi="宋体" w:cs="宋体"/>
          <w:color w:val="auto"/>
          <w:kern w:val="0"/>
          <w:sz w:val="20"/>
          <w:szCs w:val="20"/>
          <w:highlight w:val="none"/>
        </w:rPr>
      </w:pPr>
    </w:p>
    <w:p w14:paraId="1D3A8D5A">
      <w:pPr>
        <w:autoSpaceDE w:val="0"/>
        <w:autoSpaceDN w:val="0"/>
        <w:adjustRightInd w:val="0"/>
        <w:spacing w:line="200" w:lineRule="exact"/>
        <w:jc w:val="left"/>
        <w:rPr>
          <w:rFonts w:hint="eastAsia" w:ascii="宋体" w:hAnsi="宋体" w:cs="宋体"/>
          <w:color w:val="auto"/>
          <w:kern w:val="0"/>
          <w:sz w:val="20"/>
          <w:szCs w:val="20"/>
          <w:highlight w:val="none"/>
        </w:rPr>
      </w:pPr>
    </w:p>
    <w:p w14:paraId="7F3BA2A2">
      <w:pPr>
        <w:autoSpaceDE w:val="0"/>
        <w:autoSpaceDN w:val="0"/>
        <w:adjustRightInd w:val="0"/>
        <w:spacing w:line="200" w:lineRule="exact"/>
        <w:jc w:val="left"/>
        <w:rPr>
          <w:rFonts w:hint="eastAsia" w:ascii="宋体" w:hAnsi="宋体" w:cs="宋体"/>
          <w:color w:val="auto"/>
          <w:kern w:val="0"/>
          <w:sz w:val="20"/>
          <w:szCs w:val="20"/>
          <w:highlight w:val="none"/>
        </w:rPr>
      </w:pPr>
    </w:p>
    <w:p w14:paraId="5ACADE3C">
      <w:pPr>
        <w:autoSpaceDE w:val="0"/>
        <w:autoSpaceDN w:val="0"/>
        <w:adjustRightInd w:val="0"/>
        <w:spacing w:line="200" w:lineRule="exact"/>
        <w:jc w:val="left"/>
        <w:rPr>
          <w:rFonts w:hint="eastAsia" w:ascii="宋体" w:hAnsi="宋体" w:cs="宋体"/>
          <w:color w:val="auto"/>
          <w:kern w:val="0"/>
          <w:sz w:val="20"/>
          <w:szCs w:val="20"/>
          <w:highlight w:val="none"/>
        </w:rPr>
      </w:pPr>
    </w:p>
    <w:p w14:paraId="177D54A7">
      <w:pPr>
        <w:autoSpaceDE w:val="0"/>
        <w:autoSpaceDN w:val="0"/>
        <w:adjustRightInd w:val="0"/>
        <w:spacing w:line="200" w:lineRule="exact"/>
        <w:jc w:val="left"/>
        <w:rPr>
          <w:rFonts w:hint="eastAsia" w:ascii="宋体" w:hAnsi="宋体" w:cs="宋体"/>
          <w:color w:val="auto"/>
          <w:kern w:val="0"/>
          <w:sz w:val="20"/>
          <w:szCs w:val="20"/>
          <w:highlight w:val="none"/>
        </w:rPr>
      </w:pPr>
    </w:p>
    <w:p w14:paraId="18382387">
      <w:pPr>
        <w:autoSpaceDE w:val="0"/>
        <w:autoSpaceDN w:val="0"/>
        <w:adjustRightInd w:val="0"/>
        <w:spacing w:line="200" w:lineRule="exact"/>
        <w:jc w:val="left"/>
        <w:rPr>
          <w:rFonts w:hint="eastAsia" w:ascii="宋体" w:hAnsi="宋体" w:cs="宋体"/>
          <w:color w:val="auto"/>
          <w:kern w:val="0"/>
          <w:sz w:val="20"/>
          <w:szCs w:val="20"/>
          <w:highlight w:val="none"/>
        </w:rPr>
      </w:pPr>
    </w:p>
    <w:p w14:paraId="28368D14">
      <w:pPr>
        <w:autoSpaceDE w:val="0"/>
        <w:autoSpaceDN w:val="0"/>
        <w:adjustRightInd w:val="0"/>
        <w:spacing w:line="200" w:lineRule="exact"/>
        <w:ind w:left="0" w:leftChars="0"/>
        <w:jc w:val="left"/>
        <w:rPr>
          <w:rFonts w:hint="eastAsia" w:ascii="宋体" w:hAnsi="宋体" w:cs="宋体"/>
          <w:color w:val="auto"/>
          <w:kern w:val="0"/>
          <w:sz w:val="20"/>
          <w:szCs w:val="20"/>
          <w:highlight w:val="none"/>
        </w:rPr>
      </w:pPr>
    </w:p>
    <w:p w14:paraId="2DF0E241">
      <w:pPr>
        <w:autoSpaceDE w:val="0"/>
        <w:autoSpaceDN w:val="0"/>
        <w:adjustRightInd w:val="0"/>
        <w:spacing w:line="200" w:lineRule="exact"/>
        <w:jc w:val="left"/>
        <w:rPr>
          <w:rFonts w:hint="eastAsia" w:ascii="宋体" w:hAnsi="宋体" w:cs="宋体"/>
          <w:color w:val="auto"/>
          <w:kern w:val="0"/>
          <w:sz w:val="20"/>
          <w:szCs w:val="20"/>
          <w:highlight w:val="none"/>
        </w:rPr>
      </w:pPr>
    </w:p>
    <w:p w14:paraId="494B2DB7">
      <w:pPr>
        <w:autoSpaceDE w:val="0"/>
        <w:autoSpaceDN w:val="0"/>
        <w:adjustRightInd w:val="0"/>
        <w:spacing w:line="200" w:lineRule="exact"/>
        <w:jc w:val="left"/>
        <w:rPr>
          <w:rFonts w:hint="eastAsia" w:ascii="宋体" w:hAnsi="宋体" w:cs="宋体"/>
          <w:color w:val="auto"/>
          <w:kern w:val="0"/>
          <w:sz w:val="20"/>
          <w:szCs w:val="20"/>
          <w:highlight w:val="none"/>
        </w:rPr>
      </w:pPr>
    </w:p>
    <w:p w14:paraId="6EE2079D">
      <w:pPr>
        <w:pStyle w:val="43"/>
        <w:rPr>
          <w:rFonts w:hint="eastAsia" w:ascii="宋体" w:hAnsi="宋体" w:cs="宋体"/>
          <w:color w:val="auto"/>
          <w:kern w:val="0"/>
          <w:sz w:val="20"/>
          <w:szCs w:val="20"/>
          <w:highlight w:val="none"/>
        </w:rPr>
      </w:pPr>
    </w:p>
    <w:p w14:paraId="6E141102">
      <w:pPr>
        <w:pStyle w:val="43"/>
        <w:rPr>
          <w:rFonts w:hint="eastAsia" w:ascii="宋体" w:hAnsi="宋体" w:cs="宋体"/>
          <w:color w:val="auto"/>
          <w:kern w:val="0"/>
          <w:sz w:val="20"/>
          <w:szCs w:val="20"/>
          <w:highlight w:val="none"/>
        </w:rPr>
      </w:pPr>
    </w:p>
    <w:p w14:paraId="5E1C06B9">
      <w:pPr>
        <w:pStyle w:val="43"/>
        <w:rPr>
          <w:rFonts w:hint="eastAsia" w:ascii="宋体" w:hAnsi="宋体" w:cs="宋体"/>
          <w:color w:val="auto"/>
          <w:kern w:val="0"/>
          <w:sz w:val="20"/>
          <w:szCs w:val="20"/>
          <w:highlight w:val="none"/>
        </w:rPr>
      </w:pPr>
    </w:p>
    <w:p w14:paraId="125143C1">
      <w:pPr>
        <w:autoSpaceDE w:val="0"/>
        <w:autoSpaceDN w:val="0"/>
        <w:adjustRightInd w:val="0"/>
        <w:spacing w:line="200" w:lineRule="exact"/>
        <w:jc w:val="left"/>
        <w:rPr>
          <w:rFonts w:hint="eastAsia" w:ascii="宋体" w:hAnsi="宋体" w:cs="宋体"/>
          <w:color w:val="auto"/>
          <w:kern w:val="0"/>
          <w:sz w:val="20"/>
          <w:szCs w:val="20"/>
          <w:highlight w:val="none"/>
        </w:rPr>
      </w:pPr>
    </w:p>
    <w:p w14:paraId="0DDECB62">
      <w:pPr>
        <w:autoSpaceDE w:val="0"/>
        <w:autoSpaceDN w:val="0"/>
        <w:adjustRightInd w:val="0"/>
        <w:spacing w:line="200" w:lineRule="exact"/>
        <w:jc w:val="left"/>
        <w:rPr>
          <w:rFonts w:hint="eastAsia" w:ascii="宋体" w:hAnsi="宋体" w:cs="宋体"/>
          <w:color w:val="auto"/>
          <w:kern w:val="0"/>
          <w:sz w:val="20"/>
          <w:szCs w:val="20"/>
          <w:highlight w:val="none"/>
        </w:rPr>
      </w:pPr>
    </w:p>
    <w:p w14:paraId="71033E29">
      <w:pPr>
        <w:autoSpaceDE w:val="0"/>
        <w:autoSpaceDN w:val="0"/>
        <w:adjustRightInd w:val="0"/>
        <w:spacing w:line="200" w:lineRule="exact"/>
        <w:jc w:val="left"/>
        <w:rPr>
          <w:rFonts w:hint="eastAsia" w:ascii="宋体" w:hAnsi="宋体" w:cs="宋体"/>
          <w:color w:val="auto"/>
          <w:kern w:val="0"/>
          <w:sz w:val="20"/>
          <w:szCs w:val="20"/>
          <w:highlight w:val="none"/>
        </w:rPr>
      </w:pPr>
    </w:p>
    <w:p w14:paraId="2E81F4AD">
      <w:pPr>
        <w:autoSpaceDE w:val="0"/>
        <w:autoSpaceDN w:val="0"/>
        <w:adjustRightInd w:val="0"/>
        <w:spacing w:line="200" w:lineRule="exact"/>
        <w:jc w:val="left"/>
        <w:rPr>
          <w:rFonts w:hint="eastAsia" w:ascii="宋体" w:hAnsi="宋体" w:cs="宋体"/>
          <w:color w:val="auto"/>
          <w:kern w:val="0"/>
          <w:sz w:val="20"/>
          <w:szCs w:val="20"/>
          <w:highlight w:val="none"/>
        </w:rPr>
      </w:pPr>
    </w:p>
    <w:p w14:paraId="00FDFB62">
      <w:pPr>
        <w:autoSpaceDE w:val="0"/>
        <w:autoSpaceDN w:val="0"/>
        <w:adjustRightInd w:val="0"/>
        <w:spacing w:line="200" w:lineRule="exact"/>
        <w:jc w:val="left"/>
        <w:rPr>
          <w:rFonts w:hint="eastAsia" w:ascii="宋体" w:hAnsi="宋体" w:cs="宋体"/>
          <w:color w:val="auto"/>
          <w:kern w:val="0"/>
          <w:sz w:val="20"/>
          <w:szCs w:val="20"/>
          <w:highlight w:val="none"/>
        </w:rPr>
      </w:pPr>
    </w:p>
    <w:p w14:paraId="0318896B">
      <w:pPr>
        <w:tabs>
          <w:tab w:val="left" w:pos="6940"/>
          <w:tab w:val="left" w:pos="7520"/>
        </w:tabs>
        <w:autoSpaceDE w:val="0"/>
        <w:autoSpaceDN w:val="0"/>
        <w:adjustRightInd w:val="0"/>
        <w:spacing w:after="120" w:afterLines="50" w:line="360" w:lineRule="auto"/>
        <w:ind w:left="0" w:leftChars="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项目序列号</w:t>
      </w:r>
      <w:r>
        <w:rPr>
          <w:rFonts w:hint="eastAsia" w:ascii="宋体" w:hAnsi="宋体" w:cs="宋体"/>
          <w:color w:val="auto"/>
          <w:kern w:val="0"/>
          <w:sz w:val="28"/>
          <w:szCs w:val="28"/>
          <w:highlight w:val="none"/>
          <w:u w:val="single"/>
        </w:rPr>
        <w:t xml:space="preserve">：                    </w:t>
      </w:r>
    </w:p>
    <w:p w14:paraId="07EF29B3">
      <w:pPr>
        <w:tabs>
          <w:tab w:val="left" w:pos="6940"/>
          <w:tab w:val="left" w:pos="7520"/>
        </w:tabs>
        <w:autoSpaceDE w:val="0"/>
        <w:autoSpaceDN w:val="0"/>
        <w:adjustRightInd w:val="0"/>
        <w:spacing w:after="120" w:afterLines="50" w:line="360" w:lineRule="auto"/>
        <w:ind w:left="0" w:leftChars="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r>
        <w:rPr>
          <w:rFonts w:hint="eastAsia" w:ascii="宋体" w:hAnsi="宋体" w:cs="宋体"/>
          <w:color w:val="auto"/>
          <w:kern w:val="0"/>
          <w:sz w:val="28"/>
          <w:szCs w:val="28"/>
          <w:highlight w:val="none"/>
          <w:u w:val="single"/>
        </w:rPr>
        <w:t xml:space="preserve">：                      </w:t>
      </w:r>
    </w:p>
    <w:p w14:paraId="73E8BAB8">
      <w:pPr>
        <w:tabs>
          <w:tab w:val="left" w:pos="6940"/>
          <w:tab w:val="left" w:pos="7520"/>
        </w:tabs>
        <w:autoSpaceDE w:val="0"/>
        <w:autoSpaceDN w:val="0"/>
        <w:adjustRightInd w:val="0"/>
        <w:spacing w:after="120" w:afterLines="50" w:line="360" w:lineRule="auto"/>
        <w:ind w:left="0" w:leftChars="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lang w:eastAsia="zh-CN"/>
        </w:rPr>
        <w:t>供应商</w:t>
      </w:r>
      <w:r>
        <w:rPr>
          <w:rFonts w:hint="eastAsia" w:ascii="宋体" w:hAnsi="宋体" w:cs="宋体"/>
          <w:color w:val="auto"/>
          <w:kern w:val="0"/>
          <w:sz w:val="28"/>
          <w:szCs w:val="28"/>
          <w:highlight w:val="none"/>
          <w:u w:val="single"/>
        </w:rPr>
        <w:t xml:space="preserve">：                        </w:t>
      </w:r>
    </w:p>
    <w:p w14:paraId="4AFA8BE6">
      <w:pPr>
        <w:tabs>
          <w:tab w:val="left" w:pos="6940"/>
          <w:tab w:val="left" w:pos="7520"/>
        </w:tabs>
        <w:autoSpaceDE w:val="0"/>
        <w:autoSpaceDN w:val="0"/>
        <w:adjustRightInd w:val="0"/>
        <w:spacing w:after="120" w:afterLines="50" w:line="360" w:lineRule="auto"/>
        <w:ind w:left="0" w:leftChars="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详细地址</w:t>
      </w:r>
      <w:r>
        <w:rPr>
          <w:rFonts w:hint="eastAsia" w:ascii="宋体" w:hAnsi="宋体" w:cs="宋体"/>
          <w:color w:val="auto"/>
          <w:kern w:val="0"/>
          <w:sz w:val="28"/>
          <w:szCs w:val="28"/>
          <w:highlight w:val="none"/>
          <w:u w:val="single"/>
        </w:rPr>
        <w:t xml:space="preserve">：                      </w:t>
      </w:r>
    </w:p>
    <w:p w14:paraId="4CE40283">
      <w:pPr>
        <w:tabs>
          <w:tab w:val="left" w:pos="6940"/>
          <w:tab w:val="left" w:pos="7520"/>
        </w:tabs>
        <w:autoSpaceDE w:val="0"/>
        <w:autoSpaceDN w:val="0"/>
        <w:adjustRightInd w:val="0"/>
        <w:spacing w:after="120" w:afterLines="50" w:line="360" w:lineRule="auto"/>
        <w:ind w:left="0" w:leftChars="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联系人</w:t>
      </w:r>
      <w:r>
        <w:rPr>
          <w:rFonts w:hint="eastAsia" w:ascii="宋体" w:hAnsi="宋体" w:cs="宋体"/>
          <w:color w:val="auto"/>
          <w:kern w:val="0"/>
          <w:sz w:val="28"/>
          <w:szCs w:val="28"/>
          <w:highlight w:val="none"/>
          <w:u w:val="single"/>
        </w:rPr>
        <w:t xml:space="preserve">：                        </w:t>
      </w:r>
    </w:p>
    <w:p w14:paraId="6FDEAEEC">
      <w:pPr>
        <w:tabs>
          <w:tab w:val="left" w:pos="6940"/>
          <w:tab w:val="left" w:pos="7520"/>
        </w:tabs>
        <w:autoSpaceDE w:val="0"/>
        <w:autoSpaceDN w:val="0"/>
        <w:adjustRightInd w:val="0"/>
        <w:spacing w:after="120" w:afterLines="50" w:line="360" w:lineRule="auto"/>
        <w:ind w:left="0" w:leftChars="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电话</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 xml:space="preserve"> </w:t>
      </w:r>
    </w:p>
    <w:p w14:paraId="4192ABAD">
      <w:pPr>
        <w:tabs>
          <w:tab w:val="left" w:pos="6940"/>
          <w:tab w:val="left" w:pos="7520"/>
        </w:tabs>
        <w:autoSpaceDE w:val="0"/>
        <w:autoSpaceDN w:val="0"/>
        <w:adjustRightInd w:val="0"/>
        <w:spacing w:after="120" w:afterLines="50" w:line="360" w:lineRule="auto"/>
        <w:ind w:left="0" w:leftChars="0"/>
        <w:rPr>
          <w:rFonts w:hint="eastAsia" w:ascii="宋体" w:hAnsi="宋体" w:cs="宋体"/>
          <w:color w:val="auto"/>
          <w:kern w:val="0"/>
          <w:sz w:val="28"/>
          <w:szCs w:val="28"/>
          <w:highlight w:val="none"/>
        </w:rPr>
        <w:sectPr>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宋体" w:hAnsi="宋体" w:cs="宋体"/>
          <w:color w:val="auto"/>
          <w:kern w:val="0"/>
          <w:sz w:val="28"/>
          <w:szCs w:val="28"/>
          <w:highlight w:val="none"/>
        </w:rPr>
        <w:t>日期</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17787F37">
      <w:pPr>
        <w:autoSpaceDE w:val="0"/>
        <w:autoSpaceDN w:val="0"/>
        <w:adjustRightInd w:val="0"/>
        <w:spacing w:line="427" w:lineRule="exact"/>
        <w:ind w:right="-20"/>
        <w:jc w:val="center"/>
        <w:rPr>
          <w:rFonts w:hint="eastAsia" w:ascii="宋体" w:hAnsi="宋体" w:cs="宋体"/>
          <w:b/>
          <w:bCs/>
          <w:color w:val="auto"/>
          <w:spacing w:val="2"/>
          <w:w w:val="99"/>
          <w:kern w:val="0"/>
          <w:position w:val="-4"/>
          <w:sz w:val="32"/>
          <w:szCs w:val="32"/>
          <w:highlight w:val="none"/>
        </w:rPr>
      </w:pPr>
    </w:p>
    <w:p w14:paraId="27B2074E">
      <w:pPr>
        <w:jc w:val="center"/>
        <w:outlineLvl w:val="1"/>
        <w:rPr>
          <w:rFonts w:hint="eastAsia" w:eastAsia="宋体"/>
          <w:b/>
          <w:bCs/>
          <w:color w:val="auto"/>
          <w:sz w:val="32"/>
          <w:szCs w:val="28"/>
          <w:highlight w:val="none"/>
          <w:lang w:eastAsia="zh-CN"/>
        </w:rPr>
      </w:pPr>
      <w:bookmarkStart w:id="256" w:name="_Toc20152"/>
      <w:bookmarkStart w:id="257" w:name="_Toc30585"/>
      <w:bookmarkStart w:id="258" w:name="_Toc22450"/>
      <w:r>
        <w:rPr>
          <w:rFonts w:hint="eastAsia"/>
          <w:b/>
          <w:bCs/>
          <w:color w:val="auto"/>
          <w:sz w:val="32"/>
          <w:szCs w:val="28"/>
          <w:highlight w:val="none"/>
        </w:rPr>
        <w:t>一、投标函</w:t>
      </w:r>
      <w:bookmarkEnd w:id="256"/>
      <w:bookmarkEnd w:id="257"/>
      <w:r>
        <w:rPr>
          <w:rFonts w:hint="eastAsia"/>
          <w:b/>
          <w:bCs/>
          <w:color w:val="auto"/>
          <w:sz w:val="32"/>
          <w:szCs w:val="28"/>
          <w:highlight w:val="none"/>
          <w:lang w:eastAsia="zh-CN"/>
        </w:rPr>
        <w:t>（</w:t>
      </w:r>
      <w:r>
        <w:rPr>
          <w:rFonts w:hint="eastAsia"/>
          <w:b/>
          <w:bCs/>
          <w:color w:val="auto"/>
          <w:sz w:val="32"/>
          <w:szCs w:val="28"/>
          <w:highlight w:val="none"/>
          <w:lang w:val="en-US" w:eastAsia="zh-CN"/>
        </w:rPr>
        <w:t>请以此版为准</w:t>
      </w:r>
      <w:r>
        <w:rPr>
          <w:rFonts w:hint="eastAsia"/>
          <w:b/>
          <w:bCs/>
          <w:color w:val="auto"/>
          <w:sz w:val="32"/>
          <w:szCs w:val="28"/>
          <w:highlight w:val="none"/>
          <w:lang w:eastAsia="zh-CN"/>
        </w:rPr>
        <w:t>）</w:t>
      </w:r>
      <w:bookmarkEnd w:id="258"/>
    </w:p>
    <w:p w14:paraId="7675744F">
      <w:pPr>
        <w:autoSpaceDE w:val="0"/>
        <w:autoSpaceDN w:val="0"/>
        <w:adjustRightInd w:val="0"/>
        <w:spacing w:before="7" w:line="110" w:lineRule="exact"/>
        <w:jc w:val="left"/>
        <w:rPr>
          <w:rFonts w:hint="eastAsia" w:ascii="宋体" w:hAnsi="宋体" w:cs="宋体"/>
          <w:color w:val="auto"/>
          <w:kern w:val="0"/>
          <w:sz w:val="11"/>
          <w:szCs w:val="11"/>
          <w:highlight w:val="none"/>
        </w:rPr>
      </w:pPr>
    </w:p>
    <w:p w14:paraId="4CECB60D">
      <w:pPr>
        <w:autoSpaceDE w:val="0"/>
        <w:autoSpaceDN w:val="0"/>
        <w:adjustRightInd w:val="0"/>
        <w:spacing w:line="200" w:lineRule="exact"/>
        <w:jc w:val="left"/>
        <w:rPr>
          <w:rFonts w:hint="eastAsia" w:ascii="宋体" w:hAnsi="宋体" w:cs="宋体"/>
          <w:color w:val="auto"/>
          <w:kern w:val="0"/>
          <w:sz w:val="20"/>
          <w:szCs w:val="20"/>
          <w:highlight w:val="none"/>
        </w:rPr>
      </w:pPr>
    </w:p>
    <w:p w14:paraId="6057A9CF">
      <w:pPr>
        <w:pStyle w:val="13"/>
        <w:tabs>
          <w:tab w:val="left" w:pos="1991"/>
        </w:tabs>
        <w:spacing w:before="37"/>
        <w:ind w:right="102"/>
        <w:rPr>
          <w:color w:val="auto"/>
          <w:highlight w:val="none"/>
        </w:rPr>
      </w:pPr>
      <w:r>
        <w:rPr>
          <w:rFonts w:eastAsia="Times New Roman"/>
          <w:color w:val="auto"/>
          <w:highlight w:val="none"/>
          <w:u w:val="single"/>
        </w:rPr>
        <w:t xml:space="preserve"> </w:t>
      </w:r>
      <w:r>
        <w:rPr>
          <w:rFonts w:eastAsia="Times New Roman"/>
          <w:color w:val="auto"/>
          <w:highlight w:val="none"/>
          <w:u w:val="single"/>
        </w:rPr>
        <w:tab/>
      </w:r>
      <w:r>
        <w:rPr>
          <w:color w:val="auto"/>
          <w:highlight w:val="none"/>
        </w:rPr>
        <w:t>（</w:t>
      </w:r>
      <w:r>
        <w:rPr>
          <w:rFonts w:hint="eastAsia"/>
          <w:color w:val="auto"/>
          <w:spacing w:val="-3"/>
          <w:highlight w:val="none"/>
        </w:rPr>
        <w:t>采购人</w:t>
      </w:r>
      <w:r>
        <w:rPr>
          <w:color w:val="auto"/>
          <w:spacing w:val="-3"/>
          <w:highlight w:val="none"/>
        </w:rPr>
        <w:t>名</w:t>
      </w:r>
      <w:r>
        <w:rPr>
          <w:color w:val="auto"/>
          <w:highlight w:val="none"/>
        </w:rPr>
        <w:t>称</w:t>
      </w:r>
      <w:r>
        <w:rPr>
          <w:color w:val="auto"/>
          <w:spacing w:val="-108"/>
          <w:highlight w:val="none"/>
        </w:rPr>
        <w:t>）</w:t>
      </w:r>
      <w:r>
        <w:rPr>
          <w:color w:val="auto"/>
          <w:highlight w:val="none"/>
        </w:rPr>
        <w:t>：</w:t>
      </w:r>
    </w:p>
    <w:p w14:paraId="1811B158">
      <w:pPr>
        <w:pStyle w:val="13"/>
        <w:spacing w:before="12"/>
        <w:rPr>
          <w:color w:val="auto"/>
          <w:sz w:val="9"/>
          <w:highlight w:val="none"/>
        </w:rPr>
      </w:pPr>
    </w:p>
    <w:p w14:paraId="59EEDFB4">
      <w:pPr>
        <w:pStyle w:val="13"/>
        <w:tabs>
          <w:tab w:val="left" w:pos="4358"/>
          <w:tab w:val="left" w:pos="6254"/>
        </w:tabs>
        <w:spacing w:before="115" w:line="360" w:lineRule="auto"/>
        <w:ind w:left="0" w:leftChars="0" w:right="102" w:firstLine="464" w:firstLineChars="200"/>
        <w:jc w:val="left"/>
        <w:rPr>
          <w:rFonts w:hint="eastAsia" w:ascii="宋体" w:hAnsi="宋体" w:cs="宋体"/>
          <w:color w:val="auto"/>
          <w:kern w:val="0"/>
          <w:position w:val="-2"/>
          <w:highlight w:val="yellow"/>
        </w:rPr>
      </w:pPr>
      <w:r>
        <w:rPr>
          <w:rFonts w:hint="eastAsia"/>
          <w:color w:val="auto"/>
          <w:spacing w:val="-4"/>
          <w:highlight w:val="none"/>
        </w:rPr>
        <w:t>1、</w:t>
      </w:r>
      <w:r>
        <w:rPr>
          <w:color w:val="auto"/>
          <w:spacing w:val="-4"/>
          <w:highlight w:val="none"/>
        </w:rPr>
        <w:t>我</w:t>
      </w:r>
      <w:r>
        <w:rPr>
          <w:rFonts w:hint="eastAsia"/>
          <w:color w:val="auto"/>
          <w:spacing w:val="-4"/>
          <w:highlight w:val="none"/>
        </w:rPr>
        <w:t>公司就</w:t>
      </w:r>
      <w:r>
        <w:rPr>
          <w:rFonts w:eastAsia="Times New Roman"/>
          <w:color w:val="auto"/>
          <w:spacing w:val="-4"/>
          <w:highlight w:val="none"/>
          <w:u w:val="single"/>
        </w:rPr>
        <w:t xml:space="preserve"> </w:t>
      </w:r>
      <w:r>
        <w:rPr>
          <w:rFonts w:eastAsia="Times New Roman"/>
          <w:color w:val="auto"/>
          <w:spacing w:val="-4"/>
          <w:highlight w:val="none"/>
          <w:u w:val="single"/>
        </w:rPr>
        <w:tab/>
      </w:r>
      <w:r>
        <w:rPr>
          <w:color w:val="auto"/>
          <w:spacing w:val="-3"/>
          <w:highlight w:val="none"/>
        </w:rPr>
        <w:t>（项目名称）</w:t>
      </w:r>
      <w:r>
        <w:rPr>
          <w:rFonts w:hint="eastAsia"/>
          <w:color w:val="auto"/>
          <w:spacing w:val="-3"/>
          <w:highlight w:val="none"/>
        </w:rPr>
        <w:t>的投标报价为</w:t>
      </w:r>
      <w:r>
        <w:rPr>
          <w:color w:val="auto"/>
          <w:spacing w:val="-4"/>
          <w:highlight w:val="none"/>
        </w:rPr>
        <w:t>人民币（大写）</w:t>
      </w:r>
      <w:r>
        <w:rPr>
          <w:rFonts w:eastAsia="Times New Roman"/>
          <w:color w:val="auto"/>
          <w:spacing w:val="-4"/>
          <w:highlight w:val="none"/>
          <w:u w:val="single"/>
        </w:rPr>
        <w:t xml:space="preserve"> </w:t>
      </w:r>
      <w:r>
        <w:rPr>
          <w:rFonts w:eastAsia="Times New Roman"/>
          <w:color w:val="auto"/>
          <w:spacing w:val="-4"/>
          <w:highlight w:val="none"/>
          <w:u w:val="single"/>
        </w:rPr>
        <w:tab/>
      </w:r>
      <w:r>
        <w:rPr>
          <w:rFonts w:hint="eastAsia" w:eastAsia="宋体"/>
          <w:color w:val="auto"/>
          <w:spacing w:val="-4"/>
          <w:highlight w:val="none"/>
          <w:u w:val="single"/>
          <w:lang w:val="en-US" w:eastAsia="zh-CN"/>
        </w:rPr>
        <w:t xml:space="preserve">   </w:t>
      </w:r>
      <w:r>
        <w:rPr>
          <w:rFonts w:hint="eastAsia"/>
          <w:color w:val="auto"/>
          <w:spacing w:val="-4"/>
          <w:highlight w:val="none"/>
        </w:rPr>
        <w:t>，人民币</w:t>
      </w:r>
      <w:r>
        <w:rPr>
          <w:rFonts w:hint="eastAsia"/>
          <w:color w:val="auto"/>
          <w:highlight w:val="none"/>
        </w:rPr>
        <w:t>小写：</w:t>
      </w:r>
      <w:r>
        <w:rPr>
          <w:rFonts w:hint="eastAsia"/>
          <w:color w:val="auto"/>
          <w:highlight w:val="none"/>
          <w:u w:val="single"/>
        </w:rPr>
        <w:t xml:space="preserve">                      </w:t>
      </w:r>
      <w:r>
        <w:rPr>
          <w:rFonts w:hint="eastAsia"/>
          <w:color w:val="auto"/>
          <w:highlight w:val="none"/>
        </w:rPr>
        <w:t>元。</w:t>
      </w:r>
    </w:p>
    <w:p w14:paraId="12269D30">
      <w:pPr>
        <w:pStyle w:val="13"/>
        <w:tabs>
          <w:tab w:val="left" w:pos="3880"/>
        </w:tabs>
        <w:spacing w:before="115" w:line="360" w:lineRule="auto"/>
        <w:ind w:left="0" w:leftChars="0" w:right="102" w:firstLine="480" w:firstLineChars="200"/>
        <w:jc w:val="left"/>
        <w:outlineLvl w:val="9"/>
        <w:rPr>
          <w:rFonts w:eastAsia="Times New Roman"/>
          <w:color w:val="auto"/>
          <w:highlight w:val="none"/>
        </w:rPr>
      </w:pPr>
      <w:r>
        <w:rPr>
          <w:rFonts w:hint="eastAsia" w:eastAsia="Times New Roman"/>
          <w:color w:val="auto"/>
          <w:highlight w:val="none"/>
        </w:rPr>
        <w:t xml:space="preserve">2. </w:t>
      </w:r>
      <w:r>
        <w:rPr>
          <w:rFonts w:hint="eastAsia"/>
          <w:color w:val="auto"/>
          <w:spacing w:val="-4"/>
          <w:highlight w:val="none"/>
        </w:rPr>
        <w:t>投标</w:t>
      </w:r>
      <w:r>
        <w:rPr>
          <w:rFonts w:hint="eastAsia" w:eastAsia="Times New Roman"/>
          <w:color w:val="auto"/>
          <w:highlight w:val="none"/>
        </w:rPr>
        <w:t>有效期：</w:t>
      </w:r>
      <w:r>
        <w:rPr>
          <w:rFonts w:hint="eastAsia"/>
          <w:color w:val="auto"/>
          <w:highlight w:val="none"/>
          <w:u w:val="single"/>
        </w:rPr>
        <w:t>90</w:t>
      </w:r>
      <w:r>
        <w:rPr>
          <w:rFonts w:hint="eastAsia" w:eastAsia="Times New Roman"/>
          <w:color w:val="auto"/>
          <w:highlight w:val="none"/>
          <w:u w:val="single"/>
        </w:rPr>
        <w:t>日（自投标截止之日起算）</w:t>
      </w:r>
    </w:p>
    <w:p w14:paraId="71411987">
      <w:pPr>
        <w:pStyle w:val="13"/>
        <w:tabs>
          <w:tab w:val="left" w:pos="3880"/>
        </w:tabs>
        <w:spacing w:before="115" w:line="360" w:lineRule="auto"/>
        <w:ind w:left="0" w:leftChars="0" w:right="102" w:firstLine="480" w:firstLineChars="200"/>
        <w:jc w:val="left"/>
        <w:rPr>
          <w:rFonts w:eastAsia="Times New Roman"/>
          <w:color w:val="auto"/>
          <w:highlight w:val="none"/>
        </w:rPr>
      </w:pPr>
      <w:r>
        <w:rPr>
          <w:rFonts w:hint="eastAsia" w:eastAsia="Times New Roman"/>
          <w:color w:val="auto"/>
          <w:highlight w:val="none"/>
        </w:rPr>
        <w:t>3. 交货安装期：</w:t>
      </w:r>
      <w:r>
        <w:rPr>
          <w:rFonts w:hint="eastAsia" w:eastAsia="Times New Roman"/>
          <w:color w:val="auto"/>
          <w:highlight w:val="none"/>
          <w:u w:val="single"/>
        </w:rPr>
        <w:t xml:space="preserve">                                   </w:t>
      </w:r>
      <w:r>
        <w:rPr>
          <w:rFonts w:hint="eastAsia" w:eastAsia="Times New Roman"/>
          <w:color w:val="auto"/>
          <w:highlight w:val="none"/>
        </w:rPr>
        <w:t xml:space="preserve">  </w:t>
      </w:r>
    </w:p>
    <w:p w14:paraId="281070ED">
      <w:pPr>
        <w:pStyle w:val="13"/>
        <w:tabs>
          <w:tab w:val="left" w:pos="3880"/>
        </w:tabs>
        <w:spacing w:before="115" w:line="360" w:lineRule="auto"/>
        <w:ind w:left="0" w:leftChars="0" w:right="102" w:firstLine="480" w:firstLineChars="200"/>
        <w:jc w:val="left"/>
        <w:rPr>
          <w:rFonts w:hint="eastAsia" w:eastAsia="Times New Roman"/>
          <w:color w:val="auto"/>
          <w:highlight w:val="none"/>
          <w:u w:val="single"/>
        </w:rPr>
      </w:pPr>
      <w:r>
        <w:rPr>
          <w:rFonts w:hint="eastAsia" w:eastAsia="Times New Roman"/>
          <w:color w:val="auto"/>
          <w:highlight w:val="none"/>
        </w:rPr>
        <w:t>4</w:t>
      </w:r>
      <w:r>
        <w:rPr>
          <w:rFonts w:hint="eastAsia"/>
          <w:color w:val="auto"/>
          <w:highlight w:val="none"/>
        </w:rPr>
        <w:t>.</w:t>
      </w:r>
      <w:r>
        <w:rPr>
          <w:rFonts w:hint="eastAsia"/>
          <w:color w:val="auto"/>
          <w:spacing w:val="-4"/>
          <w:highlight w:val="none"/>
        </w:rPr>
        <w:t>质保</w:t>
      </w:r>
      <w:r>
        <w:rPr>
          <w:rFonts w:hint="eastAsia" w:eastAsia="Times New Roman"/>
          <w:color w:val="auto"/>
          <w:highlight w:val="none"/>
        </w:rPr>
        <w:t>期</w:t>
      </w:r>
      <w:r>
        <w:rPr>
          <w:rFonts w:hint="eastAsia"/>
          <w:color w:val="auto"/>
          <w:highlight w:val="none"/>
        </w:rPr>
        <w:t>：</w:t>
      </w:r>
      <w:r>
        <w:rPr>
          <w:rFonts w:hint="eastAsia"/>
          <w:color w:val="auto"/>
          <w:highlight w:val="none"/>
          <w:u w:val="single"/>
        </w:rPr>
        <w:t xml:space="preserve">                                  </w:t>
      </w:r>
      <w:r>
        <w:rPr>
          <w:rFonts w:hint="eastAsia" w:eastAsia="Times New Roman"/>
          <w:color w:val="auto"/>
          <w:highlight w:val="none"/>
          <w:u w:val="single"/>
        </w:rPr>
        <w:t xml:space="preserve">  </w:t>
      </w:r>
    </w:p>
    <w:p w14:paraId="5983BEB5">
      <w:pPr>
        <w:pStyle w:val="13"/>
        <w:tabs>
          <w:tab w:val="left" w:pos="3880"/>
        </w:tabs>
        <w:spacing w:before="115" w:line="360" w:lineRule="auto"/>
        <w:ind w:left="0" w:leftChars="0" w:right="102" w:firstLine="480" w:firstLineChars="200"/>
        <w:jc w:val="left"/>
        <w:rPr>
          <w:rFonts w:hint="eastAsia" w:eastAsia="Times New Roman"/>
          <w:color w:val="auto"/>
          <w:highlight w:val="none"/>
          <w:u w:val="single"/>
        </w:rPr>
      </w:pPr>
      <w:r>
        <w:rPr>
          <w:rFonts w:hint="eastAsia"/>
          <w:color w:val="auto"/>
          <w:highlight w:val="none"/>
        </w:rPr>
        <w:t>5.质量标准</w:t>
      </w:r>
      <w:r>
        <w:rPr>
          <w:rFonts w:hint="eastAsia" w:eastAsia="Times New Roman"/>
          <w:color w:val="auto"/>
          <w:highlight w:val="none"/>
        </w:rPr>
        <w:t>：</w:t>
      </w:r>
      <w:r>
        <w:rPr>
          <w:rFonts w:hint="eastAsia" w:eastAsia="Times New Roman"/>
          <w:color w:val="auto"/>
          <w:highlight w:val="none"/>
          <w:u w:val="single"/>
        </w:rPr>
        <w:t xml:space="preserve">                                   </w:t>
      </w:r>
    </w:p>
    <w:p w14:paraId="6C0B2A68">
      <w:pPr>
        <w:pStyle w:val="13"/>
        <w:spacing w:before="115" w:line="360" w:lineRule="auto"/>
        <w:ind w:left="0" w:leftChars="0" w:right="102" w:firstLine="480" w:firstLineChars="200"/>
        <w:jc w:val="left"/>
        <w:rPr>
          <w:color w:val="auto"/>
          <w:highlight w:val="none"/>
        </w:rPr>
      </w:pPr>
      <w:r>
        <w:rPr>
          <w:rFonts w:hint="eastAsia"/>
          <w:color w:val="auto"/>
          <w:highlight w:val="none"/>
          <w:lang w:val="en-US" w:eastAsia="zh-CN"/>
        </w:rPr>
        <w:t>6</w:t>
      </w:r>
      <w:r>
        <w:rPr>
          <w:color w:val="auto"/>
          <w:highlight w:val="none"/>
        </w:rPr>
        <w:t>．我方承诺除商务和技术偏差表列出的偏差外，我方响应</w:t>
      </w:r>
      <w:r>
        <w:rPr>
          <w:rFonts w:hint="eastAsia"/>
          <w:color w:val="auto"/>
          <w:highlight w:val="none"/>
        </w:rPr>
        <w:t>采购文件</w:t>
      </w:r>
      <w:r>
        <w:rPr>
          <w:color w:val="auto"/>
          <w:highlight w:val="none"/>
        </w:rPr>
        <w:t>的全部要求。</w:t>
      </w:r>
    </w:p>
    <w:p w14:paraId="5DF3DCB9">
      <w:pPr>
        <w:pStyle w:val="13"/>
        <w:spacing w:before="115" w:line="360" w:lineRule="auto"/>
        <w:ind w:left="0" w:leftChars="0" w:right="102" w:firstLine="480" w:firstLineChars="200"/>
        <w:jc w:val="left"/>
        <w:rPr>
          <w:color w:val="auto"/>
          <w:highlight w:val="none"/>
        </w:rPr>
      </w:pPr>
      <w:r>
        <w:rPr>
          <w:rFonts w:hint="eastAsia"/>
          <w:color w:val="auto"/>
          <w:highlight w:val="none"/>
          <w:lang w:val="en-US" w:eastAsia="zh-CN"/>
        </w:rPr>
        <w:t>7</w:t>
      </w:r>
      <w:r>
        <w:rPr>
          <w:color w:val="auto"/>
          <w:highlight w:val="none"/>
        </w:rPr>
        <w:t>．我方承诺在</w:t>
      </w:r>
      <w:r>
        <w:rPr>
          <w:rFonts w:hint="eastAsia"/>
          <w:color w:val="auto"/>
          <w:highlight w:val="none"/>
        </w:rPr>
        <w:t>采购文件</w:t>
      </w:r>
      <w:r>
        <w:rPr>
          <w:color w:val="auto"/>
          <w:highlight w:val="none"/>
        </w:rPr>
        <w:t>规定的投标有效期内不撤销</w:t>
      </w:r>
      <w:r>
        <w:rPr>
          <w:rFonts w:hint="eastAsia"/>
          <w:color w:val="auto"/>
          <w:highlight w:val="none"/>
        </w:rPr>
        <w:t>响应文件</w:t>
      </w:r>
      <w:r>
        <w:rPr>
          <w:color w:val="auto"/>
          <w:highlight w:val="none"/>
        </w:rPr>
        <w:t>。</w:t>
      </w:r>
    </w:p>
    <w:p w14:paraId="64AF7620">
      <w:pPr>
        <w:pStyle w:val="13"/>
        <w:spacing w:before="115" w:line="360" w:lineRule="auto"/>
        <w:ind w:left="0" w:leftChars="0" w:right="102" w:firstLine="480" w:firstLineChars="200"/>
        <w:jc w:val="left"/>
        <w:rPr>
          <w:color w:val="auto"/>
          <w:highlight w:val="none"/>
        </w:rPr>
      </w:pPr>
      <w:r>
        <w:rPr>
          <w:rFonts w:hint="eastAsia"/>
          <w:color w:val="auto"/>
          <w:highlight w:val="none"/>
          <w:lang w:val="en-US" w:eastAsia="zh-CN"/>
        </w:rPr>
        <w:t>8</w:t>
      </w:r>
      <w:r>
        <w:rPr>
          <w:color w:val="auto"/>
          <w:highlight w:val="none"/>
        </w:rPr>
        <w:t>．如我方中标，我方承诺：</w:t>
      </w:r>
    </w:p>
    <w:p w14:paraId="019145F6">
      <w:pPr>
        <w:pStyle w:val="13"/>
        <w:spacing w:before="115" w:line="360" w:lineRule="auto"/>
        <w:ind w:left="0" w:leftChars="0" w:right="102" w:firstLine="480" w:firstLineChars="200"/>
        <w:jc w:val="left"/>
        <w:rPr>
          <w:color w:val="auto"/>
          <w:highlight w:val="none"/>
        </w:rPr>
      </w:pPr>
      <w:r>
        <w:rPr>
          <w:color w:val="auto"/>
          <w:highlight w:val="none"/>
        </w:rPr>
        <w:t>（</w:t>
      </w:r>
      <w:r>
        <w:rPr>
          <w:rFonts w:eastAsia="Times New Roman"/>
          <w:color w:val="auto"/>
          <w:highlight w:val="none"/>
        </w:rPr>
        <w:t>1</w:t>
      </w:r>
      <w:r>
        <w:rPr>
          <w:color w:val="auto"/>
          <w:highlight w:val="none"/>
        </w:rPr>
        <w:t>）在收到中标通知书后，在中标通知书规定的期限内与你方签订合同；</w:t>
      </w:r>
    </w:p>
    <w:p w14:paraId="42359DD3">
      <w:pPr>
        <w:pStyle w:val="13"/>
        <w:spacing w:before="115" w:line="360" w:lineRule="auto"/>
        <w:ind w:left="0" w:leftChars="0" w:right="102" w:firstLine="480" w:firstLineChars="200"/>
        <w:jc w:val="left"/>
        <w:rPr>
          <w:color w:val="auto"/>
          <w:highlight w:val="none"/>
        </w:rPr>
      </w:pPr>
      <w:r>
        <w:rPr>
          <w:color w:val="auto"/>
          <w:highlight w:val="none"/>
        </w:rPr>
        <w:t>（</w:t>
      </w:r>
      <w:r>
        <w:rPr>
          <w:rFonts w:eastAsia="Times New Roman"/>
          <w:color w:val="auto"/>
          <w:highlight w:val="none"/>
        </w:rPr>
        <w:t>2</w:t>
      </w:r>
      <w:r>
        <w:rPr>
          <w:color w:val="auto"/>
          <w:highlight w:val="none"/>
        </w:rPr>
        <w:t>）在签订合同时不向你方提出附加条件；</w:t>
      </w:r>
    </w:p>
    <w:p w14:paraId="6EF93060">
      <w:pPr>
        <w:pStyle w:val="13"/>
        <w:spacing w:before="115" w:line="360" w:lineRule="auto"/>
        <w:ind w:left="0" w:leftChars="0" w:right="102" w:firstLine="480" w:firstLineChars="200"/>
        <w:jc w:val="left"/>
        <w:rPr>
          <w:color w:val="auto"/>
          <w:highlight w:val="none"/>
        </w:rPr>
      </w:pPr>
      <w:r>
        <w:rPr>
          <w:color w:val="auto"/>
          <w:highlight w:val="none"/>
        </w:rPr>
        <w:t>（</w:t>
      </w:r>
      <w:r>
        <w:rPr>
          <w:rFonts w:eastAsia="Times New Roman"/>
          <w:color w:val="auto"/>
          <w:highlight w:val="none"/>
        </w:rPr>
        <w:t>3</w:t>
      </w:r>
      <w:r>
        <w:rPr>
          <w:color w:val="auto"/>
          <w:highlight w:val="none"/>
        </w:rPr>
        <w:t>）按照</w:t>
      </w:r>
      <w:r>
        <w:rPr>
          <w:rFonts w:hint="eastAsia"/>
          <w:color w:val="auto"/>
          <w:highlight w:val="none"/>
        </w:rPr>
        <w:t>采购文件</w:t>
      </w:r>
      <w:r>
        <w:rPr>
          <w:color w:val="auto"/>
          <w:highlight w:val="none"/>
        </w:rPr>
        <w:t>要求提交履约</w:t>
      </w:r>
      <w:r>
        <w:rPr>
          <w:rFonts w:hint="eastAsia" w:eastAsia="Times New Roman"/>
          <w:color w:val="auto"/>
          <w:highlight w:val="none"/>
        </w:rPr>
        <w:t>担保</w:t>
      </w:r>
      <w:r>
        <w:rPr>
          <w:color w:val="auto"/>
          <w:highlight w:val="none"/>
        </w:rPr>
        <w:t>；</w:t>
      </w:r>
    </w:p>
    <w:p w14:paraId="3DDCCA2A">
      <w:pPr>
        <w:pStyle w:val="13"/>
        <w:spacing w:before="115" w:line="360" w:lineRule="auto"/>
        <w:ind w:left="0" w:leftChars="0" w:right="102" w:firstLine="480" w:firstLineChars="200"/>
        <w:jc w:val="left"/>
        <w:rPr>
          <w:color w:val="auto"/>
          <w:highlight w:val="none"/>
        </w:rPr>
      </w:pPr>
      <w:r>
        <w:rPr>
          <w:color w:val="auto"/>
          <w:highlight w:val="none"/>
        </w:rPr>
        <w:t>（</w:t>
      </w:r>
      <w:r>
        <w:rPr>
          <w:rFonts w:eastAsia="Times New Roman"/>
          <w:color w:val="auto"/>
          <w:highlight w:val="none"/>
        </w:rPr>
        <w:t>4</w:t>
      </w:r>
      <w:r>
        <w:rPr>
          <w:color w:val="auto"/>
          <w:highlight w:val="none"/>
        </w:rPr>
        <w:t>）在合同约定的期限内完成合同规定的全部义务。</w:t>
      </w:r>
    </w:p>
    <w:p w14:paraId="263CBC2E">
      <w:pPr>
        <w:pStyle w:val="13"/>
        <w:tabs>
          <w:tab w:val="left" w:pos="3880"/>
        </w:tabs>
        <w:spacing w:before="115" w:line="360" w:lineRule="auto"/>
        <w:ind w:left="0" w:leftChars="0" w:right="102" w:firstLine="480" w:firstLineChars="200"/>
        <w:jc w:val="left"/>
        <w:rPr>
          <w:color w:val="auto"/>
          <w:highlight w:val="none"/>
        </w:rPr>
      </w:pPr>
      <w:r>
        <w:rPr>
          <w:rFonts w:hint="eastAsia"/>
          <w:color w:val="auto"/>
          <w:highlight w:val="none"/>
          <w:lang w:val="en-US" w:eastAsia="zh-CN"/>
        </w:rPr>
        <w:t>9</w:t>
      </w:r>
      <w:r>
        <w:rPr>
          <w:rFonts w:hint="eastAsia" w:eastAsia="Times New Roman"/>
          <w:color w:val="auto"/>
          <w:highlight w:val="none"/>
        </w:rPr>
        <w:t xml:space="preserve">. </w:t>
      </w:r>
      <w:r>
        <w:rPr>
          <w:rFonts w:hint="eastAsia" w:eastAsia="Times New Roman"/>
          <w:color w:val="auto"/>
          <w:highlight w:val="none"/>
          <w:u w:val="single"/>
        </w:rPr>
        <w:t xml:space="preserve">                                </w:t>
      </w:r>
      <w:r>
        <w:rPr>
          <w:color w:val="auto"/>
          <w:highlight w:val="none"/>
        </w:rPr>
        <w:t>（其</w:t>
      </w:r>
      <w:r>
        <w:rPr>
          <w:color w:val="auto"/>
          <w:spacing w:val="-3"/>
          <w:highlight w:val="none"/>
        </w:rPr>
        <w:t>他</w:t>
      </w:r>
      <w:r>
        <w:rPr>
          <w:color w:val="auto"/>
          <w:highlight w:val="none"/>
        </w:rPr>
        <w:t>补</w:t>
      </w:r>
      <w:r>
        <w:rPr>
          <w:color w:val="auto"/>
          <w:spacing w:val="-3"/>
          <w:highlight w:val="none"/>
        </w:rPr>
        <w:t>充</w:t>
      </w:r>
      <w:r>
        <w:rPr>
          <w:color w:val="auto"/>
          <w:highlight w:val="none"/>
        </w:rPr>
        <w:t>说</w:t>
      </w:r>
      <w:r>
        <w:rPr>
          <w:color w:val="auto"/>
          <w:spacing w:val="-3"/>
          <w:highlight w:val="none"/>
        </w:rPr>
        <w:t>明</w:t>
      </w:r>
      <w:r>
        <w:rPr>
          <w:color w:val="auto"/>
          <w:spacing w:val="-106"/>
          <w:highlight w:val="none"/>
        </w:rPr>
        <w:t>）</w:t>
      </w:r>
      <w:r>
        <w:rPr>
          <w:color w:val="auto"/>
          <w:highlight w:val="none"/>
        </w:rPr>
        <w:t>。</w:t>
      </w:r>
    </w:p>
    <w:p w14:paraId="5E82567A">
      <w:pPr>
        <w:pStyle w:val="13"/>
        <w:spacing w:before="5"/>
        <w:ind w:left="0" w:leftChars="0" w:firstLine="0" w:firstLineChars="0"/>
        <w:rPr>
          <w:color w:val="auto"/>
          <w:sz w:val="14"/>
          <w:highlight w:val="none"/>
        </w:rPr>
      </w:pPr>
    </w:p>
    <w:p w14:paraId="70C7D1BC">
      <w:pPr>
        <w:pStyle w:val="13"/>
        <w:tabs>
          <w:tab w:val="left" w:pos="7221"/>
        </w:tabs>
        <w:spacing w:before="37"/>
        <w:jc w:val="right"/>
        <w:rPr>
          <w:color w:val="auto"/>
          <w:highlight w:val="none"/>
        </w:rPr>
      </w:pPr>
      <w:r>
        <w:rPr>
          <w:color w:val="auto"/>
          <w:highlight w:val="none"/>
        </w:rPr>
        <w:t>投 标</w:t>
      </w:r>
      <w:r>
        <w:rPr>
          <w:color w:val="auto"/>
          <w:spacing w:val="-2"/>
          <w:highlight w:val="none"/>
        </w:rPr>
        <w:t xml:space="preserve"> </w:t>
      </w:r>
      <w:r>
        <w:rPr>
          <w:color w:val="auto"/>
          <w:highlight w:val="none"/>
        </w:rPr>
        <w:t>人：</w:t>
      </w:r>
      <w:r>
        <w:rPr>
          <w:rFonts w:eastAsia="Times New Roman"/>
          <w:color w:val="auto"/>
          <w:highlight w:val="none"/>
          <w:u w:val="single"/>
        </w:rPr>
        <w:t xml:space="preserve"> </w:t>
      </w:r>
      <w:r>
        <w:rPr>
          <w:rFonts w:hint="eastAsia" w:eastAsia="Times New Roman"/>
          <w:color w:val="auto"/>
          <w:highlight w:val="none"/>
          <w:u w:val="single"/>
        </w:rPr>
        <w:t xml:space="preserve">        </w:t>
      </w:r>
      <w:r>
        <w:rPr>
          <w:color w:val="auto"/>
          <w:highlight w:val="none"/>
        </w:rPr>
        <w:t>（盖单位章）</w:t>
      </w:r>
    </w:p>
    <w:p w14:paraId="6892E14B">
      <w:pPr>
        <w:pStyle w:val="13"/>
        <w:spacing w:before="12"/>
        <w:jc w:val="right"/>
        <w:rPr>
          <w:color w:val="auto"/>
          <w:sz w:val="9"/>
          <w:highlight w:val="none"/>
        </w:rPr>
      </w:pPr>
    </w:p>
    <w:p w14:paraId="4A6D7A56">
      <w:pPr>
        <w:pStyle w:val="13"/>
        <w:tabs>
          <w:tab w:val="left" w:pos="7641"/>
        </w:tabs>
        <w:spacing w:before="37"/>
        <w:jc w:val="right"/>
        <w:rPr>
          <w:color w:val="auto"/>
          <w:highlight w:val="none"/>
        </w:rPr>
      </w:pPr>
      <w:r>
        <w:rPr>
          <w:color w:val="auto"/>
          <w:highlight w:val="none"/>
        </w:rPr>
        <w:t>法定代表人或其委托代理人：</w:t>
      </w:r>
      <w:r>
        <w:rPr>
          <w:rFonts w:eastAsia="Times New Roman"/>
          <w:color w:val="auto"/>
          <w:highlight w:val="none"/>
          <w:u w:val="single"/>
        </w:rPr>
        <w:t xml:space="preserve"> </w:t>
      </w:r>
      <w:r>
        <w:rPr>
          <w:rFonts w:hint="eastAsia" w:eastAsia="Times New Roman"/>
          <w:color w:val="auto"/>
          <w:highlight w:val="none"/>
          <w:u w:val="single"/>
        </w:rPr>
        <w:t xml:space="preserve">       </w:t>
      </w:r>
      <w:r>
        <w:rPr>
          <w:color w:val="auto"/>
          <w:highlight w:val="none"/>
        </w:rPr>
        <w:t>（签字</w:t>
      </w:r>
      <w:r>
        <w:rPr>
          <w:rFonts w:hint="eastAsia"/>
          <w:color w:val="auto"/>
          <w:highlight w:val="none"/>
          <w:lang w:val="en-US" w:eastAsia="zh-CN"/>
        </w:rPr>
        <w:t>或盖章</w:t>
      </w:r>
      <w:r>
        <w:rPr>
          <w:color w:val="auto"/>
          <w:highlight w:val="none"/>
        </w:rPr>
        <w:t>）</w:t>
      </w:r>
    </w:p>
    <w:p w14:paraId="0AEAB10C">
      <w:pPr>
        <w:pStyle w:val="13"/>
        <w:spacing w:before="4"/>
        <w:ind w:left="0" w:leftChars="0"/>
        <w:rPr>
          <w:color w:val="auto"/>
          <w:sz w:val="11"/>
          <w:highlight w:val="none"/>
        </w:rPr>
      </w:pPr>
    </w:p>
    <w:p w14:paraId="5D913552">
      <w:pPr>
        <w:pStyle w:val="13"/>
        <w:tabs>
          <w:tab w:val="left" w:pos="3232"/>
          <w:tab w:val="left" w:pos="8529"/>
        </w:tabs>
        <w:spacing w:before="36"/>
        <w:jc w:val="right"/>
        <w:rPr>
          <w:rFonts w:eastAsia="Times New Roman"/>
          <w:color w:val="auto"/>
          <w:highlight w:val="none"/>
        </w:rPr>
      </w:pPr>
      <w:r>
        <w:rPr>
          <w:color w:val="auto"/>
          <w:highlight w:val="none"/>
        </w:rPr>
        <w:t>电话：</w:t>
      </w:r>
      <w:r>
        <w:rPr>
          <w:rFonts w:eastAsia="Times New Roman"/>
          <w:color w:val="auto"/>
          <w:highlight w:val="none"/>
          <w:u w:val="single"/>
        </w:rPr>
        <w:t xml:space="preserve"> </w:t>
      </w:r>
      <w:r>
        <w:rPr>
          <w:rFonts w:eastAsia="Times New Roman"/>
          <w:color w:val="auto"/>
          <w:highlight w:val="none"/>
          <w:u w:val="single"/>
        </w:rPr>
        <w:tab/>
      </w:r>
    </w:p>
    <w:p w14:paraId="36534ABA">
      <w:pPr>
        <w:pStyle w:val="13"/>
        <w:spacing w:before="4" w:line="360" w:lineRule="auto"/>
        <w:ind w:left="0" w:leftChars="0"/>
        <w:rPr>
          <w:color w:val="auto"/>
          <w:sz w:val="11"/>
          <w:highlight w:val="none"/>
        </w:rPr>
      </w:pPr>
    </w:p>
    <w:p w14:paraId="08CAA257">
      <w:pPr>
        <w:pStyle w:val="13"/>
        <w:tabs>
          <w:tab w:val="left" w:pos="631"/>
          <w:tab w:val="left" w:pos="1471"/>
          <w:tab w:val="left" w:pos="2311"/>
        </w:tabs>
        <w:spacing w:before="36" w:line="360" w:lineRule="auto"/>
        <w:ind w:right="117"/>
        <w:jc w:val="right"/>
        <w:rPr>
          <w:color w:val="auto"/>
          <w:highlight w:val="none"/>
        </w:rPr>
      </w:pPr>
      <w:r>
        <w:rPr>
          <w:rFonts w:hint="eastAsia" w:eastAsia="Times New Roman"/>
          <w:color w:val="auto"/>
          <w:highlight w:val="none"/>
          <w:u w:val="single"/>
        </w:rPr>
        <w:t xml:space="preserve">   </w:t>
      </w:r>
      <w:r>
        <w:rPr>
          <w:rFonts w:eastAsia="Times New Roman"/>
          <w:color w:val="auto"/>
          <w:highlight w:val="none"/>
          <w:u w:val="single"/>
        </w:rPr>
        <w:t xml:space="preserve"> </w:t>
      </w:r>
      <w:r>
        <w:rPr>
          <w:rFonts w:eastAsia="Times New Roman"/>
          <w:color w:val="auto"/>
          <w:highlight w:val="none"/>
          <w:u w:val="single"/>
        </w:rPr>
        <w:tab/>
      </w:r>
      <w:r>
        <w:rPr>
          <w:color w:val="auto"/>
          <w:highlight w:val="none"/>
        </w:rPr>
        <w:t>年</w:t>
      </w:r>
      <w:r>
        <w:rPr>
          <w:rFonts w:eastAsia="Times New Roman"/>
          <w:color w:val="auto"/>
          <w:highlight w:val="none"/>
          <w:u w:val="single"/>
        </w:rPr>
        <w:t xml:space="preserve"> </w:t>
      </w:r>
      <w:r>
        <w:rPr>
          <w:rFonts w:eastAsia="Times New Roman"/>
          <w:color w:val="auto"/>
          <w:highlight w:val="none"/>
          <w:u w:val="single"/>
        </w:rPr>
        <w:tab/>
      </w:r>
      <w:r>
        <w:rPr>
          <w:color w:val="auto"/>
          <w:highlight w:val="none"/>
        </w:rPr>
        <w:t>月</w:t>
      </w:r>
      <w:r>
        <w:rPr>
          <w:rFonts w:eastAsia="Times New Roman"/>
          <w:color w:val="auto"/>
          <w:highlight w:val="none"/>
          <w:u w:val="single"/>
        </w:rPr>
        <w:t xml:space="preserve"> </w:t>
      </w:r>
      <w:r>
        <w:rPr>
          <w:rFonts w:eastAsia="Times New Roman"/>
          <w:color w:val="auto"/>
          <w:highlight w:val="none"/>
          <w:u w:val="single"/>
        </w:rPr>
        <w:tab/>
      </w:r>
      <w:r>
        <w:rPr>
          <w:rFonts w:hint="eastAsia" w:eastAsia="Times New Roman"/>
          <w:color w:val="auto"/>
          <w:highlight w:val="none"/>
          <w:u w:val="single"/>
        </w:rPr>
        <w:t xml:space="preserve">   </w:t>
      </w:r>
      <w:r>
        <w:rPr>
          <w:color w:val="auto"/>
          <w:spacing w:val="-1"/>
          <w:highlight w:val="none"/>
        </w:rPr>
        <w:t>日</w:t>
      </w:r>
    </w:p>
    <w:p w14:paraId="4F9BF3DD">
      <w:pPr>
        <w:spacing w:line="360" w:lineRule="auto"/>
        <w:jc w:val="right"/>
        <w:rPr>
          <w:color w:val="auto"/>
          <w:highlight w:val="none"/>
        </w:rPr>
        <w:sectPr>
          <w:footerReference r:id="rId18" w:type="default"/>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0" w:charSpace="0"/>
        </w:sectPr>
      </w:pPr>
    </w:p>
    <w:p w14:paraId="2D5873E3">
      <w:pPr>
        <w:spacing w:line="360" w:lineRule="auto"/>
        <w:ind w:left="0" w:leftChars="0" w:firstLine="562" w:firstLineChars="200"/>
        <w:outlineLvl w:val="9"/>
        <w:rPr>
          <w:color w:val="auto"/>
          <w:sz w:val="20"/>
          <w:szCs w:val="20"/>
          <w:highlight w:val="none"/>
        </w:rPr>
      </w:pPr>
      <w:bookmarkStart w:id="259" w:name="_bookmark157"/>
      <w:bookmarkEnd w:id="259"/>
      <w:bookmarkStart w:id="260" w:name="_Toc13932"/>
      <w:bookmarkStart w:id="261" w:name="_Toc179632810"/>
      <w:bookmarkStart w:id="262" w:name="_Toc12172"/>
      <w:bookmarkStart w:id="263" w:name="_Toc144974859"/>
      <w:bookmarkStart w:id="264" w:name="_Toc152045790"/>
      <w:bookmarkStart w:id="265" w:name="_Toc462144834"/>
      <w:bookmarkStart w:id="266" w:name="_Toc152042579"/>
      <w:bookmarkStart w:id="267" w:name="_Toc30733"/>
      <w:r>
        <w:rPr>
          <w:rFonts w:hint="eastAsia" w:ascii="新宋体" w:eastAsia="新宋体"/>
          <w:b/>
          <w:bCs/>
          <w:color w:val="auto"/>
          <w:sz w:val="28"/>
          <w:szCs w:val="32"/>
          <w:highlight w:val="none"/>
        </w:rPr>
        <w:t>投标函附录</w:t>
      </w:r>
      <w:bookmarkEnd w:id="260"/>
      <w:bookmarkEnd w:id="261"/>
      <w:bookmarkEnd w:id="262"/>
      <w:bookmarkEnd w:id="263"/>
      <w:bookmarkEnd w:id="264"/>
      <w:bookmarkEnd w:id="265"/>
      <w:bookmarkEnd w:id="266"/>
      <w:bookmarkEnd w:id="267"/>
    </w:p>
    <w:tbl>
      <w:tblPr>
        <w:tblStyle w:val="28"/>
        <w:tblW w:w="4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2602"/>
        <w:gridCol w:w="2386"/>
        <w:gridCol w:w="3055"/>
      </w:tblGrid>
      <w:tr w14:paraId="22FB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541FFDBA">
            <w:pPr>
              <w:ind w:left="0" w:leftChars="0"/>
              <w:jc w:val="center"/>
              <w:rPr>
                <w:rFonts w:hint="eastAsia" w:ascii="宋体" w:hAnsi="宋体" w:cs="宋体"/>
                <w:b/>
                <w:bCs/>
                <w:color w:val="auto"/>
                <w:szCs w:val="24"/>
                <w:highlight w:val="none"/>
              </w:rPr>
            </w:pPr>
            <w:r>
              <w:rPr>
                <w:rFonts w:hint="eastAsia" w:ascii="宋体" w:hAnsi="宋体" w:cs="宋体"/>
                <w:b/>
                <w:bCs/>
                <w:color w:val="auto"/>
                <w:szCs w:val="24"/>
                <w:highlight w:val="none"/>
              </w:rPr>
              <w:t>序号</w:t>
            </w:r>
          </w:p>
        </w:tc>
        <w:tc>
          <w:tcPr>
            <w:tcW w:w="2319" w:type="dxa"/>
            <w:tcBorders>
              <w:top w:val="single" w:color="auto" w:sz="4" w:space="0"/>
              <w:left w:val="single" w:color="auto" w:sz="4" w:space="0"/>
              <w:bottom w:val="single" w:color="auto" w:sz="4" w:space="0"/>
              <w:right w:val="single" w:color="auto" w:sz="4" w:space="0"/>
            </w:tcBorders>
            <w:noWrap w:val="0"/>
            <w:vAlign w:val="center"/>
          </w:tcPr>
          <w:p w14:paraId="351A1ECC">
            <w:pPr>
              <w:ind w:left="0" w:leftChars="0"/>
              <w:jc w:val="center"/>
              <w:rPr>
                <w:rFonts w:hint="eastAsia" w:ascii="宋体" w:hAnsi="宋体" w:cs="宋体"/>
                <w:b/>
                <w:bCs/>
                <w:color w:val="auto"/>
                <w:szCs w:val="24"/>
                <w:highlight w:val="none"/>
              </w:rPr>
            </w:pPr>
            <w:r>
              <w:rPr>
                <w:rFonts w:hint="eastAsia" w:ascii="宋体" w:hAnsi="宋体" w:cs="宋体"/>
                <w:b/>
                <w:bCs/>
                <w:color w:val="auto"/>
                <w:szCs w:val="24"/>
                <w:highlight w:val="none"/>
              </w:rPr>
              <w:t>条款名称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0752505">
            <w:pPr>
              <w:ind w:left="0" w:leftChars="0"/>
              <w:jc w:val="center"/>
              <w:rPr>
                <w:rFonts w:hint="eastAsia" w:ascii="宋体" w:hAnsi="宋体" w:cs="宋体"/>
                <w:b/>
                <w:bCs/>
                <w:color w:val="auto"/>
                <w:szCs w:val="24"/>
                <w:highlight w:val="none"/>
              </w:rPr>
            </w:pPr>
            <w:r>
              <w:rPr>
                <w:rFonts w:hint="eastAsia" w:ascii="宋体" w:hAnsi="宋体" w:cs="宋体"/>
                <w:b/>
                <w:bCs/>
                <w:color w:val="auto"/>
                <w:szCs w:val="24"/>
                <w:highlight w:val="none"/>
                <w:lang w:val="en-US" w:eastAsia="zh-CN"/>
              </w:rPr>
              <w:t>投标</w:t>
            </w:r>
            <w:r>
              <w:rPr>
                <w:rFonts w:hint="eastAsia" w:ascii="宋体" w:hAnsi="宋体" w:cs="宋体"/>
                <w:b/>
                <w:bCs/>
                <w:color w:val="auto"/>
                <w:szCs w:val="24"/>
                <w:highlight w:val="none"/>
              </w:rPr>
              <w:t>内容</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241C35A1">
            <w:pPr>
              <w:ind w:left="0" w:leftChars="0"/>
              <w:jc w:val="center"/>
              <w:rPr>
                <w:rFonts w:hint="eastAsia" w:ascii="宋体" w:hAnsi="宋体" w:cs="宋体"/>
                <w:b/>
                <w:bCs/>
                <w:color w:val="auto"/>
                <w:szCs w:val="24"/>
                <w:highlight w:val="none"/>
              </w:rPr>
            </w:pPr>
            <w:r>
              <w:rPr>
                <w:rFonts w:hint="eastAsia" w:ascii="宋体" w:hAnsi="宋体" w:cs="宋体"/>
                <w:b/>
                <w:bCs/>
                <w:color w:val="auto"/>
                <w:szCs w:val="24"/>
                <w:highlight w:val="none"/>
              </w:rPr>
              <w:t>备注</w:t>
            </w:r>
          </w:p>
        </w:tc>
      </w:tr>
      <w:tr w14:paraId="298C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6A39C7CD">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2319" w:type="dxa"/>
            <w:tcBorders>
              <w:top w:val="single" w:color="auto" w:sz="4" w:space="0"/>
              <w:left w:val="single" w:color="auto" w:sz="4" w:space="0"/>
              <w:bottom w:val="single" w:color="auto" w:sz="4" w:space="0"/>
              <w:right w:val="single" w:color="auto" w:sz="4" w:space="0"/>
            </w:tcBorders>
            <w:noWrap w:val="0"/>
            <w:vAlign w:val="center"/>
          </w:tcPr>
          <w:p w14:paraId="06CEAAC6">
            <w:pPr>
              <w:ind w:left="0" w:left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采购内容</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B353000">
            <w:pPr>
              <w:ind w:left="0" w:leftChars="0"/>
              <w:jc w:val="center"/>
              <w:rPr>
                <w:rFonts w:hint="eastAsia" w:ascii="宋体" w:hAnsi="宋体" w:cs="宋体"/>
                <w:color w:val="auto"/>
                <w:szCs w:val="24"/>
                <w:highlight w:val="none"/>
                <w:u w:val="singl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218E6611">
            <w:pPr>
              <w:jc w:val="center"/>
              <w:rPr>
                <w:rFonts w:hint="eastAsia" w:ascii="宋体" w:hAnsi="宋体" w:cs="宋体"/>
                <w:color w:val="auto"/>
                <w:szCs w:val="24"/>
                <w:highlight w:val="none"/>
              </w:rPr>
            </w:pPr>
          </w:p>
        </w:tc>
      </w:tr>
      <w:tr w14:paraId="4078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611BC2CA">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2319" w:type="dxa"/>
            <w:tcBorders>
              <w:top w:val="single" w:color="auto" w:sz="4" w:space="0"/>
              <w:left w:val="single" w:color="auto" w:sz="4" w:space="0"/>
              <w:bottom w:val="single" w:color="auto" w:sz="4" w:space="0"/>
              <w:right w:val="single" w:color="auto" w:sz="4" w:space="0"/>
            </w:tcBorders>
            <w:noWrap w:val="0"/>
            <w:vAlign w:val="center"/>
          </w:tcPr>
          <w:p w14:paraId="20B5DB89">
            <w:pPr>
              <w:ind w:left="0" w:leftChars="0"/>
              <w:jc w:val="center"/>
              <w:rPr>
                <w:rFonts w:ascii="宋体" w:hAnsi="宋体" w:cs="宋体"/>
                <w:color w:val="auto"/>
                <w:szCs w:val="24"/>
                <w:highlight w:val="none"/>
              </w:rPr>
            </w:pPr>
            <w:r>
              <w:rPr>
                <w:rFonts w:hint="eastAsia" w:ascii="宋体" w:hAnsi="宋体" w:cs="宋体"/>
                <w:color w:val="auto"/>
                <w:szCs w:val="24"/>
                <w:highlight w:val="none"/>
              </w:rPr>
              <w:t>交货安装期</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515AFDC">
            <w:pPr>
              <w:ind w:left="0" w:leftChars="0"/>
              <w:jc w:val="center"/>
              <w:rPr>
                <w:rFonts w:hint="eastAsia" w:ascii="宋体" w:hAnsi="宋体" w:cs="宋体"/>
                <w:color w:val="auto"/>
                <w:szCs w:val="24"/>
                <w:highlight w:val="none"/>
                <w:u w:val="singl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53792607">
            <w:pPr>
              <w:jc w:val="center"/>
              <w:rPr>
                <w:rFonts w:hint="eastAsia" w:ascii="宋体" w:hAnsi="宋体" w:cs="宋体"/>
                <w:color w:val="auto"/>
                <w:szCs w:val="24"/>
                <w:highlight w:val="none"/>
              </w:rPr>
            </w:pPr>
          </w:p>
        </w:tc>
      </w:tr>
      <w:tr w14:paraId="6F45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6D065380">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3</w:t>
            </w:r>
          </w:p>
        </w:tc>
        <w:tc>
          <w:tcPr>
            <w:tcW w:w="2319" w:type="dxa"/>
            <w:tcBorders>
              <w:top w:val="single" w:color="auto" w:sz="4" w:space="0"/>
              <w:left w:val="single" w:color="auto" w:sz="4" w:space="0"/>
              <w:bottom w:val="single" w:color="auto" w:sz="4" w:space="0"/>
              <w:right w:val="single" w:color="auto" w:sz="4" w:space="0"/>
            </w:tcBorders>
            <w:noWrap w:val="0"/>
            <w:vAlign w:val="center"/>
          </w:tcPr>
          <w:p w14:paraId="05939678">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交货地点</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48CC582">
            <w:pPr>
              <w:ind w:left="0" w:leftChars="0"/>
              <w:jc w:val="center"/>
              <w:rPr>
                <w:rFonts w:hint="eastAsia" w:ascii="宋体" w:hAnsi="宋体" w:cs="宋体"/>
                <w:color w:val="auto"/>
                <w:szCs w:val="24"/>
                <w:highlight w:val="none"/>
                <w:u w:val="singl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305A3096">
            <w:pPr>
              <w:jc w:val="center"/>
              <w:rPr>
                <w:rFonts w:hint="eastAsia" w:ascii="宋体" w:hAnsi="宋体" w:cs="宋体"/>
                <w:color w:val="auto"/>
                <w:szCs w:val="24"/>
                <w:highlight w:val="none"/>
                <w:u w:val="single"/>
              </w:rPr>
            </w:pPr>
          </w:p>
        </w:tc>
      </w:tr>
      <w:tr w14:paraId="2163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20BFFFF1">
            <w:pPr>
              <w:ind w:left="0" w:left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4</w:t>
            </w:r>
          </w:p>
        </w:tc>
        <w:tc>
          <w:tcPr>
            <w:tcW w:w="2319" w:type="dxa"/>
            <w:tcBorders>
              <w:top w:val="single" w:color="auto" w:sz="4" w:space="0"/>
              <w:left w:val="single" w:color="auto" w:sz="4" w:space="0"/>
              <w:bottom w:val="single" w:color="auto" w:sz="4" w:space="0"/>
              <w:right w:val="single" w:color="auto" w:sz="4" w:space="0"/>
            </w:tcBorders>
            <w:noWrap w:val="0"/>
            <w:vAlign w:val="center"/>
          </w:tcPr>
          <w:p w14:paraId="05C9F28C">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投标有效期</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F4954D6">
            <w:pPr>
              <w:jc w:val="center"/>
              <w:rPr>
                <w:rFonts w:hint="eastAsia" w:ascii="宋体" w:hAnsi="宋体" w:cs="宋体"/>
                <w:color w:val="auto"/>
                <w:szCs w:val="24"/>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63B6BBCC">
            <w:pPr>
              <w:jc w:val="center"/>
              <w:rPr>
                <w:rFonts w:hint="eastAsia" w:ascii="宋体" w:hAnsi="宋体" w:cs="宋体"/>
                <w:color w:val="auto"/>
                <w:szCs w:val="24"/>
                <w:highlight w:val="none"/>
              </w:rPr>
            </w:pPr>
            <w:r>
              <w:rPr>
                <w:rFonts w:hint="eastAsia" w:ascii="宋体" w:hAnsi="宋体" w:cs="宋体"/>
                <w:color w:val="auto"/>
                <w:szCs w:val="24"/>
                <w:highlight w:val="none"/>
              </w:rPr>
              <w:t>……</w:t>
            </w:r>
          </w:p>
        </w:tc>
      </w:tr>
      <w:tr w14:paraId="2D8E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005DAA82">
            <w:pPr>
              <w:ind w:left="0" w:left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5</w:t>
            </w:r>
          </w:p>
        </w:tc>
        <w:tc>
          <w:tcPr>
            <w:tcW w:w="2319" w:type="dxa"/>
            <w:tcBorders>
              <w:top w:val="single" w:color="auto" w:sz="4" w:space="0"/>
              <w:left w:val="single" w:color="auto" w:sz="4" w:space="0"/>
              <w:bottom w:val="single" w:color="auto" w:sz="4" w:space="0"/>
              <w:right w:val="single" w:color="auto" w:sz="4" w:space="0"/>
            </w:tcBorders>
            <w:noWrap w:val="0"/>
            <w:vAlign w:val="center"/>
          </w:tcPr>
          <w:p w14:paraId="561A2592">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投标保证金</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C727DFF">
            <w:pPr>
              <w:jc w:val="center"/>
              <w:rPr>
                <w:rFonts w:hint="eastAsia" w:ascii="宋体" w:hAnsi="宋体" w:cs="宋体"/>
                <w:color w:val="auto"/>
                <w:szCs w:val="24"/>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7277FD7C">
            <w:pPr>
              <w:jc w:val="center"/>
              <w:rPr>
                <w:rFonts w:hint="eastAsia" w:ascii="宋体" w:hAnsi="宋体" w:cs="宋体"/>
                <w:color w:val="auto"/>
                <w:szCs w:val="24"/>
                <w:highlight w:val="none"/>
              </w:rPr>
            </w:pPr>
            <w:r>
              <w:rPr>
                <w:rFonts w:hint="eastAsia" w:ascii="宋体" w:hAnsi="宋体" w:cs="宋体"/>
                <w:color w:val="auto"/>
                <w:szCs w:val="24"/>
                <w:highlight w:val="none"/>
              </w:rPr>
              <w:t>……</w:t>
            </w:r>
          </w:p>
        </w:tc>
      </w:tr>
      <w:tr w14:paraId="5B66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3920F0DA">
            <w:pPr>
              <w:ind w:left="0" w:left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6</w:t>
            </w:r>
          </w:p>
        </w:tc>
        <w:tc>
          <w:tcPr>
            <w:tcW w:w="2319" w:type="dxa"/>
            <w:tcBorders>
              <w:top w:val="single" w:color="auto" w:sz="4" w:space="0"/>
              <w:left w:val="single" w:color="auto" w:sz="4" w:space="0"/>
              <w:bottom w:val="single" w:color="auto" w:sz="4" w:space="0"/>
              <w:right w:val="single" w:color="auto" w:sz="4" w:space="0"/>
            </w:tcBorders>
            <w:noWrap w:val="0"/>
            <w:vAlign w:val="center"/>
          </w:tcPr>
          <w:p w14:paraId="19A438B7">
            <w:pPr>
              <w:ind w:left="0" w:left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质量标准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0299381">
            <w:pPr>
              <w:jc w:val="center"/>
              <w:rPr>
                <w:rFonts w:hint="eastAsia" w:ascii="宋体" w:hAnsi="宋体" w:cs="宋体"/>
                <w:color w:val="auto"/>
                <w:szCs w:val="24"/>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173EC40E">
            <w:pPr>
              <w:jc w:val="center"/>
              <w:rPr>
                <w:rFonts w:hint="eastAsia" w:ascii="宋体" w:hAnsi="宋体" w:cs="宋体"/>
                <w:color w:val="auto"/>
                <w:szCs w:val="24"/>
                <w:highlight w:val="none"/>
              </w:rPr>
            </w:pPr>
          </w:p>
        </w:tc>
      </w:tr>
      <w:tr w14:paraId="62BA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361F9459">
            <w:pPr>
              <w:ind w:left="0" w:left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7</w:t>
            </w:r>
          </w:p>
        </w:tc>
        <w:tc>
          <w:tcPr>
            <w:tcW w:w="2319" w:type="dxa"/>
            <w:tcBorders>
              <w:top w:val="single" w:color="auto" w:sz="4" w:space="0"/>
              <w:left w:val="single" w:color="auto" w:sz="4" w:space="0"/>
              <w:bottom w:val="single" w:color="auto" w:sz="4" w:space="0"/>
              <w:right w:val="single" w:color="auto" w:sz="4" w:space="0"/>
            </w:tcBorders>
            <w:noWrap w:val="0"/>
            <w:vAlign w:val="center"/>
          </w:tcPr>
          <w:p w14:paraId="516F5F6A">
            <w:pPr>
              <w:ind w:left="0" w:left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质保期</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6F9DBA3">
            <w:pPr>
              <w:jc w:val="center"/>
              <w:rPr>
                <w:rFonts w:hint="eastAsia" w:ascii="宋体" w:hAnsi="宋体" w:cs="宋体"/>
                <w:color w:val="auto"/>
                <w:szCs w:val="24"/>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58B3479D">
            <w:pPr>
              <w:jc w:val="center"/>
              <w:rPr>
                <w:rFonts w:hint="eastAsia" w:ascii="宋体" w:hAnsi="宋体" w:cs="宋体"/>
                <w:color w:val="auto"/>
                <w:szCs w:val="24"/>
                <w:highlight w:val="none"/>
              </w:rPr>
            </w:pPr>
          </w:p>
        </w:tc>
      </w:tr>
      <w:tr w14:paraId="0541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395FA506">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w:t>
            </w:r>
          </w:p>
        </w:tc>
        <w:tc>
          <w:tcPr>
            <w:tcW w:w="2319" w:type="dxa"/>
            <w:tcBorders>
              <w:top w:val="single" w:color="auto" w:sz="4" w:space="0"/>
              <w:left w:val="single" w:color="auto" w:sz="4" w:space="0"/>
              <w:bottom w:val="single" w:color="auto" w:sz="4" w:space="0"/>
              <w:right w:val="single" w:color="auto" w:sz="4" w:space="0"/>
            </w:tcBorders>
            <w:noWrap w:val="0"/>
            <w:vAlign w:val="center"/>
          </w:tcPr>
          <w:p w14:paraId="7A71CD5D">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B9E305E">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2C3581A1">
            <w:pPr>
              <w:jc w:val="center"/>
              <w:rPr>
                <w:rFonts w:hint="eastAsia" w:ascii="宋体" w:hAnsi="宋体" w:cs="宋体"/>
                <w:color w:val="auto"/>
                <w:szCs w:val="24"/>
                <w:highlight w:val="none"/>
              </w:rPr>
            </w:pPr>
          </w:p>
        </w:tc>
      </w:tr>
      <w:tr w14:paraId="355E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10573D87">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w:t>
            </w:r>
          </w:p>
        </w:tc>
        <w:tc>
          <w:tcPr>
            <w:tcW w:w="2319" w:type="dxa"/>
            <w:tcBorders>
              <w:top w:val="single" w:color="auto" w:sz="4" w:space="0"/>
              <w:left w:val="single" w:color="auto" w:sz="4" w:space="0"/>
              <w:bottom w:val="single" w:color="auto" w:sz="4" w:space="0"/>
              <w:right w:val="single" w:color="auto" w:sz="4" w:space="0"/>
            </w:tcBorders>
            <w:noWrap w:val="0"/>
            <w:vAlign w:val="center"/>
          </w:tcPr>
          <w:p w14:paraId="5B1ED23B">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B62EA6F">
            <w:pPr>
              <w:ind w:left="0" w:leftChars="0"/>
              <w:jc w:val="center"/>
              <w:rPr>
                <w:rFonts w:hint="eastAsia" w:ascii="宋体" w:hAnsi="宋体" w:cs="宋体"/>
                <w:color w:val="auto"/>
                <w:szCs w:val="24"/>
                <w:highlight w:val="none"/>
              </w:rPr>
            </w:pPr>
            <w:r>
              <w:rPr>
                <w:rFonts w:hint="eastAsia" w:ascii="宋体" w:hAnsi="宋体" w:cs="宋体"/>
                <w:color w:val="auto"/>
                <w:szCs w:val="24"/>
                <w:highlight w:val="none"/>
              </w:rPr>
              <w:t>……</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75093542">
            <w:pPr>
              <w:jc w:val="center"/>
              <w:rPr>
                <w:rFonts w:hint="eastAsia" w:ascii="宋体" w:hAnsi="宋体" w:cs="宋体"/>
                <w:color w:val="auto"/>
                <w:szCs w:val="24"/>
                <w:highlight w:val="none"/>
              </w:rPr>
            </w:pPr>
          </w:p>
        </w:tc>
      </w:tr>
      <w:tr w14:paraId="3346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407331CF">
            <w:pPr>
              <w:jc w:val="center"/>
              <w:rPr>
                <w:rFonts w:hint="eastAsia" w:ascii="宋体" w:hAnsi="宋体" w:cs="宋体"/>
                <w:color w:val="auto"/>
                <w:szCs w:val="24"/>
                <w:highlight w:val="none"/>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14:paraId="20CBB838">
            <w:pPr>
              <w:jc w:val="center"/>
              <w:rPr>
                <w:rFonts w:hint="eastAsia" w:ascii="宋体" w:hAnsi="宋体" w:cs="宋体"/>
                <w:color w:val="auto"/>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A5B2C3B">
            <w:pPr>
              <w:jc w:val="center"/>
              <w:rPr>
                <w:rFonts w:hint="eastAsia" w:ascii="宋体" w:hAnsi="宋体" w:cs="宋体"/>
                <w:color w:val="auto"/>
                <w:szCs w:val="24"/>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2A42CD49">
            <w:pPr>
              <w:jc w:val="center"/>
              <w:rPr>
                <w:rFonts w:hint="eastAsia" w:ascii="宋体" w:hAnsi="宋体" w:cs="宋体"/>
                <w:color w:val="auto"/>
                <w:szCs w:val="24"/>
                <w:highlight w:val="none"/>
              </w:rPr>
            </w:pPr>
          </w:p>
        </w:tc>
      </w:tr>
      <w:tr w14:paraId="3CF3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06729137">
            <w:pPr>
              <w:jc w:val="center"/>
              <w:rPr>
                <w:rFonts w:hint="eastAsia" w:ascii="宋体" w:hAnsi="宋体" w:cs="宋体"/>
                <w:color w:val="auto"/>
                <w:szCs w:val="24"/>
                <w:highlight w:val="none"/>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14:paraId="3C6F2EA8">
            <w:pPr>
              <w:jc w:val="center"/>
              <w:rPr>
                <w:rFonts w:hint="eastAsia" w:ascii="宋体" w:hAnsi="宋体" w:cs="宋体"/>
                <w:color w:val="auto"/>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1D861C2">
            <w:pPr>
              <w:jc w:val="center"/>
              <w:rPr>
                <w:rFonts w:hint="eastAsia" w:ascii="宋体" w:hAnsi="宋体" w:cs="宋体"/>
                <w:color w:val="auto"/>
                <w:szCs w:val="24"/>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4A820ED7">
            <w:pPr>
              <w:jc w:val="center"/>
              <w:rPr>
                <w:rFonts w:hint="eastAsia" w:ascii="宋体" w:hAnsi="宋体" w:cs="宋体"/>
                <w:color w:val="auto"/>
                <w:szCs w:val="24"/>
                <w:highlight w:val="none"/>
              </w:rPr>
            </w:pPr>
          </w:p>
        </w:tc>
      </w:tr>
      <w:tr w14:paraId="7588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326D243E">
            <w:pPr>
              <w:jc w:val="center"/>
              <w:rPr>
                <w:rFonts w:hint="eastAsia" w:ascii="宋体" w:hAnsi="宋体" w:cs="宋体"/>
                <w:color w:val="auto"/>
                <w:szCs w:val="24"/>
                <w:highlight w:val="none"/>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14:paraId="53E357C8">
            <w:pPr>
              <w:jc w:val="center"/>
              <w:rPr>
                <w:rFonts w:hint="eastAsia" w:ascii="宋体" w:hAnsi="宋体" w:cs="宋体"/>
                <w:color w:val="auto"/>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138CDC7">
            <w:pPr>
              <w:jc w:val="center"/>
              <w:rPr>
                <w:rFonts w:hint="eastAsia" w:ascii="宋体" w:hAnsi="宋体" w:cs="宋体"/>
                <w:color w:val="auto"/>
                <w:szCs w:val="24"/>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1E656F6D">
            <w:pPr>
              <w:jc w:val="center"/>
              <w:rPr>
                <w:rFonts w:hint="eastAsia" w:ascii="宋体" w:hAnsi="宋体" w:cs="宋体"/>
                <w:color w:val="auto"/>
                <w:szCs w:val="24"/>
                <w:highlight w:val="none"/>
              </w:rPr>
            </w:pPr>
          </w:p>
        </w:tc>
      </w:tr>
      <w:tr w14:paraId="636F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7374C7D0">
            <w:pPr>
              <w:jc w:val="center"/>
              <w:rPr>
                <w:rFonts w:hint="eastAsia" w:ascii="宋体" w:hAnsi="宋体" w:cs="宋体"/>
                <w:color w:val="auto"/>
                <w:szCs w:val="24"/>
                <w:highlight w:val="none"/>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14:paraId="6FC002AB">
            <w:pPr>
              <w:jc w:val="center"/>
              <w:rPr>
                <w:rFonts w:hint="eastAsia" w:ascii="宋体" w:hAnsi="宋体" w:cs="宋体"/>
                <w:color w:val="auto"/>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7BF0D6F">
            <w:pPr>
              <w:jc w:val="center"/>
              <w:rPr>
                <w:rFonts w:hint="eastAsia" w:ascii="宋体" w:hAnsi="宋体" w:cs="宋体"/>
                <w:color w:val="auto"/>
                <w:szCs w:val="24"/>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3C95D50B">
            <w:pPr>
              <w:jc w:val="center"/>
              <w:rPr>
                <w:rFonts w:hint="eastAsia" w:ascii="宋体" w:hAnsi="宋体" w:cs="宋体"/>
                <w:color w:val="auto"/>
                <w:szCs w:val="24"/>
                <w:highlight w:val="none"/>
              </w:rPr>
            </w:pPr>
          </w:p>
        </w:tc>
      </w:tr>
      <w:tr w14:paraId="14C4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593A7E9C">
            <w:pPr>
              <w:jc w:val="center"/>
              <w:rPr>
                <w:rFonts w:hint="eastAsia" w:ascii="宋体" w:hAnsi="宋体" w:cs="宋体"/>
                <w:color w:val="auto"/>
                <w:szCs w:val="24"/>
                <w:highlight w:val="none"/>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14:paraId="359DA59E">
            <w:pPr>
              <w:jc w:val="center"/>
              <w:rPr>
                <w:rFonts w:hint="eastAsia" w:ascii="宋体" w:hAnsi="宋体" w:cs="宋体"/>
                <w:color w:val="auto"/>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F081B39">
            <w:pPr>
              <w:jc w:val="center"/>
              <w:rPr>
                <w:rFonts w:hint="eastAsia" w:ascii="宋体" w:hAnsi="宋体" w:cs="宋体"/>
                <w:color w:val="auto"/>
                <w:szCs w:val="24"/>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71C53B87">
            <w:pPr>
              <w:jc w:val="center"/>
              <w:rPr>
                <w:rFonts w:hint="eastAsia" w:ascii="宋体" w:hAnsi="宋体" w:cs="宋体"/>
                <w:color w:val="auto"/>
                <w:szCs w:val="24"/>
                <w:highlight w:val="none"/>
              </w:rPr>
            </w:pPr>
          </w:p>
        </w:tc>
      </w:tr>
      <w:tr w14:paraId="5948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14:paraId="38079AFC">
            <w:pPr>
              <w:jc w:val="center"/>
              <w:rPr>
                <w:rFonts w:hint="eastAsia" w:ascii="宋体" w:hAnsi="宋体" w:cs="宋体"/>
                <w:color w:val="auto"/>
                <w:szCs w:val="24"/>
                <w:highlight w:val="none"/>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14:paraId="4B670246">
            <w:pPr>
              <w:jc w:val="center"/>
              <w:rPr>
                <w:rFonts w:hint="eastAsia" w:ascii="宋体" w:hAnsi="宋体" w:cs="宋体"/>
                <w:color w:val="auto"/>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BD46C8D">
            <w:pPr>
              <w:jc w:val="center"/>
              <w:rPr>
                <w:rFonts w:hint="eastAsia" w:ascii="宋体" w:hAnsi="宋体" w:cs="宋体"/>
                <w:color w:val="auto"/>
                <w:szCs w:val="24"/>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14:paraId="27DBA6D8">
            <w:pPr>
              <w:jc w:val="center"/>
              <w:rPr>
                <w:rFonts w:hint="eastAsia" w:ascii="宋体" w:hAnsi="宋体" w:cs="宋体"/>
                <w:color w:val="auto"/>
                <w:szCs w:val="24"/>
                <w:highlight w:val="none"/>
              </w:rPr>
            </w:pPr>
          </w:p>
        </w:tc>
      </w:tr>
    </w:tbl>
    <w:p w14:paraId="77587E62">
      <w:pPr>
        <w:spacing w:line="360" w:lineRule="auto"/>
        <w:rPr>
          <w:color w:val="auto"/>
          <w:szCs w:val="24"/>
          <w:highlight w:val="none"/>
        </w:rPr>
      </w:pPr>
    </w:p>
    <w:p w14:paraId="50FCE536">
      <w:pPr>
        <w:spacing w:line="360" w:lineRule="auto"/>
        <w:rPr>
          <w:color w:val="auto"/>
          <w:sz w:val="20"/>
          <w:szCs w:val="20"/>
          <w:highlight w:val="none"/>
        </w:rPr>
      </w:pPr>
    </w:p>
    <w:p w14:paraId="484C3C22">
      <w:pPr>
        <w:jc w:val="center"/>
        <w:rPr>
          <w:rFonts w:hint="eastAsia"/>
          <w:b/>
          <w:bCs/>
          <w:color w:val="auto"/>
          <w:sz w:val="32"/>
          <w:szCs w:val="28"/>
          <w:highlight w:val="none"/>
        </w:rPr>
        <w:sectPr>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0" w:charSpace="0"/>
        </w:sectPr>
      </w:pPr>
    </w:p>
    <w:p w14:paraId="6129A8BE">
      <w:pPr>
        <w:jc w:val="center"/>
        <w:rPr>
          <w:rFonts w:hint="eastAsia"/>
          <w:b/>
          <w:bCs/>
          <w:color w:val="auto"/>
          <w:sz w:val="32"/>
          <w:szCs w:val="28"/>
          <w:highlight w:val="yellow"/>
        </w:rPr>
      </w:pPr>
      <w:r>
        <w:rPr>
          <w:rFonts w:hint="eastAsia"/>
          <w:b/>
          <w:bCs/>
          <w:color w:val="auto"/>
          <w:sz w:val="32"/>
          <w:szCs w:val="28"/>
          <w:highlight w:val="yellow"/>
        </w:rPr>
        <w:t xml:space="preserve"> </w:t>
      </w:r>
      <w:r>
        <w:rPr>
          <w:rFonts w:hint="eastAsia"/>
          <w:b/>
          <w:bCs/>
          <w:color w:val="auto"/>
          <w:sz w:val="32"/>
          <w:szCs w:val="28"/>
          <w:highlight w:val="yellow"/>
          <w:lang w:val="en-US" w:eastAsia="zh-CN"/>
        </w:rPr>
        <w:t>分项报价</w:t>
      </w:r>
      <w:r>
        <w:rPr>
          <w:rFonts w:hint="eastAsia"/>
          <w:b/>
          <w:bCs/>
          <w:color w:val="auto"/>
          <w:sz w:val="32"/>
          <w:szCs w:val="28"/>
          <w:highlight w:val="yellow"/>
        </w:rPr>
        <w:t>表</w:t>
      </w:r>
    </w:p>
    <w:p w14:paraId="39CAA186">
      <w:pPr>
        <w:pStyle w:val="2"/>
        <w:rPr>
          <w:rFonts w:hint="eastAsia"/>
          <w:b/>
          <w:bCs/>
          <w:color w:val="auto"/>
          <w:sz w:val="32"/>
          <w:szCs w:val="28"/>
          <w:highlight w:val="yellow"/>
        </w:rPr>
      </w:pPr>
    </w:p>
    <w:tbl>
      <w:tblPr>
        <w:tblStyle w:val="28"/>
        <w:tblW w:w="4955"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7"/>
        <w:gridCol w:w="1163"/>
        <w:gridCol w:w="8123"/>
        <w:gridCol w:w="963"/>
        <w:gridCol w:w="948"/>
        <w:gridCol w:w="1017"/>
        <w:gridCol w:w="17"/>
        <w:gridCol w:w="943"/>
      </w:tblGrid>
      <w:tr w14:paraId="55EC33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tcBorders>
              <w:tl2br w:val="nil"/>
              <w:tr2bl w:val="nil"/>
            </w:tcBorders>
            <w:noWrap w:val="0"/>
            <w:vAlign w:val="center"/>
          </w:tcPr>
          <w:p w14:paraId="353AFF51">
            <w:pPr>
              <w:keepNext w:val="0"/>
              <w:keepLines w:val="0"/>
              <w:widowControl/>
              <w:suppressLineNumbers w:val="0"/>
              <w:ind w:left="0" w:leftChars="0" w:firstLine="0" w:firstLineChars="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422" w:type="pct"/>
            <w:tcBorders>
              <w:tl2br w:val="nil"/>
              <w:tr2bl w:val="nil"/>
            </w:tcBorders>
            <w:noWrap w:val="0"/>
            <w:vAlign w:val="center"/>
          </w:tcPr>
          <w:p w14:paraId="4FFFA04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设备名</w:t>
            </w:r>
          </w:p>
        </w:tc>
        <w:tc>
          <w:tcPr>
            <w:tcW w:w="2949" w:type="pct"/>
            <w:tcBorders>
              <w:tl2br w:val="nil"/>
              <w:tr2bl w:val="nil"/>
            </w:tcBorders>
            <w:noWrap w:val="0"/>
            <w:vAlign w:val="center"/>
          </w:tcPr>
          <w:p w14:paraId="3584038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技术参数</w:t>
            </w:r>
          </w:p>
        </w:tc>
        <w:tc>
          <w:tcPr>
            <w:tcW w:w="349" w:type="pct"/>
            <w:tcBorders>
              <w:tl2br w:val="nil"/>
              <w:tr2bl w:val="nil"/>
            </w:tcBorders>
            <w:noWrap w:val="0"/>
            <w:vAlign w:val="center"/>
          </w:tcPr>
          <w:p w14:paraId="497B630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344" w:type="pct"/>
            <w:tcBorders>
              <w:tl2br w:val="nil"/>
              <w:tr2bl w:val="nil"/>
            </w:tcBorders>
            <w:noWrap w:val="0"/>
            <w:vAlign w:val="center"/>
          </w:tcPr>
          <w:p w14:paraId="1657539C">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单价（元）</w:t>
            </w:r>
          </w:p>
        </w:tc>
        <w:tc>
          <w:tcPr>
            <w:tcW w:w="369" w:type="pct"/>
            <w:tcBorders>
              <w:tl2br w:val="nil"/>
              <w:tr2bl w:val="nil"/>
            </w:tcBorders>
            <w:noWrap w:val="0"/>
            <w:vAlign w:val="center"/>
          </w:tcPr>
          <w:p w14:paraId="09F6413C">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小计（元）</w:t>
            </w:r>
          </w:p>
        </w:tc>
        <w:tc>
          <w:tcPr>
            <w:tcW w:w="348" w:type="pct"/>
            <w:gridSpan w:val="2"/>
            <w:tcBorders>
              <w:tl2br w:val="nil"/>
              <w:tr2bl w:val="nil"/>
            </w:tcBorders>
            <w:noWrap w:val="0"/>
            <w:vAlign w:val="center"/>
          </w:tcPr>
          <w:p w14:paraId="0222F509">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品牌、规格及型号</w:t>
            </w:r>
          </w:p>
        </w:tc>
      </w:tr>
      <w:tr w14:paraId="158102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725E573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22" w:type="pct"/>
            <w:vMerge w:val="restart"/>
            <w:tcBorders>
              <w:tl2br w:val="nil"/>
              <w:tr2bl w:val="nil"/>
            </w:tcBorders>
            <w:noWrap w:val="0"/>
            <w:vAlign w:val="center"/>
          </w:tcPr>
          <w:p w14:paraId="39E43D9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装调实训无人机教学平台（多旋翼）</w:t>
            </w:r>
          </w:p>
        </w:tc>
        <w:tc>
          <w:tcPr>
            <w:tcW w:w="2949" w:type="pct"/>
            <w:tcBorders>
              <w:tl2br w:val="nil"/>
              <w:tr2bl w:val="nil"/>
            </w:tcBorders>
            <w:noWrap w:val="0"/>
            <w:vAlign w:val="center"/>
          </w:tcPr>
          <w:p w14:paraId="55EFB12F">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1.机架布局为“X”；机身轴距≥400mm；</w:t>
            </w:r>
          </w:p>
        </w:tc>
        <w:tc>
          <w:tcPr>
            <w:tcW w:w="349" w:type="pct"/>
            <w:vMerge w:val="restart"/>
            <w:tcBorders>
              <w:tl2br w:val="nil"/>
              <w:tr2bl w:val="nil"/>
            </w:tcBorders>
            <w:noWrap w:val="0"/>
            <w:vAlign w:val="center"/>
          </w:tcPr>
          <w:p w14:paraId="2C44249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344" w:type="pct"/>
            <w:tcBorders>
              <w:tl2br w:val="nil"/>
              <w:tr2bl w:val="nil"/>
            </w:tcBorders>
            <w:noWrap w:val="0"/>
            <w:vAlign w:val="center"/>
          </w:tcPr>
          <w:p w14:paraId="20322F0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651927E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6ABB8A5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5C898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40F2552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F83879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9F7D58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2.机身材料：碳纤维和航空铝；配备ABS塑料可拆卸壳体；整套系统采用箱式设计，箱体采用航空箱材质，内衬采用EVA海绵材质；使用场景；室内、室外；</w:t>
            </w:r>
          </w:p>
        </w:tc>
        <w:tc>
          <w:tcPr>
            <w:tcW w:w="349" w:type="pct"/>
            <w:vMerge w:val="continue"/>
            <w:tcBorders>
              <w:tl2br w:val="nil"/>
              <w:tr2bl w:val="nil"/>
            </w:tcBorders>
            <w:noWrap w:val="0"/>
            <w:vAlign w:val="center"/>
          </w:tcPr>
          <w:p w14:paraId="611F286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4464EC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0C9E7E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C2D1C63">
            <w:pPr>
              <w:jc w:val="center"/>
              <w:rPr>
                <w:rFonts w:hint="eastAsia" w:ascii="微软雅黑" w:hAnsi="微软雅黑" w:eastAsia="微软雅黑" w:cs="微软雅黑"/>
                <w:i w:val="0"/>
                <w:iCs w:val="0"/>
                <w:color w:val="000000"/>
                <w:sz w:val="20"/>
                <w:szCs w:val="20"/>
                <w:u w:val="none"/>
              </w:rPr>
            </w:pPr>
          </w:p>
        </w:tc>
      </w:tr>
      <w:tr w14:paraId="0DE93C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2C3AA4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EB565C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FF3FEC7">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3.最大飞行时间不得低于12min,最大起飞重量≥1.5kg；</w:t>
            </w:r>
          </w:p>
        </w:tc>
        <w:tc>
          <w:tcPr>
            <w:tcW w:w="349" w:type="pct"/>
            <w:vMerge w:val="continue"/>
            <w:tcBorders>
              <w:tl2br w:val="nil"/>
              <w:tr2bl w:val="nil"/>
            </w:tcBorders>
            <w:noWrap w:val="0"/>
            <w:vAlign w:val="center"/>
          </w:tcPr>
          <w:p w14:paraId="1ABFF89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3F7410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5514FA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A801B16">
            <w:pPr>
              <w:jc w:val="center"/>
              <w:rPr>
                <w:rFonts w:hint="eastAsia" w:ascii="微软雅黑" w:hAnsi="微软雅黑" w:eastAsia="微软雅黑" w:cs="微软雅黑"/>
                <w:i w:val="0"/>
                <w:iCs w:val="0"/>
                <w:color w:val="000000"/>
                <w:sz w:val="20"/>
                <w:szCs w:val="20"/>
                <w:u w:val="none"/>
              </w:rPr>
            </w:pPr>
          </w:p>
        </w:tc>
      </w:tr>
      <w:tr w14:paraId="5DC402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06B662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666F2B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0235751">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4.最大上升速度≥4m/s;最大下降速度为≤5m/s;最大平飞速度≥7m/s；</w:t>
            </w:r>
          </w:p>
        </w:tc>
        <w:tc>
          <w:tcPr>
            <w:tcW w:w="349" w:type="pct"/>
            <w:vMerge w:val="continue"/>
            <w:tcBorders>
              <w:tl2br w:val="nil"/>
              <w:tr2bl w:val="nil"/>
            </w:tcBorders>
            <w:noWrap w:val="0"/>
            <w:vAlign w:val="center"/>
          </w:tcPr>
          <w:p w14:paraId="16E0A9C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EB17F0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4EE243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C8E6A3B">
            <w:pPr>
              <w:jc w:val="center"/>
              <w:rPr>
                <w:rFonts w:hint="eastAsia" w:ascii="微软雅黑" w:hAnsi="微软雅黑" w:eastAsia="微软雅黑" w:cs="微软雅黑"/>
                <w:i w:val="0"/>
                <w:iCs w:val="0"/>
                <w:color w:val="000000"/>
                <w:sz w:val="20"/>
                <w:szCs w:val="20"/>
                <w:u w:val="none"/>
              </w:rPr>
            </w:pPr>
          </w:p>
        </w:tc>
      </w:tr>
      <w:tr w14:paraId="6F68A7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08763A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ECA414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CFB5605">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5.最大可承受风速≥8m/s；悬停精度，垂直±0.5m,水平±1m(GPS状态）；最大俯仰角度不小于35°；</w:t>
            </w:r>
          </w:p>
        </w:tc>
        <w:tc>
          <w:tcPr>
            <w:tcW w:w="349" w:type="pct"/>
            <w:vMerge w:val="continue"/>
            <w:tcBorders>
              <w:tl2br w:val="nil"/>
              <w:tr2bl w:val="nil"/>
            </w:tcBorders>
            <w:noWrap w:val="0"/>
            <w:vAlign w:val="center"/>
          </w:tcPr>
          <w:p w14:paraId="4304577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71CDAD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C88FAA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DEE1125">
            <w:pPr>
              <w:jc w:val="center"/>
              <w:rPr>
                <w:rFonts w:hint="eastAsia" w:ascii="微软雅黑" w:hAnsi="微软雅黑" w:eastAsia="微软雅黑" w:cs="微软雅黑"/>
                <w:i w:val="0"/>
                <w:iCs w:val="0"/>
                <w:color w:val="000000"/>
                <w:sz w:val="20"/>
                <w:szCs w:val="20"/>
                <w:u w:val="none"/>
              </w:rPr>
            </w:pPr>
          </w:p>
        </w:tc>
      </w:tr>
      <w:tr w14:paraId="5F33D6A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70D7BE0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B251DA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D0BAE98">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机体下中心板为PCB电路板设计，电子线路为沉埋式设计，且PCB电路板上具有明显的信号线序号标识，防止组装调试时安装线序出错。连接插头采取插拔式设计，保证重复使用性；（需提供满足参数要求的实物图片）</w:t>
            </w:r>
          </w:p>
        </w:tc>
        <w:tc>
          <w:tcPr>
            <w:tcW w:w="349" w:type="pct"/>
            <w:vMerge w:val="continue"/>
            <w:tcBorders>
              <w:tl2br w:val="nil"/>
              <w:tr2bl w:val="nil"/>
            </w:tcBorders>
            <w:noWrap w:val="0"/>
            <w:vAlign w:val="center"/>
          </w:tcPr>
          <w:p w14:paraId="2987261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5F24C0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87E73A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74B1B16">
            <w:pPr>
              <w:jc w:val="center"/>
              <w:rPr>
                <w:rFonts w:hint="eastAsia" w:ascii="微软雅黑" w:hAnsi="微软雅黑" w:eastAsia="微软雅黑" w:cs="微软雅黑"/>
                <w:i w:val="0"/>
                <w:iCs w:val="0"/>
                <w:color w:val="000000"/>
                <w:sz w:val="20"/>
                <w:szCs w:val="20"/>
                <w:u w:val="none"/>
              </w:rPr>
            </w:pPr>
          </w:p>
        </w:tc>
      </w:tr>
      <w:tr w14:paraId="15BFB0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42125C8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84C4C8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773F81C">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机身处附有二维码图标，通过扫描二维码图标，学生可在移动端查看该机型的组装视频。方便学生在组装过程中随时调用查看确保教学进度，组装视频中所示机型与该机型一致；（需提供满足参数要求的实物图片及视频截图）</w:t>
            </w:r>
          </w:p>
        </w:tc>
        <w:tc>
          <w:tcPr>
            <w:tcW w:w="349" w:type="pct"/>
            <w:vMerge w:val="continue"/>
            <w:tcBorders>
              <w:tl2br w:val="nil"/>
              <w:tr2bl w:val="nil"/>
            </w:tcBorders>
            <w:noWrap w:val="0"/>
            <w:vAlign w:val="center"/>
          </w:tcPr>
          <w:p w14:paraId="3552E1A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30C721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7486B0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3FF9D0A">
            <w:pPr>
              <w:jc w:val="center"/>
              <w:rPr>
                <w:rFonts w:hint="eastAsia" w:ascii="微软雅黑" w:hAnsi="微软雅黑" w:eastAsia="微软雅黑" w:cs="微软雅黑"/>
                <w:i w:val="0"/>
                <w:iCs w:val="0"/>
                <w:color w:val="000000"/>
                <w:sz w:val="20"/>
                <w:szCs w:val="20"/>
                <w:u w:val="none"/>
              </w:rPr>
            </w:pPr>
          </w:p>
        </w:tc>
      </w:tr>
      <w:tr w14:paraId="481CA0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03FEA8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750C06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CBD7077">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8.无刷电机规格型号：定子直径≥23mm；高度≥12mm；KV值≥1000KV，且带正反牙螺纹；</w:t>
            </w:r>
          </w:p>
        </w:tc>
        <w:tc>
          <w:tcPr>
            <w:tcW w:w="349" w:type="pct"/>
            <w:vMerge w:val="continue"/>
            <w:tcBorders>
              <w:tl2br w:val="nil"/>
              <w:tr2bl w:val="nil"/>
            </w:tcBorders>
            <w:noWrap w:val="0"/>
            <w:vAlign w:val="center"/>
          </w:tcPr>
          <w:p w14:paraId="75FC9BA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7422D0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863EE0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6331ABB">
            <w:pPr>
              <w:jc w:val="center"/>
              <w:rPr>
                <w:rFonts w:hint="eastAsia" w:ascii="微软雅黑" w:hAnsi="微软雅黑" w:eastAsia="微软雅黑" w:cs="微软雅黑"/>
                <w:i w:val="0"/>
                <w:iCs w:val="0"/>
                <w:color w:val="000000"/>
                <w:sz w:val="20"/>
                <w:szCs w:val="20"/>
                <w:u w:val="none"/>
              </w:rPr>
            </w:pPr>
          </w:p>
        </w:tc>
      </w:tr>
      <w:tr w14:paraId="7FC550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22A485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4ECDE7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7EA895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9.桨叶规格型号：桨叶尺寸≥9寸；材质：塑料；</w:t>
            </w:r>
          </w:p>
        </w:tc>
        <w:tc>
          <w:tcPr>
            <w:tcW w:w="349" w:type="pct"/>
            <w:vMerge w:val="continue"/>
            <w:tcBorders>
              <w:tl2br w:val="nil"/>
              <w:tr2bl w:val="nil"/>
            </w:tcBorders>
            <w:noWrap w:val="0"/>
            <w:vAlign w:val="center"/>
          </w:tcPr>
          <w:p w14:paraId="29ADC8A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A45166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5857E3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CF3FC7C">
            <w:pPr>
              <w:jc w:val="center"/>
              <w:rPr>
                <w:rFonts w:hint="eastAsia" w:ascii="微软雅黑" w:hAnsi="微软雅黑" w:eastAsia="微软雅黑" w:cs="微软雅黑"/>
                <w:i w:val="0"/>
                <w:iCs w:val="0"/>
                <w:color w:val="000000"/>
                <w:sz w:val="20"/>
                <w:szCs w:val="20"/>
                <w:u w:val="none"/>
              </w:rPr>
            </w:pPr>
          </w:p>
        </w:tc>
      </w:tr>
      <w:tr w14:paraId="5F5626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59CB69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4E0494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F15BFD8">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10.电调规格型号：持续工作电流≥30A，最大瞬间电流不超过40A，适用于2S-6S电池；</w:t>
            </w:r>
          </w:p>
        </w:tc>
        <w:tc>
          <w:tcPr>
            <w:tcW w:w="349" w:type="pct"/>
            <w:vMerge w:val="continue"/>
            <w:tcBorders>
              <w:tl2br w:val="nil"/>
              <w:tr2bl w:val="nil"/>
            </w:tcBorders>
            <w:noWrap w:val="0"/>
            <w:vAlign w:val="center"/>
          </w:tcPr>
          <w:p w14:paraId="42EBFE1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1EE7F2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C3A439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0FB3F50">
            <w:pPr>
              <w:jc w:val="center"/>
              <w:rPr>
                <w:rFonts w:hint="eastAsia" w:ascii="微软雅黑" w:hAnsi="微软雅黑" w:eastAsia="微软雅黑" w:cs="微软雅黑"/>
                <w:i w:val="0"/>
                <w:iCs w:val="0"/>
                <w:color w:val="000000"/>
                <w:sz w:val="20"/>
                <w:szCs w:val="20"/>
                <w:u w:val="none"/>
              </w:rPr>
            </w:pPr>
          </w:p>
        </w:tc>
      </w:tr>
      <w:tr w14:paraId="46C516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ED3C57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43CF57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2DE3F1A">
            <w:pPr>
              <w:keepNext w:val="0"/>
              <w:keepLines w:val="0"/>
              <w:widowControl/>
              <w:suppressLineNumbers w:val="0"/>
              <w:ind w:left="0" w:leftChars="0" w:firstLine="0" w:firstLineChars="0"/>
              <w:jc w:val="both"/>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11.电池：一块、电池规格≥4S/5000mah/14.8V，放电倍率≥30C，锂电池；</w:t>
            </w:r>
          </w:p>
        </w:tc>
        <w:tc>
          <w:tcPr>
            <w:tcW w:w="349" w:type="pct"/>
            <w:vMerge w:val="continue"/>
            <w:tcBorders>
              <w:tl2br w:val="nil"/>
              <w:tr2bl w:val="nil"/>
            </w:tcBorders>
            <w:noWrap w:val="0"/>
            <w:vAlign w:val="center"/>
          </w:tcPr>
          <w:p w14:paraId="3236454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D5AB91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0C306E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C74A0A8">
            <w:pPr>
              <w:jc w:val="center"/>
              <w:rPr>
                <w:rFonts w:hint="eastAsia" w:ascii="微软雅黑" w:hAnsi="微软雅黑" w:eastAsia="微软雅黑" w:cs="微软雅黑"/>
                <w:i w:val="0"/>
                <w:iCs w:val="0"/>
                <w:color w:val="000000"/>
                <w:sz w:val="20"/>
                <w:szCs w:val="20"/>
                <w:u w:val="none"/>
              </w:rPr>
            </w:pPr>
          </w:p>
        </w:tc>
      </w:tr>
      <w:tr w14:paraId="5D6802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6" w:type="pct"/>
            <w:vMerge w:val="continue"/>
            <w:tcBorders>
              <w:tl2br w:val="nil"/>
              <w:tr2bl w:val="nil"/>
            </w:tcBorders>
            <w:noWrap w:val="0"/>
            <w:vAlign w:val="center"/>
          </w:tcPr>
          <w:p w14:paraId="70617A2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EEB65A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F4A1682">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12.智能飞行控制器整体采用航空铝外壳设计；飞控内部集成蜂鸣器，免于外接蜂鸣器模块；FLASH存储≥8MB,供电范围4.8V-5.5V；</w:t>
            </w:r>
          </w:p>
        </w:tc>
        <w:tc>
          <w:tcPr>
            <w:tcW w:w="349" w:type="pct"/>
            <w:vMerge w:val="continue"/>
            <w:tcBorders>
              <w:tl2br w:val="nil"/>
              <w:tr2bl w:val="nil"/>
            </w:tcBorders>
            <w:noWrap w:val="0"/>
            <w:vAlign w:val="center"/>
          </w:tcPr>
          <w:p w14:paraId="089F76D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3FD408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36DC8A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BED930D">
            <w:pPr>
              <w:jc w:val="center"/>
              <w:rPr>
                <w:rFonts w:hint="eastAsia" w:ascii="微软雅黑" w:hAnsi="微软雅黑" w:eastAsia="微软雅黑" w:cs="微软雅黑"/>
                <w:i w:val="0"/>
                <w:iCs w:val="0"/>
                <w:color w:val="000000"/>
                <w:sz w:val="20"/>
                <w:szCs w:val="20"/>
                <w:u w:val="none"/>
              </w:rPr>
            </w:pPr>
          </w:p>
        </w:tc>
      </w:tr>
      <w:tr w14:paraId="1932E3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16" w:type="pct"/>
            <w:vMerge w:val="continue"/>
            <w:tcBorders>
              <w:tl2br w:val="nil"/>
              <w:tr2bl w:val="nil"/>
            </w:tcBorders>
            <w:noWrap w:val="0"/>
            <w:vAlign w:val="center"/>
          </w:tcPr>
          <w:p w14:paraId="2AED4EB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1A0611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FD642E4">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传感器模块要求包含空速传感器模块、磁罗盘传感器模块、气压高度计模块、陀螺传感器模块、CAN总线模块、声音报警模块、指示灯模块、低压差供电模块、飞行数据存储模块、电平转换模块、参数存储模块、主控制器模块、输入输出控制器模块；外设串口至少包含外设数传串口、RTK串口、GPS串口、外置罗盘、光流串口：TFMINI串口；</w:t>
            </w:r>
          </w:p>
        </w:tc>
        <w:tc>
          <w:tcPr>
            <w:tcW w:w="349" w:type="pct"/>
            <w:vMerge w:val="continue"/>
            <w:tcBorders>
              <w:tl2br w:val="nil"/>
              <w:tr2bl w:val="nil"/>
            </w:tcBorders>
            <w:noWrap w:val="0"/>
            <w:vAlign w:val="center"/>
          </w:tcPr>
          <w:p w14:paraId="69C3AF4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8F21AD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058D74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648C0C7">
            <w:pPr>
              <w:jc w:val="center"/>
              <w:rPr>
                <w:rFonts w:hint="eastAsia" w:ascii="微软雅黑" w:hAnsi="微软雅黑" w:eastAsia="微软雅黑" w:cs="微软雅黑"/>
                <w:i w:val="0"/>
                <w:iCs w:val="0"/>
                <w:color w:val="000000"/>
                <w:sz w:val="20"/>
                <w:szCs w:val="20"/>
                <w:u w:val="none"/>
              </w:rPr>
            </w:pPr>
          </w:p>
        </w:tc>
      </w:tr>
      <w:tr w14:paraId="02F79B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F0F7F9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B23CF1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86C58E7">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14.飞行模式至少支持定点模式、定高模式、任务模式和返航模式；</w:t>
            </w:r>
          </w:p>
        </w:tc>
        <w:tc>
          <w:tcPr>
            <w:tcW w:w="349" w:type="pct"/>
            <w:vMerge w:val="continue"/>
            <w:tcBorders>
              <w:tl2br w:val="nil"/>
              <w:tr2bl w:val="nil"/>
            </w:tcBorders>
            <w:noWrap w:val="0"/>
            <w:vAlign w:val="center"/>
          </w:tcPr>
          <w:p w14:paraId="32FD3E6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8437B0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0D944B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6776CFF">
            <w:pPr>
              <w:jc w:val="center"/>
              <w:rPr>
                <w:rFonts w:hint="eastAsia" w:ascii="微软雅黑" w:hAnsi="微软雅黑" w:eastAsia="微软雅黑" w:cs="微软雅黑"/>
                <w:i w:val="0"/>
                <w:iCs w:val="0"/>
                <w:color w:val="000000"/>
                <w:sz w:val="20"/>
                <w:szCs w:val="20"/>
                <w:u w:val="none"/>
              </w:rPr>
            </w:pPr>
          </w:p>
        </w:tc>
      </w:tr>
      <w:tr w14:paraId="3DDC3B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80FAF4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A053A6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B3B5F87">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15.飞控至少具有磁罗盘异常修正、单参数调节、多传感器融合、超快速二次开发功能；</w:t>
            </w:r>
          </w:p>
        </w:tc>
        <w:tc>
          <w:tcPr>
            <w:tcW w:w="349" w:type="pct"/>
            <w:vMerge w:val="continue"/>
            <w:tcBorders>
              <w:tl2br w:val="nil"/>
              <w:tr2bl w:val="nil"/>
            </w:tcBorders>
            <w:noWrap w:val="0"/>
            <w:vAlign w:val="center"/>
          </w:tcPr>
          <w:p w14:paraId="7A14BD0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CABDD8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1EB5BE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E36112B">
            <w:pPr>
              <w:jc w:val="center"/>
              <w:rPr>
                <w:rFonts w:hint="eastAsia" w:ascii="微软雅黑" w:hAnsi="微软雅黑" w:eastAsia="微软雅黑" w:cs="微软雅黑"/>
                <w:i w:val="0"/>
                <w:iCs w:val="0"/>
                <w:color w:val="000000"/>
                <w:sz w:val="20"/>
                <w:szCs w:val="20"/>
                <w:u w:val="none"/>
              </w:rPr>
            </w:pPr>
          </w:p>
        </w:tc>
      </w:tr>
      <w:tr w14:paraId="74FDD6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38794C6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1A12F9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B53A78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16.遥控器至少支持SUS、PWM信号输出，工作电压为7.4V-18V,使用DSSS&amp;FHSS混合双扩频技术，可实现避干扰和抗干扰结合，遥控器通道数量不低于8个；</w:t>
            </w:r>
          </w:p>
        </w:tc>
        <w:tc>
          <w:tcPr>
            <w:tcW w:w="349" w:type="pct"/>
            <w:vMerge w:val="continue"/>
            <w:tcBorders>
              <w:tl2br w:val="nil"/>
              <w:tr2bl w:val="nil"/>
            </w:tcBorders>
            <w:noWrap w:val="0"/>
            <w:vAlign w:val="center"/>
          </w:tcPr>
          <w:p w14:paraId="6A70A3D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F8E2B4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BDAA04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791613D">
            <w:pPr>
              <w:jc w:val="center"/>
              <w:rPr>
                <w:rFonts w:hint="eastAsia" w:ascii="微软雅黑" w:hAnsi="微软雅黑" w:eastAsia="微软雅黑" w:cs="微软雅黑"/>
                <w:i w:val="0"/>
                <w:iCs w:val="0"/>
                <w:color w:val="000000"/>
                <w:sz w:val="20"/>
                <w:szCs w:val="20"/>
                <w:u w:val="none"/>
              </w:rPr>
            </w:pPr>
          </w:p>
        </w:tc>
      </w:tr>
      <w:tr w14:paraId="32CBF8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5A2304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947B00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8152C3C">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17.供应商需提供所投产品相关的《软件著作权登记证书》</w:t>
            </w:r>
            <w:r>
              <w:rPr>
                <w:rFonts w:hint="eastAsia" w:ascii="微软雅黑" w:hAnsi="微软雅黑" w:eastAsia="微软雅黑" w:cs="微软雅黑"/>
                <w:i w:val="0"/>
                <w:iCs w:val="0"/>
                <w:color w:val="000000"/>
                <w:kern w:val="0"/>
                <w:sz w:val="20"/>
                <w:szCs w:val="20"/>
                <w:highlight w:val="yellow"/>
                <w:u w:val="none"/>
                <w:lang w:val="en-US" w:eastAsia="zh-CN" w:bidi="ar"/>
              </w:rPr>
              <w:t>或</w:t>
            </w:r>
            <w:r>
              <w:rPr>
                <w:rFonts w:hint="eastAsia" w:ascii="微软雅黑" w:hAnsi="微软雅黑" w:eastAsia="微软雅黑" w:cs="微软雅黑"/>
                <w:i w:val="0"/>
                <w:iCs w:val="0"/>
                <w:color w:val="000000"/>
                <w:kern w:val="0"/>
                <w:sz w:val="20"/>
                <w:szCs w:val="20"/>
                <w:u w:val="none"/>
                <w:lang w:val="en-US" w:eastAsia="zh-CN" w:bidi="ar"/>
              </w:rPr>
              <w:t>《实用新型专利证书》扫描件，原件备查。</w:t>
            </w:r>
          </w:p>
        </w:tc>
        <w:tc>
          <w:tcPr>
            <w:tcW w:w="349" w:type="pct"/>
            <w:vMerge w:val="continue"/>
            <w:tcBorders>
              <w:tl2br w:val="nil"/>
              <w:tr2bl w:val="nil"/>
            </w:tcBorders>
            <w:noWrap w:val="0"/>
            <w:vAlign w:val="center"/>
          </w:tcPr>
          <w:p w14:paraId="05E0BF5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797454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CE2457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5C6D401">
            <w:pPr>
              <w:jc w:val="center"/>
              <w:rPr>
                <w:rFonts w:hint="eastAsia" w:ascii="微软雅黑" w:hAnsi="微软雅黑" w:eastAsia="微软雅黑" w:cs="微软雅黑"/>
                <w:i w:val="0"/>
                <w:iCs w:val="0"/>
                <w:color w:val="000000"/>
                <w:sz w:val="20"/>
                <w:szCs w:val="20"/>
                <w:u w:val="none"/>
              </w:rPr>
            </w:pPr>
          </w:p>
        </w:tc>
      </w:tr>
      <w:tr w14:paraId="2C7C63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941F4F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B68D16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C64D481">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▲18.课程资源数量及内容要求（制造商提供以下教学资源截图，每个教学资源截图数量不少于3张、内容不能重复。）</w:t>
            </w:r>
          </w:p>
        </w:tc>
        <w:tc>
          <w:tcPr>
            <w:tcW w:w="349" w:type="pct"/>
            <w:vMerge w:val="continue"/>
            <w:tcBorders>
              <w:tl2br w:val="nil"/>
              <w:tr2bl w:val="nil"/>
            </w:tcBorders>
            <w:noWrap w:val="0"/>
            <w:vAlign w:val="center"/>
          </w:tcPr>
          <w:p w14:paraId="366AD57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698F74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84BF33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30AFD9E">
            <w:pPr>
              <w:jc w:val="center"/>
              <w:rPr>
                <w:rFonts w:hint="eastAsia" w:ascii="微软雅黑" w:hAnsi="微软雅黑" w:eastAsia="微软雅黑" w:cs="微软雅黑"/>
                <w:i w:val="0"/>
                <w:iCs w:val="0"/>
                <w:color w:val="000000"/>
                <w:sz w:val="20"/>
                <w:szCs w:val="20"/>
                <w:u w:val="none"/>
              </w:rPr>
            </w:pPr>
          </w:p>
        </w:tc>
      </w:tr>
      <w:tr w14:paraId="721E3A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3BE556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06CD9C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27A2C5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（1）PPT课件</w:t>
            </w:r>
          </w:p>
        </w:tc>
        <w:tc>
          <w:tcPr>
            <w:tcW w:w="349" w:type="pct"/>
            <w:vMerge w:val="continue"/>
            <w:tcBorders>
              <w:tl2br w:val="nil"/>
              <w:tr2bl w:val="nil"/>
            </w:tcBorders>
            <w:noWrap w:val="0"/>
            <w:vAlign w:val="center"/>
          </w:tcPr>
          <w:p w14:paraId="67F8C0A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741C22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2870A1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0E21D72">
            <w:pPr>
              <w:jc w:val="center"/>
              <w:rPr>
                <w:rFonts w:hint="eastAsia" w:ascii="微软雅黑" w:hAnsi="微软雅黑" w:eastAsia="微软雅黑" w:cs="微软雅黑"/>
                <w:i w:val="0"/>
                <w:iCs w:val="0"/>
                <w:color w:val="000000"/>
                <w:sz w:val="20"/>
                <w:szCs w:val="20"/>
                <w:u w:val="none"/>
              </w:rPr>
            </w:pPr>
          </w:p>
        </w:tc>
      </w:tr>
      <w:tr w14:paraId="556EDB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516016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336F18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C705652">
            <w:pPr>
              <w:keepNext w:val="0"/>
              <w:keepLines w:val="0"/>
              <w:widowControl/>
              <w:suppressLineNumbers w:val="0"/>
              <w:ind w:left="0" w:leftChars="0" w:firstLine="0" w:firstLineChars="0"/>
              <w:jc w:val="both"/>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①</w:t>
            </w:r>
            <w:r>
              <w:rPr>
                <w:rFonts w:hint="eastAsia" w:ascii="微软雅黑" w:hAnsi="微软雅黑" w:eastAsia="微软雅黑" w:cs="微软雅黑"/>
                <w:i w:val="0"/>
                <w:iCs w:val="0"/>
                <w:color w:val="000000"/>
                <w:kern w:val="0"/>
                <w:sz w:val="20"/>
                <w:szCs w:val="20"/>
                <w:highlight w:val="yellow"/>
                <w:u w:val="none"/>
                <w:lang w:val="en-US" w:eastAsia="zh-CN" w:bidi="ar"/>
              </w:rPr>
              <w:t>数量要求：≥7个，每个PPT课件不少于20页</w:t>
            </w:r>
            <w:r>
              <w:rPr>
                <w:rFonts w:hint="eastAsia" w:ascii="微软雅黑" w:hAnsi="微软雅黑" w:eastAsia="微软雅黑" w:cs="微软雅黑"/>
                <w:i w:val="0"/>
                <w:iCs w:val="0"/>
                <w:color w:val="000000"/>
                <w:kern w:val="0"/>
                <w:sz w:val="20"/>
                <w:szCs w:val="20"/>
                <w:u w:val="none"/>
                <w:lang w:val="en-US" w:eastAsia="zh-CN" w:bidi="ar"/>
              </w:rPr>
              <w:t>。</w:t>
            </w:r>
          </w:p>
        </w:tc>
        <w:tc>
          <w:tcPr>
            <w:tcW w:w="349" w:type="pct"/>
            <w:vMerge w:val="continue"/>
            <w:tcBorders>
              <w:tl2br w:val="nil"/>
              <w:tr2bl w:val="nil"/>
            </w:tcBorders>
            <w:noWrap w:val="0"/>
            <w:vAlign w:val="center"/>
          </w:tcPr>
          <w:p w14:paraId="7EA6F93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A3BC86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A52030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72F058A">
            <w:pPr>
              <w:jc w:val="center"/>
              <w:rPr>
                <w:rFonts w:hint="eastAsia" w:ascii="微软雅黑" w:hAnsi="微软雅黑" w:eastAsia="微软雅黑" w:cs="微软雅黑"/>
                <w:i w:val="0"/>
                <w:iCs w:val="0"/>
                <w:color w:val="000000"/>
                <w:sz w:val="20"/>
                <w:szCs w:val="20"/>
                <w:u w:val="none"/>
              </w:rPr>
            </w:pPr>
          </w:p>
        </w:tc>
      </w:tr>
      <w:tr w14:paraId="3707D2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48E1D4E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EC7377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51C11A4">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349" w:type="pct"/>
            <w:vMerge w:val="continue"/>
            <w:tcBorders>
              <w:tl2br w:val="nil"/>
              <w:tr2bl w:val="nil"/>
            </w:tcBorders>
            <w:noWrap w:val="0"/>
            <w:vAlign w:val="center"/>
          </w:tcPr>
          <w:p w14:paraId="1E42D34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F1B667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7CBA04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FF89704">
            <w:pPr>
              <w:jc w:val="center"/>
              <w:rPr>
                <w:rFonts w:hint="eastAsia" w:ascii="微软雅黑" w:hAnsi="微软雅黑" w:eastAsia="微软雅黑" w:cs="微软雅黑"/>
                <w:i w:val="0"/>
                <w:iCs w:val="0"/>
                <w:color w:val="000000"/>
                <w:sz w:val="20"/>
                <w:szCs w:val="20"/>
                <w:u w:val="none"/>
              </w:rPr>
            </w:pPr>
          </w:p>
        </w:tc>
      </w:tr>
      <w:tr w14:paraId="44A029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2441F2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CAA19B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D372F7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（2）视频微课</w:t>
            </w:r>
          </w:p>
        </w:tc>
        <w:tc>
          <w:tcPr>
            <w:tcW w:w="349" w:type="pct"/>
            <w:vMerge w:val="continue"/>
            <w:tcBorders>
              <w:tl2br w:val="nil"/>
              <w:tr2bl w:val="nil"/>
            </w:tcBorders>
            <w:noWrap w:val="0"/>
            <w:vAlign w:val="center"/>
          </w:tcPr>
          <w:p w14:paraId="58D6228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B80F46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2A2D95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ADB461C">
            <w:pPr>
              <w:jc w:val="center"/>
              <w:rPr>
                <w:rFonts w:hint="eastAsia" w:ascii="微软雅黑" w:hAnsi="微软雅黑" w:eastAsia="微软雅黑" w:cs="微软雅黑"/>
                <w:i w:val="0"/>
                <w:iCs w:val="0"/>
                <w:color w:val="000000"/>
                <w:sz w:val="20"/>
                <w:szCs w:val="20"/>
                <w:u w:val="none"/>
              </w:rPr>
            </w:pPr>
          </w:p>
        </w:tc>
      </w:tr>
      <w:tr w14:paraId="385C94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9A6E23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0FB8CE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8F54B5C">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w:t>
            </w:r>
            <w:r>
              <w:rPr>
                <w:rFonts w:hint="eastAsia" w:ascii="微软雅黑" w:hAnsi="微软雅黑" w:eastAsia="微软雅黑" w:cs="微软雅黑"/>
                <w:i w:val="0"/>
                <w:iCs w:val="0"/>
                <w:color w:val="000000"/>
                <w:kern w:val="0"/>
                <w:sz w:val="20"/>
                <w:szCs w:val="20"/>
                <w:highlight w:val="yellow"/>
                <w:u w:val="none"/>
                <w:lang w:val="en-US" w:eastAsia="zh-CN" w:bidi="ar"/>
              </w:rPr>
              <w:t>数量要求：≥7个，总时长≥70分钟，分辨率≥1080p。</w:t>
            </w:r>
          </w:p>
        </w:tc>
        <w:tc>
          <w:tcPr>
            <w:tcW w:w="349" w:type="pct"/>
            <w:vMerge w:val="continue"/>
            <w:tcBorders>
              <w:tl2br w:val="nil"/>
              <w:tr2bl w:val="nil"/>
            </w:tcBorders>
            <w:noWrap w:val="0"/>
            <w:vAlign w:val="center"/>
          </w:tcPr>
          <w:p w14:paraId="7FA2A21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0B0167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D9F8C8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E310ECD">
            <w:pPr>
              <w:jc w:val="center"/>
              <w:rPr>
                <w:rFonts w:hint="eastAsia" w:ascii="微软雅黑" w:hAnsi="微软雅黑" w:eastAsia="微软雅黑" w:cs="微软雅黑"/>
                <w:i w:val="0"/>
                <w:iCs w:val="0"/>
                <w:color w:val="000000"/>
                <w:sz w:val="20"/>
                <w:szCs w:val="20"/>
                <w:u w:val="none"/>
              </w:rPr>
            </w:pPr>
          </w:p>
        </w:tc>
      </w:tr>
      <w:tr w14:paraId="287BAA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1FDEABF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A2B790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163D0F4">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②内容要求：至少包含多旋翼无人机组装与调试概述、装调实训无人机系统（多旋翼）机体组装、飞控的安装与调试、飞控线路连接和遥控器设置、电机转向验证及换向、无人机飞行测试、无人机模拟操控飞行。</w:t>
            </w:r>
          </w:p>
        </w:tc>
        <w:tc>
          <w:tcPr>
            <w:tcW w:w="349" w:type="pct"/>
            <w:vMerge w:val="continue"/>
            <w:tcBorders>
              <w:tl2br w:val="nil"/>
              <w:tr2bl w:val="nil"/>
            </w:tcBorders>
            <w:noWrap w:val="0"/>
            <w:vAlign w:val="center"/>
          </w:tcPr>
          <w:p w14:paraId="3F931C4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D4434B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44B91B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6DAEF97">
            <w:pPr>
              <w:jc w:val="center"/>
              <w:rPr>
                <w:rFonts w:hint="eastAsia" w:ascii="微软雅黑" w:hAnsi="微软雅黑" w:eastAsia="微软雅黑" w:cs="微软雅黑"/>
                <w:i w:val="0"/>
                <w:iCs w:val="0"/>
                <w:color w:val="000000"/>
                <w:sz w:val="20"/>
                <w:szCs w:val="20"/>
                <w:u w:val="none"/>
              </w:rPr>
            </w:pPr>
          </w:p>
        </w:tc>
      </w:tr>
      <w:tr w14:paraId="74C36E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BCF439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D210F1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85D307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（3）实训工卡</w:t>
            </w:r>
          </w:p>
        </w:tc>
        <w:tc>
          <w:tcPr>
            <w:tcW w:w="349" w:type="pct"/>
            <w:vMerge w:val="continue"/>
            <w:tcBorders>
              <w:tl2br w:val="nil"/>
              <w:tr2bl w:val="nil"/>
            </w:tcBorders>
            <w:noWrap w:val="0"/>
            <w:vAlign w:val="center"/>
          </w:tcPr>
          <w:p w14:paraId="120B6A9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497D67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A4CDCE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EB49038">
            <w:pPr>
              <w:jc w:val="center"/>
              <w:rPr>
                <w:rFonts w:hint="eastAsia" w:ascii="微软雅黑" w:hAnsi="微软雅黑" w:eastAsia="微软雅黑" w:cs="微软雅黑"/>
                <w:i w:val="0"/>
                <w:iCs w:val="0"/>
                <w:color w:val="000000"/>
                <w:sz w:val="20"/>
                <w:szCs w:val="20"/>
                <w:u w:val="none"/>
              </w:rPr>
            </w:pPr>
          </w:p>
        </w:tc>
      </w:tr>
      <w:tr w14:paraId="41F945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03763F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11F9CF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7F6428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349" w:type="pct"/>
            <w:vMerge w:val="continue"/>
            <w:tcBorders>
              <w:tl2br w:val="nil"/>
              <w:tr2bl w:val="nil"/>
            </w:tcBorders>
            <w:noWrap w:val="0"/>
            <w:vAlign w:val="center"/>
          </w:tcPr>
          <w:p w14:paraId="589DB28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F6C6A3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71B0DD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85BBE87">
            <w:pPr>
              <w:jc w:val="center"/>
              <w:rPr>
                <w:rFonts w:hint="eastAsia" w:ascii="微软雅黑" w:hAnsi="微软雅黑" w:eastAsia="微软雅黑" w:cs="微软雅黑"/>
                <w:i w:val="0"/>
                <w:iCs w:val="0"/>
                <w:color w:val="000000"/>
                <w:sz w:val="20"/>
                <w:szCs w:val="20"/>
                <w:u w:val="none"/>
              </w:rPr>
            </w:pPr>
          </w:p>
        </w:tc>
      </w:tr>
      <w:tr w14:paraId="3B145D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1EFFD2B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D612E0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A3D79E9">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349" w:type="pct"/>
            <w:vMerge w:val="continue"/>
            <w:tcBorders>
              <w:tl2br w:val="nil"/>
              <w:tr2bl w:val="nil"/>
            </w:tcBorders>
            <w:noWrap w:val="0"/>
            <w:vAlign w:val="center"/>
          </w:tcPr>
          <w:p w14:paraId="2EA42C9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E1F88E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D8C877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2B567B7">
            <w:pPr>
              <w:jc w:val="center"/>
              <w:rPr>
                <w:rFonts w:hint="eastAsia" w:ascii="微软雅黑" w:hAnsi="微软雅黑" w:eastAsia="微软雅黑" w:cs="微软雅黑"/>
                <w:i w:val="0"/>
                <w:iCs w:val="0"/>
                <w:color w:val="000000"/>
                <w:sz w:val="20"/>
                <w:szCs w:val="20"/>
                <w:u w:val="none"/>
              </w:rPr>
            </w:pPr>
          </w:p>
        </w:tc>
      </w:tr>
      <w:tr w14:paraId="42E64C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CA3F43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C94A19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7FBB45E">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（4）课程教案</w:t>
            </w:r>
          </w:p>
        </w:tc>
        <w:tc>
          <w:tcPr>
            <w:tcW w:w="349" w:type="pct"/>
            <w:vMerge w:val="continue"/>
            <w:tcBorders>
              <w:tl2br w:val="nil"/>
              <w:tr2bl w:val="nil"/>
            </w:tcBorders>
            <w:noWrap w:val="0"/>
            <w:vAlign w:val="center"/>
          </w:tcPr>
          <w:p w14:paraId="4816D9D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F3BAB9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99DD8B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E8B98FD">
            <w:pPr>
              <w:jc w:val="center"/>
              <w:rPr>
                <w:rFonts w:hint="eastAsia" w:ascii="微软雅黑" w:hAnsi="微软雅黑" w:eastAsia="微软雅黑" w:cs="微软雅黑"/>
                <w:i w:val="0"/>
                <w:iCs w:val="0"/>
                <w:color w:val="000000"/>
                <w:sz w:val="20"/>
                <w:szCs w:val="20"/>
                <w:u w:val="none"/>
              </w:rPr>
            </w:pPr>
          </w:p>
        </w:tc>
      </w:tr>
      <w:tr w14:paraId="116415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6292BA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CF8B29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FD9F73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349" w:type="pct"/>
            <w:vMerge w:val="continue"/>
            <w:tcBorders>
              <w:tl2br w:val="nil"/>
              <w:tr2bl w:val="nil"/>
            </w:tcBorders>
            <w:noWrap w:val="0"/>
            <w:vAlign w:val="center"/>
          </w:tcPr>
          <w:p w14:paraId="72D6CA6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114360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32EB86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7071FFF">
            <w:pPr>
              <w:jc w:val="center"/>
              <w:rPr>
                <w:rFonts w:hint="eastAsia" w:ascii="微软雅黑" w:hAnsi="微软雅黑" w:eastAsia="微软雅黑" w:cs="微软雅黑"/>
                <w:i w:val="0"/>
                <w:iCs w:val="0"/>
                <w:color w:val="000000"/>
                <w:sz w:val="20"/>
                <w:szCs w:val="20"/>
                <w:u w:val="none"/>
              </w:rPr>
            </w:pPr>
          </w:p>
        </w:tc>
      </w:tr>
      <w:tr w14:paraId="189979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47556B8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B3CDE4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1E885B2">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349" w:type="pct"/>
            <w:vMerge w:val="continue"/>
            <w:tcBorders>
              <w:tl2br w:val="nil"/>
              <w:tr2bl w:val="nil"/>
            </w:tcBorders>
            <w:noWrap w:val="0"/>
            <w:vAlign w:val="center"/>
          </w:tcPr>
          <w:p w14:paraId="79ECAD8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3DA637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C60513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438D5B5">
            <w:pPr>
              <w:jc w:val="center"/>
              <w:rPr>
                <w:rFonts w:hint="eastAsia" w:ascii="微软雅黑" w:hAnsi="微软雅黑" w:eastAsia="微软雅黑" w:cs="微软雅黑"/>
                <w:i w:val="0"/>
                <w:iCs w:val="0"/>
                <w:color w:val="000000"/>
                <w:sz w:val="20"/>
                <w:szCs w:val="20"/>
                <w:u w:val="none"/>
              </w:rPr>
            </w:pPr>
          </w:p>
        </w:tc>
      </w:tr>
      <w:tr w14:paraId="7C10BC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2AFF47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534BE2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E7C748A">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（5）知识手册：</w:t>
            </w:r>
          </w:p>
        </w:tc>
        <w:tc>
          <w:tcPr>
            <w:tcW w:w="349" w:type="pct"/>
            <w:vMerge w:val="continue"/>
            <w:tcBorders>
              <w:tl2br w:val="nil"/>
              <w:tr2bl w:val="nil"/>
            </w:tcBorders>
            <w:noWrap w:val="0"/>
            <w:vAlign w:val="center"/>
          </w:tcPr>
          <w:p w14:paraId="31B4CEE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6B0143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DE08C4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29AF194">
            <w:pPr>
              <w:jc w:val="center"/>
              <w:rPr>
                <w:rFonts w:hint="eastAsia" w:ascii="微软雅黑" w:hAnsi="微软雅黑" w:eastAsia="微软雅黑" w:cs="微软雅黑"/>
                <w:i w:val="0"/>
                <w:iCs w:val="0"/>
                <w:color w:val="000000"/>
                <w:sz w:val="20"/>
                <w:szCs w:val="20"/>
                <w:u w:val="none"/>
              </w:rPr>
            </w:pPr>
          </w:p>
        </w:tc>
      </w:tr>
      <w:tr w14:paraId="183D39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2D1095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616D82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287B38F">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349" w:type="pct"/>
            <w:vMerge w:val="continue"/>
            <w:tcBorders>
              <w:tl2br w:val="nil"/>
              <w:tr2bl w:val="nil"/>
            </w:tcBorders>
            <w:noWrap w:val="0"/>
            <w:vAlign w:val="center"/>
          </w:tcPr>
          <w:p w14:paraId="2CBBE02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F9A2FC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2D66D4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69B556A">
            <w:pPr>
              <w:jc w:val="center"/>
              <w:rPr>
                <w:rFonts w:hint="eastAsia" w:ascii="微软雅黑" w:hAnsi="微软雅黑" w:eastAsia="微软雅黑" w:cs="微软雅黑"/>
                <w:i w:val="0"/>
                <w:iCs w:val="0"/>
                <w:color w:val="000000"/>
                <w:sz w:val="20"/>
                <w:szCs w:val="20"/>
                <w:u w:val="none"/>
              </w:rPr>
            </w:pPr>
          </w:p>
        </w:tc>
      </w:tr>
      <w:tr w14:paraId="742970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6C775C6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439A0D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7CFE5B8">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349" w:type="pct"/>
            <w:vMerge w:val="continue"/>
            <w:tcBorders>
              <w:tl2br w:val="nil"/>
              <w:tr2bl w:val="nil"/>
            </w:tcBorders>
            <w:noWrap w:val="0"/>
            <w:vAlign w:val="center"/>
          </w:tcPr>
          <w:p w14:paraId="2CD7BB3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FE6D1A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058044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549C7D4">
            <w:pPr>
              <w:jc w:val="center"/>
              <w:rPr>
                <w:rFonts w:hint="eastAsia" w:ascii="微软雅黑" w:hAnsi="微软雅黑" w:eastAsia="微软雅黑" w:cs="微软雅黑"/>
                <w:i w:val="0"/>
                <w:iCs w:val="0"/>
                <w:color w:val="000000"/>
                <w:sz w:val="20"/>
                <w:szCs w:val="20"/>
                <w:u w:val="none"/>
              </w:rPr>
            </w:pPr>
          </w:p>
        </w:tc>
      </w:tr>
      <w:tr w14:paraId="19E6EB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16" w:type="pct"/>
            <w:vMerge w:val="restart"/>
            <w:tcBorders>
              <w:tl2br w:val="nil"/>
              <w:tr2bl w:val="nil"/>
            </w:tcBorders>
            <w:noWrap w:val="0"/>
            <w:vAlign w:val="center"/>
          </w:tcPr>
          <w:p w14:paraId="0E297AE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422" w:type="pct"/>
            <w:vMerge w:val="restart"/>
            <w:tcBorders>
              <w:tl2br w:val="nil"/>
              <w:tr2bl w:val="nil"/>
            </w:tcBorders>
            <w:noWrap w:val="0"/>
            <w:vAlign w:val="center"/>
          </w:tcPr>
          <w:p w14:paraId="5C31D8A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装调实训无人机备件库（多旋翼）</w:t>
            </w:r>
          </w:p>
        </w:tc>
        <w:tc>
          <w:tcPr>
            <w:tcW w:w="2949" w:type="pct"/>
            <w:vMerge w:val="restart"/>
            <w:tcBorders>
              <w:tl2br w:val="nil"/>
              <w:tr2bl w:val="nil"/>
            </w:tcBorders>
            <w:noWrap w:val="0"/>
            <w:vAlign w:val="center"/>
          </w:tcPr>
          <w:p w14:paraId="5ECAB31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装调实训无人机备件库（多旋翼）是针对无人机准备的备件支持模块，以便快速更换损坏部件，从而保障设备的正常使用，至少包含桨叶、窄体无刷电调、无刷电机、装调无人机动力电池、装调无人机机臂、装调无人机脚架、装调无人机下中心板、装调无人机配套螺丝。</w:t>
            </w:r>
          </w:p>
        </w:tc>
        <w:tc>
          <w:tcPr>
            <w:tcW w:w="349" w:type="pct"/>
            <w:vMerge w:val="restart"/>
            <w:tcBorders>
              <w:tl2br w:val="nil"/>
              <w:tr2bl w:val="nil"/>
            </w:tcBorders>
            <w:noWrap w:val="0"/>
            <w:vAlign w:val="center"/>
          </w:tcPr>
          <w:p w14:paraId="171BD43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344" w:type="pct"/>
            <w:tcBorders>
              <w:tl2br w:val="nil"/>
              <w:tr2bl w:val="nil"/>
            </w:tcBorders>
            <w:noWrap w:val="0"/>
            <w:vAlign w:val="center"/>
          </w:tcPr>
          <w:p w14:paraId="72B7B3C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3E6C108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441EB1D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DB70D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16" w:type="pct"/>
            <w:vMerge w:val="continue"/>
            <w:tcBorders>
              <w:tl2br w:val="nil"/>
              <w:tr2bl w:val="nil"/>
            </w:tcBorders>
            <w:noWrap w:val="0"/>
            <w:vAlign w:val="center"/>
          </w:tcPr>
          <w:p w14:paraId="22F08C9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3C60DE0">
            <w:pPr>
              <w:jc w:val="left"/>
              <w:rPr>
                <w:rFonts w:hint="eastAsia" w:ascii="微软雅黑" w:hAnsi="微软雅黑" w:eastAsia="微软雅黑" w:cs="微软雅黑"/>
                <w:i w:val="0"/>
                <w:iCs w:val="0"/>
                <w:color w:val="000000"/>
                <w:sz w:val="20"/>
                <w:szCs w:val="20"/>
                <w:u w:val="none"/>
              </w:rPr>
            </w:pPr>
          </w:p>
        </w:tc>
        <w:tc>
          <w:tcPr>
            <w:tcW w:w="2949" w:type="pct"/>
            <w:vMerge w:val="continue"/>
            <w:tcBorders>
              <w:tl2br w:val="nil"/>
              <w:tr2bl w:val="nil"/>
            </w:tcBorders>
            <w:noWrap w:val="0"/>
            <w:vAlign w:val="center"/>
          </w:tcPr>
          <w:p w14:paraId="77A53B71">
            <w:pPr>
              <w:jc w:val="left"/>
              <w:rPr>
                <w:rFonts w:hint="eastAsia" w:ascii="微软雅黑" w:hAnsi="微软雅黑" w:eastAsia="微软雅黑" w:cs="微软雅黑"/>
                <w:i w:val="0"/>
                <w:iCs w:val="0"/>
                <w:color w:val="000000"/>
                <w:sz w:val="20"/>
                <w:szCs w:val="20"/>
                <w:u w:val="none"/>
              </w:rPr>
            </w:pPr>
          </w:p>
        </w:tc>
        <w:tc>
          <w:tcPr>
            <w:tcW w:w="349" w:type="pct"/>
            <w:vMerge w:val="continue"/>
            <w:tcBorders>
              <w:tl2br w:val="nil"/>
              <w:tr2bl w:val="nil"/>
            </w:tcBorders>
            <w:noWrap w:val="0"/>
            <w:vAlign w:val="center"/>
          </w:tcPr>
          <w:p w14:paraId="497F21A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78798E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0638DF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033CA9B">
            <w:pPr>
              <w:jc w:val="center"/>
              <w:rPr>
                <w:rFonts w:hint="eastAsia" w:ascii="微软雅黑" w:hAnsi="微软雅黑" w:eastAsia="微软雅黑" w:cs="微软雅黑"/>
                <w:i w:val="0"/>
                <w:iCs w:val="0"/>
                <w:color w:val="000000"/>
                <w:sz w:val="20"/>
                <w:szCs w:val="20"/>
                <w:u w:val="none"/>
              </w:rPr>
            </w:pPr>
          </w:p>
        </w:tc>
      </w:tr>
      <w:tr w14:paraId="3BD298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16" w:type="pct"/>
            <w:vMerge w:val="restart"/>
            <w:tcBorders>
              <w:tl2br w:val="nil"/>
              <w:tr2bl w:val="nil"/>
            </w:tcBorders>
            <w:noWrap w:val="0"/>
            <w:vAlign w:val="center"/>
          </w:tcPr>
          <w:p w14:paraId="1501E36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422" w:type="pct"/>
            <w:vMerge w:val="restart"/>
            <w:tcBorders>
              <w:tl2br w:val="nil"/>
              <w:tr2bl w:val="nil"/>
            </w:tcBorders>
            <w:noWrap w:val="0"/>
            <w:vAlign w:val="center"/>
          </w:tcPr>
          <w:p w14:paraId="013FC1F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无人机装调实训工具箱</w:t>
            </w:r>
          </w:p>
        </w:tc>
        <w:tc>
          <w:tcPr>
            <w:tcW w:w="2949" w:type="pct"/>
            <w:vMerge w:val="restart"/>
            <w:tcBorders>
              <w:tl2br w:val="nil"/>
              <w:tr2bl w:val="nil"/>
            </w:tcBorders>
            <w:noWrap w:val="0"/>
            <w:vAlign w:val="center"/>
          </w:tcPr>
          <w:p w14:paraId="2A17291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装调实训工具箱是针对无人机准备的工具支持模块，为无人机拆装、维修实训任务提供支持，整体采用箱式设计，箱体采用航空箱材质，内衬采用EVA海绵材质；至少包含M1.5内六角螺丝刀、M2.0内六角螺丝刀、M2.5内六角螺丝刀、M3.0内六角螺丝刀、一字螺丝刀、十字螺丝刀、斜口钳、剥线钳、壁纸刀、烙铁架、焊锡丝、松香、电烙铁、动力电池测电器、</w:t>
            </w:r>
            <w:r>
              <w:rPr>
                <w:rFonts w:hint="eastAsia" w:ascii="微软雅黑" w:hAnsi="微软雅黑" w:eastAsia="微软雅黑" w:cs="微软雅黑"/>
                <w:i w:val="0"/>
                <w:iCs w:val="0"/>
                <w:color w:val="000000"/>
                <w:kern w:val="0"/>
                <w:sz w:val="20"/>
                <w:szCs w:val="20"/>
                <w:highlight w:val="yellow"/>
                <w:u w:val="none"/>
                <w:lang w:val="en-US" w:eastAsia="zh-CN" w:bidi="ar"/>
              </w:rPr>
              <w:t>指针式</w:t>
            </w:r>
            <w:r>
              <w:rPr>
                <w:rFonts w:hint="eastAsia" w:ascii="微软雅黑" w:hAnsi="微软雅黑" w:eastAsia="微软雅黑" w:cs="微软雅黑"/>
                <w:i w:val="0"/>
                <w:iCs w:val="0"/>
                <w:color w:val="000000"/>
                <w:kern w:val="0"/>
                <w:sz w:val="20"/>
                <w:szCs w:val="20"/>
                <w:u w:val="none"/>
                <w:lang w:val="en-US" w:eastAsia="zh-CN" w:bidi="ar"/>
              </w:rPr>
              <w:t>万用表套装、水平测量柱、锉刀、螺丝胶、香蕉头焊台、试电笔、USB调参线、热熔胶枪。</w:t>
            </w:r>
          </w:p>
        </w:tc>
        <w:tc>
          <w:tcPr>
            <w:tcW w:w="349" w:type="pct"/>
            <w:vMerge w:val="restart"/>
            <w:tcBorders>
              <w:tl2br w:val="nil"/>
              <w:tr2bl w:val="nil"/>
            </w:tcBorders>
            <w:noWrap w:val="0"/>
            <w:vAlign w:val="center"/>
          </w:tcPr>
          <w:p w14:paraId="5F35527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344" w:type="pct"/>
            <w:tcBorders>
              <w:tl2br w:val="nil"/>
              <w:tr2bl w:val="nil"/>
            </w:tcBorders>
            <w:noWrap w:val="0"/>
            <w:vAlign w:val="center"/>
          </w:tcPr>
          <w:p w14:paraId="4D57168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3158BAF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71EC518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0A5988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216" w:type="pct"/>
            <w:vMerge w:val="continue"/>
            <w:tcBorders>
              <w:tl2br w:val="nil"/>
              <w:tr2bl w:val="nil"/>
            </w:tcBorders>
            <w:noWrap w:val="0"/>
            <w:vAlign w:val="center"/>
          </w:tcPr>
          <w:p w14:paraId="1DFA234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5DA9520">
            <w:pPr>
              <w:jc w:val="left"/>
              <w:rPr>
                <w:rFonts w:hint="eastAsia" w:ascii="微软雅黑" w:hAnsi="微软雅黑" w:eastAsia="微软雅黑" w:cs="微软雅黑"/>
                <w:i w:val="0"/>
                <w:iCs w:val="0"/>
                <w:color w:val="000000"/>
                <w:sz w:val="20"/>
                <w:szCs w:val="20"/>
                <w:u w:val="none"/>
              </w:rPr>
            </w:pPr>
          </w:p>
        </w:tc>
        <w:tc>
          <w:tcPr>
            <w:tcW w:w="2949" w:type="pct"/>
            <w:vMerge w:val="continue"/>
            <w:tcBorders>
              <w:tl2br w:val="nil"/>
              <w:tr2bl w:val="nil"/>
            </w:tcBorders>
            <w:noWrap w:val="0"/>
            <w:vAlign w:val="center"/>
          </w:tcPr>
          <w:p w14:paraId="0D66AFD8">
            <w:pPr>
              <w:jc w:val="left"/>
              <w:rPr>
                <w:rFonts w:hint="eastAsia" w:ascii="微软雅黑" w:hAnsi="微软雅黑" w:eastAsia="微软雅黑" w:cs="微软雅黑"/>
                <w:i w:val="0"/>
                <w:iCs w:val="0"/>
                <w:color w:val="000000"/>
                <w:sz w:val="20"/>
                <w:szCs w:val="20"/>
                <w:u w:val="none"/>
              </w:rPr>
            </w:pPr>
          </w:p>
        </w:tc>
        <w:tc>
          <w:tcPr>
            <w:tcW w:w="349" w:type="pct"/>
            <w:vMerge w:val="continue"/>
            <w:tcBorders>
              <w:tl2br w:val="nil"/>
              <w:tr2bl w:val="nil"/>
            </w:tcBorders>
            <w:noWrap w:val="0"/>
            <w:vAlign w:val="center"/>
          </w:tcPr>
          <w:p w14:paraId="0482BBA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E9513B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214684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1FD11AC">
            <w:pPr>
              <w:jc w:val="center"/>
              <w:rPr>
                <w:rFonts w:hint="eastAsia" w:ascii="微软雅黑" w:hAnsi="微软雅黑" w:eastAsia="微软雅黑" w:cs="微软雅黑"/>
                <w:i w:val="0"/>
                <w:iCs w:val="0"/>
                <w:color w:val="000000"/>
                <w:sz w:val="20"/>
                <w:szCs w:val="20"/>
                <w:u w:val="none"/>
              </w:rPr>
            </w:pPr>
          </w:p>
        </w:tc>
      </w:tr>
      <w:tr w14:paraId="5700A7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216" w:type="pct"/>
            <w:vMerge w:val="restart"/>
            <w:tcBorders>
              <w:tl2br w:val="nil"/>
              <w:tr2bl w:val="nil"/>
            </w:tcBorders>
            <w:noWrap w:val="0"/>
            <w:vAlign w:val="center"/>
          </w:tcPr>
          <w:p w14:paraId="219EF7C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422" w:type="pct"/>
            <w:vMerge w:val="restart"/>
            <w:tcBorders>
              <w:tl2br w:val="nil"/>
              <w:tr2bl w:val="nil"/>
            </w:tcBorders>
            <w:noWrap w:val="0"/>
            <w:vAlign w:val="center"/>
          </w:tcPr>
          <w:p w14:paraId="3F34469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防静电工作台</w:t>
            </w:r>
          </w:p>
        </w:tc>
        <w:tc>
          <w:tcPr>
            <w:tcW w:w="2949" w:type="pct"/>
            <w:tcBorders>
              <w:tl2br w:val="nil"/>
              <w:tr2bl w:val="nil"/>
            </w:tcBorders>
            <w:noWrap w:val="0"/>
            <w:vAlign w:val="center"/>
          </w:tcPr>
          <w:p w14:paraId="43E6DD1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1.由防静电工作台、立面挂板、储物抽屉组成；</w:t>
            </w:r>
          </w:p>
        </w:tc>
        <w:tc>
          <w:tcPr>
            <w:tcW w:w="349" w:type="pct"/>
            <w:vMerge w:val="restart"/>
            <w:tcBorders>
              <w:tl2br w:val="nil"/>
              <w:tr2bl w:val="nil"/>
            </w:tcBorders>
            <w:noWrap w:val="0"/>
            <w:vAlign w:val="center"/>
          </w:tcPr>
          <w:p w14:paraId="5C90309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344" w:type="pct"/>
            <w:tcBorders>
              <w:tl2br w:val="nil"/>
              <w:tr2bl w:val="nil"/>
            </w:tcBorders>
            <w:noWrap w:val="0"/>
            <w:vAlign w:val="center"/>
          </w:tcPr>
          <w:p w14:paraId="4EBDD5C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270033B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533B7C1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164C4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216" w:type="pct"/>
            <w:vMerge w:val="continue"/>
            <w:tcBorders>
              <w:tl2br w:val="nil"/>
              <w:tr2bl w:val="nil"/>
            </w:tcBorders>
            <w:noWrap w:val="0"/>
            <w:vAlign w:val="center"/>
          </w:tcPr>
          <w:p w14:paraId="30F142E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36D948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2B226C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2.总高度：≥1500mm；</w:t>
            </w:r>
          </w:p>
        </w:tc>
        <w:tc>
          <w:tcPr>
            <w:tcW w:w="349" w:type="pct"/>
            <w:vMerge w:val="continue"/>
            <w:tcBorders>
              <w:tl2br w:val="nil"/>
              <w:tr2bl w:val="nil"/>
            </w:tcBorders>
            <w:noWrap w:val="0"/>
            <w:vAlign w:val="center"/>
          </w:tcPr>
          <w:p w14:paraId="5996E93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AF344B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AAEB45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9D3F90A">
            <w:pPr>
              <w:jc w:val="center"/>
              <w:rPr>
                <w:rFonts w:hint="eastAsia" w:ascii="微软雅黑" w:hAnsi="微软雅黑" w:eastAsia="微软雅黑" w:cs="微软雅黑"/>
                <w:i w:val="0"/>
                <w:iCs w:val="0"/>
                <w:color w:val="000000"/>
                <w:sz w:val="20"/>
                <w:szCs w:val="20"/>
                <w:u w:val="none"/>
              </w:rPr>
            </w:pPr>
          </w:p>
        </w:tc>
      </w:tr>
      <w:tr w14:paraId="57CA7C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AC5034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94984C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F2475F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3.桌面高度：≥750mm；</w:t>
            </w:r>
          </w:p>
        </w:tc>
        <w:tc>
          <w:tcPr>
            <w:tcW w:w="349" w:type="pct"/>
            <w:vMerge w:val="continue"/>
            <w:tcBorders>
              <w:tl2br w:val="nil"/>
              <w:tr2bl w:val="nil"/>
            </w:tcBorders>
            <w:noWrap w:val="0"/>
            <w:vAlign w:val="center"/>
          </w:tcPr>
          <w:p w14:paraId="151F922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85676A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F248D0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36E16B2">
            <w:pPr>
              <w:jc w:val="center"/>
              <w:rPr>
                <w:rFonts w:hint="eastAsia" w:ascii="微软雅黑" w:hAnsi="微软雅黑" w:eastAsia="微软雅黑" w:cs="微软雅黑"/>
                <w:i w:val="0"/>
                <w:iCs w:val="0"/>
                <w:color w:val="000000"/>
                <w:sz w:val="20"/>
                <w:szCs w:val="20"/>
                <w:u w:val="none"/>
              </w:rPr>
            </w:pPr>
          </w:p>
        </w:tc>
      </w:tr>
      <w:tr w14:paraId="44CF24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7D727E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0225EF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76388B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4.挂板+灯高度：≥800mm</w:t>
            </w:r>
          </w:p>
        </w:tc>
        <w:tc>
          <w:tcPr>
            <w:tcW w:w="349" w:type="pct"/>
            <w:vMerge w:val="continue"/>
            <w:tcBorders>
              <w:tl2br w:val="nil"/>
              <w:tr2bl w:val="nil"/>
            </w:tcBorders>
            <w:noWrap w:val="0"/>
            <w:vAlign w:val="center"/>
          </w:tcPr>
          <w:p w14:paraId="267F3EB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A11572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F63141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DEF13D7">
            <w:pPr>
              <w:jc w:val="center"/>
              <w:rPr>
                <w:rFonts w:hint="eastAsia" w:ascii="微软雅黑" w:hAnsi="微软雅黑" w:eastAsia="微软雅黑" w:cs="微软雅黑"/>
                <w:i w:val="0"/>
                <w:iCs w:val="0"/>
                <w:color w:val="000000"/>
                <w:sz w:val="20"/>
                <w:szCs w:val="20"/>
                <w:u w:val="none"/>
              </w:rPr>
            </w:pPr>
          </w:p>
        </w:tc>
      </w:tr>
      <w:tr w14:paraId="38A2AF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278E11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9F265B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9A8A79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5.桌面长度：≥1500mm；</w:t>
            </w:r>
          </w:p>
        </w:tc>
        <w:tc>
          <w:tcPr>
            <w:tcW w:w="349" w:type="pct"/>
            <w:vMerge w:val="continue"/>
            <w:tcBorders>
              <w:tl2br w:val="nil"/>
              <w:tr2bl w:val="nil"/>
            </w:tcBorders>
            <w:noWrap w:val="0"/>
            <w:vAlign w:val="center"/>
          </w:tcPr>
          <w:p w14:paraId="2D26027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3C5929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973E86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D83DA83">
            <w:pPr>
              <w:jc w:val="center"/>
              <w:rPr>
                <w:rFonts w:hint="eastAsia" w:ascii="微软雅黑" w:hAnsi="微软雅黑" w:eastAsia="微软雅黑" w:cs="微软雅黑"/>
                <w:i w:val="0"/>
                <w:iCs w:val="0"/>
                <w:color w:val="000000"/>
                <w:sz w:val="20"/>
                <w:szCs w:val="20"/>
                <w:u w:val="none"/>
              </w:rPr>
            </w:pPr>
          </w:p>
        </w:tc>
      </w:tr>
      <w:tr w14:paraId="288A80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63DDC8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48CE30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682A40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6.桌面宽度：≥700mm；</w:t>
            </w:r>
          </w:p>
        </w:tc>
        <w:tc>
          <w:tcPr>
            <w:tcW w:w="349" w:type="pct"/>
            <w:vMerge w:val="continue"/>
            <w:tcBorders>
              <w:tl2br w:val="nil"/>
              <w:tr2bl w:val="nil"/>
            </w:tcBorders>
            <w:noWrap w:val="0"/>
            <w:vAlign w:val="center"/>
          </w:tcPr>
          <w:p w14:paraId="72A920F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19AA5E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907AD2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EC3D7D7">
            <w:pPr>
              <w:jc w:val="center"/>
              <w:rPr>
                <w:rFonts w:hint="eastAsia" w:ascii="微软雅黑" w:hAnsi="微软雅黑" w:eastAsia="微软雅黑" w:cs="微软雅黑"/>
                <w:i w:val="0"/>
                <w:iCs w:val="0"/>
                <w:color w:val="000000"/>
                <w:sz w:val="20"/>
                <w:szCs w:val="20"/>
                <w:u w:val="none"/>
              </w:rPr>
            </w:pPr>
          </w:p>
        </w:tc>
      </w:tr>
      <w:tr w14:paraId="72C0C0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BB9822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975E7E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5C8EFD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7.承重：≥800KG；</w:t>
            </w:r>
          </w:p>
        </w:tc>
        <w:tc>
          <w:tcPr>
            <w:tcW w:w="349" w:type="pct"/>
            <w:vMerge w:val="continue"/>
            <w:tcBorders>
              <w:tl2br w:val="nil"/>
              <w:tr2bl w:val="nil"/>
            </w:tcBorders>
            <w:noWrap w:val="0"/>
            <w:vAlign w:val="center"/>
          </w:tcPr>
          <w:p w14:paraId="6CFFB06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FC1B3D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882A64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423535E">
            <w:pPr>
              <w:jc w:val="center"/>
              <w:rPr>
                <w:rFonts w:hint="eastAsia" w:ascii="微软雅黑" w:hAnsi="微软雅黑" w:eastAsia="微软雅黑" w:cs="微软雅黑"/>
                <w:i w:val="0"/>
                <w:iCs w:val="0"/>
                <w:color w:val="000000"/>
                <w:sz w:val="20"/>
                <w:szCs w:val="20"/>
                <w:u w:val="none"/>
              </w:rPr>
            </w:pPr>
          </w:p>
        </w:tc>
      </w:tr>
      <w:tr w14:paraId="4F36E9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2F7C71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D39A7C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C1932E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8.桌面：台面覆盖层采用不少于2mm厚度防静电胶皮；</w:t>
            </w:r>
          </w:p>
        </w:tc>
        <w:tc>
          <w:tcPr>
            <w:tcW w:w="349" w:type="pct"/>
            <w:vMerge w:val="continue"/>
            <w:tcBorders>
              <w:tl2br w:val="nil"/>
              <w:tr2bl w:val="nil"/>
            </w:tcBorders>
            <w:noWrap w:val="0"/>
            <w:vAlign w:val="center"/>
          </w:tcPr>
          <w:p w14:paraId="5195BDA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43A3A7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D6830A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CB50E88">
            <w:pPr>
              <w:jc w:val="center"/>
              <w:rPr>
                <w:rFonts w:hint="eastAsia" w:ascii="微软雅黑" w:hAnsi="微软雅黑" w:eastAsia="微软雅黑" w:cs="微软雅黑"/>
                <w:i w:val="0"/>
                <w:iCs w:val="0"/>
                <w:color w:val="000000"/>
                <w:sz w:val="20"/>
                <w:szCs w:val="20"/>
                <w:u w:val="none"/>
              </w:rPr>
            </w:pPr>
          </w:p>
        </w:tc>
      </w:tr>
      <w:tr w14:paraId="23378D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0BA7DE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FD0727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F2C914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9.面板：总厚度不少于50mm的高压成型纤维耐磨板；</w:t>
            </w:r>
          </w:p>
        </w:tc>
        <w:tc>
          <w:tcPr>
            <w:tcW w:w="349" w:type="pct"/>
            <w:vMerge w:val="continue"/>
            <w:tcBorders>
              <w:tl2br w:val="nil"/>
              <w:tr2bl w:val="nil"/>
            </w:tcBorders>
            <w:noWrap w:val="0"/>
            <w:vAlign w:val="center"/>
          </w:tcPr>
          <w:p w14:paraId="026E54F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439CD9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4AA18C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8B65B5D">
            <w:pPr>
              <w:jc w:val="center"/>
              <w:rPr>
                <w:rFonts w:hint="eastAsia" w:ascii="微软雅黑" w:hAnsi="微软雅黑" w:eastAsia="微软雅黑" w:cs="微软雅黑"/>
                <w:i w:val="0"/>
                <w:iCs w:val="0"/>
                <w:color w:val="000000"/>
                <w:sz w:val="20"/>
                <w:szCs w:val="20"/>
                <w:u w:val="none"/>
              </w:rPr>
            </w:pPr>
          </w:p>
        </w:tc>
      </w:tr>
      <w:tr w14:paraId="727CE5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5A2753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005679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5C27A4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10.挂板：壁厚不少于1.0mm工业冷轧钢，带插座电源、灯及开关；</w:t>
            </w:r>
          </w:p>
        </w:tc>
        <w:tc>
          <w:tcPr>
            <w:tcW w:w="349" w:type="pct"/>
            <w:vMerge w:val="continue"/>
            <w:tcBorders>
              <w:tl2br w:val="nil"/>
              <w:tr2bl w:val="nil"/>
            </w:tcBorders>
            <w:noWrap w:val="0"/>
            <w:vAlign w:val="center"/>
          </w:tcPr>
          <w:p w14:paraId="5C7A328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965B15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95D5D9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D4B14BF">
            <w:pPr>
              <w:jc w:val="center"/>
              <w:rPr>
                <w:rFonts w:hint="eastAsia" w:ascii="微软雅黑" w:hAnsi="微软雅黑" w:eastAsia="微软雅黑" w:cs="微软雅黑"/>
                <w:i w:val="0"/>
                <w:iCs w:val="0"/>
                <w:color w:val="000000"/>
                <w:sz w:val="20"/>
                <w:szCs w:val="20"/>
                <w:u w:val="none"/>
              </w:rPr>
            </w:pPr>
          </w:p>
        </w:tc>
      </w:tr>
      <w:tr w14:paraId="6A1569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3218AE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504561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BC218D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11.桌架：防锈漆，采用氩弧焊，酸洗磷化、静电喷涂、手工打磨。</w:t>
            </w:r>
          </w:p>
        </w:tc>
        <w:tc>
          <w:tcPr>
            <w:tcW w:w="349" w:type="pct"/>
            <w:vMerge w:val="continue"/>
            <w:tcBorders>
              <w:tl2br w:val="nil"/>
              <w:tr2bl w:val="nil"/>
            </w:tcBorders>
            <w:noWrap w:val="0"/>
            <w:vAlign w:val="center"/>
          </w:tcPr>
          <w:p w14:paraId="390C17E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D2F70B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7BC5B0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CD2CBD6">
            <w:pPr>
              <w:jc w:val="center"/>
              <w:rPr>
                <w:rFonts w:hint="eastAsia" w:ascii="微软雅黑" w:hAnsi="微软雅黑" w:eastAsia="微软雅黑" w:cs="微软雅黑"/>
                <w:i w:val="0"/>
                <w:iCs w:val="0"/>
                <w:color w:val="000000"/>
                <w:sz w:val="20"/>
                <w:szCs w:val="20"/>
                <w:u w:val="none"/>
              </w:rPr>
            </w:pPr>
          </w:p>
        </w:tc>
      </w:tr>
      <w:tr w14:paraId="2E6D0C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1E0225C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422" w:type="pct"/>
            <w:vMerge w:val="restart"/>
            <w:tcBorders>
              <w:tl2br w:val="nil"/>
              <w:tr2bl w:val="nil"/>
            </w:tcBorders>
            <w:noWrap w:val="0"/>
            <w:vAlign w:val="center"/>
          </w:tcPr>
          <w:p w14:paraId="4DA69DC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货架</w:t>
            </w:r>
          </w:p>
        </w:tc>
        <w:tc>
          <w:tcPr>
            <w:tcW w:w="2949" w:type="pct"/>
            <w:tcBorders>
              <w:tl2br w:val="nil"/>
              <w:tr2bl w:val="nil"/>
            </w:tcBorders>
            <w:noWrap w:val="0"/>
            <w:vAlign w:val="center"/>
          </w:tcPr>
          <w:p w14:paraId="136B788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1.尺寸：≥1500mm×600mm×2000mm；</w:t>
            </w:r>
          </w:p>
        </w:tc>
        <w:tc>
          <w:tcPr>
            <w:tcW w:w="349" w:type="pct"/>
            <w:vMerge w:val="restart"/>
            <w:tcBorders>
              <w:tl2br w:val="nil"/>
              <w:tr2bl w:val="nil"/>
            </w:tcBorders>
            <w:noWrap w:val="0"/>
            <w:vAlign w:val="center"/>
          </w:tcPr>
          <w:p w14:paraId="4DA5A32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44" w:type="pct"/>
            <w:tcBorders>
              <w:tl2br w:val="nil"/>
              <w:tr2bl w:val="nil"/>
            </w:tcBorders>
            <w:noWrap w:val="0"/>
            <w:vAlign w:val="center"/>
          </w:tcPr>
          <w:p w14:paraId="1D77872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56AA5BA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3BBA4CA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57D38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0D6532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9E7A31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8EC227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2.单层载重：≥100kg；</w:t>
            </w:r>
          </w:p>
        </w:tc>
        <w:tc>
          <w:tcPr>
            <w:tcW w:w="349" w:type="pct"/>
            <w:vMerge w:val="continue"/>
            <w:tcBorders>
              <w:tl2br w:val="nil"/>
              <w:tr2bl w:val="nil"/>
            </w:tcBorders>
            <w:noWrap w:val="0"/>
            <w:vAlign w:val="center"/>
          </w:tcPr>
          <w:p w14:paraId="68595DB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D76574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D2DD47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8C20223">
            <w:pPr>
              <w:jc w:val="center"/>
              <w:rPr>
                <w:rFonts w:hint="eastAsia" w:ascii="微软雅黑" w:hAnsi="微软雅黑" w:eastAsia="微软雅黑" w:cs="微软雅黑"/>
                <w:i w:val="0"/>
                <w:iCs w:val="0"/>
                <w:color w:val="000000"/>
                <w:sz w:val="20"/>
                <w:szCs w:val="20"/>
                <w:u w:val="none"/>
              </w:rPr>
            </w:pPr>
          </w:p>
        </w:tc>
      </w:tr>
      <w:tr w14:paraId="52FBD4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EDECCF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0F6E50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5A6877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3.层数：不少于4层；</w:t>
            </w:r>
          </w:p>
        </w:tc>
        <w:tc>
          <w:tcPr>
            <w:tcW w:w="349" w:type="pct"/>
            <w:vMerge w:val="continue"/>
            <w:tcBorders>
              <w:tl2br w:val="nil"/>
              <w:tr2bl w:val="nil"/>
            </w:tcBorders>
            <w:noWrap w:val="0"/>
            <w:vAlign w:val="center"/>
          </w:tcPr>
          <w:p w14:paraId="686A833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5A7D2A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4FBB68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EAE06DF">
            <w:pPr>
              <w:jc w:val="center"/>
              <w:rPr>
                <w:rFonts w:hint="eastAsia" w:ascii="微软雅黑" w:hAnsi="微软雅黑" w:eastAsia="微软雅黑" w:cs="微软雅黑"/>
                <w:i w:val="0"/>
                <w:iCs w:val="0"/>
                <w:color w:val="000000"/>
                <w:sz w:val="20"/>
                <w:szCs w:val="20"/>
                <w:u w:val="none"/>
              </w:rPr>
            </w:pPr>
          </w:p>
        </w:tc>
      </w:tr>
      <w:tr w14:paraId="486AF0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024FD3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A80BEC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B7EEEF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4.外观工艺：酸洗磷化、静电喷涂；</w:t>
            </w:r>
          </w:p>
        </w:tc>
        <w:tc>
          <w:tcPr>
            <w:tcW w:w="349" w:type="pct"/>
            <w:vMerge w:val="continue"/>
            <w:tcBorders>
              <w:tl2br w:val="nil"/>
              <w:tr2bl w:val="nil"/>
            </w:tcBorders>
            <w:noWrap w:val="0"/>
            <w:vAlign w:val="center"/>
          </w:tcPr>
          <w:p w14:paraId="30C7314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6E2879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9CFB94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4409FB9">
            <w:pPr>
              <w:jc w:val="center"/>
              <w:rPr>
                <w:rFonts w:hint="eastAsia" w:ascii="微软雅黑" w:hAnsi="微软雅黑" w:eastAsia="微软雅黑" w:cs="微软雅黑"/>
                <w:i w:val="0"/>
                <w:iCs w:val="0"/>
                <w:color w:val="000000"/>
                <w:sz w:val="20"/>
                <w:szCs w:val="20"/>
                <w:u w:val="none"/>
              </w:rPr>
            </w:pPr>
          </w:p>
        </w:tc>
      </w:tr>
      <w:tr w14:paraId="7A0D86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1CF704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3C2488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263276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5.层板厚度：不低于1mm。</w:t>
            </w:r>
          </w:p>
        </w:tc>
        <w:tc>
          <w:tcPr>
            <w:tcW w:w="349" w:type="pct"/>
            <w:vMerge w:val="continue"/>
            <w:tcBorders>
              <w:tl2br w:val="nil"/>
              <w:tr2bl w:val="nil"/>
            </w:tcBorders>
            <w:noWrap w:val="0"/>
            <w:vAlign w:val="center"/>
          </w:tcPr>
          <w:p w14:paraId="0AAEB1C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EC245C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88A80A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E5704D8">
            <w:pPr>
              <w:jc w:val="center"/>
              <w:rPr>
                <w:rFonts w:hint="eastAsia" w:ascii="微软雅黑" w:hAnsi="微软雅黑" w:eastAsia="微软雅黑" w:cs="微软雅黑"/>
                <w:i w:val="0"/>
                <w:iCs w:val="0"/>
                <w:color w:val="000000"/>
                <w:sz w:val="20"/>
                <w:szCs w:val="20"/>
                <w:u w:val="none"/>
              </w:rPr>
            </w:pPr>
          </w:p>
        </w:tc>
      </w:tr>
      <w:tr w14:paraId="497AA1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16" w:type="pct"/>
            <w:tcBorders>
              <w:tl2br w:val="nil"/>
              <w:tr2bl w:val="nil"/>
            </w:tcBorders>
            <w:noWrap w:val="0"/>
            <w:vAlign w:val="center"/>
          </w:tcPr>
          <w:p w14:paraId="465290A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422" w:type="pct"/>
            <w:tcBorders>
              <w:tl2br w:val="nil"/>
              <w:tr2bl w:val="nil"/>
            </w:tcBorders>
            <w:noWrap w:val="0"/>
            <w:vAlign w:val="center"/>
          </w:tcPr>
          <w:p w14:paraId="1D960E1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室内飞行笼</w:t>
            </w:r>
          </w:p>
        </w:tc>
        <w:tc>
          <w:tcPr>
            <w:tcW w:w="2949" w:type="pct"/>
            <w:tcBorders>
              <w:tl2br w:val="nil"/>
              <w:tr2bl w:val="nil"/>
            </w:tcBorders>
            <w:noWrap w:val="0"/>
            <w:vAlign w:val="center"/>
          </w:tcPr>
          <w:p w14:paraId="6340013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3m*3m定制</w:t>
            </w:r>
          </w:p>
        </w:tc>
        <w:tc>
          <w:tcPr>
            <w:tcW w:w="349" w:type="pct"/>
            <w:tcBorders>
              <w:tl2br w:val="nil"/>
              <w:tr2bl w:val="nil"/>
            </w:tcBorders>
            <w:noWrap w:val="0"/>
            <w:vAlign w:val="center"/>
          </w:tcPr>
          <w:p w14:paraId="0BA4C30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44" w:type="pct"/>
            <w:tcBorders>
              <w:tl2br w:val="nil"/>
              <w:tr2bl w:val="nil"/>
            </w:tcBorders>
            <w:noWrap w:val="0"/>
            <w:vAlign w:val="center"/>
          </w:tcPr>
          <w:p w14:paraId="0028445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648D826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56AD404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0096C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15E8D92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422" w:type="pct"/>
            <w:vMerge w:val="restart"/>
            <w:tcBorders>
              <w:tl2br w:val="nil"/>
              <w:tr2bl w:val="nil"/>
            </w:tcBorders>
            <w:noWrap w:val="0"/>
            <w:vAlign w:val="center"/>
          </w:tcPr>
          <w:p w14:paraId="0F6603B8">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小型无人机执照飞行实训平台（三类）</w:t>
            </w:r>
          </w:p>
        </w:tc>
        <w:tc>
          <w:tcPr>
            <w:tcW w:w="2949" w:type="pct"/>
            <w:tcBorders>
              <w:tl2br w:val="nil"/>
              <w:tr2bl w:val="nil"/>
            </w:tcBorders>
            <w:noWrap w:val="0"/>
            <w:vAlign w:val="center"/>
          </w:tcPr>
          <w:p w14:paraId="213D794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1.轴距：≥1050mm；</w:t>
            </w:r>
          </w:p>
        </w:tc>
        <w:tc>
          <w:tcPr>
            <w:tcW w:w="349" w:type="pct"/>
            <w:vMerge w:val="restart"/>
            <w:tcBorders>
              <w:tl2br w:val="nil"/>
              <w:tr2bl w:val="nil"/>
            </w:tcBorders>
            <w:noWrap w:val="0"/>
            <w:vAlign w:val="center"/>
          </w:tcPr>
          <w:p w14:paraId="0EE57F0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4" w:type="pct"/>
            <w:tcBorders>
              <w:tl2br w:val="nil"/>
              <w:tr2bl w:val="nil"/>
            </w:tcBorders>
            <w:noWrap w:val="0"/>
            <w:vAlign w:val="center"/>
          </w:tcPr>
          <w:p w14:paraId="03C8CC9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5ABE053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2BB4E3F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4CC712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683E6F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87EB71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259577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2.旋翼数量：≥6；</w:t>
            </w:r>
          </w:p>
        </w:tc>
        <w:tc>
          <w:tcPr>
            <w:tcW w:w="349" w:type="pct"/>
            <w:vMerge w:val="continue"/>
            <w:tcBorders>
              <w:tl2br w:val="nil"/>
              <w:tr2bl w:val="nil"/>
            </w:tcBorders>
            <w:noWrap w:val="0"/>
            <w:vAlign w:val="center"/>
          </w:tcPr>
          <w:p w14:paraId="0DA2E19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5DD9C4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64B4D4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BC86DF3">
            <w:pPr>
              <w:jc w:val="center"/>
              <w:rPr>
                <w:rFonts w:hint="eastAsia" w:ascii="微软雅黑" w:hAnsi="微软雅黑" w:eastAsia="微软雅黑" w:cs="微软雅黑"/>
                <w:i w:val="0"/>
                <w:iCs w:val="0"/>
                <w:color w:val="000000"/>
                <w:sz w:val="20"/>
                <w:szCs w:val="20"/>
                <w:u w:val="none"/>
              </w:rPr>
            </w:pPr>
          </w:p>
        </w:tc>
      </w:tr>
      <w:tr w14:paraId="2A4F17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AFF08A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EA01902">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9E833F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3.机身折叠尺寸：≥550*460*650mm（高*长*宽）；</w:t>
            </w:r>
          </w:p>
        </w:tc>
        <w:tc>
          <w:tcPr>
            <w:tcW w:w="349" w:type="pct"/>
            <w:vMerge w:val="continue"/>
            <w:tcBorders>
              <w:tl2br w:val="nil"/>
              <w:tr2bl w:val="nil"/>
            </w:tcBorders>
            <w:noWrap w:val="0"/>
            <w:vAlign w:val="center"/>
          </w:tcPr>
          <w:p w14:paraId="6881DF1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C9353A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09D49C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6ACC6E2">
            <w:pPr>
              <w:jc w:val="center"/>
              <w:rPr>
                <w:rFonts w:hint="eastAsia" w:ascii="微软雅黑" w:hAnsi="微软雅黑" w:eastAsia="微软雅黑" w:cs="微软雅黑"/>
                <w:i w:val="0"/>
                <w:iCs w:val="0"/>
                <w:color w:val="000000"/>
                <w:sz w:val="20"/>
                <w:szCs w:val="20"/>
                <w:u w:val="none"/>
              </w:rPr>
            </w:pPr>
          </w:p>
        </w:tc>
      </w:tr>
      <w:tr w14:paraId="5AADA1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6D216A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91C8AC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BE7DBB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4.空机重量：≤4.2KG（±0.5Kg）；</w:t>
            </w:r>
          </w:p>
        </w:tc>
        <w:tc>
          <w:tcPr>
            <w:tcW w:w="349" w:type="pct"/>
            <w:vMerge w:val="continue"/>
            <w:tcBorders>
              <w:tl2br w:val="nil"/>
              <w:tr2bl w:val="nil"/>
            </w:tcBorders>
            <w:noWrap w:val="0"/>
            <w:vAlign w:val="center"/>
          </w:tcPr>
          <w:p w14:paraId="472539F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67C379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AD5BEE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B81B90C">
            <w:pPr>
              <w:jc w:val="center"/>
              <w:rPr>
                <w:rFonts w:hint="eastAsia" w:ascii="微软雅黑" w:hAnsi="微软雅黑" w:eastAsia="微软雅黑" w:cs="微软雅黑"/>
                <w:i w:val="0"/>
                <w:iCs w:val="0"/>
                <w:color w:val="000000"/>
                <w:sz w:val="20"/>
                <w:szCs w:val="20"/>
                <w:u w:val="none"/>
              </w:rPr>
            </w:pPr>
          </w:p>
        </w:tc>
      </w:tr>
      <w:tr w14:paraId="163BA6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D3C9CE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53C8EBD">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B6C119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5.有效载荷：≥1.5KG；</w:t>
            </w:r>
          </w:p>
        </w:tc>
        <w:tc>
          <w:tcPr>
            <w:tcW w:w="349" w:type="pct"/>
            <w:vMerge w:val="continue"/>
            <w:tcBorders>
              <w:tl2br w:val="nil"/>
              <w:tr2bl w:val="nil"/>
            </w:tcBorders>
            <w:noWrap w:val="0"/>
            <w:vAlign w:val="center"/>
          </w:tcPr>
          <w:p w14:paraId="22CC5B6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951102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3AF447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5A5F7F0">
            <w:pPr>
              <w:jc w:val="center"/>
              <w:rPr>
                <w:rFonts w:hint="eastAsia" w:ascii="微软雅黑" w:hAnsi="微软雅黑" w:eastAsia="微软雅黑" w:cs="微软雅黑"/>
                <w:i w:val="0"/>
                <w:iCs w:val="0"/>
                <w:color w:val="000000"/>
                <w:sz w:val="20"/>
                <w:szCs w:val="20"/>
                <w:u w:val="none"/>
              </w:rPr>
            </w:pPr>
          </w:p>
        </w:tc>
      </w:tr>
      <w:tr w14:paraId="5B26CF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FCC022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BA5A926">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F152A5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6.悬停时间：≥25分钟；</w:t>
            </w:r>
          </w:p>
        </w:tc>
        <w:tc>
          <w:tcPr>
            <w:tcW w:w="349" w:type="pct"/>
            <w:vMerge w:val="continue"/>
            <w:tcBorders>
              <w:tl2br w:val="nil"/>
              <w:tr2bl w:val="nil"/>
            </w:tcBorders>
            <w:noWrap w:val="0"/>
            <w:vAlign w:val="center"/>
          </w:tcPr>
          <w:p w14:paraId="7AAABDF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EBE493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25C0A8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65E33A2">
            <w:pPr>
              <w:jc w:val="center"/>
              <w:rPr>
                <w:rFonts w:hint="eastAsia" w:ascii="微软雅黑" w:hAnsi="微软雅黑" w:eastAsia="微软雅黑" w:cs="微软雅黑"/>
                <w:i w:val="0"/>
                <w:iCs w:val="0"/>
                <w:color w:val="000000"/>
                <w:sz w:val="20"/>
                <w:szCs w:val="20"/>
                <w:u w:val="none"/>
              </w:rPr>
            </w:pPr>
          </w:p>
        </w:tc>
      </w:tr>
      <w:tr w14:paraId="62BE34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8980FA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BBB13C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061CD0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7.电机规格：≥400KV；电调型号：≥40A；桨叶≥17寸；</w:t>
            </w:r>
          </w:p>
        </w:tc>
        <w:tc>
          <w:tcPr>
            <w:tcW w:w="349" w:type="pct"/>
            <w:vMerge w:val="continue"/>
            <w:tcBorders>
              <w:tl2br w:val="nil"/>
              <w:tr2bl w:val="nil"/>
            </w:tcBorders>
            <w:noWrap w:val="0"/>
            <w:vAlign w:val="center"/>
          </w:tcPr>
          <w:p w14:paraId="12C8832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14B0A4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0A21ED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1B2A3B2">
            <w:pPr>
              <w:jc w:val="center"/>
              <w:rPr>
                <w:rFonts w:hint="eastAsia" w:ascii="微软雅黑" w:hAnsi="微软雅黑" w:eastAsia="微软雅黑" w:cs="微软雅黑"/>
                <w:i w:val="0"/>
                <w:iCs w:val="0"/>
                <w:color w:val="000000"/>
                <w:sz w:val="20"/>
                <w:szCs w:val="20"/>
                <w:u w:val="none"/>
              </w:rPr>
            </w:pPr>
          </w:p>
        </w:tc>
      </w:tr>
      <w:tr w14:paraId="6C9EF6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0E322E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C4018F5">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45375A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8.最大抗风能力：≥6级；最大偏航角速度：≥100度/秒；最大倾斜角度：≥30°；最大升降速度：上升5m/s±0.5m/s；下降4m/s±0.5m/s；</w:t>
            </w:r>
          </w:p>
        </w:tc>
        <w:tc>
          <w:tcPr>
            <w:tcW w:w="349" w:type="pct"/>
            <w:vMerge w:val="continue"/>
            <w:tcBorders>
              <w:tl2br w:val="nil"/>
              <w:tr2bl w:val="nil"/>
            </w:tcBorders>
            <w:noWrap w:val="0"/>
            <w:vAlign w:val="center"/>
          </w:tcPr>
          <w:p w14:paraId="0DD6077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7ED397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199CCE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5C8C772">
            <w:pPr>
              <w:jc w:val="center"/>
              <w:rPr>
                <w:rFonts w:hint="eastAsia" w:ascii="微软雅黑" w:hAnsi="微软雅黑" w:eastAsia="微软雅黑" w:cs="微软雅黑"/>
                <w:i w:val="0"/>
                <w:iCs w:val="0"/>
                <w:color w:val="000000"/>
                <w:sz w:val="20"/>
                <w:szCs w:val="20"/>
                <w:u w:val="none"/>
              </w:rPr>
            </w:pPr>
          </w:p>
        </w:tc>
      </w:tr>
      <w:tr w14:paraId="2808F3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79C322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771F0D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88A3B8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9.遥控系统通道数量≥16通道；</w:t>
            </w:r>
          </w:p>
        </w:tc>
        <w:tc>
          <w:tcPr>
            <w:tcW w:w="349" w:type="pct"/>
            <w:vMerge w:val="continue"/>
            <w:tcBorders>
              <w:tl2br w:val="nil"/>
              <w:tr2bl w:val="nil"/>
            </w:tcBorders>
            <w:noWrap w:val="0"/>
            <w:vAlign w:val="center"/>
          </w:tcPr>
          <w:p w14:paraId="6948265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5BF6EF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6249B9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8556742">
            <w:pPr>
              <w:jc w:val="center"/>
              <w:rPr>
                <w:rFonts w:hint="eastAsia" w:ascii="微软雅黑" w:hAnsi="微软雅黑" w:eastAsia="微软雅黑" w:cs="微软雅黑"/>
                <w:i w:val="0"/>
                <w:iCs w:val="0"/>
                <w:color w:val="000000"/>
                <w:sz w:val="20"/>
                <w:szCs w:val="20"/>
                <w:u w:val="none"/>
              </w:rPr>
            </w:pPr>
          </w:p>
        </w:tc>
      </w:tr>
      <w:tr w14:paraId="6EFCE3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381E7D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BE82619">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B68794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10.遥控器具备不少8个拨挡开关；旋钮开关不少于2个；至少具备教练接口；支持教练功能。</w:t>
            </w:r>
          </w:p>
        </w:tc>
        <w:tc>
          <w:tcPr>
            <w:tcW w:w="349" w:type="pct"/>
            <w:vMerge w:val="continue"/>
            <w:tcBorders>
              <w:tl2br w:val="nil"/>
              <w:tr2bl w:val="nil"/>
            </w:tcBorders>
            <w:noWrap w:val="0"/>
            <w:vAlign w:val="center"/>
          </w:tcPr>
          <w:p w14:paraId="1825D76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CFE595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510EA5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D824D8E">
            <w:pPr>
              <w:jc w:val="center"/>
              <w:rPr>
                <w:rFonts w:hint="eastAsia" w:ascii="微软雅黑" w:hAnsi="微软雅黑" w:eastAsia="微软雅黑" w:cs="微软雅黑"/>
                <w:i w:val="0"/>
                <w:iCs w:val="0"/>
                <w:color w:val="000000"/>
                <w:sz w:val="20"/>
                <w:szCs w:val="20"/>
                <w:u w:val="none"/>
              </w:rPr>
            </w:pPr>
          </w:p>
        </w:tc>
      </w:tr>
      <w:tr w14:paraId="5DFAAB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B59EF8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F258F2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6ED1E5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▲11.课程资源数量及内容要求（供应商提供以下教学资源截图，每个教学资源截图数量不少于3张）</w:t>
            </w:r>
          </w:p>
        </w:tc>
        <w:tc>
          <w:tcPr>
            <w:tcW w:w="349" w:type="pct"/>
            <w:vMerge w:val="continue"/>
            <w:tcBorders>
              <w:tl2br w:val="nil"/>
              <w:tr2bl w:val="nil"/>
            </w:tcBorders>
            <w:noWrap w:val="0"/>
            <w:vAlign w:val="center"/>
          </w:tcPr>
          <w:p w14:paraId="7F545F4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B22CEA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5291BE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40CAD0F">
            <w:pPr>
              <w:jc w:val="center"/>
              <w:rPr>
                <w:rFonts w:hint="eastAsia" w:ascii="微软雅黑" w:hAnsi="微软雅黑" w:eastAsia="微软雅黑" w:cs="微软雅黑"/>
                <w:i w:val="0"/>
                <w:iCs w:val="0"/>
                <w:color w:val="000000"/>
                <w:sz w:val="20"/>
                <w:szCs w:val="20"/>
                <w:u w:val="none"/>
              </w:rPr>
            </w:pPr>
          </w:p>
        </w:tc>
      </w:tr>
      <w:tr w14:paraId="017C2C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A0A28E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70526B4">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385361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（1）课件（PPT）资源</w:t>
            </w:r>
          </w:p>
        </w:tc>
        <w:tc>
          <w:tcPr>
            <w:tcW w:w="349" w:type="pct"/>
            <w:vMerge w:val="continue"/>
            <w:tcBorders>
              <w:tl2br w:val="nil"/>
              <w:tr2bl w:val="nil"/>
            </w:tcBorders>
            <w:noWrap w:val="0"/>
            <w:vAlign w:val="center"/>
          </w:tcPr>
          <w:p w14:paraId="420EDF0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45FEDE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9A6A17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558D03F">
            <w:pPr>
              <w:jc w:val="center"/>
              <w:rPr>
                <w:rFonts w:hint="eastAsia" w:ascii="微软雅黑" w:hAnsi="微软雅黑" w:eastAsia="微软雅黑" w:cs="微软雅黑"/>
                <w:i w:val="0"/>
                <w:iCs w:val="0"/>
                <w:color w:val="000000"/>
                <w:sz w:val="20"/>
                <w:szCs w:val="20"/>
                <w:u w:val="none"/>
              </w:rPr>
            </w:pPr>
          </w:p>
        </w:tc>
      </w:tr>
      <w:tr w14:paraId="353FA5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95C3D9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6609106">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280DB9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①数量要求：≥4个,</w:t>
            </w:r>
            <w:r>
              <w:rPr>
                <w:rFonts w:hint="eastAsia" w:ascii="微软雅黑" w:hAnsi="微软雅黑" w:eastAsia="微软雅黑" w:cs="微软雅黑"/>
                <w:i w:val="0"/>
                <w:iCs w:val="0"/>
                <w:color w:val="000000"/>
                <w:kern w:val="0"/>
                <w:sz w:val="20"/>
                <w:szCs w:val="20"/>
                <w:highlight w:val="yellow"/>
                <w:u w:val="none"/>
                <w:lang w:val="en-US" w:eastAsia="zh-CN" w:bidi="ar"/>
              </w:rPr>
              <w:t>每个PPT课件不少于20页</w:t>
            </w:r>
            <w:r>
              <w:rPr>
                <w:rFonts w:hint="eastAsia" w:ascii="微软雅黑" w:hAnsi="微软雅黑" w:eastAsia="微软雅黑" w:cs="微软雅黑"/>
                <w:i w:val="0"/>
                <w:iCs w:val="0"/>
                <w:color w:val="000000"/>
                <w:kern w:val="0"/>
                <w:sz w:val="20"/>
                <w:szCs w:val="20"/>
                <w:u w:val="none"/>
                <w:lang w:val="en-US" w:eastAsia="zh-CN" w:bidi="ar"/>
              </w:rPr>
              <w:t>。</w:t>
            </w:r>
          </w:p>
        </w:tc>
        <w:tc>
          <w:tcPr>
            <w:tcW w:w="349" w:type="pct"/>
            <w:vMerge w:val="continue"/>
            <w:tcBorders>
              <w:tl2br w:val="nil"/>
              <w:tr2bl w:val="nil"/>
            </w:tcBorders>
            <w:noWrap w:val="0"/>
            <w:vAlign w:val="center"/>
          </w:tcPr>
          <w:p w14:paraId="4F091A2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AF54BC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7880C4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3BE91D4">
            <w:pPr>
              <w:jc w:val="center"/>
              <w:rPr>
                <w:rFonts w:hint="eastAsia" w:ascii="微软雅黑" w:hAnsi="微软雅黑" w:eastAsia="微软雅黑" w:cs="微软雅黑"/>
                <w:i w:val="0"/>
                <w:iCs w:val="0"/>
                <w:color w:val="000000"/>
                <w:sz w:val="20"/>
                <w:szCs w:val="20"/>
                <w:u w:val="none"/>
              </w:rPr>
            </w:pPr>
          </w:p>
        </w:tc>
      </w:tr>
      <w:tr w14:paraId="644BFE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814B36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4B48949">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8CEE5C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②内容要求：至少包含无人机基础知识、无人机使用、无人机安全飞行和无人机维护与固件升级等。</w:t>
            </w:r>
          </w:p>
        </w:tc>
        <w:tc>
          <w:tcPr>
            <w:tcW w:w="349" w:type="pct"/>
            <w:vMerge w:val="continue"/>
            <w:tcBorders>
              <w:tl2br w:val="nil"/>
              <w:tr2bl w:val="nil"/>
            </w:tcBorders>
            <w:noWrap w:val="0"/>
            <w:vAlign w:val="center"/>
          </w:tcPr>
          <w:p w14:paraId="7E1C9AF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2EC1B3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0175D2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48990D3">
            <w:pPr>
              <w:jc w:val="center"/>
              <w:rPr>
                <w:rFonts w:hint="eastAsia" w:ascii="微软雅黑" w:hAnsi="微软雅黑" w:eastAsia="微软雅黑" w:cs="微软雅黑"/>
                <w:i w:val="0"/>
                <w:iCs w:val="0"/>
                <w:color w:val="000000"/>
                <w:sz w:val="20"/>
                <w:szCs w:val="20"/>
                <w:u w:val="none"/>
              </w:rPr>
            </w:pPr>
          </w:p>
        </w:tc>
      </w:tr>
      <w:tr w14:paraId="66FA15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A503BA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3FD8748">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B7BA53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（2）视频资源</w:t>
            </w:r>
          </w:p>
        </w:tc>
        <w:tc>
          <w:tcPr>
            <w:tcW w:w="349" w:type="pct"/>
            <w:vMerge w:val="continue"/>
            <w:tcBorders>
              <w:tl2br w:val="nil"/>
              <w:tr2bl w:val="nil"/>
            </w:tcBorders>
            <w:noWrap w:val="0"/>
            <w:vAlign w:val="center"/>
          </w:tcPr>
          <w:p w14:paraId="42A8B9D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910418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C75B36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83F545D">
            <w:pPr>
              <w:jc w:val="center"/>
              <w:rPr>
                <w:rFonts w:hint="eastAsia" w:ascii="微软雅黑" w:hAnsi="微软雅黑" w:eastAsia="微软雅黑" w:cs="微软雅黑"/>
                <w:i w:val="0"/>
                <w:iCs w:val="0"/>
                <w:color w:val="000000"/>
                <w:sz w:val="20"/>
                <w:szCs w:val="20"/>
                <w:u w:val="none"/>
              </w:rPr>
            </w:pPr>
          </w:p>
        </w:tc>
      </w:tr>
      <w:tr w14:paraId="3643E7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CC3F21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882811D">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1B5D29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①数量要求：≥3个。</w:t>
            </w:r>
          </w:p>
        </w:tc>
        <w:tc>
          <w:tcPr>
            <w:tcW w:w="349" w:type="pct"/>
            <w:vMerge w:val="continue"/>
            <w:tcBorders>
              <w:tl2br w:val="nil"/>
              <w:tr2bl w:val="nil"/>
            </w:tcBorders>
            <w:noWrap w:val="0"/>
            <w:vAlign w:val="center"/>
          </w:tcPr>
          <w:p w14:paraId="3C7DEC3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321D51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F04466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99F0653">
            <w:pPr>
              <w:jc w:val="center"/>
              <w:rPr>
                <w:rFonts w:hint="eastAsia" w:ascii="微软雅黑" w:hAnsi="微软雅黑" w:eastAsia="微软雅黑" w:cs="微软雅黑"/>
                <w:i w:val="0"/>
                <w:iCs w:val="0"/>
                <w:color w:val="000000"/>
                <w:sz w:val="20"/>
                <w:szCs w:val="20"/>
                <w:u w:val="none"/>
              </w:rPr>
            </w:pPr>
          </w:p>
        </w:tc>
      </w:tr>
      <w:tr w14:paraId="1D6311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B73F3E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35C410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F881E6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②内容要求：至少包含无人机飞行基础知识、无人机飞行软件使用、无人机飞行前准备等。</w:t>
            </w:r>
          </w:p>
        </w:tc>
        <w:tc>
          <w:tcPr>
            <w:tcW w:w="349" w:type="pct"/>
            <w:vMerge w:val="continue"/>
            <w:tcBorders>
              <w:tl2br w:val="nil"/>
              <w:tr2bl w:val="nil"/>
            </w:tcBorders>
            <w:noWrap w:val="0"/>
            <w:vAlign w:val="center"/>
          </w:tcPr>
          <w:p w14:paraId="3FC3489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CC2841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07EF18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DF90B7C">
            <w:pPr>
              <w:jc w:val="center"/>
              <w:rPr>
                <w:rFonts w:hint="eastAsia" w:ascii="微软雅黑" w:hAnsi="微软雅黑" w:eastAsia="微软雅黑" w:cs="微软雅黑"/>
                <w:i w:val="0"/>
                <w:iCs w:val="0"/>
                <w:color w:val="000000"/>
                <w:sz w:val="20"/>
                <w:szCs w:val="20"/>
                <w:u w:val="none"/>
              </w:rPr>
            </w:pPr>
          </w:p>
        </w:tc>
      </w:tr>
      <w:tr w14:paraId="09859E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345" w:hRule="atLeast"/>
        </w:trPr>
        <w:tc>
          <w:tcPr>
            <w:tcW w:w="216" w:type="pct"/>
            <w:vMerge w:val="continue"/>
            <w:tcBorders>
              <w:tl2br w:val="nil"/>
              <w:tr2bl w:val="nil"/>
            </w:tcBorders>
            <w:noWrap w:val="0"/>
            <w:vAlign w:val="center"/>
          </w:tcPr>
          <w:p w14:paraId="1AD7BCF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1B2A23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5629D9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（3）动画资源</w:t>
            </w:r>
          </w:p>
        </w:tc>
        <w:tc>
          <w:tcPr>
            <w:tcW w:w="349" w:type="pct"/>
            <w:vMerge w:val="continue"/>
            <w:tcBorders>
              <w:tl2br w:val="nil"/>
              <w:tr2bl w:val="nil"/>
            </w:tcBorders>
            <w:noWrap w:val="0"/>
            <w:vAlign w:val="center"/>
          </w:tcPr>
          <w:p w14:paraId="3D34885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D48E8F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8503C0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8544B7F">
            <w:pPr>
              <w:jc w:val="center"/>
              <w:rPr>
                <w:rFonts w:hint="eastAsia" w:ascii="微软雅黑" w:hAnsi="微软雅黑" w:eastAsia="微软雅黑" w:cs="微软雅黑"/>
                <w:i w:val="0"/>
                <w:iCs w:val="0"/>
                <w:color w:val="000000"/>
                <w:sz w:val="20"/>
                <w:szCs w:val="20"/>
                <w:u w:val="none"/>
              </w:rPr>
            </w:pPr>
          </w:p>
        </w:tc>
      </w:tr>
      <w:tr w14:paraId="4CC0FC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00A143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8447804">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756C3A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①数量要求：≥13个。</w:t>
            </w:r>
          </w:p>
        </w:tc>
        <w:tc>
          <w:tcPr>
            <w:tcW w:w="349" w:type="pct"/>
            <w:vMerge w:val="continue"/>
            <w:tcBorders>
              <w:tl2br w:val="nil"/>
              <w:tr2bl w:val="nil"/>
            </w:tcBorders>
            <w:noWrap w:val="0"/>
            <w:vAlign w:val="center"/>
          </w:tcPr>
          <w:p w14:paraId="2989206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69CD37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102D26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7EBBCBA">
            <w:pPr>
              <w:jc w:val="center"/>
              <w:rPr>
                <w:rFonts w:hint="eastAsia" w:ascii="微软雅黑" w:hAnsi="微软雅黑" w:eastAsia="微软雅黑" w:cs="微软雅黑"/>
                <w:i w:val="0"/>
                <w:iCs w:val="0"/>
                <w:color w:val="000000"/>
                <w:sz w:val="20"/>
                <w:szCs w:val="20"/>
                <w:u w:val="none"/>
              </w:rPr>
            </w:pPr>
          </w:p>
        </w:tc>
      </w:tr>
      <w:tr w14:paraId="6B4A5C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2BA095C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1C78FE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55A163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空气动力学、无人机感知系统、无人机飞行模式、无人机RTK定位技术、无人机电机序号和方向、无人机动力系统、无人机飞控系统、无人机基本飞行动作、四轴平衡原理、通讯链路系统、无人机系统构成、无人机摇杆模式定义和多旋翼无人机定义等。</w:t>
            </w:r>
          </w:p>
        </w:tc>
        <w:tc>
          <w:tcPr>
            <w:tcW w:w="349" w:type="pct"/>
            <w:vMerge w:val="continue"/>
            <w:tcBorders>
              <w:tl2br w:val="nil"/>
              <w:tr2bl w:val="nil"/>
            </w:tcBorders>
            <w:noWrap w:val="0"/>
            <w:vAlign w:val="center"/>
          </w:tcPr>
          <w:p w14:paraId="0C7CAF8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00E210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F9BC70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C7F498F">
            <w:pPr>
              <w:jc w:val="center"/>
              <w:rPr>
                <w:rFonts w:hint="eastAsia" w:ascii="微软雅黑" w:hAnsi="微软雅黑" w:eastAsia="微软雅黑" w:cs="微软雅黑"/>
                <w:i w:val="0"/>
                <w:iCs w:val="0"/>
                <w:color w:val="000000"/>
                <w:sz w:val="20"/>
                <w:szCs w:val="20"/>
                <w:u w:val="none"/>
              </w:rPr>
            </w:pPr>
          </w:p>
        </w:tc>
      </w:tr>
      <w:tr w14:paraId="43AAD0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A55092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A95F2D5">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D9F6B3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（4）题库资源</w:t>
            </w:r>
          </w:p>
        </w:tc>
        <w:tc>
          <w:tcPr>
            <w:tcW w:w="349" w:type="pct"/>
            <w:vMerge w:val="continue"/>
            <w:tcBorders>
              <w:tl2br w:val="nil"/>
              <w:tr2bl w:val="nil"/>
            </w:tcBorders>
            <w:noWrap w:val="0"/>
            <w:vAlign w:val="center"/>
          </w:tcPr>
          <w:p w14:paraId="10B7113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3B2E52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F6FFC7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5659E89">
            <w:pPr>
              <w:jc w:val="center"/>
              <w:rPr>
                <w:rFonts w:hint="eastAsia" w:ascii="微软雅黑" w:hAnsi="微软雅黑" w:eastAsia="微软雅黑" w:cs="微软雅黑"/>
                <w:i w:val="0"/>
                <w:iCs w:val="0"/>
                <w:color w:val="000000"/>
                <w:sz w:val="20"/>
                <w:szCs w:val="20"/>
                <w:u w:val="none"/>
              </w:rPr>
            </w:pPr>
          </w:p>
        </w:tc>
      </w:tr>
      <w:tr w14:paraId="7D5A4A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F12402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0EFB0C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D8EBB1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①数量要求：≥200道。</w:t>
            </w:r>
          </w:p>
        </w:tc>
        <w:tc>
          <w:tcPr>
            <w:tcW w:w="349" w:type="pct"/>
            <w:vMerge w:val="continue"/>
            <w:tcBorders>
              <w:tl2br w:val="nil"/>
              <w:tr2bl w:val="nil"/>
            </w:tcBorders>
            <w:noWrap w:val="0"/>
            <w:vAlign w:val="center"/>
          </w:tcPr>
          <w:p w14:paraId="039A4AF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026D60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25EE8D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E71B111">
            <w:pPr>
              <w:jc w:val="center"/>
              <w:rPr>
                <w:rFonts w:hint="eastAsia" w:ascii="微软雅黑" w:hAnsi="微软雅黑" w:eastAsia="微软雅黑" w:cs="微软雅黑"/>
                <w:i w:val="0"/>
                <w:iCs w:val="0"/>
                <w:color w:val="000000"/>
                <w:sz w:val="20"/>
                <w:szCs w:val="20"/>
                <w:u w:val="none"/>
              </w:rPr>
            </w:pPr>
          </w:p>
        </w:tc>
      </w:tr>
      <w:tr w14:paraId="3C50A1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7F85CE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6E921B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C67B64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②内容要求：至少包含无人机基础知识、无人机使用、无人机安全飞行和无人机维护与固件升级等方面知识要点。</w:t>
            </w:r>
          </w:p>
        </w:tc>
        <w:tc>
          <w:tcPr>
            <w:tcW w:w="349" w:type="pct"/>
            <w:vMerge w:val="continue"/>
            <w:tcBorders>
              <w:tl2br w:val="nil"/>
              <w:tr2bl w:val="nil"/>
            </w:tcBorders>
            <w:noWrap w:val="0"/>
            <w:vAlign w:val="center"/>
          </w:tcPr>
          <w:p w14:paraId="0D9C789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2F36CE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1416DA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9DB1BD5">
            <w:pPr>
              <w:jc w:val="center"/>
              <w:rPr>
                <w:rFonts w:hint="eastAsia" w:ascii="微软雅黑" w:hAnsi="微软雅黑" w:eastAsia="微软雅黑" w:cs="微软雅黑"/>
                <w:i w:val="0"/>
                <w:iCs w:val="0"/>
                <w:color w:val="000000"/>
                <w:sz w:val="20"/>
                <w:szCs w:val="20"/>
                <w:u w:val="none"/>
              </w:rPr>
            </w:pPr>
          </w:p>
        </w:tc>
      </w:tr>
      <w:tr w14:paraId="4E62AE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01C071E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422" w:type="pct"/>
            <w:vMerge w:val="restart"/>
            <w:tcBorders>
              <w:tl2br w:val="nil"/>
              <w:tr2bl w:val="nil"/>
            </w:tcBorders>
            <w:noWrap w:val="0"/>
            <w:vAlign w:val="center"/>
          </w:tcPr>
          <w:p w14:paraId="1A327262">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中型无人机执照飞行实训平台（四类）</w:t>
            </w:r>
          </w:p>
        </w:tc>
        <w:tc>
          <w:tcPr>
            <w:tcW w:w="2949" w:type="pct"/>
            <w:tcBorders>
              <w:tl2br w:val="nil"/>
              <w:tr2bl w:val="nil"/>
            </w:tcBorders>
            <w:noWrap w:val="0"/>
            <w:vAlign w:val="center"/>
          </w:tcPr>
          <w:p w14:paraId="0952296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1.轴距：≥1600MM；</w:t>
            </w:r>
          </w:p>
        </w:tc>
        <w:tc>
          <w:tcPr>
            <w:tcW w:w="349" w:type="pct"/>
            <w:vMerge w:val="restart"/>
            <w:tcBorders>
              <w:tl2br w:val="nil"/>
              <w:tr2bl w:val="nil"/>
            </w:tcBorders>
            <w:noWrap w:val="0"/>
            <w:vAlign w:val="center"/>
          </w:tcPr>
          <w:p w14:paraId="32D1A98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4" w:type="pct"/>
            <w:tcBorders>
              <w:tl2br w:val="nil"/>
              <w:tr2bl w:val="nil"/>
            </w:tcBorders>
            <w:noWrap w:val="0"/>
            <w:vAlign w:val="center"/>
          </w:tcPr>
          <w:p w14:paraId="25BE1F1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596B057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7AE1FEC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6D492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4CD124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761731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67D1EE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2.旋翼数量：≥6；</w:t>
            </w:r>
          </w:p>
        </w:tc>
        <w:tc>
          <w:tcPr>
            <w:tcW w:w="349" w:type="pct"/>
            <w:vMerge w:val="continue"/>
            <w:tcBorders>
              <w:tl2br w:val="nil"/>
              <w:tr2bl w:val="nil"/>
            </w:tcBorders>
            <w:noWrap w:val="0"/>
            <w:vAlign w:val="center"/>
          </w:tcPr>
          <w:p w14:paraId="1CA9C18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F00FFF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3879AB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8183515">
            <w:pPr>
              <w:jc w:val="center"/>
              <w:rPr>
                <w:rFonts w:hint="eastAsia" w:ascii="微软雅黑" w:hAnsi="微软雅黑" w:eastAsia="微软雅黑" w:cs="微软雅黑"/>
                <w:i w:val="0"/>
                <w:iCs w:val="0"/>
                <w:color w:val="000000"/>
                <w:sz w:val="20"/>
                <w:szCs w:val="20"/>
                <w:u w:val="none"/>
              </w:rPr>
            </w:pPr>
          </w:p>
        </w:tc>
      </w:tr>
      <w:tr w14:paraId="47572F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9AC71F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55876F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1417D8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3.机身折叠尺寸：≥1135*1135*650mm（高*长*宽）；</w:t>
            </w:r>
          </w:p>
        </w:tc>
        <w:tc>
          <w:tcPr>
            <w:tcW w:w="349" w:type="pct"/>
            <w:vMerge w:val="continue"/>
            <w:tcBorders>
              <w:tl2br w:val="nil"/>
              <w:tr2bl w:val="nil"/>
            </w:tcBorders>
            <w:noWrap w:val="0"/>
            <w:vAlign w:val="center"/>
          </w:tcPr>
          <w:p w14:paraId="3D2A642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6BF867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1A635E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CD51ED5">
            <w:pPr>
              <w:jc w:val="center"/>
              <w:rPr>
                <w:rFonts w:hint="eastAsia" w:ascii="微软雅黑" w:hAnsi="微软雅黑" w:eastAsia="微软雅黑" w:cs="微软雅黑"/>
                <w:i w:val="0"/>
                <w:iCs w:val="0"/>
                <w:color w:val="000000"/>
                <w:sz w:val="20"/>
                <w:szCs w:val="20"/>
                <w:u w:val="none"/>
              </w:rPr>
            </w:pPr>
          </w:p>
        </w:tc>
      </w:tr>
      <w:tr w14:paraId="049730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46DE4F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EACD28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E9B4B8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4.抗风等级：≥7级；防雨防尘：≥IP45；</w:t>
            </w:r>
          </w:p>
        </w:tc>
        <w:tc>
          <w:tcPr>
            <w:tcW w:w="349" w:type="pct"/>
            <w:vMerge w:val="continue"/>
            <w:tcBorders>
              <w:tl2br w:val="nil"/>
              <w:tr2bl w:val="nil"/>
            </w:tcBorders>
            <w:noWrap w:val="0"/>
            <w:vAlign w:val="center"/>
          </w:tcPr>
          <w:p w14:paraId="3A222F7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BD39C6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95BE72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D4A42CC">
            <w:pPr>
              <w:jc w:val="center"/>
              <w:rPr>
                <w:rFonts w:hint="eastAsia" w:ascii="微软雅黑" w:hAnsi="微软雅黑" w:eastAsia="微软雅黑" w:cs="微软雅黑"/>
                <w:i w:val="0"/>
                <w:iCs w:val="0"/>
                <w:color w:val="000000"/>
                <w:sz w:val="20"/>
                <w:szCs w:val="20"/>
                <w:u w:val="none"/>
              </w:rPr>
            </w:pPr>
          </w:p>
        </w:tc>
      </w:tr>
      <w:tr w14:paraId="678803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1812D1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72C0AB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65B358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5.悬停时间：≥25分钟；</w:t>
            </w:r>
          </w:p>
        </w:tc>
        <w:tc>
          <w:tcPr>
            <w:tcW w:w="349" w:type="pct"/>
            <w:vMerge w:val="continue"/>
            <w:tcBorders>
              <w:tl2br w:val="nil"/>
              <w:tr2bl w:val="nil"/>
            </w:tcBorders>
            <w:noWrap w:val="0"/>
            <w:vAlign w:val="center"/>
          </w:tcPr>
          <w:p w14:paraId="3200E6A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B22DB5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F14341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CEF6393">
            <w:pPr>
              <w:jc w:val="center"/>
              <w:rPr>
                <w:rFonts w:hint="eastAsia" w:ascii="微软雅黑" w:hAnsi="微软雅黑" w:eastAsia="微软雅黑" w:cs="微软雅黑"/>
                <w:i w:val="0"/>
                <w:iCs w:val="0"/>
                <w:color w:val="000000"/>
                <w:sz w:val="20"/>
                <w:szCs w:val="20"/>
                <w:u w:val="none"/>
              </w:rPr>
            </w:pPr>
          </w:p>
        </w:tc>
      </w:tr>
      <w:tr w14:paraId="7F4D37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AC80B9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4A44248">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A5F9B4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6.有限载荷：≥15Kg；</w:t>
            </w:r>
          </w:p>
        </w:tc>
        <w:tc>
          <w:tcPr>
            <w:tcW w:w="349" w:type="pct"/>
            <w:vMerge w:val="continue"/>
            <w:tcBorders>
              <w:tl2br w:val="nil"/>
              <w:tr2bl w:val="nil"/>
            </w:tcBorders>
            <w:noWrap w:val="0"/>
            <w:vAlign w:val="center"/>
          </w:tcPr>
          <w:p w14:paraId="4BA5835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D22847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64B2BD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EBDD1EF">
            <w:pPr>
              <w:jc w:val="center"/>
              <w:rPr>
                <w:rFonts w:hint="eastAsia" w:ascii="微软雅黑" w:hAnsi="微软雅黑" w:eastAsia="微软雅黑" w:cs="微软雅黑"/>
                <w:i w:val="0"/>
                <w:iCs w:val="0"/>
                <w:color w:val="000000"/>
                <w:sz w:val="20"/>
                <w:szCs w:val="20"/>
                <w:u w:val="none"/>
              </w:rPr>
            </w:pPr>
          </w:p>
        </w:tc>
      </w:tr>
      <w:tr w14:paraId="722A73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3BD69E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840F30B">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CC34BB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7.最大偏航角速度：≥100度/秒；最大倾斜角度：≥30°；最大升降速度：上升5m/s±0.5m/s；下降4m/s±0.5m/s；</w:t>
            </w:r>
          </w:p>
        </w:tc>
        <w:tc>
          <w:tcPr>
            <w:tcW w:w="349" w:type="pct"/>
            <w:vMerge w:val="continue"/>
            <w:tcBorders>
              <w:tl2br w:val="nil"/>
              <w:tr2bl w:val="nil"/>
            </w:tcBorders>
            <w:noWrap w:val="0"/>
            <w:vAlign w:val="center"/>
          </w:tcPr>
          <w:p w14:paraId="3501922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CBC93D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478F50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FA47FB4">
            <w:pPr>
              <w:jc w:val="center"/>
              <w:rPr>
                <w:rFonts w:hint="eastAsia" w:ascii="微软雅黑" w:hAnsi="微软雅黑" w:eastAsia="微软雅黑" w:cs="微软雅黑"/>
                <w:i w:val="0"/>
                <w:iCs w:val="0"/>
                <w:color w:val="000000"/>
                <w:sz w:val="20"/>
                <w:szCs w:val="20"/>
                <w:u w:val="none"/>
              </w:rPr>
            </w:pPr>
          </w:p>
        </w:tc>
      </w:tr>
      <w:tr w14:paraId="269486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6D3397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5F35B8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0330EF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8.遥控系统通道数量≥14通道；</w:t>
            </w:r>
          </w:p>
        </w:tc>
        <w:tc>
          <w:tcPr>
            <w:tcW w:w="349" w:type="pct"/>
            <w:vMerge w:val="continue"/>
            <w:tcBorders>
              <w:tl2br w:val="nil"/>
              <w:tr2bl w:val="nil"/>
            </w:tcBorders>
            <w:noWrap w:val="0"/>
            <w:vAlign w:val="center"/>
          </w:tcPr>
          <w:p w14:paraId="27CF63E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21C550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EE1DDE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861844B">
            <w:pPr>
              <w:jc w:val="center"/>
              <w:rPr>
                <w:rFonts w:hint="eastAsia" w:ascii="微软雅黑" w:hAnsi="微软雅黑" w:eastAsia="微软雅黑" w:cs="微软雅黑"/>
                <w:i w:val="0"/>
                <w:iCs w:val="0"/>
                <w:color w:val="000000"/>
                <w:sz w:val="20"/>
                <w:szCs w:val="20"/>
                <w:u w:val="none"/>
              </w:rPr>
            </w:pPr>
          </w:p>
        </w:tc>
      </w:tr>
      <w:tr w14:paraId="49DE3D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99D99D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DB925FA">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EB8129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9.遥控器具备不少8个拨挡开关；旋钮开关不少于2个；至少具备教练接口；支持教练功能。</w:t>
            </w:r>
          </w:p>
        </w:tc>
        <w:tc>
          <w:tcPr>
            <w:tcW w:w="349" w:type="pct"/>
            <w:vMerge w:val="continue"/>
            <w:tcBorders>
              <w:tl2br w:val="nil"/>
              <w:tr2bl w:val="nil"/>
            </w:tcBorders>
            <w:noWrap w:val="0"/>
            <w:vAlign w:val="center"/>
          </w:tcPr>
          <w:p w14:paraId="2978896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B345A4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066455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CFBE720">
            <w:pPr>
              <w:jc w:val="center"/>
              <w:rPr>
                <w:rFonts w:hint="eastAsia" w:ascii="微软雅黑" w:hAnsi="微软雅黑" w:eastAsia="微软雅黑" w:cs="微软雅黑"/>
                <w:i w:val="0"/>
                <w:iCs w:val="0"/>
                <w:color w:val="000000"/>
                <w:sz w:val="20"/>
                <w:szCs w:val="20"/>
                <w:u w:val="none"/>
              </w:rPr>
            </w:pPr>
          </w:p>
        </w:tc>
      </w:tr>
      <w:tr w14:paraId="58F8A5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33AC064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422" w:type="pct"/>
            <w:vMerge w:val="restart"/>
            <w:tcBorders>
              <w:tl2br w:val="nil"/>
              <w:tr2bl w:val="nil"/>
            </w:tcBorders>
            <w:noWrap w:val="0"/>
            <w:vAlign w:val="center"/>
          </w:tcPr>
          <w:p w14:paraId="01EAC795">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无人机电子考试评测系统</w:t>
            </w:r>
          </w:p>
        </w:tc>
        <w:tc>
          <w:tcPr>
            <w:tcW w:w="2949" w:type="pct"/>
            <w:tcBorders>
              <w:tl2br w:val="nil"/>
              <w:tr2bl w:val="nil"/>
            </w:tcBorders>
            <w:noWrap w:val="0"/>
            <w:vAlign w:val="center"/>
          </w:tcPr>
          <w:p w14:paraId="50D1781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1.天空端（模块）：尺寸≥103mm*66mm*27mm；重量≥187g；</w:t>
            </w:r>
          </w:p>
        </w:tc>
        <w:tc>
          <w:tcPr>
            <w:tcW w:w="349" w:type="pct"/>
            <w:vMerge w:val="restart"/>
            <w:tcBorders>
              <w:tl2br w:val="nil"/>
              <w:tr2bl w:val="nil"/>
            </w:tcBorders>
            <w:noWrap w:val="0"/>
            <w:vAlign w:val="center"/>
          </w:tcPr>
          <w:p w14:paraId="7C232C5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4" w:type="pct"/>
            <w:tcBorders>
              <w:tl2br w:val="nil"/>
              <w:tr2bl w:val="nil"/>
            </w:tcBorders>
            <w:noWrap w:val="0"/>
            <w:vAlign w:val="center"/>
          </w:tcPr>
          <w:p w14:paraId="435B644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2E51FB9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23CE733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64DA8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FC3BD2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15489B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9AA64FC">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2.地面端（模块）：尺寸≥103mm*66mm*27mm；重量≥183.5g；</w:t>
            </w:r>
          </w:p>
        </w:tc>
        <w:tc>
          <w:tcPr>
            <w:tcW w:w="349" w:type="pct"/>
            <w:vMerge w:val="continue"/>
            <w:tcBorders>
              <w:tl2br w:val="nil"/>
              <w:tr2bl w:val="nil"/>
            </w:tcBorders>
            <w:noWrap w:val="0"/>
            <w:vAlign w:val="center"/>
          </w:tcPr>
          <w:p w14:paraId="3D39831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7CB494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D02AAC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23E8C8A">
            <w:pPr>
              <w:jc w:val="center"/>
              <w:rPr>
                <w:rFonts w:hint="eastAsia" w:ascii="微软雅黑" w:hAnsi="微软雅黑" w:eastAsia="微软雅黑" w:cs="微软雅黑"/>
                <w:i w:val="0"/>
                <w:iCs w:val="0"/>
                <w:color w:val="000000"/>
                <w:sz w:val="20"/>
                <w:szCs w:val="20"/>
                <w:u w:val="none"/>
              </w:rPr>
            </w:pPr>
          </w:p>
        </w:tc>
      </w:tr>
      <w:tr w14:paraId="34AA52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47A7077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BA396BB">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D47EB73">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3.供电电压支持：7V-28V；系统功耗：（天空端）≥3W；地面端≥3W；天空端：不少于1个XT60接口；地面基站端：不少于1个USB接口；通讯链路：数据链路至少支持双路LoRa 扩频；</w:t>
            </w:r>
          </w:p>
        </w:tc>
        <w:tc>
          <w:tcPr>
            <w:tcW w:w="349" w:type="pct"/>
            <w:vMerge w:val="continue"/>
            <w:tcBorders>
              <w:tl2br w:val="nil"/>
              <w:tr2bl w:val="nil"/>
            </w:tcBorders>
            <w:noWrap w:val="0"/>
            <w:vAlign w:val="center"/>
          </w:tcPr>
          <w:p w14:paraId="3D71A71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6AEB87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E7155F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7C290E8">
            <w:pPr>
              <w:jc w:val="center"/>
              <w:rPr>
                <w:rFonts w:hint="eastAsia" w:ascii="微软雅黑" w:hAnsi="微软雅黑" w:eastAsia="微软雅黑" w:cs="微软雅黑"/>
                <w:i w:val="0"/>
                <w:iCs w:val="0"/>
                <w:color w:val="000000"/>
                <w:sz w:val="20"/>
                <w:szCs w:val="20"/>
                <w:u w:val="none"/>
              </w:rPr>
            </w:pPr>
          </w:p>
        </w:tc>
      </w:tr>
      <w:tr w14:paraId="57D7FB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155C0C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3D7D6F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5D161A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4.导航惯性单元（天空端）至少包含内置高精度六轴加速度计、内置高精度双气压计、内置抗干扰磁罗盘；导航刷新率≤10Hz；</w:t>
            </w:r>
          </w:p>
        </w:tc>
        <w:tc>
          <w:tcPr>
            <w:tcW w:w="349" w:type="pct"/>
            <w:vMerge w:val="continue"/>
            <w:tcBorders>
              <w:tl2br w:val="nil"/>
              <w:tr2bl w:val="nil"/>
            </w:tcBorders>
            <w:noWrap w:val="0"/>
            <w:vAlign w:val="center"/>
          </w:tcPr>
          <w:p w14:paraId="2C8323F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EAB665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2D03C4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912D1F5">
            <w:pPr>
              <w:jc w:val="center"/>
              <w:rPr>
                <w:rFonts w:hint="eastAsia" w:ascii="微软雅黑" w:hAnsi="微软雅黑" w:eastAsia="微软雅黑" w:cs="微软雅黑"/>
                <w:i w:val="0"/>
                <w:iCs w:val="0"/>
                <w:color w:val="000000"/>
                <w:sz w:val="20"/>
                <w:szCs w:val="20"/>
                <w:u w:val="none"/>
              </w:rPr>
            </w:pPr>
          </w:p>
        </w:tc>
      </w:tr>
      <w:tr w14:paraId="1EB03E5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C28997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35D77FD">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CA88FEA">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5.电子考核测评系统配套APP软件至少可支持在Android手机端、Android平板电脑端上使用；</w:t>
            </w:r>
          </w:p>
        </w:tc>
        <w:tc>
          <w:tcPr>
            <w:tcW w:w="349" w:type="pct"/>
            <w:vMerge w:val="continue"/>
            <w:tcBorders>
              <w:tl2br w:val="nil"/>
              <w:tr2bl w:val="nil"/>
            </w:tcBorders>
            <w:noWrap w:val="0"/>
            <w:vAlign w:val="center"/>
          </w:tcPr>
          <w:p w14:paraId="3201F77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2DE862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F9C19B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2003BBE">
            <w:pPr>
              <w:jc w:val="center"/>
              <w:rPr>
                <w:rFonts w:hint="eastAsia" w:ascii="微软雅黑" w:hAnsi="微软雅黑" w:eastAsia="微软雅黑" w:cs="微软雅黑"/>
                <w:i w:val="0"/>
                <w:iCs w:val="0"/>
                <w:color w:val="000000"/>
                <w:sz w:val="20"/>
                <w:szCs w:val="20"/>
                <w:u w:val="none"/>
              </w:rPr>
            </w:pPr>
          </w:p>
        </w:tc>
      </w:tr>
      <w:tr w14:paraId="57F79D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7AB210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A27647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AD8FC8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6.测试软件至少支持在线升级、内置考试标准可联网同步；至少支持语音播报提示功能；</w:t>
            </w:r>
          </w:p>
        </w:tc>
        <w:tc>
          <w:tcPr>
            <w:tcW w:w="349" w:type="pct"/>
            <w:vMerge w:val="continue"/>
            <w:tcBorders>
              <w:tl2br w:val="nil"/>
              <w:tr2bl w:val="nil"/>
            </w:tcBorders>
            <w:noWrap w:val="0"/>
            <w:vAlign w:val="center"/>
          </w:tcPr>
          <w:p w14:paraId="5113585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B854D9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001C59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B0C03F8">
            <w:pPr>
              <w:jc w:val="center"/>
              <w:rPr>
                <w:rFonts w:hint="eastAsia" w:ascii="微软雅黑" w:hAnsi="微软雅黑" w:eastAsia="微软雅黑" w:cs="微软雅黑"/>
                <w:i w:val="0"/>
                <w:iCs w:val="0"/>
                <w:color w:val="000000"/>
                <w:sz w:val="20"/>
                <w:szCs w:val="20"/>
                <w:u w:val="none"/>
              </w:rPr>
            </w:pPr>
          </w:p>
        </w:tc>
      </w:tr>
      <w:tr w14:paraId="5946C4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9BC23F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990D59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DDF847D">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7.至少支持自定义考试标准、设置重考次数；至少支持学员信息管理功能，并支持将学员学习记录通过APP软件发送给学员；</w:t>
            </w:r>
          </w:p>
        </w:tc>
        <w:tc>
          <w:tcPr>
            <w:tcW w:w="349" w:type="pct"/>
            <w:vMerge w:val="continue"/>
            <w:tcBorders>
              <w:tl2br w:val="nil"/>
              <w:tr2bl w:val="nil"/>
            </w:tcBorders>
            <w:noWrap w:val="0"/>
            <w:vAlign w:val="center"/>
          </w:tcPr>
          <w:p w14:paraId="5370A4A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CB2570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247258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8442BFE">
            <w:pPr>
              <w:jc w:val="center"/>
              <w:rPr>
                <w:rFonts w:hint="eastAsia" w:ascii="微软雅黑" w:hAnsi="微软雅黑" w:eastAsia="微软雅黑" w:cs="微软雅黑"/>
                <w:i w:val="0"/>
                <w:iCs w:val="0"/>
                <w:color w:val="000000"/>
                <w:sz w:val="20"/>
                <w:szCs w:val="20"/>
                <w:u w:val="none"/>
              </w:rPr>
            </w:pPr>
          </w:p>
        </w:tc>
      </w:tr>
      <w:tr w14:paraId="6F2FC1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5F1DB01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C12EDE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C0228A1">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显示当前训练项目的实时数据（飞行轨迹），至少包括航向角偏移量、高度偏移量、位置偏移量、飞行速度、飞行高度，实时标记训练中的错误位置点及错误信息，结合统计数据，教员可对学员进行针对性指导，快速提高操控水平；</w:t>
            </w:r>
          </w:p>
        </w:tc>
        <w:tc>
          <w:tcPr>
            <w:tcW w:w="349" w:type="pct"/>
            <w:vMerge w:val="continue"/>
            <w:tcBorders>
              <w:tl2br w:val="nil"/>
              <w:tr2bl w:val="nil"/>
            </w:tcBorders>
            <w:noWrap w:val="0"/>
            <w:vAlign w:val="center"/>
          </w:tcPr>
          <w:p w14:paraId="7CF5FA5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180B87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65DFC4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F67BC05">
            <w:pPr>
              <w:jc w:val="center"/>
              <w:rPr>
                <w:rFonts w:hint="eastAsia" w:ascii="微软雅黑" w:hAnsi="微软雅黑" w:eastAsia="微软雅黑" w:cs="微软雅黑"/>
                <w:i w:val="0"/>
                <w:iCs w:val="0"/>
                <w:color w:val="000000"/>
                <w:sz w:val="20"/>
                <w:szCs w:val="20"/>
                <w:u w:val="none"/>
              </w:rPr>
            </w:pPr>
          </w:p>
        </w:tc>
      </w:tr>
      <w:tr w14:paraId="20ACFA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216" w:type="pct"/>
            <w:vMerge w:val="continue"/>
            <w:tcBorders>
              <w:tl2br w:val="nil"/>
              <w:tr2bl w:val="nil"/>
            </w:tcBorders>
            <w:noWrap w:val="0"/>
            <w:vAlign w:val="center"/>
          </w:tcPr>
          <w:p w14:paraId="13FAC84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8DF9BD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9859A6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至少具备训练模式和模拟考试模式两种功能，针对360度自旋和8字飞行科目，实时进行评判；8字训练时可灵活进行左右圆的单圆训练；训练模式至少支持各个项目的单独训练，训练项目自动循环重复，同时各个科目的考评参数开放，用于设置不同的参数大小，实现不同的训练难度；模拟考试模式合并所有考试科目，对全程飞行进行评判和考核，同时开放各个评判点的参数，通过设置不同的参数大小，可以实现不同的考核难易程度，实现循序渐进、由易到难的培训方式和考核原则；</w:t>
            </w:r>
          </w:p>
        </w:tc>
        <w:tc>
          <w:tcPr>
            <w:tcW w:w="349" w:type="pct"/>
            <w:vMerge w:val="continue"/>
            <w:tcBorders>
              <w:tl2br w:val="nil"/>
              <w:tr2bl w:val="nil"/>
            </w:tcBorders>
            <w:noWrap w:val="0"/>
            <w:vAlign w:val="center"/>
          </w:tcPr>
          <w:p w14:paraId="79D62DB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5CB892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ACD1F7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AFEC6BA">
            <w:pPr>
              <w:jc w:val="center"/>
              <w:rPr>
                <w:rFonts w:hint="eastAsia" w:ascii="微软雅黑" w:hAnsi="微软雅黑" w:eastAsia="微软雅黑" w:cs="微软雅黑"/>
                <w:i w:val="0"/>
                <w:iCs w:val="0"/>
                <w:color w:val="000000"/>
                <w:sz w:val="20"/>
                <w:szCs w:val="20"/>
                <w:u w:val="none"/>
              </w:rPr>
            </w:pPr>
          </w:p>
        </w:tc>
      </w:tr>
      <w:tr w14:paraId="705592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7939CF0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DD6195D">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0DDA51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至少可支持学员进行视距内驾驶员、超视距驾驶员，以及教员级别的训练科目开展飞行训练；显示训练科目详细信息，至少包括各个科目训练的评判结果；至少可以对训练科目进行启停控制，用于开始和结束科目的训练或模拟考试。</w:t>
            </w:r>
          </w:p>
        </w:tc>
        <w:tc>
          <w:tcPr>
            <w:tcW w:w="349" w:type="pct"/>
            <w:vMerge w:val="continue"/>
            <w:tcBorders>
              <w:tl2br w:val="nil"/>
              <w:tr2bl w:val="nil"/>
            </w:tcBorders>
            <w:noWrap w:val="0"/>
            <w:vAlign w:val="center"/>
          </w:tcPr>
          <w:p w14:paraId="0FB5A7F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B5B4F1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E7D6B3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A5BC4A2">
            <w:pPr>
              <w:jc w:val="center"/>
              <w:rPr>
                <w:rFonts w:hint="eastAsia" w:ascii="微软雅黑" w:hAnsi="微软雅黑" w:eastAsia="微软雅黑" w:cs="微软雅黑"/>
                <w:i w:val="0"/>
                <w:iCs w:val="0"/>
                <w:color w:val="000000"/>
                <w:sz w:val="20"/>
                <w:szCs w:val="20"/>
                <w:u w:val="none"/>
              </w:rPr>
            </w:pPr>
          </w:p>
        </w:tc>
      </w:tr>
      <w:tr w14:paraId="7B532C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43EAF33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422" w:type="pct"/>
            <w:vMerge w:val="restart"/>
            <w:tcBorders>
              <w:tl2br w:val="nil"/>
              <w:tr2bl w:val="nil"/>
            </w:tcBorders>
            <w:noWrap w:val="0"/>
            <w:vAlign w:val="center"/>
          </w:tcPr>
          <w:p w14:paraId="76EB1535">
            <w:pPr>
              <w:keepNext w:val="0"/>
              <w:keepLines w:val="0"/>
              <w:widowControl/>
              <w:suppressLineNumbers w:val="0"/>
              <w:ind w:left="0" w:leftChars="0" w:firstLine="0" w:firstLineChars="0"/>
              <w:jc w:val="both"/>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电池智能充电器</w:t>
            </w:r>
          </w:p>
        </w:tc>
        <w:tc>
          <w:tcPr>
            <w:tcW w:w="2949" w:type="pct"/>
            <w:tcBorders>
              <w:tl2br w:val="nil"/>
              <w:tr2bl w:val="nil"/>
            </w:tcBorders>
            <w:noWrap w:val="0"/>
            <w:vAlign w:val="center"/>
          </w:tcPr>
          <w:p w14:paraId="213EB87C">
            <w:pPr>
              <w:keepNext w:val="0"/>
              <w:keepLines w:val="0"/>
              <w:widowControl/>
              <w:suppressLineNumbers w:val="0"/>
              <w:ind w:left="0" w:leftChars="0" w:firstLine="0" w:firstLineChars="0"/>
              <w:jc w:val="left"/>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1.至少支持快速充电模式、精准充电模式、储存模式；</w:t>
            </w:r>
            <w:r>
              <w:rPr>
                <w:rFonts w:hint="eastAsia" w:ascii="微软雅黑" w:hAnsi="微软雅黑" w:eastAsia="微软雅黑" w:cs="微软雅黑"/>
                <w:i w:val="0"/>
                <w:iCs w:val="0"/>
                <w:color w:val="000000"/>
                <w:kern w:val="0"/>
                <w:sz w:val="20"/>
                <w:szCs w:val="20"/>
                <w:highlight w:val="yellow"/>
                <w:u w:val="none"/>
                <w:lang w:val="en-US" w:eastAsia="zh-CN" w:bidi="ar"/>
              </w:rPr>
              <w:t>智能充电器适用于小型无人机执照飞行实训平台（三类）和中型无人机执照飞行实训平台（四类）充电</w:t>
            </w:r>
            <w:r>
              <w:rPr>
                <w:rFonts w:hint="eastAsia" w:ascii="微软雅黑" w:hAnsi="微软雅黑" w:eastAsia="微软雅黑" w:cs="微软雅黑"/>
                <w:i w:val="0"/>
                <w:iCs w:val="0"/>
                <w:color w:val="000000"/>
                <w:kern w:val="0"/>
                <w:sz w:val="20"/>
                <w:szCs w:val="20"/>
                <w:u w:val="none"/>
                <w:lang w:val="en-US" w:eastAsia="zh-CN" w:bidi="ar"/>
              </w:rPr>
              <w:t>。</w:t>
            </w:r>
          </w:p>
        </w:tc>
        <w:tc>
          <w:tcPr>
            <w:tcW w:w="349" w:type="pct"/>
            <w:vMerge w:val="restart"/>
            <w:tcBorders>
              <w:tl2br w:val="nil"/>
              <w:tr2bl w:val="nil"/>
            </w:tcBorders>
            <w:noWrap w:val="0"/>
            <w:vAlign w:val="center"/>
          </w:tcPr>
          <w:p w14:paraId="100CB12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44" w:type="pct"/>
            <w:tcBorders>
              <w:tl2br w:val="nil"/>
              <w:tr2bl w:val="nil"/>
            </w:tcBorders>
            <w:noWrap w:val="0"/>
            <w:vAlign w:val="center"/>
          </w:tcPr>
          <w:p w14:paraId="5286DB8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41AB91F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0B4E96E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8139F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748147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124A3F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939292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2.适用电池类型：LIPO/LIHV电池进行平衡充放电；</w:t>
            </w:r>
          </w:p>
        </w:tc>
        <w:tc>
          <w:tcPr>
            <w:tcW w:w="349" w:type="pct"/>
            <w:vMerge w:val="continue"/>
            <w:tcBorders>
              <w:tl2br w:val="nil"/>
              <w:tr2bl w:val="nil"/>
            </w:tcBorders>
            <w:noWrap w:val="0"/>
            <w:vAlign w:val="center"/>
          </w:tcPr>
          <w:p w14:paraId="7D76FE5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19A19F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E844D1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2719D2F">
            <w:pPr>
              <w:jc w:val="center"/>
              <w:rPr>
                <w:rFonts w:hint="eastAsia" w:ascii="微软雅黑" w:hAnsi="微软雅黑" w:eastAsia="微软雅黑" w:cs="微软雅黑"/>
                <w:i w:val="0"/>
                <w:iCs w:val="0"/>
                <w:color w:val="000000"/>
                <w:sz w:val="20"/>
                <w:szCs w:val="20"/>
                <w:u w:val="none"/>
              </w:rPr>
            </w:pPr>
          </w:p>
        </w:tc>
      </w:tr>
      <w:tr w14:paraId="16412D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E9BC00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7EA1F45">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0440B3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3.至少支持电池电压检测、电池内阻检测功能；</w:t>
            </w:r>
          </w:p>
        </w:tc>
        <w:tc>
          <w:tcPr>
            <w:tcW w:w="349" w:type="pct"/>
            <w:vMerge w:val="continue"/>
            <w:tcBorders>
              <w:tl2br w:val="nil"/>
              <w:tr2bl w:val="nil"/>
            </w:tcBorders>
            <w:noWrap w:val="0"/>
            <w:vAlign w:val="center"/>
          </w:tcPr>
          <w:p w14:paraId="6BA1521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972C2C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D87C7B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5DE9E8B">
            <w:pPr>
              <w:jc w:val="center"/>
              <w:rPr>
                <w:rFonts w:hint="eastAsia" w:ascii="微软雅黑" w:hAnsi="微软雅黑" w:eastAsia="微软雅黑" w:cs="微软雅黑"/>
                <w:i w:val="0"/>
                <w:iCs w:val="0"/>
                <w:color w:val="000000"/>
                <w:sz w:val="20"/>
                <w:szCs w:val="20"/>
                <w:u w:val="none"/>
              </w:rPr>
            </w:pPr>
          </w:p>
        </w:tc>
      </w:tr>
      <w:tr w14:paraId="2972CE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40B2D8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5D09B06">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C62031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4.充电电流至少支持可调节；</w:t>
            </w:r>
          </w:p>
        </w:tc>
        <w:tc>
          <w:tcPr>
            <w:tcW w:w="349" w:type="pct"/>
            <w:vMerge w:val="continue"/>
            <w:tcBorders>
              <w:tl2br w:val="nil"/>
              <w:tr2bl w:val="nil"/>
            </w:tcBorders>
            <w:noWrap w:val="0"/>
            <w:vAlign w:val="center"/>
          </w:tcPr>
          <w:p w14:paraId="5E6EB41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2AC755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C310BE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A0794FC">
            <w:pPr>
              <w:jc w:val="center"/>
              <w:rPr>
                <w:rFonts w:hint="eastAsia" w:ascii="微软雅黑" w:hAnsi="微软雅黑" w:eastAsia="微软雅黑" w:cs="微软雅黑"/>
                <w:i w:val="0"/>
                <w:iCs w:val="0"/>
                <w:color w:val="000000"/>
                <w:sz w:val="20"/>
                <w:szCs w:val="20"/>
                <w:u w:val="none"/>
              </w:rPr>
            </w:pPr>
          </w:p>
        </w:tc>
      </w:tr>
      <w:tr w14:paraId="057BBC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15DE10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EB2DFF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117978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5.至少支持使用USB数据线对充电器进行升级功能；</w:t>
            </w:r>
          </w:p>
        </w:tc>
        <w:tc>
          <w:tcPr>
            <w:tcW w:w="349" w:type="pct"/>
            <w:vMerge w:val="continue"/>
            <w:tcBorders>
              <w:tl2br w:val="nil"/>
              <w:tr2bl w:val="nil"/>
            </w:tcBorders>
            <w:noWrap w:val="0"/>
            <w:vAlign w:val="center"/>
          </w:tcPr>
          <w:p w14:paraId="0B45325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826ED7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A97C13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8A7E18B">
            <w:pPr>
              <w:jc w:val="center"/>
              <w:rPr>
                <w:rFonts w:hint="eastAsia" w:ascii="微软雅黑" w:hAnsi="微软雅黑" w:eastAsia="微软雅黑" w:cs="微软雅黑"/>
                <w:i w:val="0"/>
                <w:iCs w:val="0"/>
                <w:color w:val="000000"/>
                <w:sz w:val="20"/>
                <w:szCs w:val="20"/>
                <w:u w:val="none"/>
              </w:rPr>
            </w:pPr>
          </w:p>
        </w:tc>
      </w:tr>
      <w:tr w14:paraId="64F924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7DD3B1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0E6AEA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E96DE2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6.至少具备反接保护功能；短路保护功能以及过温保护功能；</w:t>
            </w:r>
          </w:p>
        </w:tc>
        <w:tc>
          <w:tcPr>
            <w:tcW w:w="349" w:type="pct"/>
            <w:vMerge w:val="continue"/>
            <w:tcBorders>
              <w:tl2br w:val="nil"/>
              <w:tr2bl w:val="nil"/>
            </w:tcBorders>
            <w:noWrap w:val="0"/>
            <w:vAlign w:val="center"/>
          </w:tcPr>
          <w:p w14:paraId="282D00A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B3A32E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4EDAE7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07227EB">
            <w:pPr>
              <w:jc w:val="center"/>
              <w:rPr>
                <w:rFonts w:hint="eastAsia" w:ascii="微软雅黑" w:hAnsi="微软雅黑" w:eastAsia="微软雅黑" w:cs="微软雅黑"/>
                <w:i w:val="0"/>
                <w:iCs w:val="0"/>
                <w:color w:val="000000"/>
                <w:sz w:val="20"/>
                <w:szCs w:val="20"/>
                <w:u w:val="none"/>
              </w:rPr>
            </w:pPr>
          </w:p>
        </w:tc>
      </w:tr>
      <w:tr w14:paraId="435900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E0A136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1161E4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E5CA46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7.输入电压：100V-240V；充电功率：≥500W×2；</w:t>
            </w:r>
          </w:p>
        </w:tc>
        <w:tc>
          <w:tcPr>
            <w:tcW w:w="349" w:type="pct"/>
            <w:vMerge w:val="continue"/>
            <w:tcBorders>
              <w:tl2br w:val="nil"/>
              <w:tr2bl w:val="nil"/>
            </w:tcBorders>
            <w:noWrap w:val="0"/>
            <w:vAlign w:val="center"/>
          </w:tcPr>
          <w:p w14:paraId="0C2079F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B59E58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4F97C4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7AD69D8">
            <w:pPr>
              <w:jc w:val="center"/>
              <w:rPr>
                <w:rFonts w:hint="eastAsia" w:ascii="微软雅黑" w:hAnsi="微软雅黑" w:eastAsia="微软雅黑" w:cs="微软雅黑"/>
                <w:i w:val="0"/>
                <w:iCs w:val="0"/>
                <w:color w:val="000000"/>
                <w:sz w:val="20"/>
                <w:szCs w:val="20"/>
                <w:u w:val="none"/>
              </w:rPr>
            </w:pPr>
          </w:p>
        </w:tc>
      </w:tr>
      <w:tr w14:paraId="14E690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C75EED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B6EBEF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3AB7A0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8.放电功率：≥80W；放电电流：≥2.0A×2；</w:t>
            </w:r>
          </w:p>
        </w:tc>
        <w:tc>
          <w:tcPr>
            <w:tcW w:w="349" w:type="pct"/>
            <w:vMerge w:val="continue"/>
            <w:tcBorders>
              <w:tl2br w:val="nil"/>
              <w:tr2bl w:val="nil"/>
            </w:tcBorders>
            <w:noWrap w:val="0"/>
            <w:vAlign w:val="center"/>
          </w:tcPr>
          <w:p w14:paraId="262BBBA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88F2BA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A2794D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588894B">
            <w:pPr>
              <w:jc w:val="center"/>
              <w:rPr>
                <w:rFonts w:hint="eastAsia" w:ascii="微软雅黑" w:hAnsi="微软雅黑" w:eastAsia="微软雅黑" w:cs="微软雅黑"/>
                <w:i w:val="0"/>
                <w:iCs w:val="0"/>
                <w:color w:val="000000"/>
                <w:sz w:val="20"/>
                <w:szCs w:val="20"/>
                <w:u w:val="none"/>
              </w:rPr>
            </w:pPr>
          </w:p>
        </w:tc>
      </w:tr>
      <w:tr w14:paraId="6682F6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FBD9A6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78FA9C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114CE6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9.支持在0℃～40℃环境温度下进行工作；</w:t>
            </w:r>
          </w:p>
        </w:tc>
        <w:tc>
          <w:tcPr>
            <w:tcW w:w="349" w:type="pct"/>
            <w:vMerge w:val="continue"/>
            <w:tcBorders>
              <w:tl2br w:val="nil"/>
              <w:tr2bl w:val="nil"/>
            </w:tcBorders>
            <w:noWrap w:val="0"/>
            <w:vAlign w:val="center"/>
          </w:tcPr>
          <w:p w14:paraId="6F494B0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F5CE54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4DDFAD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553F4F9">
            <w:pPr>
              <w:jc w:val="center"/>
              <w:rPr>
                <w:rFonts w:hint="eastAsia" w:ascii="微软雅黑" w:hAnsi="微软雅黑" w:eastAsia="微软雅黑" w:cs="微软雅黑"/>
                <w:i w:val="0"/>
                <w:iCs w:val="0"/>
                <w:color w:val="000000"/>
                <w:sz w:val="20"/>
                <w:szCs w:val="20"/>
                <w:u w:val="none"/>
              </w:rPr>
            </w:pPr>
          </w:p>
        </w:tc>
      </w:tr>
      <w:tr w14:paraId="2FC285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7B651A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E0DC20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2C3834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10.至少具备液晶显示屏，支持实时查看充电状态。</w:t>
            </w:r>
          </w:p>
        </w:tc>
        <w:tc>
          <w:tcPr>
            <w:tcW w:w="349" w:type="pct"/>
            <w:vMerge w:val="continue"/>
            <w:tcBorders>
              <w:tl2br w:val="nil"/>
              <w:tr2bl w:val="nil"/>
            </w:tcBorders>
            <w:noWrap w:val="0"/>
            <w:vAlign w:val="center"/>
          </w:tcPr>
          <w:p w14:paraId="331F6C4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F93B2E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39E9E2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E4133A7">
            <w:pPr>
              <w:jc w:val="center"/>
              <w:rPr>
                <w:rFonts w:hint="eastAsia" w:ascii="微软雅黑" w:hAnsi="微软雅黑" w:eastAsia="微软雅黑" w:cs="微软雅黑"/>
                <w:i w:val="0"/>
                <w:iCs w:val="0"/>
                <w:color w:val="000000"/>
                <w:sz w:val="20"/>
                <w:szCs w:val="20"/>
                <w:u w:val="none"/>
              </w:rPr>
            </w:pPr>
          </w:p>
        </w:tc>
      </w:tr>
      <w:tr w14:paraId="37F430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786E32F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422" w:type="pct"/>
            <w:vMerge w:val="restart"/>
            <w:tcBorders>
              <w:tl2br w:val="nil"/>
              <w:tr2bl w:val="nil"/>
            </w:tcBorders>
            <w:noWrap w:val="0"/>
            <w:vAlign w:val="center"/>
          </w:tcPr>
          <w:p w14:paraId="7AC8D1E9">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小型无人机执照飞行实训平台（三类）电池</w:t>
            </w:r>
          </w:p>
        </w:tc>
        <w:tc>
          <w:tcPr>
            <w:tcW w:w="2949" w:type="pct"/>
            <w:tcBorders>
              <w:tl2br w:val="nil"/>
              <w:tr2bl w:val="nil"/>
            </w:tcBorders>
            <w:noWrap w:val="0"/>
            <w:vAlign w:val="center"/>
          </w:tcPr>
          <w:p w14:paraId="756298C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1.电芯组合：6S1P；</w:t>
            </w:r>
          </w:p>
        </w:tc>
        <w:tc>
          <w:tcPr>
            <w:tcW w:w="349" w:type="pct"/>
            <w:vMerge w:val="restart"/>
            <w:tcBorders>
              <w:tl2br w:val="nil"/>
              <w:tr2bl w:val="nil"/>
            </w:tcBorders>
            <w:noWrap w:val="0"/>
            <w:vAlign w:val="center"/>
          </w:tcPr>
          <w:p w14:paraId="214BCD4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121E7BC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5AB7A92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1F6F87F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0DF339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242AF0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FC585F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877C90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2.容量：≥12000mah；</w:t>
            </w:r>
          </w:p>
        </w:tc>
        <w:tc>
          <w:tcPr>
            <w:tcW w:w="349" w:type="pct"/>
            <w:vMerge w:val="continue"/>
            <w:tcBorders>
              <w:tl2br w:val="nil"/>
              <w:tr2bl w:val="nil"/>
            </w:tcBorders>
            <w:noWrap w:val="0"/>
            <w:vAlign w:val="center"/>
          </w:tcPr>
          <w:p w14:paraId="249AEB9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1F9004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B10E57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881A910">
            <w:pPr>
              <w:jc w:val="center"/>
              <w:rPr>
                <w:rFonts w:hint="eastAsia" w:ascii="微软雅黑" w:hAnsi="微软雅黑" w:eastAsia="微软雅黑" w:cs="微软雅黑"/>
                <w:i w:val="0"/>
                <w:iCs w:val="0"/>
                <w:color w:val="000000"/>
                <w:sz w:val="20"/>
                <w:szCs w:val="20"/>
                <w:u w:val="none"/>
              </w:rPr>
            </w:pPr>
          </w:p>
        </w:tc>
      </w:tr>
      <w:tr w14:paraId="2639D8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F88DE5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588607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662DB5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3.电压：≥20V；</w:t>
            </w:r>
          </w:p>
        </w:tc>
        <w:tc>
          <w:tcPr>
            <w:tcW w:w="349" w:type="pct"/>
            <w:vMerge w:val="continue"/>
            <w:tcBorders>
              <w:tl2br w:val="nil"/>
              <w:tr2bl w:val="nil"/>
            </w:tcBorders>
            <w:noWrap w:val="0"/>
            <w:vAlign w:val="center"/>
          </w:tcPr>
          <w:p w14:paraId="31E3228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9628D6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F7E2B6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24539CA">
            <w:pPr>
              <w:jc w:val="center"/>
              <w:rPr>
                <w:rFonts w:hint="eastAsia" w:ascii="微软雅黑" w:hAnsi="微软雅黑" w:eastAsia="微软雅黑" w:cs="微软雅黑"/>
                <w:i w:val="0"/>
                <w:iCs w:val="0"/>
                <w:color w:val="000000"/>
                <w:sz w:val="20"/>
                <w:szCs w:val="20"/>
                <w:u w:val="none"/>
              </w:rPr>
            </w:pPr>
          </w:p>
        </w:tc>
      </w:tr>
      <w:tr w14:paraId="17B80A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5DC329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AD14C6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423E56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4.放电倍率：≥12C。</w:t>
            </w:r>
          </w:p>
        </w:tc>
        <w:tc>
          <w:tcPr>
            <w:tcW w:w="349" w:type="pct"/>
            <w:vMerge w:val="continue"/>
            <w:tcBorders>
              <w:tl2br w:val="nil"/>
              <w:tr2bl w:val="nil"/>
            </w:tcBorders>
            <w:noWrap w:val="0"/>
            <w:vAlign w:val="center"/>
          </w:tcPr>
          <w:p w14:paraId="7D987AB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063016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F5CD3C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6D720DF">
            <w:pPr>
              <w:jc w:val="center"/>
              <w:rPr>
                <w:rFonts w:hint="eastAsia" w:ascii="微软雅黑" w:hAnsi="微软雅黑" w:eastAsia="微软雅黑" w:cs="微软雅黑"/>
                <w:i w:val="0"/>
                <w:iCs w:val="0"/>
                <w:color w:val="000000"/>
                <w:sz w:val="20"/>
                <w:szCs w:val="20"/>
                <w:u w:val="none"/>
              </w:rPr>
            </w:pPr>
          </w:p>
        </w:tc>
      </w:tr>
      <w:tr w14:paraId="39780E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2D9E815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422" w:type="pct"/>
            <w:vMerge w:val="restart"/>
            <w:tcBorders>
              <w:tl2br w:val="nil"/>
              <w:tr2bl w:val="nil"/>
            </w:tcBorders>
            <w:noWrap w:val="0"/>
            <w:vAlign w:val="center"/>
          </w:tcPr>
          <w:p w14:paraId="1E0A05F4">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中型无人机执照飞行实训平台（四类）电池</w:t>
            </w:r>
          </w:p>
        </w:tc>
        <w:tc>
          <w:tcPr>
            <w:tcW w:w="2949" w:type="pct"/>
            <w:tcBorders>
              <w:tl2br w:val="nil"/>
              <w:tr2bl w:val="nil"/>
            </w:tcBorders>
            <w:noWrap w:val="0"/>
            <w:vAlign w:val="center"/>
          </w:tcPr>
          <w:p w14:paraId="1DF2BB3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1.电芯组合：6S1P；</w:t>
            </w:r>
          </w:p>
        </w:tc>
        <w:tc>
          <w:tcPr>
            <w:tcW w:w="349" w:type="pct"/>
            <w:vMerge w:val="restart"/>
            <w:tcBorders>
              <w:tl2br w:val="nil"/>
              <w:tr2bl w:val="nil"/>
            </w:tcBorders>
            <w:noWrap w:val="0"/>
            <w:vAlign w:val="center"/>
          </w:tcPr>
          <w:p w14:paraId="4CC7CAB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344" w:type="pct"/>
            <w:tcBorders>
              <w:tl2br w:val="nil"/>
              <w:tr2bl w:val="nil"/>
            </w:tcBorders>
            <w:noWrap w:val="0"/>
            <w:vAlign w:val="center"/>
          </w:tcPr>
          <w:p w14:paraId="11061B4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74F366A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46ABDD4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73FFC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11C0A3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CD30529">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FE1CFF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2.容量：≥22000mah；</w:t>
            </w:r>
          </w:p>
        </w:tc>
        <w:tc>
          <w:tcPr>
            <w:tcW w:w="349" w:type="pct"/>
            <w:vMerge w:val="continue"/>
            <w:tcBorders>
              <w:tl2br w:val="nil"/>
              <w:tr2bl w:val="nil"/>
            </w:tcBorders>
            <w:noWrap w:val="0"/>
            <w:vAlign w:val="center"/>
          </w:tcPr>
          <w:p w14:paraId="6B7C460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E18262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C97881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51753BF">
            <w:pPr>
              <w:jc w:val="center"/>
              <w:rPr>
                <w:rFonts w:hint="eastAsia" w:ascii="微软雅黑" w:hAnsi="微软雅黑" w:eastAsia="微软雅黑" w:cs="微软雅黑"/>
                <w:i w:val="0"/>
                <w:iCs w:val="0"/>
                <w:color w:val="000000"/>
                <w:sz w:val="20"/>
                <w:szCs w:val="20"/>
                <w:u w:val="none"/>
              </w:rPr>
            </w:pPr>
          </w:p>
        </w:tc>
      </w:tr>
      <w:tr w14:paraId="5BF975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FA78E2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15DB100">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245B31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3.电压：≥20V；</w:t>
            </w:r>
          </w:p>
        </w:tc>
        <w:tc>
          <w:tcPr>
            <w:tcW w:w="349" w:type="pct"/>
            <w:vMerge w:val="continue"/>
            <w:tcBorders>
              <w:tl2br w:val="nil"/>
              <w:tr2bl w:val="nil"/>
            </w:tcBorders>
            <w:noWrap w:val="0"/>
            <w:vAlign w:val="center"/>
          </w:tcPr>
          <w:p w14:paraId="0D6F0D4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4D3467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C504BA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6A73876">
            <w:pPr>
              <w:jc w:val="center"/>
              <w:rPr>
                <w:rFonts w:hint="eastAsia" w:ascii="微软雅黑" w:hAnsi="微软雅黑" w:eastAsia="微软雅黑" w:cs="微软雅黑"/>
                <w:i w:val="0"/>
                <w:iCs w:val="0"/>
                <w:color w:val="000000"/>
                <w:sz w:val="20"/>
                <w:szCs w:val="20"/>
                <w:u w:val="none"/>
              </w:rPr>
            </w:pPr>
          </w:p>
        </w:tc>
      </w:tr>
      <w:tr w14:paraId="353DEA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AAC608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E31B0BD">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7C3755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4.放电倍率：≥22C。</w:t>
            </w:r>
          </w:p>
        </w:tc>
        <w:tc>
          <w:tcPr>
            <w:tcW w:w="349" w:type="pct"/>
            <w:vMerge w:val="continue"/>
            <w:tcBorders>
              <w:tl2br w:val="nil"/>
              <w:tr2bl w:val="nil"/>
            </w:tcBorders>
            <w:noWrap w:val="0"/>
            <w:vAlign w:val="center"/>
          </w:tcPr>
          <w:p w14:paraId="68DC523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F7094E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4ACC43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CFD50CA">
            <w:pPr>
              <w:jc w:val="center"/>
              <w:rPr>
                <w:rFonts w:hint="eastAsia" w:ascii="微软雅黑" w:hAnsi="微软雅黑" w:eastAsia="微软雅黑" w:cs="微软雅黑"/>
                <w:i w:val="0"/>
                <w:iCs w:val="0"/>
                <w:color w:val="000000"/>
                <w:sz w:val="20"/>
                <w:szCs w:val="20"/>
                <w:u w:val="none"/>
              </w:rPr>
            </w:pPr>
          </w:p>
        </w:tc>
      </w:tr>
      <w:tr w14:paraId="77F561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579F1B5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422" w:type="pct"/>
            <w:vMerge w:val="restart"/>
            <w:tcBorders>
              <w:tl2br w:val="nil"/>
              <w:tr2bl w:val="nil"/>
            </w:tcBorders>
            <w:noWrap w:val="0"/>
            <w:vAlign w:val="center"/>
          </w:tcPr>
          <w:p w14:paraId="6A6B9A56">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电池防爆箱</w:t>
            </w:r>
          </w:p>
        </w:tc>
        <w:tc>
          <w:tcPr>
            <w:tcW w:w="2949" w:type="pct"/>
            <w:tcBorders>
              <w:tl2br w:val="nil"/>
              <w:tr2bl w:val="nil"/>
            </w:tcBorders>
            <w:noWrap w:val="0"/>
            <w:vAlign w:val="center"/>
          </w:tcPr>
          <w:p w14:paraId="4CD1CBD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1.材质：Q235碳素钢</w:t>
            </w:r>
          </w:p>
        </w:tc>
        <w:tc>
          <w:tcPr>
            <w:tcW w:w="349" w:type="pct"/>
            <w:vMerge w:val="restart"/>
            <w:tcBorders>
              <w:tl2br w:val="nil"/>
              <w:tr2bl w:val="nil"/>
            </w:tcBorders>
            <w:noWrap w:val="0"/>
            <w:vAlign w:val="center"/>
          </w:tcPr>
          <w:p w14:paraId="701A022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44" w:type="pct"/>
            <w:tcBorders>
              <w:tl2br w:val="nil"/>
              <w:tr2bl w:val="nil"/>
            </w:tcBorders>
            <w:noWrap w:val="0"/>
            <w:vAlign w:val="center"/>
          </w:tcPr>
          <w:p w14:paraId="7AD3294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227B035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5D82352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5A35D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768F15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DB76E9A">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E7BDDA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2.尺寸：≥300mm×150mm×200mm（长×宽×高）</w:t>
            </w:r>
          </w:p>
        </w:tc>
        <w:tc>
          <w:tcPr>
            <w:tcW w:w="349" w:type="pct"/>
            <w:vMerge w:val="continue"/>
            <w:tcBorders>
              <w:tl2br w:val="nil"/>
              <w:tr2bl w:val="nil"/>
            </w:tcBorders>
            <w:noWrap w:val="0"/>
            <w:vAlign w:val="center"/>
          </w:tcPr>
          <w:p w14:paraId="2751BF6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3F934A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409872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0647EEF">
            <w:pPr>
              <w:jc w:val="center"/>
              <w:rPr>
                <w:rFonts w:hint="eastAsia" w:ascii="微软雅黑" w:hAnsi="微软雅黑" w:eastAsia="微软雅黑" w:cs="微软雅黑"/>
                <w:i w:val="0"/>
                <w:iCs w:val="0"/>
                <w:color w:val="000000"/>
                <w:sz w:val="20"/>
                <w:szCs w:val="20"/>
                <w:u w:val="none"/>
              </w:rPr>
            </w:pPr>
          </w:p>
        </w:tc>
      </w:tr>
      <w:tr w14:paraId="44CB5D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FDA9D1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D0BFB4A">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E0CE5E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3.闭合方式：杠杆扣压</w:t>
            </w:r>
          </w:p>
        </w:tc>
        <w:tc>
          <w:tcPr>
            <w:tcW w:w="349" w:type="pct"/>
            <w:vMerge w:val="continue"/>
            <w:tcBorders>
              <w:tl2br w:val="nil"/>
              <w:tr2bl w:val="nil"/>
            </w:tcBorders>
            <w:noWrap w:val="0"/>
            <w:vAlign w:val="center"/>
          </w:tcPr>
          <w:p w14:paraId="57C4CCC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761741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88115D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A2A3EF4">
            <w:pPr>
              <w:jc w:val="center"/>
              <w:rPr>
                <w:rFonts w:hint="eastAsia" w:ascii="微软雅黑" w:hAnsi="微软雅黑" w:eastAsia="微软雅黑" w:cs="微软雅黑"/>
                <w:i w:val="0"/>
                <w:iCs w:val="0"/>
                <w:color w:val="000000"/>
                <w:sz w:val="20"/>
                <w:szCs w:val="20"/>
                <w:u w:val="none"/>
              </w:rPr>
            </w:pPr>
          </w:p>
        </w:tc>
      </w:tr>
      <w:tr w14:paraId="58F686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50D848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E9DAF7A">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86E0A4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4.密封方式：顶盖内侧加强型硅胶圈</w:t>
            </w:r>
          </w:p>
        </w:tc>
        <w:tc>
          <w:tcPr>
            <w:tcW w:w="349" w:type="pct"/>
            <w:vMerge w:val="continue"/>
            <w:tcBorders>
              <w:tl2br w:val="nil"/>
              <w:tr2bl w:val="nil"/>
            </w:tcBorders>
            <w:noWrap w:val="0"/>
            <w:vAlign w:val="center"/>
          </w:tcPr>
          <w:p w14:paraId="1B43268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06959C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544FF8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E785099">
            <w:pPr>
              <w:jc w:val="center"/>
              <w:rPr>
                <w:rFonts w:hint="eastAsia" w:ascii="微软雅黑" w:hAnsi="微软雅黑" w:eastAsia="微软雅黑" w:cs="微软雅黑"/>
                <w:i w:val="0"/>
                <w:iCs w:val="0"/>
                <w:color w:val="000000"/>
                <w:sz w:val="20"/>
                <w:szCs w:val="20"/>
                <w:u w:val="none"/>
              </w:rPr>
            </w:pPr>
          </w:p>
        </w:tc>
      </w:tr>
      <w:tr w14:paraId="736B72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79B2AE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3178F89">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E4B2FD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5.密封材质：高密度38硬度EVA</w:t>
            </w:r>
          </w:p>
        </w:tc>
        <w:tc>
          <w:tcPr>
            <w:tcW w:w="349" w:type="pct"/>
            <w:vMerge w:val="continue"/>
            <w:tcBorders>
              <w:tl2br w:val="nil"/>
              <w:tr2bl w:val="nil"/>
            </w:tcBorders>
            <w:noWrap w:val="0"/>
            <w:vAlign w:val="center"/>
          </w:tcPr>
          <w:p w14:paraId="41B15BE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406F68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A1E69B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630331E">
            <w:pPr>
              <w:jc w:val="center"/>
              <w:rPr>
                <w:rFonts w:hint="eastAsia" w:ascii="微软雅黑" w:hAnsi="微软雅黑" w:eastAsia="微软雅黑" w:cs="微软雅黑"/>
                <w:i w:val="0"/>
                <w:iCs w:val="0"/>
                <w:color w:val="000000"/>
                <w:sz w:val="20"/>
                <w:szCs w:val="20"/>
                <w:u w:val="none"/>
              </w:rPr>
            </w:pPr>
          </w:p>
        </w:tc>
      </w:tr>
      <w:tr w14:paraId="6B5268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11FE5F9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422" w:type="pct"/>
            <w:vMerge w:val="restart"/>
            <w:tcBorders>
              <w:tl2br w:val="nil"/>
              <w:tr2bl w:val="nil"/>
            </w:tcBorders>
            <w:noWrap w:val="0"/>
            <w:vAlign w:val="center"/>
          </w:tcPr>
          <w:p w14:paraId="4AC62777">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室外飞行实操物料库</w:t>
            </w:r>
          </w:p>
        </w:tc>
        <w:tc>
          <w:tcPr>
            <w:tcW w:w="2949" w:type="pct"/>
            <w:tcBorders>
              <w:tl2br w:val="nil"/>
              <w:tr2bl w:val="nil"/>
            </w:tcBorders>
            <w:noWrap w:val="0"/>
            <w:vAlign w:val="center"/>
          </w:tcPr>
          <w:p w14:paraId="180C21A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室外飞行实操物料库，包含：</w:t>
            </w:r>
          </w:p>
        </w:tc>
        <w:tc>
          <w:tcPr>
            <w:tcW w:w="349" w:type="pct"/>
            <w:vMerge w:val="restart"/>
            <w:tcBorders>
              <w:tl2br w:val="nil"/>
              <w:tr2bl w:val="nil"/>
            </w:tcBorders>
            <w:noWrap w:val="0"/>
            <w:vAlign w:val="center"/>
          </w:tcPr>
          <w:p w14:paraId="22AB6AE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44" w:type="pct"/>
            <w:tcBorders>
              <w:tl2br w:val="nil"/>
              <w:tr2bl w:val="nil"/>
            </w:tcBorders>
            <w:noWrap w:val="0"/>
            <w:vAlign w:val="center"/>
          </w:tcPr>
          <w:p w14:paraId="02EDBE7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00BCFDC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5521190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05655C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86CED0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254C69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6986CA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1、锥桶    10个</w:t>
            </w:r>
          </w:p>
        </w:tc>
        <w:tc>
          <w:tcPr>
            <w:tcW w:w="349" w:type="pct"/>
            <w:vMerge w:val="continue"/>
            <w:tcBorders>
              <w:tl2br w:val="nil"/>
              <w:tr2bl w:val="nil"/>
            </w:tcBorders>
            <w:noWrap w:val="0"/>
            <w:vAlign w:val="center"/>
          </w:tcPr>
          <w:p w14:paraId="5E435CA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71E715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01C62E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66F8A04">
            <w:pPr>
              <w:jc w:val="center"/>
              <w:rPr>
                <w:rFonts w:hint="eastAsia" w:ascii="微软雅黑" w:hAnsi="微软雅黑" w:eastAsia="微软雅黑" w:cs="微软雅黑"/>
                <w:i w:val="0"/>
                <w:iCs w:val="0"/>
                <w:color w:val="000000"/>
                <w:sz w:val="20"/>
                <w:szCs w:val="20"/>
                <w:u w:val="none"/>
              </w:rPr>
            </w:pPr>
          </w:p>
        </w:tc>
      </w:tr>
      <w:tr w14:paraId="281A52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9810D2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1B95BF0">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B6663B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2、防护网  </w:t>
            </w:r>
            <w:r>
              <w:rPr>
                <w:rFonts w:hint="eastAsia" w:ascii="微软雅黑" w:hAnsi="微软雅黑" w:eastAsia="微软雅黑" w:cs="微软雅黑"/>
                <w:i w:val="0"/>
                <w:iCs w:val="0"/>
                <w:color w:val="auto"/>
                <w:kern w:val="0"/>
                <w:sz w:val="20"/>
                <w:szCs w:val="20"/>
                <w:highlight w:val="yellow"/>
                <w:u w:val="none"/>
                <w:lang w:val="en-US" w:eastAsia="zh-CN" w:bidi="ar"/>
              </w:rPr>
              <w:t xml:space="preserve"> 120cm X 300CM 1个</w:t>
            </w:r>
          </w:p>
        </w:tc>
        <w:tc>
          <w:tcPr>
            <w:tcW w:w="349" w:type="pct"/>
            <w:vMerge w:val="continue"/>
            <w:tcBorders>
              <w:tl2br w:val="nil"/>
              <w:tr2bl w:val="nil"/>
            </w:tcBorders>
            <w:noWrap w:val="0"/>
            <w:vAlign w:val="center"/>
          </w:tcPr>
          <w:p w14:paraId="6753DDC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79876E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C2D567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8DCA199">
            <w:pPr>
              <w:jc w:val="center"/>
              <w:rPr>
                <w:rFonts w:hint="eastAsia" w:ascii="微软雅黑" w:hAnsi="微软雅黑" w:eastAsia="微软雅黑" w:cs="微软雅黑"/>
                <w:i w:val="0"/>
                <w:iCs w:val="0"/>
                <w:color w:val="000000"/>
                <w:sz w:val="20"/>
                <w:szCs w:val="20"/>
                <w:u w:val="none"/>
              </w:rPr>
            </w:pPr>
          </w:p>
        </w:tc>
      </w:tr>
      <w:tr w14:paraId="2CAA1A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0A7967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46B882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E4FE7A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3、帐篷 </w:t>
            </w:r>
            <w:r>
              <w:rPr>
                <w:rFonts w:hint="eastAsia" w:ascii="微软雅黑" w:hAnsi="微软雅黑" w:eastAsia="微软雅黑" w:cs="微软雅黑"/>
                <w:i w:val="0"/>
                <w:iCs w:val="0"/>
                <w:color w:val="auto"/>
                <w:kern w:val="0"/>
                <w:sz w:val="20"/>
                <w:szCs w:val="20"/>
                <w:highlight w:val="yellow"/>
                <w:u w:val="none"/>
                <w:lang w:val="en-US" w:eastAsia="zh-CN" w:bidi="ar"/>
              </w:rPr>
              <w:t xml:space="preserve">300cm X 450cm </w:t>
            </w:r>
            <w:r>
              <w:rPr>
                <w:rFonts w:hint="eastAsia" w:ascii="微软雅黑" w:hAnsi="微软雅黑" w:eastAsia="微软雅黑" w:cs="微软雅黑"/>
                <w:i w:val="0"/>
                <w:iCs w:val="0"/>
                <w:color w:val="auto"/>
                <w:kern w:val="0"/>
                <w:sz w:val="20"/>
                <w:szCs w:val="20"/>
                <w:u w:val="none"/>
                <w:lang w:val="en-US" w:eastAsia="zh-CN" w:bidi="ar"/>
              </w:rPr>
              <w:t xml:space="preserve">  1顶</w:t>
            </w:r>
          </w:p>
        </w:tc>
        <w:tc>
          <w:tcPr>
            <w:tcW w:w="349" w:type="pct"/>
            <w:vMerge w:val="continue"/>
            <w:tcBorders>
              <w:tl2br w:val="nil"/>
              <w:tr2bl w:val="nil"/>
            </w:tcBorders>
            <w:noWrap w:val="0"/>
            <w:vAlign w:val="center"/>
          </w:tcPr>
          <w:p w14:paraId="02078BD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C8921B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C93D87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E8CB3A5">
            <w:pPr>
              <w:jc w:val="center"/>
              <w:rPr>
                <w:rFonts w:hint="eastAsia" w:ascii="微软雅黑" w:hAnsi="微软雅黑" w:eastAsia="微软雅黑" w:cs="微软雅黑"/>
                <w:i w:val="0"/>
                <w:iCs w:val="0"/>
                <w:color w:val="000000"/>
                <w:sz w:val="20"/>
                <w:szCs w:val="20"/>
                <w:u w:val="none"/>
              </w:rPr>
            </w:pPr>
          </w:p>
        </w:tc>
      </w:tr>
      <w:tr w14:paraId="248E6F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53B3BA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42C07C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39093B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4、马扎凳    10个</w:t>
            </w:r>
          </w:p>
        </w:tc>
        <w:tc>
          <w:tcPr>
            <w:tcW w:w="349" w:type="pct"/>
            <w:vMerge w:val="continue"/>
            <w:tcBorders>
              <w:tl2br w:val="nil"/>
              <w:tr2bl w:val="nil"/>
            </w:tcBorders>
            <w:noWrap w:val="0"/>
            <w:vAlign w:val="center"/>
          </w:tcPr>
          <w:p w14:paraId="5181FB3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B444AA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84C8F4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D0800A0">
            <w:pPr>
              <w:jc w:val="center"/>
              <w:rPr>
                <w:rFonts w:hint="eastAsia" w:ascii="微软雅黑" w:hAnsi="微软雅黑" w:eastAsia="微软雅黑" w:cs="微软雅黑"/>
                <w:i w:val="0"/>
                <w:iCs w:val="0"/>
                <w:color w:val="000000"/>
                <w:sz w:val="20"/>
                <w:szCs w:val="20"/>
                <w:u w:val="none"/>
              </w:rPr>
            </w:pPr>
          </w:p>
        </w:tc>
      </w:tr>
      <w:tr w14:paraId="04FAB7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FD93E4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2AD690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8E288B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5、折叠桌  </w:t>
            </w:r>
            <w:r>
              <w:rPr>
                <w:rFonts w:hint="eastAsia" w:ascii="微软雅黑" w:hAnsi="微软雅黑" w:eastAsia="微软雅黑" w:cs="微软雅黑"/>
                <w:i w:val="0"/>
                <w:iCs w:val="0"/>
                <w:color w:val="auto"/>
                <w:kern w:val="0"/>
                <w:sz w:val="20"/>
                <w:szCs w:val="20"/>
                <w:highlight w:val="yellow"/>
                <w:u w:val="none"/>
                <w:lang w:val="en-US" w:eastAsia="zh-CN" w:bidi="ar"/>
              </w:rPr>
              <w:t>60cm X 70cm X 120cm</w:t>
            </w:r>
            <w:r>
              <w:rPr>
                <w:rFonts w:hint="eastAsia" w:ascii="微软雅黑" w:hAnsi="微软雅黑" w:eastAsia="微软雅黑" w:cs="微软雅黑"/>
                <w:i w:val="0"/>
                <w:iCs w:val="0"/>
                <w:color w:val="auto"/>
                <w:kern w:val="0"/>
                <w:sz w:val="20"/>
                <w:szCs w:val="20"/>
                <w:u w:val="none"/>
                <w:lang w:val="en-US" w:eastAsia="zh-CN" w:bidi="ar"/>
              </w:rPr>
              <w:t>,铝合金材质，高度120cm，  1个</w:t>
            </w:r>
          </w:p>
        </w:tc>
        <w:tc>
          <w:tcPr>
            <w:tcW w:w="349" w:type="pct"/>
            <w:vMerge w:val="continue"/>
            <w:tcBorders>
              <w:tl2br w:val="nil"/>
              <w:tr2bl w:val="nil"/>
            </w:tcBorders>
            <w:noWrap w:val="0"/>
            <w:vAlign w:val="center"/>
          </w:tcPr>
          <w:p w14:paraId="799D2C9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1EA188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CE4B90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72F9F59">
            <w:pPr>
              <w:jc w:val="center"/>
              <w:rPr>
                <w:rFonts w:hint="eastAsia" w:ascii="微软雅黑" w:hAnsi="微软雅黑" w:eastAsia="微软雅黑" w:cs="微软雅黑"/>
                <w:i w:val="0"/>
                <w:iCs w:val="0"/>
                <w:color w:val="000000"/>
                <w:sz w:val="20"/>
                <w:szCs w:val="20"/>
                <w:u w:val="none"/>
              </w:rPr>
            </w:pPr>
          </w:p>
        </w:tc>
      </w:tr>
      <w:tr w14:paraId="05783C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2003F77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422" w:type="pct"/>
            <w:vMerge w:val="restart"/>
            <w:tcBorders>
              <w:tl2br w:val="nil"/>
              <w:tr2bl w:val="nil"/>
            </w:tcBorders>
            <w:noWrap w:val="0"/>
            <w:vAlign w:val="center"/>
          </w:tcPr>
          <w:p w14:paraId="3765422B">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无人机虚拟仿真实训云平台（进阶版）</w:t>
            </w:r>
          </w:p>
        </w:tc>
        <w:tc>
          <w:tcPr>
            <w:tcW w:w="2949" w:type="pct"/>
            <w:tcBorders>
              <w:tl2br w:val="nil"/>
              <w:tr2bl w:val="nil"/>
            </w:tcBorders>
            <w:noWrap w:val="0"/>
            <w:vAlign w:val="center"/>
          </w:tcPr>
          <w:p w14:paraId="640A928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一、基础设置要求</w:t>
            </w:r>
          </w:p>
        </w:tc>
        <w:tc>
          <w:tcPr>
            <w:tcW w:w="349" w:type="pct"/>
            <w:vMerge w:val="restart"/>
            <w:tcBorders>
              <w:tl2br w:val="nil"/>
              <w:tr2bl w:val="nil"/>
            </w:tcBorders>
            <w:noWrap w:val="0"/>
            <w:vAlign w:val="center"/>
          </w:tcPr>
          <w:p w14:paraId="28598C8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344" w:type="pct"/>
            <w:tcBorders>
              <w:tl2br w:val="nil"/>
              <w:tr2bl w:val="nil"/>
            </w:tcBorders>
            <w:noWrap w:val="0"/>
            <w:vAlign w:val="center"/>
          </w:tcPr>
          <w:p w14:paraId="7E5FC8F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16B2162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7C22C8E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47D8B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F4543E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E13ED98">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264F37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1、应具有灵敏度调节功能，能够支持对副翼、升降、油门、方向进行操控灵敏度调节。</w:t>
            </w:r>
          </w:p>
        </w:tc>
        <w:tc>
          <w:tcPr>
            <w:tcW w:w="349" w:type="pct"/>
            <w:vMerge w:val="continue"/>
            <w:tcBorders>
              <w:tl2br w:val="nil"/>
              <w:tr2bl w:val="nil"/>
            </w:tcBorders>
            <w:noWrap w:val="0"/>
            <w:vAlign w:val="center"/>
          </w:tcPr>
          <w:p w14:paraId="2A00055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1E7403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C6B5C4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E6C6EF6">
            <w:pPr>
              <w:jc w:val="center"/>
              <w:rPr>
                <w:rFonts w:hint="eastAsia" w:ascii="微软雅黑" w:hAnsi="微软雅黑" w:eastAsia="微软雅黑" w:cs="微软雅黑"/>
                <w:i w:val="0"/>
                <w:iCs w:val="0"/>
                <w:color w:val="000000"/>
                <w:sz w:val="20"/>
                <w:szCs w:val="20"/>
                <w:u w:val="none"/>
              </w:rPr>
            </w:pPr>
          </w:p>
        </w:tc>
      </w:tr>
      <w:tr w14:paraId="0E324F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5967B9B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CEAB8C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4D269B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2、画面设置应支持设置窗口模式、支持独占全屏、窗口模式等功能，并能够根据不同的显示器设置适配的分辨率，用于提高画面的质量和匹配电脑性能。</w:t>
            </w:r>
          </w:p>
        </w:tc>
        <w:tc>
          <w:tcPr>
            <w:tcW w:w="349" w:type="pct"/>
            <w:vMerge w:val="continue"/>
            <w:tcBorders>
              <w:tl2br w:val="nil"/>
              <w:tr2bl w:val="nil"/>
            </w:tcBorders>
            <w:noWrap w:val="0"/>
            <w:vAlign w:val="center"/>
          </w:tcPr>
          <w:p w14:paraId="1471C3B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C24F0A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5FB956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5B496A8">
            <w:pPr>
              <w:jc w:val="center"/>
              <w:rPr>
                <w:rFonts w:hint="eastAsia" w:ascii="微软雅黑" w:hAnsi="微软雅黑" w:eastAsia="微软雅黑" w:cs="微软雅黑"/>
                <w:i w:val="0"/>
                <w:iCs w:val="0"/>
                <w:color w:val="000000"/>
                <w:sz w:val="20"/>
                <w:szCs w:val="20"/>
                <w:u w:val="none"/>
              </w:rPr>
            </w:pPr>
          </w:p>
        </w:tc>
      </w:tr>
      <w:tr w14:paraId="24CEAD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128B53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97CE475">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CF2596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3、具有音频设置功能，能够自定义设置主音量、背景音量、音效音量及语音音量等。</w:t>
            </w:r>
          </w:p>
        </w:tc>
        <w:tc>
          <w:tcPr>
            <w:tcW w:w="349" w:type="pct"/>
            <w:vMerge w:val="continue"/>
            <w:tcBorders>
              <w:tl2br w:val="nil"/>
              <w:tr2bl w:val="nil"/>
            </w:tcBorders>
            <w:noWrap w:val="0"/>
            <w:vAlign w:val="center"/>
          </w:tcPr>
          <w:p w14:paraId="72CC9BE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6AE6E6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2D3314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C8143A2">
            <w:pPr>
              <w:jc w:val="center"/>
              <w:rPr>
                <w:rFonts w:hint="eastAsia" w:ascii="微软雅黑" w:hAnsi="微软雅黑" w:eastAsia="微软雅黑" w:cs="微软雅黑"/>
                <w:i w:val="0"/>
                <w:iCs w:val="0"/>
                <w:color w:val="000000"/>
                <w:sz w:val="20"/>
                <w:szCs w:val="20"/>
                <w:u w:val="none"/>
              </w:rPr>
            </w:pPr>
          </w:p>
        </w:tc>
      </w:tr>
      <w:tr w14:paraId="377D9E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45A3CF5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E17DDB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97B814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4、平台应默认适配至少两款遥控器；支持遥控器自定义校准；遥控器需支持USB-HID协议，能够支持预览遥控器通道的实时输入，并可支持单独对每个通道进行功能映射和校准。</w:t>
            </w:r>
          </w:p>
        </w:tc>
        <w:tc>
          <w:tcPr>
            <w:tcW w:w="349" w:type="pct"/>
            <w:vMerge w:val="continue"/>
            <w:tcBorders>
              <w:tl2br w:val="nil"/>
              <w:tr2bl w:val="nil"/>
            </w:tcBorders>
            <w:noWrap w:val="0"/>
            <w:vAlign w:val="center"/>
          </w:tcPr>
          <w:p w14:paraId="318E2BB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56ECDD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60D669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FB08770">
            <w:pPr>
              <w:jc w:val="center"/>
              <w:rPr>
                <w:rFonts w:hint="eastAsia" w:ascii="微软雅黑" w:hAnsi="微软雅黑" w:eastAsia="微软雅黑" w:cs="微软雅黑"/>
                <w:i w:val="0"/>
                <w:iCs w:val="0"/>
                <w:color w:val="000000"/>
                <w:sz w:val="20"/>
                <w:szCs w:val="20"/>
                <w:u w:val="none"/>
              </w:rPr>
            </w:pPr>
          </w:p>
        </w:tc>
      </w:tr>
      <w:tr w14:paraId="2346B2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2F6477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B69B232">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893793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5、能够显示软件授权信息及授权模块。</w:t>
            </w:r>
          </w:p>
        </w:tc>
        <w:tc>
          <w:tcPr>
            <w:tcW w:w="349" w:type="pct"/>
            <w:vMerge w:val="continue"/>
            <w:tcBorders>
              <w:tl2br w:val="nil"/>
              <w:tr2bl w:val="nil"/>
            </w:tcBorders>
            <w:noWrap w:val="0"/>
            <w:vAlign w:val="center"/>
          </w:tcPr>
          <w:p w14:paraId="063649A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91D847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CE24C4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8B58D81">
            <w:pPr>
              <w:jc w:val="center"/>
              <w:rPr>
                <w:rFonts w:hint="eastAsia" w:ascii="微软雅黑" w:hAnsi="微软雅黑" w:eastAsia="微软雅黑" w:cs="微软雅黑"/>
                <w:i w:val="0"/>
                <w:iCs w:val="0"/>
                <w:color w:val="000000"/>
                <w:sz w:val="20"/>
                <w:szCs w:val="20"/>
                <w:u w:val="none"/>
              </w:rPr>
            </w:pPr>
          </w:p>
        </w:tc>
      </w:tr>
      <w:tr w14:paraId="4483F0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9D2B1A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16835F0">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638D15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6、应该支持键盘、遥控器、VR手柄进行软件全局功能操作。</w:t>
            </w:r>
          </w:p>
        </w:tc>
        <w:tc>
          <w:tcPr>
            <w:tcW w:w="349" w:type="pct"/>
            <w:vMerge w:val="continue"/>
            <w:tcBorders>
              <w:tl2br w:val="nil"/>
              <w:tr2bl w:val="nil"/>
            </w:tcBorders>
            <w:noWrap w:val="0"/>
            <w:vAlign w:val="center"/>
          </w:tcPr>
          <w:p w14:paraId="79F4F29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62DC91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4A1321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5BCEFF0">
            <w:pPr>
              <w:jc w:val="center"/>
              <w:rPr>
                <w:rFonts w:hint="eastAsia" w:ascii="微软雅黑" w:hAnsi="微软雅黑" w:eastAsia="微软雅黑" w:cs="微软雅黑"/>
                <w:i w:val="0"/>
                <w:iCs w:val="0"/>
                <w:color w:val="000000"/>
                <w:sz w:val="20"/>
                <w:szCs w:val="20"/>
                <w:u w:val="none"/>
              </w:rPr>
            </w:pPr>
          </w:p>
        </w:tc>
      </w:tr>
      <w:tr w14:paraId="2E17A1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7BF0F2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F7CE6C2">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DF67A0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7、系统应支持在线热更新。</w:t>
            </w:r>
          </w:p>
        </w:tc>
        <w:tc>
          <w:tcPr>
            <w:tcW w:w="349" w:type="pct"/>
            <w:vMerge w:val="continue"/>
            <w:tcBorders>
              <w:tl2br w:val="nil"/>
              <w:tr2bl w:val="nil"/>
            </w:tcBorders>
            <w:noWrap w:val="0"/>
            <w:vAlign w:val="center"/>
          </w:tcPr>
          <w:p w14:paraId="65013F7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B1091C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570A21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FE72053">
            <w:pPr>
              <w:jc w:val="center"/>
              <w:rPr>
                <w:rFonts w:hint="eastAsia" w:ascii="微软雅黑" w:hAnsi="微软雅黑" w:eastAsia="微软雅黑" w:cs="微软雅黑"/>
                <w:i w:val="0"/>
                <w:iCs w:val="0"/>
                <w:color w:val="000000"/>
                <w:sz w:val="20"/>
                <w:szCs w:val="20"/>
                <w:u w:val="none"/>
              </w:rPr>
            </w:pPr>
          </w:p>
        </w:tc>
      </w:tr>
      <w:tr w14:paraId="3E0AAB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9BC48D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E8894D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630F1D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8、能够支持画面帧数实时显示，可一键打开和关闭帧数显示。</w:t>
            </w:r>
          </w:p>
        </w:tc>
        <w:tc>
          <w:tcPr>
            <w:tcW w:w="349" w:type="pct"/>
            <w:vMerge w:val="continue"/>
            <w:tcBorders>
              <w:tl2br w:val="nil"/>
              <w:tr2bl w:val="nil"/>
            </w:tcBorders>
            <w:noWrap w:val="0"/>
            <w:vAlign w:val="center"/>
          </w:tcPr>
          <w:p w14:paraId="6D0B529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90E5CB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5D8F16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61BFBA5">
            <w:pPr>
              <w:jc w:val="center"/>
              <w:rPr>
                <w:rFonts w:hint="eastAsia" w:ascii="微软雅黑" w:hAnsi="微软雅黑" w:eastAsia="微软雅黑" w:cs="微软雅黑"/>
                <w:i w:val="0"/>
                <w:iCs w:val="0"/>
                <w:color w:val="000000"/>
                <w:sz w:val="20"/>
                <w:szCs w:val="20"/>
                <w:u w:val="none"/>
              </w:rPr>
            </w:pPr>
          </w:p>
        </w:tc>
      </w:tr>
      <w:tr w14:paraId="327678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4AB4984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A5FF22D">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E6E328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9、能够提供分辨率自定义设置，适配不同电脑屏幕的显示</w:t>
            </w:r>
            <w:r>
              <w:rPr>
                <w:rFonts w:hint="eastAsia" w:ascii="微软雅黑" w:hAnsi="微软雅黑" w:eastAsia="微软雅黑" w:cs="微软雅黑"/>
                <w:i w:val="0"/>
                <w:iCs w:val="0"/>
                <w:color w:val="000000"/>
                <w:kern w:val="0"/>
                <w:sz w:val="20"/>
                <w:szCs w:val="20"/>
                <w:highlight w:val="yellow"/>
                <w:u w:val="none"/>
                <w:lang w:val="en-US" w:eastAsia="zh-CN" w:bidi="ar"/>
              </w:rPr>
              <w:t>；画质设置应提供1080P屏幕分辨率、2K屏幕分辨率、4K屏幕分辨率等多种选项</w:t>
            </w:r>
            <w:r>
              <w:rPr>
                <w:rFonts w:hint="eastAsia" w:ascii="微软雅黑" w:hAnsi="微软雅黑" w:eastAsia="微软雅黑" w:cs="微软雅黑"/>
                <w:i w:val="0"/>
                <w:iCs w:val="0"/>
                <w:color w:val="000000"/>
                <w:kern w:val="0"/>
                <w:sz w:val="20"/>
                <w:szCs w:val="20"/>
                <w:u w:val="none"/>
                <w:lang w:val="en-US" w:eastAsia="zh-CN" w:bidi="ar"/>
              </w:rPr>
              <w:t>，并支持分辨率的一键改变。</w:t>
            </w:r>
          </w:p>
        </w:tc>
        <w:tc>
          <w:tcPr>
            <w:tcW w:w="349" w:type="pct"/>
            <w:vMerge w:val="continue"/>
            <w:tcBorders>
              <w:tl2br w:val="nil"/>
              <w:tr2bl w:val="nil"/>
            </w:tcBorders>
            <w:noWrap w:val="0"/>
            <w:vAlign w:val="center"/>
          </w:tcPr>
          <w:p w14:paraId="79B0214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58537A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8CF09F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256001C">
            <w:pPr>
              <w:jc w:val="center"/>
              <w:rPr>
                <w:rFonts w:hint="eastAsia" w:ascii="微软雅黑" w:hAnsi="微软雅黑" w:eastAsia="微软雅黑" w:cs="微软雅黑"/>
                <w:i w:val="0"/>
                <w:iCs w:val="0"/>
                <w:color w:val="000000"/>
                <w:sz w:val="20"/>
                <w:szCs w:val="20"/>
                <w:u w:val="none"/>
              </w:rPr>
            </w:pPr>
          </w:p>
        </w:tc>
      </w:tr>
      <w:tr w14:paraId="007030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25CA75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9FAD296">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E27F4B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10、应具有全屏开关功能，能够支持一键切换窗口化运行和全屏运行。</w:t>
            </w:r>
          </w:p>
        </w:tc>
        <w:tc>
          <w:tcPr>
            <w:tcW w:w="349" w:type="pct"/>
            <w:vMerge w:val="continue"/>
            <w:tcBorders>
              <w:tl2br w:val="nil"/>
              <w:tr2bl w:val="nil"/>
            </w:tcBorders>
            <w:noWrap w:val="0"/>
            <w:vAlign w:val="center"/>
          </w:tcPr>
          <w:p w14:paraId="158CD76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2FBF97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2299D8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DD6BE3A">
            <w:pPr>
              <w:jc w:val="center"/>
              <w:rPr>
                <w:rFonts w:hint="eastAsia" w:ascii="微软雅黑" w:hAnsi="微软雅黑" w:eastAsia="微软雅黑" w:cs="微软雅黑"/>
                <w:i w:val="0"/>
                <w:iCs w:val="0"/>
                <w:color w:val="000000"/>
                <w:sz w:val="20"/>
                <w:szCs w:val="20"/>
                <w:u w:val="none"/>
              </w:rPr>
            </w:pPr>
          </w:p>
        </w:tc>
      </w:tr>
      <w:tr w14:paraId="593CF8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1DF2A1C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5095BE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6C2738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11、应提供多种画质选项，能够适配低中高配置性能的电脑，画质质量设置应提供不低于六种性能阶梯的选项，可一键改变画质，改善运行帧数。</w:t>
            </w:r>
          </w:p>
        </w:tc>
        <w:tc>
          <w:tcPr>
            <w:tcW w:w="349" w:type="pct"/>
            <w:vMerge w:val="continue"/>
            <w:tcBorders>
              <w:tl2br w:val="nil"/>
              <w:tr2bl w:val="nil"/>
            </w:tcBorders>
            <w:noWrap w:val="0"/>
            <w:vAlign w:val="center"/>
          </w:tcPr>
          <w:p w14:paraId="0F903B2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3F7F8D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419DDD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9F9EA6F">
            <w:pPr>
              <w:jc w:val="center"/>
              <w:rPr>
                <w:rFonts w:hint="eastAsia" w:ascii="微软雅黑" w:hAnsi="微软雅黑" w:eastAsia="微软雅黑" w:cs="微软雅黑"/>
                <w:i w:val="0"/>
                <w:iCs w:val="0"/>
                <w:color w:val="000000"/>
                <w:sz w:val="20"/>
                <w:szCs w:val="20"/>
                <w:u w:val="none"/>
              </w:rPr>
            </w:pPr>
          </w:p>
        </w:tc>
      </w:tr>
      <w:tr w14:paraId="384AD5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6D3FCA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5F013D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9F29E9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二、自由飞行</w:t>
            </w:r>
          </w:p>
        </w:tc>
        <w:tc>
          <w:tcPr>
            <w:tcW w:w="349" w:type="pct"/>
            <w:vMerge w:val="continue"/>
            <w:tcBorders>
              <w:tl2br w:val="nil"/>
              <w:tr2bl w:val="nil"/>
            </w:tcBorders>
            <w:noWrap w:val="0"/>
            <w:vAlign w:val="center"/>
          </w:tcPr>
          <w:p w14:paraId="1ACC9ED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FF6439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B672D2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277B638">
            <w:pPr>
              <w:jc w:val="center"/>
              <w:rPr>
                <w:rFonts w:hint="eastAsia" w:ascii="微软雅黑" w:hAnsi="微软雅黑" w:eastAsia="微软雅黑" w:cs="微软雅黑"/>
                <w:i w:val="0"/>
                <w:iCs w:val="0"/>
                <w:color w:val="000000"/>
                <w:sz w:val="20"/>
                <w:szCs w:val="20"/>
                <w:u w:val="none"/>
              </w:rPr>
            </w:pPr>
          </w:p>
        </w:tc>
      </w:tr>
      <w:tr w14:paraId="6CFA32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9DDD56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9DBCFC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2BE10D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1、自有飞行模块应支持多种机型可选：至少应支持六旋翼、八旋翼以及其他常用机型，不少于6种。</w:t>
            </w:r>
          </w:p>
        </w:tc>
        <w:tc>
          <w:tcPr>
            <w:tcW w:w="349" w:type="pct"/>
            <w:vMerge w:val="continue"/>
            <w:tcBorders>
              <w:tl2br w:val="nil"/>
              <w:tr2bl w:val="nil"/>
            </w:tcBorders>
            <w:noWrap w:val="0"/>
            <w:vAlign w:val="center"/>
          </w:tcPr>
          <w:p w14:paraId="309B6C0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4F2A1D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2293FC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B355745">
            <w:pPr>
              <w:jc w:val="center"/>
              <w:rPr>
                <w:rFonts w:hint="eastAsia" w:ascii="微软雅黑" w:hAnsi="微软雅黑" w:eastAsia="微软雅黑" w:cs="微软雅黑"/>
                <w:i w:val="0"/>
                <w:iCs w:val="0"/>
                <w:color w:val="000000"/>
                <w:sz w:val="20"/>
                <w:szCs w:val="20"/>
                <w:u w:val="none"/>
              </w:rPr>
            </w:pPr>
          </w:p>
        </w:tc>
      </w:tr>
      <w:tr w14:paraId="27B25B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F2A988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35A32E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0C5E40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2、系统应具备良好的飞控性能，可以体验各种无人机的飞行姿态及操作手感。应具备多种摇杆模式，能够自定义调节摇杆灵敏度，能够支持美国手、日本手、中国手。</w:t>
            </w:r>
          </w:p>
        </w:tc>
        <w:tc>
          <w:tcPr>
            <w:tcW w:w="349" w:type="pct"/>
            <w:vMerge w:val="continue"/>
            <w:tcBorders>
              <w:tl2br w:val="nil"/>
              <w:tr2bl w:val="nil"/>
            </w:tcBorders>
            <w:noWrap w:val="0"/>
            <w:vAlign w:val="center"/>
          </w:tcPr>
          <w:p w14:paraId="5882925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E22568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AB857A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112E672">
            <w:pPr>
              <w:jc w:val="center"/>
              <w:rPr>
                <w:rFonts w:hint="eastAsia" w:ascii="微软雅黑" w:hAnsi="微软雅黑" w:eastAsia="微软雅黑" w:cs="微软雅黑"/>
                <w:i w:val="0"/>
                <w:iCs w:val="0"/>
                <w:color w:val="000000"/>
                <w:sz w:val="20"/>
                <w:szCs w:val="20"/>
                <w:u w:val="none"/>
              </w:rPr>
            </w:pPr>
          </w:p>
        </w:tc>
      </w:tr>
      <w:tr w14:paraId="21B235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FD939E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2D37488">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7AF3CA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3、系统应具备完善的天气系统功能，能够支持切换天气效果，至少应包含晴天、阴天、雨天、大雪等天气效果。</w:t>
            </w:r>
          </w:p>
        </w:tc>
        <w:tc>
          <w:tcPr>
            <w:tcW w:w="349" w:type="pct"/>
            <w:vMerge w:val="continue"/>
            <w:tcBorders>
              <w:tl2br w:val="nil"/>
              <w:tr2bl w:val="nil"/>
            </w:tcBorders>
            <w:noWrap w:val="0"/>
            <w:vAlign w:val="center"/>
          </w:tcPr>
          <w:p w14:paraId="3537647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7E709F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6BE1E0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8CE076C">
            <w:pPr>
              <w:jc w:val="center"/>
              <w:rPr>
                <w:rFonts w:hint="eastAsia" w:ascii="微软雅黑" w:hAnsi="微软雅黑" w:eastAsia="微软雅黑" w:cs="微软雅黑"/>
                <w:i w:val="0"/>
                <w:iCs w:val="0"/>
                <w:color w:val="000000"/>
                <w:sz w:val="20"/>
                <w:szCs w:val="20"/>
                <w:u w:val="none"/>
              </w:rPr>
            </w:pPr>
          </w:p>
        </w:tc>
      </w:tr>
      <w:tr w14:paraId="2ED8BB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28F447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862F5D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323A4F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4、系统应支持自定义设置模拟时间，能够根据调整的时间自动变换太阳的位置、角度以及太阳光强度等。</w:t>
            </w:r>
          </w:p>
        </w:tc>
        <w:tc>
          <w:tcPr>
            <w:tcW w:w="349" w:type="pct"/>
            <w:vMerge w:val="continue"/>
            <w:tcBorders>
              <w:tl2br w:val="nil"/>
              <w:tr2bl w:val="nil"/>
            </w:tcBorders>
            <w:noWrap w:val="0"/>
            <w:vAlign w:val="center"/>
          </w:tcPr>
          <w:p w14:paraId="5ACD5FF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E97F8C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438CA5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62D2FDF">
            <w:pPr>
              <w:jc w:val="center"/>
              <w:rPr>
                <w:rFonts w:hint="eastAsia" w:ascii="微软雅黑" w:hAnsi="微软雅黑" w:eastAsia="微软雅黑" w:cs="微软雅黑"/>
                <w:i w:val="0"/>
                <w:iCs w:val="0"/>
                <w:color w:val="000000"/>
                <w:sz w:val="20"/>
                <w:szCs w:val="20"/>
                <w:u w:val="none"/>
              </w:rPr>
            </w:pPr>
          </w:p>
        </w:tc>
      </w:tr>
      <w:tr w14:paraId="5F97BC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39F953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F91220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92A1A1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5、应具备设置风力等级的功能，能够支持无风、1-3级风力调节。</w:t>
            </w:r>
          </w:p>
        </w:tc>
        <w:tc>
          <w:tcPr>
            <w:tcW w:w="349" w:type="pct"/>
            <w:vMerge w:val="continue"/>
            <w:tcBorders>
              <w:tl2br w:val="nil"/>
              <w:tr2bl w:val="nil"/>
            </w:tcBorders>
            <w:noWrap w:val="0"/>
            <w:vAlign w:val="center"/>
          </w:tcPr>
          <w:p w14:paraId="608F959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2CAE53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B9EE83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94999D9">
            <w:pPr>
              <w:jc w:val="center"/>
              <w:rPr>
                <w:rFonts w:hint="eastAsia" w:ascii="微软雅黑" w:hAnsi="微软雅黑" w:eastAsia="微软雅黑" w:cs="微软雅黑"/>
                <w:i w:val="0"/>
                <w:iCs w:val="0"/>
                <w:color w:val="000000"/>
                <w:sz w:val="20"/>
                <w:szCs w:val="20"/>
                <w:u w:val="none"/>
              </w:rPr>
            </w:pPr>
          </w:p>
        </w:tc>
      </w:tr>
      <w:tr w14:paraId="23FB07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A612A1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580223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09C404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6、应支持多视角模式，至少包含固定视角、跟随视角和FPV视角。</w:t>
            </w:r>
          </w:p>
        </w:tc>
        <w:tc>
          <w:tcPr>
            <w:tcW w:w="349" w:type="pct"/>
            <w:vMerge w:val="continue"/>
            <w:tcBorders>
              <w:tl2br w:val="nil"/>
              <w:tr2bl w:val="nil"/>
            </w:tcBorders>
            <w:noWrap w:val="0"/>
            <w:vAlign w:val="center"/>
          </w:tcPr>
          <w:p w14:paraId="0FB0363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473EA3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2151AB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5EB35FB">
            <w:pPr>
              <w:jc w:val="center"/>
              <w:rPr>
                <w:rFonts w:hint="eastAsia" w:ascii="微软雅黑" w:hAnsi="微软雅黑" w:eastAsia="微软雅黑" w:cs="微软雅黑"/>
                <w:i w:val="0"/>
                <w:iCs w:val="0"/>
                <w:color w:val="000000"/>
                <w:sz w:val="20"/>
                <w:szCs w:val="20"/>
                <w:u w:val="none"/>
              </w:rPr>
            </w:pPr>
          </w:p>
        </w:tc>
      </w:tr>
      <w:tr w14:paraId="38D8CB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494DC4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41607EB">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20B1F1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7、应具备视角调整功能，在固定视角下应能进行视域调整和高度调整。</w:t>
            </w:r>
          </w:p>
        </w:tc>
        <w:tc>
          <w:tcPr>
            <w:tcW w:w="349" w:type="pct"/>
            <w:vMerge w:val="continue"/>
            <w:tcBorders>
              <w:tl2br w:val="nil"/>
              <w:tr2bl w:val="nil"/>
            </w:tcBorders>
            <w:noWrap w:val="0"/>
            <w:vAlign w:val="center"/>
          </w:tcPr>
          <w:p w14:paraId="400241F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CBA196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1E9A1A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C9ACF01">
            <w:pPr>
              <w:jc w:val="center"/>
              <w:rPr>
                <w:rFonts w:hint="eastAsia" w:ascii="微软雅黑" w:hAnsi="微软雅黑" w:eastAsia="微软雅黑" w:cs="微软雅黑"/>
                <w:i w:val="0"/>
                <w:iCs w:val="0"/>
                <w:color w:val="000000"/>
                <w:sz w:val="20"/>
                <w:szCs w:val="20"/>
                <w:u w:val="none"/>
              </w:rPr>
            </w:pPr>
          </w:p>
        </w:tc>
      </w:tr>
      <w:tr w14:paraId="59D098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33F357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8DA126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2F1B65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8、飞行模式应支持姿态模式和GNSS模式。</w:t>
            </w:r>
          </w:p>
        </w:tc>
        <w:tc>
          <w:tcPr>
            <w:tcW w:w="349" w:type="pct"/>
            <w:vMerge w:val="continue"/>
            <w:tcBorders>
              <w:tl2br w:val="nil"/>
              <w:tr2bl w:val="nil"/>
            </w:tcBorders>
            <w:noWrap w:val="0"/>
            <w:vAlign w:val="center"/>
          </w:tcPr>
          <w:p w14:paraId="115D1E7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D3E51D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253025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C000E45">
            <w:pPr>
              <w:jc w:val="center"/>
              <w:rPr>
                <w:rFonts w:hint="eastAsia" w:ascii="微软雅黑" w:hAnsi="微软雅黑" w:eastAsia="微软雅黑" w:cs="微软雅黑"/>
                <w:i w:val="0"/>
                <w:iCs w:val="0"/>
                <w:color w:val="000000"/>
                <w:sz w:val="20"/>
                <w:szCs w:val="20"/>
                <w:u w:val="none"/>
              </w:rPr>
            </w:pPr>
          </w:p>
        </w:tc>
      </w:tr>
      <w:tr w14:paraId="05E5F4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8FB4B7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92005C2">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D6EE67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三、民航执照培训</w:t>
            </w:r>
          </w:p>
        </w:tc>
        <w:tc>
          <w:tcPr>
            <w:tcW w:w="349" w:type="pct"/>
            <w:vMerge w:val="continue"/>
            <w:tcBorders>
              <w:tl2br w:val="nil"/>
              <w:tr2bl w:val="nil"/>
            </w:tcBorders>
            <w:noWrap w:val="0"/>
            <w:vAlign w:val="center"/>
          </w:tcPr>
          <w:p w14:paraId="4E72B8C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441471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B8BA63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838275F">
            <w:pPr>
              <w:jc w:val="center"/>
              <w:rPr>
                <w:rFonts w:hint="eastAsia" w:ascii="微软雅黑" w:hAnsi="微软雅黑" w:eastAsia="微软雅黑" w:cs="微软雅黑"/>
                <w:i w:val="0"/>
                <w:iCs w:val="0"/>
                <w:color w:val="000000"/>
                <w:sz w:val="20"/>
                <w:szCs w:val="20"/>
                <w:u w:val="none"/>
              </w:rPr>
            </w:pPr>
          </w:p>
        </w:tc>
      </w:tr>
      <w:tr w14:paraId="28B77F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669436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556A21B">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5FDBEB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1、场地类型应支持森林、学校、沙滩、山地等四个场景自由切换。</w:t>
            </w:r>
          </w:p>
        </w:tc>
        <w:tc>
          <w:tcPr>
            <w:tcW w:w="349" w:type="pct"/>
            <w:vMerge w:val="continue"/>
            <w:tcBorders>
              <w:tl2br w:val="nil"/>
              <w:tr2bl w:val="nil"/>
            </w:tcBorders>
            <w:noWrap w:val="0"/>
            <w:vAlign w:val="center"/>
          </w:tcPr>
          <w:p w14:paraId="61A3FAD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4C07B2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A0D9A1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1C02BCA">
            <w:pPr>
              <w:jc w:val="center"/>
              <w:rPr>
                <w:rFonts w:hint="eastAsia" w:ascii="微软雅黑" w:hAnsi="微软雅黑" w:eastAsia="微软雅黑" w:cs="微软雅黑"/>
                <w:i w:val="0"/>
                <w:iCs w:val="0"/>
                <w:color w:val="000000"/>
                <w:sz w:val="20"/>
                <w:szCs w:val="20"/>
                <w:u w:val="none"/>
              </w:rPr>
            </w:pPr>
          </w:p>
        </w:tc>
      </w:tr>
      <w:tr w14:paraId="324C02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3E8E5D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FEF425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53BC70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2、系统应支持自选机型，至少支持六旋翼、八旋翼等常用机型的自由选择。</w:t>
            </w:r>
          </w:p>
        </w:tc>
        <w:tc>
          <w:tcPr>
            <w:tcW w:w="349" w:type="pct"/>
            <w:vMerge w:val="continue"/>
            <w:tcBorders>
              <w:tl2br w:val="nil"/>
              <w:tr2bl w:val="nil"/>
            </w:tcBorders>
            <w:noWrap w:val="0"/>
            <w:vAlign w:val="center"/>
          </w:tcPr>
          <w:p w14:paraId="6B9402E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BE41F1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C5FE3F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920D5D9">
            <w:pPr>
              <w:jc w:val="center"/>
              <w:rPr>
                <w:rFonts w:hint="eastAsia" w:ascii="微软雅黑" w:hAnsi="微软雅黑" w:eastAsia="微软雅黑" w:cs="微软雅黑"/>
                <w:i w:val="0"/>
                <w:iCs w:val="0"/>
                <w:color w:val="000000"/>
                <w:sz w:val="20"/>
                <w:szCs w:val="20"/>
                <w:u w:val="none"/>
              </w:rPr>
            </w:pPr>
          </w:p>
        </w:tc>
      </w:tr>
      <w:tr w14:paraId="3DF5A0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51B8FB8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5C2810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3A18F5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▲3、系统应支持多种训练模式，至少包括训练模式和闯关模式。训练模式能够对所有子模块不做限制进行训练；闯关模式能够按照子模块顺序进行闯关，子模块逐一解锁。（提供两种模式系统截图）</w:t>
            </w:r>
          </w:p>
        </w:tc>
        <w:tc>
          <w:tcPr>
            <w:tcW w:w="349" w:type="pct"/>
            <w:vMerge w:val="continue"/>
            <w:tcBorders>
              <w:tl2br w:val="nil"/>
              <w:tr2bl w:val="nil"/>
            </w:tcBorders>
            <w:noWrap w:val="0"/>
            <w:vAlign w:val="center"/>
          </w:tcPr>
          <w:p w14:paraId="6C002F5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AAD067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443C05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BD0DCF1">
            <w:pPr>
              <w:jc w:val="center"/>
              <w:rPr>
                <w:rFonts w:hint="eastAsia" w:ascii="微软雅黑" w:hAnsi="微软雅黑" w:eastAsia="微软雅黑" w:cs="微软雅黑"/>
                <w:i w:val="0"/>
                <w:iCs w:val="0"/>
                <w:color w:val="000000"/>
                <w:sz w:val="20"/>
                <w:szCs w:val="20"/>
                <w:u w:val="none"/>
              </w:rPr>
            </w:pPr>
          </w:p>
        </w:tc>
      </w:tr>
      <w:tr w14:paraId="45A6C3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16" w:type="pct"/>
            <w:vMerge w:val="continue"/>
            <w:tcBorders>
              <w:tl2br w:val="nil"/>
              <w:tr2bl w:val="nil"/>
            </w:tcBorders>
            <w:noWrap w:val="0"/>
            <w:vAlign w:val="center"/>
          </w:tcPr>
          <w:p w14:paraId="4D153EE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208CE7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F5B08E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系统应具备悬停训练功能，能够在场景中展示桩桶及悬停范围；应详细展示无人机飞行参数，包括无人机飞行速度、水平速度、垂直速度、角速度等；不同训练内容都应该具有详细的步骤引导及任务完成反馈，当无人机进入指定的悬停范围时地面标识应具有高亮提示功能；360°自旋应具有对应旋转进程引导提示，并可根据无人机所处位置和飞行速度进行判定是否训练合格。</w:t>
            </w:r>
          </w:p>
        </w:tc>
        <w:tc>
          <w:tcPr>
            <w:tcW w:w="349" w:type="pct"/>
            <w:vMerge w:val="continue"/>
            <w:tcBorders>
              <w:tl2br w:val="nil"/>
              <w:tr2bl w:val="nil"/>
            </w:tcBorders>
            <w:noWrap w:val="0"/>
            <w:vAlign w:val="center"/>
          </w:tcPr>
          <w:p w14:paraId="42E69BE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A0FE0D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20A695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2C1EB21">
            <w:pPr>
              <w:jc w:val="center"/>
              <w:rPr>
                <w:rFonts w:hint="eastAsia" w:ascii="微软雅黑" w:hAnsi="微软雅黑" w:eastAsia="微软雅黑" w:cs="微软雅黑"/>
                <w:i w:val="0"/>
                <w:iCs w:val="0"/>
                <w:color w:val="000000"/>
                <w:sz w:val="20"/>
                <w:szCs w:val="20"/>
                <w:u w:val="none"/>
              </w:rPr>
            </w:pPr>
          </w:p>
        </w:tc>
      </w:tr>
      <w:tr w14:paraId="04FCDB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16" w:type="pct"/>
            <w:vMerge w:val="continue"/>
            <w:tcBorders>
              <w:tl2br w:val="nil"/>
              <w:tr2bl w:val="nil"/>
            </w:tcBorders>
            <w:noWrap w:val="0"/>
            <w:vAlign w:val="center"/>
          </w:tcPr>
          <w:p w14:paraId="792A0A9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DB2BF25">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664862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系统应具有“8”字航线训练功能，能够在场景中展示桩桶及航线标识，应支持通过界面展示鸟瞰视图查看无人机水平位置；能够详细展示无人机飞行参数，包括飞行速度、水平速度、垂直速度、角速度等；能够通过小地图查看飞行轨迹，应具有详细的步骤引导，并能够支持任务完成反馈；在训练中应支持根据飞机位置切换视角位置，高度还原现实视角。</w:t>
            </w:r>
          </w:p>
        </w:tc>
        <w:tc>
          <w:tcPr>
            <w:tcW w:w="349" w:type="pct"/>
            <w:vMerge w:val="continue"/>
            <w:tcBorders>
              <w:tl2br w:val="nil"/>
              <w:tr2bl w:val="nil"/>
            </w:tcBorders>
            <w:noWrap w:val="0"/>
            <w:vAlign w:val="center"/>
          </w:tcPr>
          <w:p w14:paraId="512D9C5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ED70CD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B25473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4FDA614">
            <w:pPr>
              <w:jc w:val="center"/>
              <w:rPr>
                <w:rFonts w:hint="eastAsia" w:ascii="微软雅黑" w:hAnsi="微软雅黑" w:eastAsia="微软雅黑" w:cs="微软雅黑"/>
                <w:i w:val="0"/>
                <w:iCs w:val="0"/>
                <w:color w:val="000000"/>
                <w:sz w:val="20"/>
                <w:szCs w:val="20"/>
                <w:u w:val="none"/>
              </w:rPr>
            </w:pPr>
          </w:p>
        </w:tc>
      </w:tr>
      <w:tr w14:paraId="6D922B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A70296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2D0DF8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36785C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6、并支持“8”字航线中的任意一段进行重复训练。（提供系统训练截图）</w:t>
            </w:r>
          </w:p>
        </w:tc>
        <w:tc>
          <w:tcPr>
            <w:tcW w:w="349" w:type="pct"/>
            <w:vMerge w:val="continue"/>
            <w:tcBorders>
              <w:tl2br w:val="nil"/>
              <w:tr2bl w:val="nil"/>
            </w:tcBorders>
            <w:noWrap w:val="0"/>
            <w:vAlign w:val="center"/>
          </w:tcPr>
          <w:p w14:paraId="3F0BBCC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0A9768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D545AD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A18A69B">
            <w:pPr>
              <w:jc w:val="center"/>
              <w:rPr>
                <w:rFonts w:hint="eastAsia" w:ascii="微软雅黑" w:hAnsi="微软雅黑" w:eastAsia="微软雅黑" w:cs="微软雅黑"/>
                <w:i w:val="0"/>
                <w:iCs w:val="0"/>
                <w:color w:val="000000"/>
                <w:sz w:val="20"/>
                <w:szCs w:val="20"/>
                <w:u w:val="none"/>
              </w:rPr>
            </w:pPr>
          </w:p>
        </w:tc>
      </w:tr>
      <w:tr w14:paraId="048D7C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01791E6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5BFA11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C9C729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7、系统应具备航线绘制功能，并内置显示地图和考试练习题，能够使用精准规划和航线模板进行航线规划，并内置计时器控制作图时间。（提供航线绘制功能截图）</w:t>
            </w:r>
          </w:p>
        </w:tc>
        <w:tc>
          <w:tcPr>
            <w:tcW w:w="349" w:type="pct"/>
            <w:vMerge w:val="continue"/>
            <w:tcBorders>
              <w:tl2br w:val="nil"/>
              <w:tr2bl w:val="nil"/>
            </w:tcBorders>
            <w:noWrap w:val="0"/>
            <w:vAlign w:val="center"/>
          </w:tcPr>
          <w:p w14:paraId="16B55B0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367593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9C8C6B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19E99ED">
            <w:pPr>
              <w:jc w:val="center"/>
              <w:rPr>
                <w:rFonts w:hint="eastAsia" w:ascii="微软雅黑" w:hAnsi="微软雅黑" w:eastAsia="微软雅黑" w:cs="微软雅黑"/>
                <w:i w:val="0"/>
                <w:iCs w:val="0"/>
                <w:color w:val="000000"/>
                <w:sz w:val="20"/>
                <w:szCs w:val="20"/>
                <w:u w:val="none"/>
              </w:rPr>
            </w:pPr>
          </w:p>
        </w:tc>
      </w:tr>
      <w:tr w14:paraId="241F40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01CF948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8296D7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9F9C2D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8、系统能够支持模拟考试，能够还原民航局无人机执照考试流程，可在3次机会下依次完成360°自旋和“8”字飞行科目，考核结束应给出评分和是否通过评定。</w:t>
            </w:r>
          </w:p>
        </w:tc>
        <w:tc>
          <w:tcPr>
            <w:tcW w:w="349" w:type="pct"/>
            <w:vMerge w:val="continue"/>
            <w:tcBorders>
              <w:tl2br w:val="nil"/>
              <w:tr2bl w:val="nil"/>
            </w:tcBorders>
            <w:noWrap w:val="0"/>
            <w:vAlign w:val="center"/>
          </w:tcPr>
          <w:p w14:paraId="27F790B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C48E2F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B1EE9C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7B9BFBE">
            <w:pPr>
              <w:jc w:val="center"/>
              <w:rPr>
                <w:rFonts w:hint="eastAsia" w:ascii="微软雅黑" w:hAnsi="微软雅黑" w:eastAsia="微软雅黑" w:cs="微软雅黑"/>
                <w:i w:val="0"/>
                <w:iCs w:val="0"/>
                <w:color w:val="000000"/>
                <w:sz w:val="20"/>
                <w:szCs w:val="20"/>
                <w:u w:val="none"/>
              </w:rPr>
            </w:pPr>
          </w:p>
        </w:tc>
      </w:tr>
      <w:tr w14:paraId="089DE4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16" w:type="pct"/>
            <w:vMerge w:val="continue"/>
            <w:tcBorders>
              <w:tl2br w:val="nil"/>
              <w:tr2bl w:val="nil"/>
            </w:tcBorders>
            <w:noWrap w:val="0"/>
            <w:vAlign w:val="center"/>
          </w:tcPr>
          <w:p w14:paraId="37C8493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ADBAB82">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4DCD52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应对无人机的飞行高度、速度、航向角、位置等参数进行判定，应完全符合民航局无人机执照考试判定。详细展示无人机飞行参数，包括飞行速度、水平速度、垂直速度、角速度等；应具有详细的步骤引导及任务完成反馈，能够通过界面展示鸟瞰视图查看无人机水平位置并通过小地图查看飞行轨迹。</w:t>
            </w:r>
          </w:p>
        </w:tc>
        <w:tc>
          <w:tcPr>
            <w:tcW w:w="349" w:type="pct"/>
            <w:vMerge w:val="continue"/>
            <w:tcBorders>
              <w:tl2br w:val="nil"/>
              <w:tr2bl w:val="nil"/>
            </w:tcBorders>
            <w:noWrap w:val="0"/>
            <w:vAlign w:val="center"/>
          </w:tcPr>
          <w:p w14:paraId="0F9A0D4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79336F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110592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5743B2D">
            <w:pPr>
              <w:jc w:val="center"/>
              <w:rPr>
                <w:rFonts w:hint="eastAsia" w:ascii="微软雅黑" w:hAnsi="微软雅黑" w:eastAsia="微软雅黑" w:cs="微软雅黑"/>
                <w:i w:val="0"/>
                <w:iCs w:val="0"/>
                <w:color w:val="000000"/>
                <w:sz w:val="20"/>
                <w:szCs w:val="20"/>
                <w:u w:val="none"/>
              </w:rPr>
            </w:pPr>
          </w:p>
        </w:tc>
      </w:tr>
      <w:tr w14:paraId="6A1BCB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574F11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D0BF6B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95AA30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▲10、考试结束后可查看综合评分并支持使用自由视角和固定视角查看考试回放。（提供两种视角系统截图）</w:t>
            </w:r>
          </w:p>
        </w:tc>
        <w:tc>
          <w:tcPr>
            <w:tcW w:w="349" w:type="pct"/>
            <w:vMerge w:val="continue"/>
            <w:tcBorders>
              <w:tl2br w:val="nil"/>
              <w:tr2bl w:val="nil"/>
            </w:tcBorders>
            <w:noWrap w:val="0"/>
            <w:vAlign w:val="center"/>
          </w:tcPr>
          <w:p w14:paraId="32863BE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19B987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32D506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1D80F30">
            <w:pPr>
              <w:jc w:val="center"/>
              <w:rPr>
                <w:rFonts w:hint="eastAsia" w:ascii="微软雅黑" w:hAnsi="微软雅黑" w:eastAsia="微软雅黑" w:cs="微软雅黑"/>
                <w:i w:val="0"/>
                <w:iCs w:val="0"/>
                <w:color w:val="000000"/>
                <w:sz w:val="20"/>
                <w:szCs w:val="20"/>
                <w:u w:val="none"/>
              </w:rPr>
            </w:pPr>
          </w:p>
        </w:tc>
      </w:tr>
      <w:tr w14:paraId="3A83BD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3D1C2F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986DC5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B82D3E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11、应具有基础操作帮助，支持查看键盘和遥控器操作键位以及查看标准的遥控器握持姿势。</w:t>
            </w:r>
          </w:p>
        </w:tc>
        <w:tc>
          <w:tcPr>
            <w:tcW w:w="349" w:type="pct"/>
            <w:vMerge w:val="continue"/>
            <w:tcBorders>
              <w:tl2br w:val="nil"/>
              <w:tr2bl w:val="nil"/>
            </w:tcBorders>
            <w:noWrap w:val="0"/>
            <w:vAlign w:val="center"/>
          </w:tcPr>
          <w:p w14:paraId="3433466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46C91B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A71DC9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14BF844">
            <w:pPr>
              <w:jc w:val="center"/>
              <w:rPr>
                <w:rFonts w:hint="eastAsia" w:ascii="微软雅黑" w:hAnsi="微软雅黑" w:eastAsia="微软雅黑" w:cs="微软雅黑"/>
                <w:i w:val="0"/>
                <w:iCs w:val="0"/>
                <w:color w:val="000000"/>
                <w:sz w:val="20"/>
                <w:szCs w:val="20"/>
                <w:u w:val="none"/>
              </w:rPr>
            </w:pPr>
          </w:p>
        </w:tc>
      </w:tr>
      <w:tr w14:paraId="3298AC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FFE42B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7815709">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863A5C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12、应具有调节摇杆灵敏度的功能，支持美国手、日本手、中国手。</w:t>
            </w:r>
          </w:p>
        </w:tc>
        <w:tc>
          <w:tcPr>
            <w:tcW w:w="349" w:type="pct"/>
            <w:vMerge w:val="continue"/>
            <w:tcBorders>
              <w:tl2br w:val="nil"/>
              <w:tr2bl w:val="nil"/>
            </w:tcBorders>
            <w:noWrap w:val="0"/>
            <w:vAlign w:val="center"/>
          </w:tcPr>
          <w:p w14:paraId="5F3F7E6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B72B5E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6111C7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3F3E918">
            <w:pPr>
              <w:jc w:val="center"/>
              <w:rPr>
                <w:rFonts w:hint="eastAsia" w:ascii="微软雅黑" w:hAnsi="微软雅黑" w:eastAsia="微软雅黑" w:cs="微软雅黑"/>
                <w:i w:val="0"/>
                <w:iCs w:val="0"/>
                <w:color w:val="000000"/>
                <w:sz w:val="20"/>
                <w:szCs w:val="20"/>
                <w:u w:val="none"/>
              </w:rPr>
            </w:pPr>
          </w:p>
        </w:tc>
      </w:tr>
      <w:tr w14:paraId="554A2D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558FD1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9EEF3C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D346CD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13、系统应具备完善的天气系统功能，能够支持切换天气效果，至少应包含晴天、阴天、雨天、大雪等天气效果。</w:t>
            </w:r>
          </w:p>
        </w:tc>
        <w:tc>
          <w:tcPr>
            <w:tcW w:w="349" w:type="pct"/>
            <w:vMerge w:val="continue"/>
            <w:tcBorders>
              <w:tl2br w:val="nil"/>
              <w:tr2bl w:val="nil"/>
            </w:tcBorders>
            <w:noWrap w:val="0"/>
            <w:vAlign w:val="center"/>
          </w:tcPr>
          <w:p w14:paraId="39258DF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4CC3B6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499CD7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EE996C1">
            <w:pPr>
              <w:jc w:val="center"/>
              <w:rPr>
                <w:rFonts w:hint="eastAsia" w:ascii="微软雅黑" w:hAnsi="微软雅黑" w:eastAsia="微软雅黑" w:cs="微软雅黑"/>
                <w:i w:val="0"/>
                <w:iCs w:val="0"/>
                <w:color w:val="000000"/>
                <w:sz w:val="20"/>
                <w:szCs w:val="20"/>
                <w:u w:val="none"/>
              </w:rPr>
            </w:pPr>
          </w:p>
        </w:tc>
      </w:tr>
      <w:tr w14:paraId="46D830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4732E5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E9E4C26">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B65E77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14、系统应支持自定义设置模拟时间，能够根据调整的时间自动变换太阳的位置、角度以及太阳光强度等。</w:t>
            </w:r>
          </w:p>
        </w:tc>
        <w:tc>
          <w:tcPr>
            <w:tcW w:w="349" w:type="pct"/>
            <w:vMerge w:val="continue"/>
            <w:tcBorders>
              <w:tl2br w:val="nil"/>
              <w:tr2bl w:val="nil"/>
            </w:tcBorders>
            <w:noWrap w:val="0"/>
            <w:vAlign w:val="center"/>
          </w:tcPr>
          <w:p w14:paraId="7735620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29F3F7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096A4F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29E2A0B">
            <w:pPr>
              <w:jc w:val="center"/>
              <w:rPr>
                <w:rFonts w:hint="eastAsia" w:ascii="微软雅黑" w:hAnsi="微软雅黑" w:eastAsia="微软雅黑" w:cs="微软雅黑"/>
                <w:i w:val="0"/>
                <w:iCs w:val="0"/>
                <w:color w:val="000000"/>
                <w:sz w:val="20"/>
                <w:szCs w:val="20"/>
                <w:u w:val="none"/>
              </w:rPr>
            </w:pPr>
          </w:p>
        </w:tc>
      </w:tr>
      <w:tr w14:paraId="10F77F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4507849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953B42D">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E48B27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15、应具备设置风力等级的功能，能够支持无风、1-3级风力调节，根据调节的风力，场地中风向标能够自动呈现风力大小和方向，并根据风力影响无人机飞行稳定性，以达到模拟各种真实环境的目的。</w:t>
            </w:r>
          </w:p>
        </w:tc>
        <w:tc>
          <w:tcPr>
            <w:tcW w:w="349" w:type="pct"/>
            <w:vMerge w:val="continue"/>
            <w:tcBorders>
              <w:tl2br w:val="nil"/>
              <w:tr2bl w:val="nil"/>
            </w:tcBorders>
            <w:noWrap w:val="0"/>
            <w:vAlign w:val="center"/>
          </w:tcPr>
          <w:p w14:paraId="162F77E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3C3074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3BB9E7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A1D3789">
            <w:pPr>
              <w:jc w:val="center"/>
              <w:rPr>
                <w:rFonts w:hint="eastAsia" w:ascii="微软雅黑" w:hAnsi="微软雅黑" w:eastAsia="微软雅黑" w:cs="微软雅黑"/>
                <w:i w:val="0"/>
                <w:iCs w:val="0"/>
                <w:color w:val="000000"/>
                <w:sz w:val="20"/>
                <w:szCs w:val="20"/>
                <w:u w:val="none"/>
              </w:rPr>
            </w:pPr>
          </w:p>
        </w:tc>
      </w:tr>
      <w:tr w14:paraId="729668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DD6AF1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D5F2D50">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290E88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16、应支持多视角模式，至少包含固定视角、跟随视角和FPV视角。</w:t>
            </w:r>
          </w:p>
        </w:tc>
        <w:tc>
          <w:tcPr>
            <w:tcW w:w="349" w:type="pct"/>
            <w:vMerge w:val="continue"/>
            <w:tcBorders>
              <w:tl2br w:val="nil"/>
              <w:tr2bl w:val="nil"/>
            </w:tcBorders>
            <w:noWrap w:val="0"/>
            <w:vAlign w:val="center"/>
          </w:tcPr>
          <w:p w14:paraId="60EBABE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1E8532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17B08A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8DAB89C">
            <w:pPr>
              <w:jc w:val="center"/>
              <w:rPr>
                <w:rFonts w:hint="eastAsia" w:ascii="微软雅黑" w:hAnsi="微软雅黑" w:eastAsia="微软雅黑" w:cs="微软雅黑"/>
                <w:i w:val="0"/>
                <w:iCs w:val="0"/>
                <w:color w:val="000000"/>
                <w:sz w:val="20"/>
                <w:szCs w:val="20"/>
                <w:u w:val="none"/>
              </w:rPr>
            </w:pPr>
          </w:p>
        </w:tc>
      </w:tr>
      <w:tr w14:paraId="3D1CC4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677733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03377E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B4FB6E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17、应具备视角调整功能，在固定视角下应能进行视域调整和高度调整。</w:t>
            </w:r>
          </w:p>
        </w:tc>
        <w:tc>
          <w:tcPr>
            <w:tcW w:w="349" w:type="pct"/>
            <w:vMerge w:val="continue"/>
            <w:tcBorders>
              <w:tl2br w:val="nil"/>
              <w:tr2bl w:val="nil"/>
            </w:tcBorders>
            <w:noWrap w:val="0"/>
            <w:vAlign w:val="center"/>
          </w:tcPr>
          <w:p w14:paraId="69885F9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D366C1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B12DB6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D4A5B65">
            <w:pPr>
              <w:jc w:val="center"/>
              <w:rPr>
                <w:rFonts w:hint="eastAsia" w:ascii="微软雅黑" w:hAnsi="微软雅黑" w:eastAsia="微软雅黑" w:cs="微软雅黑"/>
                <w:i w:val="0"/>
                <w:iCs w:val="0"/>
                <w:color w:val="000000"/>
                <w:sz w:val="20"/>
                <w:szCs w:val="20"/>
                <w:u w:val="none"/>
              </w:rPr>
            </w:pPr>
          </w:p>
        </w:tc>
      </w:tr>
      <w:tr w14:paraId="0955C5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1A9A06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B78A07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3F9F10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18、飞行模式应支持姿态模式和GNSS模式。</w:t>
            </w:r>
          </w:p>
        </w:tc>
        <w:tc>
          <w:tcPr>
            <w:tcW w:w="349" w:type="pct"/>
            <w:vMerge w:val="continue"/>
            <w:tcBorders>
              <w:tl2br w:val="nil"/>
              <w:tr2bl w:val="nil"/>
            </w:tcBorders>
            <w:noWrap w:val="0"/>
            <w:vAlign w:val="center"/>
          </w:tcPr>
          <w:p w14:paraId="7A84E18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3F7B60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8459AE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2A88332">
            <w:pPr>
              <w:jc w:val="center"/>
              <w:rPr>
                <w:rFonts w:hint="eastAsia" w:ascii="微软雅黑" w:hAnsi="微软雅黑" w:eastAsia="微软雅黑" w:cs="微软雅黑"/>
                <w:i w:val="0"/>
                <w:iCs w:val="0"/>
                <w:color w:val="000000"/>
                <w:sz w:val="20"/>
                <w:szCs w:val="20"/>
                <w:u w:val="none"/>
              </w:rPr>
            </w:pPr>
          </w:p>
        </w:tc>
      </w:tr>
      <w:tr w14:paraId="2822AD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FA94F2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EC47C4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60BE36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四、无人机电力巡检</w:t>
            </w:r>
          </w:p>
        </w:tc>
        <w:tc>
          <w:tcPr>
            <w:tcW w:w="349" w:type="pct"/>
            <w:vMerge w:val="continue"/>
            <w:tcBorders>
              <w:tl2br w:val="nil"/>
              <w:tr2bl w:val="nil"/>
            </w:tcBorders>
            <w:noWrap w:val="0"/>
            <w:vAlign w:val="center"/>
          </w:tcPr>
          <w:p w14:paraId="21B47BB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18088C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CE1308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0B93F85">
            <w:pPr>
              <w:jc w:val="center"/>
              <w:rPr>
                <w:rFonts w:hint="eastAsia" w:ascii="微软雅黑" w:hAnsi="微软雅黑" w:eastAsia="微软雅黑" w:cs="微软雅黑"/>
                <w:i w:val="0"/>
                <w:iCs w:val="0"/>
                <w:color w:val="000000"/>
                <w:sz w:val="20"/>
                <w:szCs w:val="20"/>
                <w:u w:val="none"/>
              </w:rPr>
            </w:pPr>
          </w:p>
        </w:tc>
      </w:tr>
      <w:tr w14:paraId="796327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38005DC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4C02EC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AD3A33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杆塔类型应支持220kv单回路直线塔；能够一比一高度还原真实铁塔模型，达到销钉级别建模还原；能够对杆塔整体及组成进行文字介绍，并应提供杆塔结构爆炸图，可支持查看部件爆炸结构图。（提供结构爆炸图截图）</w:t>
            </w:r>
          </w:p>
        </w:tc>
        <w:tc>
          <w:tcPr>
            <w:tcW w:w="349" w:type="pct"/>
            <w:vMerge w:val="continue"/>
            <w:tcBorders>
              <w:tl2br w:val="nil"/>
              <w:tr2bl w:val="nil"/>
            </w:tcBorders>
            <w:noWrap w:val="0"/>
            <w:vAlign w:val="center"/>
          </w:tcPr>
          <w:p w14:paraId="5BD5EBE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802F33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5411B0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E4F083A">
            <w:pPr>
              <w:jc w:val="center"/>
              <w:rPr>
                <w:rFonts w:hint="eastAsia" w:ascii="微软雅黑" w:hAnsi="微软雅黑" w:eastAsia="微软雅黑" w:cs="微软雅黑"/>
                <w:i w:val="0"/>
                <w:iCs w:val="0"/>
                <w:color w:val="000000"/>
                <w:sz w:val="20"/>
                <w:szCs w:val="20"/>
                <w:u w:val="none"/>
              </w:rPr>
            </w:pPr>
          </w:p>
        </w:tc>
      </w:tr>
      <w:tr w14:paraId="0EDF2B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E8A81A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4835954">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7A68B5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2、杆塔应具有匹配真实的杆塔图片对应杆塔模型功能。（提供系统界面截图）</w:t>
            </w:r>
          </w:p>
        </w:tc>
        <w:tc>
          <w:tcPr>
            <w:tcW w:w="349" w:type="pct"/>
            <w:vMerge w:val="continue"/>
            <w:tcBorders>
              <w:tl2br w:val="nil"/>
              <w:tr2bl w:val="nil"/>
            </w:tcBorders>
            <w:noWrap w:val="0"/>
            <w:vAlign w:val="center"/>
          </w:tcPr>
          <w:p w14:paraId="6B3B313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4631E0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C6E649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9A4F0D5">
            <w:pPr>
              <w:jc w:val="center"/>
              <w:rPr>
                <w:rFonts w:hint="eastAsia" w:ascii="微软雅黑" w:hAnsi="微软雅黑" w:eastAsia="微软雅黑" w:cs="微软雅黑"/>
                <w:i w:val="0"/>
                <w:iCs w:val="0"/>
                <w:color w:val="000000"/>
                <w:sz w:val="20"/>
                <w:szCs w:val="20"/>
                <w:u w:val="none"/>
              </w:rPr>
            </w:pPr>
          </w:p>
        </w:tc>
      </w:tr>
      <w:tr w14:paraId="4BA21F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3C7AC32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81BF7A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A6AC54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3、应具有引导巡检模块，能够按《电力行业无人机巡检作业人员培训考核规范》(T/CEC 193-2018）规范，引导操控无人机对杆塔本体及部件进行巡检拍照。每个步骤应显示该部件的名称、拍摄角度要求、位置要求；拍摄目标应具备高亮显示提示用户的功能。</w:t>
            </w:r>
          </w:p>
        </w:tc>
        <w:tc>
          <w:tcPr>
            <w:tcW w:w="349" w:type="pct"/>
            <w:vMerge w:val="continue"/>
            <w:tcBorders>
              <w:tl2br w:val="nil"/>
              <w:tr2bl w:val="nil"/>
            </w:tcBorders>
            <w:noWrap w:val="0"/>
            <w:vAlign w:val="center"/>
          </w:tcPr>
          <w:p w14:paraId="1CA407F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4139E6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099212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7A1B2D1">
            <w:pPr>
              <w:jc w:val="center"/>
              <w:rPr>
                <w:rFonts w:hint="eastAsia" w:ascii="微软雅黑" w:hAnsi="微软雅黑" w:eastAsia="微软雅黑" w:cs="微软雅黑"/>
                <w:i w:val="0"/>
                <w:iCs w:val="0"/>
                <w:color w:val="000000"/>
                <w:sz w:val="20"/>
                <w:szCs w:val="20"/>
                <w:u w:val="none"/>
              </w:rPr>
            </w:pPr>
          </w:p>
        </w:tc>
      </w:tr>
      <w:tr w14:paraId="60DE24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71EE6B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056AE8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EBB688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4、应支持常用巡检无人机机型，并支持模拟使用界面，能够显示飞行信息，包括飞行模式、电量等。</w:t>
            </w:r>
          </w:p>
        </w:tc>
        <w:tc>
          <w:tcPr>
            <w:tcW w:w="349" w:type="pct"/>
            <w:vMerge w:val="continue"/>
            <w:tcBorders>
              <w:tl2br w:val="nil"/>
              <w:tr2bl w:val="nil"/>
            </w:tcBorders>
            <w:noWrap w:val="0"/>
            <w:vAlign w:val="center"/>
          </w:tcPr>
          <w:p w14:paraId="21A9D78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EAE499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3F1343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46A0449">
            <w:pPr>
              <w:jc w:val="center"/>
              <w:rPr>
                <w:rFonts w:hint="eastAsia" w:ascii="微软雅黑" w:hAnsi="微软雅黑" w:eastAsia="微软雅黑" w:cs="微软雅黑"/>
                <w:i w:val="0"/>
                <w:iCs w:val="0"/>
                <w:color w:val="000000"/>
                <w:sz w:val="20"/>
                <w:szCs w:val="20"/>
                <w:u w:val="none"/>
              </w:rPr>
            </w:pPr>
          </w:p>
        </w:tc>
      </w:tr>
      <w:tr w14:paraId="6B17D3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E596F3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3D6AAC8">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03AC22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5、应具有相册功能，能够查看拍摄的照片。</w:t>
            </w:r>
          </w:p>
        </w:tc>
        <w:tc>
          <w:tcPr>
            <w:tcW w:w="349" w:type="pct"/>
            <w:vMerge w:val="continue"/>
            <w:tcBorders>
              <w:tl2br w:val="nil"/>
              <w:tr2bl w:val="nil"/>
            </w:tcBorders>
            <w:noWrap w:val="0"/>
            <w:vAlign w:val="center"/>
          </w:tcPr>
          <w:p w14:paraId="5048FC9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8337C2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60C2CC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D1A30C0">
            <w:pPr>
              <w:jc w:val="center"/>
              <w:rPr>
                <w:rFonts w:hint="eastAsia" w:ascii="微软雅黑" w:hAnsi="微软雅黑" w:eastAsia="微软雅黑" w:cs="微软雅黑"/>
                <w:i w:val="0"/>
                <w:iCs w:val="0"/>
                <w:color w:val="000000"/>
                <w:sz w:val="20"/>
                <w:szCs w:val="20"/>
                <w:u w:val="none"/>
              </w:rPr>
            </w:pPr>
          </w:p>
        </w:tc>
      </w:tr>
      <w:tr w14:paraId="5D50C5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E8CF95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26C5F3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78D0E8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▲6、应具有变焦模拟功能，能够模拟常用巡检无人机镜头参数和变焦后的画质损失。（提供变焦模拟功能界面截图）</w:t>
            </w:r>
          </w:p>
        </w:tc>
        <w:tc>
          <w:tcPr>
            <w:tcW w:w="349" w:type="pct"/>
            <w:vMerge w:val="continue"/>
            <w:tcBorders>
              <w:tl2br w:val="nil"/>
              <w:tr2bl w:val="nil"/>
            </w:tcBorders>
            <w:noWrap w:val="0"/>
            <w:vAlign w:val="center"/>
          </w:tcPr>
          <w:p w14:paraId="0D3EA08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DCDC36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D4A3BC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CCD590D">
            <w:pPr>
              <w:jc w:val="center"/>
              <w:rPr>
                <w:rFonts w:hint="eastAsia" w:ascii="微软雅黑" w:hAnsi="微软雅黑" w:eastAsia="微软雅黑" w:cs="微软雅黑"/>
                <w:i w:val="0"/>
                <w:iCs w:val="0"/>
                <w:color w:val="000000"/>
                <w:sz w:val="20"/>
                <w:szCs w:val="20"/>
                <w:u w:val="none"/>
              </w:rPr>
            </w:pPr>
          </w:p>
        </w:tc>
      </w:tr>
      <w:tr w14:paraId="1C242F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2195D3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C6B2AD4">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67CEC8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7、具有操作帮助功能，能够查看键盘和遥控器操作键位。</w:t>
            </w:r>
          </w:p>
        </w:tc>
        <w:tc>
          <w:tcPr>
            <w:tcW w:w="349" w:type="pct"/>
            <w:vMerge w:val="continue"/>
            <w:tcBorders>
              <w:tl2br w:val="nil"/>
              <w:tr2bl w:val="nil"/>
            </w:tcBorders>
            <w:noWrap w:val="0"/>
            <w:vAlign w:val="center"/>
          </w:tcPr>
          <w:p w14:paraId="3F01506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8E7E51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3A7179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E50491C">
            <w:pPr>
              <w:jc w:val="center"/>
              <w:rPr>
                <w:rFonts w:hint="eastAsia" w:ascii="微软雅黑" w:hAnsi="微软雅黑" w:eastAsia="微软雅黑" w:cs="微软雅黑"/>
                <w:i w:val="0"/>
                <w:iCs w:val="0"/>
                <w:color w:val="000000"/>
                <w:sz w:val="20"/>
                <w:szCs w:val="20"/>
                <w:u w:val="none"/>
              </w:rPr>
            </w:pPr>
          </w:p>
        </w:tc>
      </w:tr>
      <w:tr w14:paraId="344BED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CC9BF0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7CA9A2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C9762B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8、应具有调节摇杆灵敏度的功能，支持美国手、日本手、中国手。</w:t>
            </w:r>
          </w:p>
        </w:tc>
        <w:tc>
          <w:tcPr>
            <w:tcW w:w="349" w:type="pct"/>
            <w:vMerge w:val="continue"/>
            <w:tcBorders>
              <w:tl2br w:val="nil"/>
              <w:tr2bl w:val="nil"/>
            </w:tcBorders>
            <w:noWrap w:val="0"/>
            <w:vAlign w:val="center"/>
          </w:tcPr>
          <w:p w14:paraId="027D945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F4F497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E0CD7A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9CF1B91">
            <w:pPr>
              <w:jc w:val="center"/>
              <w:rPr>
                <w:rFonts w:hint="eastAsia" w:ascii="微软雅黑" w:hAnsi="微软雅黑" w:eastAsia="微软雅黑" w:cs="微软雅黑"/>
                <w:i w:val="0"/>
                <w:iCs w:val="0"/>
                <w:color w:val="000000"/>
                <w:sz w:val="20"/>
                <w:szCs w:val="20"/>
                <w:u w:val="none"/>
              </w:rPr>
            </w:pPr>
          </w:p>
        </w:tc>
      </w:tr>
      <w:tr w14:paraId="692008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132495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C27B8F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73581F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9、系统应具备完善的天气系统功能，能够支持切换天气效果，至少应包含晴天、阴天、雨天、大雪等天气效果。</w:t>
            </w:r>
          </w:p>
        </w:tc>
        <w:tc>
          <w:tcPr>
            <w:tcW w:w="349" w:type="pct"/>
            <w:vMerge w:val="continue"/>
            <w:tcBorders>
              <w:tl2br w:val="nil"/>
              <w:tr2bl w:val="nil"/>
            </w:tcBorders>
            <w:noWrap w:val="0"/>
            <w:vAlign w:val="center"/>
          </w:tcPr>
          <w:p w14:paraId="78BA90F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6D875C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332A70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BB63009">
            <w:pPr>
              <w:jc w:val="center"/>
              <w:rPr>
                <w:rFonts w:hint="eastAsia" w:ascii="微软雅黑" w:hAnsi="微软雅黑" w:eastAsia="微软雅黑" w:cs="微软雅黑"/>
                <w:i w:val="0"/>
                <w:iCs w:val="0"/>
                <w:color w:val="000000"/>
                <w:sz w:val="20"/>
                <w:szCs w:val="20"/>
                <w:u w:val="none"/>
              </w:rPr>
            </w:pPr>
          </w:p>
        </w:tc>
      </w:tr>
      <w:tr w14:paraId="6F6E31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8D667C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B4C1DC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153D5E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10、系统应支持自定义设置模拟时间，能够根据调整的时间自动变换太阳的位置、角度以及太阳光强度等。</w:t>
            </w:r>
          </w:p>
        </w:tc>
        <w:tc>
          <w:tcPr>
            <w:tcW w:w="349" w:type="pct"/>
            <w:vMerge w:val="continue"/>
            <w:tcBorders>
              <w:tl2br w:val="nil"/>
              <w:tr2bl w:val="nil"/>
            </w:tcBorders>
            <w:noWrap w:val="0"/>
            <w:vAlign w:val="center"/>
          </w:tcPr>
          <w:p w14:paraId="2E4E813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E446D9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200013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07DBF11">
            <w:pPr>
              <w:jc w:val="center"/>
              <w:rPr>
                <w:rFonts w:hint="eastAsia" w:ascii="微软雅黑" w:hAnsi="微软雅黑" w:eastAsia="微软雅黑" w:cs="微软雅黑"/>
                <w:i w:val="0"/>
                <w:iCs w:val="0"/>
                <w:color w:val="000000"/>
                <w:sz w:val="20"/>
                <w:szCs w:val="20"/>
                <w:u w:val="none"/>
              </w:rPr>
            </w:pPr>
          </w:p>
        </w:tc>
      </w:tr>
      <w:tr w14:paraId="641697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7FDED8E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0236D1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CE4BF2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11、应具备设置风力等级的功能，能够支持无风、1-3级风力调节，根据调节的风力，场地中风向标能够自动呈现风力大小和方向，并根据风力影响无人机飞行稳定性，以达到模拟各种真实环境的目的。</w:t>
            </w:r>
          </w:p>
        </w:tc>
        <w:tc>
          <w:tcPr>
            <w:tcW w:w="349" w:type="pct"/>
            <w:vMerge w:val="continue"/>
            <w:tcBorders>
              <w:tl2br w:val="nil"/>
              <w:tr2bl w:val="nil"/>
            </w:tcBorders>
            <w:noWrap w:val="0"/>
            <w:vAlign w:val="center"/>
          </w:tcPr>
          <w:p w14:paraId="42F4820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1D767D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5CE262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233DB8E">
            <w:pPr>
              <w:jc w:val="center"/>
              <w:rPr>
                <w:rFonts w:hint="eastAsia" w:ascii="微软雅黑" w:hAnsi="微软雅黑" w:eastAsia="微软雅黑" w:cs="微软雅黑"/>
                <w:i w:val="0"/>
                <w:iCs w:val="0"/>
                <w:color w:val="000000"/>
                <w:sz w:val="20"/>
                <w:szCs w:val="20"/>
                <w:u w:val="none"/>
              </w:rPr>
            </w:pPr>
          </w:p>
        </w:tc>
      </w:tr>
      <w:tr w14:paraId="422246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D233C5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DB1A61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34477B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12、应支持多视角模式，至少包含固定视角、跟随视角和FPV视角。</w:t>
            </w:r>
          </w:p>
        </w:tc>
        <w:tc>
          <w:tcPr>
            <w:tcW w:w="349" w:type="pct"/>
            <w:vMerge w:val="continue"/>
            <w:tcBorders>
              <w:tl2br w:val="nil"/>
              <w:tr2bl w:val="nil"/>
            </w:tcBorders>
            <w:noWrap w:val="0"/>
            <w:vAlign w:val="center"/>
          </w:tcPr>
          <w:p w14:paraId="3424B83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9DB559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3A888F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77A4243">
            <w:pPr>
              <w:jc w:val="center"/>
              <w:rPr>
                <w:rFonts w:hint="eastAsia" w:ascii="微软雅黑" w:hAnsi="微软雅黑" w:eastAsia="微软雅黑" w:cs="微软雅黑"/>
                <w:i w:val="0"/>
                <w:iCs w:val="0"/>
                <w:color w:val="000000"/>
                <w:sz w:val="20"/>
                <w:szCs w:val="20"/>
                <w:u w:val="none"/>
              </w:rPr>
            </w:pPr>
          </w:p>
        </w:tc>
      </w:tr>
      <w:tr w14:paraId="158072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81B0D6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3875A3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06E0A4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13、应具备视角调整功能，在固定视角下应能进行视域调整和高度调整。</w:t>
            </w:r>
          </w:p>
        </w:tc>
        <w:tc>
          <w:tcPr>
            <w:tcW w:w="349" w:type="pct"/>
            <w:vMerge w:val="continue"/>
            <w:tcBorders>
              <w:tl2br w:val="nil"/>
              <w:tr2bl w:val="nil"/>
            </w:tcBorders>
            <w:noWrap w:val="0"/>
            <w:vAlign w:val="center"/>
          </w:tcPr>
          <w:p w14:paraId="4934CD0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B43313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830B6D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7350D8F">
            <w:pPr>
              <w:jc w:val="center"/>
              <w:rPr>
                <w:rFonts w:hint="eastAsia" w:ascii="微软雅黑" w:hAnsi="微软雅黑" w:eastAsia="微软雅黑" w:cs="微软雅黑"/>
                <w:i w:val="0"/>
                <w:iCs w:val="0"/>
                <w:color w:val="000000"/>
                <w:sz w:val="20"/>
                <w:szCs w:val="20"/>
                <w:u w:val="none"/>
              </w:rPr>
            </w:pPr>
          </w:p>
        </w:tc>
      </w:tr>
      <w:tr w14:paraId="11DCA4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DA7C4B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D2035A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47A83E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14、飞行模式应支持姿态模式和GNSS模式。</w:t>
            </w:r>
          </w:p>
        </w:tc>
        <w:tc>
          <w:tcPr>
            <w:tcW w:w="349" w:type="pct"/>
            <w:vMerge w:val="continue"/>
            <w:tcBorders>
              <w:tl2br w:val="nil"/>
              <w:tr2bl w:val="nil"/>
            </w:tcBorders>
            <w:noWrap w:val="0"/>
            <w:vAlign w:val="center"/>
          </w:tcPr>
          <w:p w14:paraId="1890B22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914D4D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087137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CB55FD4">
            <w:pPr>
              <w:jc w:val="center"/>
              <w:rPr>
                <w:rFonts w:hint="eastAsia" w:ascii="微软雅黑" w:hAnsi="微软雅黑" w:eastAsia="微软雅黑" w:cs="微软雅黑"/>
                <w:i w:val="0"/>
                <w:iCs w:val="0"/>
                <w:color w:val="000000"/>
                <w:sz w:val="20"/>
                <w:szCs w:val="20"/>
                <w:u w:val="none"/>
              </w:rPr>
            </w:pPr>
          </w:p>
        </w:tc>
      </w:tr>
      <w:tr w14:paraId="235075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693F59C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9FB174B">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04892C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▲15、应具有数据分析功能，能够记录巡检训练所产生的数据；如训练次数，训练时长，任务成功率，单次巡检产生的数据及拍摄的照片，并能够对巡检产生的照片进行标注。（提供训练数据分析截图）</w:t>
            </w:r>
          </w:p>
        </w:tc>
        <w:tc>
          <w:tcPr>
            <w:tcW w:w="349" w:type="pct"/>
            <w:vMerge w:val="continue"/>
            <w:tcBorders>
              <w:tl2br w:val="nil"/>
              <w:tr2bl w:val="nil"/>
            </w:tcBorders>
            <w:noWrap w:val="0"/>
            <w:vAlign w:val="center"/>
          </w:tcPr>
          <w:p w14:paraId="1ABDBFE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12B258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2D7E89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E0A3EE1">
            <w:pPr>
              <w:jc w:val="center"/>
              <w:rPr>
                <w:rFonts w:hint="eastAsia" w:ascii="微软雅黑" w:hAnsi="微软雅黑" w:eastAsia="微软雅黑" w:cs="微软雅黑"/>
                <w:i w:val="0"/>
                <w:iCs w:val="0"/>
                <w:color w:val="000000"/>
                <w:sz w:val="20"/>
                <w:szCs w:val="20"/>
                <w:u w:val="none"/>
              </w:rPr>
            </w:pPr>
          </w:p>
        </w:tc>
      </w:tr>
      <w:tr w14:paraId="12527B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17B13F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9755B5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DB7081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五、无人机地理测绘</w:t>
            </w:r>
          </w:p>
        </w:tc>
        <w:tc>
          <w:tcPr>
            <w:tcW w:w="349" w:type="pct"/>
            <w:vMerge w:val="continue"/>
            <w:tcBorders>
              <w:tl2br w:val="nil"/>
              <w:tr2bl w:val="nil"/>
            </w:tcBorders>
            <w:noWrap w:val="0"/>
            <w:vAlign w:val="center"/>
          </w:tcPr>
          <w:p w14:paraId="17688FB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F34589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65276F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82D9DBD">
            <w:pPr>
              <w:jc w:val="center"/>
              <w:rPr>
                <w:rFonts w:hint="eastAsia" w:ascii="微软雅黑" w:hAnsi="微软雅黑" w:eastAsia="微软雅黑" w:cs="微软雅黑"/>
                <w:i w:val="0"/>
                <w:iCs w:val="0"/>
                <w:color w:val="000000"/>
                <w:sz w:val="20"/>
                <w:szCs w:val="20"/>
                <w:u w:val="none"/>
              </w:rPr>
            </w:pPr>
          </w:p>
        </w:tc>
      </w:tr>
      <w:tr w14:paraId="208146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44C43E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D766D10">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ECBE68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1、系统具备基础知识介绍功能，应对无人机航测基础原理、无人机航测设备进行介绍。</w:t>
            </w:r>
          </w:p>
        </w:tc>
        <w:tc>
          <w:tcPr>
            <w:tcW w:w="349" w:type="pct"/>
            <w:vMerge w:val="continue"/>
            <w:tcBorders>
              <w:tl2br w:val="nil"/>
              <w:tr2bl w:val="nil"/>
            </w:tcBorders>
            <w:noWrap w:val="0"/>
            <w:vAlign w:val="center"/>
          </w:tcPr>
          <w:p w14:paraId="7E61352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848F81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64D541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1B5D94F">
            <w:pPr>
              <w:jc w:val="center"/>
              <w:rPr>
                <w:rFonts w:hint="eastAsia" w:ascii="微软雅黑" w:hAnsi="微软雅黑" w:eastAsia="微软雅黑" w:cs="微软雅黑"/>
                <w:i w:val="0"/>
                <w:iCs w:val="0"/>
                <w:color w:val="000000"/>
                <w:sz w:val="20"/>
                <w:szCs w:val="20"/>
                <w:u w:val="none"/>
              </w:rPr>
            </w:pPr>
          </w:p>
        </w:tc>
      </w:tr>
      <w:tr w14:paraId="326494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FCCCD9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58621B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9B8216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2、系统应具备山地、学校场景等对外业场景，并支持一键选择。</w:t>
            </w:r>
          </w:p>
        </w:tc>
        <w:tc>
          <w:tcPr>
            <w:tcW w:w="349" w:type="pct"/>
            <w:vMerge w:val="continue"/>
            <w:tcBorders>
              <w:tl2br w:val="nil"/>
              <w:tr2bl w:val="nil"/>
            </w:tcBorders>
            <w:noWrap w:val="0"/>
            <w:vAlign w:val="center"/>
          </w:tcPr>
          <w:p w14:paraId="195D6B7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1B6BA6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F6CEFC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522F3E9">
            <w:pPr>
              <w:jc w:val="center"/>
              <w:rPr>
                <w:rFonts w:hint="eastAsia" w:ascii="微软雅黑" w:hAnsi="微软雅黑" w:eastAsia="微软雅黑" w:cs="微软雅黑"/>
                <w:i w:val="0"/>
                <w:iCs w:val="0"/>
                <w:color w:val="000000"/>
                <w:sz w:val="20"/>
                <w:szCs w:val="20"/>
                <w:u w:val="none"/>
              </w:rPr>
            </w:pPr>
          </w:p>
        </w:tc>
      </w:tr>
      <w:tr w14:paraId="517A53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B3FE79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753FEE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3A6D79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3、应具有详细的步骤提示，至少应包含测绘作业主要六个环节：场地踏勘、规划测区、像控点布设、航线规划、航测拍摄、数据处理等。</w:t>
            </w:r>
          </w:p>
        </w:tc>
        <w:tc>
          <w:tcPr>
            <w:tcW w:w="349" w:type="pct"/>
            <w:vMerge w:val="continue"/>
            <w:tcBorders>
              <w:tl2br w:val="nil"/>
              <w:tr2bl w:val="nil"/>
            </w:tcBorders>
            <w:noWrap w:val="0"/>
            <w:vAlign w:val="center"/>
          </w:tcPr>
          <w:p w14:paraId="5B03DF0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65D057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E93D98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2846239">
            <w:pPr>
              <w:jc w:val="center"/>
              <w:rPr>
                <w:rFonts w:hint="eastAsia" w:ascii="微软雅黑" w:hAnsi="微软雅黑" w:eastAsia="微软雅黑" w:cs="微软雅黑"/>
                <w:i w:val="0"/>
                <w:iCs w:val="0"/>
                <w:color w:val="000000"/>
                <w:sz w:val="20"/>
                <w:szCs w:val="20"/>
                <w:u w:val="none"/>
              </w:rPr>
            </w:pPr>
          </w:p>
        </w:tc>
      </w:tr>
      <w:tr w14:paraId="3EAAA9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190ED4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A02EBCD">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C1C027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4、应具有背包功能，背包中至少应包含外业所需主要设备：制标靶、相机、无人机及遥控器、RTK及手簿等。</w:t>
            </w:r>
          </w:p>
        </w:tc>
        <w:tc>
          <w:tcPr>
            <w:tcW w:w="349" w:type="pct"/>
            <w:vMerge w:val="continue"/>
            <w:tcBorders>
              <w:tl2br w:val="nil"/>
              <w:tr2bl w:val="nil"/>
            </w:tcBorders>
            <w:noWrap w:val="0"/>
            <w:vAlign w:val="center"/>
          </w:tcPr>
          <w:p w14:paraId="00E20F8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30BC7B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B0BDBD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B187A4A">
            <w:pPr>
              <w:jc w:val="center"/>
              <w:rPr>
                <w:rFonts w:hint="eastAsia" w:ascii="微软雅黑" w:hAnsi="微软雅黑" w:eastAsia="微软雅黑" w:cs="微软雅黑"/>
                <w:i w:val="0"/>
                <w:iCs w:val="0"/>
                <w:color w:val="000000"/>
                <w:sz w:val="20"/>
                <w:szCs w:val="20"/>
                <w:u w:val="none"/>
              </w:rPr>
            </w:pPr>
          </w:p>
        </w:tc>
      </w:tr>
      <w:tr w14:paraId="657244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2666EA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28C59B5">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6DC554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5、应支持自由规划测区，测区连接点不少于3个。能够还原RTK像控点布设核心流程，包含新建项目、RTK蓝牙连接、杆高设置等。</w:t>
            </w:r>
          </w:p>
        </w:tc>
        <w:tc>
          <w:tcPr>
            <w:tcW w:w="349" w:type="pct"/>
            <w:vMerge w:val="continue"/>
            <w:tcBorders>
              <w:tl2br w:val="nil"/>
              <w:tr2bl w:val="nil"/>
            </w:tcBorders>
            <w:noWrap w:val="0"/>
            <w:vAlign w:val="center"/>
          </w:tcPr>
          <w:p w14:paraId="18A6ABB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8B5730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8E14E0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6361A82">
            <w:pPr>
              <w:jc w:val="center"/>
              <w:rPr>
                <w:rFonts w:hint="eastAsia" w:ascii="微软雅黑" w:hAnsi="微软雅黑" w:eastAsia="微软雅黑" w:cs="微软雅黑"/>
                <w:i w:val="0"/>
                <w:iCs w:val="0"/>
                <w:color w:val="000000"/>
                <w:sz w:val="20"/>
                <w:szCs w:val="20"/>
                <w:u w:val="none"/>
              </w:rPr>
            </w:pPr>
          </w:p>
        </w:tc>
      </w:tr>
      <w:tr w14:paraId="5CC960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FAFE30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643CA18">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11FFA0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6、采集数据应至少包含6个维度：N、E、Z、B、L、H。</w:t>
            </w:r>
          </w:p>
        </w:tc>
        <w:tc>
          <w:tcPr>
            <w:tcW w:w="349" w:type="pct"/>
            <w:vMerge w:val="continue"/>
            <w:tcBorders>
              <w:tl2br w:val="nil"/>
              <w:tr2bl w:val="nil"/>
            </w:tcBorders>
            <w:noWrap w:val="0"/>
            <w:vAlign w:val="center"/>
          </w:tcPr>
          <w:p w14:paraId="6B25F5C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DABE39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9225A7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3E388F8">
            <w:pPr>
              <w:jc w:val="center"/>
              <w:rPr>
                <w:rFonts w:hint="eastAsia" w:ascii="微软雅黑" w:hAnsi="微软雅黑" w:eastAsia="微软雅黑" w:cs="微软雅黑"/>
                <w:i w:val="0"/>
                <w:iCs w:val="0"/>
                <w:color w:val="000000"/>
                <w:sz w:val="20"/>
                <w:szCs w:val="20"/>
                <w:u w:val="none"/>
              </w:rPr>
            </w:pPr>
          </w:p>
        </w:tc>
      </w:tr>
      <w:tr w14:paraId="36E263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136075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AAE161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B225ED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7、测绘数据应支持Excel导出。</w:t>
            </w:r>
          </w:p>
        </w:tc>
        <w:tc>
          <w:tcPr>
            <w:tcW w:w="349" w:type="pct"/>
            <w:vMerge w:val="continue"/>
            <w:tcBorders>
              <w:tl2br w:val="nil"/>
              <w:tr2bl w:val="nil"/>
            </w:tcBorders>
            <w:noWrap w:val="0"/>
            <w:vAlign w:val="center"/>
          </w:tcPr>
          <w:p w14:paraId="5BE49A3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CDF527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9A2321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A101822">
            <w:pPr>
              <w:jc w:val="center"/>
              <w:rPr>
                <w:rFonts w:hint="eastAsia" w:ascii="微软雅黑" w:hAnsi="微软雅黑" w:eastAsia="微软雅黑" w:cs="微软雅黑"/>
                <w:i w:val="0"/>
                <w:iCs w:val="0"/>
                <w:color w:val="000000"/>
                <w:sz w:val="20"/>
                <w:szCs w:val="20"/>
                <w:u w:val="none"/>
              </w:rPr>
            </w:pPr>
          </w:p>
        </w:tc>
      </w:tr>
      <w:tr w14:paraId="62F80E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66EC006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F50CA9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E8745A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8、航测拍摄时应能够支持测绘常用系列机型，支持广角镜头、正射采集，支持设置：正射GSD、航线飞行高度、航线速度、主航线角度、相对起飞高度、旁向重叠率、航向重叠率、边距等参数。</w:t>
            </w:r>
          </w:p>
        </w:tc>
        <w:tc>
          <w:tcPr>
            <w:tcW w:w="349" w:type="pct"/>
            <w:vMerge w:val="continue"/>
            <w:tcBorders>
              <w:tl2br w:val="nil"/>
              <w:tr2bl w:val="nil"/>
            </w:tcBorders>
            <w:noWrap w:val="0"/>
            <w:vAlign w:val="center"/>
          </w:tcPr>
          <w:p w14:paraId="4CA5688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F38045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A2D45D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0E5C8E9">
            <w:pPr>
              <w:jc w:val="center"/>
              <w:rPr>
                <w:rFonts w:hint="eastAsia" w:ascii="微软雅黑" w:hAnsi="微软雅黑" w:eastAsia="微软雅黑" w:cs="微软雅黑"/>
                <w:i w:val="0"/>
                <w:iCs w:val="0"/>
                <w:color w:val="000000"/>
                <w:sz w:val="20"/>
                <w:szCs w:val="20"/>
                <w:u w:val="none"/>
              </w:rPr>
            </w:pPr>
          </w:p>
        </w:tc>
      </w:tr>
      <w:tr w14:paraId="731A9F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C2F9B5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120C635">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3BA8BF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9、拍照模式应支持等时间隔拍照。</w:t>
            </w:r>
          </w:p>
        </w:tc>
        <w:tc>
          <w:tcPr>
            <w:tcW w:w="349" w:type="pct"/>
            <w:vMerge w:val="continue"/>
            <w:tcBorders>
              <w:tl2br w:val="nil"/>
              <w:tr2bl w:val="nil"/>
            </w:tcBorders>
            <w:noWrap w:val="0"/>
            <w:vAlign w:val="center"/>
          </w:tcPr>
          <w:p w14:paraId="5309DE7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354005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B3823D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D5D80CA">
            <w:pPr>
              <w:jc w:val="center"/>
              <w:rPr>
                <w:rFonts w:hint="eastAsia" w:ascii="微软雅黑" w:hAnsi="微软雅黑" w:eastAsia="微软雅黑" w:cs="微软雅黑"/>
                <w:i w:val="0"/>
                <w:iCs w:val="0"/>
                <w:color w:val="000000"/>
                <w:sz w:val="20"/>
                <w:szCs w:val="20"/>
                <w:u w:val="none"/>
              </w:rPr>
            </w:pPr>
          </w:p>
        </w:tc>
      </w:tr>
      <w:tr w14:paraId="51EB7C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FC2ECD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0BCB13D">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C4A79F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10、任务完成时能够自动返航。</w:t>
            </w:r>
          </w:p>
        </w:tc>
        <w:tc>
          <w:tcPr>
            <w:tcW w:w="349" w:type="pct"/>
            <w:vMerge w:val="continue"/>
            <w:tcBorders>
              <w:tl2br w:val="nil"/>
              <w:tr2bl w:val="nil"/>
            </w:tcBorders>
            <w:noWrap w:val="0"/>
            <w:vAlign w:val="center"/>
          </w:tcPr>
          <w:p w14:paraId="7809AEC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1C40DF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CFFAD2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2776BC5">
            <w:pPr>
              <w:jc w:val="center"/>
              <w:rPr>
                <w:rFonts w:hint="eastAsia" w:ascii="微软雅黑" w:hAnsi="微软雅黑" w:eastAsia="微软雅黑" w:cs="微软雅黑"/>
                <w:i w:val="0"/>
                <w:iCs w:val="0"/>
                <w:color w:val="000000"/>
                <w:sz w:val="20"/>
                <w:szCs w:val="20"/>
                <w:u w:val="none"/>
              </w:rPr>
            </w:pPr>
          </w:p>
        </w:tc>
      </w:tr>
      <w:tr w14:paraId="5B3AB1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4A35FE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2172D4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EA37CC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11、支持数据生产工具PIX4Dmapper引导下载及安装介绍。</w:t>
            </w:r>
          </w:p>
        </w:tc>
        <w:tc>
          <w:tcPr>
            <w:tcW w:w="349" w:type="pct"/>
            <w:vMerge w:val="continue"/>
            <w:tcBorders>
              <w:tl2br w:val="nil"/>
              <w:tr2bl w:val="nil"/>
            </w:tcBorders>
            <w:noWrap w:val="0"/>
            <w:vAlign w:val="center"/>
          </w:tcPr>
          <w:p w14:paraId="7483E63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12CD07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425142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739CFD8">
            <w:pPr>
              <w:jc w:val="center"/>
              <w:rPr>
                <w:rFonts w:hint="eastAsia" w:ascii="微软雅黑" w:hAnsi="微软雅黑" w:eastAsia="微软雅黑" w:cs="微软雅黑"/>
                <w:i w:val="0"/>
                <w:iCs w:val="0"/>
                <w:color w:val="000000"/>
                <w:sz w:val="20"/>
                <w:szCs w:val="20"/>
                <w:u w:val="none"/>
              </w:rPr>
            </w:pPr>
          </w:p>
        </w:tc>
      </w:tr>
      <w:tr w14:paraId="710984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9003BF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6FD12D9">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C6C19D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六、无人机农业植保</w:t>
            </w:r>
          </w:p>
        </w:tc>
        <w:tc>
          <w:tcPr>
            <w:tcW w:w="349" w:type="pct"/>
            <w:vMerge w:val="continue"/>
            <w:tcBorders>
              <w:tl2br w:val="nil"/>
              <w:tr2bl w:val="nil"/>
            </w:tcBorders>
            <w:noWrap w:val="0"/>
            <w:vAlign w:val="center"/>
          </w:tcPr>
          <w:p w14:paraId="6696955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A1522B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188998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BE91E9E">
            <w:pPr>
              <w:jc w:val="center"/>
              <w:rPr>
                <w:rFonts w:hint="eastAsia" w:ascii="微软雅黑" w:hAnsi="微软雅黑" w:eastAsia="微软雅黑" w:cs="微软雅黑"/>
                <w:i w:val="0"/>
                <w:iCs w:val="0"/>
                <w:color w:val="000000"/>
                <w:sz w:val="20"/>
                <w:szCs w:val="20"/>
                <w:u w:val="none"/>
              </w:rPr>
            </w:pPr>
          </w:p>
        </w:tc>
      </w:tr>
      <w:tr w14:paraId="698A3D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CB2653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A98F165">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85BF66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1、系统支持选择机型，应支持常用植保机机型选择。</w:t>
            </w:r>
          </w:p>
        </w:tc>
        <w:tc>
          <w:tcPr>
            <w:tcW w:w="349" w:type="pct"/>
            <w:vMerge w:val="continue"/>
            <w:tcBorders>
              <w:tl2br w:val="nil"/>
              <w:tr2bl w:val="nil"/>
            </w:tcBorders>
            <w:noWrap w:val="0"/>
            <w:vAlign w:val="center"/>
          </w:tcPr>
          <w:p w14:paraId="31E670F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DF6B34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7BF18A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84A552A">
            <w:pPr>
              <w:jc w:val="center"/>
              <w:rPr>
                <w:rFonts w:hint="eastAsia" w:ascii="微软雅黑" w:hAnsi="微软雅黑" w:eastAsia="微软雅黑" w:cs="微软雅黑"/>
                <w:i w:val="0"/>
                <w:iCs w:val="0"/>
                <w:color w:val="000000"/>
                <w:sz w:val="20"/>
                <w:szCs w:val="20"/>
                <w:u w:val="none"/>
              </w:rPr>
            </w:pPr>
          </w:p>
        </w:tc>
      </w:tr>
      <w:tr w14:paraId="341FA9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619D40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B288608">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1EC358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2、应提供植保无人机手动作业、手动增强作业、AB点作业、航线规划四种作业模式。</w:t>
            </w:r>
          </w:p>
        </w:tc>
        <w:tc>
          <w:tcPr>
            <w:tcW w:w="349" w:type="pct"/>
            <w:vMerge w:val="continue"/>
            <w:tcBorders>
              <w:tl2br w:val="nil"/>
              <w:tr2bl w:val="nil"/>
            </w:tcBorders>
            <w:noWrap w:val="0"/>
            <w:vAlign w:val="center"/>
          </w:tcPr>
          <w:p w14:paraId="614BB9D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0DA38D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D6F49B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A55CDF3">
            <w:pPr>
              <w:jc w:val="center"/>
              <w:rPr>
                <w:rFonts w:hint="eastAsia" w:ascii="微软雅黑" w:hAnsi="微软雅黑" w:eastAsia="微软雅黑" w:cs="微软雅黑"/>
                <w:i w:val="0"/>
                <w:iCs w:val="0"/>
                <w:color w:val="000000"/>
                <w:sz w:val="20"/>
                <w:szCs w:val="20"/>
                <w:u w:val="none"/>
              </w:rPr>
            </w:pPr>
          </w:p>
        </w:tc>
      </w:tr>
      <w:tr w14:paraId="7980AB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633FFC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536EC9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C585EB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3、系统中环境地形至少应分为简单、常规、复杂三种地形。</w:t>
            </w:r>
          </w:p>
        </w:tc>
        <w:tc>
          <w:tcPr>
            <w:tcW w:w="349" w:type="pct"/>
            <w:vMerge w:val="continue"/>
            <w:tcBorders>
              <w:tl2br w:val="nil"/>
              <w:tr2bl w:val="nil"/>
            </w:tcBorders>
            <w:noWrap w:val="0"/>
            <w:vAlign w:val="center"/>
          </w:tcPr>
          <w:p w14:paraId="780B31B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9DAB2B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1A1CD5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DEA844C">
            <w:pPr>
              <w:jc w:val="center"/>
              <w:rPr>
                <w:rFonts w:hint="eastAsia" w:ascii="微软雅黑" w:hAnsi="微软雅黑" w:eastAsia="微软雅黑" w:cs="微软雅黑"/>
                <w:i w:val="0"/>
                <w:iCs w:val="0"/>
                <w:color w:val="000000"/>
                <w:sz w:val="20"/>
                <w:szCs w:val="20"/>
                <w:u w:val="none"/>
              </w:rPr>
            </w:pPr>
          </w:p>
        </w:tc>
      </w:tr>
      <w:tr w14:paraId="2D7695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E30C49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0B474E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4457FA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4、系统至少应内置水稻、棉花、玉米等三种常见农作物。</w:t>
            </w:r>
          </w:p>
        </w:tc>
        <w:tc>
          <w:tcPr>
            <w:tcW w:w="349" w:type="pct"/>
            <w:vMerge w:val="continue"/>
            <w:tcBorders>
              <w:tl2br w:val="nil"/>
              <w:tr2bl w:val="nil"/>
            </w:tcBorders>
            <w:noWrap w:val="0"/>
            <w:vAlign w:val="center"/>
          </w:tcPr>
          <w:p w14:paraId="7D5C3FC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B6AAA4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155B07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8D158AF">
            <w:pPr>
              <w:jc w:val="center"/>
              <w:rPr>
                <w:rFonts w:hint="eastAsia" w:ascii="微软雅黑" w:hAnsi="微软雅黑" w:eastAsia="微软雅黑" w:cs="微软雅黑"/>
                <w:i w:val="0"/>
                <w:iCs w:val="0"/>
                <w:color w:val="000000"/>
                <w:sz w:val="20"/>
                <w:szCs w:val="20"/>
                <w:u w:val="none"/>
              </w:rPr>
            </w:pPr>
          </w:p>
        </w:tc>
      </w:tr>
      <w:tr w14:paraId="25ABA9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3F63BB9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6FBF061">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224D93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5、系统支持AB点作业，应支持操控无人机进行场地A点、B点标定，标定完成后能够按照AB点生成航线，并支持设定喷洒流速、水平喷幅、航线角度、飞行高度、飞行速度等作业参数。</w:t>
            </w:r>
          </w:p>
        </w:tc>
        <w:tc>
          <w:tcPr>
            <w:tcW w:w="349" w:type="pct"/>
            <w:vMerge w:val="continue"/>
            <w:tcBorders>
              <w:tl2br w:val="nil"/>
              <w:tr2bl w:val="nil"/>
            </w:tcBorders>
            <w:noWrap w:val="0"/>
            <w:vAlign w:val="center"/>
          </w:tcPr>
          <w:p w14:paraId="2F437EC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664286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931065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3281214">
            <w:pPr>
              <w:jc w:val="center"/>
              <w:rPr>
                <w:rFonts w:hint="eastAsia" w:ascii="微软雅黑" w:hAnsi="微软雅黑" w:eastAsia="微软雅黑" w:cs="微软雅黑"/>
                <w:i w:val="0"/>
                <w:iCs w:val="0"/>
                <w:color w:val="000000"/>
                <w:sz w:val="20"/>
                <w:szCs w:val="20"/>
                <w:u w:val="none"/>
              </w:rPr>
            </w:pPr>
          </w:p>
        </w:tc>
      </w:tr>
      <w:tr w14:paraId="657177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12C9E2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31A2AD0">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A7AB60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6、能够显示任务详情，支持动态更新当前航线计算出的作业面积、航线长度、预计飞行航时以及预估的药量。</w:t>
            </w:r>
          </w:p>
        </w:tc>
        <w:tc>
          <w:tcPr>
            <w:tcW w:w="349" w:type="pct"/>
            <w:vMerge w:val="continue"/>
            <w:tcBorders>
              <w:tl2br w:val="nil"/>
              <w:tr2bl w:val="nil"/>
            </w:tcBorders>
            <w:noWrap w:val="0"/>
            <w:vAlign w:val="center"/>
          </w:tcPr>
          <w:p w14:paraId="097503D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E60466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AA2A6C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52E9208">
            <w:pPr>
              <w:jc w:val="center"/>
              <w:rPr>
                <w:rFonts w:hint="eastAsia" w:ascii="微软雅黑" w:hAnsi="微软雅黑" w:eastAsia="微软雅黑" w:cs="微软雅黑"/>
                <w:i w:val="0"/>
                <w:iCs w:val="0"/>
                <w:color w:val="000000"/>
                <w:sz w:val="20"/>
                <w:szCs w:val="20"/>
                <w:u w:val="none"/>
              </w:rPr>
            </w:pPr>
          </w:p>
        </w:tc>
      </w:tr>
      <w:tr w14:paraId="38B863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2FDDE15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8671C90">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1E4631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7、应具有航线作业功能，能够添加和移除地块边界点，自动按照喷洒参数生成弓字型作业飞行航线；还应支持添加或移除不喷区域、支持设定喷洒流速、水平喷幅、航线角度、飞行高度、飞行速度等作业参数。</w:t>
            </w:r>
          </w:p>
        </w:tc>
        <w:tc>
          <w:tcPr>
            <w:tcW w:w="349" w:type="pct"/>
            <w:vMerge w:val="continue"/>
            <w:tcBorders>
              <w:tl2br w:val="nil"/>
              <w:tr2bl w:val="nil"/>
            </w:tcBorders>
            <w:noWrap w:val="0"/>
            <w:vAlign w:val="center"/>
          </w:tcPr>
          <w:p w14:paraId="79ADE3F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F7256F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EE26C7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5B4579B">
            <w:pPr>
              <w:jc w:val="center"/>
              <w:rPr>
                <w:rFonts w:hint="eastAsia" w:ascii="微软雅黑" w:hAnsi="微软雅黑" w:eastAsia="微软雅黑" w:cs="微软雅黑"/>
                <w:i w:val="0"/>
                <w:iCs w:val="0"/>
                <w:color w:val="000000"/>
                <w:sz w:val="20"/>
                <w:szCs w:val="20"/>
                <w:u w:val="none"/>
              </w:rPr>
            </w:pPr>
          </w:p>
        </w:tc>
      </w:tr>
      <w:tr w14:paraId="2D6AD9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1C09C0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02E52A4">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B80C88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8、航线作业时应显示任务详情，能够动态更新当前航线计算出的作业面积、航线长度、预计飞行航时、以及预估的药量。</w:t>
            </w:r>
          </w:p>
        </w:tc>
        <w:tc>
          <w:tcPr>
            <w:tcW w:w="349" w:type="pct"/>
            <w:vMerge w:val="continue"/>
            <w:tcBorders>
              <w:tl2br w:val="nil"/>
              <w:tr2bl w:val="nil"/>
            </w:tcBorders>
            <w:noWrap w:val="0"/>
            <w:vAlign w:val="center"/>
          </w:tcPr>
          <w:p w14:paraId="6EBF81B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0DFEED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8FE157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C120F06">
            <w:pPr>
              <w:jc w:val="center"/>
              <w:rPr>
                <w:rFonts w:hint="eastAsia" w:ascii="微软雅黑" w:hAnsi="微软雅黑" w:eastAsia="微软雅黑" w:cs="微软雅黑"/>
                <w:i w:val="0"/>
                <w:iCs w:val="0"/>
                <w:color w:val="000000"/>
                <w:sz w:val="20"/>
                <w:szCs w:val="20"/>
                <w:u w:val="none"/>
              </w:rPr>
            </w:pPr>
          </w:p>
        </w:tc>
      </w:tr>
      <w:tr w14:paraId="5F3916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5650759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C8F24C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BB2298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9、应具有手动增强作业功能，应支持操控无人机进行场地作业，能够设定喷洒流速、水平喷幅、航线角度、飞行高度、飞行速度等作业参数，飞机半自动按照作业参数执行任务，并支持一键掉头，锁定航向。</w:t>
            </w:r>
          </w:p>
        </w:tc>
        <w:tc>
          <w:tcPr>
            <w:tcW w:w="349" w:type="pct"/>
            <w:vMerge w:val="continue"/>
            <w:tcBorders>
              <w:tl2br w:val="nil"/>
              <w:tr2bl w:val="nil"/>
            </w:tcBorders>
            <w:noWrap w:val="0"/>
            <w:vAlign w:val="center"/>
          </w:tcPr>
          <w:p w14:paraId="63F7C21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B141FD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978643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EA70816">
            <w:pPr>
              <w:jc w:val="center"/>
              <w:rPr>
                <w:rFonts w:hint="eastAsia" w:ascii="微软雅黑" w:hAnsi="微软雅黑" w:eastAsia="微软雅黑" w:cs="微软雅黑"/>
                <w:i w:val="0"/>
                <w:iCs w:val="0"/>
                <w:color w:val="000000"/>
                <w:sz w:val="20"/>
                <w:szCs w:val="20"/>
                <w:u w:val="none"/>
              </w:rPr>
            </w:pPr>
          </w:p>
        </w:tc>
      </w:tr>
      <w:tr w14:paraId="268878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6B5309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1717C2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22ABEB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10、应具备手动作业功能，能够操控飞机进行纯手动作业，并支持一键掉头，锁定航向。</w:t>
            </w:r>
          </w:p>
        </w:tc>
        <w:tc>
          <w:tcPr>
            <w:tcW w:w="349" w:type="pct"/>
            <w:vMerge w:val="continue"/>
            <w:tcBorders>
              <w:tl2br w:val="nil"/>
              <w:tr2bl w:val="nil"/>
            </w:tcBorders>
            <w:noWrap w:val="0"/>
            <w:vAlign w:val="center"/>
          </w:tcPr>
          <w:p w14:paraId="31AB403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19EA3E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E88DAC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FA1A4B8">
            <w:pPr>
              <w:jc w:val="center"/>
              <w:rPr>
                <w:rFonts w:hint="eastAsia" w:ascii="微软雅黑" w:hAnsi="微软雅黑" w:eastAsia="微软雅黑" w:cs="微软雅黑"/>
                <w:i w:val="0"/>
                <w:iCs w:val="0"/>
                <w:color w:val="000000"/>
                <w:sz w:val="20"/>
                <w:szCs w:val="20"/>
                <w:u w:val="none"/>
              </w:rPr>
            </w:pPr>
          </w:p>
        </w:tc>
      </w:tr>
      <w:tr w14:paraId="7A3F99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55FBEC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D6B930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1D6C15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11、应支持模拟断药断电返航后的断点续喷功能。</w:t>
            </w:r>
          </w:p>
        </w:tc>
        <w:tc>
          <w:tcPr>
            <w:tcW w:w="349" w:type="pct"/>
            <w:vMerge w:val="continue"/>
            <w:tcBorders>
              <w:tl2br w:val="nil"/>
              <w:tr2bl w:val="nil"/>
            </w:tcBorders>
            <w:noWrap w:val="0"/>
            <w:vAlign w:val="center"/>
          </w:tcPr>
          <w:p w14:paraId="621BA20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79D1AA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D2C722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550476E">
            <w:pPr>
              <w:jc w:val="center"/>
              <w:rPr>
                <w:rFonts w:hint="eastAsia" w:ascii="微软雅黑" w:hAnsi="微软雅黑" w:eastAsia="微软雅黑" w:cs="微软雅黑"/>
                <w:i w:val="0"/>
                <w:iCs w:val="0"/>
                <w:color w:val="000000"/>
                <w:sz w:val="20"/>
                <w:szCs w:val="20"/>
                <w:u w:val="none"/>
              </w:rPr>
            </w:pPr>
          </w:p>
        </w:tc>
      </w:tr>
      <w:tr w14:paraId="250823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36B098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2ABA61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F81273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12、应具有调节摇杆灵敏度的功能，支持美国手、日本手、中国手。</w:t>
            </w:r>
          </w:p>
        </w:tc>
        <w:tc>
          <w:tcPr>
            <w:tcW w:w="349" w:type="pct"/>
            <w:vMerge w:val="continue"/>
            <w:tcBorders>
              <w:tl2br w:val="nil"/>
              <w:tr2bl w:val="nil"/>
            </w:tcBorders>
            <w:noWrap w:val="0"/>
            <w:vAlign w:val="center"/>
          </w:tcPr>
          <w:p w14:paraId="6D72752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694DDD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C5723E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547D85D">
            <w:pPr>
              <w:jc w:val="center"/>
              <w:rPr>
                <w:rFonts w:hint="eastAsia" w:ascii="微软雅黑" w:hAnsi="微软雅黑" w:eastAsia="微软雅黑" w:cs="微软雅黑"/>
                <w:i w:val="0"/>
                <w:iCs w:val="0"/>
                <w:color w:val="000000"/>
                <w:sz w:val="20"/>
                <w:szCs w:val="20"/>
                <w:u w:val="none"/>
              </w:rPr>
            </w:pPr>
          </w:p>
        </w:tc>
      </w:tr>
      <w:tr w14:paraId="2D9F38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B96FBE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62947F2">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F5434F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13、系统应具备完善的天气系统功能，能够支持切换天气效果，至少应包含晴天、阴天、雨天、大雪等天气效果。</w:t>
            </w:r>
          </w:p>
        </w:tc>
        <w:tc>
          <w:tcPr>
            <w:tcW w:w="349" w:type="pct"/>
            <w:vMerge w:val="continue"/>
            <w:tcBorders>
              <w:tl2br w:val="nil"/>
              <w:tr2bl w:val="nil"/>
            </w:tcBorders>
            <w:noWrap w:val="0"/>
            <w:vAlign w:val="center"/>
          </w:tcPr>
          <w:p w14:paraId="5491A23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9133FC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176013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1BE7803">
            <w:pPr>
              <w:jc w:val="center"/>
              <w:rPr>
                <w:rFonts w:hint="eastAsia" w:ascii="微软雅黑" w:hAnsi="微软雅黑" w:eastAsia="微软雅黑" w:cs="微软雅黑"/>
                <w:i w:val="0"/>
                <w:iCs w:val="0"/>
                <w:color w:val="000000"/>
                <w:sz w:val="20"/>
                <w:szCs w:val="20"/>
                <w:u w:val="none"/>
              </w:rPr>
            </w:pPr>
          </w:p>
        </w:tc>
      </w:tr>
      <w:tr w14:paraId="652F58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FAF886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19A9D60">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B3B30F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14、系统应支持自定义设置模拟时间，能够根据调整的时间自动变换太阳的位置、角度以及太阳光强度等。</w:t>
            </w:r>
          </w:p>
        </w:tc>
        <w:tc>
          <w:tcPr>
            <w:tcW w:w="349" w:type="pct"/>
            <w:vMerge w:val="continue"/>
            <w:tcBorders>
              <w:tl2br w:val="nil"/>
              <w:tr2bl w:val="nil"/>
            </w:tcBorders>
            <w:noWrap w:val="0"/>
            <w:vAlign w:val="center"/>
          </w:tcPr>
          <w:p w14:paraId="3249A7B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8FA22F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A86BF4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4989AA7">
            <w:pPr>
              <w:jc w:val="center"/>
              <w:rPr>
                <w:rFonts w:hint="eastAsia" w:ascii="微软雅黑" w:hAnsi="微软雅黑" w:eastAsia="微软雅黑" w:cs="微软雅黑"/>
                <w:i w:val="0"/>
                <w:iCs w:val="0"/>
                <w:color w:val="000000"/>
                <w:sz w:val="20"/>
                <w:szCs w:val="20"/>
                <w:u w:val="none"/>
              </w:rPr>
            </w:pPr>
          </w:p>
        </w:tc>
      </w:tr>
      <w:tr w14:paraId="225D7B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5798122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C2A4EF2">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83699B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15、应具备设置风力等级的功能，能够支持无风、1-3级风力调节，根据调节的风力，场地中风向标能够自动呈现风力大小和方向，并根据风力影响无人机飞行稳定性，以达到模拟各种真实环境的目的。</w:t>
            </w:r>
          </w:p>
        </w:tc>
        <w:tc>
          <w:tcPr>
            <w:tcW w:w="349" w:type="pct"/>
            <w:vMerge w:val="continue"/>
            <w:tcBorders>
              <w:tl2br w:val="nil"/>
              <w:tr2bl w:val="nil"/>
            </w:tcBorders>
            <w:noWrap w:val="0"/>
            <w:vAlign w:val="center"/>
          </w:tcPr>
          <w:p w14:paraId="557CF9D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959538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3F1E59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F0A4639">
            <w:pPr>
              <w:jc w:val="center"/>
              <w:rPr>
                <w:rFonts w:hint="eastAsia" w:ascii="微软雅黑" w:hAnsi="微软雅黑" w:eastAsia="微软雅黑" w:cs="微软雅黑"/>
                <w:i w:val="0"/>
                <w:iCs w:val="0"/>
                <w:color w:val="000000"/>
                <w:sz w:val="20"/>
                <w:szCs w:val="20"/>
                <w:u w:val="none"/>
              </w:rPr>
            </w:pPr>
          </w:p>
        </w:tc>
      </w:tr>
      <w:tr w14:paraId="2833B4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A5EEFA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6B0BF2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F9C2E7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16、应支持多视角模式，至少包含固定视角、跟随视角和FPV视角。</w:t>
            </w:r>
          </w:p>
        </w:tc>
        <w:tc>
          <w:tcPr>
            <w:tcW w:w="349" w:type="pct"/>
            <w:vMerge w:val="continue"/>
            <w:tcBorders>
              <w:tl2br w:val="nil"/>
              <w:tr2bl w:val="nil"/>
            </w:tcBorders>
            <w:noWrap w:val="0"/>
            <w:vAlign w:val="center"/>
          </w:tcPr>
          <w:p w14:paraId="2593FEA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776989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5820AA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90AA5E1">
            <w:pPr>
              <w:jc w:val="center"/>
              <w:rPr>
                <w:rFonts w:hint="eastAsia" w:ascii="微软雅黑" w:hAnsi="微软雅黑" w:eastAsia="微软雅黑" w:cs="微软雅黑"/>
                <w:i w:val="0"/>
                <w:iCs w:val="0"/>
                <w:color w:val="000000"/>
                <w:sz w:val="20"/>
                <w:szCs w:val="20"/>
                <w:u w:val="none"/>
              </w:rPr>
            </w:pPr>
          </w:p>
        </w:tc>
      </w:tr>
      <w:tr w14:paraId="0D02F7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4E8D74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BD40730">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AFF868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17、应具备视角调整功能，在固定视角下应能进行视域调整和高度调整。</w:t>
            </w:r>
          </w:p>
        </w:tc>
        <w:tc>
          <w:tcPr>
            <w:tcW w:w="349" w:type="pct"/>
            <w:vMerge w:val="continue"/>
            <w:tcBorders>
              <w:tl2br w:val="nil"/>
              <w:tr2bl w:val="nil"/>
            </w:tcBorders>
            <w:noWrap w:val="0"/>
            <w:vAlign w:val="center"/>
          </w:tcPr>
          <w:p w14:paraId="72EA3E8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447392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02F592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CD12024">
            <w:pPr>
              <w:jc w:val="center"/>
              <w:rPr>
                <w:rFonts w:hint="eastAsia" w:ascii="微软雅黑" w:hAnsi="微软雅黑" w:eastAsia="微软雅黑" w:cs="微软雅黑"/>
                <w:i w:val="0"/>
                <w:iCs w:val="0"/>
                <w:color w:val="000000"/>
                <w:sz w:val="20"/>
                <w:szCs w:val="20"/>
                <w:u w:val="none"/>
              </w:rPr>
            </w:pPr>
          </w:p>
        </w:tc>
      </w:tr>
      <w:tr w14:paraId="386B66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17A8C8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13FD22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4FF826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18、飞行模式应支持姿态模式和GNSS模式。</w:t>
            </w:r>
          </w:p>
        </w:tc>
        <w:tc>
          <w:tcPr>
            <w:tcW w:w="349" w:type="pct"/>
            <w:vMerge w:val="continue"/>
            <w:tcBorders>
              <w:tl2br w:val="nil"/>
              <w:tr2bl w:val="nil"/>
            </w:tcBorders>
            <w:noWrap w:val="0"/>
            <w:vAlign w:val="center"/>
          </w:tcPr>
          <w:p w14:paraId="5335CA0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C7A488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2B285B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A86D5F2">
            <w:pPr>
              <w:jc w:val="center"/>
              <w:rPr>
                <w:rFonts w:hint="eastAsia" w:ascii="微软雅黑" w:hAnsi="微软雅黑" w:eastAsia="微软雅黑" w:cs="微软雅黑"/>
                <w:i w:val="0"/>
                <w:iCs w:val="0"/>
                <w:color w:val="000000"/>
                <w:sz w:val="20"/>
                <w:szCs w:val="20"/>
                <w:u w:val="none"/>
              </w:rPr>
            </w:pPr>
          </w:p>
        </w:tc>
      </w:tr>
      <w:tr w14:paraId="5B61A6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A8949D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ED4AF9B">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E450E7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七、无人机组装调试</w:t>
            </w:r>
          </w:p>
        </w:tc>
        <w:tc>
          <w:tcPr>
            <w:tcW w:w="349" w:type="pct"/>
            <w:vMerge w:val="continue"/>
            <w:tcBorders>
              <w:tl2br w:val="nil"/>
              <w:tr2bl w:val="nil"/>
            </w:tcBorders>
            <w:noWrap w:val="0"/>
            <w:vAlign w:val="center"/>
          </w:tcPr>
          <w:p w14:paraId="41A3579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2ECC20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0813BC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C6C9886">
            <w:pPr>
              <w:jc w:val="center"/>
              <w:rPr>
                <w:rFonts w:hint="eastAsia" w:ascii="微软雅黑" w:hAnsi="微软雅黑" w:eastAsia="微软雅黑" w:cs="微软雅黑"/>
                <w:i w:val="0"/>
                <w:iCs w:val="0"/>
                <w:color w:val="000000"/>
                <w:sz w:val="20"/>
                <w:szCs w:val="20"/>
                <w:u w:val="none"/>
              </w:rPr>
            </w:pPr>
          </w:p>
        </w:tc>
      </w:tr>
      <w:tr w14:paraId="614073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75C158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8192E82">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2546E0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1、系统应包含组装调试过程中所有的安全注意事项说明，不少于5条。</w:t>
            </w:r>
          </w:p>
        </w:tc>
        <w:tc>
          <w:tcPr>
            <w:tcW w:w="349" w:type="pct"/>
            <w:vMerge w:val="continue"/>
            <w:tcBorders>
              <w:tl2br w:val="nil"/>
              <w:tr2bl w:val="nil"/>
            </w:tcBorders>
            <w:noWrap w:val="0"/>
            <w:vAlign w:val="center"/>
          </w:tcPr>
          <w:p w14:paraId="25B39C3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3BFC4A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7E2015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2622970">
            <w:pPr>
              <w:jc w:val="center"/>
              <w:rPr>
                <w:rFonts w:hint="eastAsia" w:ascii="微软雅黑" w:hAnsi="微软雅黑" w:eastAsia="微软雅黑" w:cs="微软雅黑"/>
                <w:i w:val="0"/>
                <w:iCs w:val="0"/>
                <w:color w:val="000000"/>
                <w:sz w:val="20"/>
                <w:szCs w:val="20"/>
                <w:u w:val="none"/>
              </w:rPr>
            </w:pPr>
          </w:p>
        </w:tc>
      </w:tr>
      <w:tr w14:paraId="1F7FF9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076E3C4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F65F3A4">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297EFF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系统应具备任务工单的功能，能够包含组装调试中涉及到的检查零部件及耗材清单、无人机外观及结构认知、对无人机机体及部件进行组装、对传感器及遥控器进行调试以及进行试飞验证等五个核心任务环节。</w:t>
            </w:r>
          </w:p>
        </w:tc>
        <w:tc>
          <w:tcPr>
            <w:tcW w:w="349" w:type="pct"/>
            <w:vMerge w:val="continue"/>
            <w:tcBorders>
              <w:tl2br w:val="nil"/>
              <w:tr2bl w:val="nil"/>
            </w:tcBorders>
            <w:noWrap w:val="0"/>
            <w:vAlign w:val="center"/>
          </w:tcPr>
          <w:p w14:paraId="030F34E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CFD917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B8151D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0F70747">
            <w:pPr>
              <w:jc w:val="center"/>
              <w:rPr>
                <w:rFonts w:hint="eastAsia" w:ascii="微软雅黑" w:hAnsi="微软雅黑" w:eastAsia="微软雅黑" w:cs="微软雅黑"/>
                <w:i w:val="0"/>
                <w:iCs w:val="0"/>
                <w:color w:val="000000"/>
                <w:sz w:val="20"/>
                <w:szCs w:val="20"/>
                <w:u w:val="none"/>
              </w:rPr>
            </w:pPr>
          </w:p>
        </w:tc>
      </w:tr>
      <w:tr w14:paraId="5B2043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517F119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86292CE">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68CD3D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▲3、应具有无人机结构认知模块，应对无人机核心部件进行介绍，并支持无人机结构爆炸图的形式展示，支持手动控制无人机爆炸或组合。（提供系统截图）</w:t>
            </w:r>
          </w:p>
        </w:tc>
        <w:tc>
          <w:tcPr>
            <w:tcW w:w="349" w:type="pct"/>
            <w:vMerge w:val="continue"/>
            <w:tcBorders>
              <w:tl2br w:val="nil"/>
              <w:tr2bl w:val="nil"/>
            </w:tcBorders>
            <w:noWrap w:val="0"/>
            <w:vAlign w:val="center"/>
          </w:tcPr>
          <w:p w14:paraId="3CD7E83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32F5E8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F317E9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E2DBECB">
            <w:pPr>
              <w:jc w:val="center"/>
              <w:rPr>
                <w:rFonts w:hint="eastAsia" w:ascii="微软雅黑" w:hAnsi="微软雅黑" w:eastAsia="微软雅黑" w:cs="微软雅黑"/>
                <w:i w:val="0"/>
                <w:iCs w:val="0"/>
                <w:color w:val="000000"/>
                <w:sz w:val="20"/>
                <w:szCs w:val="20"/>
                <w:u w:val="none"/>
              </w:rPr>
            </w:pPr>
          </w:p>
        </w:tc>
      </w:tr>
      <w:tr w14:paraId="2F4939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4705B7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C41DF59">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20F7B8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4、应包含无人机整机部件及电路接线组装的全部步骤。（提供系统截图）</w:t>
            </w:r>
          </w:p>
        </w:tc>
        <w:tc>
          <w:tcPr>
            <w:tcW w:w="349" w:type="pct"/>
            <w:vMerge w:val="continue"/>
            <w:tcBorders>
              <w:tl2br w:val="nil"/>
              <w:tr2bl w:val="nil"/>
            </w:tcBorders>
            <w:noWrap w:val="0"/>
            <w:vAlign w:val="center"/>
          </w:tcPr>
          <w:p w14:paraId="55DA1EC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8C7AFE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7F631D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F840BA5">
            <w:pPr>
              <w:jc w:val="center"/>
              <w:rPr>
                <w:rFonts w:hint="eastAsia" w:ascii="微软雅黑" w:hAnsi="微软雅黑" w:eastAsia="微软雅黑" w:cs="微软雅黑"/>
                <w:i w:val="0"/>
                <w:iCs w:val="0"/>
                <w:color w:val="000000"/>
                <w:sz w:val="20"/>
                <w:szCs w:val="20"/>
                <w:u w:val="none"/>
              </w:rPr>
            </w:pPr>
          </w:p>
        </w:tc>
      </w:tr>
      <w:tr w14:paraId="75E274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4A027A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E06733C">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D8AC73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5、应具有传感器校准功能，至少应包含罗盘校准，陀螺仪校准，加速度校准，水平校准等四个维度的校准。（提供系统截图）</w:t>
            </w:r>
          </w:p>
        </w:tc>
        <w:tc>
          <w:tcPr>
            <w:tcW w:w="349" w:type="pct"/>
            <w:vMerge w:val="continue"/>
            <w:tcBorders>
              <w:tl2br w:val="nil"/>
              <w:tr2bl w:val="nil"/>
            </w:tcBorders>
            <w:noWrap w:val="0"/>
            <w:vAlign w:val="center"/>
          </w:tcPr>
          <w:p w14:paraId="346CCE0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1AB7D3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18EBDC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34A6A64">
            <w:pPr>
              <w:jc w:val="center"/>
              <w:rPr>
                <w:rFonts w:hint="eastAsia" w:ascii="微软雅黑" w:hAnsi="微软雅黑" w:eastAsia="微软雅黑" w:cs="微软雅黑"/>
                <w:i w:val="0"/>
                <w:iCs w:val="0"/>
                <w:color w:val="000000"/>
                <w:sz w:val="20"/>
                <w:szCs w:val="20"/>
                <w:u w:val="none"/>
              </w:rPr>
            </w:pPr>
          </w:p>
        </w:tc>
      </w:tr>
      <w:tr w14:paraId="5679CA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E97901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BACEE40">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68F485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6、支持遥控器校准功能，应包含遥控器校准的主要步骤，如开启遥控器，摇杆校准、电机一键急停模式开启、遥控器UI模式开启等。</w:t>
            </w:r>
          </w:p>
        </w:tc>
        <w:tc>
          <w:tcPr>
            <w:tcW w:w="349" w:type="pct"/>
            <w:vMerge w:val="continue"/>
            <w:tcBorders>
              <w:tl2br w:val="nil"/>
              <w:tr2bl w:val="nil"/>
            </w:tcBorders>
            <w:noWrap w:val="0"/>
            <w:vAlign w:val="center"/>
          </w:tcPr>
          <w:p w14:paraId="2578409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FBB61E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0954A6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B900F66">
            <w:pPr>
              <w:jc w:val="center"/>
              <w:rPr>
                <w:rFonts w:hint="eastAsia" w:ascii="微软雅黑" w:hAnsi="微软雅黑" w:eastAsia="微软雅黑" w:cs="微软雅黑"/>
                <w:i w:val="0"/>
                <w:iCs w:val="0"/>
                <w:color w:val="000000"/>
                <w:sz w:val="20"/>
                <w:szCs w:val="20"/>
                <w:u w:val="none"/>
              </w:rPr>
            </w:pPr>
          </w:p>
        </w:tc>
      </w:tr>
      <w:tr w14:paraId="42298B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B744C1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513A51F">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674481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7、能够支持操控遥控器控制无人机完成升降、俯仰、副翼、偏航等操作。</w:t>
            </w:r>
          </w:p>
        </w:tc>
        <w:tc>
          <w:tcPr>
            <w:tcW w:w="349" w:type="pct"/>
            <w:vMerge w:val="continue"/>
            <w:tcBorders>
              <w:tl2br w:val="nil"/>
              <w:tr2bl w:val="nil"/>
            </w:tcBorders>
            <w:noWrap w:val="0"/>
            <w:vAlign w:val="center"/>
          </w:tcPr>
          <w:p w14:paraId="68A00F5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7AC325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8D9FE5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3F20248">
            <w:pPr>
              <w:jc w:val="center"/>
              <w:rPr>
                <w:rFonts w:hint="eastAsia" w:ascii="微软雅黑" w:hAnsi="微软雅黑" w:eastAsia="微软雅黑" w:cs="微软雅黑"/>
                <w:i w:val="0"/>
                <w:iCs w:val="0"/>
                <w:color w:val="000000"/>
                <w:sz w:val="20"/>
                <w:szCs w:val="20"/>
                <w:u w:val="none"/>
              </w:rPr>
            </w:pPr>
          </w:p>
        </w:tc>
      </w:tr>
      <w:tr w14:paraId="2FE197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5B92F30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422" w:type="pct"/>
            <w:vMerge w:val="restart"/>
            <w:tcBorders>
              <w:tl2br w:val="nil"/>
              <w:tr2bl w:val="nil"/>
            </w:tcBorders>
            <w:noWrap w:val="0"/>
            <w:vAlign w:val="center"/>
          </w:tcPr>
          <w:p w14:paraId="2699B220">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飞行训练模拟器</w:t>
            </w:r>
          </w:p>
        </w:tc>
        <w:tc>
          <w:tcPr>
            <w:tcW w:w="2949" w:type="pct"/>
            <w:tcBorders>
              <w:tl2br w:val="nil"/>
              <w:tr2bl w:val="nil"/>
            </w:tcBorders>
            <w:noWrap w:val="0"/>
            <w:vAlign w:val="center"/>
          </w:tcPr>
          <w:p w14:paraId="6542B76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1、支持通道数：不低于8通道；</w:t>
            </w:r>
          </w:p>
        </w:tc>
        <w:tc>
          <w:tcPr>
            <w:tcW w:w="349" w:type="pct"/>
            <w:vMerge w:val="restart"/>
            <w:tcBorders>
              <w:tl2br w:val="nil"/>
              <w:tr2bl w:val="nil"/>
            </w:tcBorders>
            <w:noWrap w:val="0"/>
            <w:vAlign w:val="center"/>
          </w:tcPr>
          <w:p w14:paraId="4830526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344" w:type="pct"/>
            <w:tcBorders>
              <w:tl2br w:val="nil"/>
              <w:tr2bl w:val="nil"/>
            </w:tcBorders>
            <w:noWrap w:val="0"/>
            <w:vAlign w:val="center"/>
          </w:tcPr>
          <w:p w14:paraId="758CABE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7D3CE72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18ADB97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3250B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49CAAC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1548576">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44CA34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2、应支持双摇杆自动回中。</w:t>
            </w:r>
          </w:p>
        </w:tc>
        <w:tc>
          <w:tcPr>
            <w:tcW w:w="349" w:type="pct"/>
            <w:vMerge w:val="continue"/>
            <w:tcBorders>
              <w:tl2br w:val="nil"/>
              <w:tr2bl w:val="nil"/>
            </w:tcBorders>
            <w:noWrap w:val="0"/>
            <w:vAlign w:val="center"/>
          </w:tcPr>
          <w:p w14:paraId="09137F1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517C4A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415F91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BFE4093">
            <w:pPr>
              <w:jc w:val="center"/>
              <w:rPr>
                <w:rFonts w:hint="eastAsia" w:ascii="微软雅黑" w:hAnsi="微软雅黑" w:eastAsia="微软雅黑" w:cs="微软雅黑"/>
                <w:i w:val="0"/>
                <w:iCs w:val="0"/>
                <w:color w:val="000000"/>
                <w:sz w:val="20"/>
                <w:szCs w:val="20"/>
                <w:u w:val="none"/>
              </w:rPr>
            </w:pPr>
          </w:p>
        </w:tc>
      </w:tr>
      <w:tr w14:paraId="0B88C3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BE3631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D9EE486">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1ECA80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3、支持协议：USB-HID协议。</w:t>
            </w:r>
          </w:p>
        </w:tc>
        <w:tc>
          <w:tcPr>
            <w:tcW w:w="349" w:type="pct"/>
            <w:vMerge w:val="continue"/>
            <w:tcBorders>
              <w:tl2br w:val="nil"/>
              <w:tr2bl w:val="nil"/>
            </w:tcBorders>
            <w:noWrap w:val="0"/>
            <w:vAlign w:val="center"/>
          </w:tcPr>
          <w:p w14:paraId="59397C6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DC959A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4DF8F6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57D0C56">
            <w:pPr>
              <w:jc w:val="center"/>
              <w:rPr>
                <w:rFonts w:hint="eastAsia" w:ascii="微软雅黑" w:hAnsi="微软雅黑" w:eastAsia="微软雅黑" w:cs="微软雅黑"/>
                <w:i w:val="0"/>
                <w:iCs w:val="0"/>
                <w:color w:val="000000"/>
                <w:sz w:val="20"/>
                <w:szCs w:val="20"/>
                <w:u w:val="none"/>
              </w:rPr>
            </w:pPr>
          </w:p>
        </w:tc>
      </w:tr>
      <w:tr w14:paraId="287AAC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EC4A0A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67F0563">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94CDBC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4、电池：不低于1100mah；</w:t>
            </w:r>
          </w:p>
        </w:tc>
        <w:tc>
          <w:tcPr>
            <w:tcW w:w="349" w:type="pct"/>
            <w:vMerge w:val="continue"/>
            <w:tcBorders>
              <w:tl2br w:val="nil"/>
              <w:tr2bl w:val="nil"/>
            </w:tcBorders>
            <w:noWrap w:val="0"/>
            <w:vAlign w:val="center"/>
          </w:tcPr>
          <w:p w14:paraId="1CF80C5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B57EA9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D3D988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17FFBE6">
            <w:pPr>
              <w:jc w:val="center"/>
              <w:rPr>
                <w:rFonts w:hint="eastAsia" w:ascii="微软雅黑" w:hAnsi="微软雅黑" w:eastAsia="微软雅黑" w:cs="微软雅黑"/>
                <w:i w:val="0"/>
                <w:iCs w:val="0"/>
                <w:color w:val="000000"/>
                <w:sz w:val="20"/>
                <w:szCs w:val="20"/>
                <w:u w:val="none"/>
              </w:rPr>
            </w:pPr>
          </w:p>
        </w:tc>
      </w:tr>
      <w:tr w14:paraId="7A61CC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FCDADE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C4B3C2B">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EA2B62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5、数据接口：应支持type-C；</w:t>
            </w:r>
          </w:p>
        </w:tc>
        <w:tc>
          <w:tcPr>
            <w:tcW w:w="349" w:type="pct"/>
            <w:vMerge w:val="continue"/>
            <w:tcBorders>
              <w:tl2br w:val="nil"/>
              <w:tr2bl w:val="nil"/>
            </w:tcBorders>
            <w:noWrap w:val="0"/>
            <w:vAlign w:val="center"/>
          </w:tcPr>
          <w:p w14:paraId="12372C8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09858C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408C4C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C15821C">
            <w:pPr>
              <w:jc w:val="center"/>
              <w:rPr>
                <w:rFonts w:hint="eastAsia" w:ascii="微软雅黑" w:hAnsi="微软雅黑" w:eastAsia="微软雅黑" w:cs="微软雅黑"/>
                <w:i w:val="0"/>
                <w:iCs w:val="0"/>
                <w:color w:val="000000"/>
                <w:sz w:val="20"/>
                <w:szCs w:val="20"/>
                <w:u w:val="none"/>
              </w:rPr>
            </w:pPr>
          </w:p>
        </w:tc>
      </w:tr>
      <w:tr w14:paraId="402A22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078222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68D3817">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EC50D4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6、应具有双侧肩部拨轮。</w:t>
            </w:r>
          </w:p>
        </w:tc>
        <w:tc>
          <w:tcPr>
            <w:tcW w:w="349" w:type="pct"/>
            <w:vMerge w:val="continue"/>
            <w:tcBorders>
              <w:tl2br w:val="nil"/>
              <w:tr2bl w:val="nil"/>
            </w:tcBorders>
            <w:noWrap w:val="0"/>
            <w:vAlign w:val="center"/>
          </w:tcPr>
          <w:p w14:paraId="2B1C8ED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E110EB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6C904F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D23046C">
            <w:pPr>
              <w:jc w:val="center"/>
              <w:rPr>
                <w:rFonts w:hint="eastAsia" w:ascii="微软雅黑" w:hAnsi="微软雅黑" w:eastAsia="微软雅黑" w:cs="微软雅黑"/>
                <w:i w:val="0"/>
                <w:iCs w:val="0"/>
                <w:color w:val="000000"/>
                <w:sz w:val="20"/>
                <w:szCs w:val="20"/>
                <w:u w:val="none"/>
              </w:rPr>
            </w:pPr>
          </w:p>
        </w:tc>
      </w:tr>
      <w:tr w14:paraId="0DF9DF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509639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2EA3115">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ED2491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r>
              <w:rPr>
                <w:rFonts w:hint="eastAsia" w:ascii="微软雅黑" w:hAnsi="微软雅黑" w:eastAsia="微软雅黑" w:cs="微软雅黑"/>
                <w:i w:val="0"/>
                <w:iCs w:val="0"/>
                <w:color w:val="000000"/>
                <w:kern w:val="0"/>
                <w:sz w:val="20"/>
                <w:szCs w:val="20"/>
                <w:highlight w:val="yellow"/>
                <w:u w:val="none"/>
                <w:lang w:val="en-US" w:eastAsia="zh-CN" w:bidi="ar"/>
              </w:rPr>
              <w:t>应支持USB接口直接供电。</w:t>
            </w:r>
          </w:p>
        </w:tc>
        <w:tc>
          <w:tcPr>
            <w:tcW w:w="349" w:type="pct"/>
            <w:vMerge w:val="continue"/>
            <w:tcBorders>
              <w:tl2br w:val="nil"/>
              <w:tr2bl w:val="nil"/>
            </w:tcBorders>
            <w:noWrap w:val="0"/>
            <w:vAlign w:val="center"/>
          </w:tcPr>
          <w:p w14:paraId="1F746F9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FD4F35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D503B6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F5F43CE">
            <w:pPr>
              <w:jc w:val="center"/>
              <w:rPr>
                <w:rFonts w:hint="eastAsia" w:ascii="微软雅黑" w:hAnsi="微软雅黑" w:eastAsia="微软雅黑" w:cs="微软雅黑"/>
                <w:i w:val="0"/>
                <w:iCs w:val="0"/>
                <w:color w:val="000000"/>
                <w:sz w:val="20"/>
                <w:szCs w:val="20"/>
                <w:u w:val="none"/>
              </w:rPr>
            </w:pPr>
          </w:p>
        </w:tc>
      </w:tr>
      <w:tr w14:paraId="5218D0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85A38C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DA26F15">
            <w:pPr>
              <w:jc w:val="both"/>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19912D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8、支持在线更新。</w:t>
            </w:r>
          </w:p>
        </w:tc>
        <w:tc>
          <w:tcPr>
            <w:tcW w:w="349" w:type="pct"/>
            <w:vMerge w:val="continue"/>
            <w:tcBorders>
              <w:tl2br w:val="nil"/>
              <w:tr2bl w:val="nil"/>
            </w:tcBorders>
            <w:noWrap w:val="0"/>
            <w:vAlign w:val="center"/>
          </w:tcPr>
          <w:p w14:paraId="588EFD8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178FF1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6CA85B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F999F6C">
            <w:pPr>
              <w:jc w:val="center"/>
              <w:rPr>
                <w:rFonts w:hint="eastAsia" w:ascii="微软雅黑" w:hAnsi="微软雅黑" w:eastAsia="微软雅黑" w:cs="微软雅黑"/>
                <w:i w:val="0"/>
                <w:iCs w:val="0"/>
                <w:color w:val="000000"/>
                <w:sz w:val="20"/>
                <w:szCs w:val="20"/>
                <w:u w:val="none"/>
              </w:rPr>
            </w:pPr>
          </w:p>
        </w:tc>
      </w:tr>
      <w:tr w14:paraId="7AC41F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21D7951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422" w:type="pct"/>
            <w:vMerge w:val="restart"/>
            <w:tcBorders>
              <w:tl2br w:val="nil"/>
              <w:tr2bl w:val="nil"/>
            </w:tcBorders>
            <w:noWrap w:val="0"/>
            <w:vAlign w:val="center"/>
          </w:tcPr>
          <w:p w14:paraId="0AD1DFF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智能飞行器选用与组装调试平台</w:t>
            </w:r>
          </w:p>
        </w:tc>
        <w:tc>
          <w:tcPr>
            <w:tcW w:w="2949" w:type="pct"/>
            <w:tcBorders>
              <w:tl2br w:val="nil"/>
              <w:tr2bl w:val="nil"/>
            </w:tcBorders>
            <w:noWrap w:val="0"/>
            <w:vAlign w:val="center"/>
          </w:tcPr>
          <w:p w14:paraId="76535E9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1.要求提供不少于三种机架布局机型，分别为“十”字型，“X”型和“H”型，</w:t>
            </w:r>
          </w:p>
        </w:tc>
        <w:tc>
          <w:tcPr>
            <w:tcW w:w="349" w:type="pct"/>
            <w:vMerge w:val="restart"/>
            <w:tcBorders>
              <w:tl2br w:val="nil"/>
              <w:tr2bl w:val="nil"/>
            </w:tcBorders>
            <w:noWrap w:val="0"/>
            <w:vAlign w:val="center"/>
          </w:tcPr>
          <w:p w14:paraId="65F6D36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74A2BED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5368739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74D3034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46A31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372D94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3AE465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B2AF5D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2.每种机架布局的中心板部件，要能够满足三种机型装配使用；</w:t>
            </w:r>
          </w:p>
        </w:tc>
        <w:tc>
          <w:tcPr>
            <w:tcW w:w="349" w:type="pct"/>
            <w:vMerge w:val="continue"/>
            <w:tcBorders>
              <w:tl2br w:val="nil"/>
              <w:tr2bl w:val="nil"/>
            </w:tcBorders>
            <w:noWrap w:val="0"/>
            <w:vAlign w:val="center"/>
          </w:tcPr>
          <w:p w14:paraId="0D6197F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7C6E63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353FB8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E5E2813">
            <w:pPr>
              <w:jc w:val="center"/>
              <w:rPr>
                <w:rFonts w:hint="eastAsia" w:ascii="微软雅黑" w:hAnsi="微软雅黑" w:eastAsia="微软雅黑" w:cs="微软雅黑"/>
                <w:i w:val="0"/>
                <w:iCs w:val="0"/>
                <w:color w:val="000000"/>
                <w:sz w:val="20"/>
                <w:szCs w:val="20"/>
                <w:u w:val="none"/>
              </w:rPr>
            </w:pPr>
          </w:p>
        </w:tc>
      </w:tr>
      <w:tr w14:paraId="11752E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EEE022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A84F29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19C1F4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3.平台要求提供五种不同规格电机；且每种不同规格电机不少于4颗；总数不少于20颗；</w:t>
            </w:r>
          </w:p>
        </w:tc>
        <w:tc>
          <w:tcPr>
            <w:tcW w:w="349" w:type="pct"/>
            <w:vMerge w:val="continue"/>
            <w:tcBorders>
              <w:tl2br w:val="nil"/>
              <w:tr2bl w:val="nil"/>
            </w:tcBorders>
            <w:noWrap w:val="0"/>
            <w:vAlign w:val="center"/>
          </w:tcPr>
          <w:p w14:paraId="4AAE47A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AA3947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B95E3C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456EB08">
            <w:pPr>
              <w:jc w:val="center"/>
              <w:rPr>
                <w:rFonts w:hint="eastAsia" w:ascii="微软雅黑" w:hAnsi="微软雅黑" w:eastAsia="微软雅黑" w:cs="微软雅黑"/>
                <w:i w:val="0"/>
                <w:iCs w:val="0"/>
                <w:color w:val="000000"/>
                <w:sz w:val="20"/>
                <w:szCs w:val="20"/>
                <w:u w:val="none"/>
              </w:rPr>
            </w:pPr>
          </w:p>
        </w:tc>
      </w:tr>
      <w:tr w14:paraId="618C7B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6F2E86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ED9E71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4A7D5B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4.电调规格类型包含三种，分别为20A、30A、40A，每种不少于4条，总数不少于12条；</w:t>
            </w:r>
          </w:p>
        </w:tc>
        <w:tc>
          <w:tcPr>
            <w:tcW w:w="349" w:type="pct"/>
            <w:vMerge w:val="continue"/>
            <w:tcBorders>
              <w:tl2br w:val="nil"/>
              <w:tr2bl w:val="nil"/>
            </w:tcBorders>
            <w:noWrap w:val="0"/>
            <w:vAlign w:val="center"/>
          </w:tcPr>
          <w:p w14:paraId="0A367E9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763561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0DE4A3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FDF6D0B">
            <w:pPr>
              <w:jc w:val="center"/>
              <w:rPr>
                <w:rFonts w:hint="eastAsia" w:ascii="微软雅黑" w:hAnsi="微软雅黑" w:eastAsia="微软雅黑" w:cs="微软雅黑"/>
                <w:i w:val="0"/>
                <w:iCs w:val="0"/>
                <w:color w:val="000000"/>
                <w:sz w:val="20"/>
                <w:szCs w:val="20"/>
                <w:u w:val="none"/>
              </w:rPr>
            </w:pPr>
          </w:p>
        </w:tc>
      </w:tr>
      <w:tr w14:paraId="009234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4160ED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402589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10EA29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5.桨叶规格包含4种，材质为塑料，每种规格不少于两对，总数不少于8对；</w:t>
            </w:r>
          </w:p>
        </w:tc>
        <w:tc>
          <w:tcPr>
            <w:tcW w:w="349" w:type="pct"/>
            <w:vMerge w:val="continue"/>
            <w:tcBorders>
              <w:tl2br w:val="nil"/>
              <w:tr2bl w:val="nil"/>
            </w:tcBorders>
            <w:noWrap w:val="0"/>
            <w:vAlign w:val="center"/>
          </w:tcPr>
          <w:p w14:paraId="56244BF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FCAFD3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E3232D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1FFCD96">
            <w:pPr>
              <w:jc w:val="center"/>
              <w:rPr>
                <w:rFonts w:hint="eastAsia" w:ascii="微软雅黑" w:hAnsi="微软雅黑" w:eastAsia="微软雅黑" w:cs="微软雅黑"/>
                <w:i w:val="0"/>
                <w:iCs w:val="0"/>
                <w:color w:val="000000"/>
                <w:sz w:val="20"/>
                <w:szCs w:val="20"/>
                <w:u w:val="none"/>
              </w:rPr>
            </w:pPr>
          </w:p>
        </w:tc>
      </w:tr>
      <w:tr w14:paraId="4A8D7E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7D479B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61148D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129C98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6.电池规格：4S，容量≥5000mah，放电倍率≥30C，数量不少于3块；</w:t>
            </w:r>
          </w:p>
        </w:tc>
        <w:tc>
          <w:tcPr>
            <w:tcW w:w="349" w:type="pct"/>
            <w:vMerge w:val="continue"/>
            <w:tcBorders>
              <w:tl2br w:val="nil"/>
              <w:tr2bl w:val="nil"/>
            </w:tcBorders>
            <w:noWrap w:val="0"/>
            <w:vAlign w:val="center"/>
          </w:tcPr>
          <w:p w14:paraId="57391A7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A983F5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2C8348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A92AEEE">
            <w:pPr>
              <w:jc w:val="center"/>
              <w:rPr>
                <w:rFonts w:hint="eastAsia" w:ascii="微软雅黑" w:hAnsi="微软雅黑" w:eastAsia="微软雅黑" w:cs="微软雅黑"/>
                <w:i w:val="0"/>
                <w:iCs w:val="0"/>
                <w:color w:val="000000"/>
                <w:sz w:val="20"/>
                <w:szCs w:val="20"/>
                <w:u w:val="none"/>
              </w:rPr>
            </w:pPr>
          </w:p>
        </w:tc>
      </w:tr>
      <w:tr w14:paraId="406D6B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F6810E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FAD1BB1">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54FDD2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7.飞行控制器：要求支持定点模式、定高模式、任务模式和返航模式；</w:t>
            </w:r>
          </w:p>
        </w:tc>
        <w:tc>
          <w:tcPr>
            <w:tcW w:w="349" w:type="pct"/>
            <w:vMerge w:val="continue"/>
            <w:tcBorders>
              <w:tl2br w:val="nil"/>
              <w:tr2bl w:val="nil"/>
            </w:tcBorders>
            <w:noWrap w:val="0"/>
            <w:vAlign w:val="center"/>
          </w:tcPr>
          <w:p w14:paraId="4270ECC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8366A5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1DC197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045F750">
            <w:pPr>
              <w:jc w:val="center"/>
              <w:rPr>
                <w:rFonts w:hint="eastAsia" w:ascii="微软雅黑" w:hAnsi="微软雅黑" w:eastAsia="微软雅黑" w:cs="微软雅黑"/>
                <w:i w:val="0"/>
                <w:iCs w:val="0"/>
                <w:color w:val="000000"/>
                <w:sz w:val="20"/>
                <w:szCs w:val="20"/>
                <w:u w:val="none"/>
              </w:rPr>
            </w:pPr>
          </w:p>
        </w:tc>
      </w:tr>
      <w:tr w14:paraId="2DEC7E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5BCAA5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1D6153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7DF1F2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8.飞行控制器要求内部集成蜂鸣器，免于外接蜂鸣器模块，FLASH存储≥8MB，供电范围4.8〜5.5V；</w:t>
            </w:r>
          </w:p>
        </w:tc>
        <w:tc>
          <w:tcPr>
            <w:tcW w:w="349" w:type="pct"/>
            <w:vMerge w:val="continue"/>
            <w:tcBorders>
              <w:tl2br w:val="nil"/>
              <w:tr2bl w:val="nil"/>
            </w:tcBorders>
            <w:noWrap w:val="0"/>
            <w:vAlign w:val="center"/>
          </w:tcPr>
          <w:p w14:paraId="2CF3CB8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7A5E95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64CA53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8F811B6">
            <w:pPr>
              <w:jc w:val="center"/>
              <w:rPr>
                <w:rFonts w:hint="eastAsia" w:ascii="微软雅黑" w:hAnsi="微软雅黑" w:eastAsia="微软雅黑" w:cs="微软雅黑"/>
                <w:i w:val="0"/>
                <w:iCs w:val="0"/>
                <w:color w:val="000000"/>
                <w:sz w:val="20"/>
                <w:szCs w:val="20"/>
                <w:u w:val="none"/>
              </w:rPr>
            </w:pPr>
          </w:p>
        </w:tc>
      </w:tr>
      <w:tr w14:paraId="3B4553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16" w:type="pct"/>
            <w:vMerge w:val="continue"/>
            <w:tcBorders>
              <w:tl2br w:val="nil"/>
              <w:tr2bl w:val="nil"/>
            </w:tcBorders>
            <w:noWrap w:val="0"/>
            <w:vAlign w:val="center"/>
          </w:tcPr>
          <w:p w14:paraId="6353CBD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E2F19A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DCEBF2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飞行控制器内部要求集成蜂鸣器传感器模块、空速传感器模块、磁罗盘传感器模块、气压高度计模块、磁罗盘与加速度计模块、陀螺传感器模块、陀螺与加速度计传感器模块、CAN总线模块、声音报警模块、七彩指示灯模块、低压差供电模块、飞行数据存储模块、电平转换模块、参数存储模块、主控制器模块、输入输出控制器模块等；</w:t>
            </w:r>
          </w:p>
        </w:tc>
        <w:tc>
          <w:tcPr>
            <w:tcW w:w="349" w:type="pct"/>
            <w:vMerge w:val="continue"/>
            <w:tcBorders>
              <w:tl2br w:val="nil"/>
              <w:tr2bl w:val="nil"/>
            </w:tcBorders>
            <w:noWrap w:val="0"/>
            <w:vAlign w:val="center"/>
          </w:tcPr>
          <w:p w14:paraId="3C3182B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1361B7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AB5E17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459C2C0">
            <w:pPr>
              <w:jc w:val="center"/>
              <w:rPr>
                <w:rFonts w:hint="eastAsia" w:ascii="微软雅黑" w:hAnsi="微软雅黑" w:eastAsia="微软雅黑" w:cs="微软雅黑"/>
                <w:i w:val="0"/>
                <w:iCs w:val="0"/>
                <w:color w:val="000000"/>
                <w:sz w:val="20"/>
                <w:szCs w:val="20"/>
                <w:u w:val="none"/>
              </w:rPr>
            </w:pPr>
          </w:p>
        </w:tc>
      </w:tr>
      <w:tr w14:paraId="2AB72F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20FE92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16540C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BCD7D1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10.飞行控制器外设串口至少包含数传串口、RTK串口、GPS串口、外置罗盘、光流串口、TFMINI串口等；</w:t>
            </w:r>
          </w:p>
        </w:tc>
        <w:tc>
          <w:tcPr>
            <w:tcW w:w="349" w:type="pct"/>
            <w:vMerge w:val="continue"/>
            <w:tcBorders>
              <w:tl2br w:val="nil"/>
              <w:tr2bl w:val="nil"/>
            </w:tcBorders>
            <w:noWrap w:val="0"/>
            <w:vAlign w:val="center"/>
          </w:tcPr>
          <w:p w14:paraId="4A0A897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E243F6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AE10D7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FB2552A">
            <w:pPr>
              <w:jc w:val="center"/>
              <w:rPr>
                <w:rFonts w:hint="eastAsia" w:ascii="微软雅黑" w:hAnsi="微软雅黑" w:eastAsia="微软雅黑" w:cs="微软雅黑"/>
                <w:i w:val="0"/>
                <w:iCs w:val="0"/>
                <w:color w:val="000000"/>
                <w:sz w:val="20"/>
                <w:szCs w:val="20"/>
                <w:u w:val="none"/>
              </w:rPr>
            </w:pPr>
          </w:p>
        </w:tc>
      </w:tr>
      <w:tr w14:paraId="58BD34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331B64D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59BA2B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F6073B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11.飞行控制器采用高性能STM32H743VIT6处理器，主频≥480Mhz，带有双精度浮点硬件处理器，飞控系统要求具备：磁罗盘异常修正，单参数调节，多传感器融合，超快速二次开发等功能；</w:t>
            </w:r>
          </w:p>
        </w:tc>
        <w:tc>
          <w:tcPr>
            <w:tcW w:w="349" w:type="pct"/>
            <w:vMerge w:val="continue"/>
            <w:tcBorders>
              <w:tl2br w:val="nil"/>
              <w:tr2bl w:val="nil"/>
            </w:tcBorders>
            <w:noWrap w:val="0"/>
            <w:vAlign w:val="center"/>
          </w:tcPr>
          <w:p w14:paraId="6B5B78A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0DE84B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8C6494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DBA307F">
            <w:pPr>
              <w:jc w:val="center"/>
              <w:rPr>
                <w:rFonts w:hint="eastAsia" w:ascii="微软雅黑" w:hAnsi="微软雅黑" w:eastAsia="微软雅黑" w:cs="微软雅黑"/>
                <w:i w:val="0"/>
                <w:iCs w:val="0"/>
                <w:color w:val="000000"/>
                <w:sz w:val="20"/>
                <w:szCs w:val="20"/>
                <w:u w:val="none"/>
              </w:rPr>
            </w:pPr>
          </w:p>
        </w:tc>
      </w:tr>
      <w:tr w14:paraId="379932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10DA70A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12AEFE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80E0C8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遥控器工作频率：2400MHz〜2483.5MHz；通道数不少于8个；支持宽电压输入；要求支持SUS.PWM信号输出，系统功耗不得大于80mA；传输速率不小于38kbps；遥控系统具备信号发射指示灯，调制模式至少支持GFSK模式；且遥控器至少具备三段开关不少于1个，二段开关不少于1个；</w:t>
            </w:r>
          </w:p>
        </w:tc>
        <w:tc>
          <w:tcPr>
            <w:tcW w:w="349" w:type="pct"/>
            <w:vMerge w:val="continue"/>
            <w:tcBorders>
              <w:tl2br w:val="nil"/>
              <w:tr2bl w:val="nil"/>
            </w:tcBorders>
            <w:noWrap w:val="0"/>
            <w:vAlign w:val="center"/>
          </w:tcPr>
          <w:p w14:paraId="649948C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2F6E7C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6EF91A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1A3E721">
            <w:pPr>
              <w:jc w:val="center"/>
              <w:rPr>
                <w:rFonts w:hint="eastAsia" w:ascii="微软雅黑" w:hAnsi="微软雅黑" w:eastAsia="微软雅黑" w:cs="微软雅黑"/>
                <w:i w:val="0"/>
                <w:iCs w:val="0"/>
                <w:color w:val="000000"/>
                <w:sz w:val="20"/>
                <w:szCs w:val="20"/>
                <w:u w:val="none"/>
              </w:rPr>
            </w:pPr>
          </w:p>
        </w:tc>
      </w:tr>
      <w:tr w14:paraId="431F30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FF9A92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F030EF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FC6F69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13.充电器：要求支持输入交流100-240V，可满足LiPo、LiHV、LiFe电池充电，充电平衡精度&lt;0.005V，同时支持放电功能；</w:t>
            </w:r>
          </w:p>
        </w:tc>
        <w:tc>
          <w:tcPr>
            <w:tcW w:w="349" w:type="pct"/>
            <w:vMerge w:val="continue"/>
            <w:tcBorders>
              <w:tl2br w:val="nil"/>
              <w:tr2bl w:val="nil"/>
            </w:tcBorders>
            <w:noWrap w:val="0"/>
            <w:vAlign w:val="center"/>
          </w:tcPr>
          <w:p w14:paraId="24C0DC0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6B5A45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D68C02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17F8995">
            <w:pPr>
              <w:jc w:val="center"/>
              <w:rPr>
                <w:rFonts w:hint="eastAsia" w:ascii="微软雅黑" w:hAnsi="微软雅黑" w:eastAsia="微软雅黑" w:cs="微软雅黑"/>
                <w:i w:val="0"/>
                <w:iCs w:val="0"/>
                <w:color w:val="000000"/>
                <w:sz w:val="20"/>
                <w:szCs w:val="20"/>
                <w:u w:val="none"/>
              </w:rPr>
            </w:pPr>
          </w:p>
        </w:tc>
      </w:tr>
      <w:tr w14:paraId="4208545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67E6E6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6DB791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434001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14.配套各个型号的内六角工具套装，尖嘴钳.剥线钳等工具，为无人机拆装.维修等实训任务提供支持，工具明细如下：</w:t>
            </w:r>
          </w:p>
        </w:tc>
        <w:tc>
          <w:tcPr>
            <w:tcW w:w="349" w:type="pct"/>
            <w:vMerge w:val="continue"/>
            <w:tcBorders>
              <w:tl2br w:val="nil"/>
              <w:tr2bl w:val="nil"/>
            </w:tcBorders>
            <w:noWrap w:val="0"/>
            <w:vAlign w:val="center"/>
          </w:tcPr>
          <w:p w14:paraId="0E8BF7F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BB2822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9906A8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410C251">
            <w:pPr>
              <w:jc w:val="center"/>
              <w:rPr>
                <w:rFonts w:hint="eastAsia" w:ascii="微软雅黑" w:hAnsi="微软雅黑" w:eastAsia="微软雅黑" w:cs="微软雅黑"/>
                <w:i w:val="0"/>
                <w:iCs w:val="0"/>
                <w:color w:val="000000"/>
                <w:sz w:val="20"/>
                <w:szCs w:val="20"/>
                <w:u w:val="none"/>
              </w:rPr>
            </w:pPr>
          </w:p>
        </w:tc>
      </w:tr>
      <w:tr w14:paraId="152985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DECEF8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7B9CC6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7A46C7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（1）M1.5 内六角螺丝刀1把</w:t>
            </w:r>
          </w:p>
        </w:tc>
        <w:tc>
          <w:tcPr>
            <w:tcW w:w="349" w:type="pct"/>
            <w:vMerge w:val="continue"/>
            <w:tcBorders>
              <w:tl2br w:val="nil"/>
              <w:tr2bl w:val="nil"/>
            </w:tcBorders>
            <w:noWrap w:val="0"/>
            <w:vAlign w:val="center"/>
          </w:tcPr>
          <w:p w14:paraId="28AE7FE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CA2581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EB5928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9E8917D">
            <w:pPr>
              <w:jc w:val="center"/>
              <w:rPr>
                <w:rFonts w:hint="eastAsia" w:ascii="微软雅黑" w:hAnsi="微软雅黑" w:eastAsia="微软雅黑" w:cs="微软雅黑"/>
                <w:i w:val="0"/>
                <w:iCs w:val="0"/>
                <w:color w:val="000000"/>
                <w:sz w:val="20"/>
                <w:szCs w:val="20"/>
                <w:u w:val="none"/>
              </w:rPr>
            </w:pPr>
          </w:p>
        </w:tc>
      </w:tr>
      <w:tr w14:paraId="0B954D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E38167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98F56D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79D1B0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（2）M2.0内六角螺丝刀 1把</w:t>
            </w:r>
          </w:p>
        </w:tc>
        <w:tc>
          <w:tcPr>
            <w:tcW w:w="349" w:type="pct"/>
            <w:vMerge w:val="continue"/>
            <w:tcBorders>
              <w:tl2br w:val="nil"/>
              <w:tr2bl w:val="nil"/>
            </w:tcBorders>
            <w:noWrap w:val="0"/>
            <w:vAlign w:val="center"/>
          </w:tcPr>
          <w:p w14:paraId="548CD30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2A3BA5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A8FD1E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A193A9B">
            <w:pPr>
              <w:jc w:val="center"/>
              <w:rPr>
                <w:rFonts w:hint="eastAsia" w:ascii="微软雅黑" w:hAnsi="微软雅黑" w:eastAsia="微软雅黑" w:cs="微软雅黑"/>
                <w:i w:val="0"/>
                <w:iCs w:val="0"/>
                <w:color w:val="000000"/>
                <w:sz w:val="20"/>
                <w:szCs w:val="20"/>
                <w:u w:val="none"/>
              </w:rPr>
            </w:pPr>
          </w:p>
        </w:tc>
      </w:tr>
      <w:tr w14:paraId="0B9AD3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34DB0A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89C322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07E5AD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（3）M2.5 内六角螺丝刀1把</w:t>
            </w:r>
          </w:p>
        </w:tc>
        <w:tc>
          <w:tcPr>
            <w:tcW w:w="349" w:type="pct"/>
            <w:vMerge w:val="continue"/>
            <w:tcBorders>
              <w:tl2br w:val="nil"/>
              <w:tr2bl w:val="nil"/>
            </w:tcBorders>
            <w:noWrap w:val="0"/>
            <w:vAlign w:val="center"/>
          </w:tcPr>
          <w:p w14:paraId="1EC1490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DF8324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E4C35D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8C5C1FE">
            <w:pPr>
              <w:jc w:val="center"/>
              <w:rPr>
                <w:rFonts w:hint="eastAsia" w:ascii="微软雅黑" w:hAnsi="微软雅黑" w:eastAsia="微软雅黑" w:cs="微软雅黑"/>
                <w:i w:val="0"/>
                <w:iCs w:val="0"/>
                <w:color w:val="000000"/>
                <w:sz w:val="20"/>
                <w:szCs w:val="20"/>
                <w:u w:val="none"/>
              </w:rPr>
            </w:pPr>
          </w:p>
        </w:tc>
      </w:tr>
      <w:tr w14:paraId="179B32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306EA6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8EB063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133853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（4）套筒1把</w:t>
            </w:r>
          </w:p>
        </w:tc>
        <w:tc>
          <w:tcPr>
            <w:tcW w:w="349" w:type="pct"/>
            <w:vMerge w:val="continue"/>
            <w:tcBorders>
              <w:tl2br w:val="nil"/>
              <w:tr2bl w:val="nil"/>
            </w:tcBorders>
            <w:noWrap w:val="0"/>
            <w:vAlign w:val="center"/>
          </w:tcPr>
          <w:p w14:paraId="7FAAB5F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2CC413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74CAD1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84AB5DC">
            <w:pPr>
              <w:jc w:val="center"/>
              <w:rPr>
                <w:rFonts w:hint="eastAsia" w:ascii="微软雅黑" w:hAnsi="微软雅黑" w:eastAsia="微软雅黑" w:cs="微软雅黑"/>
                <w:i w:val="0"/>
                <w:iCs w:val="0"/>
                <w:color w:val="000000"/>
                <w:sz w:val="20"/>
                <w:szCs w:val="20"/>
                <w:u w:val="none"/>
              </w:rPr>
            </w:pPr>
          </w:p>
        </w:tc>
      </w:tr>
      <w:tr w14:paraId="5C6F0B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7A242E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F72FA0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0070A4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（5）一字螺丝刀1把</w:t>
            </w:r>
          </w:p>
        </w:tc>
        <w:tc>
          <w:tcPr>
            <w:tcW w:w="349" w:type="pct"/>
            <w:vMerge w:val="continue"/>
            <w:tcBorders>
              <w:tl2br w:val="nil"/>
              <w:tr2bl w:val="nil"/>
            </w:tcBorders>
            <w:noWrap w:val="0"/>
            <w:vAlign w:val="center"/>
          </w:tcPr>
          <w:p w14:paraId="2003593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061ED6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C7D696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F09A79C">
            <w:pPr>
              <w:jc w:val="center"/>
              <w:rPr>
                <w:rFonts w:hint="eastAsia" w:ascii="微软雅黑" w:hAnsi="微软雅黑" w:eastAsia="微软雅黑" w:cs="微软雅黑"/>
                <w:i w:val="0"/>
                <w:iCs w:val="0"/>
                <w:color w:val="000000"/>
                <w:sz w:val="20"/>
                <w:szCs w:val="20"/>
                <w:u w:val="none"/>
              </w:rPr>
            </w:pPr>
          </w:p>
        </w:tc>
      </w:tr>
      <w:tr w14:paraId="075365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345" w:hRule="atLeast"/>
        </w:trPr>
        <w:tc>
          <w:tcPr>
            <w:tcW w:w="216" w:type="pct"/>
            <w:vMerge w:val="continue"/>
            <w:tcBorders>
              <w:tl2br w:val="nil"/>
              <w:tr2bl w:val="nil"/>
            </w:tcBorders>
            <w:noWrap w:val="0"/>
            <w:vAlign w:val="center"/>
          </w:tcPr>
          <w:p w14:paraId="7AFFB44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4C0931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E92DE0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（6）十字螺丝刀1把</w:t>
            </w:r>
          </w:p>
        </w:tc>
        <w:tc>
          <w:tcPr>
            <w:tcW w:w="349" w:type="pct"/>
            <w:vMerge w:val="continue"/>
            <w:tcBorders>
              <w:tl2br w:val="nil"/>
              <w:tr2bl w:val="nil"/>
            </w:tcBorders>
            <w:noWrap w:val="0"/>
            <w:vAlign w:val="center"/>
          </w:tcPr>
          <w:p w14:paraId="116C041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E292AA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17A98D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F7E80E8">
            <w:pPr>
              <w:jc w:val="center"/>
              <w:rPr>
                <w:rFonts w:hint="eastAsia" w:ascii="微软雅黑" w:hAnsi="微软雅黑" w:eastAsia="微软雅黑" w:cs="微软雅黑"/>
                <w:i w:val="0"/>
                <w:iCs w:val="0"/>
                <w:color w:val="000000"/>
                <w:sz w:val="20"/>
                <w:szCs w:val="20"/>
                <w:u w:val="none"/>
              </w:rPr>
            </w:pPr>
          </w:p>
        </w:tc>
      </w:tr>
      <w:tr w14:paraId="1D1646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5DAD73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4AC05E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3A9C6C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（7）斜口钳1把</w:t>
            </w:r>
          </w:p>
        </w:tc>
        <w:tc>
          <w:tcPr>
            <w:tcW w:w="349" w:type="pct"/>
            <w:vMerge w:val="continue"/>
            <w:tcBorders>
              <w:tl2br w:val="nil"/>
              <w:tr2bl w:val="nil"/>
            </w:tcBorders>
            <w:noWrap w:val="0"/>
            <w:vAlign w:val="center"/>
          </w:tcPr>
          <w:p w14:paraId="52B9135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B1EDAF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8EFC02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FD351FB">
            <w:pPr>
              <w:jc w:val="center"/>
              <w:rPr>
                <w:rFonts w:hint="eastAsia" w:ascii="微软雅黑" w:hAnsi="微软雅黑" w:eastAsia="微软雅黑" w:cs="微软雅黑"/>
                <w:i w:val="0"/>
                <w:iCs w:val="0"/>
                <w:color w:val="000000"/>
                <w:sz w:val="20"/>
                <w:szCs w:val="20"/>
                <w:u w:val="none"/>
              </w:rPr>
            </w:pPr>
          </w:p>
        </w:tc>
      </w:tr>
      <w:tr w14:paraId="355D15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46A730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343693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64A6C1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（8）剥线钳1把</w:t>
            </w:r>
          </w:p>
        </w:tc>
        <w:tc>
          <w:tcPr>
            <w:tcW w:w="349" w:type="pct"/>
            <w:vMerge w:val="continue"/>
            <w:tcBorders>
              <w:tl2br w:val="nil"/>
              <w:tr2bl w:val="nil"/>
            </w:tcBorders>
            <w:noWrap w:val="0"/>
            <w:vAlign w:val="center"/>
          </w:tcPr>
          <w:p w14:paraId="456E4DE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EE8487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5076D0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B33D4EA">
            <w:pPr>
              <w:jc w:val="center"/>
              <w:rPr>
                <w:rFonts w:hint="eastAsia" w:ascii="微软雅黑" w:hAnsi="微软雅黑" w:eastAsia="微软雅黑" w:cs="微软雅黑"/>
                <w:i w:val="0"/>
                <w:iCs w:val="0"/>
                <w:color w:val="000000"/>
                <w:sz w:val="20"/>
                <w:szCs w:val="20"/>
                <w:u w:val="none"/>
              </w:rPr>
            </w:pPr>
          </w:p>
        </w:tc>
      </w:tr>
      <w:tr w14:paraId="182E08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748854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85C81F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A04F99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（9）壁纸刀1把</w:t>
            </w:r>
          </w:p>
        </w:tc>
        <w:tc>
          <w:tcPr>
            <w:tcW w:w="349" w:type="pct"/>
            <w:vMerge w:val="continue"/>
            <w:tcBorders>
              <w:tl2br w:val="nil"/>
              <w:tr2bl w:val="nil"/>
            </w:tcBorders>
            <w:noWrap w:val="0"/>
            <w:vAlign w:val="center"/>
          </w:tcPr>
          <w:p w14:paraId="3901DAA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64B375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CA2D92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2673628">
            <w:pPr>
              <w:jc w:val="center"/>
              <w:rPr>
                <w:rFonts w:hint="eastAsia" w:ascii="微软雅黑" w:hAnsi="微软雅黑" w:eastAsia="微软雅黑" w:cs="微软雅黑"/>
                <w:i w:val="0"/>
                <w:iCs w:val="0"/>
                <w:color w:val="000000"/>
                <w:sz w:val="20"/>
                <w:szCs w:val="20"/>
                <w:u w:val="none"/>
              </w:rPr>
            </w:pPr>
          </w:p>
        </w:tc>
      </w:tr>
      <w:tr w14:paraId="3C66C5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B98A1F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56DF16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CB4304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（10）烙铁架1套</w:t>
            </w:r>
          </w:p>
        </w:tc>
        <w:tc>
          <w:tcPr>
            <w:tcW w:w="349" w:type="pct"/>
            <w:vMerge w:val="continue"/>
            <w:tcBorders>
              <w:tl2br w:val="nil"/>
              <w:tr2bl w:val="nil"/>
            </w:tcBorders>
            <w:noWrap w:val="0"/>
            <w:vAlign w:val="center"/>
          </w:tcPr>
          <w:p w14:paraId="6617392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4F33B3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EDA529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ECFC050">
            <w:pPr>
              <w:jc w:val="center"/>
              <w:rPr>
                <w:rFonts w:hint="eastAsia" w:ascii="微软雅黑" w:hAnsi="微软雅黑" w:eastAsia="微软雅黑" w:cs="微软雅黑"/>
                <w:i w:val="0"/>
                <w:iCs w:val="0"/>
                <w:color w:val="000000"/>
                <w:sz w:val="20"/>
                <w:szCs w:val="20"/>
                <w:u w:val="none"/>
              </w:rPr>
            </w:pPr>
          </w:p>
        </w:tc>
      </w:tr>
      <w:tr w14:paraId="09F465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C4A5B6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984612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89BFC8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（11）焊锡丝1卷</w:t>
            </w:r>
          </w:p>
        </w:tc>
        <w:tc>
          <w:tcPr>
            <w:tcW w:w="349" w:type="pct"/>
            <w:vMerge w:val="continue"/>
            <w:tcBorders>
              <w:tl2br w:val="nil"/>
              <w:tr2bl w:val="nil"/>
            </w:tcBorders>
            <w:noWrap w:val="0"/>
            <w:vAlign w:val="center"/>
          </w:tcPr>
          <w:p w14:paraId="0DF05D0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17D952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274DDF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09ABD20">
            <w:pPr>
              <w:jc w:val="center"/>
              <w:rPr>
                <w:rFonts w:hint="eastAsia" w:ascii="微软雅黑" w:hAnsi="微软雅黑" w:eastAsia="微软雅黑" w:cs="微软雅黑"/>
                <w:i w:val="0"/>
                <w:iCs w:val="0"/>
                <w:color w:val="000000"/>
                <w:sz w:val="20"/>
                <w:szCs w:val="20"/>
                <w:u w:val="none"/>
              </w:rPr>
            </w:pPr>
          </w:p>
        </w:tc>
      </w:tr>
      <w:tr w14:paraId="669591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3BF3C6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C68210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981865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（12）松香1盒</w:t>
            </w:r>
          </w:p>
        </w:tc>
        <w:tc>
          <w:tcPr>
            <w:tcW w:w="349" w:type="pct"/>
            <w:vMerge w:val="continue"/>
            <w:tcBorders>
              <w:tl2br w:val="nil"/>
              <w:tr2bl w:val="nil"/>
            </w:tcBorders>
            <w:noWrap w:val="0"/>
            <w:vAlign w:val="center"/>
          </w:tcPr>
          <w:p w14:paraId="5C8A952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169524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318291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8D59487">
            <w:pPr>
              <w:jc w:val="center"/>
              <w:rPr>
                <w:rFonts w:hint="eastAsia" w:ascii="微软雅黑" w:hAnsi="微软雅黑" w:eastAsia="微软雅黑" w:cs="微软雅黑"/>
                <w:i w:val="0"/>
                <w:iCs w:val="0"/>
                <w:color w:val="000000"/>
                <w:sz w:val="20"/>
                <w:szCs w:val="20"/>
                <w:u w:val="none"/>
              </w:rPr>
            </w:pPr>
          </w:p>
        </w:tc>
      </w:tr>
      <w:tr w14:paraId="3E573C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0D0C59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AA4606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F47DEE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（13）50W电烙铁1支</w:t>
            </w:r>
          </w:p>
        </w:tc>
        <w:tc>
          <w:tcPr>
            <w:tcW w:w="349" w:type="pct"/>
            <w:vMerge w:val="continue"/>
            <w:tcBorders>
              <w:tl2br w:val="nil"/>
              <w:tr2bl w:val="nil"/>
            </w:tcBorders>
            <w:noWrap w:val="0"/>
            <w:vAlign w:val="center"/>
          </w:tcPr>
          <w:p w14:paraId="612A397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5FF47E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E4B2C1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4E81CD9">
            <w:pPr>
              <w:jc w:val="center"/>
              <w:rPr>
                <w:rFonts w:hint="eastAsia" w:ascii="微软雅黑" w:hAnsi="微软雅黑" w:eastAsia="微软雅黑" w:cs="微软雅黑"/>
                <w:i w:val="0"/>
                <w:iCs w:val="0"/>
                <w:color w:val="000000"/>
                <w:sz w:val="20"/>
                <w:szCs w:val="20"/>
                <w:u w:val="none"/>
              </w:rPr>
            </w:pPr>
          </w:p>
        </w:tc>
      </w:tr>
      <w:tr w14:paraId="2FCEFB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C0FA5E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8B1E2D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454D3B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（14）动力电池测电器1个</w:t>
            </w:r>
          </w:p>
        </w:tc>
        <w:tc>
          <w:tcPr>
            <w:tcW w:w="349" w:type="pct"/>
            <w:vMerge w:val="continue"/>
            <w:tcBorders>
              <w:tl2br w:val="nil"/>
              <w:tr2bl w:val="nil"/>
            </w:tcBorders>
            <w:noWrap w:val="0"/>
            <w:vAlign w:val="center"/>
          </w:tcPr>
          <w:p w14:paraId="58AA745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D45A0F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4A8ACC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5DF4A9D">
            <w:pPr>
              <w:jc w:val="center"/>
              <w:rPr>
                <w:rFonts w:hint="eastAsia" w:ascii="微软雅黑" w:hAnsi="微软雅黑" w:eastAsia="微软雅黑" w:cs="微软雅黑"/>
                <w:i w:val="0"/>
                <w:iCs w:val="0"/>
                <w:color w:val="000000"/>
                <w:sz w:val="20"/>
                <w:szCs w:val="20"/>
                <w:u w:val="none"/>
              </w:rPr>
            </w:pPr>
          </w:p>
        </w:tc>
      </w:tr>
      <w:tr w14:paraId="690F00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B16489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B26B42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D2F248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r>
              <w:rPr>
                <w:rFonts w:hint="eastAsia" w:ascii="微软雅黑" w:hAnsi="微软雅黑" w:eastAsia="微软雅黑" w:cs="微软雅黑"/>
                <w:i w:val="0"/>
                <w:iCs w:val="0"/>
                <w:color w:val="000000"/>
                <w:kern w:val="0"/>
                <w:sz w:val="20"/>
                <w:szCs w:val="20"/>
                <w:highlight w:val="yellow"/>
                <w:u w:val="none"/>
                <w:lang w:val="en-US" w:eastAsia="zh-CN" w:bidi="ar"/>
              </w:rPr>
              <w:t>指针式万用表套装</w:t>
            </w:r>
            <w:r>
              <w:rPr>
                <w:rFonts w:hint="eastAsia" w:ascii="微软雅黑" w:hAnsi="微软雅黑" w:eastAsia="微软雅黑" w:cs="微软雅黑"/>
                <w:i w:val="0"/>
                <w:iCs w:val="0"/>
                <w:color w:val="000000"/>
                <w:kern w:val="0"/>
                <w:sz w:val="20"/>
                <w:szCs w:val="20"/>
                <w:u w:val="none"/>
                <w:lang w:val="en-US" w:eastAsia="zh-CN" w:bidi="ar"/>
              </w:rPr>
              <w:t>1个</w:t>
            </w:r>
          </w:p>
        </w:tc>
        <w:tc>
          <w:tcPr>
            <w:tcW w:w="349" w:type="pct"/>
            <w:vMerge w:val="continue"/>
            <w:tcBorders>
              <w:tl2br w:val="nil"/>
              <w:tr2bl w:val="nil"/>
            </w:tcBorders>
            <w:noWrap w:val="0"/>
            <w:vAlign w:val="center"/>
          </w:tcPr>
          <w:p w14:paraId="35C1F78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982CB5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C96AF3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E343A93">
            <w:pPr>
              <w:jc w:val="center"/>
              <w:rPr>
                <w:rFonts w:hint="eastAsia" w:ascii="微软雅黑" w:hAnsi="微软雅黑" w:eastAsia="微软雅黑" w:cs="微软雅黑"/>
                <w:i w:val="0"/>
                <w:iCs w:val="0"/>
                <w:color w:val="000000"/>
                <w:sz w:val="20"/>
                <w:szCs w:val="20"/>
                <w:u w:val="none"/>
              </w:rPr>
            </w:pPr>
          </w:p>
        </w:tc>
      </w:tr>
      <w:tr w14:paraId="01B773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87FA27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075606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76CBB1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（16）水平测量柱1个</w:t>
            </w:r>
          </w:p>
        </w:tc>
        <w:tc>
          <w:tcPr>
            <w:tcW w:w="349" w:type="pct"/>
            <w:vMerge w:val="continue"/>
            <w:tcBorders>
              <w:tl2br w:val="nil"/>
              <w:tr2bl w:val="nil"/>
            </w:tcBorders>
            <w:noWrap w:val="0"/>
            <w:vAlign w:val="center"/>
          </w:tcPr>
          <w:p w14:paraId="0173EED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60F3BE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F90A7E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79B4B6B">
            <w:pPr>
              <w:jc w:val="center"/>
              <w:rPr>
                <w:rFonts w:hint="eastAsia" w:ascii="微软雅黑" w:hAnsi="微软雅黑" w:eastAsia="微软雅黑" w:cs="微软雅黑"/>
                <w:i w:val="0"/>
                <w:iCs w:val="0"/>
                <w:color w:val="000000"/>
                <w:sz w:val="20"/>
                <w:szCs w:val="20"/>
                <w:u w:val="none"/>
              </w:rPr>
            </w:pPr>
          </w:p>
        </w:tc>
      </w:tr>
      <w:tr w14:paraId="41558C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04B97D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C3DEA6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8C0B2A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（17）锉刀1个</w:t>
            </w:r>
          </w:p>
        </w:tc>
        <w:tc>
          <w:tcPr>
            <w:tcW w:w="349" w:type="pct"/>
            <w:vMerge w:val="continue"/>
            <w:tcBorders>
              <w:tl2br w:val="nil"/>
              <w:tr2bl w:val="nil"/>
            </w:tcBorders>
            <w:noWrap w:val="0"/>
            <w:vAlign w:val="center"/>
          </w:tcPr>
          <w:p w14:paraId="18456CE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77BDD6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AB4A77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4739256">
            <w:pPr>
              <w:jc w:val="center"/>
              <w:rPr>
                <w:rFonts w:hint="eastAsia" w:ascii="微软雅黑" w:hAnsi="微软雅黑" w:eastAsia="微软雅黑" w:cs="微软雅黑"/>
                <w:i w:val="0"/>
                <w:iCs w:val="0"/>
                <w:color w:val="000000"/>
                <w:sz w:val="20"/>
                <w:szCs w:val="20"/>
                <w:u w:val="none"/>
              </w:rPr>
            </w:pPr>
          </w:p>
        </w:tc>
      </w:tr>
      <w:tr w14:paraId="1CEADE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A7C4C6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E1DDB8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44D87C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（18）螺丝胶1盒</w:t>
            </w:r>
          </w:p>
        </w:tc>
        <w:tc>
          <w:tcPr>
            <w:tcW w:w="349" w:type="pct"/>
            <w:vMerge w:val="continue"/>
            <w:tcBorders>
              <w:tl2br w:val="nil"/>
              <w:tr2bl w:val="nil"/>
            </w:tcBorders>
            <w:noWrap w:val="0"/>
            <w:vAlign w:val="center"/>
          </w:tcPr>
          <w:p w14:paraId="6C13F0A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4B3BD4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1B7F2D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6E0A64B">
            <w:pPr>
              <w:jc w:val="center"/>
              <w:rPr>
                <w:rFonts w:hint="eastAsia" w:ascii="微软雅黑" w:hAnsi="微软雅黑" w:eastAsia="微软雅黑" w:cs="微软雅黑"/>
                <w:i w:val="0"/>
                <w:iCs w:val="0"/>
                <w:color w:val="000000"/>
                <w:sz w:val="20"/>
                <w:szCs w:val="20"/>
                <w:u w:val="none"/>
              </w:rPr>
            </w:pPr>
          </w:p>
        </w:tc>
      </w:tr>
      <w:tr w14:paraId="6A4DED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FE7044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0F4D56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6B6FDA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（19）香蕉头焊台1个</w:t>
            </w:r>
          </w:p>
        </w:tc>
        <w:tc>
          <w:tcPr>
            <w:tcW w:w="349" w:type="pct"/>
            <w:vMerge w:val="continue"/>
            <w:tcBorders>
              <w:tl2br w:val="nil"/>
              <w:tr2bl w:val="nil"/>
            </w:tcBorders>
            <w:noWrap w:val="0"/>
            <w:vAlign w:val="center"/>
          </w:tcPr>
          <w:p w14:paraId="38F3E21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99CBE4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CDEDB3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DAD400B">
            <w:pPr>
              <w:jc w:val="center"/>
              <w:rPr>
                <w:rFonts w:hint="eastAsia" w:ascii="微软雅黑" w:hAnsi="微软雅黑" w:eastAsia="微软雅黑" w:cs="微软雅黑"/>
                <w:i w:val="0"/>
                <w:iCs w:val="0"/>
                <w:color w:val="000000"/>
                <w:sz w:val="20"/>
                <w:szCs w:val="20"/>
                <w:u w:val="none"/>
              </w:rPr>
            </w:pPr>
          </w:p>
        </w:tc>
      </w:tr>
      <w:tr w14:paraId="3EF1A0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333E58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4AEA60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8092B9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（20）试电笔1个</w:t>
            </w:r>
          </w:p>
        </w:tc>
        <w:tc>
          <w:tcPr>
            <w:tcW w:w="349" w:type="pct"/>
            <w:vMerge w:val="continue"/>
            <w:tcBorders>
              <w:tl2br w:val="nil"/>
              <w:tr2bl w:val="nil"/>
            </w:tcBorders>
            <w:noWrap w:val="0"/>
            <w:vAlign w:val="center"/>
          </w:tcPr>
          <w:p w14:paraId="4DEA9F2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83FB95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E44FFA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8C844DD">
            <w:pPr>
              <w:jc w:val="center"/>
              <w:rPr>
                <w:rFonts w:hint="eastAsia" w:ascii="微软雅黑" w:hAnsi="微软雅黑" w:eastAsia="微软雅黑" w:cs="微软雅黑"/>
                <w:i w:val="0"/>
                <w:iCs w:val="0"/>
                <w:color w:val="000000"/>
                <w:sz w:val="20"/>
                <w:szCs w:val="20"/>
                <w:u w:val="none"/>
              </w:rPr>
            </w:pPr>
          </w:p>
        </w:tc>
      </w:tr>
      <w:tr w14:paraId="333AE4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9EBE55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BC09981">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BB93C9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（21）USB调参线1条</w:t>
            </w:r>
          </w:p>
        </w:tc>
        <w:tc>
          <w:tcPr>
            <w:tcW w:w="349" w:type="pct"/>
            <w:vMerge w:val="continue"/>
            <w:tcBorders>
              <w:tl2br w:val="nil"/>
              <w:tr2bl w:val="nil"/>
            </w:tcBorders>
            <w:noWrap w:val="0"/>
            <w:vAlign w:val="center"/>
          </w:tcPr>
          <w:p w14:paraId="23129DF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A25D1A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AE8854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69546D6">
            <w:pPr>
              <w:jc w:val="center"/>
              <w:rPr>
                <w:rFonts w:hint="eastAsia" w:ascii="微软雅黑" w:hAnsi="微软雅黑" w:eastAsia="微软雅黑" w:cs="微软雅黑"/>
                <w:i w:val="0"/>
                <w:iCs w:val="0"/>
                <w:color w:val="000000"/>
                <w:sz w:val="20"/>
                <w:szCs w:val="20"/>
                <w:u w:val="none"/>
              </w:rPr>
            </w:pPr>
          </w:p>
        </w:tc>
      </w:tr>
      <w:tr w14:paraId="4F5E26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BFB116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DBD799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2019D0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（22）热熔胶枪1条</w:t>
            </w:r>
          </w:p>
        </w:tc>
        <w:tc>
          <w:tcPr>
            <w:tcW w:w="349" w:type="pct"/>
            <w:vMerge w:val="continue"/>
            <w:tcBorders>
              <w:tl2br w:val="nil"/>
              <w:tr2bl w:val="nil"/>
            </w:tcBorders>
            <w:noWrap w:val="0"/>
            <w:vAlign w:val="center"/>
          </w:tcPr>
          <w:p w14:paraId="05ED4FD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F0E215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BBC187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A3E53DA">
            <w:pPr>
              <w:jc w:val="center"/>
              <w:rPr>
                <w:rFonts w:hint="eastAsia" w:ascii="微软雅黑" w:hAnsi="微软雅黑" w:eastAsia="微软雅黑" w:cs="微软雅黑"/>
                <w:i w:val="0"/>
                <w:iCs w:val="0"/>
                <w:color w:val="000000"/>
                <w:sz w:val="20"/>
                <w:szCs w:val="20"/>
                <w:u w:val="none"/>
              </w:rPr>
            </w:pPr>
          </w:p>
        </w:tc>
      </w:tr>
      <w:tr w14:paraId="6E4AA9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89A1CD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DBF00D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707DD6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▲15.课程资源数量及内容要求（供应商提供以下教学资源截图，每个教学资源截图数量不少于3张）</w:t>
            </w:r>
          </w:p>
        </w:tc>
        <w:tc>
          <w:tcPr>
            <w:tcW w:w="349" w:type="pct"/>
            <w:vMerge w:val="continue"/>
            <w:tcBorders>
              <w:tl2br w:val="nil"/>
              <w:tr2bl w:val="nil"/>
            </w:tcBorders>
            <w:noWrap w:val="0"/>
            <w:vAlign w:val="center"/>
          </w:tcPr>
          <w:p w14:paraId="108A42A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27ADA9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2FC93A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F713892">
            <w:pPr>
              <w:jc w:val="center"/>
              <w:rPr>
                <w:rFonts w:hint="eastAsia" w:ascii="微软雅黑" w:hAnsi="微软雅黑" w:eastAsia="微软雅黑" w:cs="微软雅黑"/>
                <w:i w:val="0"/>
                <w:iCs w:val="0"/>
                <w:color w:val="000000"/>
                <w:sz w:val="20"/>
                <w:szCs w:val="20"/>
                <w:u w:val="none"/>
              </w:rPr>
            </w:pPr>
          </w:p>
        </w:tc>
      </w:tr>
      <w:tr w14:paraId="5B943E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9A30A2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30BD8E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C7E699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（1）PPT课件</w:t>
            </w:r>
          </w:p>
        </w:tc>
        <w:tc>
          <w:tcPr>
            <w:tcW w:w="349" w:type="pct"/>
            <w:vMerge w:val="continue"/>
            <w:tcBorders>
              <w:tl2br w:val="nil"/>
              <w:tr2bl w:val="nil"/>
            </w:tcBorders>
            <w:noWrap w:val="0"/>
            <w:vAlign w:val="center"/>
          </w:tcPr>
          <w:p w14:paraId="4E6ABC8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34280D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A45682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E02B64C">
            <w:pPr>
              <w:jc w:val="center"/>
              <w:rPr>
                <w:rFonts w:hint="eastAsia" w:ascii="微软雅黑" w:hAnsi="微软雅黑" w:eastAsia="微软雅黑" w:cs="微软雅黑"/>
                <w:i w:val="0"/>
                <w:iCs w:val="0"/>
                <w:color w:val="000000"/>
                <w:sz w:val="20"/>
                <w:szCs w:val="20"/>
                <w:u w:val="none"/>
              </w:rPr>
            </w:pPr>
          </w:p>
        </w:tc>
      </w:tr>
      <w:tr w14:paraId="4F42D4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7D42A4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AEF20C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A0BB16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r>
              <w:rPr>
                <w:rFonts w:hint="eastAsia" w:ascii="微软雅黑" w:hAnsi="微软雅黑" w:eastAsia="微软雅黑" w:cs="微软雅黑"/>
                <w:i w:val="0"/>
                <w:iCs w:val="0"/>
                <w:color w:val="000000"/>
                <w:kern w:val="0"/>
                <w:sz w:val="20"/>
                <w:szCs w:val="20"/>
                <w:highlight w:val="yellow"/>
                <w:u w:val="none"/>
                <w:lang w:val="en-US" w:eastAsia="zh-CN" w:bidi="ar"/>
              </w:rPr>
              <w:t>每个PPT课件不少于20页</w:t>
            </w:r>
            <w:r>
              <w:rPr>
                <w:rFonts w:hint="eastAsia" w:ascii="微软雅黑" w:hAnsi="微软雅黑" w:eastAsia="微软雅黑" w:cs="微软雅黑"/>
                <w:i w:val="0"/>
                <w:iCs w:val="0"/>
                <w:color w:val="000000"/>
                <w:kern w:val="0"/>
                <w:sz w:val="20"/>
                <w:szCs w:val="20"/>
                <w:u w:val="none"/>
                <w:lang w:val="en-US" w:eastAsia="zh-CN" w:bidi="ar"/>
              </w:rPr>
              <w:t>。</w:t>
            </w:r>
          </w:p>
        </w:tc>
        <w:tc>
          <w:tcPr>
            <w:tcW w:w="349" w:type="pct"/>
            <w:vMerge w:val="continue"/>
            <w:tcBorders>
              <w:tl2br w:val="nil"/>
              <w:tr2bl w:val="nil"/>
            </w:tcBorders>
            <w:noWrap w:val="0"/>
            <w:vAlign w:val="center"/>
          </w:tcPr>
          <w:p w14:paraId="0591321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7B6388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762BBE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2063AB3">
            <w:pPr>
              <w:jc w:val="center"/>
              <w:rPr>
                <w:rFonts w:hint="eastAsia" w:ascii="微软雅黑" w:hAnsi="微软雅黑" w:eastAsia="微软雅黑" w:cs="微软雅黑"/>
                <w:i w:val="0"/>
                <w:iCs w:val="0"/>
                <w:color w:val="000000"/>
                <w:sz w:val="20"/>
                <w:szCs w:val="20"/>
                <w:u w:val="none"/>
              </w:rPr>
            </w:pPr>
          </w:p>
        </w:tc>
      </w:tr>
      <w:tr w14:paraId="10D741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7BE57A2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89F332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7080F8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349" w:type="pct"/>
            <w:vMerge w:val="continue"/>
            <w:tcBorders>
              <w:tl2br w:val="nil"/>
              <w:tr2bl w:val="nil"/>
            </w:tcBorders>
            <w:noWrap w:val="0"/>
            <w:vAlign w:val="center"/>
          </w:tcPr>
          <w:p w14:paraId="4EBFC36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239DF3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59FBED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9F56E48">
            <w:pPr>
              <w:jc w:val="center"/>
              <w:rPr>
                <w:rFonts w:hint="eastAsia" w:ascii="微软雅黑" w:hAnsi="微软雅黑" w:eastAsia="微软雅黑" w:cs="微软雅黑"/>
                <w:i w:val="0"/>
                <w:iCs w:val="0"/>
                <w:color w:val="000000"/>
                <w:sz w:val="20"/>
                <w:szCs w:val="20"/>
                <w:u w:val="none"/>
              </w:rPr>
            </w:pPr>
          </w:p>
        </w:tc>
      </w:tr>
      <w:tr w14:paraId="6D8B9A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3245E5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B50AD8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A59E11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（2）视频微课</w:t>
            </w:r>
          </w:p>
        </w:tc>
        <w:tc>
          <w:tcPr>
            <w:tcW w:w="349" w:type="pct"/>
            <w:vMerge w:val="continue"/>
            <w:tcBorders>
              <w:tl2br w:val="nil"/>
              <w:tr2bl w:val="nil"/>
            </w:tcBorders>
            <w:noWrap w:val="0"/>
            <w:vAlign w:val="center"/>
          </w:tcPr>
          <w:p w14:paraId="16DE3EA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1B90C0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8F3587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CEC3AAB">
            <w:pPr>
              <w:jc w:val="center"/>
              <w:rPr>
                <w:rFonts w:hint="eastAsia" w:ascii="微软雅黑" w:hAnsi="微软雅黑" w:eastAsia="微软雅黑" w:cs="微软雅黑"/>
                <w:i w:val="0"/>
                <w:iCs w:val="0"/>
                <w:color w:val="000000"/>
                <w:sz w:val="20"/>
                <w:szCs w:val="20"/>
                <w:u w:val="none"/>
              </w:rPr>
            </w:pPr>
          </w:p>
        </w:tc>
      </w:tr>
      <w:tr w14:paraId="719EA7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DC6DCD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B22732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4A64BA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r>
              <w:rPr>
                <w:rFonts w:hint="eastAsia" w:ascii="微软雅黑" w:hAnsi="微软雅黑" w:eastAsia="微软雅黑" w:cs="微软雅黑"/>
                <w:i w:val="0"/>
                <w:iCs w:val="0"/>
                <w:color w:val="000000"/>
                <w:kern w:val="0"/>
                <w:sz w:val="20"/>
                <w:szCs w:val="20"/>
                <w:highlight w:val="yellow"/>
                <w:u w:val="none"/>
                <w:lang w:val="en-US" w:eastAsia="zh-CN" w:bidi="ar"/>
              </w:rPr>
              <w:t>总时长≥70分钟，分辨率≥1080p。</w:t>
            </w:r>
            <w:r>
              <w:rPr>
                <w:rFonts w:hint="eastAsia" w:ascii="微软雅黑" w:hAnsi="微软雅黑" w:eastAsia="微软雅黑" w:cs="微软雅黑"/>
                <w:i w:val="0"/>
                <w:iCs w:val="0"/>
                <w:color w:val="000000"/>
                <w:kern w:val="0"/>
                <w:sz w:val="20"/>
                <w:szCs w:val="20"/>
                <w:u w:val="none"/>
                <w:lang w:val="en-US" w:eastAsia="zh-CN" w:bidi="ar"/>
              </w:rPr>
              <w:t>。</w:t>
            </w:r>
          </w:p>
        </w:tc>
        <w:tc>
          <w:tcPr>
            <w:tcW w:w="349" w:type="pct"/>
            <w:vMerge w:val="continue"/>
            <w:tcBorders>
              <w:tl2br w:val="nil"/>
              <w:tr2bl w:val="nil"/>
            </w:tcBorders>
            <w:noWrap w:val="0"/>
            <w:vAlign w:val="center"/>
          </w:tcPr>
          <w:p w14:paraId="22999EA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A7FDB3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72CE25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EB60BCC">
            <w:pPr>
              <w:jc w:val="center"/>
              <w:rPr>
                <w:rFonts w:hint="eastAsia" w:ascii="微软雅黑" w:hAnsi="微软雅黑" w:eastAsia="微软雅黑" w:cs="微软雅黑"/>
                <w:i w:val="0"/>
                <w:iCs w:val="0"/>
                <w:color w:val="000000"/>
                <w:sz w:val="20"/>
                <w:szCs w:val="20"/>
                <w:u w:val="none"/>
              </w:rPr>
            </w:pPr>
          </w:p>
        </w:tc>
      </w:tr>
      <w:tr w14:paraId="6379A6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7E47B21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481C42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A59C80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②内容要求：至少包含多旋翼无人机组装与调试概述、装调实训无人机系统（多旋翼）机体组装、飞控的安装与调试、飞控线路连接和遥控器设置、电机转向验证及换向、无人机飞行测试、无人机模拟操控飞行。</w:t>
            </w:r>
          </w:p>
        </w:tc>
        <w:tc>
          <w:tcPr>
            <w:tcW w:w="349" w:type="pct"/>
            <w:vMerge w:val="continue"/>
            <w:tcBorders>
              <w:tl2br w:val="nil"/>
              <w:tr2bl w:val="nil"/>
            </w:tcBorders>
            <w:noWrap w:val="0"/>
            <w:vAlign w:val="center"/>
          </w:tcPr>
          <w:p w14:paraId="795EC9D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1AF5C9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D24349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A26CA47">
            <w:pPr>
              <w:jc w:val="center"/>
              <w:rPr>
                <w:rFonts w:hint="eastAsia" w:ascii="微软雅黑" w:hAnsi="微软雅黑" w:eastAsia="微软雅黑" w:cs="微软雅黑"/>
                <w:i w:val="0"/>
                <w:iCs w:val="0"/>
                <w:color w:val="000000"/>
                <w:sz w:val="20"/>
                <w:szCs w:val="20"/>
                <w:u w:val="none"/>
              </w:rPr>
            </w:pPr>
          </w:p>
        </w:tc>
      </w:tr>
      <w:tr w14:paraId="2581FA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AF81B8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D722011">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BE2A04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（3）实训工卡</w:t>
            </w:r>
          </w:p>
        </w:tc>
        <w:tc>
          <w:tcPr>
            <w:tcW w:w="349" w:type="pct"/>
            <w:vMerge w:val="continue"/>
            <w:tcBorders>
              <w:tl2br w:val="nil"/>
              <w:tr2bl w:val="nil"/>
            </w:tcBorders>
            <w:noWrap w:val="0"/>
            <w:vAlign w:val="center"/>
          </w:tcPr>
          <w:p w14:paraId="17B6A0E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78B1D4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B7C828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EFB6331">
            <w:pPr>
              <w:jc w:val="center"/>
              <w:rPr>
                <w:rFonts w:hint="eastAsia" w:ascii="微软雅黑" w:hAnsi="微软雅黑" w:eastAsia="微软雅黑" w:cs="微软雅黑"/>
                <w:i w:val="0"/>
                <w:iCs w:val="0"/>
                <w:color w:val="000000"/>
                <w:sz w:val="20"/>
                <w:szCs w:val="20"/>
                <w:u w:val="none"/>
              </w:rPr>
            </w:pPr>
          </w:p>
        </w:tc>
      </w:tr>
      <w:tr w14:paraId="76117E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CE68E3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D606C2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6CB032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349" w:type="pct"/>
            <w:vMerge w:val="continue"/>
            <w:tcBorders>
              <w:tl2br w:val="nil"/>
              <w:tr2bl w:val="nil"/>
            </w:tcBorders>
            <w:noWrap w:val="0"/>
            <w:vAlign w:val="center"/>
          </w:tcPr>
          <w:p w14:paraId="50A4142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82B420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6BE51F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AAC1B81">
            <w:pPr>
              <w:jc w:val="center"/>
              <w:rPr>
                <w:rFonts w:hint="eastAsia" w:ascii="微软雅黑" w:hAnsi="微软雅黑" w:eastAsia="微软雅黑" w:cs="微软雅黑"/>
                <w:i w:val="0"/>
                <w:iCs w:val="0"/>
                <w:color w:val="000000"/>
                <w:sz w:val="20"/>
                <w:szCs w:val="20"/>
                <w:u w:val="none"/>
              </w:rPr>
            </w:pPr>
          </w:p>
        </w:tc>
      </w:tr>
      <w:tr w14:paraId="45E12A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291E6CC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54E5F3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9996A4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349" w:type="pct"/>
            <w:vMerge w:val="continue"/>
            <w:tcBorders>
              <w:tl2br w:val="nil"/>
              <w:tr2bl w:val="nil"/>
            </w:tcBorders>
            <w:noWrap w:val="0"/>
            <w:vAlign w:val="center"/>
          </w:tcPr>
          <w:p w14:paraId="348B4FC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50225F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E1AA16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044D76B">
            <w:pPr>
              <w:jc w:val="center"/>
              <w:rPr>
                <w:rFonts w:hint="eastAsia" w:ascii="微软雅黑" w:hAnsi="微软雅黑" w:eastAsia="微软雅黑" w:cs="微软雅黑"/>
                <w:i w:val="0"/>
                <w:iCs w:val="0"/>
                <w:color w:val="000000"/>
                <w:sz w:val="20"/>
                <w:szCs w:val="20"/>
                <w:u w:val="none"/>
              </w:rPr>
            </w:pPr>
          </w:p>
        </w:tc>
      </w:tr>
      <w:tr w14:paraId="5DD3AF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1DF615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6348B9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F5E37F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（4）课程教案</w:t>
            </w:r>
          </w:p>
        </w:tc>
        <w:tc>
          <w:tcPr>
            <w:tcW w:w="349" w:type="pct"/>
            <w:vMerge w:val="continue"/>
            <w:tcBorders>
              <w:tl2br w:val="nil"/>
              <w:tr2bl w:val="nil"/>
            </w:tcBorders>
            <w:noWrap w:val="0"/>
            <w:vAlign w:val="center"/>
          </w:tcPr>
          <w:p w14:paraId="22C1CAB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1C021E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57319A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CF4D589">
            <w:pPr>
              <w:jc w:val="center"/>
              <w:rPr>
                <w:rFonts w:hint="eastAsia" w:ascii="微软雅黑" w:hAnsi="微软雅黑" w:eastAsia="微软雅黑" w:cs="微软雅黑"/>
                <w:i w:val="0"/>
                <w:iCs w:val="0"/>
                <w:color w:val="000000"/>
                <w:sz w:val="20"/>
                <w:szCs w:val="20"/>
                <w:u w:val="none"/>
              </w:rPr>
            </w:pPr>
          </w:p>
        </w:tc>
      </w:tr>
      <w:tr w14:paraId="6BFDDF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75425F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641E06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896DAD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349" w:type="pct"/>
            <w:vMerge w:val="continue"/>
            <w:tcBorders>
              <w:tl2br w:val="nil"/>
              <w:tr2bl w:val="nil"/>
            </w:tcBorders>
            <w:noWrap w:val="0"/>
            <w:vAlign w:val="center"/>
          </w:tcPr>
          <w:p w14:paraId="73A90B1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FED0CF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04DE39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4509F1B">
            <w:pPr>
              <w:jc w:val="center"/>
              <w:rPr>
                <w:rFonts w:hint="eastAsia" w:ascii="微软雅黑" w:hAnsi="微软雅黑" w:eastAsia="微软雅黑" w:cs="微软雅黑"/>
                <w:i w:val="0"/>
                <w:iCs w:val="0"/>
                <w:color w:val="000000"/>
                <w:sz w:val="20"/>
                <w:szCs w:val="20"/>
                <w:u w:val="none"/>
              </w:rPr>
            </w:pPr>
          </w:p>
        </w:tc>
      </w:tr>
      <w:tr w14:paraId="2E9038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2FEFDAC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ADEE20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A31C9A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349" w:type="pct"/>
            <w:vMerge w:val="continue"/>
            <w:tcBorders>
              <w:tl2br w:val="nil"/>
              <w:tr2bl w:val="nil"/>
            </w:tcBorders>
            <w:noWrap w:val="0"/>
            <w:vAlign w:val="center"/>
          </w:tcPr>
          <w:p w14:paraId="617BFAF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B4DD72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1A3E3D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85F3F14">
            <w:pPr>
              <w:jc w:val="center"/>
              <w:rPr>
                <w:rFonts w:hint="eastAsia" w:ascii="微软雅黑" w:hAnsi="微软雅黑" w:eastAsia="微软雅黑" w:cs="微软雅黑"/>
                <w:i w:val="0"/>
                <w:iCs w:val="0"/>
                <w:color w:val="000000"/>
                <w:sz w:val="20"/>
                <w:szCs w:val="20"/>
                <w:u w:val="none"/>
              </w:rPr>
            </w:pPr>
          </w:p>
        </w:tc>
      </w:tr>
      <w:tr w14:paraId="218070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D07FE3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38BB67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E5145D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（5）知识手册：</w:t>
            </w:r>
          </w:p>
        </w:tc>
        <w:tc>
          <w:tcPr>
            <w:tcW w:w="349" w:type="pct"/>
            <w:vMerge w:val="continue"/>
            <w:tcBorders>
              <w:tl2br w:val="nil"/>
              <w:tr2bl w:val="nil"/>
            </w:tcBorders>
            <w:noWrap w:val="0"/>
            <w:vAlign w:val="center"/>
          </w:tcPr>
          <w:p w14:paraId="21C6974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FAFBB5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D6C702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A938AD3">
            <w:pPr>
              <w:jc w:val="center"/>
              <w:rPr>
                <w:rFonts w:hint="eastAsia" w:ascii="微软雅黑" w:hAnsi="微软雅黑" w:eastAsia="微软雅黑" w:cs="微软雅黑"/>
                <w:i w:val="0"/>
                <w:iCs w:val="0"/>
                <w:color w:val="000000"/>
                <w:sz w:val="20"/>
                <w:szCs w:val="20"/>
                <w:u w:val="none"/>
              </w:rPr>
            </w:pPr>
          </w:p>
        </w:tc>
      </w:tr>
      <w:tr w14:paraId="2BAF5E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FDD9F4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F7A92D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607BFC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①数量要求：≥7个。</w:t>
            </w:r>
          </w:p>
        </w:tc>
        <w:tc>
          <w:tcPr>
            <w:tcW w:w="349" w:type="pct"/>
            <w:vMerge w:val="continue"/>
            <w:tcBorders>
              <w:tl2br w:val="nil"/>
              <w:tr2bl w:val="nil"/>
            </w:tcBorders>
            <w:noWrap w:val="0"/>
            <w:vAlign w:val="center"/>
          </w:tcPr>
          <w:p w14:paraId="5F719AB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88EE70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32B466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1768E1B">
            <w:pPr>
              <w:jc w:val="center"/>
              <w:rPr>
                <w:rFonts w:hint="eastAsia" w:ascii="微软雅黑" w:hAnsi="微软雅黑" w:eastAsia="微软雅黑" w:cs="微软雅黑"/>
                <w:i w:val="0"/>
                <w:iCs w:val="0"/>
                <w:color w:val="000000"/>
                <w:sz w:val="20"/>
                <w:szCs w:val="20"/>
                <w:u w:val="none"/>
              </w:rPr>
            </w:pPr>
          </w:p>
        </w:tc>
      </w:tr>
      <w:tr w14:paraId="5B6A62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36BE6C6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040BD9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9B8208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②内容要求：至少包含多旋翼无人机组装与调试概述、多旋翼无人机焊接技术、装调实训无人机机体组装、飞控线路连接和遥控器设置、飞控参数调试校准、无人机模拟操控飞行、无人机飞行测试。</w:t>
            </w:r>
          </w:p>
        </w:tc>
        <w:tc>
          <w:tcPr>
            <w:tcW w:w="349" w:type="pct"/>
            <w:vMerge w:val="continue"/>
            <w:tcBorders>
              <w:tl2br w:val="nil"/>
              <w:tr2bl w:val="nil"/>
            </w:tcBorders>
            <w:noWrap w:val="0"/>
            <w:vAlign w:val="center"/>
          </w:tcPr>
          <w:p w14:paraId="00375B8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3755A0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D3C9F5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084148B">
            <w:pPr>
              <w:jc w:val="center"/>
              <w:rPr>
                <w:rFonts w:hint="eastAsia" w:ascii="微软雅黑" w:hAnsi="微软雅黑" w:eastAsia="微软雅黑" w:cs="微软雅黑"/>
                <w:i w:val="0"/>
                <w:iCs w:val="0"/>
                <w:color w:val="000000"/>
                <w:sz w:val="20"/>
                <w:szCs w:val="20"/>
                <w:u w:val="none"/>
              </w:rPr>
            </w:pPr>
          </w:p>
        </w:tc>
      </w:tr>
      <w:tr w14:paraId="6B7F93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trPr>
        <w:tc>
          <w:tcPr>
            <w:tcW w:w="216" w:type="pct"/>
            <w:tcBorders>
              <w:tl2br w:val="nil"/>
              <w:tr2bl w:val="nil"/>
            </w:tcBorders>
            <w:noWrap w:val="0"/>
            <w:vAlign w:val="center"/>
          </w:tcPr>
          <w:p w14:paraId="422C663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422" w:type="pct"/>
            <w:tcBorders>
              <w:tl2br w:val="nil"/>
              <w:tr2bl w:val="nil"/>
            </w:tcBorders>
            <w:noWrap w:val="0"/>
            <w:vAlign w:val="center"/>
          </w:tcPr>
          <w:p w14:paraId="224A793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智能飞行器选用与组装调试平台备件库</w:t>
            </w:r>
          </w:p>
        </w:tc>
        <w:tc>
          <w:tcPr>
            <w:tcW w:w="2949" w:type="pct"/>
            <w:tcBorders>
              <w:tl2br w:val="nil"/>
              <w:tr2bl w:val="nil"/>
            </w:tcBorders>
            <w:noWrap w:val="0"/>
            <w:vAlign w:val="center"/>
          </w:tcPr>
          <w:p w14:paraId="591567D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飞行器选用与组装调试平台备件库是针对无人机准备的备件支持模块，以便快速更换损坏部件，从而保障设备的正常使用，至少应包含“十”字型、“X”型和“H”型机架、机臂管夹、电机座、脚架斜撑、脚架三通、脚架竖管、脚架横管、耗材包、电机、电调、桨叶。</w:t>
            </w:r>
          </w:p>
        </w:tc>
        <w:tc>
          <w:tcPr>
            <w:tcW w:w="349" w:type="pct"/>
            <w:tcBorders>
              <w:tl2br w:val="nil"/>
              <w:tr2bl w:val="nil"/>
            </w:tcBorders>
            <w:noWrap w:val="0"/>
            <w:vAlign w:val="center"/>
          </w:tcPr>
          <w:p w14:paraId="47D37AC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6BF0297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342003C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4E65CFC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32FA0F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43A5102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422" w:type="pct"/>
            <w:vMerge w:val="restart"/>
            <w:tcBorders>
              <w:tl2br w:val="nil"/>
              <w:tr2bl w:val="nil"/>
            </w:tcBorders>
            <w:noWrap w:val="0"/>
            <w:vAlign w:val="center"/>
          </w:tcPr>
          <w:p w14:paraId="3CF70BC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无人机操控应用平台</w:t>
            </w:r>
          </w:p>
        </w:tc>
        <w:tc>
          <w:tcPr>
            <w:tcW w:w="2949" w:type="pct"/>
            <w:tcBorders>
              <w:tl2br w:val="nil"/>
              <w:tr2bl w:val="nil"/>
            </w:tcBorders>
            <w:noWrap w:val="0"/>
            <w:vAlign w:val="center"/>
          </w:tcPr>
          <w:p w14:paraId="1F17A94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1.机身对称轴距≥800mm；</w:t>
            </w:r>
          </w:p>
        </w:tc>
        <w:tc>
          <w:tcPr>
            <w:tcW w:w="349" w:type="pct"/>
            <w:vMerge w:val="restart"/>
            <w:tcBorders>
              <w:tl2br w:val="nil"/>
              <w:tr2bl w:val="nil"/>
            </w:tcBorders>
            <w:noWrap w:val="0"/>
            <w:vAlign w:val="center"/>
          </w:tcPr>
          <w:p w14:paraId="5B31D1A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1FECD22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12FC4B2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6533B86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05AE2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B9E513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DED4A9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CA1BBD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2.机臂展开方式要求为：可折叠式；脚架安装方式：快拆、装式；机身具备飞行状态指示灯；</w:t>
            </w:r>
          </w:p>
        </w:tc>
        <w:tc>
          <w:tcPr>
            <w:tcW w:w="349" w:type="pct"/>
            <w:vMerge w:val="continue"/>
            <w:tcBorders>
              <w:tl2br w:val="nil"/>
              <w:tr2bl w:val="nil"/>
            </w:tcBorders>
            <w:noWrap w:val="0"/>
            <w:vAlign w:val="center"/>
          </w:tcPr>
          <w:p w14:paraId="6E9FC97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FCE73D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FE97B0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BF32E4E">
            <w:pPr>
              <w:jc w:val="center"/>
              <w:rPr>
                <w:rFonts w:hint="eastAsia" w:ascii="微软雅黑" w:hAnsi="微软雅黑" w:eastAsia="微软雅黑" w:cs="微软雅黑"/>
                <w:i w:val="0"/>
                <w:iCs w:val="0"/>
                <w:color w:val="000000"/>
                <w:sz w:val="20"/>
                <w:szCs w:val="20"/>
                <w:u w:val="none"/>
              </w:rPr>
            </w:pPr>
          </w:p>
        </w:tc>
      </w:tr>
      <w:tr w14:paraId="632EA1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FDB106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C472B6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1E0890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3.飞行器最大载重≥2.7kg，最大起飞重量≥9.2kg；</w:t>
            </w:r>
          </w:p>
        </w:tc>
        <w:tc>
          <w:tcPr>
            <w:tcW w:w="349" w:type="pct"/>
            <w:vMerge w:val="continue"/>
            <w:tcBorders>
              <w:tl2br w:val="nil"/>
              <w:tr2bl w:val="nil"/>
            </w:tcBorders>
            <w:noWrap w:val="0"/>
            <w:vAlign w:val="center"/>
          </w:tcPr>
          <w:p w14:paraId="365D50E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E80736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C683C3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1A16433">
            <w:pPr>
              <w:jc w:val="center"/>
              <w:rPr>
                <w:rFonts w:hint="eastAsia" w:ascii="微软雅黑" w:hAnsi="微软雅黑" w:eastAsia="微软雅黑" w:cs="微软雅黑"/>
                <w:i w:val="0"/>
                <w:iCs w:val="0"/>
                <w:color w:val="000000"/>
                <w:sz w:val="20"/>
                <w:szCs w:val="20"/>
                <w:u w:val="none"/>
              </w:rPr>
            </w:pPr>
          </w:p>
        </w:tc>
      </w:tr>
      <w:tr w14:paraId="17D992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2C684E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48F979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CE7E2A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4.悬停精度：垂直±0.1m(RTK 定位正常工作时），水平±0.1m(RTK 定位正常工作时）；</w:t>
            </w:r>
          </w:p>
        </w:tc>
        <w:tc>
          <w:tcPr>
            <w:tcW w:w="349" w:type="pct"/>
            <w:vMerge w:val="continue"/>
            <w:tcBorders>
              <w:tl2br w:val="nil"/>
              <w:tr2bl w:val="nil"/>
            </w:tcBorders>
            <w:noWrap w:val="0"/>
            <w:vAlign w:val="center"/>
          </w:tcPr>
          <w:p w14:paraId="15D2B04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F2B7E4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BB1A03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633C036">
            <w:pPr>
              <w:jc w:val="center"/>
              <w:rPr>
                <w:rFonts w:hint="eastAsia" w:ascii="微软雅黑" w:hAnsi="微软雅黑" w:eastAsia="微软雅黑" w:cs="微软雅黑"/>
                <w:i w:val="0"/>
                <w:iCs w:val="0"/>
                <w:color w:val="000000"/>
                <w:sz w:val="20"/>
                <w:szCs w:val="20"/>
                <w:u w:val="none"/>
              </w:rPr>
            </w:pPr>
          </w:p>
        </w:tc>
      </w:tr>
      <w:tr w14:paraId="0D3D46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9A3F92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3AD2F4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F1A823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5.最大旋转角速度：俯仰轴≥300°/s ,航向轴≥100°/s；</w:t>
            </w:r>
          </w:p>
        </w:tc>
        <w:tc>
          <w:tcPr>
            <w:tcW w:w="349" w:type="pct"/>
            <w:vMerge w:val="continue"/>
            <w:tcBorders>
              <w:tl2br w:val="nil"/>
              <w:tr2bl w:val="nil"/>
            </w:tcBorders>
            <w:noWrap w:val="0"/>
            <w:vAlign w:val="center"/>
          </w:tcPr>
          <w:p w14:paraId="1780CC7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DDB127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807FCB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8A9FA02">
            <w:pPr>
              <w:jc w:val="center"/>
              <w:rPr>
                <w:rFonts w:hint="eastAsia" w:ascii="微软雅黑" w:hAnsi="微软雅黑" w:eastAsia="微软雅黑" w:cs="微软雅黑"/>
                <w:i w:val="0"/>
                <w:iCs w:val="0"/>
                <w:color w:val="000000"/>
                <w:sz w:val="20"/>
                <w:szCs w:val="20"/>
                <w:u w:val="none"/>
              </w:rPr>
            </w:pPr>
          </w:p>
        </w:tc>
      </w:tr>
      <w:tr w14:paraId="126FC8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3579B9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BD811A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F09F42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6.最大上升速度≥6m/s,最大下降速度≥5m/s；最大平飞速度≥23m/s；</w:t>
            </w:r>
          </w:p>
        </w:tc>
        <w:tc>
          <w:tcPr>
            <w:tcW w:w="349" w:type="pct"/>
            <w:vMerge w:val="continue"/>
            <w:tcBorders>
              <w:tl2br w:val="nil"/>
              <w:tr2bl w:val="nil"/>
            </w:tcBorders>
            <w:noWrap w:val="0"/>
            <w:vAlign w:val="center"/>
          </w:tcPr>
          <w:p w14:paraId="0724B8D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8E9BA5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31D47E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76EC29A">
            <w:pPr>
              <w:jc w:val="center"/>
              <w:rPr>
                <w:rFonts w:hint="eastAsia" w:ascii="微软雅黑" w:hAnsi="微软雅黑" w:eastAsia="微软雅黑" w:cs="微软雅黑"/>
                <w:i w:val="0"/>
                <w:iCs w:val="0"/>
                <w:color w:val="000000"/>
                <w:sz w:val="20"/>
                <w:szCs w:val="20"/>
                <w:u w:val="none"/>
              </w:rPr>
            </w:pPr>
          </w:p>
        </w:tc>
      </w:tr>
      <w:tr w14:paraId="355463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6BFB6C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58D707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A3A887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7.最大飞行海拔高度≥5000m；</w:t>
            </w:r>
          </w:p>
        </w:tc>
        <w:tc>
          <w:tcPr>
            <w:tcW w:w="349" w:type="pct"/>
            <w:vMerge w:val="continue"/>
            <w:tcBorders>
              <w:tl2br w:val="nil"/>
              <w:tr2bl w:val="nil"/>
            </w:tcBorders>
            <w:noWrap w:val="0"/>
            <w:vAlign w:val="center"/>
          </w:tcPr>
          <w:p w14:paraId="119FC06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666A79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AB15F4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ABF5CB9">
            <w:pPr>
              <w:jc w:val="center"/>
              <w:rPr>
                <w:rFonts w:hint="eastAsia" w:ascii="微软雅黑" w:hAnsi="微软雅黑" w:eastAsia="微软雅黑" w:cs="微软雅黑"/>
                <w:i w:val="0"/>
                <w:iCs w:val="0"/>
                <w:color w:val="000000"/>
                <w:sz w:val="20"/>
                <w:szCs w:val="20"/>
                <w:u w:val="none"/>
              </w:rPr>
            </w:pPr>
          </w:p>
        </w:tc>
      </w:tr>
      <w:tr w14:paraId="3A9FAD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392E0B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0D7D65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AEE5AB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8.最大承受风速≥12m/s；</w:t>
            </w:r>
          </w:p>
        </w:tc>
        <w:tc>
          <w:tcPr>
            <w:tcW w:w="349" w:type="pct"/>
            <w:vMerge w:val="continue"/>
            <w:tcBorders>
              <w:tl2br w:val="nil"/>
              <w:tr2bl w:val="nil"/>
            </w:tcBorders>
            <w:noWrap w:val="0"/>
            <w:vAlign w:val="center"/>
          </w:tcPr>
          <w:p w14:paraId="6059999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CA9F3C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01E174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5E04012">
            <w:pPr>
              <w:jc w:val="center"/>
              <w:rPr>
                <w:rFonts w:hint="eastAsia" w:ascii="微软雅黑" w:hAnsi="微软雅黑" w:eastAsia="微软雅黑" w:cs="微软雅黑"/>
                <w:i w:val="0"/>
                <w:iCs w:val="0"/>
                <w:color w:val="000000"/>
                <w:sz w:val="20"/>
                <w:szCs w:val="20"/>
                <w:u w:val="none"/>
              </w:rPr>
            </w:pPr>
          </w:p>
        </w:tc>
      </w:tr>
      <w:tr w14:paraId="1E4FDA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4CFA06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F6DA38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09A166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9.防护等级≥IP55级（参照IEC60529标准）；</w:t>
            </w:r>
          </w:p>
        </w:tc>
        <w:tc>
          <w:tcPr>
            <w:tcW w:w="349" w:type="pct"/>
            <w:vMerge w:val="continue"/>
            <w:tcBorders>
              <w:tl2br w:val="nil"/>
              <w:tr2bl w:val="nil"/>
            </w:tcBorders>
            <w:noWrap w:val="0"/>
            <w:vAlign w:val="center"/>
          </w:tcPr>
          <w:p w14:paraId="566368C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4718B5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A921FA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A2BAAB4">
            <w:pPr>
              <w:jc w:val="center"/>
              <w:rPr>
                <w:rFonts w:hint="eastAsia" w:ascii="微软雅黑" w:hAnsi="微软雅黑" w:eastAsia="微软雅黑" w:cs="微软雅黑"/>
                <w:i w:val="0"/>
                <w:iCs w:val="0"/>
                <w:color w:val="000000"/>
                <w:sz w:val="20"/>
                <w:szCs w:val="20"/>
                <w:u w:val="none"/>
              </w:rPr>
            </w:pPr>
          </w:p>
        </w:tc>
      </w:tr>
      <w:tr w14:paraId="229ED6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9E9D01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0CF528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D584F7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10.最大飞行时间（空载）：不少于50分钟；</w:t>
            </w:r>
          </w:p>
        </w:tc>
        <w:tc>
          <w:tcPr>
            <w:tcW w:w="349" w:type="pct"/>
            <w:vMerge w:val="continue"/>
            <w:tcBorders>
              <w:tl2br w:val="nil"/>
              <w:tr2bl w:val="nil"/>
            </w:tcBorders>
            <w:noWrap w:val="0"/>
            <w:vAlign w:val="center"/>
          </w:tcPr>
          <w:p w14:paraId="4AA93EC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1E5E42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7637AB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3D45B10">
            <w:pPr>
              <w:jc w:val="center"/>
              <w:rPr>
                <w:rFonts w:hint="eastAsia" w:ascii="微软雅黑" w:hAnsi="微软雅黑" w:eastAsia="微软雅黑" w:cs="微软雅黑"/>
                <w:i w:val="0"/>
                <w:iCs w:val="0"/>
                <w:color w:val="000000"/>
                <w:sz w:val="20"/>
                <w:szCs w:val="20"/>
                <w:u w:val="none"/>
              </w:rPr>
            </w:pPr>
          </w:p>
        </w:tc>
      </w:tr>
      <w:tr w14:paraId="275823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5EE073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A3C079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1775DC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11.最大图传距离(无遮挡，无干扰）≥20公里；</w:t>
            </w:r>
          </w:p>
        </w:tc>
        <w:tc>
          <w:tcPr>
            <w:tcW w:w="349" w:type="pct"/>
            <w:vMerge w:val="continue"/>
            <w:tcBorders>
              <w:tl2br w:val="nil"/>
              <w:tr2bl w:val="nil"/>
            </w:tcBorders>
            <w:noWrap w:val="0"/>
            <w:vAlign w:val="center"/>
          </w:tcPr>
          <w:p w14:paraId="778E772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441CF3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1DFD52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10E5824">
            <w:pPr>
              <w:jc w:val="center"/>
              <w:rPr>
                <w:rFonts w:hint="eastAsia" w:ascii="微软雅黑" w:hAnsi="微软雅黑" w:eastAsia="微软雅黑" w:cs="微软雅黑"/>
                <w:i w:val="0"/>
                <w:iCs w:val="0"/>
                <w:color w:val="000000"/>
                <w:sz w:val="20"/>
                <w:szCs w:val="20"/>
                <w:u w:val="none"/>
              </w:rPr>
            </w:pPr>
          </w:p>
        </w:tc>
      </w:tr>
      <w:tr w14:paraId="2545E9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B554BC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87FAEB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1E3713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12.飞行器至少具备RTK定位和定向能力，能够在指南针受到干扰的环境下利用RTK定向安全飞行；</w:t>
            </w:r>
          </w:p>
        </w:tc>
        <w:tc>
          <w:tcPr>
            <w:tcW w:w="349" w:type="pct"/>
            <w:vMerge w:val="continue"/>
            <w:tcBorders>
              <w:tl2br w:val="nil"/>
              <w:tr2bl w:val="nil"/>
            </w:tcBorders>
            <w:noWrap w:val="0"/>
            <w:vAlign w:val="center"/>
          </w:tcPr>
          <w:p w14:paraId="3BB9BA3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017B84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719C41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D378F5D">
            <w:pPr>
              <w:jc w:val="center"/>
              <w:rPr>
                <w:rFonts w:hint="eastAsia" w:ascii="微软雅黑" w:hAnsi="微软雅黑" w:eastAsia="微软雅黑" w:cs="微软雅黑"/>
                <w:i w:val="0"/>
                <w:iCs w:val="0"/>
                <w:color w:val="000000"/>
                <w:sz w:val="20"/>
                <w:szCs w:val="20"/>
                <w:u w:val="none"/>
              </w:rPr>
            </w:pPr>
          </w:p>
        </w:tc>
      </w:tr>
      <w:tr w14:paraId="751C89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F9CB73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6F6ADD1">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B9B212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13.遥控器内置高亮触摸屏，且尺寸不小于7英寸；</w:t>
            </w:r>
          </w:p>
        </w:tc>
        <w:tc>
          <w:tcPr>
            <w:tcW w:w="349" w:type="pct"/>
            <w:vMerge w:val="continue"/>
            <w:tcBorders>
              <w:tl2br w:val="nil"/>
              <w:tr2bl w:val="nil"/>
            </w:tcBorders>
            <w:noWrap w:val="0"/>
            <w:vAlign w:val="center"/>
          </w:tcPr>
          <w:p w14:paraId="6ED5C71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366727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CEC36D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6B2C938">
            <w:pPr>
              <w:jc w:val="center"/>
              <w:rPr>
                <w:rFonts w:hint="eastAsia" w:ascii="微软雅黑" w:hAnsi="微软雅黑" w:eastAsia="微软雅黑" w:cs="微软雅黑"/>
                <w:i w:val="0"/>
                <w:iCs w:val="0"/>
                <w:color w:val="000000"/>
                <w:sz w:val="20"/>
                <w:szCs w:val="20"/>
                <w:u w:val="none"/>
              </w:rPr>
            </w:pPr>
          </w:p>
        </w:tc>
      </w:tr>
      <w:tr w14:paraId="0E4E43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395CEB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D1FB0F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A82165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14.至少具备蓝牙以及卫星定位功能，且可以支持通过Wi-Fi或4G无线上网卡得方式连接至互联网；</w:t>
            </w:r>
          </w:p>
        </w:tc>
        <w:tc>
          <w:tcPr>
            <w:tcW w:w="349" w:type="pct"/>
            <w:vMerge w:val="continue"/>
            <w:tcBorders>
              <w:tl2br w:val="nil"/>
              <w:tr2bl w:val="nil"/>
            </w:tcBorders>
            <w:noWrap w:val="0"/>
            <w:vAlign w:val="center"/>
          </w:tcPr>
          <w:p w14:paraId="0B2853A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358AD7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31FF11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ACFB273">
            <w:pPr>
              <w:jc w:val="center"/>
              <w:rPr>
                <w:rFonts w:hint="eastAsia" w:ascii="微软雅黑" w:hAnsi="微软雅黑" w:eastAsia="微软雅黑" w:cs="微软雅黑"/>
                <w:i w:val="0"/>
                <w:iCs w:val="0"/>
                <w:color w:val="000000"/>
                <w:sz w:val="20"/>
                <w:szCs w:val="20"/>
                <w:u w:val="none"/>
              </w:rPr>
            </w:pPr>
          </w:p>
        </w:tc>
      </w:tr>
      <w:tr w14:paraId="1E8F9E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303EF2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C396D2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8E2D69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15.遥控器至少支持使用内置电池工作，也可支持使用内置电池与外置电池结合使用的方式进行工作；电池续航时间不少于6小时；</w:t>
            </w:r>
          </w:p>
        </w:tc>
        <w:tc>
          <w:tcPr>
            <w:tcW w:w="349" w:type="pct"/>
            <w:vMerge w:val="continue"/>
            <w:tcBorders>
              <w:tl2br w:val="nil"/>
              <w:tr2bl w:val="nil"/>
            </w:tcBorders>
            <w:noWrap w:val="0"/>
            <w:vAlign w:val="center"/>
          </w:tcPr>
          <w:p w14:paraId="68D58D7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F25A20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F001B4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AC3E966">
            <w:pPr>
              <w:jc w:val="center"/>
              <w:rPr>
                <w:rFonts w:hint="eastAsia" w:ascii="微软雅黑" w:hAnsi="微软雅黑" w:eastAsia="微软雅黑" w:cs="微软雅黑"/>
                <w:i w:val="0"/>
                <w:iCs w:val="0"/>
                <w:color w:val="000000"/>
                <w:sz w:val="20"/>
                <w:szCs w:val="20"/>
                <w:u w:val="none"/>
              </w:rPr>
            </w:pPr>
          </w:p>
        </w:tc>
      </w:tr>
      <w:tr w14:paraId="7F1F7A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C3022B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912B59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75F3C2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16.飞行模式不少于三种，至少包含P模式（定位）、S模式（运动）、A模式（姿态）；遥控器具备飞行器模式切换开关；</w:t>
            </w:r>
          </w:p>
        </w:tc>
        <w:tc>
          <w:tcPr>
            <w:tcW w:w="349" w:type="pct"/>
            <w:vMerge w:val="continue"/>
            <w:tcBorders>
              <w:tl2br w:val="nil"/>
              <w:tr2bl w:val="nil"/>
            </w:tcBorders>
            <w:noWrap w:val="0"/>
            <w:vAlign w:val="center"/>
          </w:tcPr>
          <w:p w14:paraId="72FA829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7029BE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6A47B6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A9586E9">
            <w:pPr>
              <w:jc w:val="center"/>
              <w:rPr>
                <w:rFonts w:hint="eastAsia" w:ascii="微软雅黑" w:hAnsi="微软雅黑" w:eastAsia="微软雅黑" w:cs="微软雅黑"/>
                <w:i w:val="0"/>
                <w:iCs w:val="0"/>
                <w:color w:val="000000"/>
                <w:sz w:val="20"/>
                <w:szCs w:val="20"/>
                <w:u w:val="none"/>
              </w:rPr>
            </w:pPr>
          </w:p>
        </w:tc>
      </w:tr>
      <w:tr w14:paraId="07DD80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ECDBEA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F03BE0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4738FF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17.补光灯有效照明距离≥5m；照明方式常亮；</w:t>
            </w:r>
          </w:p>
        </w:tc>
        <w:tc>
          <w:tcPr>
            <w:tcW w:w="349" w:type="pct"/>
            <w:vMerge w:val="continue"/>
            <w:tcBorders>
              <w:tl2br w:val="nil"/>
              <w:tr2bl w:val="nil"/>
            </w:tcBorders>
            <w:noWrap w:val="0"/>
            <w:vAlign w:val="center"/>
          </w:tcPr>
          <w:p w14:paraId="7EE2C49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3D9651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06C320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0B83342">
            <w:pPr>
              <w:jc w:val="center"/>
              <w:rPr>
                <w:rFonts w:hint="eastAsia" w:ascii="微软雅黑" w:hAnsi="微软雅黑" w:eastAsia="微软雅黑" w:cs="微软雅黑"/>
                <w:i w:val="0"/>
                <w:iCs w:val="0"/>
                <w:color w:val="000000"/>
                <w:sz w:val="20"/>
                <w:szCs w:val="20"/>
                <w:u w:val="none"/>
              </w:rPr>
            </w:pPr>
          </w:p>
        </w:tc>
      </w:tr>
      <w:tr w14:paraId="2B9539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0EC751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7D6BA7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2D0245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18.FPV摄像头分辨率不小于1080p；帧率≥30fps；</w:t>
            </w:r>
          </w:p>
        </w:tc>
        <w:tc>
          <w:tcPr>
            <w:tcW w:w="349" w:type="pct"/>
            <w:vMerge w:val="continue"/>
            <w:tcBorders>
              <w:tl2br w:val="nil"/>
              <w:tr2bl w:val="nil"/>
            </w:tcBorders>
            <w:noWrap w:val="0"/>
            <w:vAlign w:val="center"/>
          </w:tcPr>
          <w:p w14:paraId="22117D5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FB99B5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88FDC3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30490E4">
            <w:pPr>
              <w:jc w:val="center"/>
              <w:rPr>
                <w:rFonts w:hint="eastAsia" w:ascii="微软雅黑" w:hAnsi="微软雅黑" w:eastAsia="微软雅黑" w:cs="微软雅黑"/>
                <w:i w:val="0"/>
                <w:iCs w:val="0"/>
                <w:color w:val="000000"/>
                <w:sz w:val="20"/>
                <w:szCs w:val="20"/>
                <w:u w:val="none"/>
              </w:rPr>
            </w:pPr>
          </w:p>
        </w:tc>
      </w:tr>
      <w:tr w14:paraId="627AA6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091EBF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A064C9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A07613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19.飞行器至少具备自动返航功能，不少于三种返航方式，至少包含智能返航、智能低电量返航、失控返航；飞行器至少具备降落保护功能；</w:t>
            </w:r>
          </w:p>
        </w:tc>
        <w:tc>
          <w:tcPr>
            <w:tcW w:w="349" w:type="pct"/>
            <w:vMerge w:val="continue"/>
            <w:tcBorders>
              <w:tl2br w:val="nil"/>
              <w:tr2bl w:val="nil"/>
            </w:tcBorders>
            <w:noWrap w:val="0"/>
            <w:vAlign w:val="center"/>
          </w:tcPr>
          <w:p w14:paraId="3EA1FC9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630C44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4DBED6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D8DE817">
            <w:pPr>
              <w:jc w:val="center"/>
              <w:rPr>
                <w:rFonts w:hint="eastAsia" w:ascii="微软雅黑" w:hAnsi="微软雅黑" w:eastAsia="微软雅黑" w:cs="微软雅黑"/>
                <w:i w:val="0"/>
                <w:iCs w:val="0"/>
                <w:color w:val="000000"/>
                <w:sz w:val="20"/>
                <w:szCs w:val="20"/>
                <w:u w:val="none"/>
              </w:rPr>
            </w:pPr>
          </w:p>
        </w:tc>
      </w:tr>
      <w:tr w14:paraId="5DF80E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594317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DB140C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B9C5FD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20.飞行器至少具备飞行数据记录功能，所有飞行数据可存储于飞行器中，保持飞行器开启连接至电脑，通过相应软件可导出飞行数据；</w:t>
            </w:r>
          </w:p>
        </w:tc>
        <w:tc>
          <w:tcPr>
            <w:tcW w:w="349" w:type="pct"/>
            <w:vMerge w:val="continue"/>
            <w:tcBorders>
              <w:tl2br w:val="nil"/>
              <w:tr2bl w:val="nil"/>
            </w:tcBorders>
            <w:noWrap w:val="0"/>
            <w:vAlign w:val="center"/>
          </w:tcPr>
          <w:p w14:paraId="10E88B8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D8C450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EF1F9E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19C3C09">
            <w:pPr>
              <w:jc w:val="center"/>
              <w:rPr>
                <w:rFonts w:hint="eastAsia" w:ascii="微软雅黑" w:hAnsi="微软雅黑" w:eastAsia="微软雅黑" w:cs="微软雅黑"/>
                <w:i w:val="0"/>
                <w:iCs w:val="0"/>
                <w:color w:val="000000"/>
                <w:sz w:val="20"/>
                <w:szCs w:val="20"/>
                <w:u w:val="none"/>
              </w:rPr>
            </w:pPr>
          </w:p>
        </w:tc>
      </w:tr>
      <w:tr w14:paraId="5B1BC1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25D95A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E201E2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101E09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21.飞行器至少支持高级双控模式，适用于双人同时操控一台飞行器；</w:t>
            </w:r>
          </w:p>
        </w:tc>
        <w:tc>
          <w:tcPr>
            <w:tcW w:w="349" w:type="pct"/>
            <w:vMerge w:val="continue"/>
            <w:tcBorders>
              <w:tl2br w:val="nil"/>
              <w:tr2bl w:val="nil"/>
            </w:tcBorders>
            <w:noWrap w:val="0"/>
            <w:vAlign w:val="center"/>
          </w:tcPr>
          <w:p w14:paraId="5E8671C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B17E63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AAAD25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37528B8">
            <w:pPr>
              <w:jc w:val="center"/>
              <w:rPr>
                <w:rFonts w:hint="eastAsia" w:ascii="微软雅黑" w:hAnsi="微软雅黑" w:eastAsia="微软雅黑" w:cs="微软雅黑"/>
                <w:i w:val="0"/>
                <w:iCs w:val="0"/>
                <w:color w:val="000000"/>
                <w:sz w:val="20"/>
                <w:szCs w:val="20"/>
                <w:u w:val="none"/>
              </w:rPr>
            </w:pPr>
          </w:p>
        </w:tc>
      </w:tr>
      <w:tr w14:paraId="139AAF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E6BBB3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F23D41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47BA40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22.至少支持两路1080p图传；</w:t>
            </w:r>
          </w:p>
        </w:tc>
        <w:tc>
          <w:tcPr>
            <w:tcW w:w="349" w:type="pct"/>
            <w:vMerge w:val="continue"/>
            <w:tcBorders>
              <w:tl2br w:val="nil"/>
              <w:tr2bl w:val="nil"/>
            </w:tcBorders>
            <w:noWrap w:val="0"/>
            <w:vAlign w:val="center"/>
          </w:tcPr>
          <w:p w14:paraId="0C09ECE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3B4EF4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F9A112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1E400D4">
            <w:pPr>
              <w:jc w:val="center"/>
              <w:rPr>
                <w:rFonts w:hint="eastAsia" w:ascii="微软雅黑" w:hAnsi="微软雅黑" w:eastAsia="微软雅黑" w:cs="微软雅黑"/>
                <w:i w:val="0"/>
                <w:iCs w:val="0"/>
                <w:color w:val="000000"/>
                <w:sz w:val="20"/>
                <w:szCs w:val="20"/>
                <w:u w:val="none"/>
              </w:rPr>
            </w:pPr>
          </w:p>
        </w:tc>
      </w:tr>
      <w:tr w14:paraId="2ED228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92126D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6346F8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83A704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23.该飞行器配套软件APP，至少支持进行航线规划，自动作业功能。</w:t>
            </w:r>
          </w:p>
        </w:tc>
        <w:tc>
          <w:tcPr>
            <w:tcW w:w="349" w:type="pct"/>
            <w:vMerge w:val="continue"/>
            <w:tcBorders>
              <w:tl2br w:val="nil"/>
              <w:tr2bl w:val="nil"/>
            </w:tcBorders>
            <w:noWrap w:val="0"/>
            <w:vAlign w:val="center"/>
          </w:tcPr>
          <w:p w14:paraId="13D9317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E6739F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B694EA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CD683D7">
            <w:pPr>
              <w:jc w:val="center"/>
              <w:rPr>
                <w:rFonts w:hint="eastAsia" w:ascii="微软雅黑" w:hAnsi="微软雅黑" w:eastAsia="微软雅黑" w:cs="微软雅黑"/>
                <w:i w:val="0"/>
                <w:iCs w:val="0"/>
                <w:color w:val="000000"/>
                <w:sz w:val="20"/>
                <w:szCs w:val="20"/>
                <w:u w:val="none"/>
              </w:rPr>
            </w:pPr>
          </w:p>
        </w:tc>
      </w:tr>
      <w:tr w14:paraId="4393D0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FA2E93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727EC9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0AAC00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24.具备飞行器健康管理系统：至少包含异常诊断，日志管理，保养指导等模块；</w:t>
            </w:r>
          </w:p>
        </w:tc>
        <w:tc>
          <w:tcPr>
            <w:tcW w:w="349" w:type="pct"/>
            <w:vMerge w:val="continue"/>
            <w:tcBorders>
              <w:tl2br w:val="nil"/>
              <w:tr2bl w:val="nil"/>
            </w:tcBorders>
            <w:noWrap w:val="0"/>
            <w:vAlign w:val="center"/>
          </w:tcPr>
          <w:p w14:paraId="68DA164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EB7D13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D6EFA6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349E797">
            <w:pPr>
              <w:jc w:val="center"/>
              <w:rPr>
                <w:rFonts w:hint="eastAsia" w:ascii="微软雅黑" w:hAnsi="微软雅黑" w:eastAsia="微软雅黑" w:cs="微软雅黑"/>
                <w:i w:val="0"/>
                <w:iCs w:val="0"/>
                <w:color w:val="000000"/>
                <w:sz w:val="20"/>
                <w:szCs w:val="20"/>
                <w:u w:val="none"/>
              </w:rPr>
            </w:pPr>
          </w:p>
        </w:tc>
      </w:tr>
      <w:tr w14:paraId="312B82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897184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8DC712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560D46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25.具备地理围栏系统，可提供实时空域信息，还可提供飞行安全与飞行限制相关信息实现特殊区域飞行限制功能。</w:t>
            </w:r>
          </w:p>
        </w:tc>
        <w:tc>
          <w:tcPr>
            <w:tcW w:w="349" w:type="pct"/>
            <w:vMerge w:val="continue"/>
            <w:tcBorders>
              <w:tl2br w:val="nil"/>
              <w:tr2bl w:val="nil"/>
            </w:tcBorders>
            <w:noWrap w:val="0"/>
            <w:vAlign w:val="center"/>
          </w:tcPr>
          <w:p w14:paraId="50A7F9A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1CDB2B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E98A6B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EF3978D">
            <w:pPr>
              <w:jc w:val="center"/>
              <w:rPr>
                <w:rFonts w:hint="eastAsia" w:ascii="微软雅黑" w:hAnsi="微软雅黑" w:eastAsia="微软雅黑" w:cs="微软雅黑"/>
                <w:i w:val="0"/>
                <w:iCs w:val="0"/>
                <w:color w:val="000000"/>
                <w:sz w:val="20"/>
                <w:szCs w:val="20"/>
                <w:u w:val="none"/>
              </w:rPr>
            </w:pPr>
          </w:p>
        </w:tc>
      </w:tr>
      <w:tr w14:paraId="071D60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62A16AC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422" w:type="pct"/>
            <w:vMerge w:val="restart"/>
            <w:tcBorders>
              <w:tl2br w:val="nil"/>
              <w:tr2bl w:val="nil"/>
            </w:tcBorders>
            <w:noWrap w:val="0"/>
            <w:vAlign w:val="center"/>
          </w:tcPr>
          <w:p w14:paraId="2988A50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三轴云台负载模块</w:t>
            </w:r>
          </w:p>
        </w:tc>
        <w:tc>
          <w:tcPr>
            <w:tcW w:w="2949" w:type="pct"/>
            <w:tcBorders>
              <w:tl2br w:val="nil"/>
              <w:tr2bl w:val="nil"/>
            </w:tcBorders>
            <w:noWrap w:val="0"/>
            <w:vAlign w:val="center"/>
          </w:tcPr>
          <w:p w14:paraId="1DF9116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1.防水等级≥IP54，人眼安全等级≥Class 1M；</w:t>
            </w:r>
          </w:p>
        </w:tc>
        <w:tc>
          <w:tcPr>
            <w:tcW w:w="349" w:type="pct"/>
            <w:vMerge w:val="restart"/>
            <w:tcBorders>
              <w:tl2br w:val="nil"/>
              <w:tr2bl w:val="nil"/>
            </w:tcBorders>
            <w:noWrap w:val="0"/>
            <w:vAlign w:val="center"/>
          </w:tcPr>
          <w:p w14:paraId="6943CC2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31301DB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7F183BC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66890B8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64ADB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FF1E91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EC7785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FE1016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2.设备存储温度支持-20℃ 至 60℃；</w:t>
            </w:r>
          </w:p>
        </w:tc>
        <w:tc>
          <w:tcPr>
            <w:tcW w:w="349" w:type="pct"/>
            <w:vMerge w:val="continue"/>
            <w:tcBorders>
              <w:tl2br w:val="nil"/>
              <w:tr2bl w:val="nil"/>
            </w:tcBorders>
            <w:noWrap w:val="0"/>
            <w:vAlign w:val="center"/>
          </w:tcPr>
          <w:p w14:paraId="0B7BE65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98067E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393D51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05014ED">
            <w:pPr>
              <w:jc w:val="center"/>
              <w:rPr>
                <w:rFonts w:hint="eastAsia" w:ascii="微软雅黑" w:hAnsi="微软雅黑" w:eastAsia="微软雅黑" w:cs="微软雅黑"/>
                <w:i w:val="0"/>
                <w:iCs w:val="0"/>
                <w:color w:val="000000"/>
                <w:sz w:val="20"/>
                <w:szCs w:val="20"/>
                <w:u w:val="none"/>
              </w:rPr>
            </w:pPr>
          </w:p>
        </w:tc>
      </w:tr>
      <w:tr w14:paraId="7A0B54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28B4FD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45C853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9ABE66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3.云台安装方式支持可拆装式；</w:t>
            </w:r>
          </w:p>
        </w:tc>
        <w:tc>
          <w:tcPr>
            <w:tcW w:w="349" w:type="pct"/>
            <w:vMerge w:val="continue"/>
            <w:tcBorders>
              <w:tl2br w:val="nil"/>
              <w:tr2bl w:val="nil"/>
            </w:tcBorders>
            <w:noWrap w:val="0"/>
            <w:vAlign w:val="center"/>
          </w:tcPr>
          <w:p w14:paraId="5679119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663BD4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A6F50B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4E602BB">
            <w:pPr>
              <w:jc w:val="center"/>
              <w:rPr>
                <w:rFonts w:hint="eastAsia" w:ascii="微软雅黑" w:hAnsi="微软雅黑" w:eastAsia="微软雅黑" w:cs="微软雅黑"/>
                <w:i w:val="0"/>
                <w:iCs w:val="0"/>
                <w:color w:val="000000"/>
                <w:sz w:val="20"/>
                <w:szCs w:val="20"/>
                <w:u w:val="none"/>
              </w:rPr>
            </w:pPr>
          </w:p>
        </w:tc>
      </w:tr>
      <w:tr w14:paraId="757C97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8FEC42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EE7E6E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ED6F2A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4.云台角度抖动量≤±0.002°；</w:t>
            </w:r>
          </w:p>
        </w:tc>
        <w:tc>
          <w:tcPr>
            <w:tcW w:w="349" w:type="pct"/>
            <w:vMerge w:val="continue"/>
            <w:tcBorders>
              <w:tl2br w:val="nil"/>
              <w:tr2bl w:val="nil"/>
            </w:tcBorders>
            <w:noWrap w:val="0"/>
            <w:vAlign w:val="center"/>
          </w:tcPr>
          <w:p w14:paraId="482A6EE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8BD0C0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577114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736842C">
            <w:pPr>
              <w:jc w:val="center"/>
              <w:rPr>
                <w:rFonts w:hint="eastAsia" w:ascii="微软雅黑" w:hAnsi="微软雅黑" w:eastAsia="微软雅黑" w:cs="微软雅黑"/>
                <w:i w:val="0"/>
                <w:iCs w:val="0"/>
                <w:color w:val="000000"/>
                <w:sz w:val="20"/>
                <w:szCs w:val="20"/>
                <w:u w:val="none"/>
              </w:rPr>
            </w:pPr>
          </w:p>
        </w:tc>
      </w:tr>
      <w:tr w14:paraId="094A28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77ACFB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33BFAF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EA8D7E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5.变焦相机影像传感器1/1.8CMOS，有效像素不小于4000万；</w:t>
            </w:r>
          </w:p>
        </w:tc>
        <w:tc>
          <w:tcPr>
            <w:tcW w:w="349" w:type="pct"/>
            <w:vMerge w:val="continue"/>
            <w:tcBorders>
              <w:tl2br w:val="nil"/>
              <w:tr2bl w:val="nil"/>
            </w:tcBorders>
            <w:noWrap w:val="0"/>
            <w:vAlign w:val="center"/>
          </w:tcPr>
          <w:p w14:paraId="3980008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46C1A4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F4E04D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FADE43B">
            <w:pPr>
              <w:jc w:val="center"/>
              <w:rPr>
                <w:rFonts w:hint="eastAsia" w:ascii="微软雅黑" w:hAnsi="微软雅黑" w:eastAsia="微软雅黑" w:cs="微软雅黑"/>
                <w:i w:val="0"/>
                <w:iCs w:val="0"/>
                <w:color w:val="000000"/>
                <w:sz w:val="20"/>
                <w:szCs w:val="20"/>
                <w:u w:val="none"/>
              </w:rPr>
            </w:pPr>
          </w:p>
        </w:tc>
      </w:tr>
      <w:tr w14:paraId="7125BD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16EC6F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EA6301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F3F407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6.曝光方式不少于两种，且支持程序自动曝光以及手动曝光；</w:t>
            </w:r>
          </w:p>
        </w:tc>
        <w:tc>
          <w:tcPr>
            <w:tcW w:w="349" w:type="pct"/>
            <w:vMerge w:val="continue"/>
            <w:tcBorders>
              <w:tl2br w:val="nil"/>
              <w:tr2bl w:val="nil"/>
            </w:tcBorders>
            <w:noWrap w:val="0"/>
            <w:vAlign w:val="center"/>
          </w:tcPr>
          <w:p w14:paraId="0E60DFD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44E506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AB9F11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6003B43">
            <w:pPr>
              <w:jc w:val="center"/>
              <w:rPr>
                <w:rFonts w:hint="eastAsia" w:ascii="微软雅黑" w:hAnsi="微软雅黑" w:eastAsia="微软雅黑" w:cs="微软雅黑"/>
                <w:i w:val="0"/>
                <w:iCs w:val="0"/>
                <w:color w:val="000000"/>
                <w:sz w:val="20"/>
                <w:szCs w:val="20"/>
                <w:u w:val="none"/>
              </w:rPr>
            </w:pPr>
          </w:p>
        </w:tc>
      </w:tr>
      <w:tr w14:paraId="22DAE5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77EE4F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07C9F3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5762EE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7.至少支持点测光、平均测光两种测光模式，且至少支持测光锁定；</w:t>
            </w:r>
          </w:p>
        </w:tc>
        <w:tc>
          <w:tcPr>
            <w:tcW w:w="349" w:type="pct"/>
            <w:vMerge w:val="continue"/>
            <w:tcBorders>
              <w:tl2br w:val="nil"/>
              <w:tr2bl w:val="nil"/>
            </w:tcBorders>
            <w:noWrap w:val="0"/>
            <w:vAlign w:val="center"/>
          </w:tcPr>
          <w:p w14:paraId="6C11751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5622FE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D85DB3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E1C9B9F">
            <w:pPr>
              <w:jc w:val="center"/>
              <w:rPr>
                <w:rFonts w:hint="eastAsia" w:ascii="微软雅黑" w:hAnsi="微软雅黑" w:eastAsia="微软雅黑" w:cs="微软雅黑"/>
                <w:i w:val="0"/>
                <w:iCs w:val="0"/>
                <w:color w:val="000000"/>
                <w:sz w:val="20"/>
                <w:szCs w:val="20"/>
                <w:u w:val="none"/>
              </w:rPr>
            </w:pPr>
          </w:p>
        </w:tc>
      </w:tr>
      <w:tr w14:paraId="279460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65F490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E8E0EF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532BB3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8.电子快门最快速度不小1/8000秒；</w:t>
            </w:r>
          </w:p>
        </w:tc>
        <w:tc>
          <w:tcPr>
            <w:tcW w:w="349" w:type="pct"/>
            <w:vMerge w:val="continue"/>
            <w:tcBorders>
              <w:tl2br w:val="nil"/>
              <w:tr2bl w:val="nil"/>
            </w:tcBorders>
            <w:noWrap w:val="0"/>
            <w:vAlign w:val="center"/>
          </w:tcPr>
          <w:p w14:paraId="5731092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C42EE9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DB471E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8A26900">
            <w:pPr>
              <w:jc w:val="center"/>
              <w:rPr>
                <w:rFonts w:hint="eastAsia" w:ascii="微软雅黑" w:hAnsi="微软雅黑" w:eastAsia="微软雅黑" w:cs="微软雅黑"/>
                <w:i w:val="0"/>
                <w:iCs w:val="0"/>
                <w:color w:val="000000"/>
                <w:sz w:val="20"/>
                <w:szCs w:val="20"/>
                <w:u w:val="none"/>
              </w:rPr>
            </w:pPr>
          </w:p>
        </w:tc>
      </w:tr>
      <w:tr w14:paraId="1A4599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68AB23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F4389B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043A4F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9.照片拍摄ISO范围支持照片：100 ～25600；</w:t>
            </w:r>
          </w:p>
        </w:tc>
        <w:tc>
          <w:tcPr>
            <w:tcW w:w="349" w:type="pct"/>
            <w:vMerge w:val="continue"/>
            <w:tcBorders>
              <w:tl2br w:val="nil"/>
              <w:tr2bl w:val="nil"/>
            </w:tcBorders>
            <w:noWrap w:val="0"/>
            <w:vAlign w:val="center"/>
          </w:tcPr>
          <w:p w14:paraId="21BB1BE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8BC309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9F46A9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F8F336E">
            <w:pPr>
              <w:jc w:val="center"/>
              <w:rPr>
                <w:rFonts w:hint="eastAsia" w:ascii="微软雅黑" w:hAnsi="微软雅黑" w:eastAsia="微软雅黑" w:cs="微软雅黑"/>
                <w:i w:val="0"/>
                <w:iCs w:val="0"/>
                <w:color w:val="000000"/>
                <w:sz w:val="20"/>
                <w:szCs w:val="20"/>
                <w:u w:val="none"/>
              </w:rPr>
            </w:pPr>
          </w:p>
        </w:tc>
      </w:tr>
      <w:tr w14:paraId="42C291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521029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9D3B5C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FE4B3E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10.视频分辨率不小于3840x2160 @30fps；</w:t>
            </w:r>
          </w:p>
        </w:tc>
        <w:tc>
          <w:tcPr>
            <w:tcW w:w="349" w:type="pct"/>
            <w:vMerge w:val="continue"/>
            <w:tcBorders>
              <w:tl2br w:val="nil"/>
              <w:tr2bl w:val="nil"/>
            </w:tcBorders>
            <w:noWrap w:val="0"/>
            <w:vAlign w:val="center"/>
          </w:tcPr>
          <w:p w14:paraId="01272D9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F192AD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E87AEA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E51B80B">
            <w:pPr>
              <w:jc w:val="center"/>
              <w:rPr>
                <w:rFonts w:hint="eastAsia" w:ascii="微软雅黑" w:hAnsi="微软雅黑" w:eastAsia="微软雅黑" w:cs="微软雅黑"/>
                <w:i w:val="0"/>
                <w:iCs w:val="0"/>
                <w:color w:val="000000"/>
                <w:sz w:val="20"/>
                <w:szCs w:val="20"/>
                <w:u w:val="none"/>
              </w:rPr>
            </w:pPr>
          </w:p>
        </w:tc>
      </w:tr>
      <w:tr w14:paraId="253634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B4AB89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C6889D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D0BEAC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11.至少支持MP4视频拍摄格式和支持JPEG照片拍摄格式；</w:t>
            </w:r>
          </w:p>
        </w:tc>
        <w:tc>
          <w:tcPr>
            <w:tcW w:w="349" w:type="pct"/>
            <w:vMerge w:val="continue"/>
            <w:tcBorders>
              <w:tl2br w:val="nil"/>
              <w:tr2bl w:val="nil"/>
            </w:tcBorders>
            <w:noWrap w:val="0"/>
            <w:vAlign w:val="center"/>
          </w:tcPr>
          <w:p w14:paraId="356C0C2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033011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A08E48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3B1B746">
            <w:pPr>
              <w:jc w:val="center"/>
              <w:rPr>
                <w:rFonts w:hint="eastAsia" w:ascii="微软雅黑" w:hAnsi="微软雅黑" w:eastAsia="微软雅黑" w:cs="微软雅黑"/>
                <w:i w:val="0"/>
                <w:iCs w:val="0"/>
                <w:color w:val="000000"/>
                <w:sz w:val="20"/>
                <w:szCs w:val="20"/>
                <w:u w:val="none"/>
              </w:rPr>
            </w:pPr>
          </w:p>
        </w:tc>
      </w:tr>
      <w:tr w14:paraId="304900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B4771A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599501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E3724F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12.广角相机有效像素不少于4800万；</w:t>
            </w:r>
          </w:p>
        </w:tc>
        <w:tc>
          <w:tcPr>
            <w:tcW w:w="349" w:type="pct"/>
            <w:vMerge w:val="continue"/>
            <w:tcBorders>
              <w:tl2br w:val="nil"/>
              <w:tr2bl w:val="nil"/>
            </w:tcBorders>
            <w:noWrap w:val="0"/>
            <w:vAlign w:val="center"/>
          </w:tcPr>
          <w:p w14:paraId="1B2D01C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F17256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C93613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0CED931">
            <w:pPr>
              <w:jc w:val="center"/>
              <w:rPr>
                <w:rFonts w:hint="eastAsia" w:ascii="微软雅黑" w:hAnsi="微软雅黑" w:eastAsia="微软雅黑" w:cs="微软雅黑"/>
                <w:i w:val="0"/>
                <w:iCs w:val="0"/>
                <w:color w:val="000000"/>
                <w:sz w:val="20"/>
                <w:szCs w:val="20"/>
                <w:u w:val="none"/>
              </w:rPr>
            </w:pPr>
          </w:p>
        </w:tc>
      </w:tr>
      <w:tr w14:paraId="5846DE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365D88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DC5CC7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208ADB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13.广角相机视频拍摄分辨率不小于3840 × 2160@30fps；</w:t>
            </w:r>
          </w:p>
        </w:tc>
        <w:tc>
          <w:tcPr>
            <w:tcW w:w="349" w:type="pct"/>
            <w:vMerge w:val="continue"/>
            <w:tcBorders>
              <w:tl2br w:val="nil"/>
              <w:tr2bl w:val="nil"/>
            </w:tcBorders>
            <w:noWrap w:val="0"/>
            <w:vAlign w:val="center"/>
          </w:tcPr>
          <w:p w14:paraId="184C2BD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0AAE9E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6C25F4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CD2ACC4">
            <w:pPr>
              <w:jc w:val="center"/>
              <w:rPr>
                <w:rFonts w:hint="eastAsia" w:ascii="微软雅黑" w:hAnsi="微软雅黑" w:eastAsia="微软雅黑" w:cs="微软雅黑"/>
                <w:i w:val="0"/>
                <w:iCs w:val="0"/>
                <w:color w:val="000000"/>
                <w:sz w:val="20"/>
                <w:szCs w:val="20"/>
                <w:u w:val="none"/>
              </w:rPr>
            </w:pPr>
          </w:p>
        </w:tc>
      </w:tr>
      <w:tr w14:paraId="76C551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183896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8F85C9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569089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14.热成像相机传感器类型为非制冷氧化钒（VOx）微测热辐射计；</w:t>
            </w:r>
          </w:p>
        </w:tc>
        <w:tc>
          <w:tcPr>
            <w:tcW w:w="349" w:type="pct"/>
            <w:vMerge w:val="continue"/>
            <w:tcBorders>
              <w:tl2br w:val="nil"/>
              <w:tr2bl w:val="nil"/>
            </w:tcBorders>
            <w:noWrap w:val="0"/>
            <w:vAlign w:val="center"/>
          </w:tcPr>
          <w:p w14:paraId="7B8AA68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FDB205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7E1A07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7189760">
            <w:pPr>
              <w:jc w:val="center"/>
              <w:rPr>
                <w:rFonts w:hint="eastAsia" w:ascii="微软雅黑" w:hAnsi="微软雅黑" w:eastAsia="微软雅黑" w:cs="微软雅黑"/>
                <w:i w:val="0"/>
                <w:iCs w:val="0"/>
                <w:color w:val="000000"/>
                <w:sz w:val="20"/>
                <w:szCs w:val="20"/>
                <w:u w:val="none"/>
              </w:rPr>
            </w:pPr>
          </w:p>
        </w:tc>
      </w:tr>
      <w:tr w14:paraId="188F91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0E0D03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756FF01">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8A85C8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15.至少支持32倍数字变焦；</w:t>
            </w:r>
          </w:p>
        </w:tc>
        <w:tc>
          <w:tcPr>
            <w:tcW w:w="349" w:type="pct"/>
            <w:vMerge w:val="continue"/>
            <w:tcBorders>
              <w:tl2br w:val="nil"/>
              <w:tr2bl w:val="nil"/>
            </w:tcBorders>
            <w:noWrap w:val="0"/>
            <w:vAlign w:val="center"/>
          </w:tcPr>
          <w:p w14:paraId="1FD56AA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60ABD2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5AB67C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CC45F43">
            <w:pPr>
              <w:jc w:val="center"/>
              <w:rPr>
                <w:rFonts w:hint="eastAsia" w:ascii="微软雅黑" w:hAnsi="微软雅黑" w:eastAsia="微软雅黑" w:cs="微软雅黑"/>
                <w:i w:val="0"/>
                <w:iCs w:val="0"/>
                <w:color w:val="000000"/>
                <w:sz w:val="20"/>
                <w:szCs w:val="20"/>
                <w:u w:val="none"/>
              </w:rPr>
            </w:pPr>
          </w:p>
        </w:tc>
      </w:tr>
      <w:tr w14:paraId="27C8D4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FD1DFD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9B55C3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BF5DDA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16.热成像相机视频拍摄分辨率不小于1280 × 1024@30fps；</w:t>
            </w:r>
          </w:p>
        </w:tc>
        <w:tc>
          <w:tcPr>
            <w:tcW w:w="349" w:type="pct"/>
            <w:vMerge w:val="continue"/>
            <w:tcBorders>
              <w:tl2br w:val="nil"/>
              <w:tr2bl w:val="nil"/>
            </w:tcBorders>
            <w:noWrap w:val="0"/>
            <w:vAlign w:val="center"/>
          </w:tcPr>
          <w:p w14:paraId="7831CD0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2750B7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995274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0AB8337">
            <w:pPr>
              <w:jc w:val="center"/>
              <w:rPr>
                <w:rFonts w:hint="eastAsia" w:ascii="微软雅黑" w:hAnsi="微软雅黑" w:eastAsia="微软雅黑" w:cs="微软雅黑"/>
                <w:i w:val="0"/>
                <w:iCs w:val="0"/>
                <w:color w:val="000000"/>
                <w:sz w:val="20"/>
                <w:szCs w:val="20"/>
                <w:u w:val="none"/>
              </w:rPr>
            </w:pPr>
          </w:p>
        </w:tc>
      </w:tr>
      <w:tr w14:paraId="0B9C13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16587C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056635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14F510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17.测温方式至少支持点测温、区域测温、中心点测温；</w:t>
            </w:r>
          </w:p>
        </w:tc>
        <w:tc>
          <w:tcPr>
            <w:tcW w:w="349" w:type="pct"/>
            <w:vMerge w:val="continue"/>
            <w:tcBorders>
              <w:tl2br w:val="nil"/>
              <w:tr2bl w:val="nil"/>
            </w:tcBorders>
            <w:noWrap w:val="0"/>
            <w:vAlign w:val="center"/>
          </w:tcPr>
          <w:p w14:paraId="4B419EE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FDDA37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3946CA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8BD8136">
            <w:pPr>
              <w:jc w:val="center"/>
              <w:rPr>
                <w:rFonts w:hint="eastAsia" w:ascii="微软雅黑" w:hAnsi="微软雅黑" w:eastAsia="微软雅黑" w:cs="微软雅黑"/>
                <w:i w:val="0"/>
                <w:iCs w:val="0"/>
                <w:color w:val="000000"/>
                <w:sz w:val="20"/>
                <w:szCs w:val="20"/>
                <w:u w:val="none"/>
              </w:rPr>
            </w:pPr>
          </w:p>
        </w:tc>
      </w:tr>
      <w:tr w14:paraId="4DFA7F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8BAF78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A1978E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7D64FB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18.至少支持高温警报功能；</w:t>
            </w:r>
          </w:p>
        </w:tc>
        <w:tc>
          <w:tcPr>
            <w:tcW w:w="349" w:type="pct"/>
            <w:vMerge w:val="continue"/>
            <w:tcBorders>
              <w:tl2br w:val="nil"/>
              <w:tr2bl w:val="nil"/>
            </w:tcBorders>
            <w:noWrap w:val="0"/>
            <w:vAlign w:val="center"/>
          </w:tcPr>
          <w:p w14:paraId="734DDB5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BBE78A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952DF3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E21B82B">
            <w:pPr>
              <w:jc w:val="center"/>
              <w:rPr>
                <w:rFonts w:hint="eastAsia" w:ascii="微软雅黑" w:hAnsi="微软雅黑" w:eastAsia="微软雅黑" w:cs="微软雅黑"/>
                <w:i w:val="0"/>
                <w:iCs w:val="0"/>
                <w:color w:val="000000"/>
                <w:sz w:val="20"/>
                <w:szCs w:val="20"/>
                <w:u w:val="none"/>
              </w:rPr>
            </w:pPr>
          </w:p>
        </w:tc>
      </w:tr>
      <w:tr w14:paraId="29A27A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BC9454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24FD6B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A40F00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19.激光测距仪波长不小于905 nm；</w:t>
            </w:r>
          </w:p>
        </w:tc>
        <w:tc>
          <w:tcPr>
            <w:tcW w:w="349" w:type="pct"/>
            <w:vMerge w:val="continue"/>
            <w:tcBorders>
              <w:tl2br w:val="nil"/>
              <w:tr2bl w:val="nil"/>
            </w:tcBorders>
            <w:noWrap w:val="0"/>
            <w:vAlign w:val="center"/>
          </w:tcPr>
          <w:p w14:paraId="7DD5133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B6245A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189FB2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024D306">
            <w:pPr>
              <w:jc w:val="center"/>
              <w:rPr>
                <w:rFonts w:hint="eastAsia" w:ascii="微软雅黑" w:hAnsi="微软雅黑" w:eastAsia="微软雅黑" w:cs="微软雅黑"/>
                <w:i w:val="0"/>
                <w:iCs w:val="0"/>
                <w:color w:val="000000"/>
                <w:sz w:val="20"/>
                <w:szCs w:val="20"/>
                <w:u w:val="none"/>
              </w:rPr>
            </w:pPr>
          </w:p>
        </w:tc>
      </w:tr>
      <w:tr w14:paraId="6B8876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131CF8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A07B54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AF9BAC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20.激光测距仪测量范围不小于3000 m；</w:t>
            </w:r>
          </w:p>
        </w:tc>
        <w:tc>
          <w:tcPr>
            <w:tcW w:w="349" w:type="pct"/>
            <w:vMerge w:val="continue"/>
            <w:tcBorders>
              <w:tl2br w:val="nil"/>
              <w:tr2bl w:val="nil"/>
            </w:tcBorders>
            <w:noWrap w:val="0"/>
            <w:vAlign w:val="center"/>
          </w:tcPr>
          <w:p w14:paraId="4EF8F81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CC7F52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96ECE8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6881797">
            <w:pPr>
              <w:jc w:val="center"/>
              <w:rPr>
                <w:rFonts w:hint="eastAsia" w:ascii="微软雅黑" w:hAnsi="微软雅黑" w:eastAsia="微软雅黑" w:cs="微软雅黑"/>
                <w:i w:val="0"/>
                <w:iCs w:val="0"/>
                <w:color w:val="000000"/>
                <w:sz w:val="20"/>
                <w:szCs w:val="20"/>
                <w:u w:val="none"/>
              </w:rPr>
            </w:pPr>
          </w:p>
        </w:tc>
      </w:tr>
      <w:tr w14:paraId="5F48F3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676DE9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089ACD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7FDE8D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21.近红外补光灯波长不小于850 nm；</w:t>
            </w:r>
          </w:p>
        </w:tc>
        <w:tc>
          <w:tcPr>
            <w:tcW w:w="349" w:type="pct"/>
            <w:vMerge w:val="continue"/>
            <w:tcBorders>
              <w:tl2br w:val="nil"/>
              <w:tr2bl w:val="nil"/>
            </w:tcBorders>
            <w:noWrap w:val="0"/>
            <w:vAlign w:val="center"/>
          </w:tcPr>
          <w:p w14:paraId="36D06ED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35A1DE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A5C151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35565B3">
            <w:pPr>
              <w:jc w:val="center"/>
              <w:rPr>
                <w:rFonts w:hint="eastAsia" w:ascii="微软雅黑" w:hAnsi="微软雅黑" w:eastAsia="微软雅黑" w:cs="微软雅黑"/>
                <w:i w:val="0"/>
                <w:iCs w:val="0"/>
                <w:color w:val="000000"/>
                <w:sz w:val="20"/>
                <w:szCs w:val="20"/>
                <w:u w:val="none"/>
              </w:rPr>
            </w:pPr>
          </w:p>
        </w:tc>
      </w:tr>
      <w:tr w14:paraId="4EA418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980C32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955385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8D6E64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22.补光区域大小：100 米处：直径≥8 m；</w:t>
            </w:r>
          </w:p>
        </w:tc>
        <w:tc>
          <w:tcPr>
            <w:tcW w:w="349" w:type="pct"/>
            <w:vMerge w:val="continue"/>
            <w:tcBorders>
              <w:tl2br w:val="nil"/>
              <w:tr2bl w:val="nil"/>
            </w:tcBorders>
            <w:noWrap w:val="0"/>
            <w:vAlign w:val="center"/>
          </w:tcPr>
          <w:p w14:paraId="0111354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347C04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B7847C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9B96FDB">
            <w:pPr>
              <w:jc w:val="center"/>
              <w:rPr>
                <w:rFonts w:hint="eastAsia" w:ascii="微软雅黑" w:hAnsi="微软雅黑" w:eastAsia="微软雅黑" w:cs="微软雅黑"/>
                <w:i w:val="0"/>
                <w:iCs w:val="0"/>
                <w:color w:val="000000"/>
                <w:sz w:val="20"/>
                <w:szCs w:val="20"/>
                <w:u w:val="none"/>
              </w:rPr>
            </w:pPr>
          </w:p>
        </w:tc>
      </w:tr>
      <w:tr w14:paraId="50C7A3A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571A8F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702B30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3A2005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23.相机混合光学变焦倍数不少于34倍</w:t>
            </w:r>
          </w:p>
        </w:tc>
        <w:tc>
          <w:tcPr>
            <w:tcW w:w="349" w:type="pct"/>
            <w:vMerge w:val="continue"/>
            <w:tcBorders>
              <w:tl2br w:val="nil"/>
              <w:tr2bl w:val="nil"/>
            </w:tcBorders>
            <w:noWrap w:val="0"/>
            <w:vAlign w:val="center"/>
          </w:tcPr>
          <w:p w14:paraId="79274B5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5F616F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E80896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50360FC">
            <w:pPr>
              <w:jc w:val="center"/>
              <w:rPr>
                <w:rFonts w:hint="eastAsia" w:ascii="微软雅黑" w:hAnsi="微软雅黑" w:eastAsia="微软雅黑" w:cs="微软雅黑"/>
                <w:i w:val="0"/>
                <w:iCs w:val="0"/>
                <w:color w:val="000000"/>
                <w:sz w:val="20"/>
                <w:szCs w:val="20"/>
                <w:u w:val="none"/>
              </w:rPr>
            </w:pPr>
          </w:p>
        </w:tc>
      </w:tr>
      <w:tr w14:paraId="5CD671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A639FF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2D68E8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43CCB7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24.最大变焦倍数不小于400倍；</w:t>
            </w:r>
          </w:p>
        </w:tc>
        <w:tc>
          <w:tcPr>
            <w:tcW w:w="349" w:type="pct"/>
            <w:vMerge w:val="continue"/>
            <w:tcBorders>
              <w:tl2br w:val="nil"/>
              <w:tr2bl w:val="nil"/>
            </w:tcBorders>
            <w:noWrap w:val="0"/>
            <w:vAlign w:val="center"/>
          </w:tcPr>
          <w:p w14:paraId="7627DD8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409DA5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F8C9B5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87DA05C">
            <w:pPr>
              <w:jc w:val="center"/>
              <w:rPr>
                <w:rFonts w:hint="eastAsia" w:ascii="微软雅黑" w:hAnsi="微软雅黑" w:eastAsia="微软雅黑" w:cs="微软雅黑"/>
                <w:i w:val="0"/>
                <w:iCs w:val="0"/>
                <w:color w:val="000000"/>
                <w:sz w:val="20"/>
                <w:szCs w:val="20"/>
                <w:u w:val="none"/>
              </w:rPr>
            </w:pPr>
          </w:p>
        </w:tc>
      </w:tr>
      <w:tr w14:paraId="2A9A62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EDAC7F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BACDD0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5D5549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25.至少支持指点对准、超清矩阵拍照、夜景模式、时间戳水印、智能拍照、视频预录制、红外超分等功能。</w:t>
            </w:r>
          </w:p>
        </w:tc>
        <w:tc>
          <w:tcPr>
            <w:tcW w:w="349" w:type="pct"/>
            <w:vMerge w:val="continue"/>
            <w:tcBorders>
              <w:tl2br w:val="nil"/>
              <w:tr2bl w:val="nil"/>
            </w:tcBorders>
            <w:noWrap w:val="0"/>
            <w:vAlign w:val="center"/>
          </w:tcPr>
          <w:p w14:paraId="2F114D1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4538F9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18C748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F1A8E35">
            <w:pPr>
              <w:jc w:val="center"/>
              <w:rPr>
                <w:rFonts w:hint="eastAsia" w:ascii="微软雅黑" w:hAnsi="微软雅黑" w:eastAsia="微软雅黑" w:cs="微软雅黑"/>
                <w:i w:val="0"/>
                <w:iCs w:val="0"/>
                <w:color w:val="000000"/>
                <w:sz w:val="20"/>
                <w:szCs w:val="20"/>
                <w:u w:val="none"/>
              </w:rPr>
            </w:pPr>
          </w:p>
        </w:tc>
      </w:tr>
      <w:tr w14:paraId="5351B5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2B714DE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422" w:type="pct"/>
            <w:vMerge w:val="restart"/>
            <w:tcBorders>
              <w:tl2br w:val="nil"/>
              <w:tr2bl w:val="nil"/>
            </w:tcBorders>
            <w:noWrap w:val="0"/>
            <w:vAlign w:val="center"/>
          </w:tcPr>
          <w:p w14:paraId="02979BD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机载计算机模块</w:t>
            </w:r>
          </w:p>
        </w:tc>
        <w:tc>
          <w:tcPr>
            <w:tcW w:w="2949" w:type="pct"/>
            <w:tcBorders>
              <w:tl2br w:val="nil"/>
              <w:tr2bl w:val="nil"/>
            </w:tcBorders>
            <w:noWrap w:val="0"/>
            <w:vAlign w:val="center"/>
          </w:tcPr>
          <w:p w14:paraId="76B34A2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机载计算机模块</w:t>
            </w:r>
          </w:p>
        </w:tc>
        <w:tc>
          <w:tcPr>
            <w:tcW w:w="349" w:type="pct"/>
            <w:vMerge w:val="restart"/>
            <w:tcBorders>
              <w:tl2br w:val="nil"/>
              <w:tr2bl w:val="nil"/>
            </w:tcBorders>
            <w:noWrap w:val="0"/>
            <w:vAlign w:val="center"/>
          </w:tcPr>
          <w:p w14:paraId="4904752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13ACF24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0954D1B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643006C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139E69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D0082B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62788B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82C563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1.重量：≤400g；</w:t>
            </w:r>
          </w:p>
        </w:tc>
        <w:tc>
          <w:tcPr>
            <w:tcW w:w="349" w:type="pct"/>
            <w:vMerge w:val="continue"/>
            <w:tcBorders>
              <w:tl2br w:val="nil"/>
              <w:tr2bl w:val="nil"/>
            </w:tcBorders>
            <w:noWrap w:val="0"/>
            <w:vAlign w:val="center"/>
          </w:tcPr>
          <w:p w14:paraId="767FF97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B35511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3343A5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826977D">
            <w:pPr>
              <w:jc w:val="center"/>
              <w:rPr>
                <w:rFonts w:hint="eastAsia" w:ascii="微软雅黑" w:hAnsi="微软雅黑" w:eastAsia="微软雅黑" w:cs="微软雅黑"/>
                <w:i w:val="0"/>
                <w:iCs w:val="0"/>
                <w:color w:val="000000"/>
                <w:sz w:val="20"/>
                <w:szCs w:val="20"/>
                <w:u w:val="none"/>
              </w:rPr>
            </w:pPr>
          </w:p>
        </w:tc>
      </w:tr>
      <w:tr w14:paraId="4D5B55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EEF047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40623A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F13303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2.AI性能：≥21TOPS；</w:t>
            </w:r>
          </w:p>
        </w:tc>
        <w:tc>
          <w:tcPr>
            <w:tcW w:w="349" w:type="pct"/>
            <w:vMerge w:val="continue"/>
            <w:tcBorders>
              <w:tl2br w:val="nil"/>
              <w:tr2bl w:val="nil"/>
            </w:tcBorders>
            <w:noWrap w:val="0"/>
            <w:vAlign w:val="center"/>
          </w:tcPr>
          <w:p w14:paraId="4E1C7E3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52533E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042ED5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FB290AC">
            <w:pPr>
              <w:jc w:val="center"/>
              <w:rPr>
                <w:rFonts w:hint="eastAsia" w:ascii="微软雅黑" w:hAnsi="微软雅黑" w:eastAsia="微软雅黑" w:cs="微软雅黑"/>
                <w:i w:val="0"/>
                <w:iCs w:val="0"/>
                <w:color w:val="000000"/>
                <w:sz w:val="20"/>
                <w:szCs w:val="20"/>
                <w:u w:val="none"/>
              </w:rPr>
            </w:pPr>
          </w:p>
        </w:tc>
      </w:tr>
      <w:tr w14:paraId="6FDDD2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AA7E55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8BD438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E75F17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3.最大抗风等级：≥6级；</w:t>
            </w:r>
          </w:p>
        </w:tc>
        <w:tc>
          <w:tcPr>
            <w:tcW w:w="349" w:type="pct"/>
            <w:vMerge w:val="continue"/>
            <w:tcBorders>
              <w:tl2br w:val="nil"/>
              <w:tr2bl w:val="nil"/>
            </w:tcBorders>
            <w:noWrap w:val="0"/>
            <w:vAlign w:val="center"/>
          </w:tcPr>
          <w:p w14:paraId="181270D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5ACFED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3BC712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47A2970">
            <w:pPr>
              <w:jc w:val="center"/>
              <w:rPr>
                <w:rFonts w:hint="eastAsia" w:ascii="微软雅黑" w:hAnsi="微软雅黑" w:eastAsia="微软雅黑" w:cs="微软雅黑"/>
                <w:i w:val="0"/>
                <w:iCs w:val="0"/>
                <w:color w:val="000000"/>
                <w:sz w:val="20"/>
                <w:szCs w:val="20"/>
                <w:u w:val="none"/>
              </w:rPr>
            </w:pPr>
          </w:p>
        </w:tc>
      </w:tr>
      <w:tr w14:paraId="4E8B65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35F83E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CCE36B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C0D6DB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4.内存：≥8GB 128位 LPDDR4；</w:t>
            </w:r>
          </w:p>
        </w:tc>
        <w:tc>
          <w:tcPr>
            <w:tcW w:w="349" w:type="pct"/>
            <w:vMerge w:val="continue"/>
            <w:tcBorders>
              <w:tl2br w:val="nil"/>
              <w:tr2bl w:val="nil"/>
            </w:tcBorders>
            <w:noWrap w:val="0"/>
            <w:vAlign w:val="center"/>
          </w:tcPr>
          <w:p w14:paraId="36FDDDA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1E9D62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CA8B47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7AE129E">
            <w:pPr>
              <w:jc w:val="center"/>
              <w:rPr>
                <w:rFonts w:hint="eastAsia" w:ascii="微软雅黑" w:hAnsi="微软雅黑" w:eastAsia="微软雅黑" w:cs="微软雅黑"/>
                <w:i w:val="0"/>
                <w:iCs w:val="0"/>
                <w:color w:val="000000"/>
                <w:sz w:val="20"/>
                <w:szCs w:val="20"/>
                <w:u w:val="none"/>
              </w:rPr>
            </w:pPr>
          </w:p>
        </w:tc>
      </w:tr>
      <w:tr w14:paraId="229D42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C27970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918B3E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676E57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5.功率：5-25W之间；</w:t>
            </w:r>
          </w:p>
        </w:tc>
        <w:tc>
          <w:tcPr>
            <w:tcW w:w="349" w:type="pct"/>
            <w:vMerge w:val="continue"/>
            <w:tcBorders>
              <w:tl2br w:val="nil"/>
              <w:tr2bl w:val="nil"/>
            </w:tcBorders>
            <w:noWrap w:val="0"/>
            <w:vAlign w:val="center"/>
          </w:tcPr>
          <w:p w14:paraId="24A8F3E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3AC494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4DFB7D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6316A11">
            <w:pPr>
              <w:jc w:val="center"/>
              <w:rPr>
                <w:rFonts w:hint="eastAsia" w:ascii="微软雅黑" w:hAnsi="微软雅黑" w:eastAsia="微软雅黑" w:cs="微软雅黑"/>
                <w:i w:val="0"/>
                <w:iCs w:val="0"/>
                <w:color w:val="000000"/>
                <w:sz w:val="20"/>
                <w:szCs w:val="20"/>
                <w:u w:val="none"/>
              </w:rPr>
            </w:pPr>
          </w:p>
        </w:tc>
      </w:tr>
      <w:tr w14:paraId="088C73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217FC0F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57C450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A3ABDD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6.机载计算机预安装Icrest2SDK1.0；Jetpack4.5.1； Ubuntu18.04；CUDA10.2；OpenCV4.1；ROS；CMake；Git；Htop Terminator；Eigen；Ceres等基础SDK开发软件；（供应商提供预安装软件截图）</w:t>
            </w:r>
          </w:p>
        </w:tc>
        <w:tc>
          <w:tcPr>
            <w:tcW w:w="349" w:type="pct"/>
            <w:vMerge w:val="continue"/>
            <w:tcBorders>
              <w:tl2br w:val="nil"/>
              <w:tr2bl w:val="nil"/>
            </w:tcBorders>
            <w:noWrap w:val="0"/>
            <w:vAlign w:val="center"/>
          </w:tcPr>
          <w:p w14:paraId="6467337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7C5F86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EE38E8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2E05DBF">
            <w:pPr>
              <w:jc w:val="center"/>
              <w:rPr>
                <w:rFonts w:hint="eastAsia" w:ascii="微软雅黑" w:hAnsi="微软雅黑" w:eastAsia="微软雅黑" w:cs="微软雅黑"/>
                <w:i w:val="0"/>
                <w:iCs w:val="0"/>
                <w:color w:val="000000"/>
                <w:sz w:val="20"/>
                <w:szCs w:val="20"/>
                <w:u w:val="none"/>
              </w:rPr>
            </w:pPr>
          </w:p>
        </w:tc>
      </w:tr>
      <w:tr w14:paraId="149437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6FFC6D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4B563A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2B8F5C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r>
              <w:rPr>
                <w:rFonts w:hint="eastAsia" w:ascii="微软雅黑" w:hAnsi="微软雅黑" w:eastAsia="微软雅黑" w:cs="微软雅黑"/>
                <w:i w:val="0"/>
                <w:iCs w:val="0"/>
                <w:color w:val="000000"/>
                <w:kern w:val="0"/>
                <w:sz w:val="20"/>
                <w:szCs w:val="20"/>
                <w:highlight w:val="yellow"/>
                <w:u w:val="none"/>
                <w:lang w:val="en-US" w:eastAsia="zh-CN" w:bidi="ar"/>
              </w:rPr>
              <w:t>.I/O接口：USB2.0及以上不少于两个，UART接口不少于一个，HDMI接口不少于一个；</w:t>
            </w:r>
          </w:p>
        </w:tc>
        <w:tc>
          <w:tcPr>
            <w:tcW w:w="349" w:type="pct"/>
            <w:vMerge w:val="continue"/>
            <w:tcBorders>
              <w:tl2br w:val="nil"/>
              <w:tr2bl w:val="nil"/>
            </w:tcBorders>
            <w:noWrap w:val="0"/>
            <w:vAlign w:val="center"/>
          </w:tcPr>
          <w:p w14:paraId="2C8FB38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99B55E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9472C8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8CC68A3">
            <w:pPr>
              <w:jc w:val="center"/>
              <w:rPr>
                <w:rFonts w:hint="eastAsia" w:ascii="微软雅黑" w:hAnsi="微软雅黑" w:eastAsia="微软雅黑" w:cs="微软雅黑"/>
                <w:i w:val="0"/>
                <w:iCs w:val="0"/>
                <w:color w:val="000000"/>
                <w:sz w:val="20"/>
                <w:szCs w:val="20"/>
                <w:u w:val="none"/>
              </w:rPr>
            </w:pPr>
          </w:p>
        </w:tc>
      </w:tr>
      <w:tr w14:paraId="1F95E2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7AE39D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CFC6E5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1A8DC0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8.防护等级：IP45；</w:t>
            </w:r>
          </w:p>
        </w:tc>
        <w:tc>
          <w:tcPr>
            <w:tcW w:w="349" w:type="pct"/>
            <w:vMerge w:val="continue"/>
            <w:tcBorders>
              <w:tl2br w:val="nil"/>
              <w:tr2bl w:val="nil"/>
            </w:tcBorders>
            <w:noWrap w:val="0"/>
            <w:vAlign w:val="center"/>
          </w:tcPr>
          <w:p w14:paraId="0B9FC5E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65642E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BD1229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1F17F12">
            <w:pPr>
              <w:jc w:val="center"/>
              <w:rPr>
                <w:rFonts w:hint="eastAsia" w:ascii="微软雅黑" w:hAnsi="微软雅黑" w:eastAsia="微软雅黑" w:cs="微软雅黑"/>
                <w:i w:val="0"/>
                <w:iCs w:val="0"/>
                <w:color w:val="000000"/>
                <w:sz w:val="20"/>
                <w:szCs w:val="20"/>
                <w:u w:val="none"/>
              </w:rPr>
            </w:pPr>
          </w:p>
        </w:tc>
      </w:tr>
      <w:tr w14:paraId="00A364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6ABF66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F4A7DE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9E9F6E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▲9.机载计算机模块能够搭载在工业级典型场景应用平台上使用；（供应商提供搭载连接后的安装截图及连通功能截图）</w:t>
            </w:r>
          </w:p>
        </w:tc>
        <w:tc>
          <w:tcPr>
            <w:tcW w:w="349" w:type="pct"/>
            <w:vMerge w:val="continue"/>
            <w:tcBorders>
              <w:tl2br w:val="nil"/>
              <w:tr2bl w:val="nil"/>
            </w:tcBorders>
            <w:noWrap w:val="0"/>
            <w:vAlign w:val="center"/>
          </w:tcPr>
          <w:p w14:paraId="590068E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FCB1C9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E13794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292E977">
            <w:pPr>
              <w:jc w:val="center"/>
              <w:rPr>
                <w:rFonts w:hint="eastAsia" w:ascii="微软雅黑" w:hAnsi="微软雅黑" w:eastAsia="微软雅黑" w:cs="微软雅黑"/>
                <w:i w:val="0"/>
                <w:iCs w:val="0"/>
                <w:color w:val="000000"/>
                <w:sz w:val="20"/>
                <w:szCs w:val="20"/>
                <w:u w:val="none"/>
              </w:rPr>
            </w:pPr>
          </w:p>
        </w:tc>
      </w:tr>
      <w:tr w14:paraId="370829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5AED2A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446AD7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9A16BD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▲10.通过机载计算机模块完成AI模型训练，具备较高识别准确性，训练完成后能够生成pt和onnx等格式模型文件；（供应商提供模型文件截图证明）</w:t>
            </w:r>
          </w:p>
        </w:tc>
        <w:tc>
          <w:tcPr>
            <w:tcW w:w="349" w:type="pct"/>
            <w:vMerge w:val="continue"/>
            <w:tcBorders>
              <w:tl2br w:val="nil"/>
              <w:tr2bl w:val="nil"/>
            </w:tcBorders>
            <w:noWrap w:val="0"/>
            <w:vAlign w:val="center"/>
          </w:tcPr>
          <w:p w14:paraId="65BE840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EF99B6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FB9471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94E38C6">
            <w:pPr>
              <w:jc w:val="center"/>
              <w:rPr>
                <w:rFonts w:hint="eastAsia" w:ascii="微软雅黑" w:hAnsi="微软雅黑" w:eastAsia="微软雅黑" w:cs="微软雅黑"/>
                <w:i w:val="0"/>
                <w:iCs w:val="0"/>
                <w:color w:val="000000"/>
                <w:sz w:val="20"/>
                <w:szCs w:val="20"/>
                <w:u w:val="none"/>
              </w:rPr>
            </w:pPr>
          </w:p>
        </w:tc>
      </w:tr>
      <w:tr w14:paraId="3CBCA3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42E6F2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EF46E3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CB9744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11.机载计算机模块内的模型机相关运行数据支持导出；</w:t>
            </w:r>
          </w:p>
        </w:tc>
        <w:tc>
          <w:tcPr>
            <w:tcW w:w="349" w:type="pct"/>
            <w:vMerge w:val="continue"/>
            <w:tcBorders>
              <w:tl2br w:val="nil"/>
              <w:tr2bl w:val="nil"/>
            </w:tcBorders>
            <w:noWrap w:val="0"/>
            <w:vAlign w:val="center"/>
          </w:tcPr>
          <w:p w14:paraId="07DB606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8534AB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F0A141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B48B603">
            <w:pPr>
              <w:jc w:val="center"/>
              <w:rPr>
                <w:rFonts w:hint="eastAsia" w:ascii="微软雅黑" w:hAnsi="微软雅黑" w:eastAsia="微软雅黑" w:cs="微软雅黑"/>
                <w:i w:val="0"/>
                <w:iCs w:val="0"/>
                <w:color w:val="000000"/>
                <w:sz w:val="20"/>
                <w:szCs w:val="20"/>
                <w:u w:val="none"/>
              </w:rPr>
            </w:pPr>
          </w:p>
        </w:tc>
      </w:tr>
      <w:tr w14:paraId="547DAF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AEB81C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900AD0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B934D6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12.机载计算机模块能够实现通过代码程序运行控制工业级典型场景应用平台完成针对目标点的自动识别锁定并自动多角度拍照功能；</w:t>
            </w:r>
          </w:p>
        </w:tc>
        <w:tc>
          <w:tcPr>
            <w:tcW w:w="349" w:type="pct"/>
            <w:vMerge w:val="continue"/>
            <w:tcBorders>
              <w:tl2br w:val="nil"/>
              <w:tr2bl w:val="nil"/>
            </w:tcBorders>
            <w:noWrap w:val="0"/>
            <w:vAlign w:val="center"/>
          </w:tcPr>
          <w:p w14:paraId="5E1295D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7CECC8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1FC151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AD7A31C">
            <w:pPr>
              <w:jc w:val="center"/>
              <w:rPr>
                <w:rFonts w:hint="eastAsia" w:ascii="微软雅黑" w:hAnsi="微软雅黑" w:eastAsia="微软雅黑" w:cs="微软雅黑"/>
                <w:i w:val="0"/>
                <w:iCs w:val="0"/>
                <w:color w:val="000000"/>
                <w:sz w:val="20"/>
                <w:szCs w:val="20"/>
                <w:u w:val="none"/>
              </w:rPr>
            </w:pPr>
          </w:p>
        </w:tc>
      </w:tr>
      <w:tr w14:paraId="45DD69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654B9A3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E77584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942068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13.机载计算机模块能够通过修改相关代码实现云台锁定控制开关功能、识别后拍照数量设置功能、图像解码开关功能、图像识别开关功能、相机拍照控制开关功能、飞行速度设置功能。</w:t>
            </w:r>
          </w:p>
        </w:tc>
        <w:tc>
          <w:tcPr>
            <w:tcW w:w="349" w:type="pct"/>
            <w:vMerge w:val="continue"/>
            <w:tcBorders>
              <w:tl2br w:val="nil"/>
              <w:tr2bl w:val="nil"/>
            </w:tcBorders>
            <w:noWrap w:val="0"/>
            <w:vAlign w:val="center"/>
          </w:tcPr>
          <w:p w14:paraId="4D37ED7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EEE7EA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7D91A1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CA25C8E">
            <w:pPr>
              <w:jc w:val="center"/>
              <w:rPr>
                <w:rFonts w:hint="eastAsia" w:ascii="微软雅黑" w:hAnsi="微软雅黑" w:eastAsia="微软雅黑" w:cs="微软雅黑"/>
                <w:i w:val="0"/>
                <w:iCs w:val="0"/>
                <w:color w:val="000000"/>
                <w:sz w:val="20"/>
                <w:szCs w:val="20"/>
                <w:u w:val="none"/>
              </w:rPr>
            </w:pPr>
          </w:p>
        </w:tc>
      </w:tr>
      <w:tr w14:paraId="2DB2F1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1AB3DC3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422" w:type="pct"/>
            <w:vMerge w:val="restart"/>
            <w:tcBorders>
              <w:tl2br w:val="nil"/>
              <w:tr2bl w:val="nil"/>
            </w:tcBorders>
            <w:noWrap w:val="0"/>
            <w:vAlign w:val="center"/>
          </w:tcPr>
          <w:p w14:paraId="2E04369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负载套件</w:t>
            </w:r>
          </w:p>
        </w:tc>
        <w:tc>
          <w:tcPr>
            <w:tcW w:w="2949" w:type="pct"/>
            <w:tcBorders>
              <w:tl2br w:val="nil"/>
              <w:tr2bl w:val="nil"/>
            </w:tcBorders>
            <w:noWrap w:val="0"/>
            <w:vAlign w:val="center"/>
          </w:tcPr>
          <w:p w14:paraId="31CCC7D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一、物流抓取任务套件</w:t>
            </w:r>
          </w:p>
        </w:tc>
        <w:tc>
          <w:tcPr>
            <w:tcW w:w="349" w:type="pct"/>
            <w:vMerge w:val="restart"/>
            <w:tcBorders>
              <w:tl2br w:val="nil"/>
              <w:tr2bl w:val="nil"/>
            </w:tcBorders>
            <w:noWrap w:val="0"/>
            <w:vAlign w:val="center"/>
          </w:tcPr>
          <w:p w14:paraId="2E4178D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301ED48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48C966C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2B8179E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533446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9F227D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58A5A3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93E84A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1.材质：硬质铝合金；</w:t>
            </w:r>
          </w:p>
        </w:tc>
        <w:tc>
          <w:tcPr>
            <w:tcW w:w="349" w:type="pct"/>
            <w:vMerge w:val="continue"/>
            <w:tcBorders>
              <w:tl2br w:val="nil"/>
              <w:tr2bl w:val="nil"/>
            </w:tcBorders>
            <w:noWrap w:val="0"/>
            <w:vAlign w:val="center"/>
          </w:tcPr>
          <w:p w14:paraId="4FCEB21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2BF891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FF248F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E2FDFB4">
            <w:pPr>
              <w:jc w:val="center"/>
              <w:rPr>
                <w:rFonts w:hint="eastAsia" w:ascii="微软雅黑" w:hAnsi="微软雅黑" w:eastAsia="微软雅黑" w:cs="微软雅黑"/>
                <w:i w:val="0"/>
                <w:iCs w:val="0"/>
                <w:color w:val="000000"/>
                <w:sz w:val="20"/>
                <w:szCs w:val="20"/>
                <w:u w:val="none"/>
              </w:rPr>
            </w:pPr>
          </w:p>
        </w:tc>
      </w:tr>
      <w:tr w14:paraId="399A29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EEE129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80D36F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D637A5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2.结构：抓取机构；</w:t>
            </w:r>
          </w:p>
        </w:tc>
        <w:tc>
          <w:tcPr>
            <w:tcW w:w="349" w:type="pct"/>
            <w:vMerge w:val="continue"/>
            <w:tcBorders>
              <w:tl2br w:val="nil"/>
              <w:tr2bl w:val="nil"/>
            </w:tcBorders>
            <w:noWrap w:val="0"/>
            <w:vAlign w:val="center"/>
          </w:tcPr>
          <w:p w14:paraId="534CCE3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DA2EA4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7EF043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C4D0D66">
            <w:pPr>
              <w:jc w:val="center"/>
              <w:rPr>
                <w:rFonts w:hint="eastAsia" w:ascii="微软雅黑" w:hAnsi="微软雅黑" w:eastAsia="微软雅黑" w:cs="微软雅黑"/>
                <w:i w:val="0"/>
                <w:iCs w:val="0"/>
                <w:color w:val="000000"/>
                <w:sz w:val="20"/>
                <w:szCs w:val="20"/>
                <w:u w:val="none"/>
              </w:rPr>
            </w:pPr>
          </w:p>
        </w:tc>
      </w:tr>
      <w:tr w14:paraId="6220CF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E24DF8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096193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EE1A63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3.重量：≥135g</w:t>
            </w:r>
            <w:r>
              <w:rPr>
                <w:rFonts w:hint="eastAsia" w:ascii="微软雅黑" w:hAnsi="微软雅黑" w:eastAsia="微软雅黑" w:cs="微软雅黑"/>
                <w:i w:val="0"/>
                <w:iCs w:val="0"/>
                <w:color w:val="000000"/>
                <w:kern w:val="0"/>
                <w:sz w:val="20"/>
                <w:szCs w:val="20"/>
                <w:u w:val="none"/>
                <w:lang w:val="en-US" w:eastAsia="zh-CN" w:bidi="ar"/>
              </w:rPr>
              <w:t>；</w:t>
            </w:r>
          </w:p>
        </w:tc>
        <w:tc>
          <w:tcPr>
            <w:tcW w:w="349" w:type="pct"/>
            <w:vMerge w:val="continue"/>
            <w:tcBorders>
              <w:tl2br w:val="nil"/>
              <w:tr2bl w:val="nil"/>
            </w:tcBorders>
            <w:noWrap w:val="0"/>
            <w:vAlign w:val="center"/>
          </w:tcPr>
          <w:p w14:paraId="40ECCB5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2603D9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833960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8D423BC">
            <w:pPr>
              <w:jc w:val="center"/>
              <w:rPr>
                <w:rFonts w:hint="eastAsia" w:ascii="微软雅黑" w:hAnsi="微软雅黑" w:eastAsia="微软雅黑" w:cs="微软雅黑"/>
                <w:i w:val="0"/>
                <w:iCs w:val="0"/>
                <w:color w:val="000000"/>
                <w:sz w:val="20"/>
                <w:szCs w:val="20"/>
                <w:u w:val="none"/>
              </w:rPr>
            </w:pPr>
          </w:p>
        </w:tc>
      </w:tr>
      <w:tr w14:paraId="77C5D6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485E34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71AFB8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0A6109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4.控制方式：至少支持PWM；</w:t>
            </w:r>
          </w:p>
        </w:tc>
        <w:tc>
          <w:tcPr>
            <w:tcW w:w="349" w:type="pct"/>
            <w:vMerge w:val="continue"/>
            <w:tcBorders>
              <w:tl2br w:val="nil"/>
              <w:tr2bl w:val="nil"/>
            </w:tcBorders>
            <w:noWrap w:val="0"/>
            <w:vAlign w:val="center"/>
          </w:tcPr>
          <w:p w14:paraId="307D3EE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F792A2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CEDD72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BCD7387">
            <w:pPr>
              <w:jc w:val="center"/>
              <w:rPr>
                <w:rFonts w:hint="eastAsia" w:ascii="微软雅黑" w:hAnsi="微软雅黑" w:eastAsia="微软雅黑" w:cs="微软雅黑"/>
                <w:i w:val="0"/>
                <w:iCs w:val="0"/>
                <w:color w:val="000000"/>
                <w:sz w:val="20"/>
                <w:szCs w:val="20"/>
                <w:u w:val="none"/>
              </w:rPr>
            </w:pPr>
          </w:p>
        </w:tc>
      </w:tr>
      <w:tr w14:paraId="3138E9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2EF0EA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99624B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4B387C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二、抛投任务套件</w:t>
            </w:r>
          </w:p>
        </w:tc>
        <w:tc>
          <w:tcPr>
            <w:tcW w:w="349" w:type="pct"/>
            <w:vMerge w:val="continue"/>
            <w:tcBorders>
              <w:tl2br w:val="nil"/>
              <w:tr2bl w:val="nil"/>
            </w:tcBorders>
            <w:noWrap w:val="0"/>
            <w:vAlign w:val="center"/>
          </w:tcPr>
          <w:p w14:paraId="0E84B0A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67F4E1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314FE2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EBE3A20">
            <w:pPr>
              <w:jc w:val="center"/>
              <w:rPr>
                <w:rFonts w:hint="eastAsia" w:ascii="微软雅黑" w:hAnsi="微软雅黑" w:eastAsia="微软雅黑" w:cs="微软雅黑"/>
                <w:i w:val="0"/>
                <w:iCs w:val="0"/>
                <w:color w:val="000000"/>
                <w:sz w:val="20"/>
                <w:szCs w:val="20"/>
                <w:u w:val="none"/>
              </w:rPr>
            </w:pPr>
          </w:p>
        </w:tc>
      </w:tr>
      <w:tr w14:paraId="5463A7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F9B23E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9ACB9E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C8310B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1.材质：硬质铝合金；</w:t>
            </w:r>
          </w:p>
        </w:tc>
        <w:tc>
          <w:tcPr>
            <w:tcW w:w="349" w:type="pct"/>
            <w:vMerge w:val="continue"/>
            <w:tcBorders>
              <w:tl2br w:val="nil"/>
              <w:tr2bl w:val="nil"/>
            </w:tcBorders>
            <w:noWrap w:val="0"/>
            <w:vAlign w:val="center"/>
          </w:tcPr>
          <w:p w14:paraId="20155BF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4F5777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94439B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D177367">
            <w:pPr>
              <w:jc w:val="center"/>
              <w:rPr>
                <w:rFonts w:hint="eastAsia" w:ascii="微软雅黑" w:hAnsi="微软雅黑" w:eastAsia="微软雅黑" w:cs="微软雅黑"/>
                <w:i w:val="0"/>
                <w:iCs w:val="0"/>
                <w:color w:val="000000"/>
                <w:sz w:val="20"/>
                <w:szCs w:val="20"/>
                <w:u w:val="none"/>
              </w:rPr>
            </w:pPr>
          </w:p>
        </w:tc>
      </w:tr>
      <w:tr w14:paraId="301092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6FB5D0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E85DAC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8691A5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2.结构：投放机构；</w:t>
            </w:r>
          </w:p>
        </w:tc>
        <w:tc>
          <w:tcPr>
            <w:tcW w:w="349" w:type="pct"/>
            <w:vMerge w:val="continue"/>
            <w:tcBorders>
              <w:tl2br w:val="nil"/>
              <w:tr2bl w:val="nil"/>
            </w:tcBorders>
            <w:noWrap w:val="0"/>
            <w:vAlign w:val="center"/>
          </w:tcPr>
          <w:p w14:paraId="45BD0C1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DD4539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DA8E5D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CE23A86">
            <w:pPr>
              <w:jc w:val="center"/>
              <w:rPr>
                <w:rFonts w:hint="eastAsia" w:ascii="微软雅黑" w:hAnsi="微软雅黑" w:eastAsia="微软雅黑" w:cs="微软雅黑"/>
                <w:i w:val="0"/>
                <w:iCs w:val="0"/>
                <w:color w:val="000000"/>
                <w:sz w:val="20"/>
                <w:szCs w:val="20"/>
                <w:u w:val="none"/>
              </w:rPr>
            </w:pPr>
          </w:p>
        </w:tc>
      </w:tr>
      <w:tr w14:paraId="6707A0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AEB9F5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E3933C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D7E18B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3.重量：</w:t>
            </w:r>
            <w:r>
              <w:rPr>
                <w:rFonts w:hint="eastAsia" w:ascii="微软雅黑" w:hAnsi="微软雅黑" w:eastAsia="微软雅黑" w:cs="微软雅黑"/>
                <w:i w:val="0"/>
                <w:iCs w:val="0"/>
                <w:color w:val="000000"/>
                <w:kern w:val="0"/>
                <w:sz w:val="20"/>
                <w:szCs w:val="20"/>
                <w:highlight w:val="yellow"/>
                <w:u w:val="none"/>
                <w:lang w:val="en-US" w:eastAsia="zh-CN" w:bidi="ar"/>
              </w:rPr>
              <w:t>≥95g</w:t>
            </w:r>
            <w:r>
              <w:rPr>
                <w:rFonts w:hint="eastAsia" w:ascii="微软雅黑" w:hAnsi="微软雅黑" w:eastAsia="微软雅黑" w:cs="微软雅黑"/>
                <w:i w:val="0"/>
                <w:iCs w:val="0"/>
                <w:color w:val="000000"/>
                <w:kern w:val="0"/>
                <w:sz w:val="20"/>
                <w:szCs w:val="20"/>
                <w:u w:val="none"/>
                <w:lang w:val="en-US" w:eastAsia="zh-CN" w:bidi="ar"/>
              </w:rPr>
              <w:t>；</w:t>
            </w:r>
          </w:p>
        </w:tc>
        <w:tc>
          <w:tcPr>
            <w:tcW w:w="349" w:type="pct"/>
            <w:vMerge w:val="continue"/>
            <w:tcBorders>
              <w:tl2br w:val="nil"/>
              <w:tr2bl w:val="nil"/>
            </w:tcBorders>
            <w:noWrap w:val="0"/>
            <w:vAlign w:val="center"/>
          </w:tcPr>
          <w:p w14:paraId="1076DCF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238D32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913F62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EA8AA38">
            <w:pPr>
              <w:jc w:val="center"/>
              <w:rPr>
                <w:rFonts w:hint="eastAsia" w:ascii="微软雅黑" w:hAnsi="微软雅黑" w:eastAsia="微软雅黑" w:cs="微软雅黑"/>
                <w:i w:val="0"/>
                <w:iCs w:val="0"/>
                <w:color w:val="000000"/>
                <w:sz w:val="20"/>
                <w:szCs w:val="20"/>
                <w:u w:val="none"/>
              </w:rPr>
            </w:pPr>
          </w:p>
        </w:tc>
      </w:tr>
      <w:tr w14:paraId="688CCA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C20C9B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14F07E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91426D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4.控制方式：至少支持PWM；</w:t>
            </w:r>
          </w:p>
        </w:tc>
        <w:tc>
          <w:tcPr>
            <w:tcW w:w="349" w:type="pct"/>
            <w:vMerge w:val="continue"/>
            <w:tcBorders>
              <w:tl2br w:val="nil"/>
              <w:tr2bl w:val="nil"/>
            </w:tcBorders>
            <w:noWrap w:val="0"/>
            <w:vAlign w:val="center"/>
          </w:tcPr>
          <w:p w14:paraId="42372BB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913954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5A82C9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E046B21">
            <w:pPr>
              <w:jc w:val="center"/>
              <w:rPr>
                <w:rFonts w:hint="eastAsia" w:ascii="微软雅黑" w:hAnsi="微软雅黑" w:eastAsia="微软雅黑" w:cs="微软雅黑"/>
                <w:i w:val="0"/>
                <w:iCs w:val="0"/>
                <w:color w:val="000000"/>
                <w:sz w:val="20"/>
                <w:szCs w:val="20"/>
                <w:u w:val="none"/>
              </w:rPr>
            </w:pPr>
          </w:p>
        </w:tc>
      </w:tr>
      <w:tr w14:paraId="425B36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E0AA2F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CBB427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4B5F88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三、航拍任务套件</w:t>
            </w:r>
          </w:p>
        </w:tc>
        <w:tc>
          <w:tcPr>
            <w:tcW w:w="349" w:type="pct"/>
            <w:vMerge w:val="continue"/>
            <w:tcBorders>
              <w:tl2br w:val="nil"/>
              <w:tr2bl w:val="nil"/>
            </w:tcBorders>
            <w:noWrap w:val="0"/>
            <w:vAlign w:val="center"/>
          </w:tcPr>
          <w:p w14:paraId="44AF6C8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B97FA3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26FDF6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909B4A8">
            <w:pPr>
              <w:jc w:val="center"/>
              <w:rPr>
                <w:rFonts w:hint="eastAsia" w:ascii="微软雅黑" w:hAnsi="微软雅黑" w:eastAsia="微软雅黑" w:cs="微软雅黑"/>
                <w:i w:val="0"/>
                <w:iCs w:val="0"/>
                <w:color w:val="000000"/>
                <w:sz w:val="20"/>
                <w:szCs w:val="20"/>
                <w:u w:val="none"/>
              </w:rPr>
            </w:pPr>
          </w:p>
        </w:tc>
      </w:tr>
      <w:tr w14:paraId="324364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677B755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2A23C2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B6FFE3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1.云台处理器至少搭载32位ARM运算芯片、板载陀螺仪、加速器传感器；至少支持7通道PWM/Sum输入/输出；至少包含3个AUX接口；至少支持红外led接口、S-Bus。</w:t>
            </w:r>
          </w:p>
        </w:tc>
        <w:tc>
          <w:tcPr>
            <w:tcW w:w="349" w:type="pct"/>
            <w:vMerge w:val="continue"/>
            <w:tcBorders>
              <w:tl2br w:val="nil"/>
              <w:tr2bl w:val="nil"/>
            </w:tcBorders>
            <w:noWrap w:val="0"/>
            <w:vAlign w:val="center"/>
          </w:tcPr>
          <w:p w14:paraId="128D0EE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5E88EE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DF7253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6BDA71B">
            <w:pPr>
              <w:jc w:val="center"/>
              <w:rPr>
                <w:rFonts w:hint="eastAsia" w:ascii="微软雅黑" w:hAnsi="微软雅黑" w:eastAsia="微软雅黑" w:cs="微软雅黑"/>
                <w:i w:val="0"/>
                <w:iCs w:val="0"/>
                <w:color w:val="000000"/>
                <w:sz w:val="20"/>
                <w:szCs w:val="20"/>
                <w:u w:val="none"/>
              </w:rPr>
            </w:pPr>
          </w:p>
        </w:tc>
      </w:tr>
      <w:tr w14:paraId="73A6F8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3DC3782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7EA6F8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994448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2.图像拍照分辨率：16M/14M/12M/8.3M/5M/3M；至少支持AV/HD输出；最大支持SD卡内存：≥64G；压缩格式：至少可支持H.264；光圈至少可达到F/2.8；角度至少可达到170度。</w:t>
            </w:r>
          </w:p>
        </w:tc>
        <w:tc>
          <w:tcPr>
            <w:tcW w:w="349" w:type="pct"/>
            <w:vMerge w:val="continue"/>
            <w:tcBorders>
              <w:tl2br w:val="nil"/>
              <w:tr2bl w:val="nil"/>
            </w:tcBorders>
            <w:noWrap w:val="0"/>
            <w:vAlign w:val="center"/>
          </w:tcPr>
          <w:p w14:paraId="212D872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84DD6A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46EF2B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B0CD780">
            <w:pPr>
              <w:jc w:val="center"/>
              <w:rPr>
                <w:rFonts w:hint="eastAsia" w:ascii="微软雅黑" w:hAnsi="微软雅黑" w:eastAsia="微软雅黑" w:cs="微软雅黑"/>
                <w:i w:val="0"/>
                <w:iCs w:val="0"/>
                <w:color w:val="000000"/>
                <w:sz w:val="20"/>
                <w:szCs w:val="20"/>
                <w:u w:val="none"/>
              </w:rPr>
            </w:pPr>
          </w:p>
        </w:tc>
      </w:tr>
      <w:tr w14:paraId="46834E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294F494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D7D8D3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875297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3.图传发射模块输出功率至少支持0mW/25mW/200mW/400mW/600mW；全制式视频格式至少支持NTSC/PAL；发射频段至少支持5.8GHz。</w:t>
            </w:r>
          </w:p>
        </w:tc>
        <w:tc>
          <w:tcPr>
            <w:tcW w:w="349" w:type="pct"/>
            <w:vMerge w:val="continue"/>
            <w:tcBorders>
              <w:tl2br w:val="nil"/>
              <w:tr2bl w:val="nil"/>
            </w:tcBorders>
            <w:noWrap w:val="0"/>
            <w:vAlign w:val="center"/>
          </w:tcPr>
          <w:p w14:paraId="5AAFC17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AED695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92CC69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D0BFE5D">
            <w:pPr>
              <w:jc w:val="center"/>
              <w:rPr>
                <w:rFonts w:hint="eastAsia" w:ascii="微软雅黑" w:hAnsi="微软雅黑" w:eastAsia="微软雅黑" w:cs="微软雅黑"/>
                <w:i w:val="0"/>
                <w:iCs w:val="0"/>
                <w:color w:val="000000"/>
                <w:sz w:val="20"/>
                <w:szCs w:val="20"/>
                <w:u w:val="none"/>
              </w:rPr>
            </w:pPr>
          </w:p>
        </w:tc>
      </w:tr>
      <w:tr w14:paraId="149268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88B971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5199E1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35AC8B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4.接收显示器分辨率：≥800×480dpi；显示比例至少支持16:9/4:3两种比例；接收频段至少支持5.8GHz；彩色制式至少支持PAL/NTSC。</w:t>
            </w:r>
          </w:p>
        </w:tc>
        <w:tc>
          <w:tcPr>
            <w:tcW w:w="349" w:type="pct"/>
            <w:vMerge w:val="continue"/>
            <w:tcBorders>
              <w:tl2br w:val="nil"/>
              <w:tr2bl w:val="nil"/>
            </w:tcBorders>
            <w:noWrap w:val="0"/>
            <w:vAlign w:val="center"/>
          </w:tcPr>
          <w:p w14:paraId="06F48E7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34496A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32478C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27D731E">
            <w:pPr>
              <w:jc w:val="center"/>
              <w:rPr>
                <w:rFonts w:hint="eastAsia" w:ascii="微软雅黑" w:hAnsi="微软雅黑" w:eastAsia="微软雅黑" w:cs="微软雅黑"/>
                <w:i w:val="0"/>
                <w:iCs w:val="0"/>
                <w:color w:val="000000"/>
                <w:sz w:val="20"/>
                <w:szCs w:val="20"/>
                <w:u w:val="none"/>
              </w:rPr>
            </w:pPr>
          </w:p>
        </w:tc>
      </w:tr>
      <w:tr w14:paraId="6453B2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7ED3582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422" w:type="pct"/>
            <w:vMerge w:val="restart"/>
            <w:tcBorders>
              <w:tl2br w:val="nil"/>
              <w:tr2bl w:val="nil"/>
            </w:tcBorders>
            <w:noWrap w:val="0"/>
            <w:vAlign w:val="center"/>
          </w:tcPr>
          <w:p w14:paraId="4F3E441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任务载荷套件</w:t>
            </w:r>
          </w:p>
        </w:tc>
        <w:tc>
          <w:tcPr>
            <w:tcW w:w="2949" w:type="pct"/>
            <w:tcBorders>
              <w:tl2br w:val="nil"/>
              <w:tr2bl w:val="nil"/>
            </w:tcBorders>
            <w:noWrap w:val="0"/>
            <w:vAlign w:val="center"/>
          </w:tcPr>
          <w:p w14:paraId="5F807DE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1.TFMINI 模块</w:t>
            </w:r>
          </w:p>
        </w:tc>
        <w:tc>
          <w:tcPr>
            <w:tcW w:w="349" w:type="pct"/>
            <w:vMerge w:val="restart"/>
            <w:tcBorders>
              <w:tl2br w:val="nil"/>
              <w:tr2bl w:val="nil"/>
            </w:tcBorders>
            <w:noWrap w:val="0"/>
            <w:vAlign w:val="center"/>
          </w:tcPr>
          <w:p w14:paraId="45B25C1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173DE27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0C949AF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769C0E0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012035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85B318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BAD5A0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F6BE36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测 量 范 围 ： 0.1m~12m@90% 反射率 0.1~7m@10% 反 射 率</w:t>
            </w:r>
          </w:p>
        </w:tc>
        <w:tc>
          <w:tcPr>
            <w:tcW w:w="349" w:type="pct"/>
            <w:vMerge w:val="continue"/>
            <w:tcBorders>
              <w:tl2br w:val="nil"/>
              <w:tr2bl w:val="nil"/>
            </w:tcBorders>
            <w:noWrap w:val="0"/>
            <w:vAlign w:val="center"/>
          </w:tcPr>
          <w:p w14:paraId="7397757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AF0370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0ACCCD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05808BF">
            <w:pPr>
              <w:jc w:val="center"/>
              <w:rPr>
                <w:rFonts w:hint="eastAsia" w:ascii="微软雅黑" w:hAnsi="微软雅黑" w:eastAsia="微软雅黑" w:cs="微软雅黑"/>
                <w:i w:val="0"/>
                <w:iCs w:val="0"/>
                <w:color w:val="000000"/>
                <w:sz w:val="20"/>
                <w:szCs w:val="20"/>
                <w:u w:val="none"/>
              </w:rPr>
            </w:pPr>
          </w:p>
        </w:tc>
      </w:tr>
      <w:tr w14:paraId="5812EA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2793D4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907808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EBC899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0.1m~12m@90%反射率(70Klux)0.1~7m@10%反射率(70Klux)</w:t>
            </w:r>
          </w:p>
        </w:tc>
        <w:tc>
          <w:tcPr>
            <w:tcW w:w="349" w:type="pct"/>
            <w:vMerge w:val="continue"/>
            <w:tcBorders>
              <w:tl2br w:val="nil"/>
              <w:tr2bl w:val="nil"/>
            </w:tcBorders>
            <w:noWrap w:val="0"/>
            <w:vAlign w:val="center"/>
          </w:tcPr>
          <w:p w14:paraId="6C90ECD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635C22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65F61F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55BE3EB">
            <w:pPr>
              <w:jc w:val="center"/>
              <w:rPr>
                <w:rFonts w:hint="eastAsia" w:ascii="微软雅黑" w:hAnsi="微软雅黑" w:eastAsia="微软雅黑" w:cs="微软雅黑"/>
                <w:i w:val="0"/>
                <w:iCs w:val="0"/>
                <w:color w:val="000000"/>
                <w:sz w:val="20"/>
                <w:szCs w:val="20"/>
                <w:u w:val="none"/>
              </w:rPr>
            </w:pPr>
          </w:p>
        </w:tc>
      </w:tr>
      <w:tr w14:paraId="5079B0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1B1EF4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CABC7C1">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ED6478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准确度：±6cm@(0.1-6m) ±1%@(6m-12m)</w:t>
            </w:r>
          </w:p>
        </w:tc>
        <w:tc>
          <w:tcPr>
            <w:tcW w:w="349" w:type="pct"/>
            <w:vMerge w:val="continue"/>
            <w:tcBorders>
              <w:tl2br w:val="nil"/>
              <w:tr2bl w:val="nil"/>
            </w:tcBorders>
            <w:noWrap w:val="0"/>
            <w:vAlign w:val="center"/>
          </w:tcPr>
          <w:p w14:paraId="3B98D7A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E6B6AD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203D1E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68B1EC6">
            <w:pPr>
              <w:jc w:val="center"/>
              <w:rPr>
                <w:rFonts w:hint="eastAsia" w:ascii="微软雅黑" w:hAnsi="微软雅黑" w:eastAsia="微软雅黑" w:cs="微软雅黑"/>
                <w:i w:val="0"/>
                <w:iCs w:val="0"/>
                <w:color w:val="000000"/>
                <w:sz w:val="20"/>
                <w:szCs w:val="20"/>
                <w:u w:val="none"/>
              </w:rPr>
            </w:pPr>
          </w:p>
        </w:tc>
      </w:tr>
      <w:tr w14:paraId="38597B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A158A7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18584C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7121DC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距离分辨率：1cm</w:t>
            </w:r>
          </w:p>
        </w:tc>
        <w:tc>
          <w:tcPr>
            <w:tcW w:w="349" w:type="pct"/>
            <w:vMerge w:val="continue"/>
            <w:tcBorders>
              <w:tl2br w:val="nil"/>
              <w:tr2bl w:val="nil"/>
            </w:tcBorders>
            <w:noWrap w:val="0"/>
            <w:vAlign w:val="center"/>
          </w:tcPr>
          <w:p w14:paraId="43103E1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EEA64F1">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17BCA5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6F4852B">
            <w:pPr>
              <w:jc w:val="center"/>
              <w:rPr>
                <w:rFonts w:hint="eastAsia" w:ascii="微软雅黑" w:hAnsi="微软雅黑" w:eastAsia="微软雅黑" w:cs="微软雅黑"/>
                <w:i w:val="0"/>
                <w:iCs w:val="0"/>
                <w:color w:val="000000"/>
                <w:sz w:val="20"/>
                <w:szCs w:val="20"/>
                <w:u w:val="none"/>
              </w:rPr>
            </w:pPr>
          </w:p>
        </w:tc>
      </w:tr>
      <w:tr w14:paraId="7C657C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4B84EA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4CEAEE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B961B1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帧率：1-10000Hz(默认 100Hz）</w:t>
            </w:r>
          </w:p>
        </w:tc>
        <w:tc>
          <w:tcPr>
            <w:tcW w:w="349" w:type="pct"/>
            <w:vMerge w:val="continue"/>
            <w:tcBorders>
              <w:tl2br w:val="nil"/>
              <w:tr2bl w:val="nil"/>
            </w:tcBorders>
            <w:noWrap w:val="0"/>
            <w:vAlign w:val="center"/>
          </w:tcPr>
          <w:p w14:paraId="238B77B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071067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41E868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AD6B519">
            <w:pPr>
              <w:jc w:val="center"/>
              <w:rPr>
                <w:rFonts w:hint="eastAsia" w:ascii="微软雅黑" w:hAnsi="微软雅黑" w:eastAsia="微软雅黑" w:cs="微软雅黑"/>
                <w:i w:val="0"/>
                <w:iCs w:val="0"/>
                <w:color w:val="000000"/>
                <w:sz w:val="20"/>
                <w:szCs w:val="20"/>
                <w:u w:val="none"/>
              </w:rPr>
            </w:pPr>
          </w:p>
        </w:tc>
      </w:tr>
      <w:tr w14:paraId="4E791FA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8C3B55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E16960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BDA0F8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抗环境光能力：70Klux</w:t>
            </w:r>
          </w:p>
        </w:tc>
        <w:tc>
          <w:tcPr>
            <w:tcW w:w="349" w:type="pct"/>
            <w:vMerge w:val="continue"/>
            <w:tcBorders>
              <w:tl2br w:val="nil"/>
              <w:tr2bl w:val="nil"/>
            </w:tcBorders>
            <w:noWrap w:val="0"/>
            <w:vAlign w:val="center"/>
          </w:tcPr>
          <w:p w14:paraId="1BC431F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9A0E6E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226925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1C238F6">
            <w:pPr>
              <w:jc w:val="center"/>
              <w:rPr>
                <w:rFonts w:hint="eastAsia" w:ascii="微软雅黑" w:hAnsi="微软雅黑" w:eastAsia="微软雅黑" w:cs="微软雅黑"/>
                <w:i w:val="0"/>
                <w:iCs w:val="0"/>
                <w:color w:val="000000"/>
                <w:sz w:val="20"/>
                <w:szCs w:val="20"/>
                <w:u w:val="none"/>
              </w:rPr>
            </w:pPr>
          </w:p>
        </w:tc>
      </w:tr>
      <w:tr w14:paraId="635CFC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1D4C1A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75FE28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22169C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工作温度：0℃-60℃</w:t>
            </w:r>
          </w:p>
        </w:tc>
        <w:tc>
          <w:tcPr>
            <w:tcW w:w="349" w:type="pct"/>
            <w:vMerge w:val="continue"/>
            <w:tcBorders>
              <w:tl2br w:val="nil"/>
              <w:tr2bl w:val="nil"/>
            </w:tcBorders>
            <w:noWrap w:val="0"/>
            <w:vAlign w:val="center"/>
          </w:tcPr>
          <w:p w14:paraId="6E68682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1C0196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A831BC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B43AE6A">
            <w:pPr>
              <w:jc w:val="center"/>
              <w:rPr>
                <w:rFonts w:hint="eastAsia" w:ascii="微软雅黑" w:hAnsi="微软雅黑" w:eastAsia="微软雅黑" w:cs="微软雅黑"/>
                <w:i w:val="0"/>
                <w:iCs w:val="0"/>
                <w:color w:val="000000"/>
                <w:sz w:val="20"/>
                <w:szCs w:val="20"/>
                <w:u w:val="none"/>
              </w:rPr>
            </w:pPr>
          </w:p>
        </w:tc>
      </w:tr>
      <w:tr w14:paraId="3011F2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19A2EE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9FD4E5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A6CE1D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光源：VCSEL</w:t>
            </w:r>
          </w:p>
        </w:tc>
        <w:tc>
          <w:tcPr>
            <w:tcW w:w="349" w:type="pct"/>
            <w:vMerge w:val="continue"/>
            <w:tcBorders>
              <w:tl2br w:val="nil"/>
              <w:tr2bl w:val="nil"/>
            </w:tcBorders>
            <w:noWrap w:val="0"/>
            <w:vAlign w:val="center"/>
          </w:tcPr>
          <w:p w14:paraId="5D8B690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37A4A2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AA8830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0FC3AD0">
            <w:pPr>
              <w:jc w:val="center"/>
              <w:rPr>
                <w:rFonts w:hint="eastAsia" w:ascii="微软雅黑" w:hAnsi="微软雅黑" w:eastAsia="微软雅黑" w:cs="微软雅黑"/>
                <w:i w:val="0"/>
                <w:iCs w:val="0"/>
                <w:color w:val="000000"/>
                <w:sz w:val="20"/>
                <w:szCs w:val="20"/>
                <w:u w:val="none"/>
              </w:rPr>
            </w:pPr>
          </w:p>
        </w:tc>
      </w:tr>
      <w:tr w14:paraId="74E33F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11ACED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032FA9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B4E4D0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中心波长：850nm</w:t>
            </w:r>
          </w:p>
        </w:tc>
        <w:tc>
          <w:tcPr>
            <w:tcW w:w="349" w:type="pct"/>
            <w:vMerge w:val="continue"/>
            <w:tcBorders>
              <w:tl2br w:val="nil"/>
              <w:tr2bl w:val="nil"/>
            </w:tcBorders>
            <w:noWrap w:val="0"/>
            <w:vAlign w:val="center"/>
          </w:tcPr>
          <w:p w14:paraId="4299A06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324A8E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D2AB89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B85DA27">
            <w:pPr>
              <w:jc w:val="center"/>
              <w:rPr>
                <w:rFonts w:hint="eastAsia" w:ascii="微软雅黑" w:hAnsi="微软雅黑" w:eastAsia="微软雅黑" w:cs="微软雅黑"/>
                <w:i w:val="0"/>
                <w:iCs w:val="0"/>
                <w:color w:val="000000"/>
                <w:sz w:val="20"/>
                <w:szCs w:val="20"/>
                <w:u w:val="none"/>
              </w:rPr>
            </w:pPr>
          </w:p>
        </w:tc>
      </w:tr>
      <w:tr w14:paraId="13ABB3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2ACB94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2EC191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E98021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人眼安全：Class1</w:t>
            </w:r>
          </w:p>
        </w:tc>
        <w:tc>
          <w:tcPr>
            <w:tcW w:w="349" w:type="pct"/>
            <w:vMerge w:val="continue"/>
            <w:tcBorders>
              <w:tl2br w:val="nil"/>
              <w:tr2bl w:val="nil"/>
            </w:tcBorders>
            <w:noWrap w:val="0"/>
            <w:vAlign w:val="center"/>
          </w:tcPr>
          <w:p w14:paraId="58AAFE2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0B6BC8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55DE6D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0C21390">
            <w:pPr>
              <w:jc w:val="center"/>
              <w:rPr>
                <w:rFonts w:hint="eastAsia" w:ascii="微软雅黑" w:hAnsi="微软雅黑" w:eastAsia="微软雅黑" w:cs="微软雅黑"/>
                <w:i w:val="0"/>
                <w:iCs w:val="0"/>
                <w:color w:val="000000"/>
                <w:sz w:val="20"/>
                <w:szCs w:val="20"/>
                <w:u w:val="none"/>
              </w:rPr>
            </w:pPr>
          </w:p>
        </w:tc>
      </w:tr>
      <w:tr w14:paraId="37E531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ADFC4F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B9461F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513BE1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供电电压：5V±0.1v</w:t>
            </w:r>
          </w:p>
        </w:tc>
        <w:tc>
          <w:tcPr>
            <w:tcW w:w="349" w:type="pct"/>
            <w:vMerge w:val="continue"/>
            <w:tcBorders>
              <w:tl2br w:val="nil"/>
              <w:tr2bl w:val="nil"/>
            </w:tcBorders>
            <w:noWrap w:val="0"/>
            <w:vAlign w:val="center"/>
          </w:tcPr>
          <w:p w14:paraId="1C77661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43C529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895359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B66054C">
            <w:pPr>
              <w:jc w:val="center"/>
              <w:rPr>
                <w:rFonts w:hint="eastAsia" w:ascii="微软雅黑" w:hAnsi="微软雅黑" w:eastAsia="微软雅黑" w:cs="微软雅黑"/>
                <w:i w:val="0"/>
                <w:iCs w:val="0"/>
                <w:color w:val="000000"/>
                <w:sz w:val="20"/>
                <w:szCs w:val="20"/>
                <w:u w:val="none"/>
              </w:rPr>
            </w:pPr>
          </w:p>
        </w:tc>
      </w:tr>
      <w:tr w14:paraId="66E043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EB7D65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70FF63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65A88C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2.超声波雷达模块</w:t>
            </w:r>
          </w:p>
        </w:tc>
        <w:tc>
          <w:tcPr>
            <w:tcW w:w="349" w:type="pct"/>
            <w:vMerge w:val="continue"/>
            <w:tcBorders>
              <w:tl2br w:val="nil"/>
              <w:tr2bl w:val="nil"/>
            </w:tcBorders>
            <w:noWrap w:val="0"/>
            <w:vAlign w:val="center"/>
          </w:tcPr>
          <w:p w14:paraId="5C7CD8E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81094E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ACD9D2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825D79D">
            <w:pPr>
              <w:jc w:val="center"/>
              <w:rPr>
                <w:rFonts w:hint="eastAsia" w:ascii="微软雅黑" w:hAnsi="微软雅黑" w:eastAsia="微软雅黑" w:cs="微软雅黑"/>
                <w:i w:val="0"/>
                <w:iCs w:val="0"/>
                <w:color w:val="000000"/>
                <w:sz w:val="20"/>
                <w:szCs w:val="20"/>
                <w:u w:val="none"/>
              </w:rPr>
            </w:pPr>
          </w:p>
        </w:tc>
      </w:tr>
      <w:tr w14:paraId="21B9DA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CABB86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60FB71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2A8A31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工作电压：DC 2.4V~5.5V</w:t>
            </w:r>
          </w:p>
        </w:tc>
        <w:tc>
          <w:tcPr>
            <w:tcW w:w="349" w:type="pct"/>
            <w:vMerge w:val="continue"/>
            <w:tcBorders>
              <w:tl2br w:val="nil"/>
              <w:tr2bl w:val="nil"/>
            </w:tcBorders>
            <w:noWrap w:val="0"/>
            <w:vAlign w:val="center"/>
          </w:tcPr>
          <w:p w14:paraId="3023DE3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3F48C8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928BC8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F012A5A">
            <w:pPr>
              <w:jc w:val="center"/>
              <w:rPr>
                <w:rFonts w:hint="eastAsia" w:ascii="微软雅黑" w:hAnsi="微软雅黑" w:eastAsia="微软雅黑" w:cs="微软雅黑"/>
                <w:i w:val="0"/>
                <w:iCs w:val="0"/>
                <w:color w:val="000000"/>
                <w:sz w:val="20"/>
                <w:szCs w:val="20"/>
                <w:u w:val="none"/>
              </w:rPr>
            </w:pPr>
          </w:p>
        </w:tc>
      </w:tr>
      <w:tr w14:paraId="4D2699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EE8FE5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B8F896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BB70AA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静态电流：2mA</w:t>
            </w:r>
          </w:p>
        </w:tc>
        <w:tc>
          <w:tcPr>
            <w:tcW w:w="349" w:type="pct"/>
            <w:vMerge w:val="continue"/>
            <w:tcBorders>
              <w:tl2br w:val="nil"/>
              <w:tr2bl w:val="nil"/>
            </w:tcBorders>
            <w:noWrap w:val="0"/>
            <w:vAlign w:val="center"/>
          </w:tcPr>
          <w:p w14:paraId="1E40DE3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A22003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E0A5F5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E98FB83">
            <w:pPr>
              <w:jc w:val="center"/>
              <w:rPr>
                <w:rFonts w:hint="eastAsia" w:ascii="微软雅黑" w:hAnsi="微软雅黑" w:eastAsia="微软雅黑" w:cs="微软雅黑"/>
                <w:i w:val="0"/>
                <w:iCs w:val="0"/>
                <w:color w:val="000000"/>
                <w:sz w:val="20"/>
                <w:szCs w:val="20"/>
                <w:u w:val="none"/>
              </w:rPr>
            </w:pPr>
          </w:p>
        </w:tc>
      </w:tr>
      <w:tr w14:paraId="7021E5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D8C6DE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151809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C10CBD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工作温度：-20°~＋70°</w:t>
            </w:r>
          </w:p>
        </w:tc>
        <w:tc>
          <w:tcPr>
            <w:tcW w:w="349" w:type="pct"/>
            <w:vMerge w:val="continue"/>
            <w:tcBorders>
              <w:tl2br w:val="nil"/>
              <w:tr2bl w:val="nil"/>
            </w:tcBorders>
            <w:noWrap w:val="0"/>
            <w:vAlign w:val="center"/>
          </w:tcPr>
          <w:p w14:paraId="744688B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767E06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CF2717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99E8502">
            <w:pPr>
              <w:jc w:val="center"/>
              <w:rPr>
                <w:rFonts w:hint="eastAsia" w:ascii="微软雅黑" w:hAnsi="微软雅黑" w:eastAsia="微软雅黑" w:cs="微软雅黑"/>
                <w:i w:val="0"/>
                <w:iCs w:val="0"/>
                <w:color w:val="000000"/>
                <w:sz w:val="20"/>
                <w:szCs w:val="20"/>
                <w:u w:val="none"/>
              </w:rPr>
            </w:pPr>
          </w:p>
        </w:tc>
      </w:tr>
      <w:tr w14:paraId="39CD98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5DFD68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FDEF7E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455348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输出方式：电平或 UART（跳线帽选择）</w:t>
            </w:r>
          </w:p>
        </w:tc>
        <w:tc>
          <w:tcPr>
            <w:tcW w:w="349" w:type="pct"/>
            <w:vMerge w:val="continue"/>
            <w:tcBorders>
              <w:tl2br w:val="nil"/>
              <w:tr2bl w:val="nil"/>
            </w:tcBorders>
            <w:noWrap w:val="0"/>
            <w:vAlign w:val="center"/>
          </w:tcPr>
          <w:p w14:paraId="2B84231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98D266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D2B8D6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B5CC6CD">
            <w:pPr>
              <w:jc w:val="center"/>
              <w:rPr>
                <w:rFonts w:hint="eastAsia" w:ascii="微软雅黑" w:hAnsi="微软雅黑" w:eastAsia="微软雅黑" w:cs="微软雅黑"/>
                <w:i w:val="0"/>
                <w:iCs w:val="0"/>
                <w:color w:val="000000"/>
                <w:sz w:val="20"/>
                <w:szCs w:val="20"/>
                <w:u w:val="none"/>
              </w:rPr>
            </w:pPr>
          </w:p>
        </w:tc>
      </w:tr>
      <w:tr w14:paraId="745166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CBB62C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326C55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2B51F3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感应角度：小于 15°</w:t>
            </w:r>
          </w:p>
        </w:tc>
        <w:tc>
          <w:tcPr>
            <w:tcW w:w="349" w:type="pct"/>
            <w:vMerge w:val="continue"/>
            <w:tcBorders>
              <w:tl2br w:val="nil"/>
              <w:tr2bl w:val="nil"/>
            </w:tcBorders>
            <w:noWrap w:val="0"/>
            <w:vAlign w:val="center"/>
          </w:tcPr>
          <w:p w14:paraId="480E5C6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9484DC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0315CC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5E51648">
            <w:pPr>
              <w:jc w:val="center"/>
              <w:rPr>
                <w:rFonts w:hint="eastAsia" w:ascii="微软雅黑" w:hAnsi="微软雅黑" w:eastAsia="微软雅黑" w:cs="微软雅黑"/>
                <w:i w:val="0"/>
                <w:iCs w:val="0"/>
                <w:color w:val="000000"/>
                <w:sz w:val="20"/>
                <w:szCs w:val="20"/>
                <w:u w:val="none"/>
              </w:rPr>
            </w:pPr>
          </w:p>
        </w:tc>
      </w:tr>
      <w:tr w14:paraId="069052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A7A013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9A7E13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A273F5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探测距离：2cm-450cm</w:t>
            </w:r>
          </w:p>
        </w:tc>
        <w:tc>
          <w:tcPr>
            <w:tcW w:w="349" w:type="pct"/>
            <w:vMerge w:val="continue"/>
            <w:tcBorders>
              <w:tl2br w:val="nil"/>
              <w:tr2bl w:val="nil"/>
            </w:tcBorders>
            <w:noWrap w:val="0"/>
            <w:vAlign w:val="center"/>
          </w:tcPr>
          <w:p w14:paraId="1459217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682640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313793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9F33AAF">
            <w:pPr>
              <w:jc w:val="center"/>
              <w:rPr>
                <w:rFonts w:hint="eastAsia" w:ascii="微软雅黑" w:hAnsi="微软雅黑" w:eastAsia="微软雅黑" w:cs="微软雅黑"/>
                <w:i w:val="0"/>
                <w:iCs w:val="0"/>
                <w:color w:val="000000"/>
                <w:sz w:val="20"/>
                <w:szCs w:val="20"/>
                <w:u w:val="none"/>
              </w:rPr>
            </w:pPr>
          </w:p>
        </w:tc>
      </w:tr>
      <w:tr w14:paraId="79B553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ED5B50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47369D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6BE195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探测精度：0.3cm+1%</w:t>
            </w:r>
          </w:p>
        </w:tc>
        <w:tc>
          <w:tcPr>
            <w:tcW w:w="349" w:type="pct"/>
            <w:vMerge w:val="continue"/>
            <w:tcBorders>
              <w:tl2br w:val="nil"/>
              <w:tr2bl w:val="nil"/>
            </w:tcBorders>
            <w:noWrap w:val="0"/>
            <w:vAlign w:val="center"/>
          </w:tcPr>
          <w:p w14:paraId="130A966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2A3F9D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A81347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F97735B">
            <w:pPr>
              <w:jc w:val="center"/>
              <w:rPr>
                <w:rFonts w:hint="eastAsia" w:ascii="微软雅黑" w:hAnsi="微软雅黑" w:eastAsia="微软雅黑" w:cs="微软雅黑"/>
                <w:i w:val="0"/>
                <w:iCs w:val="0"/>
                <w:color w:val="000000"/>
                <w:sz w:val="20"/>
                <w:szCs w:val="20"/>
                <w:u w:val="none"/>
              </w:rPr>
            </w:pPr>
          </w:p>
        </w:tc>
      </w:tr>
      <w:tr w14:paraId="3065BE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B01D2C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3A489D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BF680E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UART 模式下串口配置：波特率 9600，起始位 1 位，停止位 1</w:t>
            </w:r>
          </w:p>
        </w:tc>
        <w:tc>
          <w:tcPr>
            <w:tcW w:w="349" w:type="pct"/>
            <w:vMerge w:val="continue"/>
            <w:tcBorders>
              <w:tl2br w:val="nil"/>
              <w:tr2bl w:val="nil"/>
            </w:tcBorders>
            <w:noWrap w:val="0"/>
            <w:vAlign w:val="center"/>
          </w:tcPr>
          <w:p w14:paraId="03DCB0F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9A8B02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09171F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7FA6558">
            <w:pPr>
              <w:jc w:val="center"/>
              <w:rPr>
                <w:rFonts w:hint="eastAsia" w:ascii="微软雅黑" w:hAnsi="微软雅黑" w:eastAsia="微软雅黑" w:cs="微软雅黑"/>
                <w:i w:val="0"/>
                <w:iCs w:val="0"/>
                <w:color w:val="000000"/>
                <w:sz w:val="20"/>
                <w:szCs w:val="20"/>
                <w:u w:val="none"/>
              </w:rPr>
            </w:pPr>
          </w:p>
        </w:tc>
      </w:tr>
      <w:tr w14:paraId="4B5FD9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BAC1C5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5BB1DB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2D8E0B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位，数据位 8 位，无奇偶校验，无流控制。</w:t>
            </w:r>
          </w:p>
        </w:tc>
        <w:tc>
          <w:tcPr>
            <w:tcW w:w="349" w:type="pct"/>
            <w:vMerge w:val="continue"/>
            <w:tcBorders>
              <w:tl2br w:val="nil"/>
              <w:tr2bl w:val="nil"/>
            </w:tcBorders>
            <w:noWrap w:val="0"/>
            <w:vAlign w:val="center"/>
          </w:tcPr>
          <w:p w14:paraId="1193890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D5144C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7ECBC6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0A08F40">
            <w:pPr>
              <w:jc w:val="center"/>
              <w:rPr>
                <w:rFonts w:hint="eastAsia" w:ascii="微软雅黑" w:hAnsi="微软雅黑" w:eastAsia="微软雅黑" w:cs="微软雅黑"/>
                <w:i w:val="0"/>
                <w:iCs w:val="0"/>
                <w:color w:val="000000"/>
                <w:sz w:val="20"/>
                <w:szCs w:val="20"/>
                <w:u w:val="none"/>
              </w:rPr>
            </w:pPr>
          </w:p>
        </w:tc>
      </w:tr>
      <w:tr w14:paraId="2A9B79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0BFC0F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764DEF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129B3D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3.光流模块</w:t>
            </w:r>
          </w:p>
        </w:tc>
        <w:tc>
          <w:tcPr>
            <w:tcW w:w="349" w:type="pct"/>
            <w:vMerge w:val="continue"/>
            <w:tcBorders>
              <w:tl2br w:val="nil"/>
              <w:tr2bl w:val="nil"/>
            </w:tcBorders>
            <w:noWrap w:val="0"/>
            <w:vAlign w:val="center"/>
          </w:tcPr>
          <w:p w14:paraId="298E879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F6C44C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FEED4F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3CE61A7">
            <w:pPr>
              <w:jc w:val="center"/>
              <w:rPr>
                <w:rFonts w:hint="eastAsia" w:ascii="微软雅黑" w:hAnsi="微软雅黑" w:eastAsia="微软雅黑" w:cs="微软雅黑"/>
                <w:i w:val="0"/>
                <w:iCs w:val="0"/>
                <w:color w:val="000000"/>
                <w:sz w:val="20"/>
                <w:szCs w:val="20"/>
                <w:u w:val="none"/>
              </w:rPr>
            </w:pPr>
          </w:p>
        </w:tc>
      </w:tr>
      <w:tr w14:paraId="1B940A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557BCA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52F566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6FC3C5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有效距离：0cm-700cm</w:t>
            </w:r>
          </w:p>
        </w:tc>
        <w:tc>
          <w:tcPr>
            <w:tcW w:w="349" w:type="pct"/>
            <w:vMerge w:val="continue"/>
            <w:tcBorders>
              <w:tl2br w:val="nil"/>
              <w:tr2bl w:val="nil"/>
            </w:tcBorders>
            <w:noWrap w:val="0"/>
            <w:vAlign w:val="center"/>
          </w:tcPr>
          <w:p w14:paraId="2E377BE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D3031F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1DA81F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E6356C3">
            <w:pPr>
              <w:jc w:val="center"/>
              <w:rPr>
                <w:rFonts w:hint="eastAsia" w:ascii="微软雅黑" w:hAnsi="微软雅黑" w:eastAsia="微软雅黑" w:cs="微软雅黑"/>
                <w:i w:val="0"/>
                <w:iCs w:val="0"/>
                <w:color w:val="000000"/>
                <w:sz w:val="20"/>
                <w:szCs w:val="20"/>
                <w:u w:val="none"/>
              </w:rPr>
            </w:pPr>
          </w:p>
        </w:tc>
      </w:tr>
      <w:tr w14:paraId="01AEEA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F6F539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FC373D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2996AF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速度范围：0-500cm/s</w:t>
            </w:r>
          </w:p>
        </w:tc>
        <w:tc>
          <w:tcPr>
            <w:tcW w:w="349" w:type="pct"/>
            <w:vMerge w:val="continue"/>
            <w:tcBorders>
              <w:tl2br w:val="nil"/>
              <w:tr2bl w:val="nil"/>
            </w:tcBorders>
            <w:noWrap w:val="0"/>
            <w:vAlign w:val="center"/>
          </w:tcPr>
          <w:p w14:paraId="2C00794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A975A7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14541F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0409F84">
            <w:pPr>
              <w:jc w:val="center"/>
              <w:rPr>
                <w:rFonts w:hint="eastAsia" w:ascii="微软雅黑" w:hAnsi="微软雅黑" w:eastAsia="微软雅黑" w:cs="微软雅黑"/>
                <w:i w:val="0"/>
                <w:iCs w:val="0"/>
                <w:color w:val="000000"/>
                <w:sz w:val="20"/>
                <w:szCs w:val="20"/>
                <w:u w:val="none"/>
              </w:rPr>
            </w:pPr>
          </w:p>
        </w:tc>
      </w:tr>
      <w:tr w14:paraId="76E3FE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1304B5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31ED69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1F4B15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4.OpenMV</w:t>
            </w:r>
          </w:p>
        </w:tc>
        <w:tc>
          <w:tcPr>
            <w:tcW w:w="349" w:type="pct"/>
            <w:vMerge w:val="continue"/>
            <w:tcBorders>
              <w:tl2br w:val="nil"/>
              <w:tr2bl w:val="nil"/>
            </w:tcBorders>
            <w:noWrap w:val="0"/>
            <w:vAlign w:val="center"/>
          </w:tcPr>
          <w:p w14:paraId="5AB8F3E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29E17E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D1351F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1744540">
            <w:pPr>
              <w:jc w:val="center"/>
              <w:rPr>
                <w:rFonts w:hint="eastAsia" w:ascii="微软雅黑" w:hAnsi="微软雅黑" w:eastAsia="微软雅黑" w:cs="微软雅黑"/>
                <w:i w:val="0"/>
                <w:iCs w:val="0"/>
                <w:color w:val="000000"/>
                <w:sz w:val="20"/>
                <w:szCs w:val="20"/>
                <w:u w:val="none"/>
              </w:rPr>
            </w:pPr>
          </w:p>
        </w:tc>
      </w:tr>
      <w:tr w14:paraId="17C3CD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F63932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2B92E21">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8688AB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以 STM32H743ViT6 为核心，集成了 OV7725 摄像头芯片（OV7725 支持多种不同分辨率图像的输出，包括 VGA （ 640x480 ） 、 QVGA（320x240）），在小巧的硬件模块上，用 C 语言高效地实现了核心机器视觉算法，提供 Python 编程接口。</w:t>
            </w:r>
          </w:p>
        </w:tc>
        <w:tc>
          <w:tcPr>
            <w:tcW w:w="349" w:type="pct"/>
            <w:vMerge w:val="continue"/>
            <w:tcBorders>
              <w:tl2br w:val="nil"/>
              <w:tr2bl w:val="nil"/>
            </w:tcBorders>
            <w:noWrap w:val="0"/>
            <w:vAlign w:val="center"/>
          </w:tcPr>
          <w:p w14:paraId="7220AC7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AD11E6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A9D145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4276AA4">
            <w:pPr>
              <w:jc w:val="center"/>
              <w:rPr>
                <w:rFonts w:hint="eastAsia" w:ascii="微软雅黑" w:hAnsi="微软雅黑" w:eastAsia="微软雅黑" w:cs="微软雅黑"/>
                <w:i w:val="0"/>
                <w:iCs w:val="0"/>
                <w:color w:val="000000"/>
                <w:sz w:val="20"/>
                <w:szCs w:val="20"/>
                <w:u w:val="none"/>
              </w:rPr>
            </w:pPr>
          </w:p>
        </w:tc>
      </w:tr>
      <w:tr w14:paraId="3D0EF0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487F456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422" w:type="pct"/>
            <w:vMerge w:val="restart"/>
            <w:tcBorders>
              <w:tl2br w:val="nil"/>
              <w:tr2bl w:val="nil"/>
            </w:tcBorders>
            <w:noWrap w:val="0"/>
            <w:vAlign w:val="center"/>
          </w:tcPr>
          <w:p w14:paraId="34E22F5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抛投模块</w:t>
            </w:r>
          </w:p>
        </w:tc>
        <w:tc>
          <w:tcPr>
            <w:tcW w:w="2949" w:type="pct"/>
            <w:tcBorders>
              <w:tl2br w:val="nil"/>
              <w:tr2bl w:val="nil"/>
            </w:tcBorders>
            <w:noWrap w:val="0"/>
            <w:vAlign w:val="center"/>
          </w:tcPr>
          <w:p w14:paraId="5A5F585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1.尺寸：≥55×55×50mm；</w:t>
            </w:r>
          </w:p>
        </w:tc>
        <w:tc>
          <w:tcPr>
            <w:tcW w:w="349" w:type="pct"/>
            <w:vMerge w:val="restart"/>
            <w:tcBorders>
              <w:tl2br w:val="nil"/>
              <w:tr2bl w:val="nil"/>
            </w:tcBorders>
            <w:noWrap w:val="0"/>
            <w:vAlign w:val="center"/>
          </w:tcPr>
          <w:p w14:paraId="29C4542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1363223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538776D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6E1A6F1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606E22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9FABE3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D25CD9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4E076D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2.防护等级：≥IP4X；</w:t>
            </w:r>
          </w:p>
        </w:tc>
        <w:tc>
          <w:tcPr>
            <w:tcW w:w="349" w:type="pct"/>
            <w:vMerge w:val="continue"/>
            <w:tcBorders>
              <w:tl2br w:val="nil"/>
              <w:tr2bl w:val="nil"/>
            </w:tcBorders>
            <w:noWrap w:val="0"/>
            <w:vAlign w:val="center"/>
          </w:tcPr>
          <w:p w14:paraId="25F1E65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53E239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41314D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FCE1F6B">
            <w:pPr>
              <w:jc w:val="center"/>
              <w:rPr>
                <w:rFonts w:hint="eastAsia" w:ascii="微软雅黑" w:hAnsi="微软雅黑" w:eastAsia="微软雅黑" w:cs="微软雅黑"/>
                <w:i w:val="0"/>
                <w:iCs w:val="0"/>
                <w:color w:val="000000"/>
                <w:sz w:val="20"/>
                <w:szCs w:val="20"/>
                <w:u w:val="none"/>
              </w:rPr>
            </w:pPr>
          </w:p>
        </w:tc>
      </w:tr>
      <w:tr w14:paraId="42ED19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033263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AFFA1B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AB891C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3.重量：≥120g；</w:t>
            </w:r>
          </w:p>
        </w:tc>
        <w:tc>
          <w:tcPr>
            <w:tcW w:w="349" w:type="pct"/>
            <w:vMerge w:val="continue"/>
            <w:tcBorders>
              <w:tl2br w:val="nil"/>
              <w:tr2bl w:val="nil"/>
            </w:tcBorders>
            <w:noWrap w:val="0"/>
            <w:vAlign w:val="center"/>
          </w:tcPr>
          <w:p w14:paraId="51EAF81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AF0232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3133E5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F8EEDF0">
            <w:pPr>
              <w:jc w:val="center"/>
              <w:rPr>
                <w:rFonts w:hint="eastAsia" w:ascii="微软雅黑" w:hAnsi="微软雅黑" w:eastAsia="微软雅黑" w:cs="微软雅黑"/>
                <w:i w:val="0"/>
                <w:iCs w:val="0"/>
                <w:color w:val="000000"/>
                <w:sz w:val="20"/>
                <w:szCs w:val="20"/>
                <w:u w:val="none"/>
              </w:rPr>
            </w:pPr>
          </w:p>
        </w:tc>
      </w:tr>
      <w:tr w14:paraId="50CF62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13EE15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209D7B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8EB1FF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4.额定功率：≥10W；</w:t>
            </w:r>
          </w:p>
        </w:tc>
        <w:tc>
          <w:tcPr>
            <w:tcW w:w="349" w:type="pct"/>
            <w:vMerge w:val="continue"/>
            <w:tcBorders>
              <w:tl2br w:val="nil"/>
              <w:tr2bl w:val="nil"/>
            </w:tcBorders>
            <w:noWrap w:val="0"/>
            <w:vAlign w:val="center"/>
          </w:tcPr>
          <w:p w14:paraId="267CB21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9B028B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0CC30D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1C5D524">
            <w:pPr>
              <w:jc w:val="center"/>
              <w:rPr>
                <w:rFonts w:hint="eastAsia" w:ascii="微软雅黑" w:hAnsi="微软雅黑" w:eastAsia="微软雅黑" w:cs="微软雅黑"/>
                <w:i w:val="0"/>
                <w:iCs w:val="0"/>
                <w:color w:val="000000"/>
                <w:sz w:val="20"/>
                <w:szCs w:val="20"/>
                <w:u w:val="none"/>
              </w:rPr>
            </w:pPr>
          </w:p>
        </w:tc>
      </w:tr>
      <w:tr w14:paraId="6ED9F9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418F87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3BA5DA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943BA1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5.挂载数量：≥4；</w:t>
            </w:r>
          </w:p>
        </w:tc>
        <w:tc>
          <w:tcPr>
            <w:tcW w:w="349" w:type="pct"/>
            <w:vMerge w:val="continue"/>
            <w:tcBorders>
              <w:tl2br w:val="nil"/>
              <w:tr2bl w:val="nil"/>
            </w:tcBorders>
            <w:noWrap w:val="0"/>
            <w:vAlign w:val="center"/>
          </w:tcPr>
          <w:p w14:paraId="73A1486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F0028F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22EE2E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71A0E71">
            <w:pPr>
              <w:jc w:val="center"/>
              <w:rPr>
                <w:rFonts w:hint="eastAsia" w:ascii="微软雅黑" w:hAnsi="微软雅黑" w:eastAsia="微软雅黑" w:cs="微软雅黑"/>
                <w:i w:val="0"/>
                <w:iCs w:val="0"/>
                <w:color w:val="000000"/>
                <w:sz w:val="20"/>
                <w:szCs w:val="20"/>
                <w:u w:val="none"/>
              </w:rPr>
            </w:pPr>
          </w:p>
        </w:tc>
      </w:tr>
      <w:tr w14:paraId="084C34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9A65E4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81C162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61C243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6.单个挂载重量：最大3kg；总挂载重量：最大12kg；</w:t>
            </w:r>
          </w:p>
        </w:tc>
        <w:tc>
          <w:tcPr>
            <w:tcW w:w="349" w:type="pct"/>
            <w:vMerge w:val="continue"/>
            <w:tcBorders>
              <w:tl2br w:val="nil"/>
              <w:tr2bl w:val="nil"/>
            </w:tcBorders>
            <w:noWrap w:val="0"/>
            <w:vAlign w:val="center"/>
          </w:tcPr>
          <w:p w14:paraId="68BF50A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B01237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0BEFA0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E34F89C">
            <w:pPr>
              <w:jc w:val="center"/>
              <w:rPr>
                <w:rFonts w:hint="eastAsia" w:ascii="微软雅黑" w:hAnsi="微软雅黑" w:eastAsia="微软雅黑" w:cs="微软雅黑"/>
                <w:i w:val="0"/>
                <w:iCs w:val="0"/>
                <w:color w:val="000000"/>
                <w:sz w:val="20"/>
                <w:szCs w:val="20"/>
                <w:u w:val="none"/>
              </w:rPr>
            </w:pPr>
          </w:p>
        </w:tc>
      </w:tr>
      <w:tr w14:paraId="68F58E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8B677A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F12475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23AED9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7.投放功能至少支持单点投放.一键全投；</w:t>
            </w:r>
          </w:p>
        </w:tc>
        <w:tc>
          <w:tcPr>
            <w:tcW w:w="349" w:type="pct"/>
            <w:vMerge w:val="continue"/>
            <w:tcBorders>
              <w:tl2br w:val="nil"/>
              <w:tr2bl w:val="nil"/>
            </w:tcBorders>
            <w:noWrap w:val="0"/>
            <w:vAlign w:val="center"/>
          </w:tcPr>
          <w:p w14:paraId="0756AD3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114BB5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386AFE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9AA76E7">
            <w:pPr>
              <w:jc w:val="center"/>
              <w:rPr>
                <w:rFonts w:hint="eastAsia" w:ascii="微软雅黑" w:hAnsi="微软雅黑" w:eastAsia="微软雅黑" w:cs="微软雅黑"/>
                <w:i w:val="0"/>
                <w:iCs w:val="0"/>
                <w:color w:val="000000"/>
                <w:sz w:val="20"/>
                <w:szCs w:val="20"/>
                <w:u w:val="none"/>
              </w:rPr>
            </w:pPr>
          </w:p>
        </w:tc>
      </w:tr>
      <w:tr w14:paraId="27E17C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E8DF2C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5A812E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C96C75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8.安装方式至少支持快拆式。</w:t>
            </w:r>
          </w:p>
        </w:tc>
        <w:tc>
          <w:tcPr>
            <w:tcW w:w="349" w:type="pct"/>
            <w:vMerge w:val="continue"/>
            <w:tcBorders>
              <w:tl2br w:val="nil"/>
              <w:tr2bl w:val="nil"/>
            </w:tcBorders>
            <w:noWrap w:val="0"/>
            <w:vAlign w:val="center"/>
          </w:tcPr>
          <w:p w14:paraId="0A91DCF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3447E9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538ED0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19448C8">
            <w:pPr>
              <w:jc w:val="center"/>
              <w:rPr>
                <w:rFonts w:hint="eastAsia" w:ascii="微软雅黑" w:hAnsi="微软雅黑" w:eastAsia="微软雅黑" w:cs="微软雅黑"/>
                <w:i w:val="0"/>
                <w:iCs w:val="0"/>
                <w:color w:val="000000"/>
                <w:sz w:val="20"/>
                <w:szCs w:val="20"/>
                <w:u w:val="none"/>
              </w:rPr>
            </w:pPr>
          </w:p>
        </w:tc>
      </w:tr>
      <w:tr w14:paraId="6B7D41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5A4CD91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422" w:type="pct"/>
            <w:vMerge w:val="restart"/>
            <w:tcBorders>
              <w:tl2br w:val="nil"/>
              <w:tr2bl w:val="nil"/>
            </w:tcBorders>
            <w:noWrap w:val="0"/>
            <w:vAlign w:val="center"/>
          </w:tcPr>
          <w:p w14:paraId="6130E32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机械臂载荷</w:t>
            </w:r>
          </w:p>
        </w:tc>
        <w:tc>
          <w:tcPr>
            <w:tcW w:w="2949" w:type="pct"/>
            <w:tcBorders>
              <w:tl2br w:val="nil"/>
              <w:tr2bl w:val="nil"/>
            </w:tcBorders>
            <w:noWrap w:val="0"/>
            <w:vAlign w:val="center"/>
          </w:tcPr>
          <w:p w14:paraId="4C7300D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1.手臂臂展：≥600mm；</w:t>
            </w:r>
          </w:p>
        </w:tc>
        <w:tc>
          <w:tcPr>
            <w:tcW w:w="349" w:type="pct"/>
            <w:vMerge w:val="restart"/>
            <w:tcBorders>
              <w:tl2br w:val="nil"/>
              <w:tr2bl w:val="nil"/>
            </w:tcBorders>
            <w:noWrap w:val="0"/>
            <w:vAlign w:val="center"/>
          </w:tcPr>
          <w:p w14:paraId="5AD29BA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6BBD792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3288393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091E03D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7E3185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105EF5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64ED84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DDE5FC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2.手臂自由度：≥4；</w:t>
            </w:r>
          </w:p>
        </w:tc>
        <w:tc>
          <w:tcPr>
            <w:tcW w:w="349" w:type="pct"/>
            <w:vMerge w:val="continue"/>
            <w:tcBorders>
              <w:tl2br w:val="nil"/>
              <w:tr2bl w:val="nil"/>
            </w:tcBorders>
            <w:noWrap w:val="0"/>
            <w:vAlign w:val="center"/>
          </w:tcPr>
          <w:p w14:paraId="4BA1926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F0989F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EC290E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4FDB544">
            <w:pPr>
              <w:jc w:val="center"/>
              <w:rPr>
                <w:rFonts w:hint="eastAsia" w:ascii="微软雅黑" w:hAnsi="微软雅黑" w:eastAsia="微软雅黑" w:cs="微软雅黑"/>
                <w:i w:val="0"/>
                <w:iCs w:val="0"/>
                <w:color w:val="000000"/>
                <w:sz w:val="20"/>
                <w:szCs w:val="20"/>
                <w:u w:val="none"/>
              </w:rPr>
            </w:pPr>
          </w:p>
        </w:tc>
      </w:tr>
      <w:tr w14:paraId="42164A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05CE8E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C00050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9AC7C9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3.末端执行器最大速度：≥1m/s；</w:t>
            </w:r>
          </w:p>
        </w:tc>
        <w:tc>
          <w:tcPr>
            <w:tcW w:w="349" w:type="pct"/>
            <w:vMerge w:val="continue"/>
            <w:tcBorders>
              <w:tl2br w:val="nil"/>
              <w:tr2bl w:val="nil"/>
            </w:tcBorders>
            <w:noWrap w:val="0"/>
            <w:vAlign w:val="center"/>
          </w:tcPr>
          <w:p w14:paraId="55BACFA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153BFE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289153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B828C8D">
            <w:pPr>
              <w:jc w:val="center"/>
              <w:rPr>
                <w:rFonts w:hint="eastAsia" w:ascii="微软雅黑" w:hAnsi="微软雅黑" w:eastAsia="微软雅黑" w:cs="微软雅黑"/>
                <w:i w:val="0"/>
                <w:iCs w:val="0"/>
                <w:color w:val="000000"/>
                <w:sz w:val="20"/>
                <w:szCs w:val="20"/>
                <w:u w:val="none"/>
              </w:rPr>
            </w:pPr>
          </w:p>
        </w:tc>
      </w:tr>
      <w:tr w14:paraId="74F27F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FE219B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8DA367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ABB96D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4.末端最大负载：≥500g；</w:t>
            </w:r>
          </w:p>
        </w:tc>
        <w:tc>
          <w:tcPr>
            <w:tcW w:w="349" w:type="pct"/>
            <w:vMerge w:val="continue"/>
            <w:tcBorders>
              <w:tl2br w:val="nil"/>
              <w:tr2bl w:val="nil"/>
            </w:tcBorders>
            <w:noWrap w:val="0"/>
            <w:vAlign w:val="center"/>
          </w:tcPr>
          <w:p w14:paraId="1828371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9280C6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5F7BABA">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F3E23AF">
            <w:pPr>
              <w:jc w:val="center"/>
              <w:rPr>
                <w:rFonts w:hint="eastAsia" w:ascii="微软雅黑" w:hAnsi="微软雅黑" w:eastAsia="微软雅黑" w:cs="微软雅黑"/>
                <w:i w:val="0"/>
                <w:iCs w:val="0"/>
                <w:color w:val="000000"/>
                <w:sz w:val="20"/>
                <w:szCs w:val="20"/>
                <w:u w:val="none"/>
              </w:rPr>
            </w:pPr>
          </w:p>
        </w:tc>
      </w:tr>
      <w:tr w14:paraId="26E51B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85B51B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9B0698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8E67D6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5.可伸展至无人机旋翼外侧进行作业而不影响无人机平稳悬停/飞行；</w:t>
            </w:r>
          </w:p>
        </w:tc>
        <w:tc>
          <w:tcPr>
            <w:tcW w:w="349" w:type="pct"/>
            <w:vMerge w:val="continue"/>
            <w:tcBorders>
              <w:tl2br w:val="nil"/>
              <w:tr2bl w:val="nil"/>
            </w:tcBorders>
            <w:noWrap w:val="0"/>
            <w:vAlign w:val="center"/>
          </w:tcPr>
          <w:p w14:paraId="1607B6C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F8FDE2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4DBFD1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FC64318">
            <w:pPr>
              <w:jc w:val="center"/>
              <w:rPr>
                <w:rFonts w:hint="eastAsia" w:ascii="微软雅黑" w:hAnsi="微软雅黑" w:eastAsia="微软雅黑" w:cs="微软雅黑"/>
                <w:i w:val="0"/>
                <w:iCs w:val="0"/>
                <w:color w:val="000000"/>
                <w:sz w:val="20"/>
                <w:szCs w:val="20"/>
                <w:u w:val="none"/>
              </w:rPr>
            </w:pPr>
          </w:p>
        </w:tc>
      </w:tr>
      <w:tr w14:paraId="2E0EF8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AEF3FC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EBD6B81">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E57E26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6.支持遥控器单独控制；</w:t>
            </w:r>
          </w:p>
        </w:tc>
        <w:tc>
          <w:tcPr>
            <w:tcW w:w="349" w:type="pct"/>
            <w:vMerge w:val="continue"/>
            <w:tcBorders>
              <w:tl2br w:val="nil"/>
              <w:tr2bl w:val="nil"/>
            </w:tcBorders>
            <w:noWrap w:val="0"/>
            <w:vAlign w:val="center"/>
          </w:tcPr>
          <w:p w14:paraId="07CE3E0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A3C328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A9EA7C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0296FED">
            <w:pPr>
              <w:jc w:val="center"/>
              <w:rPr>
                <w:rFonts w:hint="eastAsia" w:ascii="微软雅黑" w:hAnsi="微软雅黑" w:eastAsia="微软雅黑" w:cs="微软雅黑"/>
                <w:i w:val="0"/>
                <w:iCs w:val="0"/>
                <w:color w:val="000000"/>
                <w:sz w:val="20"/>
                <w:szCs w:val="20"/>
                <w:u w:val="none"/>
              </w:rPr>
            </w:pPr>
          </w:p>
        </w:tc>
      </w:tr>
      <w:tr w14:paraId="786A95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17823C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B21D0B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3B86FC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7.支持双路、多视角无线传输，高分辨率、超广角、高速数据采集传输；</w:t>
            </w:r>
          </w:p>
        </w:tc>
        <w:tc>
          <w:tcPr>
            <w:tcW w:w="349" w:type="pct"/>
            <w:vMerge w:val="continue"/>
            <w:tcBorders>
              <w:tl2br w:val="nil"/>
              <w:tr2bl w:val="nil"/>
            </w:tcBorders>
            <w:noWrap w:val="0"/>
            <w:vAlign w:val="center"/>
          </w:tcPr>
          <w:p w14:paraId="12077EF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78BF88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708B66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425F2D0">
            <w:pPr>
              <w:jc w:val="center"/>
              <w:rPr>
                <w:rFonts w:hint="eastAsia" w:ascii="微软雅黑" w:hAnsi="微软雅黑" w:eastAsia="微软雅黑" w:cs="微软雅黑"/>
                <w:i w:val="0"/>
                <w:iCs w:val="0"/>
                <w:color w:val="000000"/>
                <w:sz w:val="20"/>
                <w:szCs w:val="20"/>
                <w:u w:val="none"/>
              </w:rPr>
            </w:pPr>
          </w:p>
        </w:tc>
      </w:tr>
      <w:tr w14:paraId="52007F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5E119A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EFEEDD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D3B4B8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8.搭载实时高清显示屏，高频数据传输反馈，超远程控制。</w:t>
            </w:r>
          </w:p>
        </w:tc>
        <w:tc>
          <w:tcPr>
            <w:tcW w:w="349" w:type="pct"/>
            <w:vMerge w:val="continue"/>
            <w:tcBorders>
              <w:tl2br w:val="nil"/>
              <w:tr2bl w:val="nil"/>
            </w:tcBorders>
            <w:noWrap w:val="0"/>
            <w:vAlign w:val="center"/>
          </w:tcPr>
          <w:p w14:paraId="77EC27A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2E5E72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076540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92E023A">
            <w:pPr>
              <w:jc w:val="center"/>
              <w:rPr>
                <w:rFonts w:hint="eastAsia" w:ascii="微软雅黑" w:hAnsi="微软雅黑" w:eastAsia="微软雅黑" w:cs="微软雅黑"/>
                <w:i w:val="0"/>
                <w:iCs w:val="0"/>
                <w:color w:val="000000"/>
                <w:sz w:val="20"/>
                <w:szCs w:val="20"/>
                <w:u w:val="none"/>
              </w:rPr>
            </w:pPr>
          </w:p>
        </w:tc>
      </w:tr>
      <w:tr w14:paraId="419EF5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16" w:type="pct"/>
            <w:tcBorders>
              <w:tl2br w:val="nil"/>
              <w:tr2bl w:val="nil"/>
            </w:tcBorders>
            <w:noWrap w:val="0"/>
            <w:vAlign w:val="center"/>
          </w:tcPr>
          <w:p w14:paraId="568B46E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422" w:type="pct"/>
            <w:tcBorders>
              <w:tl2br w:val="nil"/>
              <w:tr2bl w:val="nil"/>
            </w:tcBorders>
            <w:noWrap w:val="0"/>
            <w:vAlign w:val="center"/>
          </w:tcPr>
          <w:p w14:paraId="74ADDC9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双云台挂载组件</w:t>
            </w:r>
          </w:p>
        </w:tc>
        <w:tc>
          <w:tcPr>
            <w:tcW w:w="2949" w:type="pct"/>
            <w:tcBorders>
              <w:tl2br w:val="nil"/>
              <w:tr2bl w:val="nil"/>
            </w:tcBorders>
            <w:noWrap w:val="0"/>
            <w:vAlign w:val="center"/>
          </w:tcPr>
          <w:p w14:paraId="393FE21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1.与典型场景应用飞行模块搭配，安装负载至飞行器底部，防水等级达 IP44。</w:t>
            </w:r>
          </w:p>
        </w:tc>
        <w:tc>
          <w:tcPr>
            <w:tcW w:w="349" w:type="pct"/>
            <w:tcBorders>
              <w:tl2br w:val="nil"/>
              <w:tr2bl w:val="nil"/>
            </w:tcBorders>
            <w:noWrap w:val="0"/>
            <w:vAlign w:val="center"/>
          </w:tcPr>
          <w:p w14:paraId="45EFB20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04D20F7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78ED554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190DC5A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265A3F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restart"/>
            <w:tcBorders>
              <w:tl2br w:val="nil"/>
              <w:tr2bl w:val="nil"/>
            </w:tcBorders>
            <w:noWrap w:val="0"/>
            <w:vAlign w:val="center"/>
          </w:tcPr>
          <w:p w14:paraId="5FB8F42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422" w:type="pct"/>
            <w:vMerge w:val="restart"/>
            <w:tcBorders>
              <w:tl2br w:val="nil"/>
              <w:tr2bl w:val="nil"/>
            </w:tcBorders>
            <w:noWrap w:val="0"/>
            <w:vAlign w:val="center"/>
          </w:tcPr>
          <w:p w14:paraId="4139F69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无人机装调检修实训平台</w:t>
            </w:r>
            <w:r>
              <w:rPr>
                <w:rFonts w:hint="eastAsia" w:ascii="宋体" w:hAnsi="宋体" w:cs="宋体"/>
                <w:i w:val="0"/>
                <w:iCs w:val="0"/>
                <w:color w:val="auto"/>
                <w:kern w:val="0"/>
                <w:sz w:val="18"/>
                <w:szCs w:val="18"/>
                <w:u w:val="none"/>
                <w:lang w:val="en-US" w:eastAsia="zh-CN" w:bidi="ar"/>
              </w:rPr>
              <w:t>★</w:t>
            </w:r>
          </w:p>
        </w:tc>
        <w:tc>
          <w:tcPr>
            <w:tcW w:w="2949" w:type="pct"/>
            <w:tcBorders>
              <w:tl2br w:val="nil"/>
              <w:tr2bl w:val="nil"/>
            </w:tcBorders>
            <w:noWrap w:val="0"/>
            <w:vAlign w:val="center"/>
          </w:tcPr>
          <w:p w14:paraId="0DCFF46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一、产品总体要求</w:t>
            </w:r>
          </w:p>
        </w:tc>
        <w:tc>
          <w:tcPr>
            <w:tcW w:w="349" w:type="pct"/>
            <w:vMerge w:val="restart"/>
            <w:tcBorders>
              <w:tl2br w:val="nil"/>
              <w:tr2bl w:val="nil"/>
            </w:tcBorders>
            <w:noWrap w:val="0"/>
            <w:vAlign w:val="center"/>
          </w:tcPr>
          <w:p w14:paraId="2544DC9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4" w:type="pct"/>
            <w:tcBorders>
              <w:tl2br w:val="nil"/>
              <w:tr2bl w:val="nil"/>
            </w:tcBorders>
            <w:noWrap w:val="0"/>
            <w:vAlign w:val="center"/>
          </w:tcPr>
          <w:p w14:paraId="438B45E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69" w:type="pct"/>
            <w:tcBorders>
              <w:tl2br w:val="nil"/>
              <w:tr2bl w:val="nil"/>
            </w:tcBorders>
            <w:noWrap w:val="0"/>
            <w:vAlign w:val="center"/>
          </w:tcPr>
          <w:p w14:paraId="7B5D987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48" w:type="pct"/>
            <w:gridSpan w:val="2"/>
            <w:tcBorders>
              <w:tl2br w:val="nil"/>
              <w:tr2bl w:val="nil"/>
            </w:tcBorders>
            <w:noWrap w:val="0"/>
            <w:vAlign w:val="center"/>
          </w:tcPr>
          <w:p w14:paraId="617C35B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0D7E41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13CD69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19DD17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BF2F68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1、整体规格要求：长*宽*高：1640mm*900mm*1515mm（±20mm不含指示灯及监控装置伸展位置）；</w:t>
            </w:r>
          </w:p>
        </w:tc>
        <w:tc>
          <w:tcPr>
            <w:tcW w:w="349" w:type="pct"/>
            <w:vMerge w:val="continue"/>
            <w:tcBorders>
              <w:tl2br w:val="nil"/>
              <w:tr2bl w:val="nil"/>
            </w:tcBorders>
            <w:noWrap w:val="0"/>
            <w:vAlign w:val="center"/>
          </w:tcPr>
          <w:p w14:paraId="6ACFCB8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4CFBA3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F1D3F1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0835945">
            <w:pPr>
              <w:jc w:val="center"/>
              <w:rPr>
                <w:rFonts w:hint="eastAsia" w:ascii="微软雅黑" w:hAnsi="微软雅黑" w:eastAsia="微软雅黑" w:cs="微软雅黑"/>
                <w:i w:val="0"/>
                <w:iCs w:val="0"/>
                <w:color w:val="000000"/>
                <w:sz w:val="20"/>
                <w:szCs w:val="20"/>
                <w:u w:val="none"/>
              </w:rPr>
            </w:pPr>
          </w:p>
        </w:tc>
      </w:tr>
      <w:tr w14:paraId="0D5E15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16" w:type="pct"/>
            <w:vMerge w:val="continue"/>
            <w:tcBorders>
              <w:tl2br w:val="nil"/>
              <w:tr2bl w:val="nil"/>
            </w:tcBorders>
            <w:noWrap w:val="0"/>
            <w:vAlign w:val="center"/>
          </w:tcPr>
          <w:p w14:paraId="304339D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66D662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02A387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设备主体配置四层抽屉式储物间及对开储物隔间，整体材料采用型材加钣金组成，表面采用阳极氧化，台体配置可折叠拓展桌面长*宽：≥598mm*816mm；并配置USB插板、十孔插座、按钮盒、指示灯、电控箱及可升降监控系统（摄像头采用不低于200万红外定焦海螺半球网络摄像机）。</w:t>
            </w:r>
          </w:p>
        </w:tc>
        <w:tc>
          <w:tcPr>
            <w:tcW w:w="349" w:type="pct"/>
            <w:vMerge w:val="continue"/>
            <w:tcBorders>
              <w:tl2br w:val="nil"/>
              <w:tr2bl w:val="nil"/>
            </w:tcBorders>
            <w:noWrap w:val="0"/>
            <w:vAlign w:val="center"/>
          </w:tcPr>
          <w:p w14:paraId="073D6C3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BE25D0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9C1D95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A3662AB">
            <w:pPr>
              <w:jc w:val="center"/>
              <w:rPr>
                <w:rFonts w:hint="eastAsia" w:ascii="微软雅黑" w:hAnsi="微软雅黑" w:eastAsia="微软雅黑" w:cs="微软雅黑"/>
                <w:i w:val="0"/>
                <w:iCs w:val="0"/>
                <w:color w:val="000000"/>
                <w:sz w:val="20"/>
                <w:szCs w:val="20"/>
                <w:u w:val="none"/>
              </w:rPr>
            </w:pPr>
          </w:p>
        </w:tc>
      </w:tr>
      <w:tr w14:paraId="132D27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53885F3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8C9C62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223C77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3、设备要求由实训台台架、无人机组装调试模块、飞行测试模块、无人机参数配置模块、无人机维修定损考核系统、工具模块等部分组成。满足无人机组装与调试、无人机检修、无人机飞行测试等需求。</w:t>
            </w:r>
          </w:p>
        </w:tc>
        <w:tc>
          <w:tcPr>
            <w:tcW w:w="349" w:type="pct"/>
            <w:vMerge w:val="continue"/>
            <w:tcBorders>
              <w:tl2br w:val="nil"/>
              <w:tr2bl w:val="nil"/>
            </w:tcBorders>
            <w:noWrap w:val="0"/>
            <w:vAlign w:val="center"/>
          </w:tcPr>
          <w:p w14:paraId="73EE801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D98931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54EA0C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4612551">
            <w:pPr>
              <w:jc w:val="center"/>
              <w:rPr>
                <w:rFonts w:hint="eastAsia" w:ascii="微软雅黑" w:hAnsi="微软雅黑" w:eastAsia="微软雅黑" w:cs="微软雅黑"/>
                <w:i w:val="0"/>
                <w:iCs w:val="0"/>
                <w:color w:val="000000"/>
                <w:sz w:val="20"/>
                <w:szCs w:val="20"/>
                <w:u w:val="none"/>
              </w:rPr>
            </w:pPr>
          </w:p>
        </w:tc>
      </w:tr>
      <w:tr w14:paraId="5EAF18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F639CE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51FD74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800DD4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二、平台结构与组成要求</w:t>
            </w:r>
          </w:p>
        </w:tc>
        <w:tc>
          <w:tcPr>
            <w:tcW w:w="349" w:type="pct"/>
            <w:vMerge w:val="continue"/>
            <w:tcBorders>
              <w:tl2br w:val="nil"/>
              <w:tr2bl w:val="nil"/>
            </w:tcBorders>
            <w:noWrap w:val="0"/>
            <w:vAlign w:val="center"/>
          </w:tcPr>
          <w:p w14:paraId="341B8FD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6CF967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EFFA9B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BC9908D">
            <w:pPr>
              <w:jc w:val="center"/>
              <w:rPr>
                <w:rFonts w:hint="eastAsia" w:ascii="微软雅黑" w:hAnsi="微软雅黑" w:eastAsia="微软雅黑" w:cs="微软雅黑"/>
                <w:i w:val="0"/>
                <w:iCs w:val="0"/>
                <w:color w:val="000000"/>
                <w:sz w:val="20"/>
                <w:szCs w:val="20"/>
                <w:u w:val="none"/>
              </w:rPr>
            </w:pPr>
          </w:p>
        </w:tc>
      </w:tr>
      <w:tr w14:paraId="641F60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6F6107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68DC3C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9701C6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（一）无人机组装调试模块</w:t>
            </w:r>
          </w:p>
        </w:tc>
        <w:tc>
          <w:tcPr>
            <w:tcW w:w="349" w:type="pct"/>
            <w:vMerge w:val="continue"/>
            <w:tcBorders>
              <w:tl2br w:val="nil"/>
              <w:tr2bl w:val="nil"/>
            </w:tcBorders>
            <w:noWrap w:val="0"/>
            <w:vAlign w:val="center"/>
          </w:tcPr>
          <w:p w14:paraId="656BB92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B11D93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D3F92C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8671078">
            <w:pPr>
              <w:jc w:val="center"/>
              <w:rPr>
                <w:rFonts w:hint="eastAsia" w:ascii="微软雅黑" w:hAnsi="微软雅黑" w:eastAsia="微软雅黑" w:cs="微软雅黑"/>
                <w:i w:val="0"/>
                <w:iCs w:val="0"/>
                <w:color w:val="000000"/>
                <w:sz w:val="20"/>
                <w:szCs w:val="20"/>
                <w:u w:val="none"/>
              </w:rPr>
            </w:pPr>
          </w:p>
        </w:tc>
      </w:tr>
      <w:tr w14:paraId="50511B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498989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9228DD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60273D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1、要求提供三种机架布局机型，分别为“十”字型，“X”型和“H”型；</w:t>
            </w:r>
          </w:p>
        </w:tc>
        <w:tc>
          <w:tcPr>
            <w:tcW w:w="349" w:type="pct"/>
            <w:vMerge w:val="continue"/>
            <w:tcBorders>
              <w:tl2br w:val="nil"/>
              <w:tr2bl w:val="nil"/>
            </w:tcBorders>
            <w:noWrap w:val="0"/>
            <w:vAlign w:val="center"/>
          </w:tcPr>
          <w:p w14:paraId="4DDA26C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39EE73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0A5EB6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AEB20E1">
            <w:pPr>
              <w:jc w:val="center"/>
              <w:rPr>
                <w:rFonts w:hint="eastAsia" w:ascii="微软雅黑" w:hAnsi="微软雅黑" w:eastAsia="微软雅黑" w:cs="微软雅黑"/>
                <w:i w:val="0"/>
                <w:iCs w:val="0"/>
                <w:color w:val="000000"/>
                <w:sz w:val="20"/>
                <w:szCs w:val="20"/>
                <w:u w:val="none"/>
              </w:rPr>
            </w:pPr>
          </w:p>
        </w:tc>
      </w:tr>
      <w:tr w14:paraId="1E0A7B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4C24BE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744709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D9ED38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2、要求每种机架布局的中心板部件，能够满足三种机型装配使用；</w:t>
            </w:r>
          </w:p>
        </w:tc>
        <w:tc>
          <w:tcPr>
            <w:tcW w:w="349" w:type="pct"/>
            <w:vMerge w:val="continue"/>
            <w:tcBorders>
              <w:tl2br w:val="nil"/>
              <w:tr2bl w:val="nil"/>
            </w:tcBorders>
            <w:noWrap w:val="0"/>
            <w:vAlign w:val="center"/>
          </w:tcPr>
          <w:p w14:paraId="2CBD947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663801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6908E1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CAACEA6">
            <w:pPr>
              <w:jc w:val="center"/>
              <w:rPr>
                <w:rFonts w:hint="eastAsia" w:ascii="微软雅黑" w:hAnsi="微软雅黑" w:eastAsia="微软雅黑" w:cs="微软雅黑"/>
                <w:i w:val="0"/>
                <w:iCs w:val="0"/>
                <w:color w:val="000000"/>
                <w:sz w:val="20"/>
                <w:szCs w:val="20"/>
                <w:u w:val="none"/>
              </w:rPr>
            </w:pPr>
          </w:p>
        </w:tc>
      </w:tr>
      <w:tr w14:paraId="31AC19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10BD45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8281E6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79617B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3、平台要求提供五种不同规格电机；且每种不同规格电机4颗；</w:t>
            </w:r>
          </w:p>
        </w:tc>
        <w:tc>
          <w:tcPr>
            <w:tcW w:w="349" w:type="pct"/>
            <w:vMerge w:val="continue"/>
            <w:tcBorders>
              <w:tl2br w:val="nil"/>
              <w:tr2bl w:val="nil"/>
            </w:tcBorders>
            <w:noWrap w:val="0"/>
            <w:vAlign w:val="center"/>
          </w:tcPr>
          <w:p w14:paraId="3CD4C37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BF4DB5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E2BD05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374EE7A">
            <w:pPr>
              <w:jc w:val="center"/>
              <w:rPr>
                <w:rFonts w:hint="eastAsia" w:ascii="微软雅黑" w:hAnsi="微软雅黑" w:eastAsia="微软雅黑" w:cs="微软雅黑"/>
                <w:i w:val="0"/>
                <w:iCs w:val="0"/>
                <w:color w:val="000000"/>
                <w:sz w:val="20"/>
                <w:szCs w:val="20"/>
                <w:u w:val="none"/>
              </w:rPr>
            </w:pPr>
          </w:p>
        </w:tc>
      </w:tr>
      <w:tr w14:paraId="37A188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8157E0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3FE057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EFFBDAE">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4、电调规格类型不少于三种，且要求分别包含20A、30A、40A，每种不少于4条，总数不少于12条；</w:t>
            </w:r>
          </w:p>
        </w:tc>
        <w:tc>
          <w:tcPr>
            <w:tcW w:w="349" w:type="pct"/>
            <w:vMerge w:val="continue"/>
            <w:tcBorders>
              <w:tl2br w:val="nil"/>
              <w:tr2bl w:val="nil"/>
            </w:tcBorders>
            <w:noWrap w:val="0"/>
            <w:vAlign w:val="center"/>
          </w:tcPr>
          <w:p w14:paraId="4B82514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922742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CA0895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4261995">
            <w:pPr>
              <w:jc w:val="center"/>
              <w:rPr>
                <w:rFonts w:hint="eastAsia" w:ascii="微软雅黑" w:hAnsi="微软雅黑" w:eastAsia="微软雅黑" w:cs="微软雅黑"/>
                <w:i w:val="0"/>
                <w:iCs w:val="0"/>
                <w:color w:val="000000"/>
                <w:sz w:val="20"/>
                <w:szCs w:val="20"/>
                <w:u w:val="none"/>
              </w:rPr>
            </w:pPr>
          </w:p>
        </w:tc>
      </w:tr>
      <w:tr w14:paraId="1CCD27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F26A33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370923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04FA51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5、桨叶规格不少于4种，材质要求为塑料，每种规格不少于两对，总数不少于8对；</w:t>
            </w:r>
          </w:p>
        </w:tc>
        <w:tc>
          <w:tcPr>
            <w:tcW w:w="349" w:type="pct"/>
            <w:vMerge w:val="continue"/>
            <w:tcBorders>
              <w:tl2br w:val="nil"/>
              <w:tr2bl w:val="nil"/>
            </w:tcBorders>
            <w:noWrap w:val="0"/>
            <w:vAlign w:val="center"/>
          </w:tcPr>
          <w:p w14:paraId="1D60AE2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2EEC56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034312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C69BB71">
            <w:pPr>
              <w:jc w:val="center"/>
              <w:rPr>
                <w:rFonts w:hint="eastAsia" w:ascii="微软雅黑" w:hAnsi="微软雅黑" w:eastAsia="微软雅黑" w:cs="微软雅黑"/>
                <w:i w:val="0"/>
                <w:iCs w:val="0"/>
                <w:color w:val="000000"/>
                <w:sz w:val="20"/>
                <w:szCs w:val="20"/>
                <w:u w:val="none"/>
              </w:rPr>
            </w:pPr>
          </w:p>
        </w:tc>
      </w:tr>
      <w:tr w14:paraId="5D4108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B16903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FA356C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3E948A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6、电池规格：4S，容量≥5000mah，放电倍率≥30C，数量不少于3块；</w:t>
            </w:r>
          </w:p>
        </w:tc>
        <w:tc>
          <w:tcPr>
            <w:tcW w:w="349" w:type="pct"/>
            <w:vMerge w:val="continue"/>
            <w:tcBorders>
              <w:tl2br w:val="nil"/>
              <w:tr2bl w:val="nil"/>
            </w:tcBorders>
            <w:noWrap w:val="0"/>
            <w:vAlign w:val="center"/>
          </w:tcPr>
          <w:p w14:paraId="22D8A25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7C50AB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7DFCF0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AE2D18F">
            <w:pPr>
              <w:jc w:val="center"/>
              <w:rPr>
                <w:rFonts w:hint="eastAsia" w:ascii="微软雅黑" w:hAnsi="微软雅黑" w:eastAsia="微软雅黑" w:cs="微软雅黑"/>
                <w:i w:val="0"/>
                <w:iCs w:val="0"/>
                <w:color w:val="000000"/>
                <w:sz w:val="20"/>
                <w:szCs w:val="20"/>
                <w:u w:val="none"/>
              </w:rPr>
            </w:pPr>
          </w:p>
        </w:tc>
      </w:tr>
      <w:tr w14:paraId="196F72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06FD94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E5B3F9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C3F5DB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7、飞行控制器：支持定点模式、定高模式、任务模式和返航模式；</w:t>
            </w:r>
          </w:p>
        </w:tc>
        <w:tc>
          <w:tcPr>
            <w:tcW w:w="349" w:type="pct"/>
            <w:vMerge w:val="continue"/>
            <w:tcBorders>
              <w:tl2br w:val="nil"/>
              <w:tr2bl w:val="nil"/>
            </w:tcBorders>
            <w:noWrap w:val="0"/>
            <w:vAlign w:val="center"/>
          </w:tcPr>
          <w:p w14:paraId="6F2A322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B17253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878316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ED3FF83">
            <w:pPr>
              <w:jc w:val="center"/>
              <w:rPr>
                <w:rFonts w:hint="eastAsia" w:ascii="微软雅黑" w:hAnsi="微软雅黑" w:eastAsia="微软雅黑" w:cs="微软雅黑"/>
                <w:i w:val="0"/>
                <w:iCs w:val="0"/>
                <w:color w:val="000000"/>
                <w:sz w:val="20"/>
                <w:szCs w:val="20"/>
                <w:u w:val="none"/>
              </w:rPr>
            </w:pPr>
          </w:p>
        </w:tc>
      </w:tr>
      <w:tr w14:paraId="483A94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2FE4E4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C36BDB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617A86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8、飞行控制器内部集成蜂鸣器，免于外接蜂鸣器模块，FLASH存储≥8MB，供电范围4.8〜5.5V；</w:t>
            </w:r>
          </w:p>
        </w:tc>
        <w:tc>
          <w:tcPr>
            <w:tcW w:w="349" w:type="pct"/>
            <w:vMerge w:val="continue"/>
            <w:tcBorders>
              <w:tl2br w:val="nil"/>
              <w:tr2bl w:val="nil"/>
            </w:tcBorders>
            <w:noWrap w:val="0"/>
            <w:vAlign w:val="center"/>
          </w:tcPr>
          <w:p w14:paraId="262533D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2E0829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CAB113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3704AE4">
            <w:pPr>
              <w:jc w:val="center"/>
              <w:rPr>
                <w:rFonts w:hint="eastAsia" w:ascii="微软雅黑" w:hAnsi="微软雅黑" w:eastAsia="微软雅黑" w:cs="微软雅黑"/>
                <w:i w:val="0"/>
                <w:iCs w:val="0"/>
                <w:color w:val="000000"/>
                <w:sz w:val="20"/>
                <w:szCs w:val="20"/>
                <w:u w:val="none"/>
              </w:rPr>
            </w:pPr>
          </w:p>
        </w:tc>
      </w:tr>
      <w:tr w14:paraId="1F5C05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16" w:type="pct"/>
            <w:vMerge w:val="continue"/>
            <w:tcBorders>
              <w:tl2br w:val="nil"/>
              <w:tr2bl w:val="nil"/>
            </w:tcBorders>
            <w:noWrap w:val="0"/>
            <w:vAlign w:val="center"/>
          </w:tcPr>
          <w:p w14:paraId="7E0B388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075A00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2E5125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飞行控制器内部集成要求包含蜂鸣器传感器模块、空速传感器模块、磁罗盘传感器模块、气压高度计模块、磁罗盘与加速度计模块、陀螺传感器模块、陀螺与加速度计传感器模块、CAN总线模块、声音报警模块、七彩指示灯模块、低压差供电模块、飞行数据存储模块、电平转换模块、参数存储模块、主控制器模块、输入输出控制器模块等；</w:t>
            </w:r>
          </w:p>
        </w:tc>
        <w:tc>
          <w:tcPr>
            <w:tcW w:w="349" w:type="pct"/>
            <w:vMerge w:val="continue"/>
            <w:tcBorders>
              <w:tl2br w:val="nil"/>
              <w:tr2bl w:val="nil"/>
            </w:tcBorders>
            <w:noWrap w:val="0"/>
            <w:vAlign w:val="center"/>
          </w:tcPr>
          <w:p w14:paraId="1B9BD41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5515BB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1149AF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B5BF7F5">
            <w:pPr>
              <w:jc w:val="center"/>
              <w:rPr>
                <w:rFonts w:hint="eastAsia" w:ascii="微软雅黑" w:hAnsi="微软雅黑" w:eastAsia="微软雅黑" w:cs="微软雅黑"/>
                <w:i w:val="0"/>
                <w:iCs w:val="0"/>
                <w:color w:val="000000"/>
                <w:sz w:val="20"/>
                <w:szCs w:val="20"/>
                <w:u w:val="none"/>
              </w:rPr>
            </w:pPr>
          </w:p>
        </w:tc>
      </w:tr>
      <w:tr w14:paraId="629D38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E166C3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D5CCBC1">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D2D013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10、飞行控制器外设串口要求包含数传串口、RTK串口、GPS串口、外置罗盘、光流串口、TFMINI串口等；</w:t>
            </w:r>
          </w:p>
        </w:tc>
        <w:tc>
          <w:tcPr>
            <w:tcW w:w="349" w:type="pct"/>
            <w:vMerge w:val="continue"/>
            <w:tcBorders>
              <w:tl2br w:val="nil"/>
              <w:tr2bl w:val="nil"/>
            </w:tcBorders>
            <w:noWrap w:val="0"/>
            <w:vAlign w:val="center"/>
          </w:tcPr>
          <w:p w14:paraId="0C963F2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DFAA91B">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990B62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B5EB2E3">
            <w:pPr>
              <w:jc w:val="center"/>
              <w:rPr>
                <w:rFonts w:hint="eastAsia" w:ascii="微软雅黑" w:hAnsi="微软雅黑" w:eastAsia="微软雅黑" w:cs="微软雅黑"/>
                <w:i w:val="0"/>
                <w:iCs w:val="0"/>
                <w:color w:val="000000"/>
                <w:sz w:val="20"/>
                <w:szCs w:val="20"/>
                <w:u w:val="none"/>
              </w:rPr>
            </w:pPr>
          </w:p>
        </w:tc>
      </w:tr>
      <w:tr w14:paraId="29062F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15D0626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D770C2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E551B1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飞行控制器要求采用高性能STM32H743VIT6处理器或同等性能及其以上性能产品，主频不低于480Mhz，带有双精度浮点硬件处理器，飞控系统要求具备：磁罗盘异常修正，单参数调节，多传感器融合，超快速二次开发等功能；</w:t>
            </w:r>
          </w:p>
        </w:tc>
        <w:tc>
          <w:tcPr>
            <w:tcW w:w="349" w:type="pct"/>
            <w:vMerge w:val="continue"/>
            <w:tcBorders>
              <w:tl2br w:val="nil"/>
              <w:tr2bl w:val="nil"/>
            </w:tcBorders>
            <w:noWrap w:val="0"/>
            <w:vAlign w:val="center"/>
          </w:tcPr>
          <w:p w14:paraId="3A43998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B8DDBD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D4AD45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E03463B">
            <w:pPr>
              <w:jc w:val="center"/>
              <w:rPr>
                <w:rFonts w:hint="eastAsia" w:ascii="微软雅黑" w:hAnsi="微软雅黑" w:eastAsia="微软雅黑" w:cs="微软雅黑"/>
                <w:i w:val="0"/>
                <w:iCs w:val="0"/>
                <w:color w:val="000000"/>
                <w:sz w:val="20"/>
                <w:szCs w:val="20"/>
                <w:u w:val="none"/>
              </w:rPr>
            </w:pPr>
          </w:p>
        </w:tc>
      </w:tr>
      <w:tr w14:paraId="489018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268BDCE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C80A00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ACEED3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遥控器工作频率：2400MHz〜2483.5MHz；通道数不少于12个；支持宽电压输入；支持SBUS.PWM信号输出，系统功耗≥80mA；传输速率≥38kbps；遥控系统具备信号发射指示灯，调制模式支持GFSK模式；且遥控器具备三段开关不少于1个，二段开关不少于1个；</w:t>
            </w:r>
          </w:p>
        </w:tc>
        <w:tc>
          <w:tcPr>
            <w:tcW w:w="349" w:type="pct"/>
            <w:vMerge w:val="continue"/>
            <w:tcBorders>
              <w:tl2br w:val="nil"/>
              <w:tr2bl w:val="nil"/>
            </w:tcBorders>
            <w:noWrap w:val="0"/>
            <w:vAlign w:val="center"/>
          </w:tcPr>
          <w:p w14:paraId="7C3B6BA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D5D2EC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7CE9F2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B6E2C03">
            <w:pPr>
              <w:jc w:val="center"/>
              <w:rPr>
                <w:rFonts w:hint="eastAsia" w:ascii="微软雅黑" w:hAnsi="微软雅黑" w:eastAsia="微软雅黑" w:cs="微软雅黑"/>
                <w:i w:val="0"/>
                <w:iCs w:val="0"/>
                <w:color w:val="000000"/>
                <w:sz w:val="20"/>
                <w:szCs w:val="20"/>
                <w:u w:val="none"/>
              </w:rPr>
            </w:pPr>
          </w:p>
        </w:tc>
      </w:tr>
      <w:tr w14:paraId="047D56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A2B7E5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563B7E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60C8A55">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13、充电器：支持输入交流100-240V，可满足LiPo、LiHV、LiFe电池充电，充电平衡精度&lt;0.005V，同时支持放电功能。</w:t>
            </w:r>
          </w:p>
        </w:tc>
        <w:tc>
          <w:tcPr>
            <w:tcW w:w="349" w:type="pct"/>
            <w:vMerge w:val="continue"/>
            <w:tcBorders>
              <w:tl2br w:val="nil"/>
              <w:tr2bl w:val="nil"/>
            </w:tcBorders>
            <w:noWrap w:val="0"/>
            <w:vAlign w:val="center"/>
          </w:tcPr>
          <w:p w14:paraId="33F2EE6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4668D6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4F8FA2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7133CB1">
            <w:pPr>
              <w:jc w:val="center"/>
              <w:rPr>
                <w:rFonts w:hint="eastAsia" w:ascii="微软雅黑" w:hAnsi="微软雅黑" w:eastAsia="微软雅黑" w:cs="微软雅黑"/>
                <w:i w:val="0"/>
                <w:iCs w:val="0"/>
                <w:color w:val="000000"/>
                <w:sz w:val="20"/>
                <w:szCs w:val="20"/>
                <w:u w:val="none"/>
              </w:rPr>
            </w:pPr>
          </w:p>
        </w:tc>
      </w:tr>
      <w:tr w14:paraId="419286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2FFAE3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E9E5C6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867B8B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（二）工具模块</w:t>
            </w:r>
          </w:p>
        </w:tc>
        <w:tc>
          <w:tcPr>
            <w:tcW w:w="349" w:type="pct"/>
            <w:vMerge w:val="continue"/>
            <w:tcBorders>
              <w:tl2br w:val="nil"/>
              <w:tr2bl w:val="nil"/>
            </w:tcBorders>
            <w:noWrap w:val="0"/>
            <w:vAlign w:val="center"/>
          </w:tcPr>
          <w:p w14:paraId="5E04B30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249ADC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1B0045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2D7C69E">
            <w:pPr>
              <w:jc w:val="center"/>
              <w:rPr>
                <w:rFonts w:hint="eastAsia" w:ascii="微软雅黑" w:hAnsi="微软雅黑" w:eastAsia="微软雅黑" w:cs="微软雅黑"/>
                <w:i w:val="0"/>
                <w:iCs w:val="0"/>
                <w:color w:val="000000"/>
                <w:sz w:val="20"/>
                <w:szCs w:val="20"/>
                <w:u w:val="none"/>
              </w:rPr>
            </w:pPr>
          </w:p>
        </w:tc>
      </w:tr>
      <w:tr w14:paraId="29A24A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216" w:type="pct"/>
            <w:vMerge w:val="continue"/>
            <w:tcBorders>
              <w:tl2br w:val="nil"/>
              <w:tr2bl w:val="nil"/>
            </w:tcBorders>
            <w:noWrap w:val="0"/>
            <w:vAlign w:val="center"/>
          </w:tcPr>
          <w:p w14:paraId="67FD0A9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E21DB1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4477BE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配套各个型号的内六角工具套装、尖嘴钳、剥线钳等工具，为无人机拆装、维修等实训任务提供支持。工具类型要求包含水平仪、万用表、测电器、试电笔、卷尺、直头镊子、弯头镊子、1.5m内六角螺丝刀、2.0m内六角螺丝刀、2.5m内六角螺丝刀、3.0m内六角螺丝刀、3.0十字螺丝刀、3.0一字螺丝刀、0*75mm 十字螺丝刀、M8套筒螺丝刀、M5.5套筒螺丝刀、美工刀、平口锉刀、水口钳、尖嘴剥线钳、电机固定钳、电烙铁套装、吸锡器、香蕉头焊台、焊锡丝、松香、助焊膏、热风枪、USB伸缩数据线、螺丝胶、热熔胶枪。</w:t>
            </w:r>
          </w:p>
        </w:tc>
        <w:tc>
          <w:tcPr>
            <w:tcW w:w="349" w:type="pct"/>
            <w:vMerge w:val="continue"/>
            <w:tcBorders>
              <w:tl2br w:val="nil"/>
              <w:tr2bl w:val="nil"/>
            </w:tcBorders>
            <w:noWrap w:val="0"/>
            <w:vAlign w:val="center"/>
          </w:tcPr>
          <w:p w14:paraId="1A00C6B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576818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01C52C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3C3ADA8">
            <w:pPr>
              <w:jc w:val="center"/>
              <w:rPr>
                <w:rFonts w:hint="eastAsia" w:ascii="微软雅黑" w:hAnsi="微软雅黑" w:eastAsia="微软雅黑" w:cs="微软雅黑"/>
                <w:i w:val="0"/>
                <w:iCs w:val="0"/>
                <w:color w:val="000000"/>
                <w:sz w:val="20"/>
                <w:szCs w:val="20"/>
                <w:u w:val="none"/>
              </w:rPr>
            </w:pPr>
          </w:p>
        </w:tc>
      </w:tr>
      <w:tr w14:paraId="271D37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1A7034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E92821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29B2A0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（三）无人机飞行测试模块</w:t>
            </w:r>
          </w:p>
        </w:tc>
        <w:tc>
          <w:tcPr>
            <w:tcW w:w="349" w:type="pct"/>
            <w:vMerge w:val="continue"/>
            <w:tcBorders>
              <w:tl2br w:val="nil"/>
              <w:tr2bl w:val="nil"/>
            </w:tcBorders>
            <w:noWrap w:val="0"/>
            <w:vAlign w:val="center"/>
          </w:tcPr>
          <w:p w14:paraId="481F23F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8C1B4A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AA36B3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4DAAAC8">
            <w:pPr>
              <w:jc w:val="center"/>
              <w:rPr>
                <w:rFonts w:hint="eastAsia" w:ascii="微软雅黑" w:hAnsi="微软雅黑" w:eastAsia="微软雅黑" w:cs="微软雅黑"/>
                <w:i w:val="0"/>
                <w:iCs w:val="0"/>
                <w:color w:val="000000"/>
                <w:sz w:val="20"/>
                <w:szCs w:val="20"/>
                <w:u w:val="none"/>
              </w:rPr>
            </w:pPr>
          </w:p>
        </w:tc>
      </w:tr>
      <w:tr w14:paraId="0BFAE4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7CCD0F8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566F564">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44C476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1、飞行测试模块要求包含一台四旋翼无人机、配备飞行升降装置、飞行测试笼，能够满足学生针对无人机进行前倾、后倾、左倾、右倾姿态验证，确保飞行调试过程中的安全。</w:t>
            </w:r>
          </w:p>
        </w:tc>
        <w:tc>
          <w:tcPr>
            <w:tcW w:w="349" w:type="pct"/>
            <w:vMerge w:val="continue"/>
            <w:tcBorders>
              <w:tl2br w:val="nil"/>
              <w:tr2bl w:val="nil"/>
            </w:tcBorders>
            <w:noWrap w:val="0"/>
            <w:vAlign w:val="center"/>
          </w:tcPr>
          <w:p w14:paraId="26305E0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EB1C39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6D6EB77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22202CE">
            <w:pPr>
              <w:jc w:val="center"/>
              <w:rPr>
                <w:rFonts w:hint="eastAsia" w:ascii="微软雅黑" w:hAnsi="微软雅黑" w:eastAsia="微软雅黑" w:cs="微软雅黑"/>
                <w:i w:val="0"/>
                <w:iCs w:val="0"/>
                <w:color w:val="000000"/>
                <w:sz w:val="20"/>
                <w:szCs w:val="20"/>
                <w:u w:val="none"/>
              </w:rPr>
            </w:pPr>
          </w:p>
        </w:tc>
      </w:tr>
      <w:tr w14:paraId="574A0E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4C53B1F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F932AB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33E4C0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2、安全防护笼尺寸：长*宽*高800mm*800mm*700mm（±20mm）;整体围栏材料采用铝型材材料，网面采用镀锌丝喷塑网片，底座采用钢板底座，防护笼设置不少于2面金属合页式门。</w:t>
            </w:r>
          </w:p>
        </w:tc>
        <w:tc>
          <w:tcPr>
            <w:tcW w:w="349" w:type="pct"/>
            <w:vMerge w:val="continue"/>
            <w:tcBorders>
              <w:tl2br w:val="nil"/>
              <w:tr2bl w:val="nil"/>
            </w:tcBorders>
            <w:noWrap w:val="0"/>
            <w:vAlign w:val="center"/>
          </w:tcPr>
          <w:p w14:paraId="65338B8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BBDDF5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4CBFDD6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13B6AC1">
            <w:pPr>
              <w:jc w:val="center"/>
              <w:rPr>
                <w:rFonts w:hint="eastAsia" w:ascii="微软雅黑" w:hAnsi="微软雅黑" w:eastAsia="微软雅黑" w:cs="微软雅黑"/>
                <w:i w:val="0"/>
                <w:iCs w:val="0"/>
                <w:color w:val="000000"/>
                <w:sz w:val="20"/>
                <w:szCs w:val="20"/>
                <w:u w:val="none"/>
              </w:rPr>
            </w:pPr>
          </w:p>
        </w:tc>
      </w:tr>
      <w:tr w14:paraId="6AA33D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7F8D647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992142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6DDD9D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▲3、无人机飞行验证装置要求由定制化铝件组成，固定在桌面上并与无人机底部进行连接，无人机飞行验证时能够上升≥5.5cm，当无人机上升后要求能够进行前倾、后倾、左倾、右倾姿态验证。</w:t>
            </w:r>
          </w:p>
        </w:tc>
        <w:tc>
          <w:tcPr>
            <w:tcW w:w="349" w:type="pct"/>
            <w:vMerge w:val="continue"/>
            <w:tcBorders>
              <w:tl2br w:val="nil"/>
              <w:tr2bl w:val="nil"/>
            </w:tcBorders>
            <w:noWrap w:val="0"/>
            <w:vAlign w:val="center"/>
          </w:tcPr>
          <w:p w14:paraId="1645A9F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4A1CEF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C5CA42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A5DEE39">
            <w:pPr>
              <w:jc w:val="center"/>
              <w:rPr>
                <w:rFonts w:hint="eastAsia" w:ascii="微软雅黑" w:hAnsi="微软雅黑" w:eastAsia="微软雅黑" w:cs="微软雅黑"/>
                <w:i w:val="0"/>
                <w:iCs w:val="0"/>
                <w:color w:val="000000"/>
                <w:sz w:val="20"/>
                <w:szCs w:val="20"/>
                <w:u w:val="none"/>
              </w:rPr>
            </w:pPr>
          </w:p>
        </w:tc>
      </w:tr>
      <w:tr w14:paraId="0A4DE4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3F4321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63DA08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8D3D53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4、四旋翼检修无人机具体参数要求如下：</w:t>
            </w:r>
          </w:p>
        </w:tc>
        <w:tc>
          <w:tcPr>
            <w:tcW w:w="349" w:type="pct"/>
            <w:vMerge w:val="continue"/>
            <w:tcBorders>
              <w:tl2br w:val="nil"/>
              <w:tr2bl w:val="nil"/>
            </w:tcBorders>
            <w:noWrap w:val="0"/>
            <w:vAlign w:val="center"/>
          </w:tcPr>
          <w:p w14:paraId="228CD09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EEC632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F87542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D9116EF">
            <w:pPr>
              <w:jc w:val="center"/>
              <w:rPr>
                <w:rFonts w:hint="eastAsia" w:ascii="微软雅黑" w:hAnsi="微软雅黑" w:eastAsia="微软雅黑" w:cs="微软雅黑"/>
                <w:i w:val="0"/>
                <w:iCs w:val="0"/>
                <w:color w:val="000000"/>
                <w:sz w:val="20"/>
                <w:szCs w:val="20"/>
                <w:u w:val="none"/>
              </w:rPr>
            </w:pPr>
          </w:p>
        </w:tc>
      </w:tr>
      <w:tr w14:paraId="7DD4F2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C51857B">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E0148D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3CE4CF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1）机架布局为“X”，机身轴距≥450mm；</w:t>
            </w:r>
          </w:p>
        </w:tc>
        <w:tc>
          <w:tcPr>
            <w:tcW w:w="349" w:type="pct"/>
            <w:vMerge w:val="continue"/>
            <w:tcBorders>
              <w:tl2br w:val="nil"/>
              <w:tr2bl w:val="nil"/>
            </w:tcBorders>
            <w:noWrap w:val="0"/>
            <w:vAlign w:val="center"/>
          </w:tcPr>
          <w:p w14:paraId="208C6F7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67464C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B4D770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489351F">
            <w:pPr>
              <w:jc w:val="center"/>
              <w:rPr>
                <w:rFonts w:hint="eastAsia" w:ascii="微软雅黑" w:hAnsi="微软雅黑" w:eastAsia="微软雅黑" w:cs="微软雅黑"/>
                <w:i w:val="0"/>
                <w:iCs w:val="0"/>
                <w:color w:val="000000"/>
                <w:sz w:val="20"/>
                <w:szCs w:val="20"/>
                <w:u w:val="none"/>
              </w:rPr>
            </w:pPr>
          </w:p>
        </w:tc>
      </w:tr>
      <w:tr w14:paraId="2498C6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CA9263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99BAC75">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AB0967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2）机身材料：要求碳纤维和航空铝；配备ABS塑料可拆卸壳体；</w:t>
            </w:r>
          </w:p>
        </w:tc>
        <w:tc>
          <w:tcPr>
            <w:tcW w:w="349" w:type="pct"/>
            <w:vMerge w:val="continue"/>
            <w:tcBorders>
              <w:tl2br w:val="nil"/>
              <w:tr2bl w:val="nil"/>
            </w:tcBorders>
            <w:noWrap w:val="0"/>
            <w:vAlign w:val="center"/>
          </w:tcPr>
          <w:p w14:paraId="5563998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40472C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E4FDC8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BFC2604">
            <w:pPr>
              <w:jc w:val="center"/>
              <w:rPr>
                <w:rFonts w:hint="eastAsia" w:ascii="微软雅黑" w:hAnsi="微软雅黑" w:eastAsia="微软雅黑" w:cs="微软雅黑"/>
                <w:i w:val="0"/>
                <w:iCs w:val="0"/>
                <w:color w:val="000000"/>
                <w:sz w:val="20"/>
                <w:szCs w:val="20"/>
                <w:u w:val="none"/>
              </w:rPr>
            </w:pPr>
          </w:p>
        </w:tc>
      </w:tr>
      <w:tr w14:paraId="5D4BEF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18ABE2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7D0987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240943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3）工作环境温度支持范围：-10〜40℃；</w:t>
            </w:r>
          </w:p>
        </w:tc>
        <w:tc>
          <w:tcPr>
            <w:tcW w:w="349" w:type="pct"/>
            <w:vMerge w:val="continue"/>
            <w:tcBorders>
              <w:tl2br w:val="nil"/>
              <w:tr2bl w:val="nil"/>
            </w:tcBorders>
            <w:noWrap w:val="0"/>
            <w:vAlign w:val="center"/>
          </w:tcPr>
          <w:p w14:paraId="031DBC4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832EB3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0289B0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9F844E4">
            <w:pPr>
              <w:jc w:val="center"/>
              <w:rPr>
                <w:rFonts w:hint="eastAsia" w:ascii="微软雅黑" w:hAnsi="微软雅黑" w:eastAsia="微软雅黑" w:cs="微软雅黑"/>
                <w:i w:val="0"/>
                <w:iCs w:val="0"/>
                <w:color w:val="000000"/>
                <w:sz w:val="20"/>
                <w:szCs w:val="20"/>
                <w:u w:val="none"/>
              </w:rPr>
            </w:pPr>
          </w:p>
        </w:tc>
      </w:tr>
      <w:tr w14:paraId="48426B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C8DC12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2DFE2D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A33772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4）无刷电机规格：定子直径≥23mm；高度≥12mm；KV值：≥1100KV，且带正反牙螺纹；</w:t>
            </w:r>
          </w:p>
        </w:tc>
        <w:tc>
          <w:tcPr>
            <w:tcW w:w="349" w:type="pct"/>
            <w:vMerge w:val="continue"/>
            <w:tcBorders>
              <w:tl2br w:val="nil"/>
              <w:tr2bl w:val="nil"/>
            </w:tcBorders>
            <w:noWrap w:val="0"/>
            <w:vAlign w:val="center"/>
          </w:tcPr>
          <w:p w14:paraId="50B257E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63EFC1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37CA72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D05AA11">
            <w:pPr>
              <w:jc w:val="center"/>
              <w:rPr>
                <w:rFonts w:hint="eastAsia" w:ascii="微软雅黑" w:hAnsi="微软雅黑" w:eastAsia="微软雅黑" w:cs="微软雅黑"/>
                <w:i w:val="0"/>
                <w:iCs w:val="0"/>
                <w:color w:val="000000"/>
                <w:sz w:val="20"/>
                <w:szCs w:val="20"/>
                <w:u w:val="none"/>
              </w:rPr>
            </w:pPr>
          </w:p>
        </w:tc>
      </w:tr>
      <w:tr w14:paraId="542F6E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504313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46DBF5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84F723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5)桨叶材质：塑料；</w:t>
            </w:r>
          </w:p>
        </w:tc>
        <w:tc>
          <w:tcPr>
            <w:tcW w:w="349" w:type="pct"/>
            <w:vMerge w:val="continue"/>
            <w:tcBorders>
              <w:tl2br w:val="nil"/>
              <w:tr2bl w:val="nil"/>
            </w:tcBorders>
            <w:noWrap w:val="0"/>
            <w:vAlign w:val="center"/>
          </w:tcPr>
          <w:p w14:paraId="72F30CB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BCDB4D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2DC29F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9E4ACDD">
            <w:pPr>
              <w:jc w:val="center"/>
              <w:rPr>
                <w:rFonts w:hint="eastAsia" w:ascii="微软雅黑" w:hAnsi="微软雅黑" w:eastAsia="微软雅黑" w:cs="微软雅黑"/>
                <w:i w:val="0"/>
                <w:iCs w:val="0"/>
                <w:color w:val="000000"/>
                <w:sz w:val="20"/>
                <w:szCs w:val="20"/>
                <w:u w:val="none"/>
              </w:rPr>
            </w:pPr>
          </w:p>
        </w:tc>
      </w:tr>
      <w:tr w14:paraId="507795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07B868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410CB8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03775F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6)下中心板工作电源：2S锂电池，容量：≥600mAh；</w:t>
            </w:r>
          </w:p>
        </w:tc>
        <w:tc>
          <w:tcPr>
            <w:tcW w:w="349" w:type="pct"/>
            <w:vMerge w:val="continue"/>
            <w:tcBorders>
              <w:tl2br w:val="nil"/>
              <w:tr2bl w:val="nil"/>
            </w:tcBorders>
            <w:noWrap w:val="0"/>
            <w:vAlign w:val="center"/>
          </w:tcPr>
          <w:p w14:paraId="69DA12A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DCC42A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BA47EF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3C58E07">
            <w:pPr>
              <w:jc w:val="center"/>
              <w:rPr>
                <w:rFonts w:hint="eastAsia" w:ascii="微软雅黑" w:hAnsi="微软雅黑" w:eastAsia="微软雅黑" w:cs="微软雅黑"/>
                <w:i w:val="0"/>
                <w:iCs w:val="0"/>
                <w:color w:val="000000"/>
                <w:sz w:val="20"/>
                <w:szCs w:val="20"/>
                <w:u w:val="none"/>
              </w:rPr>
            </w:pPr>
          </w:p>
        </w:tc>
      </w:tr>
      <w:tr w14:paraId="7E0B5E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2682BE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AE6BE0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33A044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7)每根机臂上具备≥10个检测点；</w:t>
            </w:r>
          </w:p>
        </w:tc>
        <w:tc>
          <w:tcPr>
            <w:tcW w:w="349" w:type="pct"/>
            <w:vMerge w:val="continue"/>
            <w:tcBorders>
              <w:tl2br w:val="nil"/>
              <w:tr2bl w:val="nil"/>
            </w:tcBorders>
            <w:noWrap w:val="0"/>
            <w:vAlign w:val="center"/>
          </w:tcPr>
          <w:p w14:paraId="7E71B07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45EC98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3E7D544">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91506BC">
            <w:pPr>
              <w:jc w:val="center"/>
              <w:rPr>
                <w:rFonts w:hint="eastAsia" w:ascii="微软雅黑" w:hAnsi="微软雅黑" w:eastAsia="微软雅黑" w:cs="微软雅黑"/>
                <w:i w:val="0"/>
                <w:iCs w:val="0"/>
                <w:color w:val="000000"/>
                <w:sz w:val="20"/>
                <w:szCs w:val="20"/>
                <w:u w:val="none"/>
              </w:rPr>
            </w:pPr>
          </w:p>
        </w:tc>
      </w:tr>
      <w:tr w14:paraId="3D210C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49ED61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072EC6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1FFCBA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8)下中心板具有独立供电功能，电池具备自动充电接口，具备保护功能开关；</w:t>
            </w:r>
          </w:p>
        </w:tc>
        <w:tc>
          <w:tcPr>
            <w:tcW w:w="349" w:type="pct"/>
            <w:vMerge w:val="continue"/>
            <w:tcBorders>
              <w:tl2br w:val="nil"/>
              <w:tr2bl w:val="nil"/>
            </w:tcBorders>
            <w:noWrap w:val="0"/>
            <w:vAlign w:val="center"/>
          </w:tcPr>
          <w:p w14:paraId="166E5026">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AA319C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C05B4B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F8BBD24">
            <w:pPr>
              <w:jc w:val="center"/>
              <w:rPr>
                <w:rFonts w:hint="eastAsia" w:ascii="微软雅黑" w:hAnsi="微软雅黑" w:eastAsia="微软雅黑" w:cs="微软雅黑"/>
                <w:i w:val="0"/>
                <w:iCs w:val="0"/>
                <w:color w:val="000000"/>
                <w:sz w:val="20"/>
                <w:szCs w:val="20"/>
                <w:u w:val="none"/>
              </w:rPr>
            </w:pPr>
          </w:p>
        </w:tc>
      </w:tr>
      <w:tr w14:paraId="5A57B9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B9D03B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CF02EE9">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BF16AF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9)主控制芯片：采用ESP32-D0WDQ6或同等规格及以上；</w:t>
            </w:r>
          </w:p>
        </w:tc>
        <w:tc>
          <w:tcPr>
            <w:tcW w:w="349" w:type="pct"/>
            <w:vMerge w:val="continue"/>
            <w:tcBorders>
              <w:tl2br w:val="nil"/>
              <w:tr2bl w:val="nil"/>
            </w:tcBorders>
            <w:noWrap w:val="0"/>
            <w:vAlign w:val="center"/>
          </w:tcPr>
          <w:p w14:paraId="19B5741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10308D9">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3C785E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2EF010E">
            <w:pPr>
              <w:jc w:val="center"/>
              <w:rPr>
                <w:rFonts w:hint="eastAsia" w:ascii="微软雅黑" w:hAnsi="微软雅黑" w:eastAsia="微软雅黑" w:cs="微软雅黑"/>
                <w:i w:val="0"/>
                <w:iCs w:val="0"/>
                <w:color w:val="000000"/>
                <w:sz w:val="20"/>
                <w:szCs w:val="20"/>
                <w:u w:val="none"/>
              </w:rPr>
            </w:pPr>
          </w:p>
        </w:tc>
      </w:tr>
      <w:tr w14:paraId="171259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ED5784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3C27AD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A0D605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10)通信方式／协议：不低于2.4G　wifi/MQTT；</w:t>
            </w:r>
          </w:p>
        </w:tc>
        <w:tc>
          <w:tcPr>
            <w:tcW w:w="349" w:type="pct"/>
            <w:vMerge w:val="continue"/>
            <w:tcBorders>
              <w:tl2br w:val="nil"/>
              <w:tr2bl w:val="nil"/>
            </w:tcBorders>
            <w:noWrap w:val="0"/>
            <w:vAlign w:val="center"/>
          </w:tcPr>
          <w:p w14:paraId="3ACA264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4D2D070">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B36EEB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17F8CB7">
            <w:pPr>
              <w:jc w:val="center"/>
              <w:rPr>
                <w:rFonts w:hint="eastAsia" w:ascii="微软雅黑" w:hAnsi="微软雅黑" w:eastAsia="微软雅黑" w:cs="微软雅黑"/>
                <w:i w:val="0"/>
                <w:iCs w:val="0"/>
                <w:color w:val="000000"/>
                <w:sz w:val="20"/>
                <w:szCs w:val="20"/>
                <w:u w:val="none"/>
              </w:rPr>
            </w:pPr>
          </w:p>
        </w:tc>
      </w:tr>
      <w:tr w14:paraId="132F9B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603323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D9B34B3">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0A2051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11)下中心板要求具备电量检测及低电量指示功能；</w:t>
            </w:r>
          </w:p>
        </w:tc>
        <w:tc>
          <w:tcPr>
            <w:tcW w:w="349" w:type="pct"/>
            <w:vMerge w:val="continue"/>
            <w:tcBorders>
              <w:tl2br w:val="nil"/>
              <w:tr2bl w:val="nil"/>
            </w:tcBorders>
            <w:noWrap w:val="0"/>
            <w:vAlign w:val="center"/>
          </w:tcPr>
          <w:p w14:paraId="600DA26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A21BAA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17A0BD6">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46A372C">
            <w:pPr>
              <w:jc w:val="center"/>
              <w:rPr>
                <w:rFonts w:hint="eastAsia" w:ascii="微软雅黑" w:hAnsi="微软雅黑" w:eastAsia="微软雅黑" w:cs="微软雅黑"/>
                <w:i w:val="0"/>
                <w:iCs w:val="0"/>
                <w:color w:val="000000"/>
                <w:sz w:val="20"/>
                <w:szCs w:val="20"/>
                <w:u w:val="none"/>
              </w:rPr>
            </w:pPr>
          </w:p>
        </w:tc>
      </w:tr>
      <w:tr w14:paraId="754303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9BC806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B73A01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8225F2B">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12)下中心板上要求具备设备状态指示：准备状态：绿色；正常工作状态：蓝色；错误状态：红色；</w:t>
            </w:r>
          </w:p>
        </w:tc>
        <w:tc>
          <w:tcPr>
            <w:tcW w:w="349" w:type="pct"/>
            <w:vMerge w:val="continue"/>
            <w:tcBorders>
              <w:tl2br w:val="nil"/>
              <w:tr2bl w:val="nil"/>
            </w:tcBorders>
            <w:noWrap w:val="0"/>
            <w:vAlign w:val="center"/>
          </w:tcPr>
          <w:p w14:paraId="697428A8">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FF5A25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20D351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AE63311">
            <w:pPr>
              <w:jc w:val="center"/>
              <w:rPr>
                <w:rFonts w:hint="eastAsia" w:ascii="微软雅黑" w:hAnsi="微软雅黑" w:eastAsia="微软雅黑" w:cs="微软雅黑"/>
                <w:i w:val="0"/>
                <w:iCs w:val="0"/>
                <w:color w:val="000000"/>
                <w:sz w:val="20"/>
                <w:szCs w:val="20"/>
                <w:u w:val="none"/>
              </w:rPr>
            </w:pPr>
          </w:p>
        </w:tc>
      </w:tr>
      <w:tr w14:paraId="40CF6A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AC3118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870785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06A894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13)下中心板要求支持远程无线自主升级功能；</w:t>
            </w:r>
          </w:p>
        </w:tc>
        <w:tc>
          <w:tcPr>
            <w:tcW w:w="349" w:type="pct"/>
            <w:vMerge w:val="continue"/>
            <w:tcBorders>
              <w:tl2br w:val="nil"/>
              <w:tr2bl w:val="nil"/>
            </w:tcBorders>
            <w:noWrap w:val="0"/>
            <w:vAlign w:val="center"/>
          </w:tcPr>
          <w:p w14:paraId="5BFFCF6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175B08F">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98D5B08">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4F1506D">
            <w:pPr>
              <w:jc w:val="center"/>
              <w:rPr>
                <w:rFonts w:hint="eastAsia" w:ascii="微软雅黑" w:hAnsi="微软雅黑" w:eastAsia="微软雅黑" w:cs="微软雅黑"/>
                <w:i w:val="0"/>
                <w:iCs w:val="0"/>
                <w:color w:val="000000"/>
                <w:sz w:val="20"/>
                <w:szCs w:val="20"/>
                <w:u w:val="none"/>
              </w:rPr>
            </w:pPr>
          </w:p>
        </w:tc>
      </w:tr>
      <w:tr w14:paraId="3C8C67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B7A71C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82A0FC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64CE32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14)四旋翼检修无人机要求具备开放式检测点位并预留检测开口，包含信号接口、GPS、LED灯、电调等检测点位；</w:t>
            </w:r>
          </w:p>
        </w:tc>
        <w:tc>
          <w:tcPr>
            <w:tcW w:w="349" w:type="pct"/>
            <w:vMerge w:val="continue"/>
            <w:tcBorders>
              <w:tl2br w:val="nil"/>
              <w:tr2bl w:val="nil"/>
            </w:tcBorders>
            <w:noWrap w:val="0"/>
            <w:vAlign w:val="center"/>
          </w:tcPr>
          <w:p w14:paraId="30AEA12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14DD12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2E635A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9D692C2">
            <w:pPr>
              <w:jc w:val="center"/>
              <w:rPr>
                <w:rFonts w:hint="eastAsia" w:ascii="微软雅黑" w:hAnsi="微软雅黑" w:eastAsia="微软雅黑" w:cs="微软雅黑"/>
                <w:i w:val="0"/>
                <w:iCs w:val="0"/>
                <w:color w:val="000000"/>
                <w:sz w:val="20"/>
                <w:szCs w:val="20"/>
                <w:u w:val="none"/>
              </w:rPr>
            </w:pPr>
          </w:p>
        </w:tc>
      </w:tr>
      <w:tr w14:paraId="73C2B5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7A2B1E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C0922C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C248AB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15）要求支持通过故障下发平台使用无线方式设置故障至四旋翼检修无人机上；</w:t>
            </w:r>
          </w:p>
        </w:tc>
        <w:tc>
          <w:tcPr>
            <w:tcW w:w="349" w:type="pct"/>
            <w:vMerge w:val="continue"/>
            <w:tcBorders>
              <w:tl2br w:val="nil"/>
              <w:tr2bl w:val="nil"/>
            </w:tcBorders>
            <w:noWrap w:val="0"/>
            <w:vAlign w:val="center"/>
          </w:tcPr>
          <w:p w14:paraId="0EB2A7B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AA437D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57FE19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A3D79F8">
            <w:pPr>
              <w:jc w:val="center"/>
              <w:rPr>
                <w:rFonts w:hint="eastAsia" w:ascii="微软雅黑" w:hAnsi="微软雅黑" w:eastAsia="微软雅黑" w:cs="微软雅黑"/>
                <w:i w:val="0"/>
                <w:iCs w:val="0"/>
                <w:color w:val="000000"/>
                <w:sz w:val="20"/>
                <w:szCs w:val="20"/>
                <w:u w:val="none"/>
              </w:rPr>
            </w:pPr>
          </w:p>
        </w:tc>
      </w:tr>
      <w:tr w14:paraId="799D0B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DB0DCF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1A8390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A4F010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（四）无人机维修定损考核平台</w:t>
            </w:r>
          </w:p>
        </w:tc>
        <w:tc>
          <w:tcPr>
            <w:tcW w:w="349" w:type="pct"/>
            <w:vMerge w:val="continue"/>
            <w:tcBorders>
              <w:tl2br w:val="nil"/>
              <w:tr2bl w:val="nil"/>
            </w:tcBorders>
            <w:noWrap w:val="0"/>
            <w:vAlign w:val="center"/>
          </w:tcPr>
          <w:p w14:paraId="78F0978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4C7EBDE">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CA7062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CCD2830">
            <w:pPr>
              <w:jc w:val="center"/>
              <w:rPr>
                <w:rFonts w:hint="eastAsia" w:ascii="微软雅黑" w:hAnsi="微软雅黑" w:eastAsia="微软雅黑" w:cs="微软雅黑"/>
                <w:i w:val="0"/>
                <w:iCs w:val="0"/>
                <w:color w:val="000000"/>
                <w:sz w:val="20"/>
                <w:szCs w:val="20"/>
                <w:u w:val="none"/>
              </w:rPr>
            </w:pPr>
          </w:p>
        </w:tc>
      </w:tr>
      <w:tr w14:paraId="3619E13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16" w:type="pct"/>
            <w:vMerge w:val="continue"/>
            <w:tcBorders>
              <w:tl2br w:val="nil"/>
              <w:tr2bl w:val="nil"/>
            </w:tcBorders>
            <w:noWrap w:val="0"/>
            <w:vAlign w:val="center"/>
          </w:tcPr>
          <w:p w14:paraId="75301E22">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296357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D13A3A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包含一套完整的维修定损考核系统，软件平台要求包含学生使用端及后台管理端，后台管理端包含题库管理、考试管理、人员管理、设备管理、系统管理等模块内容，平台具备考试模式和练习模式，学生能够通过平台进行故障检测及试卷答题，平台能够按照学生端提交答案进行评分及汇总等功能。</w:t>
            </w:r>
          </w:p>
        </w:tc>
        <w:tc>
          <w:tcPr>
            <w:tcW w:w="349" w:type="pct"/>
            <w:vMerge w:val="continue"/>
            <w:tcBorders>
              <w:tl2br w:val="nil"/>
              <w:tr2bl w:val="nil"/>
            </w:tcBorders>
            <w:noWrap w:val="0"/>
            <w:vAlign w:val="center"/>
          </w:tcPr>
          <w:p w14:paraId="7B015B99">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6955CA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48E1927">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C313BA4">
            <w:pPr>
              <w:jc w:val="center"/>
              <w:rPr>
                <w:rFonts w:hint="eastAsia" w:ascii="微软雅黑" w:hAnsi="微软雅黑" w:eastAsia="微软雅黑" w:cs="微软雅黑"/>
                <w:i w:val="0"/>
                <w:iCs w:val="0"/>
                <w:color w:val="000000"/>
                <w:sz w:val="20"/>
                <w:szCs w:val="20"/>
                <w:u w:val="none"/>
              </w:rPr>
            </w:pPr>
          </w:p>
        </w:tc>
      </w:tr>
      <w:tr w14:paraId="20B4C1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997F39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7C43F6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7E4AE1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学生使用端要求：</w:t>
            </w:r>
          </w:p>
        </w:tc>
        <w:tc>
          <w:tcPr>
            <w:tcW w:w="349" w:type="pct"/>
            <w:vMerge w:val="continue"/>
            <w:tcBorders>
              <w:tl2br w:val="nil"/>
              <w:tr2bl w:val="nil"/>
            </w:tcBorders>
            <w:noWrap w:val="0"/>
            <w:vAlign w:val="center"/>
          </w:tcPr>
          <w:p w14:paraId="7494666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0581226">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F21FF3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DA85730">
            <w:pPr>
              <w:jc w:val="center"/>
              <w:rPr>
                <w:rFonts w:hint="eastAsia" w:ascii="微软雅黑" w:hAnsi="微软雅黑" w:eastAsia="微软雅黑" w:cs="微软雅黑"/>
                <w:i w:val="0"/>
                <w:iCs w:val="0"/>
                <w:color w:val="000000"/>
                <w:sz w:val="20"/>
                <w:szCs w:val="20"/>
                <w:u w:val="none"/>
              </w:rPr>
            </w:pPr>
          </w:p>
        </w:tc>
      </w:tr>
      <w:tr w14:paraId="41DC76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16" w:type="pct"/>
            <w:vMerge w:val="continue"/>
            <w:tcBorders>
              <w:tl2br w:val="nil"/>
              <w:tr2bl w:val="nil"/>
            </w:tcBorders>
            <w:noWrap w:val="0"/>
            <w:vAlign w:val="center"/>
          </w:tcPr>
          <w:p w14:paraId="5ECE422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C2BE15B">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DD4AA5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在学生使用端登入页中，首次登录时，系统自动获取当前未绑定的飞机端设备列表，可选择飞机端设备与学生端进行绑定。当软件启动时，会自动检测四旋翼检修无人机设备是否在线；若不在线，则出现红色的异常提醒框，并无法登录学生端；若正常连通，则异常提醒框会消失，可正常登录学生端使用。</w:t>
            </w:r>
          </w:p>
        </w:tc>
        <w:tc>
          <w:tcPr>
            <w:tcW w:w="349" w:type="pct"/>
            <w:vMerge w:val="continue"/>
            <w:tcBorders>
              <w:tl2br w:val="nil"/>
              <w:tr2bl w:val="nil"/>
            </w:tcBorders>
            <w:noWrap w:val="0"/>
            <w:vAlign w:val="center"/>
          </w:tcPr>
          <w:p w14:paraId="5B5AE67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671635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B25C52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4A01407F">
            <w:pPr>
              <w:jc w:val="center"/>
              <w:rPr>
                <w:rFonts w:hint="eastAsia" w:ascii="微软雅黑" w:hAnsi="微软雅黑" w:eastAsia="微软雅黑" w:cs="微软雅黑"/>
                <w:i w:val="0"/>
                <w:iCs w:val="0"/>
                <w:color w:val="000000"/>
                <w:sz w:val="20"/>
                <w:szCs w:val="20"/>
                <w:u w:val="none"/>
              </w:rPr>
            </w:pPr>
          </w:p>
        </w:tc>
      </w:tr>
      <w:tr w14:paraId="68FDE3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C1DBC0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70042B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F7D0A6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2、用户登录时，根据后台的设置，自动进入考试模式或练习模式。</w:t>
            </w:r>
          </w:p>
        </w:tc>
        <w:tc>
          <w:tcPr>
            <w:tcW w:w="349" w:type="pct"/>
            <w:vMerge w:val="continue"/>
            <w:tcBorders>
              <w:tl2br w:val="nil"/>
              <w:tr2bl w:val="nil"/>
            </w:tcBorders>
            <w:noWrap w:val="0"/>
            <w:vAlign w:val="center"/>
          </w:tcPr>
          <w:p w14:paraId="0F3D348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61BFB58">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8AE280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070E27E">
            <w:pPr>
              <w:jc w:val="center"/>
              <w:rPr>
                <w:rFonts w:hint="eastAsia" w:ascii="微软雅黑" w:hAnsi="微软雅黑" w:eastAsia="微软雅黑" w:cs="微软雅黑"/>
                <w:i w:val="0"/>
                <w:iCs w:val="0"/>
                <w:color w:val="000000"/>
                <w:sz w:val="20"/>
                <w:szCs w:val="20"/>
                <w:u w:val="none"/>
              </w:rPr>
            </w:pPr>
          </w:p>
        </w:tc>
      </w:tr>
      <w:tr w14:paraId="747AA3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469013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1F85305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C06E92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3、当进入考试模式考试前，若该试卷设置了“主题图”或“考试须知”等信息，则在考试开始前，页面主体区会一直显示此内容。</w:t>
            </w:r>
          </w:p>
        </w:tc>
        <w:tc>
          <w:tcPr>
            <w:tcW w:w="349" w:type="pct"/>
            <w:vMerge w:val="continue"/>
            <w:tcBorders>
              <w:tl2br w:val="nil"/>
              <w:tr2bl w:val="nil"/>
            </w:tcBorders>
            <w:noWrap w:val="0"/>
            <w:vAlign w:val="center"/>
          </w:tcPr>
          <w:p w14:paraId="0343D96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1716A9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D0FDA9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1847F34F">
            <w:pPr>
              <w:jc w:val="center"/>
              <w:rPr>
                <w:rFonts w:hint="eastAsia" w:ascii="微软雅黑" w:hAnsi="微软雅黑" w:eastAsia="微软雅黑" w:cs="微软雅黑"/>
                <w:i w:val="0"/>
                <w:iCs w:val="0"/>
                <w:color w:val="000000"/>
                <w:sz w:val="20"/>
                <w:szCs w:val="20"/>
                <w:u w:val="none"/>
              </w:rPr>
            </w:pPr>
          </w:p>
        </w:tc>
      </w:tr>
      <w:tr w14:paraId="379AF3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376E32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0C4E03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886B9D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4、在考试模式考试中，学生根据下发的试题进行答题，根据实际检查的故障进行故障项的选择。</w:t>
            </w:r>
          </w:p>
        </w:tc>
        <w:tc>
          <w:tcPr>
            <w:tcW w:w="349" w:type="pct"/>
            <w:vMerge w:val="continue"/>
            <w:tcBorders>
              <w:tl2br w:val="nil"/>
              <w:tr2bl w:val="nil"/>
            </w:tcBorders>
            <w:noWrap w:val="0"/>
            <w:vAlign w:val="center"/>
          </w:tcPr>
          <w:p w14:paraId="0A71B95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D5EEE0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6BCBDCB">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734B639">
            <w:pPr>
              <w:jc w:val="center"/>
              <w:rPr>
                <w:rFonts w:hint="eastAsia" w:ascii="微软雅黑" w:hAnsi="微软雅黑" w:eastAsia="微软雅黑" w:cs="微软雅黑"/>
                <w:i w:val="0"/>
                <w:iCs w:val="0"/>
                <w:color w:val="000000"/>
                <w:sz w:val="20"/>
                <w:szCs w:val="20"/>
                <w:u w:val="none"/>
              </w:rPr>
            </w:pPr>
          </w:p>
        </w:tc>
      </w:tr>
      <w:tr w14:paraId="3897A2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0499863D">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F8894F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AE2F08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　若学生提交的故障数未达到试卷设置的故障数量可进行多次提交，已提交的选项不可修改；若有命中正确答案，则系统自动下发对应的指令对飞机端实行故障清除；</w:t>
            </w:r>
          </w:p>
        </w:tc>
        <w:tc>
          <w:tcPr>
            <w:tcW w:w="349" w:type="pct"/>
            <w:vMerge w:val="continue"/>
            <w:tcBorders>
              <w:tl2br w:val="nil"/>
              <w:tr2bl w:val="nil"/>
            </w:tcBorders>
            <w:noWrap w:val="0"/>
            <w:vAlign w:val="center"/>
          </w:tcPr>
          <w:p w14:paraId="0B841DD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2F48BF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93E936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26ADA17E">
            <w:pPr>
              <w:jc w:val="center"/>
              <w:rPr>
                <w:rFonts w:hint="eastAsia" w:ascii="微软雅黑" w:hAnsi="微软雅黑" w:eastAsia="微软雅黑" w:cs="微软雅黑"/>
                <w:i w:val="0"/>
                <w:iCs w:val="0"/>
                <w:color w:val="000000"/>
                <w:sz w:val="20"/>
                <w:szCs w:val="20"/>
                <w:u w:val="none"/>
              </w:rPr>
            </w:pPr>
          </w:p>
        </w:tc>
      </w:tr>
      <w:tr w14:paraId="67B058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46F6C1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202AF4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EB7BBE7">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②　当学生已选满选项时提交，则为“交卷”， 交卷后，系统支持显示或不显示成绩，可在后台端设置；</w:t>
            </w:r>
          </w:p>
        </w:tc>
        <w:tc>
          <w:tcPr>
            <w:tcW w:w="349" w:type="pct"/>
            <w:vMerge w:val="continue"/>
            <w:tcBorders>
              <w:tl2br w:val="nil"/>
              <w:tr2bl w:val="nil"/>
            </w:tcBorders>
            <w:noWrap w:val="0"/>
            <w:vAlign w:val="center"/>
          </w:tcPr>
          <w:p w14:paraId="1020E1A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41AA17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33B1E55">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35CBE98">
            <w:pPr>
              <w:jc w:val="center"/>
              <w:rPr>
                <w:rFonts w:hint="eastAsia" w:ascii="微软雅黑" w:hAnsi="微软雅黑" w:eastAsia="微软雅黑" w:cs="微软雅黑"/>
                <w:i w:val="0"/>
                <w:iCs w:val="0"/>
                <w:color w:val="000000"/>
                <w:sz w:val="20"/>
                <w:szCs w:val="20"/>
                <w:u w:val="none"/>
              </w:rPr>
            </w:pPr>
          </w:p>
        </w:tc>
      </w:tr>
      <w:tr w14:paraId="6BA895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0B5964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78A65F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0A8A12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③　关闭考试结果弹窗后，学员端界面可显示批卷结果；后台端可自定义设置显示内容，是否显示批卷详细内容，或者是简单批卷结果。</w:t>
            </w:r>
          </w:p>
        </w:tc>
        <w:tc>
          <w:tcPr>
            <w:tcW w:w="349" w:type="pct"/>
            <w:vMerge w:val="continue"/>
            <w:tcBorders>
              <w:tl2br w:val="nil"/>
              <w:tr2bl w:val="nil"/>
            </w:tcBorders>
            <w:noWrap w:val="0"/>
            <w:vAlign w:val="center"/>
          </w:tcPr>
          <w:p w14:paraId="26F5027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4AC12E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8B7BC79">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00061668">
            <w:pPr>
              <w:jc w:val="center"/>
              <w:rPr>
                <w:rFonts w:hint="eastAsia" w:ascii="微软雅黑" w:hAnsi="微软雅黑" w:eastAsia="微软雅黑" w:cs="微软雅黑"/>
                <w:i w:val="0"/>
                <w:iCs w:val="0"/>
                <w:color w:val="000000"/>
                <w:sz w:val="20"/>
                <w:szCs w:val="20"/>
                <w:u w:val="none"/>
              </w:rPr>
            </w:pPr>
          </w:p>
        </w:tc>
      </w:tr>
      <w:tr w14:paraId="4E929F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210BFE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A1FEFC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0FD3AB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④　若在考试倒计时结束时，学生仍未交卷，则系统会自动强制交卷。</w:t>
            </w:r>
          </w:p>
        </w:tc>
        <w:tc>
          <w:tcPr>
            <w:tcW w:w="349" w:type="pct"/>
            <w:vMerge w:val="continue"/>
            <w:tcBorders>
              <w:tl2br w:val="nil"/>
              <w:tr2bl w:val="nil"/>
            </w:tcBorders>
            <w:noWrap w:val="0"/>
            <w:vAlign w:val="center"/>
          </w:tcPr>
          <w:p w14:paraId="65770A7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14E3215">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B7C738C">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182E3C5">
            <w:pPr>
              <w:jc w:val="center"/>
              <w:rPr>
                <w:rFonts w:hint="eastAsia" w:ascii="微软雅黑" w:hAnsi="微软雅黑" w:eastAsia="微软雅黑" w:cs="微软雅黑"/>
                <w:i w:val="0"/>
                <w:iCs w:val="0"/>
                <w:color w:val="000000"/>
                <w:sz w:val="20"/>
                <w:szCs w:val="20"/>
                <w:u w:val="none"/>
              </w:rPr>
            </w:pPr>
          </w:p>
        </w:tc>
      </w:tr>
      <w:tr w14:paraId="577B95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6DA5A87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7FD212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C81D1E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5、在练习模式练习面板中，要求练习模式的答题形式与考试模式一致，但练习模式下没有倒计时，不会强制交卷；点击“开始答题”或“重新答题”，系统则会从试卷库中随机抽取一套练习卷下发。</w:t>
            </w:r>
          </w:p>
        </w:tc>
        <w:tc>
          <w:tcPr>
            <w:tcW w:w="349" w:type="pct"/>
            <w:vMerge w:val="continue"/>
            <w:tcBorders>
              <w:tl2br w:val="nil"/>
              <w:tr2bl w:val="nil"/>
            </w:tcBorders>
            <w:noWrap w:val="0"/>
            <w:vAlign w:val="center"/>
          </w:tcPr>
          <w:p w14:paraId="5A431B0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5147A9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2E557EE2">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52F186FC">
            <w:pPr>
              <w:jc w:val="center"/>
              <w:rPr>
                <w:rFonts w:hint="eastAsia" w:ascii="微软雅黑" w:hAnsi="微软雅黑" w:eastAsia="微软雅黑" w:cs="微软雅黑"/>
                <w:i w:val="0"/>
                <w:iCs w:val="0"/>
                <w:color w:val="000000"/>
                <w:sz w:val="20"/>
                <w:szCs w:val="20"/>
                <w:u w:val="none"/>
              </w:rPr>
            </w:pPr>
          </w:p>
        </w:tc>
      </w:tr>
      <w:tr w14:paraId="28FD97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709EF22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86F21D6">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88062E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6、在练习模式练习统计中，要求能够显示当前学生的训练次数、答题准确率、总得分，并可查看每次练习的答题详情，显示所有学生的练习排行榜。</w:t>
            </w:r>
          </w:p>
        </w:tc>
        <w:tc>
          <w:tcPr>
            <w:tcW w:w="349" w:type="pct"/>
            <w:vMerge w:val="continue"/>
            <w:tcBorders>
              <w:tl2br w:val="nil"/>
              <w:tr2bl w:val="nil"/>
            </w:tcBorders>
            <w:noWrap w:val="0"/>
            <w:vAlign w:val="center"/>
          </w:tcPr>
          <w:p w14:paraId="72CEE8E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B1F3203">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8EE05C3">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4586450">
            <w:pPr>
              <w:jc w:val="center"/>
              <w:rPr>
                <w:rFonts w:hint="eastAsia" w:ascii="微软雅黑" w:hAnsi="微软雅黑" w:eastAsia="微软雅黑" w:cs="微软雅黑"/>
                <w:i w:val="0"/>
                <w:iCs w:val="0"/>
                <w:color w:val="000000"/>
                <w:sz w:val="20"/>
                <w:szCs w:val="20"/>
                <w:u w:val="none"/>
              </w:rPr>
            </w:pPr>
          </w:p>
        </w:tc>
      </w:tr>
      <w:tr w14:paraId="3F0336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33E50F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BF6C3D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820369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后台管理端要求：</w:t>
            </w:r>
          </w:p>
        </w:tc>
        <w:tc>
          <w:tcPr>
            <w:tcW w:w="349" w:type="pct"/>
            <w:vMerge w:val="continue"/>
            <w:tcBorders>
              <w:tl2br w:val="nil"/>
              <w:tr2bl w:val="nil"/>
            </w:tcBorders>
            <w:noWrap w:val="0"/>
            <w:vAlign w:val="center"/>
          </w:tcPr>
          <w:p w14:paraId="11905C51">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AA16DBD">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56240B5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B3C3396">
            <w:pPr>
              <w:jc w:val="center"/>
              <w:rPr>
                <w:rFonts w:hint="eastAsia" w:ascii="微软雅黑" w:hAnsi="微软雅黑" w:eastAsia="微软雅黑" w:cs="微软雅黑"/>
                <w:i w:val="0"/>
                <w:iCs w:val="0"/>
                <w:color w:val="000000"/>
                <w:sz w:val="20"/>
                <w:szCs w:val="20"/>
                <w:u w:val="none"/>
              </w:rPr>
            </w:pPr>
          </w:p>
        </w:tc>
      </w:tr>
      <w:tr w14:paraId="4E042E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5160FE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C39D3A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4F9ABA6C">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1、要求后台管理端包含考试管理、人员管理、设备管理、系统管理四大模块。</w:t>
            </w:r>
          </w:p>
        </w:tc>
        <w:tc>
          <w:tcPr>
            <w:tcW w:w="349" w:type="pct"/>
            <w:vMerge w:val="continue"/>
            <w:tcBorders>
              <w:tl2br w:val="nil"/>
              <w:tr2bl w:val="nil"/>
            </w:tcBorders>
            <w:noWrap w:val="0"/>
            <w:vAlign w:val="center"/>
          </w:tcPr>
          <w:p w14:paraId="3628A46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994CB2C">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04B951D">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EE729A6">
            <w:pPr>
              <w:jc w:val="center"/>
              <w:rPr>
                <w:rFonts w:hint="eastAsia" w:ascii="微软雅黑" w:hAnsi="微软雅黑" w:eastAsia="微软雅黑" w:cs="微软雅黑"/>
                <w:i w:val="0"/>
                <w:iCs w:val="0"/>
                <w:color w:val="000000"/>
                <w:sz w:val="20"/>
                <w:szCs w:val="20"/>
                <w:u w:val="none"/>
              </w:rPr>
            </w:pPr>
          </w:p>
        </w:tc>
      </w:tr>
      <w:tr w14:paraId="3E59DF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trPr>
        <w:tc>
          <w:tcPr>
            <w:tcW w:w="216" w:type="pct"/>
            <w:vMerge w:val="continue"/>
            <w:tcBorders>
              <w:tl2br w:val="nil"/>
              <w:tr2bl w:val="nil"/>
            </w:tcBorders>
            <w:noWrap w:val="0"/>
            <w:vAlign w:val="center"/>
          </w:tcPr>
          <w:p w14:paraId="2E8FB020">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066DA0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00DEAC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要求考试管理下拉列表中包含题库管理、考试管理、答题记录及文章管理。试卷管理可对预设试卷进行增删改查；设置试卷时，可对该试卷的试题答案进行设置，可选中指定的试卷进行下发；“考试时间”“发卷类型”“定时发卷”支持自定义设置。支持将该试卷下发到所有学生端（四旋翼检修无人机必须在线），或指定的学生端（四旋翼检修无人机必须在线）；考试场次中可查看所有的发卷记录；若该场次还未开考，则可对其进行编辑；若该场次正在考试中，或者已结束，则不允许修改，亦可临时组卷；答题记录中可查看所有人的答题记录，包含了考试模式和练习模式下的所有答题记录，可根据不同的条件进行筛选，点击指定的答题记录，可查看学生的答题详情。</w:t>
            </w:r>
          </w:p>
        </w:tc>
        <w:tc>
          <w:tcPr>
            <w:tcW w:w="349" w:type="pct"/>
            <w:vMerge w:val="continue"/>
            <w:tcBorders>
              <w:tl2br w:val="nil"/>
              <w:tr2bl w:val="nil"/>
            </w:tcBorders>
            <w:noWrap w:val="0"/>
            <w:vAlign w:val="center"/>
          </w:tcPr>
          <w:p w14:paraId="7495E1C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82CA3D7">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304BDEBE">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C390E86">
            <w:pPr>
              <w:jc w:val="center"/>
              <w:rPr>
                <w:rFonts w:hint="eastAsia" w:ascii="微软雅黑" w:hAnsi="微软雅黑" w:eastAsia="微软雅黑" w:cs="微软雅黑"/>
                <w:i w:val="0"/>
                <w:iCs w:val="0"/>
                <w:color w:val="000000"/>
                <w:sz w:val="20"/>
                <w:szCs w:val="20"/>
                <w:u w:val="none"/>
              </w:rPr>
            </w:pPr>
          </w:p>
        </w:tc>
      </w:tr>
      <w:tr w14:paraId="56D6F7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216" w:type="pct"/>
            <w:vMerge w:val="continue"/>
            <w:tcBorders>
              <w:tl2br w:val="nil"/>
              <w:tr2bl w:val="nil"/>
            </w:tcBorders>
            <w:noWrap w:val="0"/>
            <w:vAlign w:val="center"/>
          </w:tcPr>
          <w:p w14:paraId="0DE33AE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62C98A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2A07CC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要求人员管理中包含管理员管理、学生管理、学生数据导入。管理员可添加、删除、修改后台管理员；为每个管理员授予不同的“角色”，以实现差异化功能授权；学生管理可在线添加、删除、修改学生人员数据；学生管理支持批量导入学生数据；下载系统中的excel模板，按照模板格式填写学生数据，将填好学生数据的excel拖到“文件上传框”中，可对excel中读取到的学生数据进行预览，确认无误的话，点击“导入”按钮即可完成批量学生数据导入。</w:t>
            </w:r>
          </w:p>
        </w:tc>
        <w:tc>
          <w:tcPr>
            <w:tcW w:w="349" w:type="pct"/>
            <w:vMerge w:val="continue"/>
            <w:tcBorders>
              <w:tl2br w:val="nil"/>
              <w:tr2bl w:val="nil"/>
            </w:tcBorders>
            <w:noWrap w:val="0"/>
            <w:vAlign w:val="center"/>
          </w:tcPr>
          <w:p w14:paraId="4FD2D5F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364E702">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18578C40">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75C6317A">
            <w:pPr>
              <w:jc w:val="center"/>
              <w:rPr>
                <w:rFonts w:hint="eastAsia" w:ascii="微软雅黑" w:hAnsi="微软雅黑" w:eastAsia="微软雅黑" w:cs="微软雅黑"/>
                <w:i w:val="0"/>
                <w:iCs w:val="0"/>
                <w:color w:val="000000"/>
                <w:sz w:val="20"/>
                <w:szCs w:val="20"/>
                <w:u w:val="none"/>
              </w:rPr>
            </w:pPr>
          </w:p>
        </w:tc>
      </w:tr>
      <w:tr w14:paraId="2C2FA3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16" w:type="pct"/>
            <w:vMerge w:val="continue"/>
            <w:tcBorders>
              <w:tl2br w:val="nil"/>
              <w:tr2bl w:val="nil"/>
            </w:tcBorders>
            <w:noWrap w:val="0"/>
            <w:vAlign w:val="center"/>
          </w:tcPr>
          <w:p w14:paraId="109C02E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643CEB7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EA70559">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要求设备管理包含学生端软件列表、故障分类、故障项管理。当学生端软件启动时学生端信息自动注册到系统中；学生端首次登录时，可选择与指定的四旋翼检修无人机设备进行绑定，同时将四旋翼检修无人机的信息自动注册到后台关联的学生端，方便管理人员对学生端和四旋翼检修无人机设备进行有效管理。</w:t>
            </w:r>
          </w:p>
        </w:tc>
        <w:tc>
          <w:tcPr>
            <w:tcW w:w="349" w:type="pct"/>
            <w:vMerge w:val="continue"/>
            <w:tcBorders>
              <w:tl2br w:val="nil"/>
              <w:tr2bl w:val="nil"/>
            </w:tcBorders>
            <w:noWrap w:val="0"/>
            <w:vAlign w:val="center"/>
          </w:tcPr>
          <w:p w14:paraId="16F74DA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5660DAA">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0718E4FF">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33B1D490">
            <w:pPr>
              <w:jc w:val="center"/>
              <w:rPr>
                <w:rFonts w:hint="eastAsia" w:ascii="微软雅黑" w:hAnsi="微软雅黑" w:eastAsia="微软雅黑" w:cs="微软雅黑"/>
                <w:i w:val="0"/>
                <w:iCs w:val="0"/>
                <w:color w:val="000000"/>
                <w:sz w:val="20"/>
                <w:szCs w:val="20"/>
                <w:u w:val="none"/>
              </w:rPr>
            </w:pPr>
          </w:p>
        </w:tc>
      </w:tr>
      <w:tr w14:paraId="72B02D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16" w:type="pct"/>
            <w:vMerge w:val="continue"/>
            <w:tcBorders>
              <w:tl2br w:val="nil"/>
              <w:tr2bl w:val="nil"/>
            </w:tcBorders>
            <w:noWrap w:val="0"/>
            <w:vAlign w:val="center"/>
          </w:tcPr>
          <w:p w14:paraId="27895146">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9ED14A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47EB792">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5、要求系统管理包含权限管理、系统配置、附件管理、个人资料界面设置，且权限管理还包含角色组管理、菜单规则管理、管理员日志管理。文章管理可在后台动态添加一些文章，用于学生端呈现。</w:t>
            </w:r>
          </w:p>
        </w:tc>
        <w:tc>
          <w:tcPr>
            <w:tcW w:w="349" w:type="pct"/>
            <w:vMerge w:val="continue"/>
            <w:tcBorders>
              <w:tl2br w:val="nil"/>
              <w:tr2bl w:val="nil"/>
            </w:tcBorders>
            <w:noWrap w:val="0"/>
            <w:vAlign w:val="center"/>
          </w:tcPr>
          <w:p w14:paraId="262262B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D698EB4">
            <w:pPr>
              <w:jc w:val="center"/>
              <w:rPr>
                <w:rFonts w:hint="eastAsia" w:ascii="微软雅黑" w:hAnsi="微软雅黑" w:eastAsia="微软雅黑" w:cs="微软雅黑"/>
                <w:i w:val="0"/>
                <w:iCs w:val="0"/>
                <w:color w:val="000000"/>
                <w:sz w:val="20"/>
                <w:szCs w:val="20"/>
                <w:u w:val="none"/>
              </w:rPr>
            </w:pPr>
          </w:p>
        </w:tc>
        <w:tc>
          <w:tcPr>
            <w:tcW w:w="369" w:type="pct"/>
            <w:tcBorders>
              <w:tl2br w:val="nil"/>
              <w:tr2bl w:val="nil"/>
            </w:tcBorders>
            <w:noWrap w:val="0"/>
            <w:vAlign w:val="center"/>
          </w:tcPr>
          <w:p w14:paraId="745A4F81">
            <w:pPr>
              <w:jc w:val="center"/>
              <w:rPr>
                <w:rFonts w:hint="eastAsia" w:ascii="微软雅黑" w:hAnsi="微软雅黑" w:eastAsia="微软雅黑" w:cs="微软雅黑"/>
                <w:i w:val="0"/>
                <w:iCs w:val="0"/>
                <w:color w:val="000000"/>
                <w:sz w:val="20"/>
                <w:szCs w:val="20"/>
                <w:u w:val="none"/>
              </w:rPr>
            </w:pPr>
          </w:p>
        </w:tc>
        <w:tc>
          <w:tcPr>
            <w:tcW w:w="348" w:type="pct"/>
            <w:gridSpan w:val="2"/>
            <w:tcBorders>
              <w:tl2br w:val="nil"/>
              <w:tr2bl w:val="nil"/>
            </w:tcBorders>
            <w:noWrap w:val="0"/>
            <w:vAlign w:val="center"/>
          </w:tcPr>
          <w:p w14:paraId="69039C8A">
            <w:pPr>
              <w:jc w:val="center"/>
              <w:rPr>
                <w:rFonts w:hint="eastAsia" w:ascii="微软雅黑" w:hAnsi="微软雅黑" w:eastAsia="微软雅黑" w:cs="微软雅黑"/>
                <w:i w:val="0"/>
                <w:iCs w:val="0"/>
                <w:color w:val="000000"/>
                <w:sz w:val="20"/>
                <w:szCs w:val="20"/>
                <w:u w:val="none"/>
              </w:rPr>
            </w:pPr>
          </w:p>
        </w:tc>
      </w:tr>
      <w:tr w14:paraId="57BDF1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19A2C9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3DC813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7FE4F33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（五）无人机参数配置模块</w:t>
            </w:r>
          </w:p>
        </w:tc>
        <w:tc>
          <w:tcPr>
            <w:tcW w:w="349" w:type="pct"/>
            <w:vMerge w:val="restart"/>
            <w:tcBorders>
              <w:tl2br w:val="nil"/>
              <w:tr2bl w:val="nil"/>
            </w:tcBorders>
            <w:noWrap w:val="0"/>
            <w:vAlign w:val="center"/>
          </w:tcPr>
          <w:p w14:paraId="43D4B760">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E107DFD">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1E485AF9">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63157E24">
            <w:pPr>
              <w:jc w:val="center"/>
              <w:rPr>
                <w:rFonts w:hint="eastAsia" w:ascii="微软雅黑" w:hAnsi="微软雅黑" w:eastAsia="微软雅黑" w:cs="微软雅黑"/>
                <w:i w:val="0"/>
                <w:iCs w:val="0"/>
                <w:color w:val="000000"/>
                <w:sz w:val="20"/>
                <w:szCs w:val="20"/>
                <w:u w:val="none"/>
              </w:rPr>
            </w:pPr>
          </w:p>
        </w:tc>
      </w:tr>
      <w:tr w14:paraId="61B256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5695F5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028A940">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EC3419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1、工业控制机：</w:t>
            </w:r>
          </w:p>
        </w:tc>
        <w:tc>
          <w:tcPr>
            <w:tcW w:w="349" w:type="pct"/>
            <w:vMerge w:val="continue"/>
            <w:tcBorders>
              <w:tl2br w:val="nil"/>
              <w:tr2bl w:val="nil"/>
            </w:tcBorders>
            <w:noWrap w:val="0"/>
            <w:vAlign w:val="center"/>
          </w:tcPr>
          <w:p w14:paraId="4CD117A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67586BD">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3F65D33B">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54DAEB64">
            <w:pPr>
              <w:jc w:val="center"/>
              <w:rPr>
                <w:rFonts w:hint="eastAsia" w:ascii="微软雅黑" w:hAnsi="微软雅黑" w:eastAsia="微软雅黑" w:cs="微软雅黑"/>
                <w:i w:val="0"/>
                <w:iCs w:val="0"/>
                <w:color w:val="000000"/>
                <w:sz w:val="20"/>
                <w:szCs w:val="20"/>
                <w:u w:val="none"/>
              </w:rPr>
            </w:pPr>
          </w:p>
        </w:tc>
      </w:tr>
      <w:tr w14:paraId="12154F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15ACBF58">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847F35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2A55FA2D">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1）箱外观尺寸：234mm×205mm×53 mm（长×宽×高，±10mm）；</w:t>
            </w:r>
          </w:p>
        </w:tc>
        <w:tc>
          <w:tcPr>
            <w:tcW w:w="349" w:type="pct"/>
            <w:vMerge w:val="continue"/>
            <w:tcBorders>
              <w:tl2br w:val="nil"/>
              <w:tr2bl w:val="nil"/>
            </w:tcBorders>
            <w:noWrap w:val="0"/>
            <w:vAlign w:val="center"/>
          </w:tcPr>
          <w:p w14:paraId="0CE8261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1AC25BF">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144360FA">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335FBC36">
            <w:pPr>
              <w:jc w:val="center"/>
              <w:rPr>
                <w:rFonts w:hint="eastAsia" w:ascii="微软雅黑" w:hAnsi="微软雅黑" w:eastAsia="微软雅黑" w:cs="微软雅黑"/>
                <w:i w:val="0"/>
                <w:iCs w:val="0"/>
                <w:color w:val="000000"/>
                <w:sz w:val="20"/>
                <w:szCs w:val="20"/>
                <w:u w:val="none"/>
              </w:rPr>
            </w:pPr>
          </w:p>
        </w:tc>
      </w:tr>
      <w:tr w14:paraId="20A27C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7A9DB60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3352E5E2">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EAF3FD8">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highlight w:val="red"/>
                <w:u w:val="none"/>
              </w:rPr>
            </w:pPr>
            <w:r>
              <w:rPr>
                <w:rFonts w:hint="eastAsia" w:ascii="微软雅黑" w:hAnsi="微软雅黑" w:eastAsia="微软雅黑" w:cs="微软雅黑"/>
                <w:i w:val="0"/>
                <w:iCs w:val="0"/>
                <w:color w:val="000000"/>
                <w:kern w:val="0"/>
                <w:sz w:val="20"/>
                <w:szCs w:val="20"/>
                <w:highlight w:val="red"/>
                <w:u w:val="none"/>
                <w:lang w:val="en-US" w:eastAsia="zh-CN" w:bidi="ar"/>
              </w:rPr>
              <w:t>2）处理器：不低于4代I5 4200U；</w:t>
            </w:r>
          </w:p>
        </w:tc>
        <w:tc>
          <w:tcPr>
            <w:tcW w:w="349" w:type="pct"/>
            <w:vMerge w:val="continue"/>
            <w:tcBorders>
              <w:tl2br w:val="nil"/>
              <w:tr2bl w:val="nil"/>
            </w:tcBorders>
            <w:noWrap w:val="0"/>
            <w:vAlign w:val="center"/>
          </w:tcPr>
          <w:p w14:paraId="76F7E89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52D0518A">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20A539A9">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2EB9E725">
            <w:pPr>
              <w:jc w:val="center"/>
              <w:rPr>
                <w:rFonts w:hint="eastAsia" w:ascii="微软雅黑" w:hAnsi="微软雅黑" w:eastAsia="微软雅黑" w:cs="微软雅黑"/>
                <w:i w:val="0"/>
                <w:iCs w:val="0"/>
                <w:color w:val="000000"/>
                <w:sz w:val="20"/>
                <w:szCs w:val="20"/>
                <w:u w:val="none"/>
              </w:rPr>
            </w:pPr>
          </w:p>
        </w:tc>
      </w:tr>
      <w:tr w14:paraId="39119E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74752B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1D304F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F53E063">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highlight w:val="red"/>
                <w:u w:val="none"/>
              </w:rPr>
            </w:pPr>
            <w:r>
              <w:rPr>
                <w:rFonts w:hint="eastAsia" w:ascii="微软雅黑" w:hAnsi="微软雅黑" w:eastAsia="微软雅黑" w:cs="微软雅黑"/>
                <w:i w:val="0"/>
                <w:iCs w:val="0"/>
                <w:color w:val="000000"/>
                <w:kern w:val="0"/>
                <w:sz w:val="20"/>
                <w:szCs w:val="20"/>
                <w:highlight w:val="red"/>
                <w:u w:val="none"/>
                <w:lang w:val="en-US" w:eastAsia="zh-CN" w:bidi="ar"/>
              </w:rPr>
              <w:t>3）内存：≥4G；</w:t>
            </w:r>
          </w:p>
        </w:tc>
        <w:tc>
          <w:tcPr>
            <w:tcW w:w="349" w:type="pct"/>
            <w:vMerge w:val="continue"/>
            <w:tcBorders>
              <w:tl2br w:val="nil"/>
              <w:tr2bl w:val="nil"/>
            </w:tcBorders>
            <w:noWrap w:val="0"/>
            <w:vAlign w:val="center"/>
          </w:tcPr>
          <w:p w14:paraId="18E6789C">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D46959D">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1696BAAB">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7AD00B90">
            <w:pPr>
              <w:jc w:val="center"/>
              <w:rPr>
                <w:rFonts w:hint="eastAsia" w:ascii="微软雅黑" w:hAnsi="微软雅黑" w:eastAsia="微软雅黑" w:cs="微软雅黑"/>
                <w:i w:val="0"/>
                <w:iCs w:val="0"/>
                <w:color w:val="000000"/>
                <w:sz w:val="20"/>
                <w:szCs w:val="20"/>
                <w:u w:val="none"/>
              </w:rPr>
            </w:pPr>
          </w:p>
        </w:tc>
      </w:tr>
      <w:tr w14:paraId="29CBF8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0AD14B3">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0A082FF">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641C2B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4）固态硬盘：≥128G；     </w:t>
            </w:r>
          </w:p>
        </w:tc>
        <w:tc>
          <w:tcPr>
            <w:tcW w:w="349" w:type="pct"/>
            <w:vMerge w:val="continue"/>
            <w:tcBorders>
              <w:tl2br w:val="nil"/>
              <w:tr2bl w:val="nil"/>
            </w:tcBorders>
            <w:noWrap w:val="0"/>
            <w:vAlign w:val="center"/>
          </w:tcPr>
          <w:p w14:paraId="2617DFC5">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9FC5EAA">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606DD83A">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0423C861">
            <w:pPr>
              <w:jc w:val="center"/>
              <w:rPr>
                <w:rFonts w:hint="eastAsia" w:ascii="微软雅黑" w:hAnsi="微软雅黑" w:eastAsia="微软雅黑" w:cs="微软雅黑"/>
                <w:i w:val="0"/>
                <w:iCs w:val="0"/>
                <w:color w:val="000000"/>
                <w:sz w:val="20"/>
                <w:szCs w:val="20"/>
                <w:u w:val="none"/>
              </w:rPr>
            </w:pPr>
          </w:p>
        </w:tc>
      </w:tr>
      <w:tr w14:paraId="279020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6E91DCB9">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2ACEDED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6B4C730">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5）接口：不少于HDDN/LAN*2/RS232*5/RS232(485)*1/USB*6/DC12V；</w:t>
            </w:r>
          </w:p>
        </w:tc>
        <w:tc>
          <w:tcPr>
            <w:tcW w:w="349" w:type="pct"/>
            <w:vMerge w:val="continue"/>
            <w:tcBorders>
              <w:tl2br w:val="nil"/>
              <w:tr2bl w:val="nil"/>
            </w:tcBorders>
            <w:noWrap w:val="0"/>
            <w:vAlign w:val="center"/>
          </w:tcPr>
          <w:p w14:paraId="27810B72">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1B43531">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0192CE2B">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69EC1DCE">
            <w:pPr>
              <w:jc w:val="center"/>
              <w:rPr>
                <w:rFonts w:hint="eastAsia" w:ascii="微软雅黑" w:hAnsi="微软雅黑" w:eastAsia="微软雅黑" w:cs="微软雅黑"/>
                <w:i w:val="0"/>
                <w:iCs w:val="0"/>
                <w:color w:val="000000"/>
                <w:sz w:val="20"/>
                <w:szCs w:val="20"/>
                <w:u w:val="none"/>
              </w:rPr>
            </w:pPr>
          </w:p>
        </w:tc>
      </w:tr>
      <w:tr w14:paraId="0001D5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07CFDBF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2EB2AED">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9D4011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6）开机按钮线：延长≥1.5米；     </w:t>
            </w:r>
          </w:p>
        </w:tc>
        <w:tc>
          <w:tcPr>
            <w:tcW w:w="349" w:type="pct"/>
            <w:vMerge w:val="continue"/>
            <w:tcBorders>
              <w:tl2br w:val="nil"/>
              <w:tr2bl w:val="nil"/>
            </w:tcBorders>
            <w:noWrap w:val="0"/>
            <w:vAlign w:val="center"/>
          </w:tcPr>
          <w:p w14:paraId="79C6B19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79CFC004">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1ABA0357">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4C0A51D5">
            <w:pPr>
              <w:jc w:val="center"/>
              <w:rPr>
                <w:rFonts w:hint="eastAsia" w:ascii="微软雅黑" w:hAnsi="微软雅黑" w:eastAsia="微软雅黑" w:cs="微软雅黑"/>
                <w:i w:val="0"/>
                <w:iCs w:val="0"/>
                <w:color w:val="000000"/>
                <w:sz w:val="20"/>
                <w:szCs w:val="20"/>
                <w:u w:val="none"/>
              </w:rPr>
            </w:pPr>
          </w:p>
        </w:tc>
      </w:tr>
      <w:tr w14:paraId="192C9B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8888AEC">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53EDF2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EBA936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7）开机按钮：直径≥19mm；     </w:t>
            </w:r>
          </w:p>
        </w:tc>
        <w:tc>
          <w:tcPr>
            <w:tcW w:w="349" w:type="pct"/>
            <w:vMerge w:val="continue"/>
            <w:tcBorders>
              <w:tl2br w:val="nil"/>
              <w:tr2bl w:val="nil"/>
            </w:tcBorders>
            <w:noWrap w:val="0"/>
            <w:vAlign w:val="center"/>
          </w:tcPr>
          <w:p w14:paraId="4F236137">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4003EE1C">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3425CD5D">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72901E64">
            <w:pPr>
              <w:jc w:val="center"/>
              <w:rPr>
                <w:rFonts w:hint="eastAsia" w:ascii="微软雅黑" w:hAnsi="微软雅黑" w:eastAsia="微软雅黑" w:cs="微软雅黑"/>
                <w:i w:val="0"/>
                <w:iCs w:val="0"/>
                <w:color w:val="000000"/>
                <w:sz w:val="20"/>
                <w:szCs w:val="20"/>
                <w:u w:val="none"/>
              </w:rPr>
            </w:pPr>
          </w:p>
        </w:tc>
      </w:tr>
      <w:tr w14:paraId="279CD8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3CD755F">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D095A3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6B3631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2、显示屏参数：</w:t>
            </w:r>
          </w:p>
        </w:tc>
        <w:tc>
          <w:tcPr>
            <w:tcW w:w="349" w:type="pct"/>
            <w:vMerge w:val="continue"/>
            <w:tcBorders>
              <w:tl2br w:val="nil"/>
              <w:tr2bl w:val="nil"/>
            </w:tcBorders>
            <w:noWrap w:val="0"/>
            <w:vAlign w:val="center"/>
          </w:tcPr>
          <w:p w14:paraId="05E3895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0889A78A">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2E2E21A5">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75EA3E94">
            <w:pPr>
              <w:jc w:val="center"/>
              <w:rPr>
                <w:rFonts w:hint="eastAsia" w:ascii="微软雅黑" w:hAnsi="微软雅黑" w:eastAsia="微软雅黑" w:cs="微软雅黑"/>
                <w:i w:val="0"/>
                <w:iCs w:val="0"/>
                <w:color w:val="000000"/>
                <w:sz w:val="20"/>
                <w:szCs w:val="20"/>
                <w:u w:val="none"/>
              </w:rPr>
            </w:pPr>
          </w:p>
        </w:tc>
      </w:tr>
      <w:tr w14:paraId="7F4D2E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AA3D455">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CCA0A3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50D4013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1）显示屏尺寸：≥27英寸；     </w:t>
            </w:r>
          </w:p>
        </w:tc>
        <w:tc>
          <w:tcPr>
            <w:tcW w:w="349" w:type="pct"/>
            <w:vMerge w:val="continue"/>
            <w:tcBorders>
              <w:tl2br w:val="nil"/>
              <w:tr2bl w:val="nil"/>
            </w:tcBorders>
            <w:noWrap w:val="0"/>
            <w:vAlign w:val="center"/>
          </w:tcPr>
          <w:p w14:paraId="1FB408EB">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53C87A1">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0AD80FFA">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7D7A4740">
            <w:pPr>
              <w:jc w:val="center"/>
              <w:rPr>
                <w:rFonts w:hint="eastAsia" w:ascii="微软雅黑" w:hAnsi="微软雅黑" w:eastAsia="微软雅黑" w:cs="微软雅黑"/>
                <w:i w:val="0"/>
                <w:iCs w:val="0"/>
                <w:color w:val="000000"/>
                <w:sz w:val="20"/>
                <w:szCs w:val="20"/>
                <w:u w:val="none"/>
              </w:rPr>
            </w:pPr>
          </w:p>
        </w:tc>
      </w:tr>
      <w:tr w14:paraId="7FE3EA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C85A66E">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2C787C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F5C8F8A">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2）屏幕比例：16:9；    </w:t>
            </w:r>
          </w:p>
        </w:tc>
        <w:tc>
          <w:tcPr>
            <w:tcW w:w="349" w:type="pct"/>
            <w:vMerge w:val="continue"/>
            <w:tcBorders>
              <w:tl2br w:val="nil"/>
              <w:tr2bl w:val="nil"/>
            </w:tcBorders>
            <w:noWrap w:val="0"/>
            <w:vAlign w:val="center"/>
          </w:tcPr>
          <w:p w14:paraId="4818227E">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2EC76BB">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67B27F3F">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4CE5080C">
            <w:pPr>
              <w:jc w:val="center"/>
              <w:rPr>
                <w:rFonts w:hint="eastAsia" w:ascii="微软雅黑" w:hAnsi="微软雅黑" w:eastAsia="微软雅黑" w:cs="微软雅黑"/>
                <w:i w:val="0"/>
                <w:iCs w:val="0"/>
                <w:color w:val="000000"/>
                <w:sz w:val="20"/>
                <w:szCs w:val="20"/>
                <w:u w:val="none"/>
              </w:rPr>
            </w:pPr>
          </w:p>
        </w:tc>
      </w:tr>
      <w:tr w14:paraId="285FF6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27793CE4">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59A3F317">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103ABD6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3）屏幕分辨率：≥1920x1080；     </w:t>
            </w:r>
          </w:p>
        </w:tc>
        <w:tc>
          <w:tcPr>
            <w:tcW w:w="349" w:type="pct"/>
            <w:vMerge w:val="continue"/>
            <w:tcBorders>
              <w:tl2br w:val="nil"/>
              <w:tr2bl w:val="nil"/>
            </w:tcBorders>
            <w:noWrap w:val="0"/>
            <w:vAlign w:val="center"/>
          </w:tcPr>
          <w:p w14:paraId="0D069A4F">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2D14D443">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79569D61">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6398E2C1">
            <w:pPr>
              <w:jc w:val="center"/>
              <w:rPr>
                <w:rFonts w:hint="eastAsia" w:ascii="微软雅黑" w:hAnsi="微软雅黑" w:eastAsia="微软雅黑" w:cs="微软雅黑"/>
                <w:i w:val="0"/>
                <w:iCs w:val="0"/>
                <w:color w:val="000000"/>
                <w:sz w:val="20"/>
                <w:szCs w:val="20"/>
                <w:u w:val="none"/>
              </w:rPr>
            </w:pPr>
          </w:p>
        </w:tc>
      </w:tr>
      <w:tr w14:paraId="6C91CD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33038677">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00A0543A">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957E676">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4）面板类型：采用IPS技术；     </w:t>
            </w:r>
          </w:p>
        </w:tc>
        <w:tc>
          <w:tcPr>
            <w:tcW w:w="349" w:type="pct"/>
            <w:vMerge w:val="continue"/>
            <w:tcBorders>
              <w:tl2br w:val="nil"/>
              <w:tr2bl w:val="nil"/>
            </w:tcBorders>
            <w:noWrap w:val="0"/>
            <w:vAlign w:val="center"/>
          </w:tcPr>
          <w:p w14:paraId="65681B3D">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6E40F414">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20D7D89D">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5F062130">
            <w:pPr>
              <w:jc w:val="center"/>
              <w:rPr>
                <w:rFonts w:hint="eastAsia" w:ascii="微软雅黑" w:hAnsi="微软雅黑" w:eastAsia="微软雅黑" w:cs="微软雅黑"/>
                <w:i w:val="0"/>
                <w:iCs w:val="0"/>
                <w:color w:val="000000"/>
                <w:sz w:val="20"/>
                <w:szCs w:val="20"/>
                <w:u w:val="none"/>
              </w:rPr>
            </w:pPr>
          </w:p>
        </w:tc>
      </w:tr>
      <w:tr w14:paraId="3827AF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4047110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C3E0D9C">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01F9B41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5）刷新率（MAX）：≥100Hz；</w:t>
            </w:r>
          </w:p>
        </w:tc>
        <w:tc>
          <w:tcPr>
            <w:tcW w:w="349" w:type="pct"/>
            <w:vMerge w:val="continue"/>
            <w:tcBorders>
              <w:tl2br w:val="nil"/>
              <w:tr2bl w:val="nil"/>
            </w:tcBorders>
            <w:noWrap w:val="0"/>
            <w:vAlign w:val="center"/>
          </w:tcPr>
          <w:p w14:paraId="043C5653">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1A5CB297">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7A81D852">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570E43FF">
            <w:pPr>
              <w:jc w:val="center"/>
              <w:rPr>
                <w:rFonts w:hint="eastAsia" w:ascii="微软雅黑" w:hAnsi="微软雅黑" w:eastAsia="微软雅黑" w:cs="微软雅黑"/>
                <w:i w:val="0"/>
                <w:iCs w:val="0"/>
                <w:color w:val="000000"/>
                <w:sz w:val="20"/>
                <w:szCs w:val="20"/>
                <w:u w:val="none"/>
              </w:rPr>
            </w:pPr>
          </w:p>
        </w:tc>
      </w:tr>
      <w:tr w14:paraId="704F24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5D9DDF1">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49D7056E">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331BBF91">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6）显示器整体要求嵌入台体；</w:t>
            </w:r>
          </w:p>
        </w:tc>
        <w:tc>
          <w:tcPr>
            <w:tcW w:w="349" w:type="pct"/>
            <w:vMerge w:val="continue"/>
            <w:tcBorders>
              <w:tl2br w:val="nil"/>
              <w:tr2bl w:val="nil"/>
            </w:tcBorders>
            <w:noWrap w:val="0"/>
            <w:vAlign w:val="center"/>
          </w:tcPr>
          <w:p w14:paraId="4A341FC4">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A4CB04B">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05564056">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7DF0DA5D">
            <w:pPr>
              <w:jc w:val="center"/>
              <w:rPr>
                <w:rFonts w:hint="eastAsia" w:ascii="微软雅黑" w:hAnsi="微软雅黑" w:eastAsia="微软雅黑" w:cs="微软雅黑"/>
                <w:i w:val="0"/>
                <w:iCs w:val="0"/>
                <w:color w:val="000000"/>
                <w:sz w:val="20"/>
                <w:szCs w:val="20"/>
                <w:u w:val="none"/>
              </w:rPr>
            </w:pPr>
          </w:p>
        </w:tc>
      </w:tr>
      <w:tr w14:paraId="19F17A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16" w:type="pct"/>
            <w:vMerge w:val="continue"/>
            <w:tcBorders>
              <w:tl2br w:val="nil"/>
              <w:tr2bl w:val="nil"/>
            </w:tcBorders>
            <w:noWrap w:val="0"/>
            <w:vAlign w:val="center"/>
          </w:tcPr>
          <w:p w14:paraId="5866F10A">
            <w:pPr>
              <w:jc w:val="center"/>
              <w:rPr>
                <w:rFonts w:hint="eastAsia" w:ascii="微软雅黑" w:hAnsi="微软雅黑" w:eastAsia="微软雅黑" w:cs="微软雅黑"/>
                <w:i w:val="0"/>
                <w:iCs w:val="0"/>
                <w:color w:val="000000"/>
                <w:sz w:val="20"/>
                <w:szCs w:val="20"/>
                <w:u w:val="none"/>
              </w:rPr>
            </w:pPr>
          </w:p>
        </w:tc>
        <w:tc>
          <w:tcPr>
            <w:tcW w:w="422" w:type="pct"/>
            <w:vMerge w:val="continue"/>
            <w:tcBorders>
              <w:tl2br w:val="nil"/>
              <w:tr2bl w:val="nil"/>
            </w:tcBorders>
            <w:noWrap w:val="0"/>
            <w:vAlign w:val="center"/>
          </w:tcPr>
          <w:p w14:paraId="7A1564B8">
            <w:pPr>
              <w:jc w:val="left"/>
              <w:rPr>
                <w:rFonts w:hint="eastAsia" w:ascii="微软雅黑" w:hAnsi="微软雅黑" w:eastAsia="微软雅黑" w:cs="微软雅黑"/>
                <w:i w:val="0"/>
                <w:iCs w:val="0"/>
                <w:color w:val="000000"/>
                <w:sz w:val="20"/>
                <w:szCs w:val="20"/>
                <w:u w:val="none"/>
              </w:rPr>
            </w:pPr>
          </w:p>
        </w:tc>
        <w:tc>
          <w:tcPr>
            <w:tcW w:w="2949" w:type="pct"/>
            <w:tcBorders>
              <w:tl2br w:val="nil"/>
              <w:tr2bl w:val="nil"/>
            </w:tcBorders>
            <w:noWrap w:val="0"/>
            <w:vAlign w:val="center"/>
          </w:tcPr>
          <w:p w14:paraId="6086FB3F">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7）并配置无线鼠标键盘</w:t>
            </w:r>
          </w:p>
        </w:tc>
        <w:tc>
          <w:tcPr>
            <w:tcW w:w="349" w:type="pct"/>
            <w:vMerge w:val="continue"/>
            <w:tcBorders>
              <w:tl2br w:val="nil"/>
              <w:tr2bl w:val="nil"/>
            </w:tcBorders>
            <w:noWrap w:val="0"/>
            <w:vAlign w:val="center"/>
          </w:tcPr>
          <w:p w14:paraId="7A3BA28A">
            <w:pPr>
              <w:jc w:val="center"/>
              <w:rPr>
                <w:rFonts w:hint="eastAsia" w:ascii="微软雅黑" w:hAnsi="微软雅黑" w:eastAsia="微软雅黑" w:cs="微软雅黑"/>
                <w:i w:val="0"/>
                <w:iCs w:val="0"/>
                <w:color w:val="000000"/>
                <w:sz w:val="20"/>
                <w:szCs w:val="20"/>
                <w:u w:val="none"/>
              </w:rPr>
            </w:pPr>
          </w:p>
        </w:tc>
        <w:tc>
          <w:tcPr>
            <w:tcW w:w="344" w:type="pct"/>
            <w:tcBorders>
              <w:tl2br w:val="nil"/>
              <w:tr2bl w:val="nil"/>
            </w:tcBorders>
            <w:noWrap w:val="0"/>
            <w:vAlign w:val="center"/>
          </w:tcPr>
          <w:p w14:paraId="360365FE">
            <w:pPr>
              <w:jc w:val="center"/>
              <w:rPr>
                <w:rFonts w:hint="eastAsia" w:ascii="微软雅黑" w:hAnsi="微软雅黑" w:eastAsia="微软雅黑" w:cs="微软雅黑"/>
                <w:i w:val="0"/>
                <w:iCs w:val="0"/>
                <w:color w:val="000000"/>
                <w:sz w:val="20"/>
                <w:szCs w:val="20"/>
                <w:u w:val="none"/>
              </w:rPr>
            </w:pPr>
          </w:p>
        </w:tc>
        <w:tc>
          <w:tcPr>
            <w:tcW w:w="375" w:type="pct"/>
            <w:gridSpan w:val="2"/>
            <w:tcBorders>
              <w:tl2br w:val="nil"/>
              <w:tr2bl w:val="nil"/>
            </w:tcBorders>
            <w:noWrap w:val="0"/>
            <w:vAlign w:val="center"/>
          </w:tcPr>
          <w:p w14:paraId="79ABEF55">
            <w:pPr>
              <w:jc w:val="center"/>
              <w:rPr>
                <w:rFonts w:hint="eastAsia" w:ascii="微软雅黑" w:hAnsi="微软雅黑" w:eastAsia="微软雅黑" w:cs="微软雅黑"/>
                <w:i w:val="0"/>
                <w:iCs w:val="0"/>
                <w:color w:val="000000"/>
                <w:sz w:val="20"/>
                <w:szCs w:val="20"/>
                <w:u w:val="none"/>
              </w:rPr>
            </w:pPr>
          </w:p>
        </w:tc>
        <w:tc>
          <w:tcPr>
            <w:tcW w:w="342" w:type="pct"/>
            <w:tcBorders>
              <w:tl2br w:val="nil"/>
              <w:tr2bl w:val="nil"/>
            </w:tcBorders>
            <w:noWrap w:val="0"/>
            <w:vAlign w:val="center"/>
          </w:tcPr>
          <w:p w14:paraId="5FCEB0C6">
            <w:pPr>
              <w:jc w:val="center"/>
              <w:rPr>
                <w:rFonts w:hint="eastAsia" w:ascii="微软雅黑" w:hAnsi="微软雅黑" w:eastAsia="微软雅黑" w:cs="微软雅黑"/>
                <w:i w:val="0"/>
                <w:iCs w:val="0"/>
                <w:color w:val="000000"/>
                <w:sz w:val="20"/>
                <w:szCs w:val="20"/>
                <w:u w:val="none"/>
              </w:rPr>
            </w:pPr>
          </w:p>
        </w:tc>
      </w:tr>
    </w:tbl>
    <w:p w14:paraId="55B071C1">
      <w:pPr>
        <w:pStyle w:val="4"/>
        <w:rPr>
          <w:rFonts w:hint="eastAsia"/>
          <w:b/>
          <w:bCs/>
          <w:color w:val="auto"/>
          <w:sz w:val="32"/>
          <w:szCs w:val="28"/>
          <w:highlight w:val="yellow"/>
        </w:rPr>
      </w:pPr>
    </w:p>
    <w:p w14:paraId="5866A64F">
      <w:pPr>
        <w:widowControl/>
        <w:spacing w:line="360" w:lineRule="auto"/>
        <w:jc w:val="left"/>
        <w:rPr>
          <w:rFonts w:hint="eastAsia" w:ascii="宋体" w:hAnsi="宋体" w:cs="宋体"/>
          <w:b/>
          <w:bCs/>
          <w:color w:val="auto"/>
          <w:kern w:val="0"/>
          <w:sz w:val="28"/>
          <w:szCs w:val="28"/>
          <w:highlight w:val="none"/>
          <w:lang w:bidi="ar"/>
        </w:rPr>
      </w:pPr>
    </w:p>
    <w:p w14:paraId="698C8E8D">
      <w:pPr>
        <w:widowControl/>
        <w:spacing w:line="360" w:lineRule="auto"/>
        <w:jc w:val="left"/>
        <w:rPr>
          <w:rFonts w:hint="eastAsia" w:ascii="宋体" w:hAnsi="宋体" w:cs="宋体"/>
          <w:b/>
          <w:bCs/>
          <w:color w:val="auto"/>
          <w:kern w:val="0"/>
          <w:sz w:val="28"/>
          <w:szCs w:val="28"/>
          <w:highlight w:val="none"/>
          <w:lang w:val="en-US" w:eastAsia="zh-CN" w:bidi="ar"/>
        </w:rPr>
      </w:pPr>
      <w:r>
        <w:rPr>
          <w:rFonts w:hint="eastAsia" w:ascii="宋体" w:hAnsi="宋体" w:cs="宋体"/>
          <w:b/>
          <w:bCs/>
          <w:color w:val="auto"/>
          <w:kern w:val="0"/>
          <w:sz w:val="28"/>
          <w:szCs w:val="28"/>
          <w:highlight w:val="none"/>
          <w:lang w:bidi="ar"/>
        </w:rPr>
        <w:t xml:space="preserve"> </w:t>
      </w:r>
      <w:r>
        <w:rPr>
          <w:rFonts w:hint="eastAsia" w:ascii="宋体" w:hAnsi="宋体" w:cs="宋体"/>
          <w:b/>
          <w:bCs/>
          <w:color w:val="auto"/>
          <w:kern w:val="0"/>
          <w:sz w:val="28"/>
          <w:szCs w:val="28"/>
          <w:highlight w:val="none"/>
          <w:lang w:val="en-US" w:eastAsia="zh-CN" w:bidi="ar"/>
        </w:rPr>
        <w:t>备注：1、合计为各小计之和，此处金额应与“投标函”中含税报价一致。</w:t>
      </w:r>
    </w:p>
    <w:p w14:paraId="343F12A7">
      <w:pPr>
        <w:widowControl/>
        <w:spacing w:line="360" w:lineRule="auto"/>
        <w:ind w:firstLine="1124" w:firstLineChars="400"/>
        <w:jc w:val="left"/>
        <w:rPr>
          <w:rFonts w:hint="default" w:ascii="宋体" w:hAnsi="宋体" w:cs="宋体"/>
          <w:b/>
          <w:bCs/>
          <w:color w:val="auto"/>
          <w:kern w:val="0"/>
          <w:sz w:val="28"/>
          <w:szCs w:val="28"/>
          <w:highlight w:val="green"/>
          <w:lang w:val="en-US" w:eastAsia="zh-CN" w:bidi="ar"/>
        </w:rPr>
        <w:sectPr>
          <w:pgSz w:w="15840" w:h="12240" w:orient="landscape"/>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宋体" w:hAnsi="宋体" w:cs="宋体"/>
          <w:b/>
          <w:bCs/>
          <w:color w:val="auto"/>
          <w:kern w:val="0"/>
          <w:sz w:val="28"/>
          <w:szCs w:val="28"/>
          <w:highlight w:val="none"/>
          <w:lang w:val="en-US" w:eastAsia="zh-CN" w:bidi="ar"/>
        </w:rPr>
        <w:t>2</w:t>
      </w:r>
      <w:r>
        <w:rPr>
          <w:rFonts w:hint="eastAsia" w:ascii="宋体" w:hAnsi="宋体" w:cs="宋体"/>
          <w:b/>
          <w:bCs/>
          <w:color w:val="auto"/>
          <w:kern w:val="0"/>
          <w:sz w:val="28"/>
          <w:szCs w:val="28"/>
          <w:highlight w:val="green"/>
          <w:lang w:val="en-US" w:eastAsia="zh-CN" w:bidi="ar"/>
        </w:rPr>
        <w:t>、投标人须明确上表主要设备材料的品牌、规格及型号。</w:t>
      </w:r>
    </w:p>
    <w:p w14:paraId="7268641F">
      <w:pPr>
        <w:ind w:left="0" w:leftChars="0" w:firstLine="0" w:firstLineChars="0"/>
        <w:jc w:val="center"/>
        <w:outlineLvl w:val="1"/>
        <w:rPr>
          <w:rFonts w:hint="eastAsia" w:ascii="宋体" w:hAnsi="宋体" w:cs="宋体"/>
          <w:b/>
          <w:bCs/>
          <w:color w:val="auto"/>
          <w:spacing w:val="2"/>
          <w:kern w:val="0"/>
          <w:position w:val="-1"/>
          <w:sz w:val="32"/>
          <w:szCs w:val="32"/>
          <w:highlight w:val="none"/>
          <w:lang w:val="en-US" w:eastAsia="zh-CN"/>
        </w:rPr>
      </w:pPr>
      <w:bookmarkStart w:id="268" w:name="_Toc6436"/>
      <w:bookmarkStart w:id="269" w:name="_Toc2168"/>
      <w:bookmarkStart w:id="270" w:name="_Toc2102"/>
      <w:r>
        <w:rPr>
          <w:rFonts w:hint="eastAsia" w:ascii="宋体" w:hAnsi="宋体" w:cs="宋体"/>
          <w:b/>
          <w:bCs/>
          <w:color w:val="auto"/>
          <w:spacing w:val="2"/>
          <w:kern w:val="0"/>
          <w:position w:val="-1"/>
          <w:sz w:val="32"/>
          <w:szCs w:val="32"/>
          <w:highlight w:val="none"/>
          <w:lang w:val="en-US" w:eastAsia="zh-CN"/>
        </w:rPr>
        <w:t>开标一览表</w:t>
      </w:r>
      <w:bookmarkEnd w:id="268"/>
    </w:p>
    <w:p w14:paraId="35A222D7">
      <w:pPr>
        <w:pStyle w:val="65"/>
        <w:rPr>
          <w:rFonts w:hint="eastAsia" w:ascii="宋体" w:hAnsi="宋体" w:cs="宋体"/>
          <w:b/>
          <w:bCs/>
          <w:color w:val="auto"/>
          <w:spacing w:val="2"/>
          <w:kern w:val="0"/>
          <w:position w:val="-1"/>
          <w:sz w:val="32"/>
          <w:szCs w:val="32"/>
          <w:highlight w:val="none"/>
          <w:lang w:val="en-US" w:eastAsia="zh-CN"/>
        </w:rPr>
      </w:pPr>
    </w:p>
    <w:p w14:paraId="0ED731E0">
      <w:pPr>
        <w:pStyle w:val="65"/>
        <w:rPr>
          <w:rFonts w:hint="eastAsia" w:ascii="宋体" w:hAnsi="宋体" w:eastAsia="宋体" w:cs="宋体"/>
          <w:b/>
          <w:bCs/>
          <w:color w:val="auto"/>
          <w:spacing w:val="2"/>
          <w:kern w:val="0"/>
          <w:position w:val="-1"/>
          <w:sz w:val="24"/>
          <w:szCs w:val="24"/>
          <w:highlight w:val="none"/>
          <w:lang w:val="en-US" w:eastAsia="zh-CN"/>
        </w:rPr>
        <w:sectPr>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宋体" w:hAnsi="宋体" w:eastAsia="宋体" w:cs="宋体"/>
          <w:b/>
          <w:bCs/>
          <w:color w:val="auto"/>
          <w:spacing w:val="2"/>
          <w:kern w:val="0"/>
          <w:position w:val="-1"/>
          <w:sz w:val="24"/>
          <w:szCs w:val="24"/>
          <w:highlight w:val="none"/>
          <w:lang w:val="en-US" w:eastAsia="zh-CN"/>
        </w:rPr>
        <w:t>此处不做强制要求，供应商可不填写。</w:t>
      </w:r>
    </w:p>
    <w:p w14:paraId="1BF65CBC">
      <w:pPr>
        <w:ind w:left="0" w:leftChars="0" w:firstLine="0" w:firstLineChars="0"/>
        <w:jc w:val="center"/>
        <w:outlineLvl w:val="1"/>
        <w:rPr>
          <w:rFonts w:hint="eastAsia" w:ascii="宋体" w:hAnsi="宋体" w:cs="宋体"/>
          <w:color w:val="auto"/>
          <w:kern w:val="0"/>
          <w:sz w:val="32"/>
          <w:szCs w:val="32"/>
          <w:highlight w:val="none"/>
        </w:rPr>
      </w:pPr>
      <w:bookmarkStart w:id="271" w:name="_Toc9121"/>
      <w:r>
        <w:rPr>
          <w:rFonts w:hint="eastAsia" w:ascii="宋体" w:hAnsi="宋体" w:cs="宋体"/>
          <w:b/>
          <w:bCs/>
          <w:color w:val="auto"/>
          <w:spacing w:val="2"/>
          <w:kern w:val="0"/>
          <w:position w:val="-1"/>
          <w:sz w:val="32"/>
          <w:szCs w:val="32"/>
          <w:highlight w:val="none"/>
        </w:rPr>
        <w:t>法定代表</w:t>
      </w:r>
      <w:r>
        <w:rPr>
          <w:rFonts w:hint="eastAsia" w:ascii="宋体" w:hAnsi="宋体" w:cs="宋体"/>
          <w:b/>
          <w:bCs/>
          <w:color w:val="auto"/>
          <w:kern w:val="0"/>
          <w:position w:val="-1"/>
          <w:sz w:val="32"/>
          <w:szCs w:val="32"/>
          <w:highlight w:val="none"/>
        </w:rPr>
        <w:t>人</w:t>
      </w:r>
      <w:r>
        <w:rPr>
          <w:rFonts w:hint="eastAsia" w:ascii="宋体" w:hAnsi="宋体" w:cs="宋体"/>
          <w:b/>
          <w:bCs/>
          <w:color w:val="auto"/>
          <w:spacing w:val="2"/>
          <w:kern w:val="0"/>
          <w:position w:val="-1"/>
          <w:sz w:val="32"/>
          <w:szCs w:val="32"/>
          <w:highlight w:val="none"/>
        </w:rPr>
        <w:t>身份证</w:t>
      </w:r>
      <w:r>
        <w:rPr>
          <w:rFonts w:hint="eastAsia" w:ascii="宋体" w:hAnsi="宋体" w:cs="宋体"/>
          <w:b/>
          <w:bCs/>
          <w:color w:val="auto"/>
          <w:kern w:val="0"/>
          <w:position w:val="-1"/>
          <w:sz w:val="32"/>
          <w:szCs w:val="32"/>
          <w:highlight w:val="none"/>
        </w:rPr>
        <w:t>明</w:t>
      </w:r>
      <w:bookmarkEnd w:id="269"/>
      <w:bookmarkEnd w:id="270"/>
      <w:bookmarkEnd w:id="271"/>
    </w:p>
    <w:p w14:paraId="03113DC8">
      <w:pPr>
        <w:autoSpaceDE w:val="0"/>
        <w:autoSpaceDN w:val="0"/>
        <w:adjustRightInd w:val="0"/>
        <w:spacing w:line="200" w:lineRule="exact"/>
        <w:jc w:val="left"/>
        <w:rPr>
          <w:rFonts w:hint="eastAsia" w:ascii="宋体" w:hAnsi="宋体" w:cs="宋体"/>
          <w:color w:val="auto"/>
          <w:kern w:val="0"/>
          <w:sz w:val="20"/>
          <w:szCs w:val="20"/>
          <w:highlight w:val="none"/>
        </w:rPr>
      </w:pPr>
    </w:p>
    <w:p w14:paraId="5629138A">
      <w:pPr>
        <w:autoSpaceDE w:val="0"/>
        <w:autoSpaceDN w:val="0"/>
        <w:adjustRightInd w:val="0"/>
        <w:spacing w:line="200" w:lineRule="exact"/>
        <w:jc w:val="left"/>
        <w:rPr>
          <w:rFonts w:hint="eastAsia" w:ascii="宋体" w:hAnsi="宋体" w:cs="宋体"/>
          <w:color w:val="auto"/>
          <w:kern w:val="0"/>
          <w:sz w:val="20"/>
          <w:szCs w:val="20"/>
          <w:highlight w:val="none"/>
        </w:rPr>
      </w:pPr>
    </w:p>
    <w:p w14:paraId="457E5E48">
      <w:pPr>
        <w:autoSpaceDE w:val="0"/>
        <w:autoSpaceDN w:val="0"/>
        <w:adjustRightInd w:val="0"/>
        <w:spacing w:line="200" w:lineRule="exact"/>
        <w:jc w:val="left"/>
        <w:rPr>
          <w:rFonts w:hint="eastAsia" w:ascii="宋体" w:hAnsi="宋体" w:cs="宋体"/>
          <w:color w:val="auto"/>
          <w:kern w:val="0"/>
          <w:sz w:val="20"/>
          <w:szCs w:val="20"/>
          <w:highlight w:val="none"/>
        </w:rPr>
      </w:pPr>
    </w:p>
    <w:p w14:paraId="025815C2">
      <w:pPr>
        <w:autoSpaceDE w:val="0"/>
        <w:autoSpaceDN w:val="0"/>
        <w:adjustRightInd w:val="0"/>
        <w:spacing w:line="200" w:lineRule="exact"/>
        <w:jc w:val="left"/>
        <w:rPr>
          <w:rFonts w:hint="eastAsia" w:ascii="宋体" w:hAnsi="宋体" w:cs="宋体"/>
          <w:color w:val="auto"/>
          <w:kern w:val="0"/>
          <w:sz w:val="20"/>
          <w:szCs w:val="20"/>
          <w:highlight w:val="none"/>
        </w:rPr>
      </w:pPr>
    </w:p>
    <w:p w14:paraId="624C238E">
      <w:pPr>
        <w:autoSpaceDE w:val="0"/>
        <w:autoSpaceDN w:val="0"/>
        <w:adjustRightInd w:val="0"/>
        <w:spacing w:line="200" w:lineRule="exact"/>
        <w:jc w:val="left"/>
        <w:rPr>
          <w:rFonts w:hint="eastAsia" w:ascii="宋体" w:hAnsi="宋体" w:cs="宋体"/>
          <w:color w:val="auto"/>
          <w:kern w:val="0"/>
          <w:sz w:val="20"/>
          <w:szCs w:val="20"/>
          <w:highlight w:val="none"/>
        </w:rPr>
      </w:pPr>
    </w:p>
    <w:p w14:paraId="3557D1C5">
      <w:pPr>
        <w:autoSpaceDE w:val="0"/>
        <w:autoSpaceDN w:val="0"/>
        <w:adjustRightInd w:val="0"/>
        <w:spacing w:line="200" w:lineRule="exact"/>
        <w:jc w:val="left"/>
        <w:rPr>
          <w:rFonts w:hint="eastAsia" w:ascii="宋体" w:hAnsi="宋体" w:cs="宋体"/>
          <w:color w:val="auto"/>
          <w:kern w:val="0"/>
          <w:sz w:val="20"/>
          <w:szCs w:val="20"/>
          <w:highlight w:val="none"/>
        </w:rPr>
      </w:pPr>
    </w:p>
    <w:p w14:paraId="76EECE98">
      <w:pPr>
        <w:autoSpaceDE w:val="0"/>
        <w:autoSpaceDN w:val="0"/>
        <w:adjustRightInd w:val="0"/>
        <w:spacing w:before="17" w:line="280" w:lineRule="exact"/>
        <w:jc w:val="left"/>
        <w:rPr>
          <w:rFonts w:hint="eastAsia" w:ascii="宋体" w:hAnsi="宋体" w:cs="宋体"/>
          <w:color w:val="auto"/>
          <w:kern w:val="0"/>
          <w:sz w:val="28"/>
          <w:szCs w:val="28"/>
          <w:highlight w:val="none"/>
        </w:rPr>
      </w:pPr>
    </w:p>
    <w:p w14:paraId="4AB2A7BC">
      <w:pPr>
        <w:tabs>
          <w:tab w:val="left" w:pos="3880"/>
        </w:tabs>
        <w:autoSpaceDE w:val="0"/>
        <w:autoSpaceDN w:val="0"/>
        <w:adjustRightInd w:val="0"/>
        <w:spacing w:line="360" w:lineRule="auto"/>
        <w:ind w:right="-20"/>
        <w:jc w:val="left"/>
        <w:rPr>
          <w:rFonts w:hint="eastAsia" w:ascii="宋体" w:hAnsi="宋体" w:cs="宋体"/>
          <w:color w:val="auto"/>
          <w:kern w:val="0"/>
          <w:szCs w:val="21"/>
          <w:highlight w:val="none"/>
        </w:rPr>
      </w:pPr>
      <w:r>
        <w:rPr>
          <w:rFonts w:hint="eastAsia" w:ascii="宋体" w:hAnsi="宋体" w:cs="宋体"/>
          <w:color w:val="auto"/>
          <w:kern w:val="0"/>
          <w:position w:val="-4"/>
          <w:szCs w:val="21"/>
          <w:highlight w:val="none"/>
          <w:lang w:eastAsia="zh-CN"/>
        </w:rPr>
        <w:t>供应商</w:t>
      </w:r>
      <w:r>
        <w:rPr>
          <w:rFonts w:hint="eastAsia" w:ascii="宋体" w:hAnsi="宋体" w:cs="宋体"/>
          <w:color w:val="auto"/>
          <w:kern w:val="0"/>
          <w:position w:val="-4"/>
          <w:szCs w:val="21"/>
          <w:highlight w:val="none"/>
        </w:rPr>
        <w:t>名</w:t>
      </w:r>
      <w:r>
        <w:rPr>
          <w:rFonts w:hint="eastAsia" w:ascii="宋体" w:hAnsi="宋体" w:cs="宋体"/>
          <w:color w:val="auto"/>
          <w:spacing w:val="-2"/>
          <w:kern w:val="0"/>
          <w:position w:val="-4"/>
          <w:szCs w:val="21"/>
          <w:highlight w:val="none"/>
        </w:rPr>
        <w:t>称</w:t>
      </w:r>
      <w:r>
        <w:rPr>
          <w:rFonts w:hint="eastAsia" w:ascii="宋体" w:hAnsi="宋体" w:cs="宋体"/>
          <w:color w:val="auto"/>
          <w:kern w:val="0"/>
          <w:position w:val="-4"/>
          <w:szCs w:val="21"/>
          <w:highlight w:val="none"/>
        </w:rPr>
        <w:t>：</w:t>
      </w:r>
      <w:r>
        <w:rPr>
          <w:rFonts w:hint="eastAsia" w:ascii="宋体" w:hAnsi="宋体" w:cs="宋体"/>
          <w:color w:val="auto"/>
          <w:w w:val="169"/>
          <w:kern w:val="0"/>
          <w:position w:val="-4"/>
          <w:szCs w:val="21"/>
          <w:highlight w:val="none"/>
          <w:u w:val="single"/>
        </w:rPr>
        <w:t xml:space="preserve"> </w:t>
      </w:r>
      <w:r>
        <w:rPr>
          <w:rFonts w:hint="eastAsia" w:ascii="宋体" w:hAnsi="宋体" w:cs="宋体"/>
          <w:color w:val="auto"/>
          <w:kern w:val="0"/>
          <w:position w:val="-4"/>
          <w:szCs w:val="21"/>
          <w:highlight w:val="none"/>
          <w:u w:val="single"/>
        </w:rPr>
        <w:tab/>
      </w:r>
    </w:p>
    <w:p w14:paraId="4737E22C">
      <w:pPr>
        <w:autoSpaceDE w:val="0"/>
        <w:autoSpaceDN w:val="0"/>
        <w:adjustRightInd w:val="0"/>
        <w:spacing w:before="8" w:line="360" w:lineRule="auto"/>
        <w:jc w:val="left"/>
        <w:rPr>
          <w:rFonts w:hint="eastAsia" w:ascii="宋体" w:hAnsi="宋体" w:cs="宋体"/>
          <w:color w:val="auto"/>
          <w:kern w:val="0"/>
          <w:sz w:val="16"/>
          <w:szCs w:val="16"/>
          <w:highlight w:val="none"/>
        </w:rPr>
      </w:pPr>
    </w:p>
    <w:p w14:paraId="26A8A1FE">
      <w:pPr>
        <w:tabs>
          <w:tab w:val="left" w:pos="2400"/>
          <w:tab w:val="left" w:pos="3880"/>
          <w:tab w:val="left" w:pos="5340"/>
          <w:tab w:val="left" w:pos="6820"/>
        </w:tabs>
        <w:autoSpaceDE w:val="0"/>
        <w:autoSpaceDN w:val="0"/>
        <w:adjustRightInd w:val="0"/>
        <w:spacing w:line="360" w:lineRule="auto"/>
        <w:ind w:right="-2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position w:val="-2"/>
          <w:szCs w:val="21"/>
          <w:highlight w:val="none"/>
        </w:rPr>
        <w:t>姓名</w:t>
      </w:r>
      <w:r>
        <w:rPr>
          <w:rFonts w:hint="eastAsia" w:ascii="宋体" w:hAnsi="宋体" w:cs="宋体"/>
          <w:color w:val="auto"/>
          <w:spacing w:val="-2"/>
          <w:kern w:val="0"/>
          <w:position w:val="-2"/>
          <w:szCs w:val="21"/>
          <w:highlight w:val="none"/>
        </w:rPr>
        <w:t>：</w:t>
      </w:r>
      <w:r>
        <w:rPr>
          <w:rFonts w:hint="eastAsia" w:ascii="宋体" w:hAnsi="宋体" w:cs="宋体"/>
          <w:color w:val="auto"/>
          <w:w w:val="169"/>
          <w:kern w:val="0"/>
          <w:position w:val="-2"/>
          <w:szCs w:val="21"/>
          <w:highlight w:val="none"/>
          <w:u w:val="single"/>
        </w:rPr>
        <w:t xml:space="preserve"> </w:t>
      </w:r>
      <w:r>
        <w:rPr>
          <w:rFonts w:hint="eastAsia" w:ascii="宋体" w:hAnsi="宋体" w:cs="宋体"/>
          <w:color w:val="auto"/>
          <w:kern w:val="0"/>
          <w:position w:val="-2"/>
          <w:szCs w:val="21"/>
          <w:highlight w:val="none"/>
          <w:u w:val="single"/>
        </w:rPr>
        <w:tab/>
      </w:r>
      <w:r>
        <w:rPr>
          <w:rFonts w:hint="eastAsia" w:ascii="宋体" w:hAnsi="宋体" w:cs="宋体"/>
          <w:color w:val="auto"/>
          <w:kern w:val="0"/>
          <w:position w:val="-2"/>
          <w:szCs w:val="21"/>
          <w:highlight w:val="none"/>
        </w:rPr>
        <w:t>性别</w:t>
      </w:r>
      <w:r>
        <w:rPr>
          <w:rFonts w:hint="eastAsia" w:ascii="宋体" w:hAnsi="宋体" w:cs="宋体"/>
          <w:color w:val="auto"/>
          <w:spacing w:val="-2"/>
          <w:kern w:val="0"/>
          <w:position w:val="-2"/>
          <w:szCs w:val="21"/>
          <w:highlight w:val="none"/>
        </w:rPr>
        <w:t>：</w:t>
      </w:r>
      <w:r>
        <w:rPr>
          <w:rFonts w:hint="eastAsia" w:ascii="宋体" w:hAnsi="宋体" w:cs="宋体"/>
          <w:color w:val="auto"/>
          <w:w w:val="169"/>
          <w:kern w:val="0"/>
          <w:position w:val="-2"/>
          <w:szCs w:val="21"/>
          <w:highlight w:val="none"/>
          <w:u w:val="single"/>
        </w:rPr>
        <w:t xml:space="preserve"> </w:t>
      </w:r>
      <w:r>
        <w:rPr>
          <w:rFonts w:hint="eastAsia" w:ascii="宋体" w:hAnsi="宋体" w:cs="宋体"/>
          <w:color w:val="auto"/>
          <w:kern w:val="0"/>
          <w:position w:val="-2"/>
          <w:szCs w:val="21"/>
          <w:highlight w:val="none"/>
          <w:u w:val="single"/>
        </w:rPr>
        <w:tab/>
      </w:r>
      <w:r>
        <w:rPr>
          <w:rFonts w:hint="eastAsia" w:ascii="宋体" w:hAnsi="宋体" w:cs="宋体"/>
          <w:color w:val="auto"/>
          <w:kern w:val="0"/>
          <w:position w:val="-2"/>
          <w:szCs w:val="21"/>
          <w:highlight w:val="none"/>
          <w:u w:val="single"/>
          <w:lang w:val="en-US" w:eastAsia="zh-CN"/>
        </w:rPr>
        <w:t xml:space="preserve">  </w:t>
      </w:r>
      <w:r>
        <w:rPr>
          <w:rFonts w:hint="eastAsia" w:ascii="宋体" w:hAnsi="宋体" w:cs="宋体"/>
          <w:color w:val="auto"/>
          <w:kern w:val="0"/>
          <w:position w:val="-2"/>
          <w:szCs w:val="21"/>
          <w:highlight w:val="none"/>
        </w:rPr>
        <w:t>年</w:t>
      </w:r>
      <w:r>
        <w:rPr>
          <w:rFonts w:hint="eastAsia" w:ascii="宋体" w:hAnsi="宋体" w:cs="宋体"/>
          <w:color w:val="auto"/>
          <w:spacing w:val="-2"/>
          <w:kern w:val="0"/>
          <w:position w:val="-2"/>
          <w:szCs w:val="21"/>
          <w:highlight w:val="none"/>
        </w:rPr>
        <w:t>龄</w:t>
      </w:r>
      <w:r>
        <w:rPr>
          <w:rFonts w:hint="eastAsia" w:ascii="宋体" w:hAnsi="宋体" w:cs="宋体"/>
          <w:color w:val="auto"/>
          <w:kern w:val="0"/>
          <w:position w:val="-2"/>
          <w:szCs w:val="21"/>
          <w:highlight w:val="none"/>
        </w:rPr>
        <w:t>：</w:t>
      </w:r>
      <w:r>
        <w:rPr>
          <w:rFonts w:hint="eastAsia" w:ascii="宋体" w:hAnsi="宋体" w:cs="宋体"/>
          <w:color w:val="auto"/>
          <w:w w:val="169"/>
          <w:kern w:val="0"/>
          <w:position w:val="-2"/>
          <w:szCs w:val="21"/>
          <w:highlight w:val="none"/>
          <w:u w:val="single"/>
        </w:rPr>
        <w:t xml:space="preserve"> </w:t>
      </w:r>
      <w:r>
        <w:rPr>
          <w:rFonts w:hint="eastAsia" w:ascii="宋体" w:hAnsi="宋体" w:cs="宋体"/>
          <w:color w:val="auto"/>
          <w:kern w:val="0"/>
          <w:position w:val="-2"/>
          <w:szCs w:val="21"/>
          <w:highlight w:val="none"/>
          <w:u w:val="single"/>
        </w:rPr>
        <w:tab/>
      </w:r>
      <w:r>
        <w:rPr>
          <w:rFonts w:hint="eastAsia" w:ascii="宋体" w:hAnsi="宋体" w:cs="宋体"/>
          <w:color w:val="auto"/>
          <w:kern w:val="0"/>
          <w:position w:val="-2"/>
          <w:szCs w:val="21"/>
          <w:highlight w:val="none"/>
          <w:u w:val="single"/>
          <w:lang w:val="en-US" w:eastAsia="zh-CN"/>
        </w:rPr>
        <w:t xml:space="preserve">   </w:t>
      </w:r>
      <w:r>
        <w:rPr>
          <w:rFonts w:hint="eastAsia" w:ascii="宋体" w:hAnsi="宋体" w:cs="宋体"/>
          <w:color w:val="auto"/>
          <w:kern w:val="0"/>
          <w:position w:val="-2"/>
          <w:szCs w:val="21"/>
          <w:highlight w:val="none"/>
        </w:rPr>
        <w:t>职</w:t>
      </w:r>
      <w:r>
        <w:rPr>
          <w:rFonts w:hint="eastAsia" w:ascii="宋体" w:hAnsi="宋体" w:cs="宋体"/>
          <w:color w:val="auto"/>
          <w:spacing w:val="-2"/>
          <w:kern w:val="0"/>
          <w:position w:val="-2"/>
          <w:szCs w:val="21"/>
          <w:highlight w:val="none"/>
        </w:rPr>
        <w:t>务</w:t>
      </w:r>
      <w:r>
        <w:rPr>
          <w:rFonts w:hint="eastAsia" w:ascii="宋体" w:hAnsi="宋体" w:cs="宋体"/>
          <w:color w:val="auto"/>
          <w:kern w:val="0"/>
          <w:position w:val="-2"/>
          <w:szCs w:val="21"/>
          <w:highlight w:val="none"/>
        </w:rPr>
        <w:t>：</w:t>
      </w:r>
      <w:r>
        <w:rPr>
          <w:rFonts w:hint="eastAsia" w:ascii="宋体" w:hAnsi="宋体" w:cs="宋体"/>
          <w:color w:val="auto"/>
          <w:w w:val="169"/>
          <w:kern w:val="0"/>
          <w:position w:val="-2"/>
          <w:szCs w:val="21"/>
          <w:highlight w:val="none"/>
          <w:u w:val="single"/>
        </w:rPr>
        <w:t xml:space="preserve"> </w:t>
      </w:r>
      <w:r>
        <w:rPr>
          <w:rFonts w:hint="eastAsia" w:ascii="宋体" w:hAnsi="宋体" w:cs="宋体"/>
          <w:color w:val="auto"/>
          <w:kern w:val="0"/>
          <w:position w:val="-2"/>
          <w:szCs w:val="21"/>
          <w:highlight w:val="none"/>
          <w:u w:val="single"/>
        </w:rPr>
        <w:tab/>
      </w:r>
      <w:r>
        <w:rPr>
          <w:rFonts w:hint="eastAsia" w:ascii="宋体" w:hAnsi="宋体" w:cs="宋体"/>
          <w:color w:val="auto"/>
          <w:kern w:val="0"/>
          <w:position w:val="-2"/>
          <w:szCs w:val="21"/>
          <w:highlight w:val="none"/>
          <w:u w:val="single"/>
          <w:lang w:val="en-US" w:eastAsia="zh-CN"/>
        </w:rPr>
        <w:t xml:space="preserve">    </w:t>
      </w:r>
    </w:p>
    <w:p w14:paraId="73FF62AE">
      <w:pPr>
        <w:autoSpaceDE w:val="0"/>
        <w:autoSpaceDN w:val="0"/>
        <w:adjustRightInd w:val="0"/>
        <w:spacing w:before="1" w:line="360" w:lineRule="auto"/>
        <w:jc w:val="left"/>
        <w:rPr>
          <w:rFonts w:hint="eastAsia" w:ascii="宋体" w:hAnsi="宋体" w:cs="宋体"/>
          <w:color w:val="auto"/>
          <w:kern w:val="0"/>
          <w:sz w:val="17"/>
          <w:szCs w:val="17"/>
          <w:highlight w:val="none"/>
        </w:rPr>
      </w:pPr>
    </w:p>
    <w:p w14:paraId="3FE8804F">
      <w:pPr>
        <w:tabs>
          <w:tab w:val="left" w:pos="2820"/>
        </w:tabs>
        <w:autoSpaceDE w:val="0"/>
        <w:autoSpaceDN w:val="0"/>
        <w:adjustRightInd w:val="0"/>
        <w:spacing w:line="360" w:lineRule="auto"/>
        <w:ind w:right="-20"/>
        <w:jc w:val="left"/>
        <w:rPr>
          <w:rFonts w:hint="eastAsia" w:ascii="宋体" w:hAnsi="宋体" w:cs="宋体"/>
          <w:color w:val="auto"/>
          <w:kern w:val="0"/>
          <w:szCs w:val="21"/>
          <w:highlight w:val="none"/>
        </w:rPr>
      </w:pPr>
      <w:r>
        <w:rPr>
          <w:rFonts w:hint="eastAsia" w:ascii="宋体" w:hAnsi="宋体" w:cs="宋体"/>
          <w:color w:val="auto"/>
          <w:kern w:val="0"/>
          <w:position w:val="-2"/>
          <w:szCs w:val="21"/>
          <w:highlight w:val="none"/>
        </w:rPr>
        <w:t>系</w:t>
      </w:r>
      <w:r>
        <w:rPr>
          <w:rFonts w:hint="eastAsia" w:ascii="宋体" w:hAnsi="宋体" w:cs="宋体"/>
          <w:color w:val="auto"/>
          <w:spacing w:val="43"/>
          <w:kern w:val="0"/>
          <w:position w:val="-2"/>
          <w:szCs w:val="21"/>
          <w:highlight w:val="none"/>
          <w:u w:val="single"/>
        </w:rPr>
        <w:t xml:space="preserve"> </w:t>
      </w:r>
      <w:r>
        <w:rPr>
          <w:rFonts w:hint="eastAsia" w:ascii="宋体" w:hAnsi="宋体" w:cs="宋体"/>
          <w:color w:val="auto"/>
          <w:kern w:val="0"/>
          <w:position w:val="-2"/>
          <w:szCs w:val="21"/>
          <w:highlight w:val="none"/>
          <w:u w:val="single"/>
        </w:rPr>
        <w:tab/>
      </w:r>
      <w:r>
        <w:rPr>
          <w:rFonts w:hint="eastAsia" w:ascii="宋体" w:hAnsi="宋体" w:cs="宋体"/>
          <w:color w:val="auto"/>
          <w:spacing w:val="-2"/>
          <w:kern w:val="0"/>
          <w:position w:val="-2"/>
          <w:szCs w:val="21"/>
          <w:highlight w:val="none"/>
        </w:rPr>
        <w:t>（</w:t>
      </w:r>
      <w:r>
        <w:rPr>
          <w:rFonts w:hint="eastAsia" w:ascii="宋体" w:hAnsi="宋体" w:cs="宋体"/>
          <w:color w:val="auto"/>
          <w:kern w:val="0"/>
          <w:position w:val="-2"/>
          <w:szCs w:val="21"/>
          <w:highlight w:val="none"/>
          <w:lang w:eastAsia="zh-CN"/>
        </w:rPr>
        <w:t>供应商</w:t>
      </w:r>
      <w:r>
        <w:rPr>
          <w:rFonts w:hint="eastAsia" w:ascii="宋体" w:hAnsi="宋体" w:cs="宋体"/>
          <w:color w:val="auto"/>
          <w:spacing w:val="-2"/>
          <w:kern w:val="0"/>
          <w:position w:val="-2"/>
          <w:szCs w:val="21"/>
          <w:highlight w:val="none"/>
        </w:rPr>
        <w:t>名</w:t>
      </w:r>
      <w:r>
        <w:rPr>
          <w:rFonts w:hint="eastAsia" w:ascii="宋体" w:hAnsi="宋体" w:cs="宋体"/>
          <w:color w:val="auto"/>
          <w:kern w:val="0"/>
          <w:position w:val="-2"/>
          <w:szCs w:val="21"/>
          <w:highlight w:val="none"/>
        </w:rPr>
        <w:t>称</w:t>
      </w:r>
      <w:r>
        <w:rPr>
          <w:rFonts w:hint="eastAsia" w:ascii="宋体" w:hAnsi="宋体" w:cs="宋体"/>
          <w:color w:val="auto"/>
          <w:spacing w:val="-2"/>
          <w:kern w:val="0"/>
          <w:position w:val="-2"/>
          <w:szCs w:val="21"/>
          <w:highlight w:val="none"/>
        </w:rPr>
        <w:t>）</w:t>
      </w:r>
      <w:r>
        <w:rPr>
          <w:rFonts w:hint="eastAsia" w:ascii="宋体" w:hAnsi="宋体" w:cs="宋体"/>
          <w:color w:val="auto"/>
          <w:kern w:val="0"/>
          <w:position w:val="-2"/>
          <w:szCs w:val="21"/>
          <w:highlight w:val="none"/>
        </w:rPr>
        <w:t>的</w:t>
      </w:r>
      <w:r>
        <w:rPr>
          <w:rFonts w:hint="eastAsia" w:ascii="宋体" w:hAnsi="宋体" w:cs="宋体"/>
          <w:color w:val="auto"/>
          <w:spacing w:val="-2"/>
          <w:kern w:val="0"/>
          <w:position w:val="-2"/>
          <w:szCs w:val="21"/>
          <w:highlight w:val="none"/>
        </w:rPr>
        <w:t>法定</w:t>
      </w:r>
      <w:r>
        <w:rPr>
          <w:rFonts w:hint="eastAsia" w:ascii="宋体" w:hAnsi="宋体" w:cs="宋体"/>
          <w:color w:val="auto"/>
          <w:kern w:val="0"/>
          <w:position w:val="-2"/>
          <w:szCs w:val="21"/>
          <w:highlight w:val="none"/>
        </w:rPr>
        <w:t>代表</w:t>
      </w:r>
      <w:r>
        <w:rPr>
          <w:rFonts w:hint="eastAsia" w:ascii="宋体" w:hAnsi="宋体" w:cs="宋体"/>
          <w:color w:val="auto"/>
          <w:spacing w:val="-2"/>
          <w:kern w:val="0"/>
          <w:position w:val="-2"/>
          <w:szCs w:val="21"/>
          <w:highlight w:val="none"/>
        </w:rPr>
        <w:t>人</w:t>
      </w:r>
      <w:r>
        <w:rPr>
          <w:rFonts w:hint="eastAsia" w:ascii="宋体" w:hAnsi="宋体" w:cs="宋体"/>
          <w:color w:val="auto"/>
          <w:kern w:val="0"/>
          <w:position w:val="-2"/>
          <w:szCs w:val="21"/>
          <w:highlight w:val="none"/>
        </w:rPr>
        <w:t>。</w:t>
      </w:r>
    </w:p>
    <w:p w14:paraId="2F0E0C8B">
      <w:pPr>
        <w:autoSpaceDE w:val="0"/>
        <w:autoSpaceDN w:val="0"/>
        <w:adjustRightInd w:val="0"/>
        <w:spacing w:before="8" w:line="360" w:lineRule="auto"/>
        <w:jc w:val="left"/>
        <w:rPr>
          <w:rFonts w:hint="eastAsia" w:ascii="宋体" w:hAnsi="宋体" w:cs="宋体"/>
          <w:color w:val="auto"/>
          <w:kern w:val="0"/>
          <w:sz w:val="16"/>
          <w:szCs w:val="16"/>
          <w:highlight w:val="none"/>
        </w:rPr>
      </w:pPr>
    </w:p>
    <w:p w14:paraId="30EDA835">
      <w:pPr>
        <w:autoSpaceDE w:val="0"/>
        <w:autoSpaceDN w:val="0"/>
        <w:adjustRightInd w:val="0"/>
        <w:spacing w:line="360" w:lineRule="auto"/>
        <w:ind w:right="-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w:t>
      </w:r>
      <w:r>
        <w:rPr>
          <w:rFonts w:hint="eastAsia" w:ascii="宋体" w:hAnsi="宋体" w:cs="宋体"/>
          <w:color w:val="auto"/>
          <w:spacing w:val="-2"/>
          <w:kern w:val="0"/>
          <w:szCs w:val="21"/>
          <w:highlight w:val="none"/>
        </w:rPr>
        <w:t>证</w:t>
      </w:r>
      <w:r>
        <w:rPr>
          <w:rFonts w:hint="eastAsia" w:ascii="宋体" w:hAnsi="宋体" w:cs="宋体"/>
          <w:color w:val="auto"/>
          <w:kern w:val="0"/>
          <w:szCs w:val="21"/>
          <w:highlight w:val="none"/>
        </w:rPr>
        <w:t>明。</w:t>
      </w:r>
    </w:p>
    <w:p w14:paraId="57AF7B79">
      <w:pPr>
        <w:autoSpaceDE w:val="0"/>
        <w:autoSpaceDN w:val="0"/>
        <w:adjustRightInd w:val="0"/>
        <w:spacing w:before="2" w:line="120" w:lineRule="exact"/>
        <w:jc w:val="left"/>
        <w:rPr>
          <w:rFonts w:hint="eastAsia" w:ascii="宋体" w:hAnsi="宋体" w:cs="宋体"/>
          <w:color w:val="auto"/>
          <w:kern w:val="0"/>
          <w:sz w:val="12"/>
          <w:szCs w:val="12"/>
          <w:highlight w:val="none"/>
        </w:rPr>
      </w:pPr>
    </w:p>
    <w:p w14:paraId="4BD987A2">
      <w:pPr>
        <w:autoSpaceDE w:val="0"/>
        <w:autoSpaceDN w:val="0"/>
        <w:adjustRightInd w:val="0"/>
        <w:spacing w:line="200" w:lineRule="exact"/>
        <w:jc w:val="left"/>
        <w:rPr>
          <w:rFonts w:hint="eastAsia" w:ascii="宋体" w:hAnsi="宋体" w:cs="宋体"/>
          <w:color w:val="auto"/>
          <w:kern w:val="0"/>
          <w:sz w:val="20"/>
          <w:szCs w:val="20"/>
          <w:highlight w:val="none"/>
        </w:rPr>
      </w:pPr>
    </w:p>
    <w:p w14:paraId="41C6A907">
      <w:pPr>
        <w:autoSpaceDE w:val="0"/>
        <w:autoSpaceDN w:val="0"/>
        <w:adjustRightInd w:val="0"/>
        <w:spacing w:line="200" w:lineRule="exact"/>
        <w:jc w:val="left"/>
        <w:rPr>
          <w:rFonts w:hint="eastAsia" w:ascii="宋体" w:hAnsi="宋体" w:cs="宋体"/>
          <w:color w:val="auto"/>
          <w:kern w:val="0"/>
          <w:sz w:val="20"/>
          <w:szCs w:val="20"/>
          <w:highlight w:val="none"/>
        </w:rPr>
      </w:pPr>
    </w:p>
    <w:p w14:paraId="35D905F1">
      <w:pPr>
        <w:autoSpaceDE w:val="0"/>
        <w:autoSpaceDN w:val="0"/>
        <w:adjustRightInd w:val="0"/>
        <w:spacing w:line="588" w:lineRule="auto"/>
        <w:ind w:right="1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w:t>
      </w:r>
      <w:r>
        <w:rPr>
          <w:rFonts w:hint="eastAsia" w:ascii="宋体" w:hAnsi="宋体" w:cs="宋体"/>
          <w:color w:val="auto"/>
          <w:spacing w:val="-2"/>
          <w:kern w:val="0"/>
          <w:szCs w:val="21"/>
          <w:highlight w:val="none"/>
        </w:rPr>
        <w:t>法</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代</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身</w:t>
      </w:r>
      <w:r>
        <w:rPr>
          <w:rFonts w:hint="eastAsia" w:ascii="宋体" w:hAnsi="宋体" w:cs="宋体"/>
          <w:color w:val="auto"/>
          <w:spacing w:val="-2"/>
          <w:kern w:val="0"/>
          <w:szCs w:val="21"/>
          <w:highlight w:val="none"/>
        </w:rPr>
        <w:t>份</w:t>
      </w:r>
      <w:r>
        <w:rPr>
          <w:rFonts w:hint="eastAsia" w:ascii="宋体" w:hAnsi="宋体" w:cs="宋体"/>
          <w:color w:val="auto"/>
          <w:kern w:val="0"/>
          <w:szCs w:val="21"/>
          <w:highlight w:val="none"/>
        </w:rPr>
        <w:t>证</w:t>
      </w:r>
      <w:r>
        <w:rPr>
          <w:rFonts w:hint="eastAsia" w:ascii="宋体" w:hAnsi="宋体" w:cs="宋体"/>
          <w:color w:val="auto"/>
          <w:spacing w:val="-2"/>
          <w:kern w:val="0"/>
          <w:szCs w:val="21"/>
          <w:highlight w:val="none"/>
        </w:rPr>
        <w:t>复</w:t>
      </w:r>
      <w:r>
        <w:rPr>
          <w:rFonts w:hint="eastAsia" w:ascii="宋体" w:hAnsi="宋体" w:cs="宋体"/>
          <w:color w:val="auto"/>
          <w:kern w:val="0"/>
          <w:szCs w:val="21"/>
          <w:highlight w:val="none"/>
        </w:rPr>
        <w:t>印</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 xml:space="preserve">。 </w:t>
      </w:r>
    </w:p>
    <w:p w14:paraId="4FE449FB">
      <w:pPr>
        <w:autoSpaceDE w:val="0"/>
        <w:autoSpaceDN w:val="0"/>
        <w:adjustRightInd w:val="0"/>
        <w:spacing w:before="10" w:line="150" w:lineRule="exact"/>
        <w:jc w:val="left"/>
        <w:rPr>
          <w:rFonts w:hint="eastAsia" w:ascii="宋体" w:hAnsi="宋体" w:cs="宋体"/>
          <w:color w:val="auto"/>
          <w:kern w:val="0"/>
          <w:sz w:val="15"/>
          <w:szCs w:val="15"/>
          <w:highlight w:val="none"/>
        </w:rPr>
      </w:pPr>
    </w:p>
    <w:p w14:paraId="116BDFA3">
      <w:pPr>
        <w:autoSpaceDE w:val="0"/>
        <w:autoSpaceDN w:val="0"/>
        <w:adjustRightInd w:val="0"/>
        <w:spacing w:line="200" w:lineRule="exact"/>
        <w:jc w:val="left"/>
        <w:rPr>
          <w:rFonts w:ascii="宋体" w:hAnsi="宋体" w:cs="宋体"/>
          <w:color w:val="auto"/>
          <w:kern w:val="0"/>
          <w:sz w:val="20"/>
          <w:szCs w:val="20"/>
          <w:highlight w:val="none"/>
        </w:rPr>
      </w:pPr>
    </w:p>
    <w:p w14:paraId="558BA0D9">
      <w:pPr>
        <w:pStyle w:val="47"/>
        <w:ind w:left="6000"/>
        <w:rPr>
          <w:rFonts w:eastAsia="宋体"/>
          <w:color w:val="auto"/>
          <w:highlight w:val="none"/>
        </w:rPr>
      </w:pPr>
    </w:p>
    <w:p w14:paraId="6C933EA4">
      <w:pPr>
        <w:pStyle w:val="47"/>
        <w:ind w:left="6000"/>
        <w:rPr>
          <w:rFonts w:hint="eastAsia" w:eastAsia="宋体"/>
          <w:color w:val="auto"/>
          <w:highlight w:val="none"/>
        </w:rPr>
      </w:pPr>
    </w:p>
    <w:p w14:paraId="1B266CB5">
      <w:pPr>
        <w:autoSpaceDE w:val="0"/>
        <w:autoSpaceDN w:val="0"/>
        <w:adjustRightInd w:val="0"/>
        <w:spacing w:line="200" w:lineRule="exact"/>
        <w:jc w:val="left"/>
        <w:rPr>
          <w:rFonts w:hint="eastAsia" w:ascii="宋体" w:hAnsi="宋体" w:cs="宋体"/>
          <w:color w:val="auto"/>
          <w:kern w:val="0"/>
          <w:sz w:val="20"/>
          <w:szCs w:val="20"/>
          <w:highlight w:val="none"/>
        </w:rPr>
      </w:pPr>
    </w:p>
    <w:p w14:paraId="57AC6267">
      <w:pPr>
        <w:tabs>
          <w:tab w:val="left" w:pos="6520"/>
        </w:tabs>
        <w:autoSpaceDE w:val="0"/>
        <w:autoSpaceDN w:val="0"/>
        <w:adjustRightInd w:val="0"/>
        <w:spacing w:line="333" w:lineRule="exact"/>
        <w:ind w:right="-20"/>
        <w:jc w:val="right"/>
        <w:rPr>
          <w:rFonts w:hint="eastAsia" w:ascii="宋体" w:hAnsi="宋体" w:cs="宋体"/>
          <w:color w:val="auto"/>
          <w:kern w:val="0"/>
          <w:sz w:val="20"/>
          <w:szCs w:val="20"/>
          <w:highlight w:val="none"/>
        </w:rPr>
      </w:pPr>
      <w:r>
        <w:rPr>
          <w:rFonts w:hint="eastAsia" w:ascii="宋体" w:hAnsi="宋体" w:cs="宋体"/>
          <w:color w:val="auto"/>
          <w:spacing w:val="-2"/>
          <w:kern w:val="0"/>
          <w:position w:val="-4"/>
          <w:szCs w:val="21"/>
          <w:highlight w:val="none"/>
        </w:rPr>
        <w:t xml:space="preserve">                             </w:t>
      </w:r>
      <w:r>
        <w:rPr>
          <w:rFonts w:hint="eastAsia" w:ascii="宋体" w:hAnsi="宋体" w:cs="宋体"/>
          <w:color w:val="auto"/>
          <w:spacing w:val="-2"/>
          <w:kern w:val="0"/>
          <w:position w:val="-4"/>
          <w:szCs w:val="21"/>
          <w:highlight w:val="none"/>
          <w:lang w:eastAsia="zh-CN"/>
        </w:rPr>
        <w:t>供应商</w:t>
      </w:r>
      <w:r>
        <w:rPr>
          <w:rFonts w:hint="eastAsia" w:ascii="宋体" w:hAnsi="宋体" w:cs="宋体"/>
          <w:color w:val="auto"/>
          <w:kern w:val="0"/>
          <w:position w:val="-4"/>
          <w:szCs w:val="21"/>
          <w:highlight w:val="none"/>
        </w:rPr>
        <w:t>：</w:t>
      </w:r>
      <w:r>
        <w:rPr>
          <w:rFonts w:hint="eastAsia" w:ascii="宋体" w:hAnsi="宋体" w:cs="宋体"/>
          <w:color w:val="auto"/>
          <w:spacing w:val="43"/>
          <w:kern w:val="0"/>
          <w:position w:val="-4"/>
          <w:szCs w:val="21"/>
          <w:highlight w:val="none"/>
        </w:rPr>
        <w:t xml:space="preserve"> </w:t>
      </w:r>
      <w:r>
        <w:rPr>
          <w:rFonts w:hint="eastAsia" w:ascii="宋体" w:hAnsi="宋体" w:cs="宋体"/>
          <w:color w:val="auto"/>
          <w:w w:val="169"/>
          <w:kern w:val="0"/>
          <w:szCs w:val="21"/>
          <w:highlight w:val="none"/>
          <w:u w:val="single"/>
        </w:rPr>
        <w:t xml:space="preserve">    </w:t>
      </w:r>
      <w:r>
        <w:rPr>
          <w:rFonts w:hint="eastAsia"/>
          <w:color w:val="auto"/>
          <w:highlight w:val="none"/>
        </w:rPr>
        <w:t>（盖单位章）</w:t>
      </w:r>
    </w:p>
    <w:p w14:paraId="69A567F3">
      <w:pPr>
        <w:autoSpaceDE w:val="0"/>
        <w:autoSpaceDN w:val="0"/>
        <w:adjustRightInd w:val="0"/>
        <w:spacing w:line="200" w:lineRule="exact"/>
        <w:jc w:val="right"/>
        <w:rPr>
          <w:rFonts w:hint="eastAsia" w:ascii="宋体" w:hAnsi="宋体" w:cs="宋体"/>
          <w:color w:val="auto"/>
          <w:kern w:val="0"/>
          <w:sz w:val="20"/>
          <w:szCs w:val="20"/>
          <w:highlight w:val="none"/>
        </w:rPr>
      </w:pPr>
    </w:p>
    <w:p w14:paraId="3B59575E">
      <w:pPr>
        <w:autoSpaceDE w:val="0"/>
        <w:autoSpaceDN w:val="0"/>
        <w:adjustRightInd w:val="0"/>
        <w:spacing w:before="10" w:line="200" w:lineRule="exact"/>
        <w:jc w:val="left"/>
        <w:rPr>
          <w:rFonts w:hint="eastAsia" w:ascii="宋体" w:hAnsi="宋体" w:cs="宋体"/>
          <w:color w:val="auto"/>
          <w:kern w:val="0"/>
          <w:sz w:val="20"/>
          <w:szCs w:val="20"/>
          <w:highlight w:val="none"/>
        </w:rPr>
      </w:pPr>
    </w:p>
    <w:p w14:paraId="3D7709B7">
      <w:pPr>
        <w:tabs>
          <w:tab w:val="left" w:pos="5340"/>
          <w:tab w:val="left" w:pos="6180"/>
          <w:tab w:val="left" w:pos="7020"/>
        </w:tabs>
        <w:autoSpaceDE w:val="0"/>
        <w:autoSpaceDN w:val="0"/>
        <w:adjustRightInd w:val="0"/>
        <w:spacing w:line="296" w:lineRule="exact"/>
        <w:ind w:right="-20"/>
        <w:jc w:val="right"/>
        <w:rPr>
          <w:rFonts w:hint="eastAsia" w:ascii="宋体" w:hAnsi="宋体" w:cs="宋体"/>
          <w:color w:val="auto"/>
          <w:kern w:val="0"/>
          <w:szCs w:val="21"/>
          <w:highlight w:val="none"/>
        </w:rPr>
      </w:pPr>
      <w:r>
        <w:rPr>
          <w:rFonts w:hint="eastAsia" w:ascii="宋体" w:hAnsi="宋体" w:cs="宋体"/>
          <w:color w:val="auto"/>
          <w:w w:val="169"/>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spacing w:val="43"/>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spacing w:val="43"/>
          <w:kern w:val="0"/>
          <w:szCs w:val="21"/>
          <w:highlight w:val="none"/>
          <w:u w:val="single"/>
        </w:rPr>
        <w:t xml:space="preserve">  </w:t>
      </w:r>
      <w:r>
        <w:rPr>
          <w:rFonts w:hint="eastAsia" w:ascii="宋体" w:hAnsi="宋体" w:cs="宋体"/>
          <w:color w:val="auto"/>
          <w:kern w:val="0"/>
          <w:szCs w:val="21"/>
          <w:highlight w:val="none"/>
        </w:rPr>
        <w:t>日</w:t>
      </w:r>
    </w:p>
    <w:p w14:paraId="0B03119E">
      <w:pPr>
        <w:tabs>
          <w:tab w:val="left" w:pos="5340"/>
          <w:tab w:val="left" w:pos="6180"/>
          <w:tab w:val="left" w:pos="7020"/>
        </w:tabs>
        <w:autoSpaceDE w:val="0"/>
        <w:autoSpaceDN w:val="0"/>
        <w:adjustRightInd w:val="0"/>
        <w:spacing w:line="296" w:lineRule="exact"/>
        <w:ind w:right="-20"/>
        <w:jc w:val="left"/>
        <w:rPr>
          <w:rFonts w:hint="eastAsia" w:ascii="宋体" w:hAnsi="宋体" w:cs="宋体"/>
          <w:color w:val="auto"/>
          <w:kern w:val="0"/>
          <w:szCs w:val="21"/>
          <w:highlight w:val="none"/>
        </w:rPr>
        <w:sectPr>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0" w:charSpace="0"/>
        </w:sectPr>
      </w:pPr>
    </w:p>
    <w:p w14:paraId="72F26542">
      <w:pPr>
        <w:jc w:val="center"/>
        <w:outlineLvl w:val="1"/>
        <w:rPr>
          <w:rFonts w:hint="eastAsia" w:ascii="宋体" w:hAnsi="宋体" w:cs="宋体"/>
          <w:b/>
          <w:bCs/>
          <w:color w:val="auto"/>
          <w:spacing w:val="2"/>
          <w:kern w:val="0"/>
          <w:position w:val="-1"/>
          <w:sz w:val="32"/>
          <w:szCs w:val="32"/>
          <w:highlight w:val="none"/>
        </w:rPr>
      </w:pPr>
      <w:bookmarkStart w:id="272" w:name="_Toc29616"/>
      <w:bookmarkStart w:id="273" w:name="_Toc28334"/>
      <w:bookmarkStart w:id="274" w:name="_Toc32544"/>
      <w:bookmarkStart w:id="275" w:name="_Toc4553"/>
      <w:r>
        <w:rPr>
          <w:rFonts w:hint="eastAsia" w:ascii="宋体" w:hAnsi="宋体" w:cs="宋体"/>
          <w:b/>
          <w:bCs/>
          <w:color w:val="auto"/>
          <w:spacing w:val="2"/>
          <w:kern w:val="0"/>
          <w:position w:val="-1"/>
          <w:sz w:val="32"/>
          <w:szCs w:val="32"/>
          <w:highlight w:val="none"/>
        </w:rPr>
        <w:t>授权委托书</w:t>
      </w:r>
      <w:bookmarkEnd w:id="272"/>
      <w:bookmarkEnd w:id="273"/>
      <w:bookmarkEnd w:id="274"/>
      <w:bookmarkEnd w:id="275"/>
    </w:p>
    <w:p w14:paraId="37EA5E89">
      <w:pPr>
        <w:autoSpaceDE w:val="0"/>
        <w:autoSpaceDN w:val="0"/>
        <w:adjustRightInd w:val="0"/>
        <w:spacing w:line="200" w:lineRule="exact"/>
        <w:jc w:val="left"/>
        <w:rPr>
          <w:rFonts w:hint="eastAsia" w:ascii="宋体" w:hAnsi="宋体" w:cs="宋体"/>
          <w:color w:val="auto"/>
          <w:kern w:val="0"/>
          <w:sz w:val="20"/>
          <w:szCs w:val="20"/>
          <w:highlight w:val="none"/>
        </w:rPr>
      </w:pPr>
    </w:p>
    <w:p w14:paraId="5EA1F39C">
      <w:pPr>
        <w:autoSpaceDE w:val="0"/>
        <w:autoSpaceDN w:val="0"/>
        <w:adjustRightInd w:val="0"/>
        <w:spacing w:line="200" w:lineRule="exact"/>
        <w:jc w:val="left"/>
        <w:rPr>
          <w:rFonts w:hint="eastAsia" w:ascii="宋体" w:hAnsi="宋体" w:cs="宋体"/>
          <w:color w:val="auto"/>
          <w:kern w:val="0"/>
          <w:sz w:val="20"/>
          <w:szCs w:val="20"/>
          <w:highlight w:val="none"/>
        </w:rPr>
      </w:pPr>
    </w:p>
    <w:p w14:paraId="76A81F46">
      <w:pPr>
        <w:autoSpaceDE w:val="0"/>
        <w:autoSpaceDN w:val="0"/>
        <w:adjustRightInd w:val="0"/>
        <w:spacing w:line="200" w:lineRule="exact"/>
        <w:jc w:val="left"/>
        <w:rPr>
          <w:rFonts w:hint="eastAsia" w:ascii="宋体" w:hAnsi="宋体" w:cs="宋体"/>
          <w:color w:val="auto"/>
          <w:kern w:val="0"/>
          <w:sz w:val="20"/>
          <w:szCs w:val="20"/>
          <w:highlight w:val="none"/>
        </w:rPr>
      </w:pPr>
    </w:p>
    <w:p w14:paraId="6821A19E">
      <w:pPr>
        <w:autoSpaceDE w:val="0"/>
        <w:autoSpaceDN w:val="0"/>
        <w:adjustRightInd w:val="0"/>
        <w:spacing w:line="200" w:lineRule="exact"/>
        <w:jc w:val="left"/>
        <w:rPr>
          <w:rFonts w:hint="eastAsia" w:ascii="宋体" w:hAnsi="宋体" w:cs="宋体"/>
          <w:color w:val="auto"/>
          <w:kern w:val="0"/>
          <w:sz w:val="20"/>
          <w:szCs w:val="20"/>
          <w:highlight w:val="none"/>
        </w:rPr>
      </w:pPr>
    </w:p>
    <w:p w14:paraId="41E0041E">
      <w:pPr>
        <w:autoSpaceDE w:val="0"/>
        <w:autoSpaceDN w:val="0"/>
        <w:adjustRightInd w:val="0"/>
        <w:spacing w:before="18" w:line="240" w:lineRule="exact"/>
        <w:jc w:val="left"/>
        <w:rPr>
          <w:rFonts w:hint="eastAsia" w:ascii="宋体" w:hAnsi="宋体" w:cs="宋体"/>
          <w:color w:val="auto"/>
          <w:kern w:val="0"/>
          <w:szCs w:val="24"/>
          <w:highlight w:val="none"/>
        </w:rPr>
      </w:pPr>
    </w:p>
    <w:p w14:paraId="01207AD3">
      <w:pPr>
        <w:pStyle w:val="13"/>
        <w:tabs>
          <w:tab w:val="left" w:pos="2421"/>
          <w:tab w:val="left" w:pos="5585"/>
        </w:tabs>
        <w:spacing w:line="360" w:lineRule="auto"/>
        <w:ind w:right="21" w:firstLine="480" w:firstLineChars="200"/>
        <w:rPr>
          <w:color w:val="auto"/>
          <w:highlight w:val="none"/>
        </w:rPr>
      </w:pPr>
      <w:r>
        <w:rPr>
          <w:color w:val="auto"/>
          <w:highlight w:val="none"/>
        </w:rPr>
        <w:t>本人</w:t>
      </w:r>
      <w:r>
        <w:rPr>
          <w:rFonts w:eastAsia="Times New Roman"/>
          <w:color w:val="auto"/>
          <w:highlight w:val="none"/>
          <w:u w:val="single"/>
        </w:rPr>
        <w:t xml:space="preserve"> </w:t>
      </w:r>
      <w:r>
        <w:rPr>
          <w:rFonts w:eastAsia="Times New Roman"/>
          <w:color w:val="auto"/>
          <w:highlight w:val="none"/>
          <w:u w:val="single"/>
        </w:rPr>
        <w:tab/>
      </w:r>
      <w:r>
        <w:rPr>
          <w:color w:val="auto"/>
          <w:highlight w:val="none"/>
        </w:rPr>
        <w:t>（姓名）系</w:t>
      </w:r>
      <w:r>
        <w:rPr>
          <w:rFonts w:eastAsia="Times New Roman"/>
          <w:color w:val="auto"/>
          <w:highlight w:val="none"/>
          <w:u w:val="single"/>
        </w:rPr>
        <w:t xml:space="preserve"> </w:t>
      </w:r>
      <w:r>
        <w:rPr>
          <w:rFonts w:eastAsia="Times New Roman"/>
          <w:color w:val="auto"/>
          <w:highlight w:val="none"/>
          <w:u w:val="single"/>
        </w:rPr>
        <w:tab/>
      </w:r>
      <w:r>
        <w:rPr>
          <w:color w:val="auto"/>
          <w:highlight w:val="none"/>
        </w:rPr>
        <w:t>（</w:t>
      </w:r>
      <w:r>
        <w:rPr>
          <w:rFonts w:hint="eastAsia"/>
          <w:color w:val="auto"/>
          <w:highlight w:val="none"/>
          <w:lang w:eastAsia="zh-CN"/>
        </w:rPr>
        <w:t>供应商</w:t>
      </w:r>
      <w:r>
        <w:rPr>
          <w:color w:val="auto"/>
          <w:highlight w:val="none"/>
        </w:rPr>
        <w:t>名称）的法定代表人，</w:t>
      </w:r>
      <w:r>
        <w:rPr>
          <w:color w:val="auto"/>
          <w:spacing w:val="-3"/>
          <w:highlight w:val="none"/>
        </w:rPr>
        <w:t>现</w:t>
      </w:r>
      <w:r>
        <w:rPr>
          <w:color w:val="auto"/>
          <w:highlight w:val="none"/>
        </w:rPr>
        <w:t>委</w:t>
      </w:r>
      <w:r>
        <w:rPr>
          <w:color w:val="auto"/>
          <w:spacing w:val="-1"/>
          <w:highlight w:val="none"/>
        </w:rPr>
        <w:t>托</w:t>
      </w:r>
      <w:r>
        <w:rPr>
          <w:rFonts w:eastAsia="Times New Roman"/>
          <w:color w:val="auto"/>
          <w:highlight w:val="none"/>
          <w:u w:val="single"/>
        </w:rPr>
        <w:t xml:space="preserve"> </w:t>
      </w:r>
      <w:r>
        <w:rPr>
          <w:rFonts w:eastAsia="Times New Roman"/>
          <w:color w:val="auto"/>
          <w:highlight w:val="none"/>
          <w:u w:val="single"/>
        </w:rPr>
        <w:tab/>
      </w:r>
      <w:r>
        <w:rPr>
          <w:color w:val="auto"/>
          <w:highlight w:val="none"/>
        </w:rPr>
        <w:t>（姓名）为我</w:t>
      </w:r>
      <w:r>
        <w:rPr>
          <w:color w:val="auto"/>
          <w:spacing w:val="-3"/>
          <w:highlight w:val="none"/>
        </w:rPr>
        <w:t>方代</w:t>
      </w:r>
      <w:r>
        <w:rPr>
          <w:color w:val="auto"/>
          <w:highlight w:val="none"/>
        </w:rPr>
        <w:t>理人。代理</w:t>
      </w:r>
      <w:r>
        <w:rPr>
          <w:color w:val="auto"/>
          <w:spacing w:val="-3"/>
          <w:highlight w:val="none"/>
        </w:rPr>
        <w:t>人</w:t>
      </w:r>
      <w:r>
        <w:rPr>
          <w:color w:val="auto"/>
          <w:highlight w:val="none"/>
        </w:rPr>
        <w:t>根据授</w:t>
      </w:r>
      <w:r>
        <w:rPr>
          <w:color w:val="auto"/>
          <w:spacing w:val="-3"/>
          <w:highlight w:val="none"/>
        </w:rPr>
        <w:t>权，</w:t>
      </w:r>
      <w:r>
        <w:rPr>
          <w:color w:val="auto"/>
          <w:highlight w:val="none"/>
        </w:rPr>
        <w:t>以我方名义</w:t>
      </w:r>
      <w:r>
        <w:rPr>
          <w:color w:val="auto"/>
          <w:spacing w:val="-3"/>
          <w:highlight w:val="none"/>
        </w:rPr>
        <w:t>签</w:t>
      </w:r>
      <w:r>
        <w:rPr>
          <w:color w:val="auto"/>
          <w:highlight w:val="none"/>
        </w:rPr>
        <w:t>署、澄清确认、递交、撤回、修改</w:t>
      </w:r>
      <w:r>
        <w:rPr>
          <w:rFonts w:hint="eastAsia"/>
          <w:color w:val="auto"/>
          <w:highlight w:val="none"/>
          <w:u w:val="single"/>
        </w:rPr>
        <w:t xml:space="preserve">               </w:t>
      </w:r>
      <w:r>
        <w:rPr>
          <w:rFonts w:hint="eastAsia"/>
          <w:color w:val="auto"/>
          <w:highlight w:val="none"/>
        </w:rPr>
        <w:t>（项目名称）响应文件</w:t>
      </w:r>
      <w:r>
        <w:rPr>
          <w:color w:val="auto"/>
          <w:highlight w:val="none"/>
        </w:rPr>
        <w:t>、签订合同和处理有关事宜，其法律后果由我方承担。</w:t>
      </w:r>
    </w:p>
    <w:p w14:paraId="632A9E8F">
      <w:pPr>
        <w:pStyle w:val="13"/>
        <w:tabs>
          <w:tab w:val="left" w:pos="3566"/>
        </w:tabs>
        <w:spacing w:before="36" w:line="360" w:lineRule="auto"/>
        <w:ind w:right="21"/>
        <w:rPr>
          <w:color w:val="auto"/>
          <w:highlight w:val="none"/>
        </w:rPr>
      </w:pPr>
      <w:r>
        <w:rPr>
          <w:color w:val="auto"/>
          <w:highlight w:val="none"/>
        </w:rPr>
        <w:t>委托期限：</w:t>
      </w:r>
      <w:r>
        <w:rPr>
          <w:rFonts w:eastAsia="Times New Roman"/>
          <w:color w:val="auto"/>
          <w:highlight w:val="none"/>
          <w:u w:val="single"/>
        </w:rPr>
        <w:t xml:space="preserve"> </w:t>
      </w:r>
      <w:r>
        <w:rPr>
          <w:rFonts w:eastAsia="Times New Roman"/>
          <w:color w:val="auto"/>
          <w:highlight w:val="none"/>
          <w:u w:val="single"/>
        </w:rPr>
        <w:tab/>
      </w:r>
      <w:r>
        <w:rPr>
          <w:color w:val="auto"/>
          <w:highlight w:val="none"/>
        </w:rPr>
        <w:t>。</w:t>
      </w:r>
    </w:p>
    <w:p w14:paraId="32213706">
      <w:pPr>
        <w:pStyle w:val="13"/>
        <w:spacing w:before="10" w:line="360" w:lineRule="auto"/>
        <w:rPr>
          <w:color w:val="auto"/>
          <w:sz w:val="9"/>
          <w:highlight w:val="none"/>
        </w:rPr>
      </w:pPr>
    </w:p>
    <w:p w14:paraId="1DBB7B3F">
      <w:pPr>
        <w:pStyle w:val="13"/>
        <w:spacing w:before="36" w:line="360" w:lineRule="auto"/>
        <w:ind w:right="21" w:firstLine="480" w:firstLineChars="200"/>
        <w:rPr>
          <w:color w:val="auto"/>
          <w:highlight w:val="none"/>
        </w:rPr>
      </w:pPr>
      <w:r>
        <w:rPr>
          <w:color w:val="auto"/>
          <w:highlight w:val="none"/>
        </w:rPr>
        <w:t>代理人无转委托权。</w:t>
      </w:r>
    </w:p>
    <w:p w14:paraId="5F2B13F9">
      <w:pPr>
        <w:pStyle w:val="13"/>
        <w:spacing w:line="360" w:lineRule="auto"/>
        <w:rPr>
          <w:color w:val="auto"/>
          <w:sz w:val="20"/>
          <w:highlight w:val="none"/>
        </w:rPr>
      </w:pPr>
    </w:p>
    <w:p w14:paraId="01922EA8">
      <w:pPr>
        <w:pStyle w:val="13"/>
        <w:spacing w:before="4" w:line="360" w:lineRule="auto"/>
        <w:rPr>
          <w:color w:val="auto"/>
          <w:sz w:val="26"/>
          <w:highlight w:val="none"/>
        </w:rPr>
      </w:pPr>
    </w:p>
    <w:p w14:paraId="11B7FEA2">
      <w:pPr>
        <w:pStyle w:val="13"/>
        <w:spacing w:before="36" w:line="360" w:lineRule="auto"/>
        <w:ind w:right="21" w:firstLine="480" w:firstLineChars="200"/>
        <w:outlineLvl w:val="9"/>
        <w:rPr>
          <w:color w:val="auto"/>
          <w:sz w:val="26"/>
          <w:highlight w:val="none"/>
        </w:rPr>
      </w:pPr>
      <w:r>
        <w:rPr>
          <w:color w:val="auto"/>
          <w:highlight w:val="none"/>
        </w:rPr>
        <w:t>附：法定代表人身份证复印件及委托代理人身份证复印件</w:t>
      </w:r>
    </w:p>
    <w:p w14:paraId="1FF76720">
      <w:pPr>
        <w:pStyle w:val="13"/>
        <w:spacing w:line="360" w:lineRule="auto"/>
        <w:ind w:right="21"/>
        <w:rPr>
          <w:color w:val="auto"/>
          <w:highlight w:val="none"/>
        </w:rPr>
      </w:pPr>
    </w:p>
    <w:p w14:paraId="467A4811">
      <w:pPr>
        <w:rPr>
          <w:color w:val="auto"/>
          <w:highlight w:val="none"/>
        </w:rPr>
      </w:pPr>
    </w:p>
    <w:p w14:paraId="28FE3A71">
      <w:pPr>
        <w:pStyle w:val="13"/>
        <w:tabs>
          <w:tab w:val="left" w:pos="3216"/>
          <w:tab w:val="left" w:pos="3636"/>
          <w:tab w:val="left" w:pos="7241"/>
        </w:tabs>
        <w:spacing w:before="1"/>
        <w:ind w:right="21"/>
        <w:rPr>
          <w:color w:val="auto"/>
          <w:highlight w:val="none"/>
        </w:rPr>
      </w:pPr>
    </w:p>
    <w:p w14:paraId="5DCF7627">
      <w:pPr>
        <w:pStyle w:val="13"/>
        <w:tabs>
          <w:tab w:val="left" w:pos="3216"/>
          <w:tab w:val="left" w:pos="3636"/>
          <w:tab w:val="left" w:pos="7241"/>
        </w:tabs>
        <w:spacing w:before="1"/>
        <w:ind w:right="21"/>
        <w:rPr>
          <w:color w:val="auto"/>
          <w:highlight w:val="none"/>
        </w:rPr>
      </w:pPr>
    </w:p>
    <w:p w14:paraId="199BF473">
      <w:pPr>
        <w:pStyle w:val="13"/>
        <w:tabs>
          <w:tab w:val="left" w:pos="3216"/>
          <w:tab w:val="left" w:pos="3636"/>
          <w:tab w:val="left" w:pos="7241"/>
        </w:tabs>
        <w:spacing w:before="1"/>
        <w:ind w:right="21"/>
        <w:rPr>
          <w:color w:val="auto"/>
          <w:sz w:val="20"/>
          <w:highlight w:val="none"/>
        </w:rPr>
      </w:pPr>
      <w:r>
        <w:rPr>
          <w:rFonts w:hint="eastAsia"/>
          <w:color w:val="auto"/>
          <w:highlight w:val="none"/>
          <w:lang w:eastAsia="zh-CN"/>
        </w:rPr>
        <w:t>供应商</w:t>
      </w:r>
      <w:r>
        <w:rPr>
          <w:rFonts w:hint="eastAsia"/>
          <w:color w:val="auto"/>
          <w:highlight w:val="none"/>
          <w:lang w:val="en-US" w:eastAsia="zh-CN"/>
        </w:rPr>
        <w:t>名称</w:t>
      </w:r>
      <w:r>
        <w:rPr>
          <w:color w:val="auto"/>
          <w:spacing w:val="-3"/>
          <w:highlight w:val="none"/>
        </w:rPr>
        <w:t>：</w:t>
      </w:r>
      <w:r>
        <w:rPr>
          <w:rFonts w:eastAsia="Times New Roman"/>
          <w:color w:val="auto"/>
          <w:spacing w:val="-3"/>
          <w:highlight w:val="none"/>
          <w:u w:val="single"/>
        </w:rPr>
        <w:t xml:space="preserve"> </w:t>
      </w:r>
      <w:r>
        <w:rPr>
          <w:rFonts w:eastAsia="Times New Roman"/>
          <w:color w:val="auto"/>
          <w:spacing w:val="-3"/>
          <w:highlight w:val="none"/>
          <w:u w:val="single"/>
        </w:rPr>
        <w:tab/>
      </w:r>
      <w:r>
        <w:rPr>
          <w:color w:val="auto"/>
          <w:highlight w:val="none"/>
        </w:rPr>
        <w:t>（</w:t>
      </w:r>
      <w:r>
        <w:rPr>
          <w:rFonts w:hint="eastAsia"/>
          <w:color w:val="auto"/>
          <w:highlight w:val="none"/>
        </w:rPr>
        <w:t>盖单位章</w:t>
      </w:r>
      <w:r>
        <w:rPr>
          <w:color w:val="auto"/>
          <w:highlight w:val="none"/>
        </w:rPr>
        <w:t>）</w:t>
      </w:r>
    </w:p>
    <w:p w14:paraId="09E62ED7">
      <w:pPr>
        <w:pStyle w:val="13"/>
        <w:tabs>
          <w:tab w:val="left" w:pos="7661"/>
        </w:tabs>
        <w:spacing w:before="37"/>
        <w:ind w:right="21"/>
        <w:rPr>
          <w:color w:val="auto"/>
          <w:sz w:val="20"/>
          <w:highlight w:val="none"/>
        </w:rPr>
      </w:pPr>
      <w:r>
        <w:rPr>
          <w:color w:val="auto"/>
          <w:highlight w:val="none"/>
        </w:rPr>
        <w:t>法定</w:t>
      </w:r>
      <w:r>
        <w:rPr>
          <w:color w:val="auto"/>
          <w:spacing w:val="-3"/>
          <w:highlight w:val="none"/>
        </w:rPr>
        <w:t>代</w:t>
      </w:r>
      <w:r>
        <w:rPr>
          <w:color w:val="auto"/>
          <w:highlight w:val="none"/>
        </w:rPr>
        <w:t>表</w:t>
      </w:r>
      <w:r>
        <w:rPr>
          <w:color w:val="auto"/>
          <w:spacing w:val="-3"/>
          <w:highlight w:val="none"/>
        </w:rPr>
        <w:t>人</w:t>
      </w:r>
      <w:r>
        <w:rPr>
          <w:color w:val="auto"/>
          <w:spacing w:val="-1"/>
          <w:highlight w:val="none"/>
        </w:rPr>
        <w:t>：</w:t>
      </w:r>
      <w:r>
        <w:rPr>
          <w:rFonts w:eastAsia="Times New Roman"/>
          <w:color w:val="auto"/>
          <w:highlight w:val="none"/>
          <w:u w:val="single"/>
        </w:rPr>
        <w:t xml:space="preserve"> </w:t>
      </w:r>
      <w:r>
        <w:rPr>
          <w:rFonts w:hint="eastAsia" w:eastAsia="Times New Roman"/>
          <w:color w:val="auto"/>
          <w:highlight w:val="none"/>
          <w:u w:val="single"/>
        </w:rPr>
        <w:t xml:space="preserve">                              </w:t>
      </w:r>
      <w:r>
        <w:rPr>
          <w:color w:val="auto"/>
          <w:highlight w:val="none"/>
        </w:rPr>
        <w:t>（</w:t>
      </w:r>
      <w:r>
        <w:rPr>
          <w:rFonts w:hint="eastAsia"/>
          <w:color w:val="auto"/>
          <w:highlight w:val="none"/>
        </w:rPr>
        <w:t>签字或</w:t>
      </w:r>
      <w:r>
        <w:rPr>
          <w:rFonts w:hint="eastAsia"/>
          <w:color w:val="auto"/>
          <w:highlight w:val="none"/>
          <w:lang w:val="en-US" w:eastAsia="zh-CN"/>
        </w:rPr>
        <w:t>盖章</w:t>
      </w:r>
      <w:r>
        <w:rPr>
          <w:color w:val="auto"/>
          <w:highlight w:val="none"/>
        </w:rPr>
        <w:t>）</w:t>
      </w:r>
    </w:p>
    <w:p w14:paraId="4B4A33CB">
      <w:pPr>
        <w:pStyle w:val="13"/>
        <w:tabs>
          <w:tab w:val="left" w:pos="8549"/>
        </w:tabs>
        <w:spacing w:before="36"/>
        <w:ind w:right="21"/>
        <w:rPr>
          <w:color w:val="auto"/>
          <w:sz w:val="20"/>
          <w:highlight w:val="none"/>
        </w:rPr>
      </w:pPr>
      <w:r>
        <w:rPr>
          <w:color w:val="auto"/>
          <w:highlight w:val="none"/>
        </w:rPr>
        <w:t>身份证号码：</w:t>
      </w:r>
      <w:r>
        <w:rPr>
          <w:rFonts w:eastAsia="Times New Roman"/>
          <w:color w:val="auto"/>
          <w:highlight w:val="none"/>
          <w:u w:val="single"/>
        </w:rPr>
        <w:t xml:space="preserve"> </w:t>
      </w:r>
      <w:r>
        <w:rPr>
          <w:rFonts w:hint="eastAsia" w:eastAsia="Times New Roman"/>
          <w:color w:val="auto"/>
          <w:highlight w:val="none"/>
          <w:u w:val="single"/>
        </w:rPr>
        <w:t xml:space="preserve">                              </w:t>
      </w:r>
    </w:p>
    <w:p w14:paraId="05A0534C">
      <w:pPr>
        <w:pStyle w:val="13"/>
        <w:tabs>
          <w:tab w:val="left" w:pos="7661"/>
        </w:tabs>
        <w:spacing w:before="37"/>
        <w:ind w:right="21"/>
        <w:rPr>
          <w:color w:val="auto"/>
          <w:sz w:val="20"/>
          <w:highlight w:val="none"/>
        </w:rPr>
      </w:pPr>
      <w:r>
        <w:rPr>
          <w:color w:val="auto"/>
          <w:highlight w:val="none"/>
        </w:rPr>
        <w:t>委托代理人：</w:t>
      </w:r>
      <w:r>
        <w:rPr>
          <w:rFonts w:eastAsia="Times New Roman"/>
          <w:color w:val="auto"/>
          <w:highlight w:val="none"/>
          <w:u w:val="single"/>
        </w:rPr>
        <w:t xml:space="preserve"> </w:t>
      </w:r>
      <w:r>
        <w:rPr>
          <w:rFonts w:hint="eastAsia" w:eastAsia="Times New Roman"/>
          <w:color w:val="auto"/>
          <w:highlight w:val="none"/>
          <w:u w:val="single"/>
        </w:rPr>
        <w:t xml:space="preserve">                       </w:t>
      </w:r>
      <w:r>
        <w:rPr>
          <w:color w:val="auto"/>
          <w:highlight w:val="none"/>
        </w:rPr>
        <w:t>（签字）</w:t>
      </w:r>
    </w:p>
    <w:p w14:paraId="079D7863">
      <w:pPr>
        <w:pStyle w:val="13"/>
        <w:tabs>
          <w:tab w:val="left" w:pos="8549"/>
        </w:tabs>
        <w:spacing w:before="37"/>
        <w:ind w:right="21"/>
        <w:rPr>
          <w:rFonts w:hint="eastAsia" w:ascii="宋体" w:hAnsi="宋体" w:cs="宋体"/>
          <w:color w:val="auto"/>
          <w:kern w:val="0"/>
          <w:szCs w:val="24"/>
          <w:highlight w:val="none"/>
        </w:rPr>
      </w:pPr>
      <w:r>
        <w:rPr>
          <w:color w:val="auto"/>
          <w:highlight w:val="none"/>
        </w:rPr>
        <w:t>身份证号码：</w:t>
      </w:r>
      <w:r>
        <w:rPr>
          <w:rFonts w:eastAsia="Times New Roman"/>
          <w:color w:val="auto"/>
          <w:highlight w:val="none"/>
          <w:u w:val="single"/>
        </w:rPr>
        <w:t xml:space="preserve"> </w:t>
      </w:r>
      <w:r>
        <w:rPr>
          <w:rFonts w:hint="eastAsia" w:eastAsia="Times New Roman"/>
          <w:color w:val="auto"/>
          <w:highlight w:val="none"/>
          <w:u w:val="single"/>
        </w:rPr>
        <w:t xml:space="preserve">                       </w:t>
      </w:r>
    </w:p>
    <w:p w14:paraId="03B4F36C">
      <w:pPr>
        <w:tabs>
          <w:tab w:val="left" w:pos="6640"/>
          <w:tab w:val="left" w:pos="7580"/>
          <w:tab w:val="left" w:pos="8520"/>
        </w:tabs>
        <w:autoSpaceDE w:val="0"/>
        <w:autoSpaceDN w:val="0"/>
        <w:adjustRightInd w:val="0"/>
        <w:ind w:right="-20"/>
        <w:jc w:val="left"/>
        <w:rPr>
          <w:rFonts w:hint="eastAsia" w:ascii="宋体" w:hAnsi="宋体" w:cs="宋体"/>
          <w:color w:val="auto"/>
          <w:kern w:val="0"/>
          <w:szCs w:val="21"/>
          <w:highlight w:val="none"/>
        </w:rPr>
      </w:pPr>
      <w:r>
        <w:rPr>
          <w:rFonts w:hint="eastAsia" w:ascii="宋体" w:hAnsi="宋体" w:cs="宋体"/>
          <w:color w:val="auto"/>
          <w:w w:val="169"/>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spacing w:val="43"/>
          <w:kern w:val="0"/>
          <w:szCs w:val="21"/>
          <w:highlight w:val="none"/>
          <w:u w:val="single"/>
        </w:rPr>
        <w:t xml:space="preserve">  </w:t>
      </w:r>
      <w:r>
        <w:rPr>
          <w:rFonts w:hint="eastAsia" w:ascii="宋体" w:hAnsi="宋体" w:cs="宋体"/>
          <w:color w:val="auto"/>
          <w:spacing w:val="-2"/>
          <w:kern w:val="0"/>
          <w:szCs w:val="21"/>
          <w:highlight w:val="none"/>
        </w:rPr>
        <w:t>月</w:t>
      </w:r>
      <w:r>
        <w:rPr>
          <w:rFonts w:hint="eastAsia" w:ascii="宋体" w:hAnsi="宋体" w:cs="宋体"/>
          <w:color w:val="auto"/>
          <w:spacing w:val="43"/>
          <w:kern w:val="0"/>
          <w:szCs w:val="21"/>
          <w:highlight w:val="none"/>
          <w:u w:val="single"/>
        </w:rPr>
        <w:t xml:space="preserve">   </w:t>
      </w:r>
      <w:r>
        <w:rPr>
          <w:rFonts w:hint="eastAsia" w:ascii="宋体" w:hAnsi="宋体" w:cs="宋体"/>
          <w:color w:val="auto"/>
          <w:kern w:val="0"/>
          <w:szCs w:val="21"/>
          <w:highlight w:val="none"/>
        </w:rPr>
        <w:t>日</w:t>
      </w:r>
    </w:p>
    <w:p w14:paraId="396A076B">
      <w:pPr>
        <w:tabs>
          <w:tab w:val="left" w:pos="6640"/>
          <w:tab w:val="left" w:pos="7580"/>
          <w:tab w:val="left" w:pos="8520"/>
        </w:tabs>
        <w:autoSpaceDE w:val="0"/>
        <w:autoSpaceDN w:val="0"/>
        <w:adjustRightInd w:val="0"/>
        <w:spacing w:line="296" w:lineRule="exact"/>
        <w:ind w:right="-20"/>
        <w:jc w:val="left"/>
        <w:rPr>
          <w:rFonts w:hint="eastAsia" w:ascii="宋体" w:hAnsi="宋体" w:cs="宋体"/>
          <w:color w:val="auto"/>
          <w:kern w:val="0"/>
          <w:szCs w:val="21"/>
          <w:highlight w:val="none"/>
        </w:rPr>
        <w:sectPr>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0" w:charSpace="0"/>
        </w:sectPr>
      </w:pPr>
    </w:p>
    <w:p w14:paraId="4F8EDE0B">
      <w:pPr>
        <w:jc w:val="center"/>
        <w:outlineLvl w:val="1"/>
        <w:rPr>
          <w:rFonts w:hint="eastAsia" w:ascii="宋体" w:hAnsi="宋体" w:cs="宋体"/>
          <w:color w:val="auto"/>
          <w:kern w:val="0"/>
          <w:sz w:val="20"/>
          <w:szCs w:val="20"/>
          <w:highlight w:val="none"/>
        </w:rPr>
      </w:pPr>
      <w:bookmarkStart w:id="276" w:name="_Toc19417"/>
      <w:bookmarkStart w:id="277" w:name="_Toc16913"/>
      <w:bookmarkStart w:id="278" w:name="_Toc13455"/>
      <w:bookmarkStart w:id="279" w:name="_Toc1390"/>
      <w:r>
        <w:rPr>
          <w:rFonts w:hint="eastAsia"/>
          <w:b/>
          <w:bCs/>
          <w:color w:val="auto"/>
          <w:sz w:val="32"/>
          <w:szCs w:val="28"/>
          <w:highlight w:val="none"/>
        </w:rPr>
        <w:t>投标保证金</w:t>
      </w:r>
      <w:bookmarkEnd w:id="276"/>
      <w:bookmarkEnd w:id="277"/>
      <w:bookmarkEnd w:id="278"/>
      <w:bookmarkEnd w:id="279"/>
    </w:p>
    <w:p w14:paraId="1022C043">
      <w:pPr>
        <w:autoSpaceDE w:val="0"/>
        <w:autoSpaceDN w:val="0"/>
        <w:adjustRightInd w:val="0"/>
        <w:spacing w:line="295" w:lineRule="auto"/>
        <w:ind w:right="2800"/>
        <w:jc w:val="left"/>
        <w:rPr>
          <w:rFonts w:hint="eastAsia" w:ascii="宋体" w:hAnsi="宋体" w:cs="宋体"/>
          <w:color w:val="auto"/>
          <w:kern w:val="0"/>
          <w:szCs w:val="21"/>
          <w:highlight w:val="none"/>
        </w:rPr>
      </w:pPr>
    </w:p>
    <w:p w14:paraId="79EDF888">
      <w:pPr>
        <w:pStyle w:val="13"/>
        <w:spacing w:line="360" w:lineRule="auto"/>
        <w:ind w:right="100"/>
        <w:rPr>
          <w:color w:val="auto"/>
          <w:highlight w:val="none"/>
        </w:rPr>
      </w:pPr>
      <w:r>
        <w:rPr>
          <w:rFonts w:hint="eastAsia"/>
          <w:color w:val="auto"/>
          <w:highlight w:val="none"/>
        </w:rPr>
        <w:t>提供保证金缴纳的依据，缴纳要求见</w:t>
      </w:r>
      <w:r>
        <w:rPr>
          <w:rFonts w:hint="eastAsia"/>
          <w:color w:val="auto"/>
          <w:highlight w:val="none"/>
          <w:lang w:eastAsia="zh-CN"/>
        </w:rPr>
        <w:t>供应商须知前附表</w:t>
      </w:r>
      <w:r>
        <w:rPr>
          <w:rFonts w:hint="eastAsia" w:ascii="宋体" w:hAnsi="宋体" w:cs="宋体"/>
          <w:color w:val="auto"/>
          <w:spacing w:val="-2"/>
          <w:kern w:val="0"/>
          <w:szCs w:val="24"/>
          <w:highlight w:val="none"/>
        </w:rPr>
        <w:t>3.4.1</w:t>
      </w:r>
      <w:r>
        <w:rPr>
          <w:rFonts w:hint="eastAsia"/>
          <w:color w:val="auto"/>
          <w:highlight w:val="none"/>
        </w:rPr>
        <w:t>规定</w:t>
      </w:r>
      <w:r>
        <w:rPr>
          <w:color w:val="auto"/>
          <w:highlight w:val="none"/>
        </w:rPr>
        <w:t>。</w:t>
      </w:r>
    </w:p>
    <w:p w14:paraId="48EA73A1">
      <w:pPr>
        <w:tabs>
          <w:tab w:val="left" w:pos="6420"/>
          <w:tab w:val="left" w:pos="7480"/>
          <w:tab w:val="left" w:pos="8520"/>
        </w:tabs>
        <w:autoSpaceDE w:val="0"/>
        <w:autoSpaceDN w:val="0"/>
        <w:adjustRightInd w:val="0"/>
        <w:spacing w:line="296" w:lineRule="exact"/>
        <w:ind w:right="-20"/>
        <w:jc w:val="left"/>
        <w:rPr>
          <w:rFonts w:hint="eastAsia" w:ascii="宋体" w:hAnsi="宋体" w:cs="宋体"/>
          <w:color w:val="auto"/>
          <w:kern w:val="0"/>
          <w:szCs w:val="21"/>
          <w:highlight w:val="none"/>
        </w:rPr>
        <w:sectPr>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0" w:charSpace="0"/>
        </w:sectPr>
      </w:pPr>
    </w:p>
    <w:p w14:paraId="64922531">
      <w:pPr>
        <w:jc w:val="center"/>
        <w:outlineLvl w:val="1"/>
        <w:rPr>
          <w:rFonts w:hint="eastAsia"/>
          <w:b/>
          <w:bCs/>
          <w:color w:val="auto"/>
          <w:sz w:val="32"/>
          <w:szCs w:val="28"/>
          <w:highlight w:val="none"/>
        </w:rPr>
      </w:pPr>
      <w:bookmarkStart w:id="280" w:name="_Toc17011"/>
      <w:bookmarkStart w:id="281" w:name="_Toc18107"/>
      <w:bookmarkStart w:id="282" w:name="_Toc19217"/>
      <w:bookmarkStart w:id="283" w:name="_Toc10912"/>
      <w:r>
        <w:rPr>
          <w:rFonts w:hint="eastAsia"/>
          <w:b/>
          <w:bCs/>
          <w:color w:val="auto"/>
          <w:sz w:val="32"/>
          <w:szCs w:val="28"/>
          <w:highlight w:val="none"/>
        </w:rPr>
        <w:t>商务</w:t>
      </w:r>
      <w:r>
        <w:rPr>
          <w:rFonts w:hint="eastAsia"/>
          <w:b/>
          <w:bCs/>
          <w:color w:val="auto"/>
          <w:sz w:val="32"/>
          <w:szCs w:val="28"/>
          <w:highlight w:val="none"/>
          <w:lang w:val="en-US" w:eastAsia="zh-CN"/>
        </w:rPr>
        <w:t>偏离</w:t>
      </w:r>
      <w:r>
        <w:rPr>
          <w:rFonts w:hint="eastAsia"/>
          <w:b/>
          <w:bCs/>
          <w:color w:val="auto"/>
          <w:sz w:val="32"/>
          <w:szCs w:val="28"/>
          <w:highlight w:val="none"/>
        </w:rPr>
        <w:t>表</w:t>
      </w:r>
      <w:bookmarkEnd w:id="280"/>
      <w:bookmarkEnd w:id="281"/>
      <w:bookmarkEnd w:id="282"/>
      <w:bookmarkEnd w:id="283"/>
    </w:p>
    <w:p w14:paraId="5D8BEDEB">
      <w:pPr>
        <w:autoSpaceDE w:val="0"/>
        <w:autoSpaceDN w:val="0"/>
        <w:adjustRightInd w:val="0"/>
        <w:spacing w:line="200" w:lineRule="exact"/>
        <w:jc w:val="left"/>
        <w:rPr>
          <w:rFonts w:hint="eastAsia" w:ascii="宋体" w:hAnsi="宋体" w:cs="宋体"/>
          <w:color w:val="auto"/>
          <w:kern w:val="0"/>
          <w:sz w:val="20"/>
          <w:szCs w:val="20"/>
          <w:highlight w:val="none"/>
        </w:rPr>
      </w:pPr>
    </w:p>
    <w:p w14:paraId="772842FE">
      <w:pPr>
        <w:autoSpaceDE w:val="0"/>
        <w:autoSpaceDN w:val="0"/>
        <w:adjustRightInd w:val="0"/>
        <w:spacing w:beforeLines="100" w:line="360" w:lineRule="auto"/>
        <w:ind w:left="0" w:lef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项目名称：</w:t>
      </w:r>
    </w:p>
    <w:p w14:paraId="4CC6CE1B">
      <w:pPr>
        <w:pStyle w:val="13"/>
        <w:tabs>
          <w:tab w:val="left" w:pos="3216"/>
          <w:tab w:val="left" w:pos="3636"/>
          <w:tab w:val="left" w:pos="7241"/>
        </w:tabs>
        <w:spacing w:before="1"/>
        <w:ind w:left="0" w:leftChars="0" w:right="21"/>
        <w:rPr>
          <w:rFonts w:hint="eastAsia" w:ascii="宋体" w:hAnsi="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rPr>
        <w:t>供应商</w:t>
      </w:r>
      <w:r>
        <w:rPr>
          <w:rFonts w:hint="eastAsia"/>
          <w:color w:val="auto"/>
          <w:highlight w:val="none"/>
          <w:lang w:val="en-US" w:eastAsia="zh-CN"/>
        </w:rPr>
        <w:t>名称</w:t>
      </w:r>
      <w:r>
        <w:rPr>
          <w:color w:val="auto"/>
          <w:spacing w:val="-3"/>
          <w:highlight w:val="none"/>
        </w:rPr>
        <w:t>：</w:t>
      </w:r>
      <w:r>
        <w:rPr>
          <w:rFonts w:eastAsia="Times New Roman"/>
          <w:color w:val="auto"/>
          <w:spacing w:val="-3"/>
          <w:highlight w:val="none"/>
          <w:u w:val="single"/>
        </w:rPr>
        <w:t xml:space="preserve"> </w:t>
      </w:r>
      <w:r>
        <w:rPr>
          <w:rFonts w:eastAsia="Times New Roman"/>
          <w:color w:val="auto"/>
          <w:spacing w:val="-3"/>
          <w:highlight w:val="none"/>
          <w:u w:val="single"/>
        </w:rPr>
        <w:tab/>
      </w:r>
      <w:r>
        <w:rPr>
          <w:color w:val="auto"/>
          <w:highlight w:val="none"/>
        </w:rPr>
        <w:t>（</w:t>
      </w:r>
      <w:r>
        <w:rPr>
          <w:rFonts w:hint="eastAsia"/>
          <w:color w:val="auto"/>
          <w:highlight w:val="none"/>
        </w:rPr>
        <w:t>盖单位章</w:t>
      </w:r>
      <w:r>
        <w:rPr>
          <w:color w:val="auto"/>
          <w:highlight w:val="none"/>
        </w:rPr>
        <w:t>）</w:t>
      </w:r>
    </w:p>
    <w:tbl>
      <w:tblPr>
        <w:tblStyle w:val="28"/>
        <w:tblW w:w="9418" w:type="dxa"/>
        <w:jc w:val="center"/>
        <w:tblLayout w:type="fixed"/>
        <w:tblCellMar>
          <w:top w:w="0" w:type="dxa"/>
          <w:left w:w="0" w:type="dxa"/>
          <w:bottom w:w="0" w:type="dxa"/>
          <w:right w:w="0" w:type="dxa"/>
        </w:tblCellMar>
      </w:tblPr>
      <w:tblGrid>
        <w:gridCol w:w="1059"/>
        <w:gridCol w:w="3084"/>
        <w:gridCol w:w="3413"/>
        <w:gridCol w:w="1862"/>
      </w:tblGrid>
      <w:tr w14:paraId="69D06987">
        <w:tblPrEx>
          <w:tblCellMar>
            <w:top w:w="0" w:type="dxa"/>
            <w:left w:w="0" w:type="dxa"/>
            <w:bottom w:w="0" w:type="dxa"/>
            <w:right w:w="0" w:type="dxa"/>
          </w:tblCellMar>
        </w:tblPrEx>
        <w:trPr>
          <w:trHeight w:val="942"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3C3237C0">
            <w:pPr>
              <w:autoSpaceDE w:val="0"/>
              <w:autoSpaceDN w:val="0"/>
              <w:adjustRightInd w:val="0"/>
              <w:spacing w:before="79"/>
              <w:ind w:left="0" w:leftChars="0" w:right="-20"/>
              <w:jc w:val="center"/>
              <w:rPr>
                <w:rFonts w:hint="eastAsia" w:ascii="宋体" w:hAnsi="宋体" w:cs="宋体"/>
                <w:color w:val="auto"/>
                <w:kern w:val="0"/>
                <w:szCs w:val="24"/>
                <w:highlight w:val="none"/>
              </w:rPr>
            </w:pPr>
            <w:bookmarkStart w:id="307" w:name="_GoBack"/>
            <w:r>
              <w:rPr>
                <w:rFonts w:hint="eastAsia" w:ascii="宋体" w:hAnsi="宋体" w:cs="宋体"/>
                <w:color w:val="auto"/>
                <w:kern w:val="0"/>
                <w:szCs w:val="21"/>
                <w:highlight w:val="none"/>
              </w:rPr>
              <w:t>序号</w:t>
            </w:r>
          </w:p>
        </w:tc>
        <w:tc>
          <w:tcPr>
            <w:tcW w:w="3084" w:type="dxa"/>
            <w:tcBorders>
              <w:top w:val="single" w:color="000000" w:sz="4" w:space="0"/>
              <w:left w:val="single" w:color="000000" w:sz="4" w:space="0"/>
              <w:bottom w:val="single" w:color="000000" w:sz="4" w:space="0"/>
              <w:right w:val="single" w:color="000000" w:sz="4" w:space="0"/>
            </w:tcBorders>
            <w:noWrap w:val="0"/>
            <w:vAlign w:val="center"/>
          </w:tcPr>
          <w:p w14:paraId="156EC71D">
            <w:pPr>
              <w:autoSpaceDE w:val="0"/>
              <w:autoSpaceDN w:val="0"/>
              <w:adjustRightInd w:val="0"/>
              <w:spacing w:before="79"/>
              <w:ind w:left="0" w:leftChars="0" w:right="-20"/>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1"/>
                <w:highlight w:val="none"/>
              </w:rPr>
              <w:t>采购文件章节及</w:t>
            </w:r>
            <w:r>
              <w:rPr>
                <w:rFonts w:hint="eastAsia" w:ascii="宋体" w:hAnsi="宋体" w:cs="宋体"/>
                <w:color w:val="auto"/>
                <w:kern w:val="0"/>
                <w:szCs w:val="21"/>
                <w:highlight w:val="none"/>
                <w:lang w:val="en-US" w:eastAsia="zh-CN"/>
              </w:rPr>
              <w:t>内容</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11AF9054">
            <w:pPr>
              <w:autoSpaceDE w:val="0"/>
              <w:autoSpaceDN w:val="0"/>
              <w:adjustRightInd w:val="0"/>
              <w:spacing w:before="79"/>
              <w:ind w:left="0" w:leftChars="0" w:right="-2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响应文件</w:t>
            </w:r>
            <w:r>
              <w:rPr>
                <w:rFonts w:hint="eastAsia" w:ascii="宋体" w:hAnsi="宋体" w:cs="宋体"/>
                <w:color w:val="auto"/>
                <w:kern w:val="0"/>
                <w:szCs w:val="21"/>
                <w:highlight w:val="none"/>
                <w:lang w:val="en-US" w:eastAsia="zh-CN"/>
              </w:rPr>
              <w:t>响应内容</w:t>
            </w:r>
          </w:p>
        </w:tc>
        <w:tc>
          <w:tcPr>
            <w:tcW w:w="1862" w:type="dxa"/>
            <w:tcBorders>
              <w:top w:val="single" w:color="000000" w:sz="4" w:space="0"/>
              <w:left w:val="single" w:color="000000" w:sz="4" w:space="0"/>
              <w:bottom w:val="single" w:color="000000" w:sz="4" w:space="0"/>
              <w:right w:val="single" w:color="000000" w:sz="4" w:space="0"/>
            </w:tcBorders>
            <w:noWrap w:val="0"/>
            <w:vAlign w:val="center"/>
          </w:tcPr>
          <w:p w14:paraId="42A5630B">
            <w:pPr>
              <w:autoSpaceDE w:val="0"/>
              <w:autoSpaceDN w:val="0"/>
              <w:adjustRightInd w:val="0"/>
              <w:spacing w:before="79"/>
              <w:ind w:left="0" w:leftChars="0" w:right="-20"/>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1"/>
                <w:highlight w:val="none"/>
                <w:lang w:val="en-US" w:eastAsia="zh-CN"/>
              </w:rPr>
              <w:t>偏离情况</w:t>
            </w:r>
          </w:p>
        </w:tc>
      </w:tr>
      <w:tr w14:paraId="577DC055">
        <w:tblPrEx>
          <w:tblCellMar>
            <w:top w:w="0" w:type="dxa"/>
            <w:left w:w="0" w:type="dxa"/>
            <w:bottom w:w="0" w:type="dxa"/>
            <w:right w:w="0" w:type="dxa"/>
          </w:tblCellMar>
        </w:tblPrEx>
        <w:trPr>
          <w:trHeight w:val="946"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324F7CE">
            <w:pPr>
              <w:autoSpaceDE w:val="0"/>
              <w:autoSpaceDN w:val="0"/>
              <w:adjustRightInd w:val="0"/>
              <w:ind w:left="0" w:leftChars="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1</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3375E9BA">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3AAD234E">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0DF25D8A">
            <w:pPr>
              <w:autoSpaceDE w:val="0"/>
              <w:autoSpaceDN w:val="0"/>
              <w:adjustRightInd w:val="0"/>
              <w:jc w:val="left"/>
              <w:rPr>
                <w:rFonts w:hint="eastAsia" w:ascii="宋体" w:hAnsi="宋体" w:cs="宋体"/>
                <w:color w:val="auto"/>
                <w:kern w:val="0"/>
                <w:szCs w:val="24"/>
                <w:highlight w:val="none"/>
              </w:rPr>
            </w:pPr>
          </w:p>
        </w:tc>
      </w:tr>
      <w:tr w14:paraId="33C31185">
        <w:tblPrEx>
          <w:tblCellMar>
            <w:top w:w="0" w:type="dxa"/>
            <w:left w:w="0" w:type="dxa"/>
            <w:bottom w:w="0" w:type="dxa"/>
            <w:right w:w="0" w:type="dxa"/>
          </w:tblCellMar>
        </w:tblPrEx>
        <w:trPr>
          <w:trHeight w:val="942"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3B528CA5">
            <w:pPr>
              <w:autoSpaceDE w:val="0"/>
              <w:autoSpaceDN w:val="0"/>
              <w:adjustRightInd w:val="0"/>
              <w:ind w:left="0" w:leftChars="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2</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3C7EF51F">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423383B4">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37A7A637">
            <w:pPr>
              <w:autoSpaceDE w:val="0"/>
              <w:autoSpaceDN w:val="0"/>
              <w:adjustRightInd w:val="0"/>
              <w:jc w:val="left"/>
              <w:rPr>
                <w:rFonts w:hint="eastAsia" w:ascii="宋体" w:hAnsi="宋体" w:cs="宋体"/>
                <w:color w:val="auto"/>
                <w:kern w:val="0"/>
                <w:szCs w:val="24"/>
                <w:highlight w:val="none"/>
              </w:rPr>
            </w:pPr>
          </w:p>
        </w:tc>
      </w:tr>
      <w:tr w14:paraId="2BAE9A0A">
        <w:tblPrEx>
          <w:tblCellMar>
            <w:top w:w="0" w:type="dxa"/>
            <w:left w:w="0" w:type="dxa"/>
            <w:bottom w:w="0" w:type="dxa"/>
            <w:right w:w="0" w:type="dxa"/>
          </w:tblCellMar>
        </w:tblPrEx>
        <w:trPr>
          <w:trHeight w:val="942"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5711EC7">
            <w:pPr>
              <w:autoSpaceDE w:val="0"/>
              <w:autoSpaceDN w:val="0"/>
              <w:adjustRightInd w:val="0"/>
              <w:ind w:left="0" w:leftChars="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3</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06AEAE16">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545C12BE">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429ACA42">
            <w:pPr>
              <w:autoSpaceDE w:val="0"/>
              <w:autoSpaceDN w:val="0"/>
              <w:adjustRightInd w:val="0"/>
              <w:jc w:val="left"/>
              <w:rPr>
                <w:rFonts w:hint="eastAsia" w:ascii="宋体" w:hAnsi="宋体" w:cs="宋体"/>
                <w:color w:val="auto"/>
                <w:kern w:val="0"/>
                <w:szCs w:val="24"/>
                <w:highlight w:val="none"/>
              </w:rPr>
            </w:pPr>
          </w:p>
        </w:tc>
      </w:tr>
      <w:tr w14:paraId="77D8A6F5">
        <w:tblPrEx>
          <w:tblCellMar>
            <w:top w:w="0" w:type="dxa"/>
            <w:left w:w="0" w:type="dxa"/>
            <w:bottom w:w="0" w:type="dxa"/>
            <w:right w:w="0" w:type="dxa"/>
          </w:tblCellMar>
        </w:tblPrEx>
        <w:trPr>
          <w:trHeight w:val="942"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9905F33">
            <w:pPr>
              <w:autoSpaceDE w:val="0"/>
              <w:autoSpaceDN w:val="0"/>
              <w:adjustRightInd w:val="0"/>
              <w:ind w:left="0" w:leftChars="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4</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711C0D33">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034F8AF0">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7337B158">
            <w:pPr>
              <w:autoSpaceDE w:val="0"/>
              <w:autoSpaceDN w:val="0"/>
              <w:adjustRightInd w:val="0"/>
              <w:jc w:val="left"/>
              <w:rPr>
                <w:rFonts w:hint="eastAsia" w:ascii="宋体" w:hAnsi="宋体" w:cs="宋体"/>
                <w:color w:val="auto"/>
                <w:kern w:val="0"/>
                <w:szCs w:val="24"/>
                <w:highlight w:val="none"/>
              </w:rPr>
            </w:pPr>
          </w:p>
        </w:tc>
      </w:tr>
      <w:tr w14:paraId="11789A01">
        <w:tblPrEx>
          <w:tblCellMar>
            <w:top w:w="0" w:type="dxa"/>
            <w:left w:w="0" w:type="dxa"/>
            <w:bottom w:w="0" w:type="dxa"/>
            <w:right w:w="0" w:type="dxa"/>
          </w:tblCellMar>
        </w:tblPrEx>
        <w:trPr>
          <w:trHeight w:val="942"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63AF96D">
            <w:pPr>
              <w:autoSpaceDE w:val="0"/>
              <w:autoSpaceDN w:val="0"/>
              <w:adjustRightInd w:val="0"/>
              <w:ind w:left="0" w:leftChars="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5</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1C96C412">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5090EADA">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5648AB48">
            <w:pPr>
              <w:autoSpaceDE w:val="0"/>
              <w:autoSpaceDN w:val="0"/>
              <w:adjustRightInd w:val="0"/>
              <w:jc w:val="left"/>
              <w:rPr>
                <w:rFonts w:hint="eastAsia" w:ascii="宋体" w:hAnsi="宋体" w:cs="宋体"/>
                <w:color w:val="auto"/>
                <w:kern w:val="0"/>
                <w:szCs w:val="24"/>
                <w:highlight w:val="none"/>
              </w:rPr>
            </w:pPr>
          </w:p>
        </w:tc>
      </w:tr>
      <w:tr w14:paraId="0629CEF3">
        <w:tblPrEx>
          <w:tblCellMar>
            <w:top w:w="0" w:type="dxa"/>
            <w:left w:w="0" w:type="dxa"/>
            <w:bottom w:w="0" w:type="dxa"/>
            <w:right w:w="0" w:type="dxa"/>
          </w:tblCellMar>
        </w:tblPrEx>
        <w:trPr>
          <w:trHeight w:val="1005"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35F6BC6D">
            <w:pPr>
              <w:autoSpaceDE w:val="0"/>
              <w:autoSpaceDN w:val="0"/>
              <w:adjustRightInd w:val="0"/>
              <w:spacing w:before="7" w:line="190" w:lineRule="exact"/>
              <w:jc w:val="center"/>
              <w:rPr>
                <w:rFonts w:hint="eastAsia" w:ascii="宋体" w:hAnsi="宋体" w:cs="宋体"/>
                <w:color w:val="auto"/>
                <w:kern w:val="0"/>
                <w:sz w:val="19"/>
                <w:szCs w:val="19"/>
                <w:highlight w:val="none"/>
              </w:rPr>
            </w:pPr>
          </w:p>
          <w:p w14:paraId="257BA013">
            <w:pPr>
              <w:autoSpaceDE w:val="0"/>
              <w:autoSpaceDN w:val="0"/>
              <w:adjustRightInd w:val="0"/>
              <w:ind w:left="0" w:leftChars="0" w:right="-2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04CEBD9E">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77624855">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3D0C7245">
            <w:pPr>
              <w:autoSpaceDE w:val="0"/>
              <w:autoSpaceDN w:val="0"/>
              <w:adjustRightInd w:val="0"/>
              <w:jc w:val="left"/>
              <w:rPr>
                <w:rFonts w:hint="eastAsia" w:ascii="宋体" w:hAnsi="宋体" w:cs="宋体"/>
                <w:color w:val="auto"/>
                <w:kern w:val="0"/>
                <w:szCs w:val="24"/>
                <w:highlight w:val="none"/>
              </w:rPr>
            </w:pPr>
          </w:p>
        </w:tc>
      </w:tr>
    </w:tbl>
    <w:p w14:paraId="0B4CC984">
      <w:pPr>
        <w:autoSpaceDE w:val="0"/>
        <w:autoSpaceDN w:val="0"/>
        <w:adjustRightInd w:val="0"/>
        <w:spacing w:line="110" w:lineRule="exact"/>
        <w:jc w:val="left"/>
        <w:rPr>
          <w:rFonts w:hint="eastAsia" w:ascii="宋体" w:hAnsi="宋体" w:cs="宋体"/>
          <w:color w:val="auto"/>
          <w:kern w:val="0"/>
          <w:sz w:val="11"/>
          <w:szCs w:val="11"/>
          <w:highlight w:val="none"/>
        </w:rPr>
      </w:pPr>
    </w:p>
    <w:p w14:paraId="352CCC79">
      <w:pPr>
        <w:pStyle w:val="3"/>
        <w:spacing w:line="360" w:lineRule="auto"/>
        <w:ind w:left="0" w:leftChars="0" w:firstLine="48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注：</w:t>
      </w:r>
    </w:p>
    <w:p w14:paraId="1AB8DF6C">
      <w:pPr>
        <w:pStyle w:val="3"/>
        <w:numPr>
          <w:ilvl w:val="0"/>
          <w:numId w:val="0"/>
        </w:numPr>
        <w:spacing w:line="360" w:lineRule="auto"/>
        <w:ind w:left="0" w:leftChars="0" w:firstLine="480"/>
        <w:rPr>
          <w:rFonts w:hint="eastAsia" w:ascii="宋体" w:hAnsi="宋体" w:eastAsia="宋体" w:cs="宋体"/>
          <w:color w:val="auto"/>
          <w:szCs w:val="20"/>
          <w:highlight w:val="none"/>
          <w:lang w:val="en-US" w:eastAsia="zh-CN"/>
        </w:rPr>
      </w:pPr>
      <w:r>
        <w:rPr>
          <w:rFonts w:hint="eastAsia" w:ascii="宋体" w:hAnsi="宋体" w:eastAsia="宋体" w:cs="宋体"/>
          <w:color w:val="auto"/>
          <w:kern w:val="2"/>
          <w:sz w:val="24"/>
          <w:szCs w:val="20"/>
          <w:lang w:val="en-US" w:eastAsia="zh-CN" w:bidi="ar-SA"/>
        </w:rPr>
        <w:t>1、行数不够自行添加。</w:t>
      </w:r>
      <w:r>
        <w:rPr>
          <w:rFonts w:hint="eastAsia" w:ascii="宋体" w:hAnsi="宋体" w:eastAsia="宋体" w:cs="宋体"/>
          <w:color w:val="auto"/>
          <w:szCs w:val="20"/>
          <w:highlight w:val="none"/>
          <w:lang w:val="en-US" w:eastAsia="zh-CN"/>
        </w:rPr>
        <w:t>供应商应对采购文件第五章第二节商务要求的条款进行</w:t>
      </w:r>
      <w:r>
        <w:rPr>
          <w:rFonts w:hint="eastAsia" w:ascii="宋体" w:hAnsi="宋体" w:eastAsia="宋体" w:cs="宋体"/>
          <w:b/>
          <w:bCs/>
          <w:color w:val="auto"/>
          <w:szCs w:val="20"/>
          <w:highlight w:val="none"/>
          <w:lang w:val="en-US" w:eastAsia="zh-CN"/>
        </w:rPr>
        <w:t>逐条</w:t>
      </w:r>
      <w:r>
        <w:rPr>
          <w:rFonts w:hint="eastAsia" w:ascii="宋体" w:hAnsi="宋体" w:eastAsia="宋体" w:cs="宋体"/>
          <w:color w:val="auto"/>
          <w:szCs w:val="20"/>
          <w:highlight w:val="none"/>
          <w:lang w:val="en-US" w:eastAsia="zh-CN"/>
        </w:rPr>
        <w:t>响应说明。“偏离情况</w:t>
      </w:r>
      <w:r>
        <w:rPr>
          <w:rFonts w:hint="eastAsia" w:ascii="宋体" w:hAnsi="宋体" w:eastAsia="宋体" w:cs="宋体"/>
          <w:color w:val="auto"/>
          <w:szCs w:val="20"/>
          <w:highlight w:val="none"/>
          <w:lang w:val="en-US" w:eastAsia="zh-CN"/>
        </w:rPr>
        <w:t>”栏应填写“无偏离”</w:t>
      </w:r>
      <w:r>
        <w:rPr>
          <w:rFonts w:hint="eastAsia" w:ascii="宋体" w:hAnsi="宋体" w:eastAsia="宋体" w:cs="宋体"/>
          <w:color w:val="auto"/>
          <w:szCs w:val="20"/>
          <w:highlight w:val="none"/>
          <w:lang w:val="en-US" w:eastAsia="zh-CN"/>
        </w:rPr>
        <w:t>或“正偏离”或“负偏离”。正偏离指优于采购要求，无偏离指满足采购要求，负偏离指低于采购要求。</w:t>
      </w:r>
    </w:p>
    <w:p w14:paraId="38C3B209">
      <w:pPr>
        <w:pStyle w:val="3"/>
        <w:numPr>
          <w:ilvl w:val="0"/>
          <w:numId w:val="0"/>
        </w:numPr>
        <w:spacing w:line="360" w:lineRule="auto"/>
        <w:ind w:left="0" w:leftChars="0" w:firstLine="48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2、第五章第二节商务要求中所有条款均不允许负偏离，否则导致投标被否决。</w:t>
      </w:r>
    </w:p>
    <w:p w14:paraId="13F3D7D8">
      <w:pPr>
        <w:pStyle w:val="3"/>
        <w:numPr>
          <w:ilvl w:val="0"/>
          <w:numId w:val="0"/>
        </w:numPr>
        <w:spacing w:line="360" w:lineRule="auto"/>
        <w:ind w:left="0" w:leftChars="0" w:firstLine="480"/>
        <w:rPr>
          <w:rFonts w:hint="default" w:ascii="宋体" w:hAnsi="宋体" w:eastAsia="宋体" w:cs="宋体"/>
          <w:color w:val="auto"/>
          <w:kern w:val="0"/>
          <w:sz w:val="24"/>
          <w:szCs w:val="21"/>
          <w:lang w:val="en-US" w:eastAsia="zh-CN" w:bidi="ar-SA"/>
        </w:rPr>
        <w:sectPr>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宋体" w:hAnsi="宋体" w:eastAsia="宋体" w:cs="宋体"/>
          <w:color w:val="auto"/>
          <w:kern w:val="0"/>
          <w:sz w:val="24"/>
          <w:szCs w:val="21"/>
          <w:lang w:val="en-US" w:eastAsia="zh-CN" w:bidi="ar-SA"/>
        </w:rPr>
        <w:t>3、第五章第二节商务要求的条款中，需要供应商提供证明材料或承诺的，供应商还须在本表后附上相关证明材料或承诺。</w:t>
      </w:r>
    </w:p>
    <w:p w14:paraId="0F3DA3D0">
      <w:pPr>
        <w:jc w:val="center"/>
        <w:outlineLvl w:val="1"/>
        <w:rPr>
          <w:rFonts w:hint="eastAsia"/>
          <w:b/>
          <w:bCs/>
          <w:color w:val="auto"/>
          <w:sz w:val="32"/>
          <w:szCs w:val="28"/>
          <w:highlight w:val="none"/>
        </w:rPr>
      </w:pPr>
      <w:bookmarkStart w:id="284" w:name="_Toc18356"/>
      <w:bookmarkStart w:id="285" w:name="_Toc32371"/>
      <w:bookmarkStart w:id="286" w:name="_Toc31333"/>
      <w:bookmarkStart w:id="287" w:name="_Toc25841"/>
      <w:r>
        <w:rPr>
          <w:rFonts w:hint="eastAsia"/>
          <w:b/>
          <w:bCs/>
          <w:color w:val="auto"/>
          <w:sz w:val="32"/>
          <w:szCs w:val="28"/>
          <w:highlight w:val="none"/>
          <w:lang w:val="en-US" w:eastAsia="zh-CN"/>
        </w:rPr>
        <w:t>技术偏离</w:t>
      </w:r>
      <w:r>
        <w:rPr>
          <w:rFonts w:hint="eastAsia"/>
          <w:b/>
          <w:bCs/>
          <w:color w:val="auto"/>
          <w:sz w:val="32"/>
          <w:szCs w:val="28"/>
          <w:highlight w:val="none"/>
        </w:rPr>
        <w:t>表</w:t>
      </w:r>
      <w:bookmarkEnd w:id="284"/>
    </w:p>
    <w:p w14:paraId="2F7F34DE">
      <w:pPr>
        <w:autoSpaceDE w:val="0"/>
        <w:autoSpaceDN w:val="0"/>
        <w:adjustRightInd w:val="0"/>
        <w:spacing w:line="200" w:lineRule="exact"/>
        <w:jc w:val="left"/>
        <w:rPr>
          <w:rFonts w:hint="eastAsia" w:ascii="宋体" w:hAnsi="宋体" w:cs="宋体"/>
          <w:color w:val="auto"/>
          <w:kern w:val="0"/>
          <w:sz w:val="20"/>
          <w:szCs w:val="20"/>
          <w:highlight w:val="none"/>
        </w:rPr>
      </w:pPr>
    </w:p>
    <w:p w14:paraId="7D0AB8C7">
      <w:pPr>
        <w:autoSpaceDE w:val="0"/>
        <w:autoSpaceDN w:val="0"/>
        <w:adjustRightInd w:val="0"/>
        <w:spacing w:beforeLines="100" w:line="360" w:lineRule="auto"/>
        <w:ind w:left="0" w:lef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项目名称：</w:t>
      </w:r>
    </w:p>
    <w:p w14:paraId="1D0E8B5E">
      <w:pPr>
        <w:ind w:left="0" w:leftChars="0"/>
        <w:rPr>
          <w:rFonts w:eastAsia="宋体" w:cs="Times New Roman"/>
          <w:color w:val="auto"/>
        </w:rPr>
      </w:pPr>
      <w:r>
        <w:rPr>
          <w:rFonts w:hint="eastAsia" w:ascii="宋体" w:hAnsi="宋体" w:eastAsia="宋体" w:cs="宋体"/>
          <w:color w:val="auto"/>
          <w:kern w:val="0"/>
          <w:sz w:val="24"/>
          <w:szCs w:val="24"/>
          <w:highlight w:val="none"/>
          <w:lang w:val="en-US" w:eastAsia="zh-CN"/>
        </w:rPr>
        <w:t>供应商</w:t>
      </w:r>
      <w:r>
        <w:rPr>
          <w:rFonts w:hint="eastAsia" w:eastAsia="宋体" w:cs="Times New Roman"/>
          <w:color w:val="auto"/>
          <w:highlight w:val="none"/>
          <w:lang w:val="en-US" w:eastAsia="zh-CN"/>
        </w:rPr>
        <w:t>名称</w:t>
      </w:r>
      <w:r>
        <w:rPr>
          <w:rFonts w:eastAsia="宋体" w:cs="Times New Roman"/>
          <w:color w:val="auto"/>
          <w:spacing w:val="-3"/>
          <w:highlight w:val="none"/>
        </w:rPr>
        <w:t>：</w:t>
      </w:r>
      <w:r>
        <w:rPr>
          <w:rFonts w:eastAsia="Times New Roman" w:cs="Times New Roman"/>
          <w:color w:val="auto"/>
          <w:spacing w:val="-3"/>
          <w:highlight w:val="none"/>
          <w:u w:val="single"/>
        </w:rPr>
        <w:t xml:space="preserve"> </w:t>
      </w:r>
      <w:r>
        <w:rPr>
          <w:rFonts w:eastAsia="Times New Roman" w:cs="Times New Roman"/>
          <w:color w:val="auto"/>
          <w:spacing w:val="-3"/>
          <w:highlight w:val="none"/>
          <w:u w:val="single"/>
        </w:rPr>
        <w:tab/>
      </w:r>
      <w:r>
        <w:rPr>
          <w:rFonts w:eastAsia="宋体" w:cs="Times New Roman"/>
          <w:color w:val="auto"/>
          <w:highlight w:val="none"/>
        </w:rPr>
        <w:t>（</w:t>
      </w:r>
      <w:r>
        <w:rPr>
          <w:rFonts w:hint="eastAsia" w:eastAsia="宋体" w:cs="Times New Roman"/>
          <w:color w:val="auto"/>
          <w:highlight w:val="none"/>
        </w:rPr>
        <w:t>盖单位章</w:t>
      </w:r>
      <w:r>
        <w:rPr>
          <w:rFonts w:eastAsia="宋体" w:cs="Times New Roman"/>
          <w:color w:val="auto"/>
          <w:highlight w:val="none"/>
        </w:rPr>
        <w:t>）</w:t>
      </w:r>
    </w:p>
    <w:p w14:paraId="5760219D">
      <w:pPr>
        <w:autoSpaceDE w:val="0"/>
        <w:autoSpaceDN w:val="0"/>
        <w:adjustRightInd w:val="0"/>
        <w:spacing w:before="5" w:line="200" w:lineRule="exact"/>
        <w:ind w:left="0" w:leftChars="0"/>
        <w:jc w:val="left"/>
        <w:rPr>
          <w:rFonts w:hint="eastAsia" w:ascii="宋体" w:hAnsi="宋体" w:cs="宋体"/>
          <w:color w:val="auto"/>
          <w:kern w:val="0"/>
          <w:sz w:val="20"/>
          <w:szCs w:val="20"/>
          <w:highlight w:val="none"/>
        </w:rPr>
      </w:pPr>
    </w:p>
    <w:tbl>
      <w:tblPr>
        <w:tblStyle w:val="28"/>
        <w:tblW w:w="9418" w:type="dxa"/>
        <w:jc w:val="center"/>
        <w:tblLayout w:type="fixed"/>
        <w:tblCellMar>
          <w:top w:w="0" w:type="dxa"/>
          <w:left w:w="0" w:type="dxa"/>
          <w:bottom w:w="0" w:type="dxa"/>
          <w:right w:w="0" w:type="dxa"/>
        </w:tblCellMar>
      </w:tblPr>
      <w:tblGrid>
        <w:gridCol w:w="1059"/>
        <w:gridCol w:w="3084"/>
        <w:gridCol w:w="3413"/>
        <w:gridCol w:w="1862"/>
      </w:tblGrid>
      <w:tr w14:paraId="69C783D7">
        <w:tblPrEx>
          <w:tblCellMar>
            <w:top w:w="0" w:type="dxa"/>
            <w:left w:w="0" w:type="dxa"/>
            <w:bottom w:w="0" w:type="dxa"/>
            <w:right w:w="0" w:type="dxa"/>
          </w:tblCellMar>
        </w:tblPrEx>
        <w:trPr>
          <w:trHeight w:val="942"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4EA4A06">
            <w:pPr>
              <w:autoSpaceDE w:val="0"/>
              <w:autoSpaceDN w:val="0"/>
              <w:adjustRightInd w:val="0"/>
              <w:spacing w:before="79"/>
              <w:ind w:left="0" w:leftChars="0" w:right="-2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序号</w:t>
            </w:r>
          </w:p>
        </w:tc>
        <w:tc>
          <w:tcPr>
            <w:tcW w:w="3084" w:type="dxa"/>
            <w:tcBorders>
              <w:top w:val="single" w:color="000000" w:sz="4" w:space="0"/>
              <w:left w:val="single" w:color="000000" w:sz="4" w:space="0"/>
              <w:bottom w:val="single" w:color="000000" w:sz="4" w:space="0"/>
              <w:right w:val="single" w:color="000000" w:sz="4" w:space="0"/>
            </w:tcBorders>
            <w:noWrap w:val="0"/>
            <w:vAlign w:val="center"/>
          </w:tcPr>
          <w:p w14:paraId="01308B14">
            <w:pPr>
              <w:autoSpaceDE w:val="0"/>
              <w:autoSpaceDN w:val="0"/>
              <w:adjustRightInd w:val="0"/>
              <w:spacing w:before="79"/>
              <w:ind w:left="0" w:leftChars="0" w:right="-20"/>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1"/>
                <w:highlight w:val="none"/>
              </w:rPr>
              <w:t>采购文件章节及</w:t>
            </w:r>
            <w:r>
              <w:rPr>
                <w:rFonts w:hint="eastAsia" w:ascii="宋体" w:hAnsi="宋体" w:cs="宋体"/>
                <w:color w:val="auto"/>
                <w:kern w:val="0"/>
                <w:szCs w:val="21"/>
                <w:highlight w:val="none"/>
                <w:lang w:val="en-US" w:eastAsia="zh-CN"/>
              </w:rPr>
              <w:t>内容</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7542DC88">
            <w:pPr>
              <w:autoSpaceDE w:val="0"/>
              <w:autoSpaceDN w:val="0"/>
              <w:adjustRightInd w:val="0"/>
              <w:spacing w:before="79"/>
              <w:ind w:left="0" w:leftChars="0" w:right="-2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响应文件</w:t>
            </w:r>
            <w:r>
              <w:rPr>
                <w:rFonts w:hint="eastAsia" w:ascii="宋体" w:hAnsi="宋体" w:cs="宋体"/>
                <w:color w:val="auto"/>
                <w:kern w:val="0"/>
                <w:szCs w:val="21"/>
                <w:highlight w:val="none"/>
                <w:lang w:val="en-US" w:eastAsia="zh-CN"/>
              </w:rPr>
              <w:t>响应内容</w:t>
            </w:r>
          </w:p>
        </w:tc>
        <w:tc>
          <w:tcPr>
            <w:tcW w:w="1862" w:type="dxa"/>
            <w:tcBorders>
              <w:top w:val="single" w:color="000000" w:sz="4" w:space="0"/>
              <w:left w:val="single" w:color="000000" w:sz="4" w:space="0"/>
              <w:bottom w:val="single" w:color="000000" w:sz="4" w:space="0"/>
              <w:right w:val="single" w:color="000000" w:sz="4" w:space="0"/>
            </w:tcBorders>
            <w:noWrap w:val="0"/>
            <w:vAlign w:val="center"/>
          </w:tcPr>
          <w:p w14:paraId="262036C7">
            <w:pPr>
              <w:autoSpaceDE w:val="0"/>
              <w:autoSpaceDN w:val="0"/>
              <w:adjustRightInd w:val="0"/>
              <w:spacing w:before="79"/>
              <w:ind w:left="0" w:leftChars="0" w:right="-20"/>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1"/>
                <w:highlight w:val="none"/>
                <w:lang w:val="en-US" w:eastAsia="zh-CN"/>
              </w:rPr>
              <w:t>偏离情况</w:t>
            </w:r>
          </w:p>
        </w:tc>
      </w:tr>
      <w:tr w14:paraId="0F0398D8">
        <w:tblPrEx>
          <w:tblCellMar>
            <w:top w:w="0" w:type="dxa"/>
            <w:left w:w="0" w:type="dxa"/>
            <w:bottom w:w="0" w:type="dxa"/>
            <w:right w:w="0" w:type="dxa"/>
          </w:tblCellMar>
        </w:tblPrEx>
        <w:trPr>
          <w:trHeight w:val="946"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EC673D5">
            <w:pPr>
              <w:autoSpaceDE w:val="0"/>
              <w:autoSpaceDN w:val="0"/>
              <w:adjustRightInd w:val="0"/>
              <w:ind w:left="0" w:leftChars="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1</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6A1B5FDF">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7CFC44FB">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1E371134">
            <w:pPr>
              <w:autoSpaceDE w:val="0"/>
              <w:autoSpaceDN w:val="0"/>
              <w:adjustRightInd w:val="0"/>
              <w:jc w:val="left"/>
              <w:rPr>
                <w:rFonts w:hint="eastAsia" w:ascii="宋体" w:hAnsi="宋体" w:cs="宋体"/>
                <w:color w:val="auto"/>
                <w:kern w:val="0"/>
                <w:szCs w:val="24"/>
                <w:highlight w:val="none"/>
              </w:rPr>
            </w:pPr>
          </w:p>
        </w:tc>
      </w:tr>
      <w:tr w14:paraId="127F119E">
        <w:tblPrEx>
          <w:tblCellMar>
            <w:top w:w="0" w:type="dxa"/>
            <w:left w:w="0" w:type="dxa"/>
            <w:bottom w:w="0" w:type="dxa"/>
            <w:right w:w="0" w:type="dxa"/>
          </w:tblCellMar>
        </w:tblPrEx>
        <w:trPr>
          <w:trHeight w:val="942"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070EE13">
            <w:pPr>
              <w:autoSpaceDE w:val="0"/>
              <w:autoSpaceDN w:val="0"/>
              <w:adjustRightInd w:val="0"/>
              <w:ind w:left="0" w:leftChars="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2</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19A3CDDD">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75AFE7CA">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4A38FEBD">
            <w:pPr>
              <w:autoSpaceDE w:val="0"/>
              <w:autoSpaceDN w:val="0"/>
              <w:adjustRightInd w:val="0"/>
              <w:jc w:val="left"/>
              <w:rPr>
                <w:rFonts w:hint="eastAsia" w:ascii="宋体" w:hAnsi="宋体" w:cs="宋体"/>
                <w:color w:val="auto"/>
                <w:kern w:val="0"/>
                <w:szCs w:val="24"/>
                <w:highlight w:val="none"/>
              </w:rPr>
            </w:pPr>
          </w:p>
        </w:tc>
      </w:tr>
      <w:tr w14:paraId="5A3FCDCC">
        <w:tblPrEx>
          <w:tblCellMar>
            <w:top w:w="0" w:type="dxa"/>
            <w:left w:w="0" w:type="dxa"/>
            <w:bottom w:w="0" w:type="dxa"/>
            <w:right w:w="0" w:type="dxa"/>
          </w:tblCellMar>
        </w:tblPrEx>
        <w:trPr>
          <w:trHeight w:val="942"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9FBB84D">
            <w:pPr>
              <w:autoSpaceDE w:val="0"/>
              <w:autoSpaceDN w:val="0"/>
              <w:adjustRightInd w:val="0"/>
              <w:ind w:left="0" w:leftChars="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3</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09AA2C03">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2D58EEA5">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4297823E">
            <w:pPr>
              <w:autoSpaceDE w:val="0"/>
              <w:autoSpaceDN w:val="0"/>
              <w:adjustRightInd w:val="0"/>
              <w:jc w:val="left"/>
              <w:rPr>
                <w:rFonts w:hint="eastAsia" w:ascii="宋体" w:hAnsi="宋体" w:cs="宋体"/>
                <w:color w:val="auto"/>
                <w:kern w:val="0"/>
                <w:szCs w:val="24"/>
                <w:highlight w:val="none"/>
              </w:rPr>
            </w:pPr>
          </w:p>
        </w:tc>
      </w:tr>
      <w:tr w14:paraId="0049467E">
        <w:tblPrEx>
          <w:tblCellMar>
            <w:top w:w="0" w:type="dxa"/>
            <w:left w:w="0" w:type="dxa"/>
            <w:bottom w:w="0" w:type="dxa"/>
            <w:right w:w="0" w:type="dxa"/>
          </w:tblCellMar>
        </w:tblPrEx>
        <w:trPr>
          <w:trHeight w:val="942"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A2C7C8F">
            <w:pPr>
              <w:autoSpaceDE w:val="0"/>
              <w:autoSpaceDN w:val="0"/>
              <w:adjustRightInd w:val="0"/>
              <w:ind w:left="0" w:leftChars="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4</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16494FEE">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5860950A">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348A2BE5">
            <w:pPr>
              <w:autoSpaceDE w:val="0"/>
              <w:autoSpaceDN w:val="0"/>
              <w:adjustRightInd w:val="0"/>
              <w:jc w:val="left"/>
              <w:rPr>
                <w:rFonts w:hint="eastAsia" w:ascii="宋体" w:hAnsi="宋体" w:cs="宋体"/>
                <w:color w:val="auto"/>
                <w:kern w:val="0"/>
                <w:szCs w:val="24"/>
                <w:highlight w:val="none"/>
              </w:rPr>
            </w:pPr>
          </w:p>
        </w:tc>
      </w:tr>
      <w:tr w14:paraId="108C1199">
        <w:tblPrEx>
          <w:tblCellMar>
            <w:top w:w="0" w:type="dxa"/>
            <w:left w:w="0" w:type="dxa"/>
            <w:bottom w:w="0" w:type="dxa"/>
            <w:right w:w="0" w:type="dxa"/>
          </w:tblCellMar>
        </w:tblPrEx>
        <w:trPr>
          <w:trHeight w:val="942"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4EA9FAF">
            <w:pPr>
              <w:autoSpaceDE w:val="0"/>
              <w:autoSpaceDN w:val="0"/>
              <w:adjustRightInd w:val="0"/>
              <w:ind w:left="0" w:leftChars="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5</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0DC11505">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66048E42">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351B9E74">
            <w:pPr>
              <w:autoSpaceDE w:val="0"/>
              <w:autoSpaceDN w:val="0"/>
              <w:adjustRightInd w:val="0"/>
              <w:jc w:val="left"/>
              <w:rPr>
                <w:rFonts w:hint="eastAsia" w:ascii="宋体" w:hAnsi="宋体" w:cs="宋体"/>
                <w:color w:val="auto"/>
                <w:kern w:val="0"/>
                <w:szCs w:val="24"/>
                <w:highlight w:val="none"/>
              </w:rPr>
            </w:pPr>
          </w:p>
        </w:tc>
      </w:tr>
      <w:tr w14:paraId="105940A5">
        <w:tblPrEx>
          <w:tblCellMar>
            <w:top w:w="0" w:type="dxa"/>
            <w:left w:w="0" w:type="dxa"/>
            <w:bottom w:w="0" w:type="dxa"/>
            <w:right w:w="0" w:type="dxa"/>
          </w:tblCellMar>
        </w:tblPrEx>
        <w:trPr>
          <w:trHeight w:val="1005" w:hRule="exact"/>
          <w:jc w:val="center"/>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5CA1CB8">
            <w:pPr>
              <w:autoSpaceDE w:val="0"/>
              <w:autoSpaceDN w:val="0"/>
              <w:adjustRightInd w:val="0"/>
              <w:spacing w:before="7" w:line="190" w:lineRule="exact"/>
              <w:jc w:val="center"/>
              <w:rPr>
                <w:rFonts w:hint="eastAsia" w:ascii="宋体" w:hAnsi="宋体" w:cs="宋体"/>
                <w:color w:val="auto"/>
                <w:kern w:val="0"/>
                <w:sz w:val="19"/>
                <w:szCs w:val="19"/>
                <w:highlight w:val="none"/>
              </w:rPr>
            </w:pPr>
          </w:p>
          <w:p w14:paraId="5572C187">
            <w:pPr>
              <w:autoSpaceDE w:val="0"/>
              <w:autoSpaceDN w:val="0"/>
              <w:adjustRightInd w:val="0"/>
              <w:ind w:left="0" w:leftChars="0" w:right="-20"/>
              <w:jc w:val="center"/>
              <w:rPr>
                <w:rFonts w:hint="eastAsia" w:ascii="宋体" w:hAnsi="宋体" w:cs="宋体"/>
                <w:color w:val="auto"/>
                <w:kern w:val="0"/>
                <w:szCs w:val="24"/>
                <w:highlight w:val="none"/>
              </w:rPr>
            </w:pPr>
            <w:r>
              <w:rPr>
                <w:rFonts w:hint="eastAsia" w:ascii="宋体" w:hAnsi="宋体" w:cs="宋体"/>
                <w:color w:val="auto"/>
                <w:kern w:val="0"/>
                <w:szCs w:val="21"/>
                <w:highlight w:val="none"/>
              </w:rPr>
              <w:t>…</w:t>
            </w:r>
          </w:p>
        </w:tc>
        <w:tc>
          <w:tcPr>
            <w:tcW w:w="3084" w:type="dxa"/>
            <w:tcBorders>
              <w:top w:val="single" w:color="000000" w:sz="4" w:space="0"/>
              <w:left w:val="single" w:color="000000" w:sz="4" w:space="0"/>
              <w:bottom w:val="single" w:color="000000" w:sz="4" w:space="0"/>
              <w:right w:val="single" w:color="000000" w:sz="4" w:space="0"/>
            </w:tcBorders>
            <w:noWrap w:val="0"/>
            <w:vAlign w:val="top"/>
          </w:tcPr>
          <w:p w14:paraId="20F435DF">
            <w:pPr>
              <w:autoSpaceDE w:val="0"/>
              <w:autoSpaceDN w:val="0"/>
              <w:adjustRightInd w:val="0"/>
              <w:jc w:val="left"/>
              <w:rPr>
                <w:rFonts w:hint="eastAsia" w:ascii="宋体" w:hAnsi="宋体" w:cs="宋体"/>
                <w:color w:val="auto"/>
                <w:kern w:val="0"/>
                <w:szCs w:val="24"/>
                <w:highlight w:val="none"/>
              </w:rPr>
            </w:pPr>
          </w:p>
        </w:tc>
        <w:tc>
          <w:tcPr>
            <w:tcW w:w="3413" w:type="dxa"/>
            <w:tcBorders>
              <w:top w:val="single" w:color="000000" w:sz="4" w:space="0"/>
              <w:left w:val="single" w:color="000000" w:sz="4" w:space="0"/>
              <w:bottom w:val="single" w:color="000000" w:sz="4" w:space="0"/>
              <w:right w:val="single" w:color="000000" w:sz="4" w:space="0"/>
            </w:tcBorders>
            <w:noWrap w:val="0"/>
            <w:vAlign w:val="top"/>
          </w:tcPr>
          <w:p w14:paraId="084CC903">
            <w:pPr>
              <w:autoSpaceDE w:val="0"/>
              <w:autoSpaceDN w:val="0"/>
              <w:adjustRightInd w:val="0"/>
              <w:jc w:val="left"/>
              <w:rPr>
                <w:rFonts w:hint="eastAsia" w:ascii="宋体" w:hAnsi="宋体" w:cs="宋体"/>
                <w:color w:val="auto"/>
                <w:kern w:val="0"/>
                <w:szCs w:val="24"/>
                <w:highlight w:val="none"/>
              </w:rPr>
            </w:pPr>
          </w:p>
        </w:tc>
        <w:tc>
          <w:tcPr>
            <w:tcW w:w="1862" w:type="dxa"/>
            <w:tcBorders>
              <w:top w:val="single" w:color="000000" w:sz="4" w:space="0"/>
              <w:left w:val="single" w:color="000000" w:sz="4" w:space="0"/>
              <w:bottom w:val="single" w:color="000000" w:sz="4" w:space="0"/>
              <w:right w:val="single" w:color="000000" w:sz="4" w:space="0"/>
            </w:tcBorders>
            <w:noWrap w:val="0"/>
            <w:vAlign w:val="top"/>
          </w:tcPr>
          <w:p w14:paraId="65C873C9">
            <w:pPr>
              <w:autoSpaceDE w:val="0"/>
              <w:autoSpaceDN w:val="0"/>
              <w:adjustRightInd w:val="0"/>
              <w:jc w:val="left"/>
              <w:rPr>
                <w:rFonts w:hint="eastAsia" w:ascii="宋体" w:hAnsi="宋体" w:cs="宋体"/>
                <w:color w:val="auto"/>
                <w:kern w:val="0"/>
                <w:szCs w:val="24"/>
                <w:highlight w:val="none"/>
              </w:rPr>
            </w:pPr>
          </w:p>
        </w:tc>
      </w:tr>
    </w:tbl>
    <w:p w14:paraId="0972A3FF">
      <w:pPr>
        <w:autoSpaceDE w:val="0"/>
        <w:autoSpaceDN w:val="0"/>
        <w:adjustRightInd w:val="0"/>
        <w:spacing w:line="110" w:lineRule="exact"/>
        <w:jc w:val="left"/>
        <w:rPr>
          <w:rFonts w:hint="eastAsia" w:ascii="宋体" w:hAnsi="宋体" w:cs="宋体"/>
          <w:color w:val="auto"/>
          <w:kern w:val="0"/>
          <w:sz w:val="11"/>
          <w:szCs w:val="11"/>
          <w:highlight w:val="none"/>
        </w:rPr>
      </w:pPr>
    </w:p>
    <w:p w14:paraId="1DD37576">
      <w:pPr>
        <w:pStyle w:val="3"/>
        <w:spacing w:line="360" w:lineRule="auto"/>
        <w:ind w:left="0" w:leftChars="0" w:firstLine="48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注：</w:t>
      </w:r>
    </w:p>
    <w:p w14:paraId="2139E8E1">
      <w:pPr>
        <w:pStyle w:val="3"/>
        <w:numPr>
          <w:ilvl w:val="0"/>
          <w:numId w:val="0"/>
        </w:numPr>
        <w:spacing w:line="360" w:lineRule="auto"/>
        <w:ind w:left="0" w:leftChars="0" w:firstLine="480"/>
        <w:rPr>
          <w:rFonts w:hint="eastAsia" w:ascii="宋体" w:hAnsi="宋体" w:eastAsia="宋体" w:cs="宋体"/>
          <w:color w:val="auto"/>
          <w:szCs w:val="20"/>
          <w:highlight w:val="none"/>
          <w:lang w:val="en-US" w:eastAsia="zh-CN"/>
        </w:rPr>
      </w:pPr>
      <w:r>
        <w:rPr>
          <w:rFonts w:hint="eastAsia" w:ascii="宋体" w:hAnsi="宋体" w:eastAsia="宋体" w:cs="宋体"/>
          <w:color w:val="auto"/>
          <w:kern w:val="2"/>
          <w:sz w:val="24"/>
          <w:szCs w:val="20"/>
          <w:lang w:val="en-US" w:eastAsia="zh-CN" w:bidi="ar-SA"/>
        </w:rPr>
        <w:t>1、行数不够自行添加。</w:t>
      </w:r>
      <w:r>
        <w:rPr>
          <w:rFonts w:hint="eastAsia" w:ascii="宋体" w:hAnsi="宋体" w:eastAsia="宋体" w:cs="宋体"/>
          <w:color w:val="auto"/>
          <w:szCs w:val="20"/>
          <w:highlight w:val="none"/>
          <w:lang w:val="en-US" w:eastAsia="zh-CN"/>
        </w:rPr>
        <w:t>供应商应对采购文件第五章第一节“采购清单及技术参数”中所有技术参数进行</w:t>
      </w:r>
      <w:r>
        <w:rPr>
          <w:rFonts w:hint="eastAsia" w:ascii="宋体" w:hAnsi="宋体" w:eastAsia="宋体" w:cs="宋体"/>
          <w:b/>
          <w:bCs/>
          <w:color w:val="auto"/>
          <w:szCs w:val="20"/>
          <w:highlight w:val="none"/>
          <w:lang w:val="en-US" w:eastAsia="zh-CN"/>
        </w:rPr>
        <w:t>逐条</w:t>
      </w:r>
      <w:r>
        <w:rPr>
          <w:rFonts w:hint="eastAsia" w:ascii="宋体" w:hAnsi="宋体" w:eastAsia="宋体" w:cs="宋体"/>
          <w:color w:val="auto"/>
          <w:szCs w:val="20"/>
          <w:highlight w:val="none"/>
          <w:lang w:val="en-US" w:eastAsia="zh-CN"/>
        </w:rPr>
        <w:t>响应说明。“偏离情况”栏应填写“无偏离”或“正偏离”或“负偏离”。正偏离指优于采购要求，无偏离指满足采购要求，负偏离指低于采购要求。</w:t>
      </w:r>
    </w:p>
    <w:p w14:paraId="3423A42F">
      <w:pPr>
        <w:pStyle w:val="3"/>
        <w:spacing w:line="360" w:lineRule="auto"/>
        <w:ind w:left="0" w:leftChars="0" w:firstLine="480"/>
        <w:rPr>
          <w:rFonts w:hint="default" w:ascii="宋体" w:hAnsi="宋体" w:eastAsia="宋体" w:cs="宋体"/>
          <w:color w:val="auto"/>
          <w:szCs w:val="20"/>
          <w:highlight w:val="none"/>
          <w:lang w:val="en-US" w:eastAsia="zh-CN"/>
        </w:rPr>
        <w:sectPr>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1" w:charSpace="0"/>
        </w:sectPr>
      </w:pPr>
      <w:r>
        <w:rPr>
          <w:rFonts w:hint="eastAsia" w:ascii="宋体" w:hAnsi="宋体" w:eastAsia="宋体" w:cs="宋体"/>
          <w:color w:val="auto"/>
          <w:kern w:val="2"/>
          <w:sz w:val="24"/>
          <w:szCs w:val="20"/>
          <w:highlight w:val="none"/>
          <w:lang w:val="en-US" w:eastAsia="zh-CN" w:bidi="ar-SA"/>
        </w:rPr>
        <w:t>2、</w:t>
      </w:r>
      <w:r>
        <w:rPr>
          <w:rFonts w:hint="eastAsia" w:ascii="宋体" w:hAnsi="宋体" w:eastAsia="宋体" w:cs="宋体"/>
          <w:color w:val="auto"/>
          <w:szCs w:val="20"/>
          <w:highlight w:val="none"/>
          <w:lang w:val="en-US" w:eastAsia="zh-CN"/>
        </w:rPr>
        <w:t>供应商应按照评审办法的要求提供有关材料。</w:t>
      </w:r>
      <w:bookmarkEnd w:id="307"/>
    </w:p>
    <w:bookmarkEnd w:id="285"/>
    <w:bookmarkEnd w:id="286"/>
    <w:bookmarkEnd w:id="287"/>
    <w:p w14:paraId="494647A1">
      <w:pPr>
        <w:spacing w:after="120" w:afterLines="50" w:line="360" w:lineRule="auto"/>
        <w:ind w:left="0" w:leftChars="0"/>
        <w:jc w:val="center"/>
        <w:outlineLvl w:val="1"/>
        <w:rPr>
          <w:rFonts w:hint="eastAsia"/>
          <w:b/>
          <w:bCs/>
          <w:color w:val="auto"/>
          <w:sz w:val="36"/>
          <w:szCs w:val="32"/>
          <w:highlight w:val="none"/>
        </w:rPr>
      </w:pPr>
      <w:bookmarkStart w:id="288" w:name="_Toc8184"/>
      <w:bookmarkStart w:id="289" w:name="_Toc6645"/>
      <w:bookmarkStart w:id="290" w:name="_Toc13186"/>
      <w:bookmarkStart w:id="291" w:name="_Toc9111"/>
      <w:r>
        <w:rPr>
          <w:rFonts w:hint="eastAsia"/>
          <w:b/>
          <w:bCs/>
          <w:color w:val="auto"/>
          <w:sz w:val="36"/>
          <w:szCs w:val="32"/>
          <w:highlight w:val="none"/>
        </w:rPr>
        <w:t>资格审查资料</w:t>
      </w:r>
      <w:bookmarkEnd w:id="288"/>
      <w:bookmarkEnd w:id="289"/>
      <w:bookmarkEnd w:id="290"/>
      <w:bookmarkEnd w:id="291"/>
    </w:p>
    <w:p w14:paraId="5FBDCB49">
      <w:pPr>
        <w:spacing w:line="360" w:lineRule="auto"/>
        <w:ind w:left="0" w:leftChars="0"/>
        <w:jc w:val="left"/>
        <w:rPr>
          <w:rFonts w:hint="eastAsia" w:ascii="宋体" w:hAnsi="宋体" w:cs="宋体"/>
          <w:b/>
          <w:bCs/>
          <w:color w:val="auto"/>
          <w:sz w:val="28"/>
          <w:szCs w:val="28"/>
          <w:highlight w:val="none"/>
        </w:rPr>
      </w:pPr>
      <w:bookmarkStart w:id="292" w:name="_Toc7949"/>
      <w:r>
        <w:rPr>
          <w:rFonts w:hint="eastAsia" w:ascii="宋体" w:hAnsi="宋体" w:cs="宋体"/>
          <w:b/>
          <w:bCs/>
          <w:color w:val="auto"/>
          <w:sz w:val="28"/>
          <w:szCs w:val="28"/>
          <w:highlight w:val="none"/>
        </w:rPr>
        <w:t>（一）</w:t>
      </w:r>
      <w:r>
        <w:rPr>
          <w:rFonts w:hint="eastAsia" w:ascii="宋体" w:hAnsi="宋体" w:cs="宋体"/>
          <w:b/>
          <w:bCs/>
          <w:color w:val="auto"/>
          <w:sz w:val="28"/>
          <w:szCs w:val="28"/>
          <w:highlight w:val="none"/>
          <w:lang w:eastAsia="zh-CN"/>
        </w:rPr>
        <w:t>供应商</w:t>
      </w:r>
      <w:r>
        <w:rPr>
          <w:rFonts w:hint="eastAsia" w:ascii="宋体" w:hAnsi="宋体" w:cs="宋体"/>
          <w:b/>
          <w:bCs/>
          <w:color w:val="auto"/>
          <w:sz w:val="28"/>
          <w:szCs w:val="28"/>
          <w:highlight w:val="none"/>
        </w:rPr>
        <w:t>基本情况表</w:t>
      </w:r>
      <w:bookmarkEnd w:id="292"/>
    </w:p>
    <w:tbl>
      <w:tblPr>
        <w:tblStyle w:val="28"/>
        <w:tblW w:w="9319" w:type="dxa"/>
        <w:tblInd w:w="107" w:type="dxa"/>
        <w:tblLayout w:type="fixed"/>
        <w:tblCellMar>
          <w:top w:w="0" w:type="dxa"/>
          <w:left w:w="0" w:type="dxa"/>
          <w:bottom w:w="0" w:type="dxa"/>
          <w:right w:w="0" w:type="dxa"/>
        </w:tblCellMar>
      </w:tblPr>
      <w:tblGrid>
        <w:gridCol w:w="2715"/>
        <w:gridCol w:w="1151"/>
        <w:gridCol w:w="1902"/>
        <w:gridCol w:w="1785"/>
        <w:gridCol w:w="1766"/>
      </w:tblGrid>
      <w:tr w14:paraId="6CD2EE9D">
        <w:tblPrEx>
          <w:tblCellMar>
            <w:top w:w="0" w:type="dxa"/>
            <w:left w:w="0" w:type="dxa"/>
            <w:bottom w:w="0" w:type="dxa"/>
            <w:right w:w="0" w:type="dxa"/>
          </w:tblCellMar>
        </w:tblPrEx>
        <w:trPr>
          <w:trHeight w:val="533" w:hRule="exact"/>
        </w:trPr>
        <w:tc>
          <w:tcPr>
            <w:tcW w:w="2715" w:type="dxa"/>
            <w:tcBorders>
              <w:top w:val="single" w:color="000000" w:sz="4" w:space="0"/>
              <w:left w:val="single" w:color="000000" w:sz="4" w:space="0"/>
              <w:bottom w:val="single" w:color="000000" w:sz="4" w:space="0"/>
              <w:right w:val="single" w:color="000000" w:sz="4" w:space="0"/>
            </w:tcBorders>
            <w:noWrap w:val="0"/>
            <w:vAlign w:val="center"/>
          </w:tcPr>
          <w:p w14:paraId="18E8382E">
            <w:pPr>
              <w:ind w:left="0" w:leftChars="0"/>
              <w:jc w:val="center"/>
              <w:rPr>
                <w:rFonts w:hint="eastAsia"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名称</w:t>
            </w:r>
          </w:p>
        </w:tc>
        <w:tc>
          <w:tcPr>
            <w:tcW w:w="6604" w:type="dxa"/>
            <w:gridSpan w:val="4"/>
            <w:tcBorders>
              <w:top w:val="single" w:color="000000" w:sz="4" w:space="0"/>
              <w:left w:val="single" w:color="000000" w:sz="4" w:space="0"/>
              <w:bottom w:val="single" w:color="000000" w:sz="4" w:space="0"/>
              <w:right w:val="single" w:color="000000" w:sz="4" w:space="0"/>
            </w:tcBorders>
            <w:noWrap w:val="0"/>
            <w:vAlign w:val="top"/>
          </w:tcPr>
          <w:p w14:paraId="62147E35">
            <w:pPr>
              <w:rPr>
                <w:rFonts w:hint="eastAsia" w:ascii="宋体" w:hAnsi="宋体" w:cs="宋体"/>
                <w:color w:val="auto"/>
                <w:highlight w:val="none"/>
              </w:rPr>
            </w:pPr>
          </w:p>
        </w:tc>
      </w:tr>
      <w:tr w14:paraId="4D5D63BD">
        <w:tblPrEx>
          <w:tblCellMar>
            <w:top w:w="0" w:type="dxa"/>
            <w:left w:w="0" w:type="dxa"/>
            <w:bottom w:w="0" w:type="dxa"/>
            <w:right w:w="0" w:type="dxa"/>
          </w:tblCellMar>
        </w:tblPrEx>
        <w:trPr>
          <w:trHeight w:val="531" w:hRule="exact"/>
        </w:trPr>
        <w:tc>
          <w:tcPr>
            <w:tcW w:w="2715" w:type="dxa"/>
            <w:tcBorders>
              <w:top w:val="single" w:color="000000" w:sz="4" w:space="0"/>
              <w:left w:val="single" w:color="000000" w:sz="4" w:space="0"/>
              <w:bottom w:val="single" w:color="000000" w:sz="4" w:space="0"/>
              <w:right w:val="single" w:color="000000" w:sz="4" w:space="0"/>
            </w:tcBorders>
            <w:noWrap w:val="0"/>
            <w:vAlign w:val="center"/>
          </w:tcPr>
          <w:p w14:paraId="7DC82762">
            <w:pPr>
              <w:ind w:left="0" w:leftChars="0"/>
              <w:jc w:val="center"/>
              <w:rPr>
                <w:rFonts w:hint="eastAsia" w:ascii="宋体" w:hAnsi="宋体" w:cs="宋体"/>
                <w:color w:val="auto"/>
                <w:highlight w:val="none"/>
              </w:rPr>
            </w:pPr>
            <w:r>
              <w:rPr>
                <w:rFonts w:hint="eastAsia" w:ascii="宋体" w:hAnsi="宋体" w:cs="宋体"/>
                <w:color w:val="auto"/>
                <w:highlight w:val="none"/>
              </w:rPr>
              <w:t>注册资金</w:t>
            </w:r>
          </w:p>
        </w:tc>
        <w:tc>
          <w:tcPr>
            <w:tcW w:w="3053" w:type="dxa"/>
            <w:gridSpan w:val="2"/>
            <w:tcBorders>
              <w:top w:val="single" w:color="000000" w:sz="4" w:space="0"/>
              <w:left w:val="single" w:color="000000" w:sz="4" w:space="0"/>
              <w:bottom w:val="single" w:color="000000" w:sz="4" w:space="0"/>
              <w:right w:val="single" w:color="000000" w:sz="4" w:space="0"/>
            </w:tcBorders>
            <w:noWrap w:val="0"/>
            <w:vAlign w:val="top"/>
          </w:tcPr>
          <w:p w14:paraId="2EF0F9B9">
            <w:pPr>
              <w:rPr>
                <w:rFonts w:hint="eastAsia" w:ascii="宋体" w:hAnsi="宋体" w:cs="宋体"/>
                <w:color w:val="auto"/>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A6D1C9D">
            <w:pPr>
              <w:ind w:left="0" w:leftChars="0"/>
              <w:jc w:val="center"/>
              <w:rPr>
                <w:rFonts w:hint="eastAsia" w:ascii="宋体" w:hAnsi="宋体" w:cs="宋体"/>
                <w:color w:val="auto"/>
                <w:highlight w:val="none"/>
              </w:rPr>
            </w:pPr>
            <w:r>
              <w:rPr>
                <w:rFonts w:hint="eastAsia" w:ascii="宋体" w:hAnsi="宋体" w:cs="宋体"/>
                <w:color w:val="auto"/>
                <w:highlight w:val="none"/>
              </w:rPr>
              <w:t>成立时间</w:t>
            </w:r>
          </w:p>
        </w:tc>
        <w:tc>
          <w:tcPr>
            <w:tcW w:w="1766" w:type="dxa"/>
            <w:tcBorders>
              <w:top w:val="single" w:color="000000" w:sz="4" w:space="0"/>
              <w:left w:val="single" w:color="000000" w:sz="4" w:space="0"/>
              <w:bottom w:val="single" w:color="000000" w:sz="4" w:space="0"/>
              <w:right w:val="single" w:color="000000" w:sz="4" w:space="0"/>
            </w:tcBorders>
            <w:noWrap w:val="0"/>
            <w:vAlign w:val="top"/>
          </w:tcPr>
          <w:p w14:paraId="5B8E7BF4">
            <w:pPr>
              <w:rPr>
                <w:rFonts w:hint="eastAsia" w:ascii="宋体" w:hAnsi="宋体" w:cs="宋体"/>
                <w:color w:val="auto"/>
                <w:highlight w:val="none"/>
              </w:rPr>
            </w:pPr>
          </w:p>
        </w:tc>
      </w:tr>
      <w:tr w14:paraId="6478BB33">
        <w:tblPrEx>
          <w:tblCellMar>
            <w:top w:w="0" w:type="dxa"/>
            <w:left w:w="0" w:type="dxa"/>
            <w:bottom w:w="0" w:type="dxa"/>
            <w:right w:w="0" w:type="dxa"/>
          </w:tblCellMar>
        </w:tblPrEx>
        <w:trPr>
          <w:trHeight w:val="533" w:hRule="exact"/>
        </w:trPr>
        <w:tc>
          <w:tcPr>
            <w:tcW w:w="2715" w:type="dxa"/>
            <w:tcBorders>
              <w:top w:val="single" w:color="000000" w:sz="4" w:space="0"/>
              <w:left w:val="single" w:color="000000" w:sz="4" w:space="0"/>
              <w:bottom w:val="single" w:color="000000" w:sz="4" w:space="0"/>
              <w:right w:val="single" w:color="000000" w:sz="4" w:space="0"/>
            </w:tcBorders>
            <w:noWrap w:val="0"/>
            <w:vAlign w:val="center"/>
          </w:tcPr>
          <w:p w14:paraId="1FEA2083">
            <w:pPr>
              <w:ind w:left="0" w:leftChars="0"/>
              <w:jc w:val="center"/>
              <w:rPr>
                <w:rFonts w:hint="eastAsia" w:ascii="宋体" w:hAnsi="宋体" w:cs="宋体"/>
                <w:color w:val="auto"/>
                <w:highlight w:val="none"/>
              </w:rPr>
            </w:pPr>
            <w:r>
              <w:rPr>
                <w:rFonts w:hint="eastAsia" w:ascii="宋体" w:hAnsi="宋体" w:cs="宋体"/>
                <w:color w:val="auto"/>
                <w:highlight w:val="none"/>
              </w:rPr>
              <w:t>注册地址</w:t>
            </w:r>
          </w:p>
        </w:tc>
        <w:tc>
          <w:tcPr>
            <w:tcW w:w="6604" w:type="dxa"/>
            <w:gridSpan w:val="4"/>
            <w:tcBorders>
              <w:top w:val="single" w:color="000000" w:sz="4" w:space="0"/>
              <w:left w:val="single" w:color="000000" w:sz="4" w:space="0"/>
              <w:bottom w:val="single" w:color="000000" w:sz="4" w:space="0"/>
              <w:right w:val="single" w:color="000000" w:sz="4" w:space="0"/>
            </w:tcBorders>
            <w:noWrap w:val="0"/>
            <w:vAlign w:val="center"/>
          </w:tcPr>
          <w:p w14:paraId="19A03DE5">
            <w:pPr>
              <w:jc w:val="center"/>
              <w:rPr>
                <w:rFonts w:hint="eastAsia" w:ascii="宋体" w:hAnsi="宋体" w:cs="宋体"/>
                <w:color w:val="auto"/>
                <w:highlight w:val="none"/>
              </w:rPr>
            </w:pPr>
          </w:p>
        </w:tc>
      </w:tr>
      <w:tr w14:paraId="63EBD7A6">
        <w:tblPrEx>
          <w:tblCellMar>
            <w:top w:w="0" w:type="dxa"/>
            <w:left w:w="0" w:type="dxa"/>
            <w:bottom w:w="0" w:type="dxa"/>
            <w:right w:w="0" w:type="dxa"/>
          </w:tblCellMar>
        </w:tblPrEx>
        <w:trPr>
          <w:trHeight w:val="531" w:hRule="exact"/>
        </w:trPr>
        <w:tc>
          <w:tcPr>
            <w:tcW w:w="2715" w:type="dxa"/>
            <w:tcBorders>
              <w:top w:val="single" w:color="000000" w:sz="4" w:space="0"/>
              <w:left w:val="single" w:color="000000" w:sz="4" w:space="0"/>
              <w:bottom w:val="single" w:color="000000" w:sz="4" w:space="0"/>
              <w:right w:val="single" w:color="000000" w:sz="4" w:space="0"/>
            </w:tcBorders>
            <w:noWrap w:val="0"/>
            <w:vAlign w:val="center"/>
          </w:tcPr>
          <w:p w14:paraId="22B1BFAF">
            <w:pPr>
              <w:ind w:left="0" w:leftChars="0"/>
              <w:jc w:val="center"/>
              <w:rPr>
                <w:rFonts w:hint="eastAsia" w:ascii="宋体" w:hAnsi="宋体" w:cs="宋体"/>
                <w:color w:val="auto"/>
                <w:highlight w:val="none"/>
              </w:rPr>
            </w:pPr>
            <w:r>
              <w:rPr>
                <w:rFonts w:hint="eastAsia" w:ascii="宋体" w:hAnsi="宋体" w:cs="宋体"/>
                <w:color w:val="auto"/>
                <w:highlight w:val="none"/>
              </w:rPr>
              <w:t>邮政编码</w:t>
            </w:r>
          </w:p>
        </w:tc>
        <w:tc>
          <w:tcPr>
            <w:tcW w:w="3053" w:type="dxa"/>
            <w:gridSpan w:val="2"/>
            <w:tcBorders>
              <w:top w:val="single" w:color="000000" w:sz="4" w:space="0"/>
              <w:left w:val="single" w:color="000000" w:sz="4" w:space="0"/>
              <w:bottom w:val="single" w:color="000000" w:sz="4" w:space="0"/>
              <w:right w:val="single" w:color="000000" w:sz="4" w:space="0"/>
            </w:tcBorders>
            <w:noWrap w:val="0"/>
            <w:vAlign w:val="top"/>
          </w:tcPr>
          <w:p w14:paraId="0D41267B">
            <w:pPr>
              <w:rPr>
                <w:rFonts w:hint="eastAsia" w:ascii="宋体" w:hAnsi="宋体" w:cs="宋体"/>
                <w:color w:val="auto"/>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D91D429">
            <w:pPr>
              <w:ind w:left="0" w:leftChars="0"/>
              <w:jc w:val="center"/>
              <w:rPr>
                <w:rFonts w:hint="eastAsia" w:ascii="宋体" w:hAnsi="宋体" w:cs="宋体"/>
                <w:color w:val="auto"/>
                <w:highlight w:val="none"/>
              </w:rPr>
            </w:pPr>
            <w:r>
              <w:rPr>
                <w:rFonts w:hint="eastAsia" w:ascii="宋体" w:hAnsi="宋体" w:cs="宋体"/>
                <w:color w:val="auto"/>
                <w:highlight w:val="none"/>
              </w:rPr>
              <w:t>员工总数</w:t>
            </w:r>
          </w:p>
        </w:tc>
        <w:tc>
          <w:tcPr>
            <w:tcW w:w="1766" w:type="dxa"/>
            <w:tcBorders>
              <w:top w:val="single" w:color="000000" w:sz="4" w:space="0"/>
              <w:left w:val="single" w:color="000000" w:sz="4" w:space="0"/>
              <w:bottom w:val="single" w:color="000000" w:sz="4" w:space="0"/>
              <w:right w:val="single" w:color="000000" w:sz="4" w:space="0"/>
            </w:tcBorders>
            <w:noWrap w:val="0"/>
            <w:vAlign w:val="top"/>
          </w:tcPr>
          <w:p w14:paraId="610D7A7E">
            <w:pPr>
              <w:rPr>
                <w:rFonts w:hint="eastAsia" w:ascii="宋体" w:hAnsi="宋体" w:cs="宋体"/>
                <w:color w:val="auto"/>
                <w:highlight w:val="none"/>
              </w:rPr>
            </w:pPr>
          </w:p>
        </w:tc>
      </w:tr>
      <w:tr w14:paraId="735ED509">
        <w:tblPrEx>
          <w:tblCellMar>
            <w:top w:w="0" w:type="dxa"/>
            <w:left w:w="0" w:type="dxa"/>
            <w:bottom w:w="0" w:type="dxa"/>
            <w:right w:w="0" w:type="dxa"/>
          </w:tblCellMar>
        </w:tblPrEx>
        <w:trPr>
          <w:trHeight w:val="533" w:hRule="exact"/>
        </w:trPr>
        <w:tc>
          <w:tcPr>
            <w:tcW w:w="2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4C055B">
            <w:pPr>
              <w:ind w:left="0" w:leftChars="0"/>
              <w:jc w:val="center"/>
              <w:rPr>
                <w:rFonts w:hint="eastAsia" w:ascii="宋体" w:hAnsi="宋体" w:cs="宋体"/>
                <w:color w:val="auto"/>
                <w:highlight w:val="none"/>
              </w:rPr>
            </w:pPr>
            <w:r>
              <w:rPr>
                <w:rFonts w:hint="eastAsia" w:ascii="宋体" w:hAnsi="宋体" w:cs="宋体"/>
                <w:color w:val="auto"/>
                <w:highlight w:val="none"/>
              </w:rPr>
              <w:t>联系方式</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1A3A2E4">
            <w:pPr>
              <w:ind w:left="0" w:leftChars="0"/>
              <w:jc w:val="center"/>
              <w:rPr>
                <w:rFonts w:hint="eastAsia" w:ascii="宋体" w:hAnsi="宋体" w:cs="宋体"/>
                <w:color w:val="auto"/>
                <w:highlight w:val="none"/>
              </w:rPr>
            </w:pPr>
            <w:r>
              <w:rPr>
                <w:rFonts w:hint="eastAsia" w:ascii="宋体" w:hAnsi="宋体" w:cs="宋体"/>
                <w:color w:val="auto"/>
                <w:highlight w:val="none"/>
              </w:rPr>
              <w:t>联系人</w:t>
            </w:r>
          </w:p>
        </w:tc>
        <w:tc>
          <w:tcPr>
            <w:tcW w:w="1902" w:type="dxa"/>
            <w:tcBorders>
              <w:top w:val="single" w:color="000000" w:sz="4" w:space="0"/>
              <w:left w:val="single" w:color="000000" w:sz="4" w:space="0"/>
              <w:bottom w:val="single" w:color="000000" w:sz="4" w:space="0"/>
              <w:right w:val="single" w:color="000000" w:sz="4" w:space="0"/>
            </w:tcBorders>
            <w:noWrap w:val="0"/>
            <w:vAlign w:val="top"/>
          </w:tcPr>
          <w:p w14:paraId="164617F9">
            <w:pPr>
              <w:rPr>
                <w:rFonts w:hint="eastAsia" w:ascii="宋体" w:hAnsi="宋体" w:cs="宋体"/>
                <w:color w:val="auto"/>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5C81F7E">
            <w:pPr>
              <w:ind w:left="0" w:leftChars="0"/>
              <w:jc w:val="center"/>
              <w:rPr>
                <w:rFonts w:hint="eastAsia" w:ascii="宋体" w:hAnsi="宋体" w:cs="宋体"/>
                <w:color w:val="auto"/>
                <w:highlight w:val="none"/>
              </w:rPr>
            </w:pPr>
            <w:r>
              <w:rPr>
                <w:rFonts w:hint="eastAsia" w:ascii="宋体" w:hAnsi="宋体" w:cs="宋体"/>
                <w:color w:val="auto"/>
                <w:highlight w:val="none"/>
              </w:rPr>
              <w:t>电话</w:t>
            </w:r>
          </w:p>
        </w:tc>
        <w:tc>
          <w:tcPr>
            <w:tcW w:w="1766" w:type="dxa"/>
            <w:tcBorders>
              <w:top w:val="single" w:color="000000" w:sz="4" w:space="0"/>
              <w:left w:val="single" w:color="000000" w:sz="4" w:space="0"/>
              <w:bottom w:val="single" w:color="000000" w:sz="4" w:space="0"/>
              <w:right w:val="single" w:color="000000" w:sz="4" w:space="0"/>
            </w:tcBorders>
            <w:noWrap w:val="0"/>
            <w:vAlign w:val="top"/>
          </w:tcPr>
          <w:p w14:paraId="77250FDD">
            <w:pPr>
              <w:rPr>
                <w:rFonts w:hint="eastAsia" w:ascii="宋体" w:hAnsi="宋体" w:cs="宋体"/>
                <w:color w:val="auto"/>
                <w:highlight w:val="none"/>
              </w:rPr>
            </w:pPr>
          </w:p>
        </w:tc>
      </w:tr>
      <w:tr w14:paraId="39D42575">
        <w:tblPrEx>
          <w:tblCellMar>
            <w:top w:w="0" w:type="dxa"/>
            <w:left w:w="0" w:type="dxa"/>
            <w:bottom w:w="0" w:type="dxa"/>
            <w:right w:w="0" w:type="dxa"/>
          </w:tblCellMar>
        </w:tblPrEx>
        <w:trPr>
          <w:trHeight w:val="531" w:hRule="exact"/>
        </w:trPr>
        <w:tc>
          <w:tcPr>
            <w:tcW w:w="2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6382E">
            <w:pPr>
              <w:jc w:val="center"/>
              <w:rPr>
                <w:rFonts w:hint="eastAsia" w:ascii="宋体" w:hAnsi="宋体" w:cs="宋体"/>
                <w:color w:val="auto"/>
                <w:highlight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0EC6F90">
            <w:pPr>
              <w:ind w:left="0" w:leftChars="0"/>
              <w:jc w:val="center"/>
              <w:rPr>
                <w:rFonts w:hint="eastAsia" w:ascii="宋体" w:hAnsi="宋体" w:cs="宋体"/>
                <w:color w:val="auto"/>
                <w:highlight w:val="none"/>
              </w:rPr>
            </w:pPr>
            <w:r>
              <w:rPr>
                <w:rFonts w:hint="eastAsia" w:ascii="宋体" w:hAnsi="宋体" w:cs="宋体"/>
                <w:color w:val="auto"/>
                <w:highlight w:val="none"/>
              </w:rPr>
              <w:t>网址</w:t>
            </w:r>
          </w:p>
        </w:tc>
        <w:tc>
          <w:tcPr>
            <w:tcW w:w="1902" w:type="dxa"/>
            <w:tcBorders>
              <w:top w:val="single" w:color="000000" w:sz="4" w:space="0"/>
              <w:left w:val="single" w:color="000000" w:sz="4" w:space="0"/>
              <w:bottom w:val="single" w:color="000000" w:sz="4" w:space="0"/>
              <w:right w:val="single" w:color="000000" w:sz="4" w:space="0"/>
            </w:tcBorders>
            <w:noWrap w:val="0"/>
            <w:vAlign w:val="top"/>
          </w:tcPr>
          <w:p w14:paraId="46DA21AE">
            <w:pPr>
              <w:rPr>
                <w:rFonts w:hint="eastAsia" w:ascii="宋体" w:hAnsi="宋体" w:cs="宋体"/>
                <w:color w:val="auto"/>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50680DA">
            <w:pPr>
              <w:ind w:left="0" w:leftChars="0"/>
              <w:jc w:val="center"/>
              <w:rPr>
                <w:rFonts w:hint="eastAsia" w:ascii="宋体" w:hAnsi="宋体" w:cs="宋体"/>
                <w:color w:val="auto"/>
                <w:highlight w:val="none"/>
              </w:rPr>
            </w:pPr>
            <w:r>
              <w:rPr>
                <w:rFonts w:hint="eastAsia" w:ascii="宋体" w:hAnsi="宋体" w:cs="宋体"/>
                <w:color w:val="auto"/>
                <w:highlight w:val="none"/>
              </w:rPr>
              <w:t>传真</w:t>
            </w:r>
          </w:p>
        </w:tc>
        <w:tc>
          <w:tcPr>
            <w:tcW w:w="1766" w:type="dxa"/>
            <w:tcBorders>
              <w:top w:val="single" w:color="000000" w:sz="4" w:space="0"/>
              <w:left w:val="single" w:color="000000" w:sz="4" w:space="0"/>
              <w:bottom w:val="single" w:color="000000" w:sz="4" w:space="0"/>
              <w:right w:val="single" w:color="000000" w:sz="4" w:space="0"/>
            </w:tcBorders>
            <w:noWrap w:val="0"/>
            <w:vAlign w:val="top"/>
          </w:tcPr>
          <w:p w14:paraId="14F0FE38">
            <w:pPr>
              <w:rPr>
                <w:rFonts w:hint="eastAsia" w:ascii="宋体" w:hAnsi="宋体" w:cs="宋体"/>
                <w:color w:val="auto"/>
                <w:highlight w:val="none"/>
              </w:rPr>
            </w:pPr>
          </w:p>
        </w:tc>
      </w:tr>
      <w:tr w14:paraId="72EFDEAD">
        <w:tblPrEx>
          <w:tblCellMar>
            <w:top w:w="0" w:type="dxa"/>
            <w:left w:w="0" w:type="dxa"/>
            <w:bottom w:w="0" w:type="dxa"/>
            <w:right w:w="0" w:type="dxa"/>
          </w:tblCellMar>
        </w:tblPrEx>
        <w:trPr>
          <w:trHeight w:val="1053" w:hRule="exact"/>
        </w:trPr>
        <w:tc>
          <w:tcPr>
            <w:tcW w:w="2715" w:type="dxa"/>
            <w:tcBorders>
              <w:top w:val="single" w:color="000000" w:sz="4" w:space="0"/>
              <w:left w:val="single" w:color="000000" w:sz="4" w:space="0"/>
              <w:bottom w:val="single" w:color="000000" w:sz="4" w:space="0"/>
              <w:right w:val="single" w:color="000000" w:sz="4" w:space="0"/>
            </w:tcBorders>
            <w:noWrap w:val="0"/>
            <w:vAlign w:val="center"/>
          </w:tcPr>
          <w:p w14:paraId="3C9CAA11">
            <w:pPr>
              <w:ind w:left="0" w:leftChars="0"/>
              <w:jc w:val="center"/>
              <w:rPr>
                <w:rFonts w:hint="eastAsia" w:ascii="宋体" w:hAnsi="宋体" w:cs="宋体"/>
                <w:color w:val="auto"/>
                <w:highlight w:val="none"/>
              </w:rPr>
            </w:pPr>
            <w:r>
              <w:rPr>
                <w:rFonts w:hint="eastAsia" w:ascii="宋体" w:hAnsi="宋体" w:cs="宋体"/>
                <w:color w:val="auto"/>
                <w:highlight w:val="none"/>
              </w:rPr>
              <w:t>法定代表人</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BC3776D">
            <w:pPr>
              <w:jc w:val="center"/>
              <w:rPr>
                <w:rFonts w:hint="eastAsia" w:ascii="宋体" w:hAnsi="宋体" w:cs="宋体"/>
                <w:color w:val="auto"/>
                <w:highlight w:val="none"/>
              </w:rPr>
            </w:pPr>
          </w:p>
          <w:p w14:paraId="2D98FCF4">
            <w:pPr>
              <w:ind w:left="0" w:leftChars="0"/>
              <w:jc w:val="center"/>
              <w:rPr>
                <w:rFonts w:hint="eastAsia" w:ascii="宋体" w:hAnsi="宋体" w:cs="宋体"/>
                <w:color w:val="auto"/>
                <w:highlight w:val="none"/>
              </w:rPr>
            </w:pPr>
            <w:r>
              <w:rPr>
                <w:rFonts w:hint="eastAsia" w:ascii="宋体" w:hAnsi="宋体" w:cs="宋体"/>
                <w:color w:val="auto"/>
                <w:highlight w:val="none"/>
              </w:rPr>
              <w:t>姓名</w:t>
            </w:r>
          </w:p>
        </w:tc>
        <w:tc>
          <w:tcPr>
            <w:tcW w:w="1902" w:type="dxa"/>
            <w:tcBorders>
              <w:top w:val="single" w:color="000000" w:sz="4" w:space="0"/>
              <w:left w:val="single" w:color="000000" w:sz="4" w:space="0"/>
              <w:bottom w:val="single" w:color="000000" w:sz="4" w:space="0"/>
              <w:right w:val="single" w:color="000000" w:sz="4" w:space="0"/>
            </w:tcBorders>
            <w:noWrap w:val="0"/>
            <w:vAlign w:val="top"/>
          </w:tcPr>
          <w:p w14:paraId="62F0C874">
            <w:pPr>
              <w:rPr>
                <w:rFonts w:hint="eastAsia" w:ascii="宋体" w:hAnsi="宋体" w:cs="宋体"/>
                <w:color w:val="auto"/>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9CC993D">
            <w:pPr>
              <w:ind w:left="0" w:leftChars="0"/>
              <w:jc w:val="center"/>
              <w:rPr>
                <w:rFonts w:hint="eastAsia" w:ascii="宋体" w:hAnsi="宋体" w:cs="宋体"/>
                <w:color w:val="auto"/>
                <w:highlight w:val="none"/>
              </w:rPr>
            </w:pPr>
            <w:r>
              <w:rPr>
                <w:rFonts w:hint="eastAsia" w:ascii="宋体" w:hAnsi="宋体" w:cs="宋体"/>
                <w:color w:val="auto"/>
                <w:highlight w:val="none"/>
              </w:rPr>
              <w:t>电话</w:t>
            </w:r>
          </w:p>
        </w:tc>
        <w:tc>
          <w:tcPr>
            <w:tcW w:w="1766" w:type="dxa"/>
            <w:tcBorders>
              <w:top w:val="single" w:color="000000" w:sz="4" w:space="0"/>
              <w:left w:val="single" w:color="000000" w:sz="4" w:space="0"/>
              <w:bottom w:val="single" w:color="000000" w:sz="4" w:space="0"/>
              <w:right w:val="single" w:color="000000" w:sz="4" w:space="0"/>
            </w:tcBorders>
            <w:noWrap w:val="0"/>
            <w:vAlign w:val="top"/>
          </w:tcPr>
          <w:p w14:paraId="434FC37D">
            <w:pPr>
              <w:rPr>
                <w:rFonts w:hint="eastAsia" w:ascii="宋体" w:hAnsi="宋体" w:cs="宋体"/>
                <w:color w:val="auto"/>
                <w:highlight w:val="none"/>
              </w:rPr>
            </w:pPr>
          </w:p>
        </w:tc>
      </w:tr>
      <w:tr w14:paraId="24AEA359">
        <w:tblPrEx>
          <w:tblCellMar>
            <w:top w:w="0" w:type="dxa"/>
            <w:left w:w="0" w:type="dxa"/>
            <w:bottom w:w="0" w:type="dxa"/>
            <w:right w:w="0" w:type="dxa"/>
          </w:tblCellMar>
        </w:tblPrEx>
        <w:trPr>
          <w:trHeight w:val="1297" w:hRule="exact"/>
        </w:trPr>
        <w:tc>
          <w:tcPr>
            <w:tcW w:w="2715" w:type="dxa"/>
            <w:tcBorders>
              <w:top w:val="single" w:color="000000" w:sz="4" w:space="0"/>
              <w:left w:val="single" w:color="000000" w:sz="4" w:space="0"/>
              <w:bottom w:val="single" w:color="000000" w:sz="4" w:space="0"/>
              <w:right w:val="single" w:color="000000" w:sz="4" w:space="0"/>
            </w:tcBorders>
            <w:noWrap w:val="0"/>
            <w:vAlign w:val="center"/>
          </w:tcPr>
          <w:p w14:paraId="3521A427">
            <w:pPr>
              <w:ind w:left="0" w:leftChars="0"/>
              <w:jc w:val="center"/>
              <w:rPr>
                <w:rFonts w:hint="eastAsia"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须知要求</w:t>
            </w:r>
            <w:r>
              <w:rPr>
                <w:rFonts w:hint="eastAsia" w:ascii="宋体" w:hAnsi="宋体" w:cs="宋体"/>
                <w:color w:val="auto"/>
                <w:highlight w:val="none"/>
                <w:lang w:eastAsia="zh-CN"/>
              </w:rPr>
              <w:t>供应商</w:t>
            </w:r>
            <w:r>
              <w:rPr>
                <w:rFonts w:hint="eastAsia" w:ascii="宋体" w:hAnsi="宋体" w:cs="宋体"/>
                <w:color w:val="auto"/>
                <w:highlight w:val="none"/>
              </w:rPr>
              <w:t>需具有的各类资质证书</w:t>
            </w:r>
          </w:p>
        </w:tc>
        <w:tc>
          <w:tcPr>
            <w:tcW w:w="6604" w:type="dxa"/>
            <w:gridSpan w:val="4"/>
            <w:tcBorders>
              <w:top w:val="single" w:color="000000" w:sz="4" w:space="0"/>
              <w:left w:val="single" w:color="000000" w:sz="4" w:space="0"/>
              <w:bottom w:val="single" w:color="000000" w:sz="4" w:space="0"/>
              <w:right w:val="single" w:color="000000" w:sz="4" w:space="0"/>
            </w:tcBorders>
            <w:noWrap w:val="0"/>
            <w:vAlign w:val="center"/>
          </w:tcPr>
          <w:p w14:paraId="441FC2F0">
            <w:pPr>
              <w:ind w:left="0" w:leftChars="0"/>
              <w:rPr>
                <w:rFonts w:hint="eastAsia" w:ascii="宋体" w:hAnsi="宋体" w:cs="宋体"/>
                <w:color w:val="auto"/>
                <w:highlight w:val="none"/>
              </w:rPr>
            </w:pPr>
            <w:r>
              <w:rPr>
                <w:rFonts w:hint="eastAsia" w:ascii="宋体" w:hAnsi="宋体" w:cs="宋体"/>
                <w:color w:val="auto"/>
                <w:highlight w:val="none"/>
              </w:rPr>
              <w:t>类型：</w:t>
            </w:r>
            <w:r>
              <w:rPr>
                <w:rFonts w:hint="eastAsia" w:ascii="宋体" w:hAnsi="宋体" w:cs="宋体"/>
                <w:color w:val="auto"/>
                <w:highlight w:val="none"/>
              </w:rPr>
              <w:tab/>
            </w:r>
            <w:r>
              <w:rPr>
                <w:rFonts w:hint="eastAsia" w:ascii="宋体" w:hAnsi="宋体" w:cs="宋体"/>
                <w:color w:val="auto"/>
                <w:highlight w:val="none"/>
              </w:rPr>
              <w:t>等级：</w:t>
            </w:r>
            <w:r>
              <w:rPr>
                <w:rFonts w:hint="eastAsia" w:ascii="宋体" w:hAnsi="宋体" w:cs="宋体"/>
                <w:color w:val="auto"/>
                <w:highlight w:val="none"/>
              </w:rPr>
              <w:tab/>
            </w:r>
            <w:r>
              <w:rPr>
                <w:rFonts w:hint="eastAsia" w:ascii="宋体" w:hAnsi="宋体" w:cs="宋体"/>
                <w:color w:val="auto"/>
                <w:highlight w:val="none"/>
              </w:rPr>
              <w:t>证书号：</w:t>
            </w:r>
          </w:p>
        </w:tc>
      </w:tr>
      <w:tr w14:paraId="28329E09">
        <w:tblPrEx>
          <w:tblCellMar>
            <w:top w:w="0" w:type="dxa"/>
            <w:left w:w="0" w:type="dxa"/>
            <w:bottom w:w="0" w:type="dxa"/>
            <w:right w:w="0" w:type="dxa"/>
          </w:tblCellMar>
        </w:tblPrEx>
        <w:trPr>
          <w:trHeight w:val="533" w:hRule="exact"/>
        </w:trPr>
        <w:tc>
          <w:tcPr>
            <w:tcW w:w="2715" w:type="dxa"/>
            <w:tcBorders>
              <w:top w:val="single" w:color="000000" w:sz="4" w:space="0"/>
              <w:left w:val="single" w:color="000000" w:sz="4" w:space="0"/>
              <w:bottom w:val="single" w:color="000000" w:sz="4" w:space="0"/>
              <w:right w:val="single" w:color="000000" w:sz="4" w:space="0"/>
            </w:tcBorders>
            <w:noWrap w:val="0"/>
            <w:vAlign w:val="center"/>
          </w:tcPr>
          <w:p w14:paraId="41C30755">
            <w:pPr>
              <w:ind w:left="0" w:leftChars="0"/>
              <w:jc w:val="center"/>
              <w:rPr>
                <w:rFonts w:hint="eastAsia" w:ascii="宋体" w:hAnsi="宋体" w:cs="宋体"/>
                <w:color w:val="auto"/>
                <w:highlight w:val="none"/>
              </w:rPr>
            </w:pPr>
            <w:r>
              <w:rPr>
                <w:rFonts w:hint="eastAsia" w:ascii="宋体" w:hAnsi="宋体" w:cs="宋体"/>
                <w:color w:val="auto"/>
                <w:highlight w:val="none"/>
              </w:rPr>
              <w:t>基本账户开户银行</w:t>
            </w:r>
          </w:p>
        </w:tc>
        <w:tc>
          <w:tcPr>
            <w:tcW w:w="6604" w:type="dxa"/>
            <w:gridSpan w:val="4"/>
            <w:tcBorders>
              <w:top w:val="single" w:color="000000" w:sz="4" w:space="0"/>
              <w:left w:val="single" w:color="000000" w:sz="4" w:space="0"/>
              <w:bottom w:val="single" w:color="000000" w:sz="4" w:space="0"/>
              <w:right w:val="single" w:color="000000" w:sz="4" w:space="0"/>
            </w:tcBorders>
            <w:noWrap w:val="0"/>
            <w:vAlign w:val="top"/>
          </w:tcPr>
          <w:p w14:paraId="4294A559">
            <w:pPr>
              <w:rPr>
                <w:rFonts w:hint="eastAsia" w:ascii="宋体" w:hAnsi="宋体" w:cs="宋体"/>
                <w:color w:val="auto"/>
                <w:highlight w:val="none"/>
              </w:rPr>
            </w:pPr>
          </w:p>
        </w:tc>
      </w:tr>
      <w:tr w14:paraId="52B9793B">
        <w:tblPrEx>
          <w:tblCellMar>
            <w:top w:w="0" w:type="dxa"/>
            <w:left w:w="0" w:type="dxa"/>
            <w:bottom w:w="0" w:type="dxa"/>
            <w:right w:w="0" w:type="dxa"/>
          </w:tblCellMar>
        </w:tblPrEx>
        <w:trPr>
          <w:trHeight w:val="531" w:hRule="exact"/>
        </w:trPr>
        <w:tc>
          <w:tcPr>
            <w:tcW w:w="2715" w:type="dxa"/>
            <w:tcBorders>
              <w:top w:val="single" w:color="000000" w:sz="4" w:space="0"/>
              <w:left w:val="single" w:color="000000" w:sz="4" w:space="0"/>
              <w:bottom w:val="single" w:color="000000" w:sz="4" w:space="0"/>
              <w:right w:val="single" w:color="000000" w:sz="4" w:space="0"/>
            </w:tcBorders>
            <w:noWrap w:val="0"/>
            <w:vAlign w:val="center"/>
          </w:tcPr>
          <w:p w14:paraId="7CCF6220">
            <w:pPr>
              <w:ind w:left="0" w:leftChars="0"/>
              <w:jc w:val="center"/>
              <w:rPr>
                <w:rFonts w:hint="eastAsia" w:ascii="宋体" w:hAnsi="宋体" w:cs="宋体"/>
                <w:color w:val="auto"/>
                <w:highlight w:val="none"/>
              </w:rPr>
            </w:pPr>
            <w:r>
              <w:rPr>
                <w:rFonts w:hint="eastAsia" w:ascii="宋体" w:hAnsi="宋体" w:cs="宋体"/>
                <w:color w:val="auto"/>
                <w:highlight w:val="none"/>
              </w:rPr>
              <w:t>基本账户银行账号</w:t>
            </w:r>
          </w:p>
        </w:tc>
        <w:tc>
          <w:tcPr>
            <w:tcW w:w="6604" w:type="dxa"/>
            <w:gridSpan w:val="4"/>
            <w:tcBorders>
              <w:top w:val="single" w:color="000000" w:sz="4" w:space="0"/>
              <w:left w:val="single" w:color="000000" w:sz="4" w:space="0"/>
              <w:bottom w:val="single" w:color="000000" w:sz="4" w:space="0"/>
              <w:right w:val="single" w:color="000000" w:sz="4" w:space="0"/>
            </w:tcBorders>
            <w:noWrap w:val="0"/>
            <w:vAlign w:val="top"/>
          </w:tcPr>
          <w:p w14:paraId="13A18134">
            <w:pPr>
              <w:rPr>
                <w:rFonts w:hint="eastAsia" w:ascii="宋体" w:hAnsi="宋体" w:cs="宋体"/>
                <w:color w:val="auto"/>
                <w:highlight w:val="none"/>
              </w:rPr>
            </w:pPr>
          </w:p>
        </w:tc>
      </w:tr>
      <w:tr w14:paraId="577A86E0">
        <w:tblPrEx>
          <w:tblCellMar>
            <w:top w:w="0" w:type="dxa"/>
            <w:left w:w="0" w:type="dxa"/>
            <w:bottom w:w="0" w:type="dxa"/>
            <w:right w:w="0" w:type="dxa"/>
          </w:tblCellMar>
        </w:tblPrEx>
        <w:trPr>
          <w:trHeight w:val="533" w:hRule="exact"/>
        </w:trPr>
        <w:tc>
          <w:tcPr>
            <w:tcW w:w="2715" w:type="dxa"/>
            <w:tcBorders>
              <w:top w:val="single" w:color="000000" w:sz="4" w:space="0"/>
              <w:left w:val="single" w:color="000000" w:sz="4" w:space="0"/>
              <w:bottom w:val="single" w:color="000000" w:sz="4" w:space="0"/>
              <w:right w:val="single" w:color="000000" w:sz="4" w:space="0"/>
            </w:tcBorders>
            <w:noWrap w:val="0"/>
            <w:vAlign w:val="center"/>
          </w:tcPr>
          <w:p w14:paraId="0EAB53EF">
            <w:pPr>
              <w:ind w:left="0" w:leftChars="0"/>
              <w:jc w:val="center"/>
              <w:rPr>
                <w:rFonts w:hint="eastAsia" w:ascii="宋体" w:hAnsi="宋体" w:cs="宋体"/>
                <w:color w:val="auto"/>
                <w:highlight w:val="none"/>
              </w:rPr>
            </w:pPr>
            <w:r>
              <w:rPr>
                <w:rFonts w:hint="eastAsia" w:ascii="宋体" w:hAnsi="宋体" w:cs="宋体"/>
                <w:color w:val="auto"/>
                <w:highlight w:val="none"/>
              </w:rPr>
              <w:t>近三年营业额</w:t>
            </w:r>
          </w:p>
        </w:tc>
        <w:tc>
          <w:tcPr>
            <w:tcW w:w="6604" w:type="dxa"/>
            <w:gridSpan w:val="4"/>
            <w:tcBorders>
              <w:top w:val="single" w:color="000000" w:sz="4" w:space="0"/>
              <w:left w:val="single" w:color="000000" w:sz="4" w:space="0"/>
              <w:bottom w:val="single" w:color="000000" w:sz="4" w:space="0"/>
              <w:right w:val="single" w:color="000000" w:sz="4" w:space="0"/>
            </w:tcBorders>
            <w:noWrap w:val="0"/>
            <w:vAlign w:val="top"/>
          </w:tcPr>
          <w:p w14:paraId="7D23F4A7">
            <w:pPr>
              <w:rPr>
                <w:rFonts w:hint="eastAsia" w:ascii="宋体" w:hAnsi="宋体" w:cs="宋体"/>
                <w:color w:val="auto"/>
                <w:highlight w:val="none"/>
              </w:rPr>
            </w:pPr>
          </w:p>
        </w:tc>
      </w:tr>
      <w:tr w14:paraId="2F9F5FFD">
        <w:tblPrEx>
          <w:tblCellMar>
            <w:top w:w="0" w:type="dxa"/>
            <w:left w:w="0" w:type="dxa"/>
            <w:bottom w:w="0" w:type="dxa"/>
            <w:right w:w="0" w:type="dxa"/>
          </w:tblCellMar>
        </w:tblPrEx>
        <w:trPr>
          <w:trHeight w:val="2555" w:hRule="exact"/>
        </w:trPr>
        <w:tc>
          <w:tcPr>
            <w:tcW w:w="2715" w:type="dxa"/>
            <w:tcBorders>
              <w:top w:val="single" w:color="000000" w:sz="4" w:space="0"/>
              <w:left w:val="single" w:color="000000" w:sz="4" w:space="0"/>
              <w:bottom w:val="single" w:color="000000" w:sz="4" w:space="0"/>
              <w:right w:val="single" w:color="000000" w:sz="4" w:space="0"/>
            </w:tcBorders>
            <w:noWrap w:val="0"/>
            <w:vAlign w:val="center"/>
          </w:tcPr>
          <w:p w14:paraId="4203734E">
            <w:pPr>
              <w:ind w:left="0" w:leftChars="0"/>
              <w:jc w:val="center"/>
              <w:rPr>
                <w:rFonts w:hint="eastAsia"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关联企业情况（包括但不限于与</w:t>
            </w:r>
            <w:r>
              <w:rPr>
                <w:rFonts w:hint="eastAsia" w:ascii="宋体" w:hAnsi="宋体" w:cs="宋体"/>
                <w:color w:val="auto"/>
                <w:highlight w:val="none"/>
                <w:lang w:eastAsia="zh-CN"/>
              </w:rPr>
              <w:t>供应商</w:t>
            </w:r>
            <w:r>
              <w:rPr>
                <w:rFonts w:hint="eastAsia" w:ascii="宋体" w:hAnsi="宋体" w:cs="宋体"/>
                <w:color w:val="auto"/>
                <w:highlight w:val="none"/>
              </w:rPr>
              <w:t>法定代表人（单位负责人）为同一人或者存在控股、管理关系的不同单位）</w:t>
            </w:r>
          </w:p>
        </w:tc>
        <w:tc>
          <w:tcPr>
            <w:tcW w:w="6604" w:type="dxa"/>
            <w:gridSpan w:val="4"/>
            <w:tcBorders>
              <w:top w:val="single" w:color="000000" w:sz="4" w:space="0"/>
              <w:left w:val="single" w:color="000000" w:sz="4" w:space="0"/>
              <w:bottom w:val="single" w:color="000000" w:sz="4" w:space="0"/>
              <w:right w:val="single" w:color="000000" w:sz="4" w:space="0"/>
            </w:tcBorders>
            <w:noWrap w:val="0"/>
            <w:vAlign w:val="top"/>
          </w:tcPr>
          <w:p w14:paraId="78875D70">
            <w:pPr>
              <w:rPr>
                <w:rFonts w:ascii="宋体" w:hAnsi="宋体" w:cs="宋体"/>
                <w:color w:val="auto"/>
                <w:highlight w:val="none"/>
              </w:rPr>
            </w:pPr>
          </w:p>
        </w:tc>
      </w:tr>
      <w:tr w14:paraId="6F47D7D1">
        <w:tblPrEx>
          <w:tblCellMar>
            <w:top w:w="0" w:type="dxa"/>
            <w:left w:w="0" w:type="dxa"/>
            <w:bottom w:w="0" w:type="dxa"/>
            <w:right w:w="0" w:type="dxa"/>
          </w:tblCellMar>
        </w:tblPrEx>
        <w:trPr>
          <w:trHeight w:val="543" w:hRule="exact"/>
        </w:trPr>
        <w:tc>
          <w:tcPr>
            <w:tcW w:w="2715" w:type="dxa"/>
            <w:tcBorders>
              <w:top w:val="single" w:color="000000" w:sz="4" w:space="0"/>
              <w:left w:val="single" w:color="000000" w:sz="4" w:space="0"/>
              <w:bottom w:val="single" w:color="000000" w:sz="4" w:space="0"/>
              <w:right w:val="single" w:color="000000" w:sz="4" w:space="0"/>
            </w:tcBorders>
            <w:noWrap w:val="0"/>
            <w:vAlign w:val="center"/>
          </w:tcPr>
          <w:p w14:paraId="6E08BA27">
            <w:pPr>
              <w:ind w:left="0" w:leftChars="0"/>
              <w:jc w:val="center"/>
              <w:rPr>
                <w:rFonts w:hint="eastAsia" w:ascii="宋体" w:hAnsi="宋体" w:cs="宋体"/>
                <w:color w:val="auto"/>
                <w:highlight w:val="none"/>
              </w:rPr>
            </w:pPr>
            <w:r>
              <w:rPr>
                <w:rFonts w:hint="eastAsia" w:ascii="宋体" w:hAnsi="宋体" w:cs="宋体"/>
                <w:color w:val="auto"/>
                <w:highlight w:val="none"/>
              </w:rPr>
              <w:t>备注</w:t>
            </w:r>
          </w:p>
        </w:tc>
        <w:tc>
          <w:tcPr>
            <w:tcW w:w="6604" w:type="dxa"/>
            <w:gridSpan w:val="4"/>
            <w:tcBorders>
              <w:top w:val="single" w:color="000000" w:sz="4" w:space="0"/>
              <w:left w:val="single" w:color="000000" w:sz="4" w:space="0"/>
              <w:bottom w:val="single" w:color="000000" w:sz="4" w:space="0"/>
              <w:right w:val="single" w:color="000000" w:sz="4" w:space="0"/>
            </w:tcBorders>
            <w:noWrap w:val="0"/>
            <w:vAlign w:val="top"/>
          </w:tcPr>
          <w:p w14:paraId="31154B89">
            <w:pPr>
              <w:rPr>
                <w:rFonts w:hint="eastAsia" w:ascii="宋体" w:hAnsi="宋体" w:cs="宋体"/>
                <w:color w:val="auto"/>
                <w:highlight w:val="none"/>
              </w:rPr>
            </w:pPr>
          </w:p>
        </w:tc>
      </w:tr>
    </w:tbl>
    <w:p w14:paraId="67EE75AA">
      <w:pPr>
        <w:pStyle w:val="47"/>
        <w:spacing w:line="360" w:lineRule="auto"/>
        <w:ind w:left="0" w:leftChars="0"/>
        <w:rPr>
          <w:rFonts w:hint="eastAsia" w:ascii="宋体" w:hAnsi="宋体" w:cs="宋体"/>
          <w:color w:val="auto"/>
          <w:kern w:val="0"/>
          <w:szCs w:val="24"/>
          <w:highlight w:val="none"/>
        </w:rPr>
      </w:pPr>
      <w:r>
        <w:rPr>
          <w:rFonts w:hint="eastAsia" w:ascii="宋体" w:hAnsi="宋体" w:cs="宋体"/>
          <w:color w:val="auto"/>
          <w:kern w:val="0"/>
          <w:position w:val="-1"/>
          <w:sz w:val="28"/>
          <w:szCs w:val="28"/>
          <w:highlight w:val="none"/>
        </w:rPr>
        <w:br w:type="page"/>
      </w:r>
      <w:r>
        <w:rPr>
          <w:rFonts w:hint="eastAsia" w:ascii="宋体" w:hAnsi="宋体" w:eastAsia="宋体" w:cs="宋体"/>
          <w:b/>
          <w:bCs/>
          <w:color w:val="auto"/>
          <w:sz w:val="28"/>
          <w:szCs w:val="28"/>
          <w:highlight w:val="none"/>
        </w:rPr>
        <w:t>（二）资格审查证明材料（包括但不限于）</w:t>
      </w:r>
    </w:p>
    <w:p w14:paraId="3DC097B0">
      <w:pPr>
        <w:spacing w:before="120" w:beforeLines="50" w:after="120" w:afterLines="50" w:line="360" w:lineRule="auto"/>
        <w:ind w:left="0" w:leftChars="0" w:firstLine="480" w:firstLineChars="200"/>
        <w:outlineLvl w:val="9"/>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eastAsia="zh-CN"/>
        </w:rPr>
        <w:t>、</w:t>
      </w:r>
      <w:r>
        <w:rPr>
          <w:rFonts w:hint="eastAsia" w:ascii="宋体" w:hAnsi="宋体" w:cs="宋体"/>
          <w:color w:val="auto"/>
          <w:szCs w:val="24"/>
          <w:highlight w:val="none"/>
        </w:rPr>
        <w:t>一般资格要求：</w:t>
      </w:r>
    </w:p>
    <w:p w14:paraId="6F87383C">
      <w:pPr>
        <w:pStyle w:val="65"/>
        <w:numPr>
          <w:ilvl w:val="0"/>
          <w:numId w:val="0"/>
        </w:num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（1）具有独立承担民事责任的能力：提供法人或其他组织的营业执照等证明文件，或自然人身份证明（复印件加盖单位公章）。</w:t>
      </w:r>
    </w:p>
    <w:p w14:paraId="58E7CA73">
      <w:pPr>
        <w:kinsoku w:val="0"/>
        <w:wordWrap w:val="0"/>
        <w:spacing w:line="360" w:lineRule="auto"/>
        <w:ind w:left="0" w:leftChars="0" w:firstLine="480" w:firstLineChars="200"/>
        <w:jc w:val="left"/>
        <w:rPr>
          <w:rFonts w:hint="eastAsia" w:ascii="宋体" w:hAnsi="宋体" w:eastAsia="宋体" w:cs="宋体"/>
          <w:color w:val="auto"/>
          <w:kern w:val="0"/>
          <w:szCs w:val="24"/>
          <w:highlight w:val="none"/>
          <w:u w:val="none"/>
          <w:lang w:eastAsia="zh-CN"/>
        </w:rPr>
      </w:pPr>
      <w:r>
        <w:rPr>
          <w:rFonts w:hint="eastAsia" w:ascii="宋体" w:hAnsi="宋体" w:eastAsia="宋体" w:cs="宋体"/>
          <w:color w:val="auto"/>
          <w:kern w:val="0"/>
          <w:sz w:val="24"/>
          <w:szCs w:val="24"/>
          <w:lang w:val="en-US" w:eastAsia="zh-CN" w:bidi="ar-SA"/>
        </w:rPr>
        <w:t>（2）</w:t>
      </w:r>
      <w:r>
        <w:rPr>
          <w:rFonts w:hint="eastAsia" w:ascii="宋体" w:hAnsi="宋体" w:cs="宋体"/>
          <w:color w:val="auto"/>
          <w:kern w:val="0"/>
          <w:szCs w:val="24"/>
          <w:highlight w:val="none"/>
          <w:u w:val="none"/>
        </w:rPr>
        <w:t>具有良好的商业信誉和健全的财务会计制度：</w:t>
      </w:r>
      <w:r>
        <w:rPr>
          <w:rFonts w:hint="eastAsia" w:ascii="宋体" w:hAnsi="宋体" w:cs="宋体"/>
          <w:color w:val="auto"/>
          <w:kern w:val="0"/>
          <w:szCs w:val="24"/>
          <w:highlight w:val="none"/>
          <w:u w:val="none"/>
          <w:lang w:val="en-US" w:eastAsia="zh-CN"/>
        </w:rPr>
        <w:t>供应商是法人的，提供经合法审计机构出具的2023年或2024年度财务审计报告（含三表一附注）；新成立不满一年的公司，提供基本开户银行出具的有效资信证明</w:t>
      </w:r>
      <w:r>
        <w:rPr>
          <w:rFonts w:hint="eastAsia" w:ascii="宋体" w:hAnsi="宋体" w:cs="宋体"/>
          <w:color w:val="auto"/>
          <w:kern w:val="0"/>
          <w:szCs w:val="24"/>
          <w:highlight w:val="none"/>
          <w:u w:val="none"/>
        </w:rPr>
        <w:t>。部分其他组织和自然人，没有经审计的财务报告，可以提供银行出具的资信证明</w:t>
      </w:r>
      <w:r>
        <w:rPr>
          <w:rFonts w:hint="eastAsia" w:ascii="宋体" w:hAnsi="宋体" w:cs="宋体"/>
          <w:color w:val="auto"/>
          <w:kern w:val="0"/>
          <w:szCs w:val="24"/>
          <w:highlight w:val="none"/>
          <w:u w:val="none"/>
          <w:lang w:eastAsia="zh-CN"/>
        </w:rPr>
        <w:t>。</w:t>
      </w:r>
      <w:r>
        <w:rPr>
          <w:rFonts w:hint="eastAsia" w:ascii="宋体" w:hAnsi="宋体" w:cs="宋体"/>
          <w:color w:val="auto"/>
          <w:kern w:val="0"/>
          <w:szCs w:val="24"/>
          <w:highlight w:val="none"/>
          <w:u w:val="none"/>
        </w:rPr>
        <w:t>（复印件加盖单位公章）</w:t>
      </w:r>
      <w:r>
        <w:rPr>
          <w:rFonts w:hint="eastAsia" w:ascii="宋体" w:hAnsi="宋体" w:cs="宋体"/>
          <w:color w:val="auto"/>
          <w:kern w:val="0"/>
          <w:szCs w:val="24"/>
          <w:highlight w:val="none"/>
          <w:u w:val="none"/>
          <w:lang w:eastAsia="zh-CN"/>
        </w:rPr>
        <w:t>。</w:t>
      </w:r>
    </w:p>
    <w:p w14:paraId="18A53F10">
      <w:pPr>
        <w:pStyle w:val="65"/>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（3）具有依法缴纳税收和社会保障资金的良好记录：提供2025年任意一个月依法缴纳税收和2025年任意一个月依法缴纳社保的证明文件。依法免税的，提供免税证明或相关证明材料。（复印件加盖单位公章）。</w:t>
      </w:r>
    </w:p>
    <w:p w14:paraId="04710E9A">
      <w:pPr>
        <w:kinsoku w:val="0"/>
        <w:wordWrap w:val="0"/>
        <w:spacing w:after="120" w:afterLines="50" w:line="360" w:lineRule="auto"/>
        <w:ind w:left="0" w:leftChars="0" w:firstLine="480" w:firstLineChars="200"/>
        <w:jc w:val="left"/>
        <w:rPr>
          <w:rFonts w:hint="eastAsia" w:ascii="宋体" w:hAnsi="宋体" w:cs="宋体"/>
          <w:b/>
          <w:bCs/>
          <w:color w:val="auto"/>
          <w:szCs w:val="24"/>
          <w:highlight w:val="none"/>
        </w:rPr>
      </w:pPr>
      <w:r>
        <w:rPr>
          <w:rFonts w:hint="eastAsia" w:ascii="宋体" w:hAnsi="宋体" w:cs="宋体"/>
          <w:color w:val="auto"/>
          <w:szCs w:val="24"/>
          <w:highlight w:val="none"/>
          <w:lang w:val="en-US" w:eastAsia="zh-CN"/>
        </w:rPr>
        <w:t>2、提供保证金已交纳的依据。</w:t>
      </w:r>
    </w:p>
    <w:p w14:paraId="614D6CEA">
      <w:pPr>
        <w:spacing w:before="120" w:beforeLines="50" w:after="120" w:afterLines="50" w:line="360" w:lineRule="auto"/>
        <w:ind w:left="0" w:leftChars="0" w:firstLine="480" w:firstLineChars="200"/>
        <w:outlineLvl w:val="9"/>
        <w:rPr>
          <w:rFonts w:hint="eastAsia"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提供的其他资料。</w:t>
      </w:r>
    </w:p>
    <w:p w14:paraId="79848088">
      <w:pPr>
        <w:kinsoku w:val="0"/>
        <w:wordWrap w:val="0"/>
        <w:spacing w:line="360" w:lineRule="auto"/>
        <w:ind w:firstLine="240" w:firstLineChars="100"/>
        <w:jc w:val="left"/>
        <w:rPr>
          <w:rFonts w:hint="eastAsia" w:ascii="宋体" w:hAnsi="宋体" w:cs="宋体"/>
          <w:color w:val="auto"/>
          <w:kern w:val="0"/>
          <w:szCs w:val="24"/>
          <w:highlight w:val="none"/>
        </w:rPr>
      </w:pPr>
    </w:p>
    <w:p w14:paraId="2B8AB89F">
      <w:pPr>
        <w:kinsoku w:val="0"/>
        <w:wordWrap w:val="0"/>
        <w:spacing w:line="360" w:lineRule="auto"/>
        <w:ind w:firstLine="240" w:firstLineChars="100"/>
        <w:jc w:val="left"/>
        <w:rPr>
          <w:rFonts w:hint="eastAsia" w:ascii="宋体" w:hAnsi="宋体" w:cs="宋体"/>
          <w:color w:val="auto"/>
          <w:kern w:val="0"/>
          <w:szCs w:val="24"/>
          <w:highlight w:val="none"/>
        </w:rPr>
      </w:pPr>
    </w:p>
    <w:p w14:paraId="153AC6DE">
      <w:pPr>
        <w:kinsoku w:val="0"/>
        <w:wordWrap w:val="0"/>
        <w:spacing w:line="360" w:lineRule="auto"/>
        <w:ind w:firstLine="240" w:firstLineChars="100"/>
        <w:jc w:val="left"/>
        <w:rPr>
          <w:rFonts w:hint="eastAsia" w:ascii="宋体" w:hAnsi="宋体" w:cs="宋体"/>
          <w:color w:val="auto"/>
          <w:kern w:val="0"/>
          <w:szCs w:val="24"/>
          <w:highlight w:val="none"/>
        </w:rPr>
      </w:pPr>
    </w:p>
    <w:p w14:paraId="1A47B924">
      <w:pPr>
        <w:numPr>
          <w:ilvl w:val="0"/>
          <w:numId w:val="0"/>
        </w:numPr>
        <w:ind w:left="0" w:leftChars="0"/>
        <w:jc w:val="left"/>
        <w:outlineLvl w:val="9"/>
        <w:rPr>
          <w:rFonts w:hint="eastAsia" w:ascii="宋体" w:hAnsi="宋体" w:eastAsia="宋体" w:cs="宋体"/>
          <w:sz w:val="24"/>
          <w:szCs w:val="22"/>
          <w:u w:val="none"/>
          <w:lang w:val="en-US" w:eastAsia="zh-CN"/>
        </w:rPr>
      </w:pPr>
      <w:bookmarkStart w:id="293" w:name="_Toc19163"/>
      <w:r>
        <w:rPr>
          <w:rFonts w:hint="eastAsia"/>
          <w:b/>
          <w:bCs/>
          <w:color w:val="auto"/>
          <w:szCs w:val="32"/>
          <w:highlight w:val="none"/>
        </w:rPr>
        <w:br w:type="page"/>
      </w:r>
      <w:bookmarkStart w:id="294" w:name="_Toc2624"/>
      <w:bookmarkStart w:id="295" w:name="_Toc21785"/>
      <w:r>
        <w:rPr>
          <w:rFonts w:hint="eastAsia" w:ascii="宋体" w:hAnsi="宋体" w:eastAsia="宋体" w:cs="宋体"/>
          <w:b w:val="0"/>
          <w:bCs w:val="0"/>
          <w:color w:val="auto"/>
          <w:szCs w:val="32"/>
          <w:highlight w:val="none"/>
          <w:lang w:val="en-US" w:eastAsia="zh-CN"/>
        </w:rPr>
        <w:t>4、</w:t>
      </w:r>
      <w:r>
        <w:rPr>
          <w:rFonts w:hint="eastAsia" w:ascii="宋体" w:hAnsi="宋体" w:eastAsia="宋体" w:cs="宋体"/>
          <w:sz w:val="24"/>
          <w:szCs w:val="22"/>
          <w:u w:val="none"/>
        </w:rPr>
        <w:t>具有履行合同所必需的设备和专业技术能力</w:t>
      </w:r>
      <w:r>
        <w:rPr>
          <w:rFonts w:hint="eastAsia" w:ascii="宋体" w:hAnsi="宋体" w:eastAsia="宋体" w:cs="宋体"/>
          <w:sz w:val="24"/>
          <w:szCs w:val="22"/>
          <w:u w:val="none"/>
          <w:lang w:val="en-US" w:eastAsia="zh-CN"/>
        </w:rPr>
        <w:t>的承诺函</w:t>
      </w:r>
    </w:p>
    <w:p w14:paraId="5B048033">
      <w:pPr>
        <w:numPr>
          <w:ilvl w:val="0"/>
          <w:numId w:val="0"/>
        </w:numPr>
        <w:ind w:left="0" w:leftChars="0"/>
        <w:jc w:val="left"/>
        <w:outlineLvl w:val="9"/>
        <w:rPr>
          <w:rFonts w:hint="default" w:ascii="宋体" w:hAnsi="宋体" w:eastAsia="宋体" w:cs="宋体"/>
          <w:sz w:val="24"/>
          <w:szCs w:val="22"/>
          <w:u w:val="none"/>
          <w:lang w:val="en-US" w:eastAsia="zh-CN"/>
        </w:rPr>
      </w:pPr>
    </w:p>
    <w:p w14:paraId="584DFCDB">
      <w:pPr>
        <w:numPr>
          <w:ilvl w:val="0"/>
          <w:numId w:val="0"/>
        </w:numPr>
        <w:ind w:left="0" w:leftChars="0"/>
        <w:jc w:val="left"/>
        <w:outlineLvl w:val="9"/>
        <w:rPr>
          <w:rFonts w:hint="default" w:ascii="宋体" w:hAnsi="宋体" w:eastAsia="宋体" w:cs="宋体"/>
          <w:sz w:val="24"/>
          <w:szCs w:val="22"/>
          <w:u w:val="none"/>
          <w:lang w:val="en-US" w:eastAsia="zh-CN"/>
        </w:rPr>
      </w:pPr>
    </w:p>
    <w:p w14:paraId="293E3EBB">
      <w:pPr>
        <w:pStyle w:val="13"/>
        <w:spacing w:before="62" w:line="585" w:lineRule="auto"/>
        <w:ind w:left="1080" w:right="4225"/>
      </w:pPr>
      <w:r>
        <w:t>致：</w:t>
      </w:r>
      <w:r>
        <w:rPr>
          <w:u w:val="single"/>
        </w:rPr>
        <w:t xml:space="preserve"> （采购人）</w:t>
      </w:r>
    </w:p>
    <w:p w14:paraId="067D5916">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pPr>
      <w:r>
        <w:rPr>
          <w:rFonts w:ascii="Times New Roman" w:eastAsia="Times New Roman"/>
          <w:u w:val="single"/>
        </w:rPr>
        <w:t xml:space="preserve">    </w:t>
      </w:r>
      <w:r>
        <w:rPr>
          <w:u w:val="single"/>
        </w:rPr>
        <w:t>（供应商全称）</w:t>
      </w:r>
      <w:r>
        <w:rPr>
          <w:spacing w:val="-12"/>
        </w:rPr>
        <w:t xml:space="preserve"> ，参加贵单位组织的</w:t>
      </w:r>
      <w:r>
        <w:rPr>
          <w:rFonts w:hint="eastAsia"/>
          <w:spacing w:val="-2"/>
          <w:u w:val="single"/>
          <w:lang w:val="en-US" w:eastAsia="zh-CN"/>
        </w:rPr>
        <w:t xml:space="preserve">                 </w:t>
      </w:r>
      <w:r>
        <w:rPr>
          <w:u w:val="single"/>
        </w:rPr>
        <w:t>（</w:t>
      </w:r>
      <w:r>
        <w:rPr>
          <w:spacing w:val="3"/>
          <w:u w:val="single"/>
        </w:rPr>
        <w:t xml:space="preserve"> </w:t>
      </w:r>
      <w:r>
        <w:rPr>
          <w:rFonts w:hint="eastAsia"/>
          <w:spacing w:val="3"/>
          <w:u w:val="single"/>
          <w:lang w:val="en-US" w:eastAsia="zh-CN"/>
        </w:rPr>
        <w:t>项目名称</w:t>
      </w:r>
      <w:r>
        <w:rPr>
          <w:u w:val="single"/>
        </w:rPr>
        <w:t>）</w:t>
      </w:r>
      <w:r>
        <w:t>的政府采购活动，在此郑重承诺：我单位具有履行本项目</w:t>
      </w:r>
      <w:r>
        <w:rPr>
          <w:spacing w:val="-5"/>
        </w:rPr>
        <w:t>合同所必需的设备和专业技术能力。如承诺不实，可取消我单位中标资格，同时我单位承担由此给采购人造成的一切不良后果和经济损失。</w:t>
      </w:r>
    </w:p>
    <w:p w14:paraId="67D6B9CD">
      <w:pPr>
        <w:pStyle w:val="13"/>
      </w:pPr>
    </w:p>
    <w:p w14:paraId="73578561">
      <w:pPr>
        <w:pStyle w:val="13"/>
      </w:pPr>
    </w:p>
    <w:p w14:paraId="02646259">
      <w:pPr>
        <w:pStyle w:val="13"/>
        <w:spacing w:before="1"/>
        <w:jc w:val="right"/>
        <w:rPr>
          <w:sz w:val="32"/>
        </w:rPr>
      </w:pPr>
    </w:p>
    <w:p w14:paraId="2101B4E6">
      <w:pPr>
        <w:pStyle w:val="13"/>
        <w:tabs>
          <w:tab w:val="left" w:pos="8066"/>
          <w:tab w:val="left" w:pos="8666"/>
          <w:tab w:val="left" w:pos="9146"/>
        </w:tabs>
        <w:spacing w:before="1" w:line="585" w:lineRule="auto"/>
        <w:ind w:left="7106" w:right="1797" w:firstLine="360"/>
        <w:jc w:val="right"/>
        <w:rPr>
          <w:spacing w:val="-17"/>
        </w:rPr>
      </w:pPr>
      <w:r>
        <w:rPr>
          <w:rFonts w:hint="eastAsia"/>
          <w:lang w:val="en-US" w:eastAsia="zh-CN"/>
        </w:rPr>
        <w:t xml:space="preserve"> </w:t>
      </w:r>
      <w:r>
        <w:t>供应商</w:t>
      </w:r>
      <w:r>
        <w:rPr>
          <w:rFonts w:hint="eastAsia" w:eastAsia="宋体" w:cs="Times New Roman"/>
          <w:color w:val="auto"/>
          <w:highlight w:val="none"/>
          <w:lang w:val="en-US" w:eastAsia="zh-CN"/>
        </w:rPr>
        <w:t>名称</w:t>
      </w:r>
      <w:r>
        <w:rPr>
          <w:rFonts w:eastAsia="宋体" w:cs="Times New Roman"/>
          <w:color w:val="auto"/>
          <w:spacing w:val="-3"/>
          <w:highlight w:val="none"/>
        </w:rPr>
        <w:t>：</w:t>
      </w:r>
      <w:r>
        <w:rPr>
          <w:rFonts w:eastAsia="宋体" w:cs="Times New Roman"/>
          <w:color w:val="auto"/>
          <w:highlight w:val="none"/>
        </w:rPr>
        <w:t>（</w:t>
      </w:r>
      <w:r>
        <w:rPr>
          <w:rFonts w:hint="eastAsia" w:eastAsia="宋体" w:cs="Times New Roman"/>
          <w:color w:val="auto"/>
          <w:highlight w:val="none"/>
        </w:rPr>
        <w:t>盖单位章</w:t>
      </w:r>
      <w:r>
        <w:rPr>
          <w:rFonts w:eastAsia="宋体" w:cs="Times New Roman"/>
          <w:color w:val="auto"/>
          <w:highlight w:val="none"/>
        </w:rPr>
        <w:t>）</w:t>
      </w:r>
    </w:p>
    <w:p w14:paraId="4EA9F41D">
      <w:pPr>
        <w:pStyle w:val="13"/>
        <w:tabs>
          <w:tab w:val="left" w:pos="8066"/>
          <w:tab w:val="left" w:pos="8666"/>
          <w:tab w:val="left" w:pos="9146"/>
        </w:tabs>
        <w:spacing w:before="1" w:line="585" w:lineRule="auto"/>
        <w:ind w:left="7106" w:right="1797" w:firstLine="360"/>
        <w:jc w:val="right"/>
      </w:pPr>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rPr>
          <w:spacing w:val="-17"/>
        </w:rPr>
        <w:t>日</w:t>
      </w:r>
    </w:p>
    <w:p w14:paraId="6632812E">
      <w:pPr>
        <w:numPr>
          <w:ilvl w:val="0"/>
          <w:numId w:val="0"/>
        </w:numPr>
        <w:ind w:left="0" w:leftChars="0"/>
        <w:jc w:val="left"/>
        <w:outlineLvl w:val="9"/>
        <w:rPr>
          <w:rFonts w:hint="default" w:ascii="宋体" w:hAnsi="宋体" w:eastAsia="宋体" w:cs="宋体"/>
          <w:sz w:val="24"/>
          <w:szCs w:val="22"/>
          <w:u w:val="none"/>
          <w:lang w:val="en-US" w:eastAsia="zh-CN"/>
        </w:rPr>
        <w:sectPr>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312" w:charSpace="0"/>
        </w:sectPr>
      </w:pPr>
    </w:p>
    <w:p w14:paraId="1968EA4D">
      <w:pPr>
        <w:numPr>
          <w:ilvl w:val="0"/>
          <w:numId w:val="0"/>
        </w:numPr>
        <w:bidi w:val="0"/>
        <w:rPr>
          <w:rFonts w:hint="eastAsia" w:ascii="宋体" w:hAnsi="宋体" w:eastAsia="宋体" w:cs="宋体"/>
          <w:sz w:val="24"/>
          <w:szCs w:val="22"/>
          <w:u w:val="none"/>
          <w:lang w:val="en-US" w:eastAsia="zh-CN"/>
        </w:rPr>
      </w:pPr>
      <w:r>
        <w:rPr>
          <w:rFonts w:hint="eastAsia" w:ascii="宋体" w:hAnsi="宋体" w:eastAsia="宋体" w:cs="宋体"/>
          <w:kern w:val="2"/>
          <w:sz w:val="24"/>
          <w:szCs w:val="22"/>
          <w:lang w:val="en-US" w:eastAsia="zh-CN" w:bidi="ar-SA"/>
        </w:rPr>
        <w:t>5、</w:t>
      </w:r>
      <w:r>
        <w:rPr>
          <w:rFonts w:hint="eastAsia" w:ascii="宋体" w:hAnsi="宋体" w:eastAsia="宋体" w:cs="宋体"/>
        </w:rPr>
        <w:t>参加政府采购活动前3年内在经营活动中没有重大违法记录的书面声明</w:t>
      </w:r>
    </w:p>
    <w:p w14:paraId="0CE39A7B">
      <w:pPr>
        <w:pStyle w:val="13"/>
        <w:keepNext w:val="0"/>
        <w:keepLines w:val="0"/>
        <w:pageBreakBefore w:val="0"/>
        <w:widowControl w:val="0"/>
        <w:kinsoku/>
        <w:wordWrap/>
        <w:overflowPunct/>
        <w:topLinePunct w:val="0"/>
        <w:autoSpaceDE/>
        <w:autoSpaceDN/>
        <w:bidi w:val="0"/>
        <w:adjustRightInd/>
        <w:snapToGrid/>
        <w:spacing w:before="469" w:beforeLines="150" w:after="0" w:line="586" w:lineRule="auto"/>
        <w:ind w:left="0" w:leftChars="0" w:right="0"/>
        <w:textAlignment w:val="auto"/>
      </w:pPr>
      <w:r>
        <w:t>致：</w:t>
      </w:r>
      <w:r>
        <w:rPr>
          <w:u w:val="single"/>
        </w:rPr>
        <w:t xml:space="preserve"> （采购人）</w:t>
      </w:r>
    </w:p>
    <w:p w14:paraId="6D6E44DA">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rPr>
          <w:rFonts w:hint="eastAsia" w:ascii="宋体" w:hAnsi="宋体" w:eastAsia="宋体" w:cs="宋体"/>
          <w:sz w:val="24"/>
          <w:szCs w:val="22"/>
          <w:u w:val="none"/>
          <w:lang w:val="en-US" w:eastAsia="zh-CN"/>
        </w:rPr>
      </w:pPr>
      <w:r>
        <w:rPr>
          <w:rFonts w:ascii="Times New Roman" w:eastAsia="Times New Roman"/>
          <w:u w:val="single"/>
        </w:rPr>
        <w:t xml:space="preserve">  </w:t>
      </w:r>
      <w:r>
        <w:rPr>
          <w:u w:val="single"/>
        </w:rPr>
        <w:t xml:space="preserve">（供应商全称） </w:t>
      </w:r>
      <w:r>
        <w:t>，参加贵单位组织的</w:t>
      </w:r>
      <w:r>
        <w:rPr>
          <w:spacing w:val="-1"/>
          <w:u w:val="single"/>
        </w:rPr>
        <w:t xml:space="preserve"> </w:t>
      </w:r>
      <w:r>
        <w:rPr>
          <w:u w:val="single"/>
        </w:rPr>
        <w:t>（</w:t>
      </w:r>
      <w:r>
        <w:rPr>
          <w:spacing w:val="3"/>
          <w:u w:val="single"/>
        </w:rPr>
        <w:t xml:space="preserve"> </w:t>
      </w:r>
      <w:r>
        <w:rPr>
          <w:rFonts w:hint="eastAsia"/>
          <w:spacing w:val="3"/>
          <w:u w:val="single"/>
          <w:lang w:val="en-US" w:eastAsia="zh-CN"/>
        </w:rPr>
        <w:t>项目名称</w:t>
      </w:r>
      <w:r>
        <w:rPr>
          <w:u w:val="single"/>
        </w:rPr>
        <w:t>）</w:t>
      </w:r>
      <w:r>
        <w:rPr>
          <w:spacing w:val="-9"/>
        </w:rPr>
        <w:t xml:space="preserve"> 的采购活动，在此郑重声明：我单位在参加本项目采购活动前 </w:t>
      </w:r>
      <w:r>
        <w:t>3 年内在经营活动中没有重大违法记录，未因违法经营受到刑事处罚或者责令停产停业、吊销许可证或者执照、较大数额罚款等行政处罚。</w:t>
      </w:r>
    </w:p>
    <w:p w14:paraId="01A80BB2">
      <w:pPr>
        <w:pStyle w:val="13"/>
        <w:tabs>
          <w:tab w:val="left" w:pos="8066"/>
          <w:tab w:val="left" w:pos="8666"/>
          <w:tab w:val="left" w:pos="9146"/>
        </w:tabs>
        <w:spacing w:before="1" w:line="585" w:lineRule="auto"/>
        <w:ind w:left="7106" w:right="1797" w:firstLine="360"/>
        <w:jc w:val="right"/>
        <w:rPr>
          <w:rFonts w:hint="eastAsia"/>
          <w:lang w:val="en-US" w:eastAsia="zh-CN"/>
        </w:rPr>
      </w:pPr>
    </w:p>
    <w:p w14:paraId="767B1D66">
      <w:pPr>
        <w:pStyle w:val="13"/>
        <w:tabs>
          <w:tab w:val="left" w:pos="8066"/>
          <w:tab w:val="left" w:pos="8666"/>
          <w:tab w:val="left" w:pos="9146"/>
        </w:tabs>
        <w:spacing w:before="1" w:line="585" w:lineRule="auto"/>
        <w:ind w:left="7106" w:right="1797" w:firstLine="360"/>
        <w:jc w:val="right"/>
        <w:rPr>
          <w:rFonts w:hint="eastAsia"/>
          <w:lang w:val="en-US" w:eastAsia="zh-CN"/>
        </w:rPr>
      </w:pPr>
    </w:p>
    <w:p w14:paraId="1D8FD4D6">
      <w:pPr>
        <w:pStyle w:val="13"/>
        <w:tabs>
          <w:tab w:val="left" w:pos="8066"/>
          <w:tab w:val="left" w:pos="8666"/>
          <w:tab w:val="left" w:pos="9146"/>
        </w:tabs>
        <w:spacing w:before="1" w:line="585" w:lineRule="auto"/>
        <w:ind w:left="7106" w:right="1797" w:firstLine="360"/>
        <w:jc w:val="right"/>
        <w:rPr>
          <w:spacing w:val="-17"/>
        </w:rPr>
      </w:pPr>
      <w:r>
        <w:rPr>
          <w:rFonts w:hint="eastAsia"/>
          <w:lang w:val="en-US" w:eastAsia="zh-CN"/>
        </w:rPr>
        <w:t xml:space="preserve"> </w:t>
      </w:r>
      <w:r>
        <w:t>供应商</w:t>
      </w:r>
      <w:r>
        <w:rPr>
          <w:rFonts w:hint="eastAsia" w:eastAsia="宋体" w:cs="Times New Roman"/>
          <w:color w:val="auto"/>
          <w:highlight w:val="none"/>
          <w:lang w:val="en-US" w:eastAsia="zh-CN"/>
        </w:rPr>
        <w:t>名称</w:t>
      </w:r>
      <w:r>
        <w:rPr>
          <w:rFonts w:eastAsia="宋体" w:cs="Times New Roman"/>
          <w:color w:val="auto"/>
          <w:spacing w:val="-3"/>
          <w:highlight w:val="none"/>
        </w:rPr>
        <w:t>：</w:t>
      </w:r>
      <w:r>
        <w:rPr>
          <w:rFonts w:eastAsia="宋体" w:cs="Times New Roman"/>
          <w:color w:val="auto"/>
          <w:highlight w:val="none"/>
        </w:rPr>
        <w:t>（</w:t>
      </w:r>
      <w:r>
        <w:rPr>
          <w:rFonts w:hint="eastAsia" w:eastAsia="宋体" w:cs="Times New Roman"/>
          <w:color w:val="auto"/>
          <w:highlight w:val="none"/>
        </w:rPr>
        <w:t>盖单位章</w:t>
      </w:r>
      <w:r>
        <w:rPr>
          <w:rFonts w:eastAsia="宋体" w:cs="Times New Roman"/>
          <w:color w:val="auto"/>
          <w:highlight w:val="none"/>
        </w:rPr>
        <w:t>）</w:t>
      </w:r>
    </w:p>
    <w:p w14:paraId="40BC07DB">
      <w:pPr>
        <w:pStyle w:val="13"/>
        <w:tabs>
          <w:tab w:val="left" w:pos="8066"/>
          <w:tab w:val="left" w:pos="8666"/>
          <w:tab w:val="left" w:pos="9146"/>
        </w:tabs>
        <w:spacing w:before="1" w:line="585" w:lineRule="auto"/>
        <w:ind w:left="7106" w:right="1797" w:firstLine="360"/>
        <w:jc w:val="right"/>
      </w:pPr>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rPr>
          <w:spacing w:val="-17"/>
        </w:rPr>
        <w:t>日</w:t>
      </w:r>
    </w:p>
    <w:p w14:paraId="1181D8D3">
      <w:pPr>
        <w:widowControl w:val="0"/>
        <w:numPr>
          <w:ilvl w:val="0"/>
          <w:numId w:val="0"/>
        </w:numPr>
        <w:jc w:val="both"/>
        <w:outlineLvl w:val="1"/>
        <w:rPr>
          <w:rFonts w:hint="eastAsia" w:ascii="宋体" w:hAnsi="宋体" w:eastAsia="宋体" w:cs="宋体"/>
          <w:sz w:val="24"/>
          <w:szCs w:val="22"/>
          <w:u w:val="none"/>
          <w:lang w:val="en-US" w:eastAsia="zh-CN"/>
        </w:rPr>
        <w:sectPr>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312" w:charSpace="0"/>
        </w:sectPr>
      </w:pPr>
    </w:p>
    <w:p w14:paraId="5EC71FCE">
      <w:pPr>
        <w:numPr>
          <w:ilvl w:val="0"/>
          <w:numId w:val="0"/>
        </w:numPr>
        <w:bidi w:val="0"/>
        <w:spacing w:line="360" w:lineRule="auto"/>
        <w:rPr>
          <w:rFonts w:hint="eastAsia" w:ascii="宋体" w:hAnsi="宋体" w:eastAsia="宋体" w:cs="宋体"/>
          <w:sz w:val="24"/>
          <w:szCs w:val="22"/>
          <w:u w:val="none"/>
          <w:lang w:val="en-US" w:eastAsia="zh-CN"/>
        </w:rPr>
      </w:pPr>
      <w:r>
        <w:rPr>
          <w:rFonts w:hint="eastAsia" w:ascii="宋体" w:hAnsi="宋体" w:eastAsia="宋体" w:cs="宋体"/>
          <w:kern w:val="2"/>
          <w:sz w:val="24"/>
          <w:szCs w:val="22"/>
          <w:lang w:val="en-US" w:eastAsia="zh-CN" w:bidi="ar-SA"/>
        </w:rPr>
        <w:t>6、供应商须承诺：</w:t>
      </w:r>
      <w:r>
        <w:rPr>
          <w:rFonts w:hint="eastAsia" w:ascii="宋体" w:hAnsi="宋体" w:cs="宋体"/>
          <w:color w:val="auto"/>
          <w:szCs w:val="24"/>
          <w:highlight w:val="none"/>
          <w:u w:val="none"/>
        </w:rPr>
        <w:t>在“信用中国”网站（www.creditchina.gov.cn）未被列入失信被执行人名单、重大税收违法案件当事人名单；在中国政府采购网（www.ccgp.gov.cn）未被列入政府采购严重违法失信行为记录名单中，如被列入失信被执行人、重大税收违法案件当事人名单、政府采购严重违法失信行为记录名单中的供应商取消其投标资格，并承担由此造成的一切法律责任及后果。</w:t>
      </w:r>
    </w:p>
    <w:p w14:paraId="58704D4D">
      <w:pPr>
        <w:bidi w:val="0"/>
        <w:jc w:val="center"/>
        <w:rPr>
          <w:b/>
          <w:bCs/>
          <w:sz w:val="32"/>
          <w:szCs w:val="28"/>
        </w:rPr>
      </w:pPr>
      <w:bookmarkStart w:id="296" w:name="_Toc11066"/>
      <w:r>
        <w:rPr>
          <w:b/>
          <w:bCs/>
          <w:sz w:val="32"/>
          <w:szCs w:val="28"/>
        </w:rPr>
        <w:t>供应商信用记录承诺书</w:t>
      </w:r>
      <w:bookmarkEnd w:id="296"/>
    </w:p>
    <w:p w14:paraId="2E9F6031">
      <w:pPr>
        <w:pStyle w:val="13"/>
        <w:keepNext w:val="0"/>
        <w:keepLines w:val="0"/>
        <w:pageBreakBefore w:val="0"/>
        <w:widowControl w:val="0"/>
        <w:kinsoku/>
        <w:wordWrap/>
        <w:overflowPunct/>
        <w:topLinePunct w:val="0"/>
        <w:autoSpaceDE/>
        <w:autoSpaceDN/>
        <w:bidi w:val="0"/>
        <w:adjustRightInd/>
        <w:snapToGrid/>
        <w:spacing w:before="469" w:beforeLines="150" w:after="0" w:line="586" w:lineRule="auto"/>
        <w:ind w:left="0" w:leftChars="0" w:right="0"/>
        <w:textAlignment w:val="auto"/>
      </w:pPr>
      <w:r>
        <w:t>致：</w:t>
      </w:r>
      <w:r>
        <w:rPr>
          <w:u w:val="single"/>
        </w:rPr>
        <w:t xml:space="preserve"> （采购人）</w:t>
      </w:r>
    </w:p>
    <w:p w14:paraId="3D765B59">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rPr>
          <w:rFonts w:hint="eastAsia" w:ascii="宋体" w:hAnsi="宋体" w:eastAsia="宋体" w:cs="宋体"/>
          <w:sz w:val="24"/>
          <w:szCs w:val="22"/>
          <w:u w:val="none"/>
          <w:lang w:val="en-US" w:eastAsia="zh-CN"/>
        </w:rPr>
      </w:pPr>
      <w:r>
        <w:rPr>
          <w:rFonts w:ascii="Times New Roman" w:eastAsia="Times New Roman"/>
          <w:u w:val="single"/>
        </w:rPr>
        <w:t xml:space="preserve">  </w:t>
      </w:r>
      <w:r>
        <w:rPr>
          <w:u w:val="single"/>
        </w:rPr>
        <w:t xml:space="preserve">（供应商全称） </w:t>
      </w:r>
      <w:r>
        <w:t>，参加贵单位组织的</w:t>
      </w:r>
      <w:r>
        <w:rPr>
          <w:spacing w:val="-1"/>
          <w:u w:val="single"/>
        </w:rPr>
        <w:t xml:space="preserve"> </w:t>
      </w:r>
      <w:r>
        <w:rPr>
          <w:u w:val="single"/>
        </w:rPr>
        <w:t>（</w:t>
      </w:r>
      <w:r>
        <w:rPr>
          <w:spacing w:val="3"/>
          <w:u w:val="single"/>
        </w:rPr>
        <w:t xml:space="preserve"> </w:t>
      </w:r>
      <w:r>
        <w:rPr>
          <w:rFonts w:hint="eastAsia"/>
          <w:spacing w:val="3"/>
          <w:u w:val="single"/>
          <w:lang w:val="en-US" w:eastAsia="zh-CN"/>
        </w:rPr>
        <w:t>项目名称</w:t>
      </w:r>
      <w:r>
        <w:rPr>
          <w:u w:val="single"/>
        </w:rPr>
        <w:t>）</w:t>
      </w:r>
      <w:r>
        <w:rPr>
          <w:spacing w:val="-9"/>
        </w:rPr>
        <w:t xml:space="preserve"> 的采购活动，</w:t>
      </w:r>
      <w:r>
        <w:rPr>
          <w:rFonts w:hint="eastAsia" w:ascii="宋体" w:hAnsi="宋体" w:cs="宋体"/>
          <w:color w:val="auto"/>
          <w:sz w:val="24"/>
          <w:szCs w:val="32"/>
        </w:rPr>
        <w:t>在此郑重承诺：</w:t>
      </w:r>
      <w:r>
        <w:rPr>
          <w:rFonts w:hint="eastAsia" w:ascii="宋体" w:hAnsi="宋体" w:cs="宋体"/>
          <w:color w:val="auto"/>
          <w:sz w:val="24"/>
          <w:szCs w:val="32"/>
          <w:u w:val="single"/>
        </w:rPr>
        <w:t xml:space="preserve"> </w:t>
      </w:r>
      <w:r>
        <w:rPr>
          <w:rFonts w:hint="eastAsia" w:ascii="宋体" w:hAnsi="宋体" w:cs="宋体"/>
          <w:color w:val="auto"/>
          <w:sz w:val="24"/>
          <w:szCs w:val="32"/>
          <w:u w:val="single"/>
          <w:lang w:val="en-US" w:eastAsia="zh-CN"/>
        </w:rPr>
        <w:t xml:space="preserve">  </w:t>
      </w:r>
      <w:r>
        <w:rPr>
          <w:rFonts w:hint="eastAsia" w:ascii="宋体" w:hAnsi="宋体" w:cs="宋体"/>
          <w:color w:val="auto"/>
          <w:sz w:val="24"/>
          <w:szCs w:val="32"/>
          <w:u w:val="single"/>
        </w:rPr>
        <w:t xml:space="preserve">年 </w:t>
      </w:r>
      <w:r>
        <w:rPr>
          <w:rFonts w:hint="eastAsia" w:ascii="宋体" w:hAnsi="宋体" w:cs="宋体"/>
          <w:color w:val="auto"/>
          <w:sz w:val="24"/>
          <w:szCs w:val="32"/>
          <w:u w:val="single"/>
          <w:lang w:val="en-US" w:eastAsia="zh-CN"/>
        </w:rPr>
        <w:t xml:space="preserve"> </w:t>
      </w:r>
      <w:r>
        <w:rPr>
          <w:rFonts w:hint="eastAsia" w:ascii="宋体" w:hAnsi="宋体" w:cs="宋体"/>
          <w:color w:val="auto"/>
          <w:sz w:val="24"/>
          <w:szCs w:val="32"/>
          <w:u w:val="single"/>
        </w:rPr>
        <w:t xml:space="preserve">月 </w:t>
      </w:r>
      <w:r>
        <w:rPr>
          <w:rFonts w:hint="eastAsia" w:ascii="宋体" w:hAnsi="宋体" w:cs="宋体"/>
          <w:color w:val="auto"/>
          <w:sz w:val="24"/>
          <w:szCs w:val="32"/>
          <w:u w:val="single"/>
          <w:lang w:val="en-US" w:eastAsia="zh-CN"/>
        </w:rPr>
        <w:t xml:space="preserve"> </w:t>
      </w:r>
      <w:r>
        <w:rPr>
          <w:rFonts w:hint="eastAsia" w:ascii="宋体" w:hAnsi="宋体" w:cs="宋体"/>
          <w:color w:val="auto"/>
          <w:sz w:val="24"/>
          <w:szCs w:val="32"/>
          <w:u w:val="single"/>
        </w:rPr>
        <w:t>日</w:t>
      </w:r>
      <w:r>
        <w:rPr>
          <w:rFonts w:hint="eastAsia" w:ascii="宋体" w:hAnsi="宋体" w:cs="宋体"/>
          <w:color w:val="auto"/>
          <w:sz w:val="24"/>
          <w:szCs w:val="32"/>
        </w:rPr>
        <w:t>在“信用中国”网站（www.creditchina.gov.cn）查询</w:t>
      </w:r>
      <w:r>
        <w:rPr>
          <w:rFonts w:hint="eastAsia" w:ascii="宋体" w:hAnsi="宋体" w:cs="宋体"/>
          <w:color w:val="auto"/>
          <w:sz w:val="24"/>
          <w:szCs w:val="32"/>
          <w:lang w:eastAsia="zh-CN"/>
        </w:rPr>
        <w:t>，</w:t>
      </w:r>
      <w:r>
        <w:rPr>
          <w:rFonts w:hint="eastAsia" w:ascii="宋体" w:hAnsi="宋体" w:cs="宋体"/>
          <w:color w:val="auto"/>
          <w:sz w:val="24"/>
          <w:szCs w:val="32"/>
          <w:lang w:val="en-US" w:eastAsia="zh-CN"/>
        </w:rPr>
        <w:t>我单位未被列入失信被执行人名单、重大税收违法案件当事人名单</w:t>
      </w:r>
      <w:r>
        <w:rPr>
          <w:rFonts w:hint="eastAsia" w:ascii="宋体" w:hAnsi="宋体" w:cs="宋体"/>
          <w:color w:val="auto"/>
          <w:sz w:val="24"/>
          <w:szCs w:val="32"/>
        </w:rPr>
        <w:t>；在中国政府采购网（www.ccgp.gov.cn）未被列入政府采购严重违法失信行为记录名单。如被列入失信被执行人、重大税收违法案件当事人名单、政府采购严重违法失信行为记录名单中的自愿取消投标资格，并自愿承担由此造成的一切法律责任及后果。</w:t>
      </w:r>
    </w:p>
    <w:p w14:paraId="7A055FDA">
      <w:pPr>
        <w:pStyle w:val="13"/>
        <w:keepNext w:val="0"/>
        <w:keepLines w:val="0"/>
        <w:pageBreakBefore w:val="0"/>
        <w:widowControl w:val="0"/>
        <w:tabs>
          <w:tab w:val="left" w:pos="8066"/>
          <w:tab w:val="left" w:pos="8666"/>
          <w:tab w:val="left" w:pos="9146"/>
        </w:tabs>
        <w:kinsoku/>
        <w:wordWrap/>
        <w:overflowPunct/>
        <w:topLinePunct w:val="0"/>
        <w:autoSpaceDE/>
        <w:autoSpaceDN/>
        <w:bidi w:val="0"/>
        <w:adjustRightInd/>
        <w:snapToGrid/>
        <w:spacing w:before="1561" w:beforeLines="500" w:line="586" w:lineRule="auto"/>
        <w:ind w:left="7106" w:right="1797" w:firstLine="363"/>
        <w:jc w:val="right"/>
        <w:textAlignment w:val="auto"/>
        <w:rPr>
          <w:spacing w:val="-17"/>
        </w:rPr>
      </w:pPr>
      <w:r>
        <w:rPr>
          <w:rFonts w:hint="eastAsia"/>
          <w:lang w:val="en-US" w:eastAsia="zh-CN"/>
        </w:rPr>
        <w:t xml:space="preserve"> </w:t>
      </w:r>
      <w:r>
        <w:t>供应商</w:t>
      </w:r>
      <w:r>
        <w:rPr>
          <w:rFonts w:hint="eastAsia" w:eastAsia="宋体" w:cs="Times New Roman"/>
          <w:color w:val="auto"/>
          <w:highlight w:val="none"/>
          <w:lang w:val="en-US" w:eastAsia="zh-CN"/>
        </w:rPr>
        <w:t>名称</w:t>
      </w:r>
      <w:r>
        <w:rPr>
          <w:rFonts w:eastAsia="宋体" w:cs="Times New Roman"/>
          <w:color w:val="auto"/>
          <w:spacing w:val="-3"/>
          <w:highlight w:val="none"/>
        </w:rPr>
        <w:t>：</w:t>
      </w:r>
      <w:r>
        <w:rPr>
          <w:rFonts w:eastAsia="宋体" w:cs="Times New Roman"/>
          <w:color w:val="auto"/>
          <w:highlight w:val="none"/>
        </w:rPr>
        <w:t>（</w:t>
      </w:r>
      <w:r>
        <w:rPr>
          <w:rFonts w:hint="eastAsia" w:eastAsia="宋体" w:cs="Times New Roman"/>
          <w:color w:val="auto"/>
          <w:highlight w:val="none"/>
        </w:rPr>
        <w:t>盖单位章</w:t>
      </w:r>
      <w:r>
        <w:rPr>
          <w:rFonts w:eastAsia="宋体" w:cs="Times New Roman"/>
          <w:color w:val="auto"/>
          <w:highlight w:val="none"/>
        </w:rPr>
        <w:t>）</w:t>
      </w:r>
    </w:p>
    <w:p w14:paraId="3FEBB57B">
      <w:pPr>
        <w:pStyle w:val="13"/>
        <w:tabs>
          <w:tab w:val="left" w:pos="8066"/>
          <w:tab w:val="left" w:pos="8666"/>
          <w:tab w:val="left" w:pos="9146"/>
        </w:tabs>
        <w:spacing w:before="1" w:line="585" w:lineRule="auto"/>
        <w:ind w:left="7106" w:right="1797" w:firstLine="360"/>
        <w:jc w:val="right"/>
      </w:pPr>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rPr>
          <w:spacing w:val="-17"/>
        </w:rPr>
        <w:t>日</w:t>
      </w:r>
    </w:p>
    <w:p w14:paraId="39C8B407">
      <w:pPr>
        <w:ind w:left="0" w:leftChars="0"/>
        <w:jc w:val="center"/>
        <w:outlineLvl w:val="1"/>
        <w:rPr>
          <w:rFonts w:hint="eastAsia"/>
          <w:b/>
          <w:bCs/>
          <w:color w:val="auto"/>
          <w:sz w:val="36"/>
          <w:szCs w:val="32"/>
          <w:highlight w:val="none"/>
          <w:lang w:val="en-US" w:eastAsia="zh-CN"/>
        </w:rPr>
        <w:sectPr>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312" w:charSpace="0"/>
        </w:sectPr>
      </w:pPr>
    </w:p>
    <w:p w14:paraId="783FF3A2">
      <w:pPr>
        <w:ind w:left="0" w:leftChars="0"/>
        <w:jc w:val="center"/>
        <w:outlineLvl w:val="1"/>
        <w:rPr>
          <w:b/>
          <w:bCs/>
          <w:color w:val="auto"/>
          <w:sz w:val="36"/>
          <w:szCs w:val="32"/>
          <w:highlight w:val="none"/>
        </w:rPr>
      </w:pPr>
      <w:bookmarkStart w:id="297" w:name="_Toc20576"/>
      <w:r>
        <w:rPr>
          <w:rFonts w:hint="eastAsia"/>
          <w:b/>
          <w:bCs/>
          <w:color w:val="auto"/>
          <w:sz w:val="36"/>
          <w:szCs w:val="32"/>
          <w:highlight w:val="none"/>
        </w:rPr>
        <w:t>商务材料</w:t>
      </w:r>
      <w:bookmarkEnd w:id="294"/>
      <w:bookmarkEnd w:id="295"/>
      <w:bookmarkEnd w:id="297"/>
    </w:p>
    <w:p w14:paraId="57B051AC">
      <w:pPr>
        <w:jc w:val="center"/>
        <w:rPr>
          <w:rFonts w:hint="eastAsia"/>
          <w:color w:val="auto"/>
          <w:sz w:val="28"/>
          <w:szCs w:val="24"/>
          <w:highlight w:val="none"/>
        </w:rPr>
      </w:pPr>
    </w:p>
    <w:p w14:paraId="4D374B28">
      <w:pPr>
        <w:rPr>
          <w:rFonts w:hint="eastAsia" w:ascii="宋体" w:hAnsi="宋体" w:cs="宋体"/>
          <w:color w:val="auto"/>
          <w:kern w:val="0"/>
          <w:position w:val="-4"/>
          <w:szCs w:val="28"/>
          <w:highlight w:val="none"/>
        </w:rPr>
      </w:pPr>
      <w:bookmarkStart w:id="298" w:name="_Toc15181"/>
      <w:bookmarkStart w:id="299" w:name="_Toc13708"/>
    </w:p>
    <w:p w14:paraId="7C782825">
      <w:pPr>
        <w:ind w:left="0" w:leftChars="0"/>
        <w:jc w:val="center"/>
        <w:outlineLvl w:val="1"/>
        <w:rPr>
          <w:rFonts w:hint="eastAsia"/>
          <w:color w:val="auto"/>
          <w:highlight w:val="none"/>
        </w:rPr>
      </w:pPr>
      <w:bookmarkStart w:id="300" w:name="_Toc25725"/>
      <w:r>
        <w:rPr>
          <w:rFonts w:hint="eastAsia" w:ascii="宋体" w:hAnsi="宋体" w:cs="宋体"/>
          <w:color w:val="auto"/>
          <w:kern w:val="0"/>
          <w:szCs w:val="24"/>
          <w:highlight w:val="none"/>
        </w:rPr>
        <w:t>根据评分办法商务评分标准提供相关材料，自拟格式。</w:t>
      </w:r>
      <w:r>
        <w:rPr>
          <w:rFonts w:hint="eastAsia"/>
          <w:b/>
          <w:bCs/>
          <w:color w:val="auto"/>
          <w:sz w:val="32"/>
          <w:szCs w:val="28"/>
          <w:highlight w:val="none"/>
        </w:rPr>
        <w:br w:type="page"/>
      </w:r>
      <w:r>
        <w:rPr>
          <w:rStyle w:val="34"/>
          <w:rFonts w:hint="eastAsia"/>
        </w:rPr>
        <w:t>技术材料</w:t>
      </w:r>
      <w:bookmarkEnd w:id="293"/>
      <w:bookmarkEnd w:id="298"/>
      <w:bookmarkEnd w:id="299"/>
      <w:bookmarkEnd w:id="300"/>
    </w:p>
    <w:p w14:paraId="2F25078F">
      <w:pPr>
        <w:jc w:val="center"/>
        <w:rPr>
          <w:rFonts w:hint="eastAsia"/>
          <w:color w:val="auto"/>
          <w:highlight w:val="none"/>
        </w:rPr>
      </w:pPr>
      <w:bookmarkStart w:id="301" w:name="_Toc31006"/>
      <w:bookmarkStart w:id="302" w:name="_Toc17079"/>
    </w:p>
    <w:p w14:paraId="395843EA">
      <w:pPr>
        <w:jc w:val="center"/>
        <w:rPr>
          <w:rFonts w:hint="eastAsia"/>
          <w:color w:val="auto"/>
          <w:highlight w:val="none"/>
        </w:rPr>
      </w:pPr>
    </w:p>
    <w:p w14:paraId="1EA962D5">
      <w:pPr>
        <w:bidi w:val="0"/>
        <w:rPr>
          <w:rFonts w:hint="eastAsia"/>
        </w:rPr>
      </w:pPr>
      <w:r>
        <w:rPr>
          <w:rFonts w:hint="eastAsia"/>
        </w:rPr>
        <w:t>根据评分办法技术评分标准提供相关材料，自拟格式。</w:t>
      </w:r>
      <w:bookmarkEnd w:id="301"/>
      <w:bookmarkEnd w:id="302"/>
    </w:p>
    <w:p w14:paraId="04546B9A">
      <w:pPr>
        <w:rPr>
          <w:rFonts w:hint="eastAsia" w:ascii="宋体" w:hAnsi="宋体" w:cs="宋体"/>
          <w:color w:val="auto"/>
          <w:kern w:val="0"/>
          <w:szCs w:val="24"/>
          <w:highlight w:val="none"/>
        </w:rPr>
      </w:pPr>
      <w:r>
        <w:rPr>
          <w:rFonts w:hint="eastAsia" w:ascii="宋体" w:hAnsi="宋体" w:cs="宋体"/>
          <w:color w:val="auto"/>
          <w:kern w:val="0"/>
          <w:szCs w:val="24"/>
          <w:highlight w:val="none"/>
        </w:rPr>
        <w:br w:type="page"/>
      </w:r>
    </w:p>
    <w:p w14:paraId="0B01EE62">
      <w:pPr>
        <w:pStyle w:val="6"/>
        <w:bidi w:val="0"/>
        <w:ind w:left="0" w:leftChars="0" w:firstLine="0" w:firstLineChars="0"/>
        <w:rPr>
          <w:rFonts w:hint="eastAsia"/>
          <w:b/>
          <w:bCs/>
          <w:color w:val="auto"/>
          <w:sz w:val="36"/>
          <w:szCs w:val="32"/>
          <w:highlight w:val="none"/>
          <w:lang w:eastAsia="zh-CN"/>
        </w:rPr>
      </w:pPr>
      <w:r>
        <w:rPr>
          <w:rFonts w:hint="eastAsia"/>
        </w:rPr>
        <w:t>优惠性政策声明函</w:t>
      </w:r>
    </w:p>
    <w:p w14:paraId="2FF5874F">
      <w:pPr>
        <w:spacing w:before="0" w:beforeAutospacing="0" w:after="0" w:afterAutospacing="0" w:line="240" w:lineRule="auto"/>
        <w:ind w:left="0" w:leftChars="0"/>
        <w:rPr>
          <w:rFonts w:hint="eastAsia" w:ascii="宋体" w:hAnsi="宋体" w:cs="宋体"/>
          <w:kern w:val="0"/>
          <w:sz w:val="24"/>
          <w:szCs w:val="24"/>
        </w:rPr>
      </w:pPr>
      <w:bookmarkStart w:id="303" w:name="_Toc26205"/>
      <w:bookmarkStart w:id="304" w:name="_Toc5356"/>
      <w:r>
        <w:rPr>
          <w:rFonts w:hint="eastAsia" w:ascii="宋体" w:hAnsi="宋体" w:cs="宋体"/>
          <w:kern w:val="0"/>
          <w:sz w:val="24"/>
          <w:szCs w:val="24"/>
        </w:rPr>
        <w:t>1.中小企业声明函</w:t>
      </w:r>
    </w:p>
    <w:p w14:paraId="094E3997">
      <w:pPr>
        <w:widowControl/>
        <w:spacing w:before="0" w:beforeAutospacing="0" w:after="0" w:afterAutospacing="0" w:line="360" w:lineRule="auto"/>
        <w:ind w:left="0" w:leftChars="0" w:firstLine="723" w:firstLineChars="200"/>
        <w:jc w:val="center"/>
        <w:rPr>
          <w:rFonts w:ascii="Times New Roman" w:hAnsi="Times New Roman" w:eastAsia="仿宋_GB2312"/>
          <w:sz w:val="24"/>
          <w:szCs w:val="24"/>
        </w:rPr>
      </w:pPr>
      <w:r>
        <w:rPr>
          <w:rFonts w:hint="eastAsia" w:ascii="宋体" w:hAnsi="宋体" w:cs="宋体"/>
          <w:b/>
          <w:kern w:val="0"/>
          <w:sz w:val="36"/>
          <w:szCs w:val="36"/>
        </w:rPr>
        <w:t>中小企业声明函（货物）</w:t>
      </w:r>
    </w:p>
    <w:p w14:paraId="7DEF4EAC">
      <w:pPr>
        <w:widowControl/>
        <w:spacing w:before="0" w:beforeAutospacing="0" w:after="0" w:afterAutospacing="0"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本公司（联合体）郑重声明，根据《政府采购促进中小企业发展管理办法》（财库﹝2020﹞46号）的规定，本公司（联合体）参加</w:t>
      </w:r>
      <w:r>
        <w:rPr>
          <w:rFonts w:hint="eastAsia" w:ascii="宋体" w:hAnsi="宋体" w:cs="宋体"/>
          <w:i/>
          <w:kern w:val="0"/>
          <w:sz w:val="24"/>
          <w:szCs w:val="24"/>
          <w:u w:val="single"/>
        </w:rPr>
        <w:t>（单位名称）</w:t>
      </w:r>
      <w:r>
        <w:rPr>
          <w:rFonts w:hint="eastAsia" w:ascii="宋体" w:hAnsi="宋体" w:cs="宋体"/>
          <w:kern w:val="0"/>
          <w:sz w:val="24"/>
          <w:szCs w:val="24"/>
        </w:rPr>
        <w:t>的</w:t>
      </w:r>
      <w:r>
        <w:rPr>
          <w:rFonts w:hint="eastAsia" w:ascii="宋体" w:hAnsi="宋体" w:cs="宋体"/>
          <w:i/>
          <w:kern w:val="0"/>
          <w:sz w:val="24"/>
          <w:szCs w:val="24"/>
          <w:u w:val="single"/>
        </w:rPr>
        <w:t>（项目名称）</w:t>
      </w:r>
      <w:r>
        <w:rPr>
          <w:rFonts w:hint="eastAsia" w:ascii="宋体" w:hAnsi="宋体" w:cs="宋体"/>
          <w:kern w:val="0"/>
          <w:sz w:val="24"/>
          <w:szCs w:val="24"/>
        </w:rPr>
        <w:t>采购活动，提供的货物全部由符合政策要求的中小企业制造。相关企业（含联合体中的中小企业、签订分包意向协议的中小企业）的具体情况如下：</w:t>
      </w:r>
    </w:p>
    <w:p w14:paraId="2CFDF603">
      <w:pPr>
        <w:widowControl/>
        <w:spacing w:before="0" w:beforeAutospacing="0" w:after="0" w:afterAutospacing="0"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1.</w:t>
      </w:r>
      <w:r>
        <w:rPr>
          <w:rFonts w:hint="eastAsia" w:ascii="宋体" w:hAnsi="宋体" w:cs="宋体"/>
          <w:i/>
          <w:kern w:val="0"/>
          <w:sz w:val="24"/>
          <w:szCs w:val="24"/>
          <w:u w:val="single"/>
        </w:rPr>
        <w:t>（标的名称）</w:t>
      </w:r>
      <w:r>
        <w:rPr>
          <w:rFonts w:hint="eastAsia" w:ascii="宋体" w:hAnsi="宋体" w:cs="宋体"/>
          <w:kern w:val="0"/>
          <w:sz w:val="24"/>
          <w:szCs w:val="24"/>
        </w:rPr>
        <w:t>，属于</w:t>
      </w:r>
      <w:r>
        <w:rPr>
          <w:rFonts w:hint="eastAsia" w:ascii="宋体" w:hAnsi="宋体" w:cs="宋体"/>
          <w:i/>
          <w:kern w:val="0"/>
          <w:sz w:val="24"/>
          <w:szCs w:val="24"/>
          <w:u w:val="single"/>
        </w:rPr>
        <w:t>（采购文件中明确的所属行业）行业</w:t>
      </w:r>
      <w:r>
        <w:rPr>
          <w:rFonts w:hint="eastAsia" w:ascii="宋体" w:hAnsi="宋体" w:cs="宋体"/>
          <w:kern w:val="0"/>
          <w:sz w:val="24"/>
          <w:szCs w:val="24"/>
        </w:rPr>
        <w:t>；制造商为</w:t>
      </w:r>
      <w:r>
        <w:rPr>
          <w:rFonts w:hint="eastAsia" w:ascii="宋体" w:hAnsi="宋体" w:cs="宋体"/>
          <w:i/>
          <w:kern w:val="0"/>
          <w:sz w:val="24"/>
          <w:szCs w:val="24"/>
          <w:u w:val="single"/>
        </w:rPr>
        <w:t>（企业名称）</w:t>
      </w:r>
      <w:r>
        <w:rPr>
          <w:rFonts w:hint="eastAsia" w:ascii="宋体" w:hAnsi="宋体" w:cs="宋体"/>
          <w:kern w:val="0"/>
          <w:sz w:val="24"/>
          <w:szCs w:val="24"/>
        </w:rPr>
        <w:t>，从业人员人，营业收入为万元，资产总额为万元</w:t>
      </w:r>
      <w:r>
        <w:rPr>
          <w:rFonts w:hint="eastAsia" w:ascii="微软雅黑" w:hAnsi="微软雅黑" w:eastAsia="微软雅黑" w:cs="微软雅黑"/>
          <w:kern w:val="0"/>
          <w:sz w:val="24"/>
          <w:szCs w:val="24"/>
        </w:rPr>
        <w:t>¹</w:t>
      </w:r>
      <w:r>
        <w:rPr>
          <w:rFonts w:hint="eastAsia" w:ascii="宋体" w:hAnsi="宋体" w:cs="宋体"/>
          <w:kern w:val="0"/>
          <w:sz w:val="24"/>
          <w:szCs w:val="24"/>
        </w:rPr>
        <w:t>，属于</w:t>
      </w:r>
      <w:r>
        <w:rPr>
          <w:rFonts w:hint="eastAsia" w:ascii="宋体" w:hAnsi="宋体" w:cs="宋体"/>
          <w:i/>
          <w:kern w:val="0"/>
          <w:sz w:val="24"/>
          <w:szCs w:val="24"/>
          <w:u w:val="single"/>
        </w:rPr>
        <w:t>（中型企业、小型企业、微型企业）</w:t>
      </w:r>
      <w:r>
        <w:rPr>
          <w:rFonts w:hint="eastAsia" w:ascii="宋体" w:hAnsi="宋体" w:cs="宋体"/>
          <w:kern w:val="0"/>
          <w:sz w:val="24"/>
          <w:szCs w:val="24"/>
        </w:rPr>
        <w:t>；</w:t>
      </w:r>
    </w:p>
    <w:p w14:paraId="52BD6823">
      <w:pPr>
        <w:widowControl/>
        <w:spacing w:before="0" w:beforeAutospacing="0" w:after="0" w:afterAutospacing="0"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2.</w:t>
      </w:r>
      <w:r>
        <w:rPr>
          <w:rFonts w:hint="eastAsia" w:ascii="宋体" w:hAnsi="宋体" w:cs="宋体"/>
          <w:i/>
          <w:kern w:val="0"/>
          <w:sz w:val="24"/>
          <w:szCs w:val="24"/>
          <w:u w:val="single"/>
        </w:rPr>
        <w:t>（标的名称）</w:t>
      </w:r>
      <w:r>
        <w:rPr>
          <w:rFonts w:hint="eastAsia" w:ascii="宋体" w:hAnsi="宋体" w:cs="宋体"/>
          <w:kern w:val="0"/>
          <w:sz w:val="24"/>
          <w:szCs w:val="24"/>
        </w:rPr>
        <w:t>，属于</w:t>
      </w:r>
      <w:r>
        <w:rPr>
          <w:rFonts w:hint="eastAsia" w:ascii="宋体" w:hAnsi="宋体" w:cs="宋体"/>
          <w:i/>
          <w:kern w:val="0"/>
          <w:sz w:val="24"/>
          <w:szCs w:val="24"/>
          <w:u w:val="single"/>
        </w:rPr>
        <w:t>（采购文件中明确的所属行业）行业</w:t>
      </w:r>
      <w:r>
        <w:rPr>
          <w:rFonts w:hint="eastAsia" w:ascii="宋体" w:hAnsi="宋体" w:cs="宋体"/>
          <w:kern w:val="0"/>
          <w:sz w:val="24"/>
          <w:szCs w:val="24"/>
        </w:rPr>
        <w:t>；制造商为</w:t>
      </w:r>
      <w:r>
        <w:rPr>
          <w:rFonts w:hint="eastAsia" w:ascii="宋体" w:hAnsi="宋体" w:cs="宋体"/>
          <w:i/>
          <w:kern w:val="0"/>
          <w:sz w:val="24"/>
          <w:szCs w:val="24"/>
          <w:u w:val="single"/>
        </w:rPr>
        <w:t>（企业名称）</w:t>
      </w:r>
      <w:r>
        <w:rPr>
          <w:rFonts w:hint="eastAsia" w:ascii="宋体" w:hAnsi="宋体" w:cs="宋体"/>
          <w:kern w:val="0"/>
          <w:sz w:val="24"/>
          <w:szCs w:val="24"/>
        </w:rPr>
        <w:t>，从业人员人，营业收入为万元，资产总额为万元，属于</w:t>
      </w:r>
      <w:r>
        <w:rPr>
          <w:rFonts w:hint="eastAsia" w:ascii="宋体" w:hAnsi="宋体" w:cs="宋体"/>
          <w:i/>
          <w:kern w:val="0"/>
          <w:sz w:val="24"/>
          <w:szCs w:val="24"/>
          <w:u w:val="single"/>
        </w:rPr>
        <w:t>（中型企业、小型企业、微型企业）</w:t>
      </w:r>
      <w:r>
        <w:rPr>
          <w:rFonts w:hint="eastAsia" w:ascii="宋体" w:hAnsi="宋体" w:cs="宋体"/>
          <w:kern w:val="0"/>
          <w:sz w:val="24"/>
          <w:szCs w:val="24"/>
        </w:rPr>
        <w:t>；</w:t>
      </w:r>
    </w:p>
    <w:p w14:paraId="6BA39E53">
      <w:pPr>
        <w:widowControl/>
        <w:spacing w:before="0" w:beforeAutospacing="0" w:after="0" w:afterAutospacing="0"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w:t>
      </w:r>
    </w:p>
    <w:p w14:paraId="1124834D">
      <w:pPr>
        <w:widowControl/>
        <w:spacing w:before="0" w:beforeAutospacing="0" w:after="0" w:afterAutospacing="0"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14:paraId="1996A744">
      <w:pPr>
        <w:widowControl/>
        <w:spacing w:before="0" w:beforeAutospacing="0" w:after="0" w:afterAutospacing="0"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本企业对上述声明内容的真实性负责。如有虚假，将依法承担相应责任。</w:t>
      </w:r>
    </w:p>
    <w:p w14:paraId="25E23300">
      <w:pPr>
        <w:widowControl/>
        <w:spacing w:before="0" w:beforeAutospacing="0" w:after="0" w:afterAutospacing="0" w:line="360" w:lineRule="auto"/>
        <w:ind w:left="0" w:leftChars="0" w:firstLine="480" w:firstLineChars="200"/>
        <w:jc w:val="center"/>
        <w:rPr>
          <w:rFonts w:hint="eastAsia" w:ascii="宋体" w:hAnsi="宋体" w:eastAsia="仿宋_GB2312" w:cs="宋体"/>
          <w:kern w:val="0"/>
          <w:sz w:val="24"/>
          <w:szCs w:val="24"/>
        </w:rPr>
      </w:pPr>
      <w:r>
        <w:rPr>
          <w:rFonts w:hint="eastAsia" w:ascii="宋体" w:hAnsi="宋体" w:eastAsia="仿宋_GB2312" w:cs="宋体"/>
          <w:kern w:val="0"/>
          <w:sz w:val="24"/>
          <w:szCs w:val="24"/>
        </w:rPr>
        <w:t xml:space="preserve">  </w:t>
      </w:r>
    </w:p>
    <w:p w14:paraId="1A95C199">
      <w:pPr>
        <w:widowControl/>
        <w:spacing w:before="0" w:beforeAutospacing="0" w:after="0" w:afterAutospacing="0" w:line="360" w:lineRule="auto"/>
        <w:ind w:left="0" w:leftChars="0" w:firstLine="480" w:firstLineChars="200"/>
        <w:jc w:val="center"/>
        <w:rPr>
          <w:rFonts w:hint="eastAsia" w:ascii="宋体" w:hAnsi="宋体" w:eastAsia="仿宋_GB2312" w:cs="宋体"/>
          <w:kern w:val="0"/>
          <w:sz w:val="24"/>
          <w:szCs w:val="24"/>
        </w:rPr>
      </w:pPr>
    </w:p>
    <w:p w14:paraId="11EB8F04">
      <w:pPr>
        <w:widowControl/>
        <w:spacing w:before="0" w:beforeAutospacing="0" w:after="0" w:afterAutospacing="0" w:line="360" w:lineRule="auto"/>
        <w:ind w:left="0" w:leftChars="0" w:firstLine="480" w:firstLineChars="200"/>
        <w:jc w:val="center"/>
        <w:rPr>
          <w:rFonts w:hint="eastAsia" w:ascii="宋体" w:hAnsi="宋体" w:eastAsia="仿宋_GB2312" w:cs="宋体"/>
          <w:kern w:val="0"/>
          <w:sz w:val="24"/>
          <w:szCs w:val="24"/>
        </w:rPr>
      </w:pPr>
      <w:r>
        <w:rPr>
          <w:rFonts w:hint="eastAsia" w:ascii="宋体" w:hAnsi="宋体" w:eastAsia="仿宋_GB2312" w:cs="宋体"/>
          <w:kern w:val="0"/>
          <w:sz w:val="24"/>
          <w:szCs w:val="24"/>
        </w:rPr>
        <w:t xml:space="preserve">                    </w:t>
      </w:r>
    </w:p>
    <w:p w14:paraId="02DE5B6C">
      <w:pPr>
        <w:widowControl/>
        <w:spacing w:before="0" w:beforeAutospacing="0" w:after="0" w:afterAutospacing="0" w:line="360" w:lineRule="auto"/>
        <w:ind w:left="0" w:leftChars="0" w:firstLine="480" w:firstLineChars="200"/>
        <w:jc w:val="center"/>
        <w:rPr>
          <w:rFonts w:hint="eastAsia" w:ascii="宋体" w:hAnsi="宋体" w:cs="宋体"/>
          <w:sz w:val="24"/>
          <w:szCs w:val="24"/>
        </w:rPr>
      </w:pPr>
      <w:r>
        <w:rPr>
          <w:rFonts w:hint="eastAsia" w:ascii="宋体" w:hAnsi="宋体" w:eastAsia="仿宋_GB2312" w:cs="宋体"/>
          <w:kern w:val="0"/>
          <w:sz w:val="24"/>
          <w:szCs w:val="24"/>
        </w:rPr>
        <w:t xml:space="preserve">   </w:t>
      </w:r>
      <w:r>
        <w:rPr>
          <w:rFonts w:hint="eastAsia" w:ascii="宋体" w:hAnsi="宋体" w:cs="宋体"/>
          <w:kern w:val="0"/>
          <w:sz w:val="24"/>
          <w:szCs w:val="24"/>
          <w:lang w:val="en-US" w:eastAsia="zh-CN"/>
        </w:rPr>
        <w:t>供应商</w:t>
      </w:r>
      <w:r>
        <w:rPr>
          <w:rFonts w:hint="eastAsia" w:ascii="宋体" w:hAnsi="宋体" w:cs="宋体"/>
          <w:kern w:val="0"/>
          <w:sz w:val="24"/>
          <w:szCs w:val="24"/>
        </w:rPr>
        <w:t>名称（盖章）：</w:t>
      </w:r>
    </w:p>
    <w:p w14:paraId="10F7B323">
      <w:pPr>
        <w:widowControl/>
        <w:spacing w:before="0" w:beforeAutospacing="0" w:after="0" w:afterAutospacing="0" w:line="360" w:lineRule="auto"/>
        <w:ind w:left="0" w:leftChars="0" w:firstLine="480" w:firstLineChars="200"/>
        <w:jc w:val="center"/>
        <w:rPr>
          <w:rFonts w:hint="eastAsia" w:ascii="宋体" w:hAnsi="宋体" w:cs="宋体"/>
          <w:kern w:val="0"/>
          <w:sz w:val="24"/>
          <w:szCs w:val="24"/>
        </w:rPr>
      </w:pPr>
      <w:r>
        <w:rPr>
          <w:rFonts w:hint="eastAsia" w:ascii="宋体" w:hAnsi="宋体" w:eastAsia="仿宋_GB2312" w:cs="宋体"/>
          <w:kern w:val="0"/>
          <w:sz w:val="24"/>
          <w:szCs w:val="24"/>
        </w:rPr>
        <w:t xml:space="preserve">            </w:t>
      </w:r>
      <w:r>
        <w:rPr>
          <w:rFonts w:hint="eastAsia" w:ascii="宋体" w:hAnsi="宋体" w:cs="宋体"/>
          <w:kern w:val="0"/>
          <w:sz w:val="24"/>
          <w:szCs w:val="24"/>
        </w:rPr>
        <w:t>日期：</w:t>
      </w:r>
    </w:p>
    <w:p w14:paraId="3E574840">
      <w:pPr>
        <w:widowControl/>
        <w:spacing w:before="0" w:beforeAutospacing="0" w:after="0" w:afterAutospacing="0" w:line="360" w:lineRule="auto"/>
        <w:ind w:left="0" w:leftChars="0" w:firstLine="480" w:firstLineChars="200"/>
        <w:jc w:val="center"/>
        <w:rPr>
          <w:rFonts w:hint="eastAsia" w:ascii="宋体" w:hAnsi="宋体" w:cs="宋体"/>
          <w:kern w:val="0"/>
          <w:sz w:val="24"/>
          <w:szCs w:val="24"/>
        </w:rPr>
      </w:pPr>
    </w:p>
    <w:p w14:paraId="3EAEAC5E">
      <w:pPr>
        <w:widowControl/>
        <w:spacing w:before="0" w:beforeAutospacing="0" w:after="0" w:afterAutospacing="0" w:line="360" w:lineRule="auto"/>
        <w:ind w:left="0" w:leftChars="0" w:firstLine="480" w:firstLineChars="200"/>
        <w:jc w:val="center"/>
        <w:rPr>
          <w:rFonts w:hint="eastAsia" w:ascii="宋体" w:hAnsi="宋体" w:cs="宋体"/>
          <w:kern w:val="0"/>
          <w:sz w:val="24"/>
          <w:szCs w:val="24"/>
        </w:rPr>
      </w:pPr>
    </w:p>
    <w:p w14:paraId="08C9C186">
      <w:pPr>
        <w:widowControl/>
        <w:spacing w:before="0" w:beforeAutospacing="0" w:after="0" w:afterAutospacing="0" w:line="360" w:lineRule="auto"/>
        <w:ind w:left="0" w:leftChars="0" w:firstLine="480" w:firstLineChars="200"/>
        <w:jc w:val="center"/>
        <w:rPr>
          <w:rFonts w:hint="eastAsia" w:ascii="宋体" w:hAnsi="宋体" w:cs="宋体"/>
          <w:kern w:val="0"/>
          <w:sz w:val="24"/>
          <w:szCs w:val="24"/>
        </w:rPr>
      </w:pPr>
    </w:p>
    <w:p w14:paraId="4B896EFC">
      <w:pPr>
        <w:widowControl/>
        <w:spacing w:before="0" w:beforeAutospacing="0" w:after="0" w:afterAutospacing="0" w:line="360" w:lineRule="auto"/>
        <w:ind w:left="0" w:leftChars="0" w:firstLine="480" w:firstLineChars="200"/>
        <w:jc w:val="center"/>
        <w:rPr>
          <w:rFonts w:hint="eastAsia" w:ascii="宋体" w:hAnsi="宋体" w:cs="宋体"/>
          <w:kern w:val="0"/>
          <w:sz w:val="24"/>
          <w:szCs w:val="24"/>
        </w:rPr>
      </w:pPr>
    </w:p>
    <w:p w14:paraId="6B0D7B05">
      <w:pPr>
        <w:widowControl/>
        <w:spacing w:before="0" w:beforeAutospacing="0" w:after="0" w:afterAutospacing="0" w:line="0" w:lineRule="atLeast"/>
        <w:ind w:left="0" w:leftChars="0" w:firstLine="360" w:firstLineChars="200"/>
        <w:jc w:val="left"/>
        <w:rPr>
          <w:rFonts w:hint="eastAsia" w:ascii="微软雅黑" w:hAnsi="微软雅黑" w:eastAsia="微软雅黑" w:cs="微软雅黑"/>
          <w:kern w:val="0"/>
          <w:sz w:val="18"/>
          <w:szCs w:val="18"/>
          <w:u w:val="single"/>
        </w:rPr>
      </w:pPr>
      <w:r>
        <w:rPr>
          <w:rFonts w:hint="eastAsia" w:ascii="微软雅黑" w:hAnsi="微软雅黑" w:eastAsia="微软雅黑" w:cs="微软雅黑"/>
          <w:kern w:val="0"/>
          <w:sz w:val="18"/>
          <w:szCs w:val="18"/>
          <w:u w:val="single"/>
        </w:rPr>
        <w:t xml:space="preserve">                                          </w:t>
      </w:r>
    </w:p>
    <w:p w14:paraId="364E4AA2">
      <w:pPr>
        <w:spacing w:before="100" w:beforeAutospacing="1" w:after="100" w:afterAutospacing="1" w:line="360" w:lineRule="auto"/>
        <w:ind w:left="0" w:leftChars="0" w:firstLine="360" w:firstLineChars="200"/>
        <w:rPr>
          <w:rFonts w:hint="eastAsia" w:ascii="宋体" w:hAnsi="宋体" w:cs="宋体"/>
          <w:sz w:val="21"/>
          <w:szCs w:val="24"/>
        </w:rPr>
      </w:pPr>
      <w:r>
        <w:rPr>
          <w:rFonts w:hint="eastAsia" w:ascii="微软雅黑" w:hAnsi="微软雅黑" w:eastAsia="微软雅黑" w:cs="微软雅黑"/>
          <w:kern w:val="0"/>
          <w:sz w:val="18"/>
          <w:szCs w:val="18"/>
        </w:rPr>
        <w:t>¹</w:t>
      </w:r>
      <w:r>
        <w:rPr>
          <w:rFonts w:hint="eastAsia" w:ascii="宋体" w:hAnsi="宋体" w:cs="宋体"/>
          <w:kern w:val="0"/>
          <w:sz w:val="18"/>
          <w:szCs w:val="18"/>
        </w:rPr>
        <w:t>从业人员、营业收入、资产总额填报上一年度数据，无上一年度数据的新成立企业可不填报。</w:t>
      </w:r>
      <w:r>
        <w:rPr>
          <w:rFonts w:hint="eastAsia" w:ascii="宋体" w:hAnsi="宋体" w:cs="宋体"/>
          <w:sz w:val="24"/>
          <w:szCs w:val="24"/>
        </w:rPr>
        <w:br w:type="page"/>
      </w:r>
      <w:r>
        <w:rPr>
          <w:rFonts w:hint="eastAsia" w:ascii="宋体" w:hAnsi="宋体" w:cs="宋体"/>
          <w:sz w:val="24"/>
          <w:szCs w:val="24"/>
          <w:lang w:val="en-US" w:eastAsia="zh-CN"/>
        </w:rPr>
        <w:t>2</w:t>
      </w:r>
      <w:r>
        <w:rPr>
          <w:rFonts w:hint="eastAsia" w:ascii="宋体" w:hAnsi="宋体" w:cs="宋体"/>
          <w:sz w:val="24"/>
          <w:szCs w:val="32"/>
        </w:rPr>
        <w:t>.残疾人福利性单位声明函</w:t>
      </w:r>
    </w:p>
    <w:p w14:paraId="2B54A13E">
      <w:pPr>
        <w:spacing w:before="100" w:beforeAutospacing="1" w:after="100" w:afterAutospacing="1" w:line="360" w:lineRule="auto"/>
        <w:ind w:left="0" w:leftChars="0" w:firstLine="480"/>
        <w:rPr>
          <w:rFonts w:hint="eastAsia" w:ascii="宋体" w:hAnsi="宋体" w:cs="宋体"/>
          <w:kern w:val="0"/>
          <w:sz w:val="21"/>
          <w:szCs w:val="24"/>
        </w:rPr>
      </w:pPr>
    </w:p>
    <w:p w14:paraId="28B9E58C">
      <w:pPr>
        <w:spacing w:before="100" w:beforeAutospacing="1" w:after="100" w:afterAutospacing="1" w:line="360" w:lineRule="auto"/>
        <w:ind w:left="0" w:leftChars="0"/>
        <w:jc w:val="center"/>
        <w:rPr>
          <w:rFonts w:hint="eastAsia" w:ascii="宋体" w:hAnsi="宋体" w:cs="宋体"/>
          <w:b/>
          <w:kern w:val="0"/>
          <w:sz w:val="36"/>
          <w:szCs w:val="36"/>
        </w:rPr>
      </w:pPr>
      <w:r>
        <w:rPr>
          <w:rFonts w:hint="eastAsia" w:ascii="宋体" w:hAnsi="宋体" w:cs="宋体"/>
          <w:b/>
          <w:kern w:val="0"/>
          <w:sz w:val="36"/>
          <w:szCs w:val="36"/>
        </w:rPr>
        <w:t>残疾人福利性单位声明函</w:t>
      </w:r>
    </w:p>
    <w:p w14:paraId="3DE3B579">
      <w:pPr>
        <w:spacing w:before="100" w:beforeAutospacing="1" w:after="100" w:afterAutospacing="1" w:line="360" w:lineRule="auto"/>
        <w:ind w:left="0" w:leftChars="0" w:firstLine="480"/>
        <w:rPr>
          <w:rFonts w:hint="eastAsia" w:ascii="宋体" w:hAnsi="宋体" w:cs="宋体"/>
          <w:kern w:val="0"/>
          <w:sz w:val="24"/>
          <w:szCs w:val="32"/>
        </w:rPr>
      </w:pPr>
      <w:r>
        <w:rPr>
          <w:rFonts w:hint="eastAsia" w:ascii="宋体" w:hAnsi="宋体" w:cs="宋体"/>
          <w:kern w:val="0"/>
          <w:sz w:val="24"/>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46B535">
      <w:pPr>
        <w:spacing w:before="100" w:beforeAutospacing="1" w:after="100" w:afterAutospacing="1" w:line="360" w:lineRule="auto"/>
        <w:ind w:left="0" w:leftChars="0" w:firstLine="480"/>
        <w:rPr>
          <w:rFonts w:hint="eastAsia" w:ascii="宋体" w:hAnsi="宋体" w:cs="宋体"/>
          <w:kern w:val="0"/>
          <w:sz w:val="24"/>
          <w:szCs w:val="32"/>
        </w:rPr>
      </w:pPr>
      <w:r>
        <w:rPr>
          <w:rFonts w:hint="eastAsia" w:ascii="宋体" w:hAnsi="宋体" w:cs="宋体"/>
          <w:kern w:val="0"/>
          <w:sz w:val="24"/>
          <w:szCs w:val="32"/>
        </w:rPr>
        <w:t>本单位对上述声明的真实性负责。如有虚假，将依法承担相应责任。</w:t>
      </w:r>
    </w:p>
    <w:p w14:paraId="1A3F998A">
      <w:pPr>
        <w:spacing w:before="100" w:beforeAutospacing="1" w:after="100" w:afterAutospacing="1" w:line="360" w:lineRule="auto"/>
        <w:ind w:left="0" w:leftChars="0" w:firstLine="480"/>
        <w:rPr>
          <w:rFonts w:hint="eastAsia" w:ascii="宋体" w:hAnsi="宋体" w:cs="宋体"/>
          <w:kern w:val="0"/>
          <w:sz w:val="24"/>
          <w:szCs w:val="32"/>
        </w:rPr>
      </w:pPr>
    </w:p>
    <w:p w14:paraId="1277814A">
      <w:pPr>
        <w:spacing w:before="100" w:beforeAutospacing="1" w:after="100" w:afterAutospacing="1" w:line="360" w:lineRule="auto"/>
        <w:ind w:left="0" w:leftChars="0" w:firstLine="480"/>
        <w:rPr>
          <w:rFonts w:hint="eastAsia" w:ascii="宋体" w:hAnsi="宋体" w:cs="宋体"/>
          <w:kern w:val="0"/>
          <w:sz w:val="24"/>
          <w:szCs w:val="32"/>
        </w:rPr>
      </w:pPr>
    </w:p>
    <w:p w14:paraId="26C4E8EA">
      <w:pPr>
        <w:tabs>
          <w:tab w:val="left" w:pos="4860"/>
        </w:tabs>
        <w:spacing w:before="100" w:beforeAutospacing="1" w:after="100" w:afterAutospacing="1" w:line="360" w:lineRule="auto"/>
        <w:ind w:left="0" w:leftChars="0" w:right="1560" w:firstLine="480"/>
        <w:jc w:val="right"/>
        <w:rPr>
          <w:rFonts w:hint="eastAsia" w:ascii="宋体" w:hAnsi="宋体" w:cs="宋体"/>
          <w:kern w:val="0"/>
          <w:sz w:val="24"/>
          <w:szCs w:val="32"/>
        </w:rPr>
      </w:pPr>
      <w:r>
        <w:rPr>
          <w:rFonts w:hint="eastAsia" w:ascii="宋体" w:hAnsi="宋体" w:cs="宋体"/>
          <w:kern w:val="0"/>
          <w:sz w:val="24"/>
          <w:szCs w:val="32"/>
        </w:rPr>
        <w:t xml:space="preserve">               </w:t>
      </w:r>
      <w:r>
        <w:rPr>
          <w:rFonts w:hint="eastAsia" w:ascii="宋体" w:hAnsi="宋体" w:cs="宋体"/>
          <w:kern w:val="0"/>
          <w:sz w:val="24"/>
          <w:szCs w:val="32"/>
          <w:lang w:val="en-US" w:eastAsia="zh-CN"/>
        </w:rPr>
        <w:t>供应商</w:t>
      </w:r>
      <w:r>
        <w:rPr>
          <w:rFonts w:hint="eastAsia" w:ascii="宋体" w:hAnsi="宋体" w:cs="宋体"/>
          <w:kern w:val="0"/>
          <w:sz w:val="24"/>
          <w:szCs w:val="32"/>
        </w:rPr>
        <w:t>名称（盖章）：</w:t>
      </w:r>
    </w:p>
    <w:p w14:paraId="787D2840">
      <w:pPr>
        <w:tabs>
          <w:tab w:val="left" w:pos="4860"/>
        </w:tabs>
        <w:spacing w:before="100" w:beforeAutospacing="1" w:after="100" w:afterAutospacing="1" w:line="360" w:lineRule="auto"/>
        <w:ind w:left="0" w:leftChars="0" w:right="1560" w:firstLine="480"/>
        <w:jc w:val="right"/>
        <w:rPr>
          <w:rFonts w:hint="eastAsia" w:ascii="宋体" w:hAnsi="宋体" w:cs="宋体"/>
          <w:kern w:val="0"/>
          <w:sz w:val="24"/>
          <w:szCs w:val="32"/>
        </w:rPr>
      </w:pPr>
      <w:r>
        <w:rPr>
          <w:rFonts w:hint="eastAsia" w:ascii="宋体" w:hAnsi="宋体" w:cs="宋体"/>
          <w:kern w:val="0"/>
          <w:sz w:val="24"/>
          <w:szCs w:val="32"/>
        </w:rPr>
        <w:t>日  期：</w:t>
      </w:r>
    </w:p>
    <w:p w14:paraId="7A82AD66">
      <w:pPr>
        <w:spacing w:before="100" w:beforeAutospacing="1" w:after="100" w:afterAutospacing="1" w:line="360" w:lineRule="auto"/>
        <w:ind w:left="0" w:leftChars="0" w:firstLine="482"/>
        <w:jc w:val="right"/>
        <w:rPr>
          <w:rFonts w:hint="eastAsia" w:ascii="宋体" w:hAnsi="宋体" w:cs="宋体"/>
          <w:b/>
          <w:sz w:val="21"/>
          <w:szCs w:val="24"/>
        </w:rPr>
      </w:pPr>
    </w:p>
    <w:p w14:paraId="43E0BF3D">
      <w:pPr>
        <w:spacing w:before="100" w:beforeAutospacing="1" w:after="100" w:afterAutospacing="1" w:line="360" w:lineRule="auto"/>
        <w:ind w:left="0" w:leftChars="0" w:firstLine="482"/>
        <w:jc w:val="center"/>
        <w:rPr>
          <w:rFonts w:hint="eastAsia" w:ascii="宋体" w:hAnsi="宋体" w:cs="宋体"/>
          <w:b/>
          <w:sz w:val="21"/>
          <w:szCs w:val="24"/>
        </w:rPr>
      </w:pPr>
    </w:p>
    <w:p w14:paraId="2246B193">
      <w:pPr>
        <w:spacing w:before="100" w:beforeAutospacing="1" w:after="100" w:afterAutospacing="1" w:line="360" w:lineRule="auto"/>
        <w:ind w:left="0" w:leftChars="0" w:firstLine="482"/>
        <w:jc w:val="center"/>
        <w:rPr>
          <w:rFonts w:hint="eastAsia" w:ascii="宋体" w:hAnsi="宋体" w:cs="宋体"/>
          <w:b/>
          <w:sz w:val="21"/>
          <w:szCs w:val="24"/>
        </w:rPr>
      </w:pPr>
    </w:p>
    <w:p w14:paraId="20E73F30">
      <w:pPr>
        <w:spacing w:before="100" w:beforeAutospacing="1" w:after="100" w:afterAutospacing="1" w:line="360" w:lineRule="auto"/>
        <w:ind w:left="0" w:leftChars="0" w:firstLine="482"/>
        <w:jc w:val="center"/>
        <w:rPr>
          <w:rFonts w:hint="eastAsia" w:ascii="宋体" w:hAnsi="宋体" w:cs="宋体"/>
          <w:b/>
          <w:sz w:val="21"/>
          <w:szCs w:val="24"/>
        </w:rPr>
      </w:pPr>
    </w:p>
    <w:p w14:paraId="2DFAE89A">
      <w:pPr>
        <w:spacing w:before="100" w:beforeAutospacing="1" w:after="100" w:afterAutospacing="1" w:line="360" w:lineRule="auto"/>
        <w:ind w:left="0" w:leftChars="0" w:firstLine="482"/>
        <w:jc w:val="center"/>
        <w:rPr>
          <w:rFonts w:hint="eastAsia" w:ascii="宋体" w:hAnsi="宋体" w:cs="宋体"/>
          <w:b/>
          <w:sz w:val="21"/>
          <w:szCs w:val="24"/>
        </w:rPr>
      </w:pPr>
    </w:p>
    <w:p w14:paraId="1AE7E7DD">
      <w:pPr>
        <w:spacing w:before="100" w:beforeAutospacing="1" w:after="100" w:afterAutospacing="1" w:line="360" w:lineRule="auto"/>
        <w:ind w:left="0" w:leftChars="0" w:firstLine="482"/>
        <w:jc w:val="center"/>
        <w:rPr>
          <w:rFonts w:hint="eastAsia" w:ascii="宋体" w:hAnsi="宋体" w:cs="宋体"/>
          <w:b/>
          <w:sz w:val="21"/>
          <w:szCs w:val="24"/>
        </w:rPr>
      </w:pPr>
    </w:p>
    <w:p w14:paraId="4EE7E0ED">
      <w:pPr>
        <w:spacing w:before="100" w:beforeAutospacing="1" w:after="100" w:afterAutospacing="1" w:line="360" w:lineRule="auto"/>
        <w:ind w:left="0" w:leftChars="0" w:firstLine="482"/>
        <w:jc w:val="center"/>
        <w:rPr>
          <w:rFonts w:hint="eastAsia" w:ascii="宋体" w:hAnsi="宋体" w:cs="宋体"/>
          <w:b/>
          <w:sz w:val="21"/>
          <w:szCs w:val="24"/>
        </w:rPr>
      </w:pPr>
    </w:p>
    <w:p w14:paraId="7C2EB87E">
      <w:pPr>
        <w:spacing w:before="100" w:beforeAutospacing="1" w:after="100" w:afterAutospacing="1" w:line="360" w:lineRule="auto"/>
        <w:ind w:left="0" w:leftChars="0" w:firstLine="482"/>
        <w:jc w:val="center"/>
        <w:rPr>
          <w:rFonts w:hint="eastAsia" w:ascii="宋体" w:hAnsi="宋体" w:cs="宋体"/>
          <w:b/>
          <w:sz w:val="21"/>
          <w:szCs w:val="24"/>
        </w:rPr>
      </w:pPr>
    </w:p>
    <w:p w14:paraId="7B8F1F06">
      <w:pPr>
        <w:spacing w:before="100" w:beforeAutospacing="1" w:after="100" w:afterAutospacing="1" w:line="360" w:lineRule="auto"/>
        <w:ind w:left="0" w:leftChars="0"/>
        <w:rPr>
          <w:rFonts w:hint="eastAsia" w:ascii="宋体" w:hAnsi="宋体" w:cs="宋体"/>
          <w:bCs/>
          <w:sz w:val="24"/>
          <w:szCs w:val="32"/>
        </w:rPr>
      </w:pPr>
      <w:r>
        <w:rPr>
          <w:rFonts w:hint="eastAsia" w:ascii="宋体" w:hAnsi="宋体" w:cs="宋体"/>
          <w:bCs/>
          <w:sz w:val="24"/>
          <w:szCs w:val="32"/>
          <w:lang w:val="en-US" w:eastAsia="zh-CN"/>
        </w:rPr>
        <w:t>3</w:t>
      </w:r>
      <w:r>
        <w:rPr>
          <w:rFonts w:hint="eastAsia" w:ascii="宋体" w:hAnsi="宋体" w:cs="宋体"/>
          <w:bCs/>
          <w:sz w:val="24"/>
          <w:szCs w:val="32"/>
        </w:rPr>
        <w:t>.监狱企业声明函</w:t>
      </w:r>
    </w:p>
    <w:p w14:paraId="131058AC">
      <w:pPr>
        <w:spacing w:before="100" w:beforeAutospacing="1" w:after="100" w:afterAutospacing="1" w:line="360" w:lineRule="auto"/>
        <w:ind w:left="0" w:leftChars="0"/>
        <w:rPr>
          <w:rFonts w:hint="eastAsia" w:ascii="宋体" w:hAnsi="宋体" w:cs="宋体"/>
          <w:b/>
          <w:kern w:val="0"/>
          <w:sz w:val="36"/>
          <w:szCs w:val="36"/>
        </w:rPr>
      </w:pPr>
    </w:p>
    <w:p w14:paraId="69678BF9">
      <w:pPr>
        <w:spacing w:before="100" w:beforeAutospacing="1" w:after="100" w:afterAutospacing="1" w:line="360" w:lineRule="auto"/>
        <w:ind w:left="0" w:leftChars="0" w:firstLine="2833" w:firstLineChars="784"/>
        <w:rPr>
          <w:rFonts w:hint="eastAsia" w:ascii="宋体" w:hAnsi="宋体" w:cs="宋体"/>
          <w:b/>
          <w:kern w:val="0"/>
          <w:sz w:val="36"/>
          <w:szCs w:val="36"/>
        </w:rPr>
      </w:pPr>
      <w:r>
        <w:rPr>
          <w:rFonts w:hint="eastAsia" w:ascii="宋体" w:hAnsi="宋体" w:cs="宋体"/>
          <w:b/>
          <w:kern w:val="0"/>
          <w:sz w:val="36"/>
          <w:szCs w:val="36"/>
        </w:rPr>
        <w:t>监狱性单位声明函</w:t>
      </w:r>
    </w:p>
    <w:p w14:paraId="40E3CE7E">
      <w:pPr>
        <w:spacing w:before="100" w:beforeAutospacing="1" w:after="100" w:afterAutospacing="1" w:line="360" w:lineRule="auto"/>
        <w:ind w:left="0" w:leftChars="0" w:firstLine="480"/>
        <w:rPr>
          <w:rFonts w:hint="eastAsia" w:ascii="宋体" w:hAnsi="宋体" w:cs="宋体"/>
          <w:kern w:val="0"/>
          <w:sz w:val="21"/>
          <w:szCs w:val="24"/>
        </w:rPr>
      </w:pPr>
    </w:p>
    <w:p w14:paraId="7C698785">
      <w:pPr>
        <w:spacing w:before="100" w:beforeAutospacing="1" w:after="100" w:afterAutospacing="1" w:line="360" w:lineRule="auto"/>
        <w:ind w:left="0" w:leftChars="0" w:firstLine="480"/>
        <w:rPr>
          <w:rFonts w:hint="eastAsia" w:ascii="宋体" w:hAnsi="宋体" w:cs="宋体"/>
          <w:kern w:val="0"/>
          <w:sz w:val="24"/>
          <w:szCs w:val="32"/>
        </w:rPr>
      </w:pPr>
      <w:r>
        <w:rPr>
          <w:rFonts w:hint="eastAsia" w:ascii="宋体" w:hAnsi="宋体" w:cs="宋体"/>
          <w:kern w:val="0"/>
          <w:sz w:val="24"/>
          <w:szCs w:val="32"/>
        </w:rPr>
        <w:t>本单位郑重声明，根据《财政部 司法部关于政府采购支持监狱企业发展有关问题的通知》(财库〔2014〕68号)的规定，本单位为符合条件的监狱性单位，且本单位参加______单位的______项目采购活动提供本单位制造的货物（由本单位承担工程/提供服务），享受预留份额、评审中价格扣除等政府采购促进中小企业发展的政府采购政策。</w:t>
      </w:r>
    </w:p>
    <w:p w14:paraId="168DB2C8">
      <w:pPr>
        <w:spacing w:before="100" w:beforeAutospacing="1" w:after="100" w:afterAutospacing="1" w:line="360" w:lineRule="auto"/>
        <w:ind w:left="0" w:leftChars="0" w:firstLine="480"/>
        <w:rPr>
          <w:rFonts w:hint="eastAsia" w:ascii="宋体" w:hAnsi="宋体" w:cs="宋体"/>
          <w:kern w:val="0"/>
          <w:sz w:val="24"/>
          <w:szCs w:val="32"/>
        </w:rPr>
      </w:pPr>
      <w:r>
        <w:rPr>
          <w:rFonts w:hint="eastAsia" w:ascii="宋体" w:hAnsi="宋体" w:cs="宋体"/>
          <w:kern w:val="0"/>
          <w:sz w:val="24"/>
          <w:szCs w:val="32"/>
        </w:rPr>
        <w:t>本单位对上述声明的真实性负责。如有虚假，将依法承担相应责任。</w:t>
      </w:r>
    </w:p>
    <w:p w14:paraId="2A9FAE5B">
      <w:pPr>
        <w:spacing w:before="100" w:beforeAutospacing="1" w:after="100" w:afterAutospacing="1" w:line="360" w:lineRule="auto"/>
        <w:ind w:left="0" w:leftChars="0" w:firstLine="480"/>
        <w:rPr>
          <w:rFonts w:hint="eastAsia" w:ascii="宋体" w:hAnsi="宋体" w:cs="宋体"/>
          <w:kern w:val="0"/>
          <w:sz w:val="24"/>
          <w:szCs w:val="32"/>
        </w:rPr>
      </w:pPr>
    </w:p>
    <w:p w14:paraId="619A4705">
      <w:pPr>
        <w:tabs>
          <w:tab w:val="left" w:pos="4860"/>
        </w:tabs>
        <w:spacing w:before="100" w:beforeAutospacing="1" w:after="100" w:afterAutospacing="1" w:line="360" w:lineRule="auto"/>
        <w:ind w:left="0" w:leftChars="0" w:right="1560" w:firstLine="480"/>
        <w:jc w:val="right"/>
        <w:rPr>
          <w:rFonts w:hint="eastAsia" w:ascii="宋体" w:hAnsi="宋体" w:cs="宋体"/>
          <w:kern w:val="0"/>
          <w:sz w:val="24"/>
          <w:szCs w:val="32"/>
        </w:rPr>
      </w:pPr>
      <w:r>
        <w:rPr>
          <w:rFonts w:hint="eastAsia" w:ascii="宋体" w:hAnsi="宋体" w:cs="宋体"/>
          <w:kern w:val="0"/>
          <w:sz w:val="24"/>
          <w:szCs w:val="32"/>
        </w:rPr>
        <w:t xml:space="preserve">               </w:t>
      </w:r>
      <w:r>
        <w:rPr>
          <w:rFonts w:hint="eastAsia" w:ascii="宋体" w:hAnsi="宋体" w:cs="宋体"/>
          <w:kern w:val="0"/>
          <w:sz w:val="24"/>
          <w:szCs w:val="32"/>
          <w:lang w:val="en-US" w:eastAsia="zh-CN"/>
        </w:rPr>
        <w:t>供应商</w:t>
      </w:r>
      <w:r>
        <w:rPr>
          <w:rFonts w:hint="eastAsia" w:ascii="宋体" w:hAnsi="宋体" w:cs="宋体"/>
          <w:kern w:val="0"/>
          <w:sz w:val="24"/>
          <w:szCs w:val="32"/>
        </w:rPr>
        <w:t>名称（盖章）：</w:t>
      </w:r>
    </w:p>
    <w:p w14:paraId="18653E47">
      <w:pPr>
        <w:spacing w:before="100" w:beforeAutospacing="1" w:after="100" w:afterAutospacing="1" w:line="360" w:lineRule="auto"/>
        <w:ind w:left="0" w:leftChars="0" w:right="480" w:firstLine="480"/>
        <w:jc w:val="center"/>
        <w:rPr>
          <w:rFonts w:hint="eastAsia" w:ascii="宋体" w:hAnsi="宋体" w:cs="宋体"/>
          <w:b/>
          <w:sz w:val="24"/>
          <w:szCs w:val="32"/>
        </w:rPr>
      </w:pPr>
      <w:r>
        <w:rPr>
          <w:rFonts w:hint="eastAsia" w:ascii="宋体" w:hAnsi="宋体" w:cs="宋体"/>
          <w:kern w:val="0"/>
          <w:sz w:val="24"/>
          <w:szCs w:val="32"/>
        </w:rPr>
        <w:t xml:space="preserve">                      日  期：</w:t>
      </w:r>
    </w:p>
    <w:p w14:paraId="4D7C1E18">
      <w:pPr>
        <w:spacing w:before="100" w:beforeAutospacing="1" w:after="100" w:afterAutospacing="1" w:line="360" w:lineRule="auto"/>
        <w:ind w:left="0" w:leftChars="0" w:firstLine="480"/>
        <w:rPr>
          <w:rFonts w:hint="eastAsia" w:ascii="宋体" w:hAnsi="宋体" w:cs="宋体"/>
          <w:kern w:val="0"/>
          <w:sz w:val="21"/>
          <w:szCs w:val="24"/>
        </w:rPr>
      </w:pPr>
    </w:p>
    <w:p w14:paraId="45DF0A1F">
      <w:pPr>
        <w:spacing w:before="100" w:beforeAutospacing="1" w:after="100" w:afterAutospacing="1" w:line="360" w:lineRule="auto"/>
        <w:ind w:left="0" w:leftChars="0" w:firstLine="480"/>
        <w:rPr>
          <w:rFonts w:hint="eastAsia" w:ascii="宋体" w:hAnsi="宋体" w:cs="宋体"/>
          <w:kern w:val="0"/>
          <w:sz w:val="24"/>
          <w:szCs w:val="32"/>
        </w:rPr>
      </w:pPr>
    </w:p>
    <w:p w14:paraId="554A766B">
      <w:pPr>
        <w:spacing w:before="100" w:beforeAutospacing="1" w:after="100" w:afterAutospacing="1" w:line="360" w:lineRule="auto"/>
        <w:ind w:left="0" w:leftChars="0" w:firstLine="480"/>
        <w:rPr>
          <w:rFonts w:hint="eastAsia" w:ascii="宋体" w:hAnsi="宋体" w:cs="宋体"/>
          <w:kern w:val="0"/>
          <w:sz w:val="24"/>
          <w:szCs w:val="32"/>
        </w:rPr>
      </w:pPr>
      <w:r>
        <w:rPr>
          <w:rFonts w:hint="eastAsia" w:ascii="宋体" w:hAnsi="宋体" w:cs="宋体"/>
          <w:kern w:val="0"/>
          <w:sz w:val="24"/>
          <w:szCs w:val="32"/>
        </w:rPr>
        <w:t>附件：</w:t>
      </w:r>
      <w:r>
        <w:rPr>
          <w:rFonts w:hint="eastAsia" w:ascii="宋体" w:hAnsi="宋体" w:cs="宋体"/>
          <w:kern w:val="0"/>
          <w:sz w:val="24"/>
          <w:szCs w:val="32"/>
          <w:lang w:val="en-US" w:eastAsia="zh-CN"/>
        </w:rPr>
        <w:t>监狱</w:t>
      </w:r>
      <w:r>
        <w:rPr>
          <w:rFonts w:hint="eastAsia" w:ascii="宋体" w:hAnsi="宋体" w:cs="宋体"/>
          <w:kern w:val="0"/>
          <w:sz w:val="24"/>
          <w:szCs w:val="32"/>
        </w:rPr>
        <w:t>企业参加政府采购活动时，应当提供由省级以上监狱管理局、戒毒管理局（含新疆生产建设兵团）出具的属于监狱企业的证明文件</w:t>
      </w:r>
    </w:p>
    <w:p w14:paraId="5D3DF835">
      <w:pPr>
        <w:spacing w:before="100" w:beforeAutospacing="1" w:after="100" w:afterAutospacing="1" w:line="360" w:lineRule="auto"/>
        <w:ind w:left="0" w:leftChars="0"/>
        <w:rPr>
          <w:rFonts w:hint="eastAsia" w:ascii="宋体" w:hAnsi="宋体" w:cs="宋体"/>
          <w:sz w:val="21"/>
          <w:szCs w:val="24"/>
        </w:rPr>
      </w:pPr>
    </w:p>
    <w:p w14:paraId="1FD3849F">
      <w:pPr>
        <w:spacing w:before="100" w:beforeAutospacing="1" w:after="100" w:afterAutospacing="1" w:line="360" w:lineRule="auto"/>
        <w:ind w:left="0" w:leftChars="0"/>
        <w:rPr>
          <w:rFonts w:hint="eastAsia" w:ascii="宋体" w:hAnsi="宋体" w:cs="宋体"/>
          <w:sz w:val="21"/>
          <w:szCs w:val="24"/>
        </w:rPr>
      </w:pPr>
    </w:p>
    <w:p w14:paraId="08BD5880">
      <w:pPr>
        <w:spacing w:before="100" w:beforeAutospacing="1" w:after="100" w:afterAutospacing="1" w:line="360" w:lineRule="auto"/>
        <w:ind w:left="0" w:leftChars="0"/>
        <w:rPr>
          <w:rFonts w:hint="eastAsia" w:ascii="宋体" w:hAnsi="宋体" w:cs="宋体"/>
          <w:sz w:val="21"/>
          <w:szCs w:val="24"/>
        </w:rPr>
      </w:pPr>
    </w:p>
    <w:p w14:paraId="4413B701">
      <w:pPr>
        <w:spacing w:before="100" w:beforeAutospacing="1" w:after="100" w:afterAutospacing="1" w:line="360" w:lineRule="auto"/>
        <w:ind w:left="0" w:leftChars="0"/>
        <w:rPr>
          <w:rFonts w:hint="eastAsia" w:ascii="宋体" w:hAnsi="宋体" w:cs="宋体"/>
          <w:sz w:val="21"/>
          <w:szCs w:val="24"/>
        </w:rPr>
      </w:pPr>
    </w:p>
    <w:p w14:paraId="2B916C34">
      <w:pPr>
        <w:spacing w:before="100" w:beforeAutospacing="1" w:after="100" w:afterAutospacing="1" w:line="360" w:lineRule="auto"/>
        <w:ind w:left="0" w:leftChars="0"/>
        <w:rPr>
          <w:rFonts w:hint="eastAsia" w:ascii="宋体" w:hAnsi="宋体" w:cs="宋体"/>
          <w:b/>
          <w:bCs/>
          <w:sz w:val="30"/>
          <w:szCs w:val="30"/>
        </w:rPr>
      </w:pPr>
      <w:r>
        <w:rPr>
          <w:rFonts w:hint="eastAsia" w:ascii="宋体" w:hAnsi="宋体" w:cs="宋体"/>
          <w:sz w:val="24"/>
          <w:szCs w:val="24"/>
        </w:rPr>
        <w:br w:type="page"/>
      </w:r>
      <w:bookmarkStart w:id="305" w:name="_Toc10379"/>
      <w:r>
        <w:rPr>
          <w:rFonts w:hint="eastAsia" w:ascii="宋体" w:hAnsi="宋体" w:cs="宋体"/>
          <w:sz w:val="24"/>
          <w:szCs w:val="24"/>
        </w:rPr>
        <w:t>附件：优惠性政策法律法规</w:t>
      </w:r>
      <w:bookmarkEnd w:id="305"/>
    </w:p>
    <w:p w14:paraId="2398C2AB">
      <w:pPr>
        <w:spacing w:before="0" w:beforeAutospacing="0" w:after="0" w:afterAutospacing="0" w:line="360" w:lineRule="auto"/>
        <w:ind w:left="0" w:leftChars="0"/>
        <w:rPr>
          <w:rFonts w:hint="eastAsia" w:ascii="宋体" w:hAnsi="宋体" w:cs="宋体"/>
          <w:kern w:val="0"/>
          <w:sz w:val="24"/>
          <w:szCs w:val="24"/>
        </w:rPr>
      </w:pPr>
      <w:r>
        <w:rPr>
          <w:rFonts w:hint="eastAsia" w:ascii="宋体" w:hAnsi="宋体" w:cs="宋体"/>
          <w:kern w:val="0"/>
          <w:sz w:val="24"/>
          <w:szCs w:val="24"/>
        </w:rPr>
        <w:t>1.政府采购促进中小企业发展管理办法</w:t>
      </w:r>
    </w:p>
    <w:p w14:paraId="6B93D43F">
      <w:pPr>
        <w:widowControl/>
        <w:spacing w:before="100" w:beforeAutospacing="1" w:after="100" w:afterAutospacing="1" w:line="360" w:lineRule="auto"/>
        <w:ind w:left="0" w:leftChars="0"/>
        <w:jc w:val="center"/>
        <w:rPr>
          <w:rFonts w:hint="eastAsia" w:ascii="宋体" w:hAnsi="宋体" w:cs="宋体"/>
          <w:b/>
          <w:bCs/>
          <w:kern w:val="0"/>
          <w:sz w:val="36"/>
          <w:szCs w:val="36"/>
        </w:rPr>
      </w:pPr>
      <w:r>
        <w:rPr>
          <w:rFonts w:hint="eastAsia" w:ascii="宋体" w:hAnsi="宋体" w:cs="宋体"/>
          <w:b/>
          <w:bCs/>
          <w:kern w:val="0"/>
          <w:sz w:val="36"/>
          <w:szCs w:val="36"/>
        </w:rPr>
        <w:t>《政府采购促进中小企业发展管理办法》</w:t>
      </w:r>
    </w:p>
    <w:p w14:paraId="75F6A929">
      <w:pPr>
        <w:widowControl/>
        <w:spacing w:before="100" w:beforeAutospacing="1" w:after="100" w:afterAutospacing="1" w:line="360" w:lineRule="auto"/>
        <w:ind w:left="0" w:leftChars="0"/>
        <w:jc w:val="center"/>
        <w:rPr>
          <w:rFonts w:hint="eastAsia" w:ascii="宋体" w:hAnsi="宋体" w:cs="宋体"/>
          <w:sz w:val="24"/>
          <w:szCs w:val="24"/>
          <w:shd w:val="clear" w:color="auto" w:fill="FFFFFF"/>
        </w:rPr>
      </w:pPr>
      <w:r>
        <w:rPr>
          <w:rFonts w:hint="eastAsia" w:ascii="宋体" w:hAnsi="宋体" w:cs="宋体"/>
          <w:b/>
          <w:bCs/>
          <w:sz w:val="36"/>
          <w:szCs w:val="36"/>
          <w:shd w:val="clear" w:color="auto" w:fill="FFFFFF"/>
        </w:rPr>
        <w:t>财库〔2020〕46号</w:t>
      </w:r>
    </w:p>
    <w:p w14:paraId="60A4CA20">
      <w:pPr>
        <w:widowControl/>
        <w:spacing w:before="100" w:beforeAutospacing="1" w:after="100" w:afterAutospacing="1" w:line="360" w:lineRule="auto"/>
        <w:ind w:left="0" w:leftChars="0" w:firstLine="480" w:firstLineChars="200"/>
        <w:jc w:val="left"/>
        <w:rPr>
          <w:rFonts w:hint="eastAsia" w:ascii="宋体" w:hAnsi="宋体" w:cs="宋体"/>
          <w:kern w:val="0"/>
          <w:sz w:val="24"/>
          <w:szCs w:val="24"/>
        </w:rPr>
      </w:pPr>
      <w:r>
        <w:rPr>
          <w:rFonts w:hint="eastAsia" w:ascii="宋体" w:hAnsi="宋体" w:cs="宋体"/>
          <w:kern w:val="0"/>
          <w:sz w:val="24"/>
          <w:szCs w:val="24"/>
        </w:rPr>
        <w:t>第一条  为了发挥政府采购的政策功能，促进中小企业健康发展，根据《中华人民共和国政府采购法》、《中华人民共和国中小企业促进法》等有关法律法规，制定本办法。</w:t>
      </w:r>
    </w:p>
    <w:p w14:paraId="2D2A48AA">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994248C">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第三条  采购人在政府采购活动中应当通过加强采购需求管理，落实预留采购份额、价格评审优惠、优先采购等措施，提高中小企业在政府采购中的份额，支持中小企业发展。</w:t>
      </w:r>
    </w:p>
    <w:p w14:paraId="6985A0E7">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第四条  在政府采购活动中，供应商提供的货物、工程或者服务符合下列情形的，享受本办法规定的中小企业扶持政策：</w:t>
      </w:r>
    </w:p>
    <w:p w14:paraId="5E8043E9">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（一）在货物采购项目中，货物由中小企业制造，即货物由中小企业生产且使用该中小企业商号或者注册商标；</w:t>
      </w:r>
    </w:p>
    <w:p w14:paraId="47A1472F">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（二）在工程采购项目中，工程由中小企业承建，即工程施工单位为中小企业；</w:t>
      </w:r>
    </w:p>
    <w:p w14:paraId="29D2E008">
      <w:pPr>
        <w:widowControl/>
        <w:spacing w:before="100" w:beforeAutospacing="1" w:after="100" w:afterAutospacing="1" w:line="360" w:lineRule="auto"/>
        <w:ind w:left="0" w:leftChars="0" w:firstLine="480" w:firstLineChars="200"/>
        <w:jc w:val="left"/>
        <w:rPr>
          <w:rFonts w:hint="eastAsia" w:ascii="宋体" w:hAnsi="宋体" w:cs="宋体"/>
          <w:kern w:val="0"/>
          <w:sz w:val="24"/>
          <w:szCs w:val="24"/>
        </w:rPr>
      </w:pPr>
      <w:r>
        <w:rPr>
          <w:rFonts w:hint="eastAsia" w:ascii="宋体" w:hAnsi="宋体" w:cs="宋体"/>
          <w:kern w:val="0"/>
          <w:sz w:val="24"/>
          <w:szCs w:val="24"/>
        </w:rPr>
        <w:t>（三）在服务采购项目中，服务由中小企业承接，即提供服务的人员为中小企业依照《中华人民共和国劳动合同法》订立劳动合同的从业人员。</w:t>
      </w:r>
    </w:p>
    <w:p w14:paraId="5CE1A52E">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在货物采购项目中，供应商提供的货物既有中小企业制造货物，也有大型企业制造货物的，不享受本办法规定的中小企业扶持政策。</w:t>
      </w:r>
    </w:p>
    <w:p w14:paraId="25AEA1CE">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以联合体形式参加政府采购活动，联合体各方均为中小企业的，联合体视同中小企业。其中，联合体各方均为小微企业的，联合体视同小微企业。</w:t>
      </w:r>
    </w:p>
    <w:p w14:paraId="01E56622">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FDEEAC4">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940DDF5">
      <w:pPr>
        <w:widowControl/>
        <w:spacing w:before="100" w:beforeAutospacing="1" w:after="100" w:afterAutospacing="1" w:line="360" w:lineRule="auto"/>
        <w:ind w:left="0" w:leftChars="0"/>
        <w:jc w:val="left"/>
        <w:rPr>
          <w:rFonts w:hint="eastAsia" w:ascii="宋体" w:hAnsi="宋体" w:cs="宋体"/>
          <w:sz w:val="24"/>
          <w:szCs w:val="24"/>
        </w:rPr>
      </w:pPr>
      <w:r>
        <w:rPr>
          <w:rFonts w:hint="eastAsia" w:ascii="宋体" w:hAnsi="宋体" w:cs="宋体"/>
          <w:kern w:val="0"/>
          <w:sz w:val="24"/>
          <w:szCs w:val="24"/>
        </w:rPr>
        <w:t>符合下列情形之一的，可不专门面向中小企业预留采购份额：</w:t>
      </w:r>
    </w:p>
    <w:p w14:paraId="6A802549">
      <w:pPr>
        <w:widowControl/>
        <w:numPr>
          <w:ilvl w:val="0"/>
          <w:numId w:val="9"/>
        </w:numPr>
        <w:spacing w:before="100" w:beforeAutospacing="1" w:after="100" w:afterAutospacing="1" w:line="360" w:lineRule="auto"/>
        <w:ind w:left="0" w:leftChars="0" w:firstLine="420" w:firstLineChars="175"/>
        <w:jc w:val="left"/>
        <w:rPr>
          <w:rFonts w:hint="eastAsia" w:ascii="宋体" w:hAnsi="宋体" w:cs="宋体"/>
          <w:kern w:val="0"/>
          <w:sz w:val="24"/>
          <w:szCs w:val="24"/>
        </w:rPr>
      </w:pPr>
      <w:r>
        <w:rPr>
          <w:rFonts w:hint="eastAsia" w:ascii="宋体" w:hAnsi="宋体" w:cs="宋体"/>
          <w:kern w:val="0"/>
          <w:sz w:val="24"/>
          <w:szCs w:val="24"/>
        </w:rPr>
        <w:t>法律法规和国家有关政策明确规定优先或者应当面向事业单位、社会组织等非企业主体采购的；</w:t>
      </w:r>
    </w:p>
    <w:p w14:paraId="62EFFC2F">
      <w:pPr>
        <w:widowControl/>
        <w:numPr>
          <w:ilvl w:val="0"/>
          <w:numId w:val="9"/>
        </w:numPr>
        <w:spacing w:before="100" w:beforeAutospacing="1" w:after="100" w:afterAutospacing="1" w:line="360" w:lineRule="auto"/>
        <w:ind w:left="0" w:leftChars="0" w:firstLine="420" w:firstLineChars="175"/>
        <w:jc w:val="left"/>
        <w:rPr>
          <w:rFonts w:hint="eastAsia" w:ascii="宋体" w:hAnsi="宋体" w:cs="宋体"/>
          <w:kern w:val="0"/>
          <w:sz w:val="24"/>
          <w:szCs w:val="24"/>
        </w:rPr>
      </w:pPr>
      <w:r>
        <w:rPr>
          <w:rFonts w:hint="eastAsia" w:ascii="宋体" w:hAnsi="宋体" w:cs="宋体"/>
          <w:kern w:val="0"/>
          <w:sz w:val="24"/>
          <w:szCs w:val="24"/>
        </w:rPr>
        <w:t>因确需使用不可替代的专利、专有技术，基础设施限制，或者提供特定公共服务等原因，只能从中小企业之外的供应商处采购的；</w:t>
      </w:r>
    </w:p>
    <w:p w14:paraId="6D322631">
      <w:pPr>
        <w:widowControl/>
        <w:numPr>
          <w:ilvl w:val="0"/>
          <w:numId w:val="9"/>
        </w:numPr>
        <w:spacing w:before="100" w:beforeAutospacing="1" w:after="100" w:afterAutospacing="1" w:line="360" w:lineRule="auto"/>
        <w:ind w:left="0" w:leftChars="0" w:firstLine="420" w:firstLineChars="175"/>
        <w:jc w:val="left"/>
        <w:rPr>
          <w:rFonts w:hint="eastAsia" w:ascii="宋体" w:hAnsi="宋体" w:cs="宋体"/>
          <w:kern w:val="0"/>
          <w:sz w:val="24"/>
          <w:szCs w:val="24"/>
        </w:rPr>
      </w:pPr>
      <w:r>
        <w:rPr>
          <w:rFonts w:hint="eastAsia" w:ascii="宋体" w:hAnsi="宋体" w:cs="宋体"/>
          <w:kern w:val="0"/>
          <w:sz w:val="24"/>
          <w:szCs w:val="24"/>
        </w:rPr>
        <w:t>按照本办法规定预留采购份额无法确保充分供应、充分竞争，或者存在可能影响政府采购目标实现的情形；</w:t>
      </w:r>
    </w:p>
    <w:p w14:paraId="6FFE3A41">
      <w:pPr>
        <w:widowControl/>
        <w:spacing w:before="100" w:beforeAutospacing="1" w:after="100" w:afterAutospacing="1" w:line="360" w:lineRule="auto"/>
        <w:ind w:left="0" w:leftChars="0" w:firstLine="420" w:firstLineChars="175"/>
        <w:jc w:val="left"/>
        <w:rPr>
          <w:rFonts w:hint="eastAsia" w:ascii="宋体" w:hAnsi="宋体" w:cs="宋体"/>
          <w:sz w:val="24"/>
          <w:szCs w:val="24"/>
        </w:rPr>
      </w:pPr>
      <w:r>
        <w:rPr>
          <w:rFonts w:hint="eastAsia" w:ascii="宋体" w:hAnsi="宋体" w:cs="宋体"/>
          <w:kern w:val="0"/>
          <w:sz w:val="24"/>
          <w:szCs w:val="24"/>
        </w:rPr>
        <w:t>（四）框架协议采购项目；</w:t>
      </w:r>
    </w:p>
    <w:p w14:paraId="00775C65">
      <w:pPr>
        <w:widowControl/>
        <w:spacing w:before="100" w:beforeAutospacing="1" w:after="100" w:afterAutospacing="1" w:line="360" w:lineRule="auto"/>
        <w:ind w:left="0" w:leftChars="0" w:firstLine="420" w:firstLineChars="175"/>
        <w:jc w:val="left"/>
        <w:rPr>
          <w:rFonts w:hint="eastAsia" w:ascii="宋体" w:hAnsi="宋体" w:cs="宋体"/>
          <w:sz w:val="24"/>
          <w:szCs w:val="24"/>
        </w:rPr>
      </w:pPr>
      <w:r>
        <w:rPr>
          <w:rFonts w:hint="eastAsia" w:ascii="宋体" w:hAnsi="宋体" w:cs="宋体"/>
          <w:kern w:val="0"/>
          <w:sz w:val="24"/>
          <w:szCs w:val="24"/>
        </w:rPr>
        <w:t>（五）省级以上人民政府财政部门规定的其他情形。除上述情形外，其他均为适宜由中小企业提供的情形。</w:t>
      </w:r>
    </w:p>
    <w:p w14:paraId="27C8672B">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第七条  采购限额标准以上，200万元以下的货物和服务采购项目、400万元以下的工程采购项目，适宜由中小企业提供的，采购人应当专门面向中小企业采购。</w:t>
      </w:r>
    </w:p>
    <w:p w14:paraId="5A5EA547">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659BA55">
      <w:pPr>
        <w:widowControl/>
        <w:spacing w:before="100" w:beforeAutospacing="1" w:after="100" w:afterAutospacing="1" w:line="360" w:lineRule="auto"/>
        <w:ind w:left="0" w:leftChars="0" w:firstLine="420" w:firstLineChars="175"/>
        <w:jc w:val="left"/>
        <w:rPr>
          <w:rFonts w:hint="eastAsia" w:ascii="宋体" w:hAnsi="宋体" w:cs="宋体"/>
          <w:sz w:val="24"/>
          <w:szCs w:val="24"/>
        </w:rPr>
      </w:pPr>
      <w:r>
        <w:rPr>
          <w:rFonts w:hint="eastAsia" w:ascii="宋体" w:hAnsi="宋体" w:cs="宋体"/>
          <w:kern w:val="0"/>
          <w:sz w:val="24"/>
          <w:szCs w:val="24"/>
        </w:rPr>
        <w:t>（一）将采购项目整体或者设置采购包专门面向中小企业采购；</w:t>
      </w:r>
    </w:p>
    <w:p w14:paraId="55C02A21">
      <w:pPr>
        <w:widowControl/>
        <w:spacing w:before="100" w:beforeAutospacing="1" w:after="100" w:afterAutospacing="1" w:line="360" w:lineRule="auto"/>
        <w:ind w:left="0" w:leftChars="0" w:firstLine="420" w:firstLineChars="175"/>
        <w:jc w:val="left"/>
        <w:rPr>
          <w:rFonts w:hint="eastAsia" w:ascii="宋体" w:hAnsi="宋体" w:cs="宋体"/>
          <w:sz w:val="24"/>
          <w:szCs w:val="24"/>
        </w:rPr>
      </w:pPr>
      <w:r>
        <w:rPr>
          <w:rFonts w:hint="eastAsia" w:ascii="宋体" w:hAnsi="宋体" w:cs="宋体"/>
          <w:kern w:val="0"/>
          <w:sz w:val="24"/>
          <w:szCs w:val="24"/>
        </w:rPr>
        <w:t>（二）要求供应商以联合体形式参加采购活动，且联合体中中小企业承担的部分达到一定比例；</w:t>
      </w:r>
    </w:p>
    <w:p w14:paraId="2CDC0C7B">
      <w:pPr>
        <w:widowControl/>
        <w:spacing w:before="100" w:beforeAutospacing="1" w:after="100" w:afterAutospacing="1" w:line="360" w:lineRule="auto"/>
        <w:ind w:left="0" w:leftChars="0" w:firstLine="420" w:firstLineChars="175"/>
        <w:jc w:val="left"/>
        <w:rPr>
          <w:rFonts w:hint="eastAsia" w:ascii="宋体" w:hAnsi="宋体" w:cs="宋体"/>
          <w:kern w:val="0"/>
          <w:sz w:val="24"/>
          <w:szCs w:val="24"/>
        </w:rPr>
      </w:pPr>
      <w:r>
        <w:rPr>
          <w:rFonts w:hint="eastAsia" w:ascii="宋体" w:hAnsi="宋体" w:cs="宋体"/>
          <w:kern w:val="0"/>
          <w:sz w:val="24"/>
          <w:szCs w:val="24"/>
        </w:rPr>
        <w:t>（三）要求获得采购合同的供应商将采购项目中的一定比例分包给一家或者多家中小企业。</w:t>
      </w:r>
    </w:p>
    <w:p w14:paraId="0B4E9883">
      <w:pPr>
        <w:widowControl/>
        <w:spacing w:before="100" w:beforeAutospacing="1" w:after="100" w:afterAutospacing="1" w:line="360" w:lineRule="auto"/>
        <w:ind w:left="0" w:leftChars="0" w:firstLine="420" w:firstLineChars="175"/>
        <w:jc w:val="left"/>
        <w:rPr>
          <w:rFonts w:hint="eastAsia" w:ascii="宋体" w:hAnsi="宋体" w:cs="宋体"/>
          <w:sz w:val="24"/>
          <w:szCs w:val="24"/>
        </w:rPr>
      </w:pPr>
      <w:r>
        <w:rPr>
          <w:rFonts w:hint="eastAsia" w:ascii="宋体" w:hAnsi="宋体" w:cs="宋体"/>
          <w:kern w:val="0"/>
          <w:sz w:val="24"/>
          <w:szCs w:val="24"/>
        </w:rPr>
        <w:t>组成联合体或者接受分包合同的中小企业与联合体内其他企业、分包企业之间不得存在直接控股、管理关系。</w:t>
      </w:r>
    </w:p>
    <w:p w14:paraId="5E03754A">
      <w:pPr>
        <w:widowControl/>
        <w:numPr>
          <w:ilvl w:val="0"/>
          <w:numId w:val="10"/>
        </w:numPr>
        <w:spacing w:before="100" w:beforeAutospacing="1" w:after="100" w:afterAutospacing="1" w:line="360" w:lineRule="auto"/>
        <w:ind w:left="0" w:leftChars="0" w:firstLine="420" w:firstLineChars="175"/>
        <w:jc w:val="left"/>
        <w:rPr>
          <w:rFonts w:hint="eastAsia" w:ascii="宋体" w:hAnsi="宋体" w:cs="宋体"/>
          <w:kern w:val="0"/>
          <w:sz w:val="24"/>
          <w:szCs w:val="24"/>
        </w:rPr>
      </w:pPr>
      <w:r>
        <w:rPr>
          <w:rFonts w:hint="eastAsia" w:ascii="宋体" w:hAnsi="宋体" w:cs="宋体"/>
          <w:kern w:val="0"/>
          <w:sz w:val="24"/>
          <w:szCs w:val="24"/>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AD58B2E">
      <w:pPr>
        <w:widowControl/>
        <w:spacing w:before="100" w:beforeAutospacing="1" w:after="100" w:afterAutospacing="1" w:line="360" w:lineRule="auto"/>
        <w:ind w:left="5" w:leftChars="0" w:firstLine="410" w:firstLineChars="171"/>
        <w:jc w:val="left"/>
        <w:rPr>
          <w:rFonts w:hint="eastAsia" w:ascii="宋体" w:hAnsi="宋体" w:cs="宋体"/>
          <w:kern w:val="0"/>
          <w:sz w:val="24"/>
          <w:szCs w:val="24"/>
        </w:rPr>
      </w:pPr>
      <w:r>
        <w:rPr>
          <w:rFonts w:hint="eastAsia" w:ascii="宋体" w:hAnsi="宋体" w:cs="宋体"/>
          <w:kern w:val="0"/>
          <w:sz w:val="24"/>
          <w:szCs w:val="24"/>
        </w:rPr>
        <w:t xml:space="preserve">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   </w:t>
      </w:r>
    </w:p>
    <w:p w14:paraId="4176B8DA">
      <w:pPr>
        <w:widowControl/>
        <w:spacing w:before="100" w:beforeAutospacing="1" w:after="100" w:afterAutospacing="1" w:line="360" w:lineRule="auto"/>
        <w:ind w:left="5" w:leftChars="0" w:firstLine="410" w:firstLineChars="171"/>
        <w:jc w:val="left"/>
        <w:rPr>
          <w:rFonts w:hint="eastAsia" w:ascii="宋体" w:hAnsi="宋体" w:cs="宋体"/>
          <w:sz w:val="24"/>
          <w:szCs w:val="24"/>
        </w:rPr>
      </w:pPr>
      <w:r>
        <w:rPr>
          <w:rFonts w:hint="eastAsia" w:ascii="宋体" w:hAnsi="宋体" w:cs="宋体"/>
          <w:kern w:val="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66FD7ED">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12CB9B3">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6EC7D9F7">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第十二条  采购项目涉及中小企业采购的，采购文件应当明确以下内容：</w:t>
      </w:r>
    </w:p>
    <w:p w14:paraId="1AEC80EF">
      <w:pPr>
        <w:widowControl/>
        <w:spacing w:before="100" w:beforeAutospacing="1" w:after="100" w:afterAutospacing="1" w:line="360" w:lineRule="auto"/>
        <w:ind w:left="0" w:leftChars="0" w:firstLine="420" w:firstLineChars="175"/>
        <w:jc w:val="left"/>
        <w:rPr>
          <w:rFonts w:hint="eastAsia" w:ascii="宋体" w:hAnsi="宋体" w:cs="宋体"/>
          <w:sz w:val="24"/>
          <w:szCs w:val="24"/>
        </w:rPr>
      </w:pPr>
      <w:r>
        <w:rPr>
          <w:rFonts w:hint="eastAsia" w:ascii="宋体" w:hAnsi="宋体" w:cs="宋体"/>
          <w:kern w:val="0"/>
          <w:sz w:val="24"/>
          <w:szCs w:val="24"/>
        </w:rPr>
        <w:t>（一）预留份额的采购项目或者采购包，明确该项目或相关采购包专门面向中小企业采购，以及相关标的及预算金额；</w:t>
      </w:r>
    </w:p>
    <w:p w14:paraId="7E81936E">
      <w:pPr>
        <w:widowControl/>
        <w:spacing w:before="100" w:beforeAutospacing="1" w:after="100" w:afterAutospacing="1" w:line="360" w:lineRule="auto"/>
        <w:ind w:left="0" w:leftChars="0" w:firstLine="420" w:firstLineChars="175"/>
        <w:jc w:val="left"/>
        <w:rPr>
          <w:rFonts w:hint="eastAsia" w:ascii="宋体" w:hAnsi="宋体" w:cs="宋体"/>
          <w:sz w:val="24"/>
          <w:szCs w:val="24"/>
        </w:rPr>
      </w:pPr>
      <w:r>
        <w:rPr>
          <w:rFonts w:hint="eastAsia" w:ascii="宋体" w:hAnsi="宋体" w:cs="宋体"/>
          <w:kern w:val="0"/>
          <w:sz w:val="24"/>
          <w:szCs w:val="24"/>
        </w:rPr>
        <w:t>（二）要求以联合体形式参加或者合同分包的，明确联合协议或者分包意向协议中中小企业合同金额应当达到的比例，并作为供应商资格条件；</w:t>
      </w:r>
    </w:p>
    <w:p w14:paraId="7CD9FE8A">
      <w:pPr>
        <w:widowControl/>
        <w:spacing w:before="100" w:beforeAutospacing="1" w:after="100" w:afterAutospacing="1" w:line="360" w:lineRule="auto"/>
        <w:ind w:left="0" w:leftChars="0" w:firstLine="420" w:firstLineChars="175"/>
        <w:jc w:val="left"/>
        <w:rPr>
          <w:rFonts w:hint="eastAsia" w:ascii="宋体" w:hAnsi="宋体" w:cs="宋体"/>
          <w:sz w:val="24"/>
          <w:szCs w:val="24"/>
        </w:rPr>
      </w:pPr>
      <w:r>
        <w:rPr>
          <w:rFonts w:hint="eastAsia" w:ascii="宋体" w:hAnsi="宋体" w:cs="宋体"/>
          <w:kern w:val="0"/>
          <w:sz w:val="24"/>
          <w:szCs w:val="24"/>
        </w:rPr>
        <w:t>（三）非预留份额的采购项目或者采购包，明确有关价格扣除比例或者价格分加分比例；</w:t>
      </w:r>
    </w:p>
    <w:p w14:paraId="263D1232">
      <w:pPr>
        <w:widowControl/>
        <w:spacing w:before="100" w:beforeAutospacing="1" w:after="100" w:afterAutospacing="1" w:line="360" w:lineRule="auto"/>
        <w:ind w:left="0" w:leftChars="0" w:firstLine="420" w:firstLineChars="175"/>
        <w:jc w:val="left"/>
        <w:rPr>
          <w:rFonts w:hint="eastAsia" w:ascii="宋体" w:hAnsi="宋体" w:cs="宋体"/>
          <w:sz w:val="24"/>
          <w:szCs w:val="24"/>
        </w:rPr>
      </w:pPr>
      <w:r>
        <w:rPr>
          <w:rFonts w:hint="eastAsia" w:ascii="宋体" w:hAnsi="宋体" w:cs="宋体"/>
          <w:kern w:val="0"/>
          <w:sz w:val="24"/>
          <w:szCs w:val="24"/>
        </w:rPr>
        <w:t>（四）规定依据本办法规定享受扶持政策获得政府采购合同的，小微企业不得将合同分包给大中型企业，中型企业不得将合同分包给大型企业；</w:t>
      </w:r>
    </w:p>
    <w:p w14:paraId="1EF5FB3D">
      <w:pPr>
        <w:widowControl/>
        <w:spacing w:before="100" w:beforeAutospacing="1" w:after="100" w:afterAutospacing="1" w:line="360" w:lineRule="auto"/>
        <w:ind w:left="0" w:leftChars="0" w:firstLine="420" w:firstLineChars="175"/>
        <w:jc w:val="left"/>
        <w:rPr>
          <w:rFonts w:hint="eastAsia" w:ascii="宋体" w:hAnsi="宋体" w:cs="宋体"/>
          <w:kern w:val="0"/>
          <w:sz w:val="24"/>
          <w:szCs w:val="24"/>
        </w:rPr>
      </w:pPr>
      <w:r>
        <w:rPr>
          <w:rFonts w:hint="eastAsia" w:ascii="宋体" w:hAnsi="宋体" w:cs="宋体"/>
          <w:kern w:val="0"/>
          <w:sz w:val="24"/>
          <w:szCs w:val="24"/>
        </w:rPr>
        <w:t>（五）采购人认为具备相关条件的，明确对中小企业在资金支付期限、预付款比例等方面的优惠措施；</w:t>
      </w:r>
    </w:p>
    <w:p w14:paraId="59D4D09C">
      <w:pPr>
        <w:widowControl/>
        <w:spacing w:before="100" w:beforeAutospacing="1" w:after="100" w:afterAutospacing="1" w:line="360" w:lineRule="auto"/>
        <w:ind w:left="0" w:leftChars="0" w:firstLine="420" w:firstLineChars="175"/>
        <w:jc w:val="left"/>
        <w:rPr>
          <w:rFonts w:hint="eastAsia" w:ascii="宋体" w:hAnsi="宋体" w:cs="宋体"/>
          <w:kern w:val="0"/>
          <w:sz w:val="24"/>
          <w:szCs w:val="24"/>
        </w:rPr>
      </w:pPr>
      <w:r>
        <w:rPr>
          <w:rFonts w:hint="eastAsia" w:ascii="宋体" w:hAnsi="宋体" w:cs="宋体"/>
          <w:kern w:val="0"/>
          <w:sz w:val="24"/>
          <w:szCs w:val="24"/>
        </w:rPr>
        <w:t>（六）明确采购标的对应的中小企业划分标准所属行业；</w:t>
      </w:r>
    </w:p>
    <w:p w14:paraId="70C0CA91">
      <w:pPr>
        <w:widowControl/>
        <w:spacing w:before="100" w:beforeAutospacing="1" w:after="100" w:afterAutospacing="1" w:line="360" w:lineRule="auto"/>
        <w:ind w:left="0" w:leftChars="0" w:firstLine="420" w:firstLineChars="175"/>
        <w:jc w:val="left"/>
        <w:rPr>
          <w:rFonts w:hint="eastAsia" w:ascii="宋体" w:hAnsi="宋体" w:cs="宋体"/>
          <w:sz w:val="24"/>
          <w:szCs w:val="24"/>
        </w:rPr>
      </w:pPr>
      <w:r>
        <w:rPr>
          <w:rFonts w:hint="eastAsia" w:ascii="宋体" w:hAnsi="宋体" w:cs="宋体"/>
          <w:kern w:val="0"/>
          <w:sz w:val="24"/>
          <w:szCs w:val="24"/>
        </w:rPr>
        <w:t>（七）法律法规和省级以上人民政府财政部门规定的其他事项。</w:t>
      </w:r>
    </w:p>
    <w:p w14:paraId="508DFBF7">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第十三条  中标、成交供应商享受本办法规定的中小企业扶持政策的，采购人、采购代理机构应当随中标、成交结果公开中标、成交供应商的《中小企业声明函》。</w:t>
      </w:r>
    </w:p>
    <w:p w14:paraId="62BFF95C">
      <w:pPr>
        <w:widowControl/>
        <w:spacing w:before="100" w:beforeAutospacing="1" w:after="100" w:afterAutospacing="1" w:line="360" w:lineRule="auto"/>
        <w:ind w:left="0" w:leftChars="0" w:firstLine="480" w:firstLineChars="200"/>
        <w:jc w:val="left"/>
        <w:rPr>
          <w:rFonts w:hint="eastAsia" w:ascii="宋体" w:hAnsi="宋体" w:cs="宋体"/>
          <w:kern w:val="0"/>
          <w:sz w:val="24"/>
          <w:szCs w:val="24"/>
        </w:rPr>
      </w:pPr>
      <w:r>
        <w:rPr>
          <w:rFonts w:hint="eastAsia" w:ascii="宋体" w:hAnsi="宋体" w:cs="宋体"/>
          <w:kern w:val="0"/>
          <w:sz w:val="24"/>
          <w:szCs w:val="24"/>
        </w:rPr>
        <w:t>适用招标投标法的政府采购工程建设项目，应当在公示中标候选人时公开中标候选人的《中小企业声明函》。</w:t>
      </w:r>
    </w:p>
    <w:p w14:paraId="49011F87">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BAD0AEC">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第十五条  鼓励各地区、各部门在采购活动中允许中小企业引入信用担保手段，为中小企业在投标（响应）保证、履约保证等方面提供专业化服务。鼓励中小企业依法合规通过政府采购合同融资。</w:t>
      </w:r>
    </w:p>
    <w:p w14:paraId="3ACF083B">
      <w:pPr>
        <w:widowControl/>
        <w:spacing w:before="100" w:beforeAutospacing="1" w:after="100" w:afterAutospacing="1" w:line="360" w:lineRule="auto"/>
        <w:ind w:left="0" w:leftChars="0" w:firstLine="480" w:firstLineChars="200"/>
        <w:jc w:val="left"/>
        <w:rPr>
          <w:rFonts w:hint="eastAsia" w:ascii="宋体" w:hAnsi="宋体" w:cs="宋体"/>
          <w:kern w:val="0"/>
          <w:sz w:val="24"/>
          <w:szCs w:val="24"/>
        </w:rPr>
      </w:pPr>
      <w:r>
        <w:rPr>
          <w:rFonts w:hint="eastAsia" w:ascii="宋体" w:hAnsi="宋体" w:cs="宋体"/>
          <w:kern w:val="0"/>
          <w:sz w:val="24"/>
          <w:szCs w:val="24"/>
        </w:rPr>
        <w:t>第十六条  政府采购监督检查、投诉处理及政府采购行政处罚中对中小企业的认定，由货物制造商或者工程、服务供应商注册登记所在地的县级以上人民政府中小企业主管部门负责。</w:t>
      </w:r>
    </w:p>
    <w:p w14:paraId="0100FB5B">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中小企业主管部门应当在收到财政部门或者有关招标投标行政监督部门关于协助开展中小企业认定函后10个工作日内做出书面答复。</w:t>
      </w:r>
    </w:p>
    <w:p w14:paraId="62B7425F">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第十七条  各地区、各部门应当对涉及中小企业采购的预算项目实施全过程绩效管理，合理设置绩效目标和指标，落实扶持中小企业有关政策要求，定期开展绩效监控和评价，强化绩效评价结果应用。</w:t>
      </w:r>
    </w:p>
    <w:p w14:paraId="7F068477">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09049BC">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951666C">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第二十条  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1116CB17">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DCC9285">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第二十二条  对外援助项目、国家相关资格或者资质管理制度另有规定的项目，不适用本办法。</w:t>
      </w:r>
    </w:p>
    <w:p w14:paraId="536B6B3E">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第二十三条  关于视同中小企业的其他主体的政府采购扶持政策，由财政部会同有关部门另行规定。</w:t>
      </w:r>
    </w:p>
    <w:p w14:paraId="2346225E">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第二十四条  省级财政部门可以会同中小企业主管部门根据本办法的规定制定具体实施办法。</w:t>
      </w:r>
    </w:p>
    <w:p w14:paraId="308C2F99">
      <w:pPr>
        <w:widowControl/>
        <w:spacing w:before="100" w:beforeAutospacing="1" w:after="100" w:afterAutospacing="1" w:line="360" w:lineRule="auto"/>
        <w:ind w:left="0" w:leftChars="0" w:firstLine="480" w:firstLineChars="200"/>
        <w:jc w:val="left"/>
        <w:rPr>
          <w:rFonts w:hint="eastAsia" w:ascii="宋体" w:hAnsi="宋体" w:cs="宋体"/>
          <w:sz w:val="21"/>
          <w:szCs w:val="24"/>
        </w:rPr>
      </w:pPr>
      <w:r>
        <w:rPr>
          <w:rFonts w:hint="eastAsia" w:ascii="宋体" w:hAnsi="宋体" w:cs="宋体"/>
          <w:kern w:val="0"/>
          <w:sz w:val="24"/>
          <w:szCs w:val="24"/>
        </w:rPr>
        <w:t>第二十五条  本办法自2021年1月1日起施行。《财政部工业和信息化部关于印发〈政府采购促进中小企业发展暂行办法〉的通知》（财库﹝2011﹞181号）同时废止。</w:t>
      </w:r>
    </w:p>
    <w:p w14:paraId="2EB45A9C">
      <w:pPr>
        <w:widowControl/>
        <w:spacing w:before="0" w:beforeAutospacing="0" w:after="0" w:afterAutospacing="0" w:line="360" w:lineRule="auto"/>
        <w:ind w:left="0" w:leftChars="0" w:firstLine="480" w:firstLineChars="200"/>
        <w:jc w:val="left"/>
        <w:rPr>
          <w:rFonts w:hint="eastAsia" w:ascii="宋体" w:hAnsi="宋体" w:cs="宋体"/>
          <w:kern w:val="0"/>
          <w:sz w:val="24"/>
          <w:szCs w:val="24"/>
        </w:rPr>
      </w:pPr>
    </w:p>
    <w:p w14:paraId="15A084BF">
      <w:pPr>
        <w:widowControl/>
        <w:spacing w:before="0" w:beforeAutospacing="0" w:after="0" w:afterAutospacing="0" w:line="360" w:lineRule="auto"/>
        <w:ind w:left="0" w:leftChars="0" w:firstLine="480" w:firstLineChars="200"/>
        <w:jc w:val="left"/>
        <w:rPr>
          <w:rFonts w:hint="eastAsia" w:ascii="宋体" w:hAnsi="宋体" w:cs="宋体"/>
          <w:kern w:val="0"/>
          <w:sz w:val="24"/>
          <w:szCs w:val="24"/>
        </w:rPr>
      </w:pPr>
    </w:p>
    <w:p w14:paraId="6A1BCB37">
      <w:pPr>
        <w:widowControl/>
        <w:spacing w:before="0" w:beforeAutospacing="0" w:after="0" w:afterAutospacing="0" w:line="360" w:lineRule="auto"/>
        <w:ind w:left="0" w:leftChars="0"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附：1.中小企业声明函 </w:t>
      </w:r>
    </w:p>
    <w:p w14:paraId="4F7BDD63">
      <w:pPr>
        <w:widowControl/>
        <w:spacing w:before="0" w:beforeAutospacing="0" w:after="0" w:afterAutospacing="0" w:line="360" w:lineRule="auto"/>
        <w:ind w:left="0" w:leftChars="0" w:firstLine="960" w:firstLineChars="400"/>
        <w:jc w:val="left"/>
        <w:rPr>
          <w:rFonts w:hint="eastAsia" w:ascii="宋体" w:hAnsi="宋体" w:cs="宋体"/>
          <w:kern w:val="0"/>
          <w:sz w:val="24"/>
          <w:szCs w:val="24"/>
        </w:rPr>
      </w:pPr>
      <w:r>
        <w:rPr>
          <w:rFonts w:hint="eastAsia" w:ascii="宋体" w:hAnsi="宋体" w:cs="宋体"/>
          <w:kern w:val="0"/>
          <w:sz w:val="24"/>
          <w:szCs w:val="24"/>
        </w:rPr>
        <w:t>2.面向中小企业预留项目执行情况公告</w:t>
      </w:r>
    </w:p>
    <w:p w14:paraId="1E9554D9">
      <w:pPr>
        <w:spacing w:before="0" w:beforeAutospacing="0" w:after="0" w:afterAutospacing="0" w:line="360" w:lineRule="auto"/>
        <w:ind w:left="0" w:leftChars="0"/>
        <w:rPr>
          <w:rFonts w:hint="eastAsia" w:ascii="宋体" w:hAnsi="宋体" w:cs="宋体"/>
          <w:b/>
          <w:bCs/>
          <w:kern w:val="0"/>
          <w:sz w:val="30"/>
          <w:szCs w:val="30"/>
        </w:rPr>
      </w:pPr>
    </w:p>
    <w:p w14:paraId="55077DD7">
      <w:pPr>
        <w:widowControl/>
        <w:spacing w:before="100" w:beforeAutospacing="1" w:after="100" w:afterAutospacing="1" w:line="360" w:lineRule="auto"/>
        <w:ind w:left="0" w:leftChars="0"/>
        <w:jc w:val="left"/>
        <w:rPr>
          <w:rFonts w:hint="eastAsia" w:ascii="宋体" w:hAnsi="宋体" w:cs="宋体"/>
          <w:b/>
          <w:kern w:val="0"/>
          <w:sz w:val="36"/>
          <w:szCs w:val="36"/>
        </w:rPr>
      </w:pPr>
      <w:r>
        <w:rPr>
          <w:rFonts w:hint="eastAsia" w:ascii="宋体" w:hAnsi="宋体" w:cs="宋体"/>
          <w:kern w:val="0"/>
          <w:sz w:val="24"/>
          <w:szCs w:val="24"/>
        </w:rPr>
        <w:br w:type="page"/>
      </w:r>
      <w:r>
        <w:rPr>
          <w:rFonts w:hint="eastAsia" w:ascii="宋体" w:hAnsi="宋体" w:cs="宋体"/>
          <w:kern w:val="0"/>
          <w:sz w:val="24"/>
          <w:szCs w:val="24"/>
        </w:rPr>
        <w:t>附1</w:t>
      </w:r>
    </w:p>
    <w:p w14:paraId="3CF922D3">
      <w:pPr>
        <w:widowControl/>
        <w:spacing w:before="100" w:beforeAutospacing="1" w:after="100" w:afterAutospacing="1" w:line="360" w:lineRule="auto"/>
        <w:ind w:left="0" w:leftChars="0"/>
        <w:jc w:val="center"/>
        <w:rPr>
          <w:rFonts w:hint="eastAsia" w:ascii="宋体" w:hAnsi="宋体" w:cs="宋体"/>
          <w:sz w:val="21"/>
          <w:szCs w:val="24"/>
        </w:rPr>
      </w:pPr>
      <w:r>
        <w:rPr>
          <w:rFonts w:hint="eastAsia" w:ascii="宋体" w:hAnsi="宋体" w:cs="宋体"/>
          <w:b/>
          <w:kern w:val="0"/>
          <w:sz w:val="36"/>
          <w:szCs w:val="36"/>
        </w:rPr>
        <w:t>中小企业声明函（货物）</w:t>
      </w:r>
    </w:p>
    <w:p w14:paraId="030A2468">
      <w:pPr>
        <w:widowControl/>
        <w:spacing w:before="100" w:beforeAutospacing="1" w:after="100" w:afterAutospacing="1" w:line="360" w:lineRule="auto"/>
        <w:ind w:left="0" w:leftChars="0" w:firstLine="480" w:firstLineChars="200"/>
        <w:jc w:val="left"/>
        <w:rPr>
          <w:rFonts w:hint="eastAsia" w:ascii="宋体" w:hAnsi="宋体" w:cs="宋体"/>
          <w:kern w:val="0"/>
          <w:sz w:val="24"/>
          <w:szCs w:val="24"/>
        </w:rPr>
      </w:pPr>
    </w:p>
    <w:p w14:paraId="4549CE5C">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本公司（联合体）郑重声明，根据《政府采购促进中小企业发展管理办法》（财库﹝2020﹞46号）的规定，本公司（联合体）参加</w:t>
      </w:r>
      <w:r>
        <w:rPr>
          <w:rFonts w:hint="eastAsia" w:ascii="宋体" w:hAnsi="宋体" w:cs="宋体"/>
          <w:i/>
          <w:kern w:val="0"/>
          <w:sz w:val="24"/>
          <w:szCs w:val="24"/>
          <w:u w:val="single"/>
        </w:rPr>
        <w:t>（单位名称）</w:t>
      </w:r>
      <w:r>
        <w:rPr>
          <w:rFonts w:hint="eastAsia" w:ascii="宋体" w:hAnsi="宋体" w:cs="宋体"/>
          <w:kern w:val="0"/>
          <w:sz w:val="24"/>
          <w:szCs w:val="24"/>
        </w:rPr>
        <w:t>的</w:t>
      </w:r>
      <w:r>
        <w:rPr>
          <w:rFonts w:hint="eastAsia" w:ascii="宋体" w:hAnsi="宋体" w:cs="宋体"/>
          <w:i/>
          <w:kern w:val="0"/>
          <w:sz w:val="24"/>
          <w:szCs w:val="24"/>
          <w:u w:val="single"/>
        </w:rPr>
        <w:t>（项目名称）</w:t>
      </w:r>
      <w:r>
        <w:rPr>
          <w:rFonts w:hint="eastAsia" w:ascii="宋体" w:hAnsi="宋体" w:cs="宋体"/>
          <w:kern w:val="0"/>
          <w:sz w:val="24"/>
          <w:szCs w:val="24"/>
        </w:rPr>
        <w:t>采购活动，提供的货物全部由符合政策要求的中小企业制造。相关企业（含联合体中的中小企业、签订分包意向协议的中小企业）的具体情况如下：</w:t>
      </w:r>
    </w:p>
    <w:p w14:paraId="3A2F6031">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1.</w:t>
      </w:r>
      <w:r>
        <w:rPr>
          <w:rFonts w:hint="eastAsia" w:ascii="宋体" w:hAnsi="宋体" w:cs="宋体"/>
          <w:i/>
          <w:kern w:val="0"/>
          <w:sz w:val="24"/>
          <w:szCs w:val="24"/>
          <w:u w:val="single"/>
        </w:rPr>
        <w:t>（标的名称）</w:t>
      </w:r>
      <w:r>
        <w:rPr>
          <w:rFonts w:hint="eastAsia" w:ascii="宋体" w:hAnsi="宋体" w:cs="宋体"/>
          <w:kern w:val="0"/>
          <w:sz w:val="24"/>
          <w:szCs w:val="24"/>
        </w:rPr>
        <w:t>，属于</w:t>
      </w:r>
      <w:r>
        <w:rPr>
          <w:rFonts w:hint="eastAsia" w:ascii="宋体" w:hAnsi="宋体" w:cs="宋体"/>
          <w:i/>
          <w:kern w:val="0"/>
          <w:sz w:val="24"/>
          <w:szCs w:val="24"/>
          <w:u w:val="single"/>
        </w:rPr>
        <w:t>（采购文件中明确的所属行业）行业</w:t>
      </w:r>
      <w:r>
        <w:rPr>
          <w:rFonts w:hint="eastAsia" w:ascii="宋体" w:hAnsi="宋体" w:cs="宋体"/>
          <w:kern w:val="0"/>
          <w:sz w:val="24"/>
          <w:szCs w:val="24"/>
        </w:rPr>
        <w:t>；制造商为</w:t>
      </w:r>
      <w:r>
        <w:rPr>
          <w:rFonts w:hint="eastAsia" w:ascii="宋体" w:hAnsi="宋体" w:cs="宋体"/>
          <w:i/>
          <w:kern w:val="0"/>
          <w:sz w:val="24"/>
          <w:szCs w:val="24"/>
          <w:u w:val="single"/>
        </w:rPr>
        <w:t>（企业名称）</w:t>
      </w:r>
      <w:r>
        <w:rPr>
          <w:rFonts w:hint="eastAsia" w:ascii="宋体" w:hAnsi="宋体" w:cs="宋体"/>
          <w:kern w:val="0"/>
          <w:sz w:val="24"/>
          <w:szCs w:val="24"/>
        </w:rPr>
        <w:t>，从业人员人，营业收入为万元，资产总额为万元¹，属于</w:t>
      </w:r>
      <w:r>
        <w:rPr>
          <w:rFonts w:hint="eastAsia" w:ascii="宋体" w:hAnsi="宋体" w:cs="宋体"/>
          <w:i/>
          <w:kern w:val="0"/>
          <w:sz w:val="24"/>
          <w:szCs w:val="24"/>
          <w:u w:val="single"/>
        </w:rPr>
        <w:t>（中型企业、小型企业、微型企业）</w:t>
      </w:r>
      <w:r>
        <w:rPr>
          <w:rFonts w:hint="eastAsia" w:ascii="宋体" w:hAnsi="宋体" w:cs="宋体"/>
          <w:kern w:val="0"/>
          <w:sz w:val="24"/>
          <w:szCs w:val="24"/>
        </w:rPr>
        <w:t>；</w:t>
      </w:r>
    </w:p>
    <w:p w14:paraId="68FDECB7">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2.</w:t>
      </w:r>
      <w:r>
        <w:rPr>
          <w:rFonts w:hint="eastAsia" w:ascii="宋体" w:hAnsi="宋体" w:cs="宋体"/>
          <w:i/>
          <w:kern w:val="0"/>
          <w:sz w:val="24"/>
          <w:szCs w:val="24"/>
          <w:u w:val="single"/>
        </w:rPr>
        <w:t>（标的名称）</w:t>
      </w:r>
      <w:r>
        <w:rPr>
          <w:rFonts w:hint="eastAsia" w:ascii="宋体" w:hAnsi="宋体" w:cs="宋体"/>
          <w:kern w:val="0"/>
          <w:sz w:val="24"/>
          <w:szCs w:val="24"/>
        </w:rPr>
        <w:t>，属于</w:t>
      </w:r>
      <w:r>
        <w:rPr>
          <w:rFonts w:hint="eastAsia" w:ascii="宋体" w:hAnsi="宋体" w:cs="宋体"/>
          <w:i/>
          <w:kern w:val="0"/>
          <w:sz w:val="24"/>
          <w:szCs w:val="24"/>
          <w:u w:val="single"/>
        </w:rPr>
        <w:t>（采购文件中明确的所属行业）行业</w:t>
      </w:r>
      <w:r>
        <w:rPr>
          <w:rFonts w:hint="eastAsia" w:ascii="宋体" w:hAnsi="宋体" w:cs="宋体"/>
          <w:kern w:val="0"/>
          <w:sz w:val="24"/>
          <w:szCs w:val="24"/>
        </w:rPr>
        <w:t>；制造商为</w:t>
      </w:r>
      <w:r>
        <w:rPr>
          <w:rFonts w:hint="eastAsia" w:ascii="宋体" w:hAnsi="宋体" w:cs="宋体"/>
          <w:i/>
          <w:kern w:val="0"/>
          <w:sz w:val="24"/>
          <w:szCs w:val="24"/>
          <w:u w:val="single"/>
        </w:rPr>
        <w:t>（企业名称）</w:t>
      </w:r>
      <w:r>
        <w:rPr>
          <w:rFonts w:hint="eastAsia" w:ascii="宋体" w:hAnsi="宋体" w:cs="宋体"/>
          <w:kern w:val="0"/>
          <w:sz w:val="24"/>
          <w:szCs w:val="24"/>
        </w:rPr>
        <w:t>，从业人员人，营业收入为万元，资产总额为万元，属于</w:t>
      </w:r>
      <w:r>
        <w:rPr>
          <w:rFonts w:hint="eastAsia" w:ascii="宋体" w:hAnsi="宋体" w:cs="宋体"/>
          <w:i/>
          <w:kern w:val="0"/>
          <w:sz w:val="24"/>
          <w:szCs w:val="24"/>
          <w:u w:val="single"/>
        </w:rPr>
        <w:t>（中型企业、小型企业、微型企业）</w:t>
      </w:r>
      <w:r>
        <w:rPr>
          <w:rFonts w:hint="eastAsia" w:ascii="宋体" w:hAnsi="宋体" w:cs="宋体"/>
          <w:kern w:val="0"/>
          <w:sz w:val="24"/>
          <w:szCs w:val="24"/>
        </w:rPr>
        <w:t>；</w:t>
      </w:r>
    </w:p>
    <w:p w14:paraId="7DA07E1F">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w:t>
      </w:r>
    </w:p>
    <w:p w14:paraId="2FAF512B">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14:paraId="2D4C35DF">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本企业对上述声明内容的真实性负责。如有虚假，将依法承担相应责任。</w:t>
      </w:r>
    </w:p>
    <w:p w14:paraId="48F62E1F">
      <w:pPr>
        <w:widowControl/>
        <w:spacing w:before="100" w:beforeAutospacing="1" w:after="100" w:afterAutospacing="1" w:line="360" w:lineRule="auto"/>
        <w:ind w:left="0" w:leftChars="0"/>
        <w:jc w:val="center"/>
        <w:rPr>
          <w:rFonts w:hint="eastAsia" w:ascii="宋体" w:hAnsi="宋体" w:cs="宋体"/>
          <w:kern w:val="0"/>
          <w:sz w:val="24"/>
          <w:szCs w:val="24"/>
        </w:rPr>
      </w:pPr>
      <w:r>
        <w:rPr>
          <w:rFonts w:hint="eastAsia" w:ascii="宋体" w:hAnsi="宋体" w:cs="宋体"/>
          <w:kern w:val="0"/>
          <w:sz w:val="24"/>
          <w:szCs w:val="24"/>
        </w:rPr>
        <w:t xml:space="preserve">                  </w:t>
      </w:r>
    </w:p>
    <w:p w14:paraId="751F784E">
      <w:pPr>
        <w:widowControl/>
        <w:spacing w:before="100" w:beforeAutospacing="1" w:after="100" w:afterAutospacing="1" w:line="360" w:lineRule="auto"/>
        <w:ind w:left="0" w:leftChars="0"/>
        <w:jc w:val="center"/>
        <w:rPr>
          <w:rFonts w:hint="eastAsia" w:ascii="宋体" w:hAnsi="宋体" w:cs="宋体"/>
          <w:sz w:val="24"/>
          <w:szCs w:val="24"/>
        </w:rPr>
      </w:pPr>
      <w:r>
        <w:rPr>
          <w:rFonts w:hint="eastAsia" w:ascii="宋体" w:hAnsi="宋体" w:cs="宋体"/>
          <w:kern w:val="0"/>
          <w:sz w:val="24"/>
          <w:szCs w:val="24"/>
        </w:rPr>
        <w:t xml:space="preserve">   企业名称（盖章）：</w:t>
      </w:r>
    </w:p>
    <w:p w14:paraId="41078991">
      <w:pPr>
        <w:widowControl/>
        <w:spacing w:before="100" w:beforeAutospacing="1" w:after="100" w:afterAutospacing="1" w:line="360" w:lineRule="auto"/>
        <w:ind w:left="0" w:leftChars="0"/>
        <w:jc w:val="center"/>
        <w:rPr>
          <w:rFonts w:hint="eastAsia" w:ascii="宋体" w:hAnsi="宋体" w:cs="宋体"/>
          <w:kern w:val="0"/>
          <w:sz w:val="24"/>
          <w:szCs w:val="24"/>
        </w:rPr>
      </w:pPr>
      <w:r>
        <w:rPr>
          <w:rFonts w:hint="eastAsia" w:ascii="宋体" w:hAnsi="宋体" w:cs="宋体"/>
          <w:kern w:val="0"/>
          <w:sz w:val="24"/>
          <w:szCs w:val="24"/>
        </w:rPr>
        <w:t xml:space="preserve">            日期：</w:t>
      </w:r>
    </w:p>
    <w:p w14:paraId="361FB45F">
      <w:pPr>
        <w:widowControl/>
        <w:spacing w:before="100" w:beforeAutospacing="1" w:after="100" w:afterAutospacing="1" w:line="360" w:lineRule="auto"/>
        <w:ind w:left="0" w:leftChars="0"/>
        <w:jc w:val="left"/>
        <w:rPr>
          <w:rFonts w:hint="eastAsia" w:ascii="宋体" w:hAnsi="宋体" w:cs="宋体"/>
          <w:kern w:val="0"/>
          <w:sz w:val="18"/>
          <w:szCs w:val="18"/>
          <w:u w:val="single"/>
        </w:rPr>
      </w:pPr>
      <w:r>
        <w:rPr>
          <w:rFonts w:hint="eastAsia" w:ascii="宋体" w:hAnsi="宋体" w:cs="宋体"/>
          <w:kern w:val="0"/>
          <w:sz w:val="18"/>
          <w:szCs w:val="18"/>
          <w:u w:val="single"/>
        </w:rPr>
        <w:t xml:space="preserve">                                          </w:t>
      </w:r>
    </w:p>
    <w:p w14:paraId="6DA6CFED">
      <w:pPr>
        <w:widowControl/>
        <w:spacing w:before="100" w:beforeAutospacing="1" w:after="100" w:afterAutospacing="1" w:line="360" w:lineRule="auto"/>
        <w:ind w:left="0" w:leftChars="0"/>
        <w:jc w:val="left"/>
        <w:rPr>
          <w:rFonts w:hint="eastAsia" w:ascii="宋体" w:hAnsi="宋体" w:cs="宋体"/>
          <w:sz w:val="18"/>
          <w:szCs w:val="18"/>
        </w:rPr>
      </w:pPr>
      <w:r>
        <w:rPr>
          <w:rFonts w:hint="eastAsia" w:ascii="宋体" w:hAnsi="宋体" w:cs="宋体"/>
          <w:kern w:val="0"/>
          <w:sz w:val="18"/>
          <w:szCs w:val="18"/>
        </w:rPr>
        <w:t>¹从业人员、营业收入、资产总额填报上一年度数据，无上一年度数据的新成立企业可不填报。</w:t>
      </w:r>
    </w:p>
    <w:p w14:paraId="7613AEA9">
      <w:pPr>
        <w:widowControl/>
        <w:spacing w:before="100" w:beforeAutospacing="1" w:after="100" w:afterAutospacing="1" w:line="360" w:lineRule="auto"/>
        <w:ind w:left="0" w:leftChars="0"/>
        <w:jc w:val="center"/>
        <w:rPr>
          <w:rFonts w:hint="eastAsia" w:ascii="宋体" w:hAnsi="宋体" w:cs="宋体"/>
          <w:sz w:val="24"/>
          <w:szCs w:val="24"/>
        </w:rPr>
      </w:pPr>
      <w:r>
        <w:rPr>
          <w:rFonts w:hint="eastAsia" w:ascii="宋体" w:hAnsi="宋体" w:cs="宋体"/>
          <w:b/>
          <w:kern w:val="0"/>
          <w:sz w:val="36"/>
          <w:szCs w:val="36"/>
        </w:rPr>
        <w:t>中小企业声明函（工程、服务）</w:t>
      </w:r>
    </w:p>
    <w:p w14:paraId="4E7F4B5E">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本公司（联合体）郑重声明，根据《政府采购促进中小企业发展管理办法》（财库﹝2020﹞46号）的规定，本公司（联合体）参加</w:t>
      </w:r>
      <w:r>
        <w:rPr>
          <w:rFonts w:hint="eastAsia" w:ascii="宋体" w:hAnsi="宋体" w:cs="宋体"/>
          <w:i/>
          <w:kern w:val="0"/>
          <w:sz w:val="24"/>
          <w:szCs w:val="24"/>
          <w:u w:val="single"/>
        </w:rPr>
        <w:t>（单位名称）</w:t>
      </w:r>
      <w:r>
        <w:rPr>
          <w:rFonts w:hint="eastAsia" w:ascii="宋体" w:hAnsi="宋体" w:cs="宋体"/>
          <w:kern w:val="0"/>
          <w:sz w:val="24"/>
          <w:szCs w:val="24"/>
        </w:rPr>
        <w:t>的</w:t>
      </w:r>
      <w:r>
        <w:rPr>
          <w:rFonts w:hint="eastAsia" w:ascii="宋体" w:hAnsi="宋体" w:cs="宋体"/>
          <w:i/>
          <w:kern w:val="0"/>
          <w:sz w:val="24"/>
          <w:szCs w:val="24"/>
          <w:u w:val="single"/>
        </w:rPr>
        <w:t>（项目名称）</w:t>
      </w:r>
      <w:r>
        <w:rPr>
          <w:rFonts w:hint="eastAsia" w:ascii="宋体" w:hAnsi="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9F761DA">
      <w:pPr>
        <w:widowControl/>
        <w:spacing w:before="100" w:beforeAutospacing="1" w:after="100" w:afterAutospacing="1" w:line="360" w:lineRule="auto"/>
        <w:ind w:left="0" w:leftChars="0" w:firstLine="480" w:firstLineChars="200"/>
        <w:jc w:val="left"/>
        <w:rPr>
          <w:rFonts w:hint="eastAsia" w:ascii="宋体" w:hAnsi="宋体" w:cs="宋体"/>
          <w:sz w:val="24"/>
          <w:szCs w:val="24"/>
        </w:rPr>
      </w:pPr>
      <w:r>
        <w:rPr>
          <w:rFonts w:hint="eastAsia" w:ascii="宋体" w:hAnsi="宋体" w:cs="宋体"/>
          <w:kern w:val="0"/>
          <w:sz w:val="24"/>
          <w:szCs w:val="24"/>
        </w:rPr>
        <w:t>1.</w:t>
      </w:r>
      <w:r>
        <w:rPr>
          <w:rFonts w:hint="eastAsia" w:ascii="宋体" w:hAnsi="宋体" w:cs="宋体"/>
          <w:i/>
          <w:kern w:val="0"/>
          <w:sz w:val="24"/>
          <w:szCs w:val="24"/>
          <w:u w:val="single"/>
        </w:rPr>
        <w:t>（标的名称）</w:t>
      </w:r>
      <w:r>
        <w:rPr>
          <w:rFonts w:hint="eastAsia" w:ascii="宋体" w:hAnsi="宋体" w:cs="宋体"/>
          <w:kern w:val="0"/>
          <w:sz w:val="24"/>
          <w:szCs w:val="24"/>
        </w:rPr>
        <w:t>，属于</w:t>
      </w:r>
      <w:r>
        <w:rPr>
          <w:rFonts w:hint="eastAsia" w:ascii="宋体" w:hAnsi="宋体" w:cs="宋体"/>
          <w:i/>
          <w:kern w:val="0"/>
          <w:sz w:val="24"/>
          <w:szCs w:val="24"/>
          <w:u w:val="single"/>
        </w:rPr>
        <w:t>（采购文件中明确的所属行业）</w:t>
      </w:r>
      <w:r>
        <w:rPr>
          <w:rFonts w:hint="eastAsia" w:ascii="宋体" w:hAnsi="宋体" w:cs="宋体"/>
          <w:kern w:val="0"/>
          <w:sz w:val="24"/>
          <w:szCs w:val="24"/>
        </w:rPr>
        <w:t>；承建（承接）企业为</w:t>
      </w:r>
      <w:r>
        <w:rPr>
          <w:rFonts w:hint="eastAsia" w:ascii="宋体" w:hAnsi="宋体" w:cs="宋体"/>
          <w:i/>
          <w:kern w:val="0"/>
          <w:sz w:val="24"/>
          <w:szCs w:val="24"/>
          <w:u w:val="single"/>
        </w:rPr>
        <w:t>（企业名称）</w:t>
      </w:r>
      <w:r>
        <w:rPr>
          <w:rFonts w:hint="eastAsia" w:ascii="宋体" w:hAnsi="宋体" w:cs="宋体"/>
          <w:kern w:val="0"/>
          <w:sz w:val="24"/>
          <w:szCs w:val="24"/>
        </w:rPr>
        <w:t>，从业人员人，营业收入为万元，资产总额为万元¹，属于</w:t>
      </w:r>
      <w:r>
        <w:rPr>
          <w:rFonts w:hint="eastAsia" w:ascii="宋体" w:hAnsi="宋体" w:cs="宋体"/>
          <w:i/>
          <w:kern w:val="0"/>
          <w:sz w:val="24"/>
          <w:szCs w:val="24"/>
          <w:u w:val="single"/>
        </w:rPr>
        <w:t>（中型企业、小型企业、微型企业）</w:t>
      </w:r>
      <w:r>
        <w:rPr>
          <w:rFonts w:hint="eastAsia" w:ascii="宋体" w:hAnsi="宋体" w:cs="宋体"/>
          <w:kern w:val="0"/>
          <w:sz w:val="24"/>
          <w:szCs w:val="24"/>
        </w:rPr>
        <w:t>；</w:t>
      </w:r>
    </w:p>
    <w:p w14:paraId="4B16DD64">
      <w:pPr>
        <w:widowControl/>
        <w:spacing w:before="100" w:beforeAutospacing="1" w:after="100" w:afterAutospacing="1" w:line="360" w:lineRule="auto"/>
        <w:ind w:left="0" w:leftChars="0"/>
        <w:jc w:val="left"/>
        <w:rPr>
          <w:rFonts w:hint="eastAsia" w:ascii="宋体" w:hAnsi="宋体" w:cs="宋体"/>
          <w:sz w:val="24"/>
          <w:szCs w:val="24"/>
        </w:rPr>
      </w:pPr>
      <w:r>
        <w:rPr>
          <w:rFonts w:hint="eastAsia" w:ascii="宋体" w:hAnsi="宋体" w:cs="宋体"/>
          <w:kern w:val="0"/>
          <w:sz w:val="24"/>
          <w:szCs w:val="24"/>
        </w:rPr>
        <w:t>2.</w:t>
      </w:r>
      <w:r>
        <w:rPr>
          <w:rFonts w:hint="eastAsia" w:ascii="宋体" w:hAnsi="宋体" w:cs="宋体"/>
          <w:i/>
          <w:kern w:val="0"/>
          <w:sz w:val="24"/>
          <w:szCs w:val="24"/>
          <w:u w:val="single"/>
        </w:rPr>
        <w:t>（标的名称）</w:t>
      </w:r>
      <w:r>
        <w:rPr>
          <w:rFonts w:hint="eastAsia" w:ascii="宋体" w:hAnsi="宋体" w:cs="宋体"/>
          <w:kern w:val="0"/>
          <w:sz w:val="24"/>
          <w:szCs w:val="24"/>
        </w:rPr>
        <w:t>，属于</w:t>
      </w:r>
      <w:r>
        <w:rPr>
          <w:rFonts w:hint="eastAsia" w:ascii="宋体" w:hAnsi="宋体" w:cs="宋体"/>
          <w:i/>
          <w:kern w:val="0"/>
          <w:sz w:val="24"/>
          <w:szCs w:val="24"/>
          <w:u w:val="single"/>
        </w:rPr>
        <w:t>（采购文件中明确的所属行业）</w:t>
      </w:r>
      <w:r>
        <w:rPr>
          <w:rFonts w:hint="eastAsia" w:ascii="宋体" w:hAnsi="宋体" w:cs="宋体"/>
          <w:kern w:val="0"/>
          <w:sz w:val="24"/>
          <w:szCs w:val="24"/>
        </w:rPr>
        <w:t>；承建（承接）企业为</w:t>
      </w:r>
      <w:r>
        <w:rPr>
          <w:rFonts w:hint="eastAsia" w:ascii="宋体" w:hAnsi="宋体" w:cs="宋体"/>
          <w:i/>
          <w:kern w:val="0"/>
          <w:sz w:val="24"/>
          <w:szCs w:val="24"/>
          <w:u w:val="single"/>
        </w:rPr>
        <w:t>（企业名称）</w:t>
      </w:r>
      <w:r>
        <w:rPr>
          <w:rFonts w:hint="eastAsia" w:ascii="宋体" w:hAnsi="宋体" w:cs="宋体"/>
          <w:kern w:val="0"/>
          <w:sz w:val="24"/>
          <w:szCs w:val="24"/>
        </w:rPr>
        <w:t>，从业人员人，营业收入为万元，资产总额为万元，属于</w:t>
      </w:r>
      <w:r>
        <w:rPr>
          <w:rFonts w:hint="eastAsia" w:ascii="宋体" w:hAnsi="宋体" w:cs="宋体"/>
          <w:i/>
          <w:kern w:val="0"/>
          <w:sz w:val="24"/>
          <w:szCs w:val="24"/>
          <w:u w:val="single"/>
        </w:rPr>
        <w:t>（中型企业、小型企业、微型企业）</w:t>
      </w:r>
      <w:r>
        <w:rPr>
          <w:rFonts w:hint="eastAsia" w:ascii="宋体" w:hAnsi="宋体" w:cs="宋体"/>
          <w:kern w:val="0"/>
          <w:sz w:val="24"/>
          <w:szCs w:val="24"/>
        </w:rPr>
        <w:t>；</w:t>
      </w:r>
    </w:p>
    <w:p w14:paraId="3DCD8F75">
      <w:pPr>
        <w:widowControl/>
        <w:spacing w:before="100" w:beforeAutospacing="1" w:after="100" w:afterAutospacing="1" w:line="360" w:lineRule="auto"/>
        <w:ind w:left="0" w:leftChars="0"/>
        <w:jc w:val="left"/>
        <w:rPr>
          <w:rFonts w:hint="eastAsia" w:ascii="宋体" w:hAnsi="宋体" w:cs="宋体"/>
          <w:sz w:val="24"/>
          <w:szCs w:val="24"/>
        </w:rPr>
      </w:pPr>
      <w:r>
        <w:rPr>
          <w:rFonts w:hint="eastAsia" w:ascii="宋体" w:hAnsi="宋体" w:cs="宋体"/>
          <w:kern w:val="0"/>
          <w:sz w:val="24"/>
          <w:szCs w:val="24"/>
        </w:rPr>
        <w:t>……</w:t>
      </w:r>
    </w:p>
    <w:p w14:paraId="396E022B">
      <w:pPr>
        <w:widowControl/>
        <w:spacing w:before="100" w:beforeAutospacing="1" w:after="100" w:afterAutospacing="1" w:line="360" w:lineRule="auto"/>
        <w:ind w:left="0" w:leftChars="0"/>
        <w:jc w:val="left"/>
        <w:rPr>
          <w:rFonts w:hint="eastAsia" w:ascii="宋体" w:hAnsi="宋体" w:cs="宋体"/>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14:paraId="209D96C2">
      <w:pPr>
        <w:widowControl/>
        <w:spacing w:before="100" w:beforeAutospacing="1" w:after="100" w:afterAutospacing="1" w:line="360" w:lineRule="auto"/>
        <w:ind w:left="0" w:leftChars="0"/>
        <w:jc w:val="left"/>
        <w:rPr>
          <w:rFonts w:hint="eastAsia" w:ascii="宋体" w:hAnsi="宋体" w:cs="宋体"/>
          <w:sz w:val="24"/>
          <w:szCs w:val="24"/>
        </w:rPr>
      </w:pPr>
      <w:r>
        <w:rPr>
          <w:rFonts w:hint="eastAsia" w:ascii="宋体" w:hAnsi="宋体" w:cs="宋体"/>
          <w:kern w:val="0"/>
          <w:sz w:val="24"/>
          <w:szCs w:val="24"/>
        </w:rPr>
        <w:t>本企业对上述声明内容的真实性负责。如有虚假，将依法承担相应责任。</w:t>
      </w:r>
    </w:p>
    <w:p w14:paraId="323BA66A">
      <w:pPr>
        <w:widowControl/>
        <w:spacing w:before="100" w:beforeAutospacing="1" w:after="100" w:afterAutospacing="1" w:line="360" w:lineRule="auto"/>
        <w:ind w:left="0" w:leftChars="0"/>
        <w:jc w:val="right"/>
        <w:rPr>
          <w:rFonts w:hint="eastAsia" w:ascii="宋体" w:hAnsi="宋体" w:cs="宋体"/>
          <w:kern w:val="0"/>
          <w:sz w:val="24"/>
          <w:szCs w:val="24"/>
        </w:rPr>
      </w:pPr>
    </w:p>
    <w:p w14:paraId="12E9F32D">
      <w:pPr>
        <w:widowControl/>
        <w:spacing w:before="100" w:beforeAutospacing="1" w:after="100" w:afterAutospacing="1" w:line="360" w:lineRule="auto"/>
        <w:ind w:left="0" w:leftChars="0"/>
        <w:jc w:val="center"/>
        <w:rPr>
          <w:rFonts w:hint="eastAsia" w:ascii="宋体" w:hAnsi="宋体" w:cs="宋体"/>
          <w:sz w:val="24"/>
          <w:szCs w:val="24"/>
        </w:rPr>
      </w:pPr>
      <w:r>
        <w:rPr>
          <w:rFonts w:hint="eastAsia" w:ascii="宋体" w:hAnsi="宋体" w:cs="宋体"/>
          <w:kern w:val="0"/>
          <w:sz w:val="24"/>
          <w:szCs w:val="24"/>
        </w:rPr>
        <w:t xml:space="preserve">                            企业名称（盖章）：</w:t>
      </w:r>
    </w:p>
    <w:p w14:paraId="4B1AE2EB">
      <w:pPr>
        <w:widowControl/>
        <w:spacing w:before="100" w:beforeAutospacing="1" w:after="100" w:afterAutospacing="1" w:line="360" w:lineRule="auto"/>
        <w:ind w:left="0" w:leftChars="0"/>
        <w:jc w:val="center"/>
        <w:rPr>
          <w:rFonts w:hint="eastAsia" w:ascii="宋体" w:hAnsi="宋体" w:cs="宋体"/>
          <w:kern w:val="0"/>
          <w:sz w:val="24"/>
          <w:szCs w:val="24"/>
        </w:rPr>
      </w:pPr>
      <w:r>
        <w:rPr>
          <w:rFonts w:hint="eastAsia" w:ascii="宋体" w:hAnsi="宋体" w:cs="宋体"/>
          <w:kern w:val="0"/>
          <w:sz w:val="24"/>
          <w:szCs w:val="24"/>
        </w:rPr>
        <w:t xml:space="preserve">                日期：</w:t>
      </w:r>
    </w:p>
    <w:p w14:paraId="7A78B927">
      <w:pPr>
        <w:widowControl/>
        <w:spacing w:before="100" w:beforeAutospacing="1" w:after="100" w:afterAutospacing="1" w:line="360" w:lineRule="auto"/>
        <w:ind w:left="0" w:leftChars="0"/>
        <w:jc w:val="left"/>
        <w:rPr>
          <w:rFonts w:hint="eastAsia" w:ascii="宋体" w:hAnsi="宋体" w:cs="宋体"/>
          <w:kern w:val="0"/>
          <w:sz w:val="18"/>
          <w:szCs w:val="18"/>
          <w:u w:val="single"/>
        </w:rPr>
      </w:pPr>
      <w:r>
        <w:rPr>
          <w:rFonts w:hint="eastAsia" w:ascii="宋体" w:hAnsi="宋体" w:cs="宋体"/>
          <w:kern w:val="0"/>
          <w:sz w:val="18"/>
          <w:szCs w:val="18"/>
          <w:u w:val="single"/>
        </w:rPr>
        <w:t xml:space="preserve">                                         </w:t>
      </w:r>
    </w:p>
    <w:p w14:paraId="589A2C65">
      <w:pPr>
        <w:spacing w:before="100" w:beforeAutospacing="1" w:after="100" w:afterAutospacing="1" w:line="360" w:lineRule="auto"/>
        <w:ind w:left="0" w:leftChars="0"/>
        <w:rPr>
          <w:rFonts w:hint="eastAsia" w:ascii="宋体" w:hAnsi="宋体" w:cs="宋体"/>
          <w:kern w:val="0"/>
          <w:sz w:val="18"/>
          <w:szCs w:val="18"/>
        </w:rPr>
      </w:pPr>
      <w:r>
        <w:rPr>
          <w:rFonts w:hint="eastAsia" w:ascii="宋体" w:hAnsi="宋体" w:cs="宋体"/>
          <w:kern w:val="0"/>
          <w:sz w:val="18"/>
          <w:szCs w:val="18"/>
        </w:rPr>
        <w:t>¹从业人员、营业收入、资产总额填报上一年度数据，无上一年度数据的新成立企业可不填报。</w:t>
      </w:r>
    </w:p>
    <w:p w14:paraId="00BA2271">
      <w:pPr>
        <w:spacing w:before="100" w:beforeAutospacing="1" w:after="100" w:afterAutospacing="1" w:line="360" w:lineRule="auto"/>
        <w:ind w:left="0" w:leftChars="0"/>
        <w:jc w:val="center"/>
        <w:rPr>
          <w:rFonts w:hint="eastAsia" w:ascii="宋体" w:hAnsi="宋体" w:cs="宋体"/>
          <w:sz w:val="21"/>
          <w:szCs w:val="24"/>
        </w:rPr>
      </w:pPr>
      <w:r>
        <w:rPr>
          <w:rFonts w:hint="eastAsia" w:ascii="宋体" w:hAnsi="宋体" w:cs="宋体"/>
          <w:sz w:val="24"/>
          <w:szCs w:val="24"/>
        </w:rPr>
        <w:br w:type="page"/>
      </w:r>
      <w:r>
        <w:rPr>
          <w:rFonts w:hint="eastAsia" w:ascii="宋体" w:hAnsi="宋体" w:cs="宋体"/>
          <w:b/>
          <w:bCs/>
          <w:sz w:val="28"/>
          <w:szCs w:val="28"/>
        </w:rPr>
        <w:t>进一步加大政府采购支持中小企业力度的通知</w:t>
      </w:r>
    </w:p>
    <w:p w14:paraId="12E43540">
      <w:pPr>
        <w:widowControl w:val="0"/>
        <w:spacing w:before="100" w:beforeAutospacing="1" w:after="100" w:afterAutospacing="1" w:line="360" w:lineRule="auto"/>
        <w:ind w:firstLine="480" w:firstLineChars="200"/>
        <w:jc w:val="center"/>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财库〔2022〕19号</w:t>
      </w:r>
    </w:p>
    <w:p w14:paraId="271F44C2">
      <w:pPr>
        <w:widowControl w:val="0"/>
        <w:spacing w:before="100" w:beforeAutospacing="1" w:after="100" w:afterAutospacing="1" w:line="360" w:lineRule="auto"/>
        <w:ind w:firstLine="480" w:firstLineChars="200"/>
        <w:jc w:val="both"/>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各中央预算单位，各省、自治区、直辖市、计划单列市财政厅（局），新疆生产建设兵团财政局：</w:t>
      </w:r>
    </w:p>
    <w:p w14:paraId="5D0EB2A7">
      <w:pPr>
        <w:widowControl w:val="0"/>
        <w:spacing w:before="100" w:beforeAutospacing="1" w:after="100" w:afterAutospacing="1" w:line="360" w:lineRule="auto"/>
        <w:ind w:firstLine="480" w:firstLineChars="200"/>
        <w:jc w:val="both"/>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2109CBB">
      <w:pPr>
        <w:widowControl w:val="0"/>
        <w:spacing w:before="100" w:beforeAutospacing="1" w:after="100" w:afterAutospacing="1" w:line="360" w:lineRule="auto"/>
        <w:ind w:firstLine="480" w:firstLineChars="200"/>
        <w:jc w:val="both"/>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440A593">
      <w:pPr>
        <w:widowControl w:val="0"/>
        <w:spacing w:before="100" w:beforeAutospacing="1" w:after="100" w:afterAutospacing="1" w:line="360" w:lineRule="auto"/>
        <w:ind w:firstLine="480" w:firstLineChars="200"/>
        <w:jc w:val="both"/>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DCC12AC">
      <w:pPr>
        <w:ind w:firstLine="480"/>
        <w:rPr>
          <w:rFonts w:hint="eastAsia" w:ascii="宋体" w:hAnsi="宋体" w:cs="宋体"/>
          <w:szCs w:val="32"/>
        </w:rPr>
        <w:sectPr>
          <w:footerReference r:id="rId19" w:type="default"/>
          <w:pgSz w:w="11907" w:h="16840"/>
          <w:pgMar w:top="1279" w:right="1586" w:bottom="980" w:left="1588" w:header="0" w:footer="820" w:gutter="0"/>
          <w:pgBorders>
            <w:top w:val="none" w:sz="0" w:space="0"/>
            <w:left w:val="none" w:sz="0" w:space="0"/>
            <w:bottom w:val="none" w:sz="0" w:space="0"/>
            <w:right w:val="none" w:sz="0" w:space="0"/>
          </w:pgBorders>
          <w:cols w:space="720" w:num="1"/>
        </w:sectPr>
      </w:pPr>
      <w:r>
        <w:rPr>
          <w:rFonts w:hint="eastAsia" w:ascii="宋体" w:hAnsi="宋体" w:eastAsia="宋体" w:cs="宋体"/>
          <w:kern w:val="0"/>
          <w:sz w:val="24"/>
          <w:szCs w:val="32"/>
          <w:lang w:val="en-US" w:eastAsia="zh-CN" w:bidi="ar-SA"/>
        </w:rPr>
        <w:t>三、提高政府采购工程面向中小企业预留份额。400万元以下的工程采购项目适宜由中小企业提供的，采购人应当专门面向中小企业采购。超过400万元的工程</w:t>
      </w:r>
    </w:p>
    <w:p w14:paraId="146B17CC">
      <w:pPr>
        <w:widowControl w:val="0"/>
        <w:spacing w:before="100" w:beforeAutospacing="1" w:after="100" w:afterAutospacing="1" w:line="360" w:lineRule="auto"/>
        <w:ind w:firstLine="480" w:firstLineChars="200"/>
        <w:jc w:val="both"/>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EA8AFF8">
      <w:pPr>
        <w:widowControl w:val="0"/>
        <w:spacing w:before="100" w:beforeAutospacing="1" w:after="100" w:afterAutospacing="1" w:line="360" w:lineRule="auto"/>
        <w:ind w:firstLine="480" w:firstLineChars="200"/>
        <w:jc w:val="both"/>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四、认真做好组织实施。各地区、各部门应当加强组织领导，明确工作责任，细化执行要求，强化监督检查，确保国务院部署落实到位，对通知执行中出现的问题要及时向财政部报告。</w:t>
      </w:r>
    </w:p>
    <w:p w14:paraId="38DE9C47">
      <w:pPr>
        <w:widowControl w:val="0"/>
        <w:spacing w:before="100" w:beforeAutospacing="1" w:after="100" w:afterAutospacing="1" w:line="360" w:lineRule="auto"/>
        <w:ind w:firstLine="480" w:firstLineChars="200"/>
        <w:jc w:val="both"/>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本通知自2022年7月1日起执行。</w:t>
      </w:r>
    </w:p>
    <w:p w14:paraId="4C73C22A">
      <w:pPr>
        <w:widowControl w:val="0"/>
        <w:spacing w:before="100" w:beforeAutospacing="1" w:after="100" w:afterAutospacing="1" w:line="360" w:lineRule="auto"/>
        <w:ind w:firstLine="480" w:firstLineChars="200"/>
        <w:jc w:val="both"/>
        <w:rPr>
          <w:rFonts w:hint="eastAsia" w:ascii="宋体" w:hAnsi="宋体" w:eastAsia="宋体" w:cs="宋体"/>
          <w:kern w:val="0"/>
          <w:sz w:val="24"/>
          <w:szCs w:val="32"/>
          <w:lang w:val="en-US" w:eastAsia="zh-CN" w:bidi="ar-SA"/>
        </w:rPr>
      </w:pPr>
    </w:p>
    <w:p w14:paraId="751D3356">
      <w:pPr>
        <w:widowControl w:val="0"/>
        <w:spacing w:before="100" w:beforeAutospacing="1" w:after="100" w:afterAutospacing="1" w:line="360" w:lineRule="auto"/>
        <w:ind w:firstLine="480" w:firstLineChars="200"/>
        <w:jc w:val="center"/>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 xml:space="preserve">                                                        财  政  部</w:t>
      </w:r>
    </w:p>
    <w:p w14:paraId="129BB1D5">
      <w:pPr>
        <w:jc w:val="right"/>
        <w:sectPr>
          <w:pgSz w:w="11907" w:h="16840"/>
          <w:pgMar w:top="1531" w:right="1418" w:bottom="1361" w:left="1418" w:header="720" w:footer="720" w:gutter="0"/>
          <w:pgBorders>
            <w:top w:val="none" w:sz="0" w:space="0"/>
            <w:left w:val="none" w:sz="0" w:space="0"/>
            <w:bottom w:val="none" w:sz="0" w:space="0"/>
            <w:right w:val="none" w:sz="0" w:space="0"/>
          </w:pgBorders>
          <w:cols w:space="720" w:num="1"/>
          <w:docGrid w:linePitch="285" w:charSpace="0"/>
        </w:sectPr>
      </w:pPr>
      <w:r>
        <w:rPr>
          <w:rFonts w:hint="eastAsia" w:ascii="宋体" w:hAnsi="宋体" w:eastAsia="宋体" w:cs="宋体"/>
          <w:kern w:val="0"/>
          <w:sz w:val="24"/>
          <w:szCs w:val="32"/>
          <w:lang w:val="en-US" w:eastAsia="zh-CN" w:bidi="ar-SA"/>
        </w:rPr>
        <w:t xml:space="preserve"> 　　2022年5月30日</w:t>
      </w:r>
    </w:p>
    <w:p w14:paraId="61ADC3C4">
      <w:pPr>
        <w:spacing w:before="100" w:beforeAutospacing="1" w:after="100" w:afterAutospacing="1" w:line="360" w:lineRule="auto"/>
        <w:ind w:left="0" w:leftChars="0"/>
        <w:rPr>
          <w:rFonts w:ascii="Times New Roman" w:hAnsi="Times New Roman"/>
          <w:sz w:val="21"/>
          <w:szCs w:val="24"/>
        </w:rPr>
      </w:pPr>
      <w:r>
        <w:rPr>
          <w:rFonts w:hint="eastAsia" w:ascii="宋体" w:hAnsi="宋体" w:cs="宋体"/>
          <w:sz w:val="24"/>
          <w:szCs w:val="24"/>
        </w:rPr>
        <w:t>2.关于促进残疾人就业政府采购政策的通知</w:t>
      </w:r>
    </w:p>
    <w:p w14:paraId="15279CDE">
      <w:pPr>
        <w:spacing w:before="100" w:beforeAutospacing="1" w:after="100" w:afterAutospacing="1" w:line="360" w:lineRule="auto"/>
        <w:ind w:left="0" w:leftChars="0"/>
        <w:jc w:val="center"/>
        <w:rPr>
          <w:rFonts w:hint="eastAsia" w:ascii="宋体" w:hAnsi="宋体" w:cs="宋体"/>
          <w:b/>
          <w:bCs/>
          <w:sz w:val="36"/>
          <w:szCs w:val="36"/>
        </w:rPr>
      </w:pPr>
      <w:r>
        <w:rPr>
          <w:rFonts w:hint="eastAsia" w:ascii="宋体" w:hAnsi="宋体" w:cs="宋体"/>
          <w:b/>
          <w:bCs/>
          <w:sz w:val="36"/>
          <w:szCs w:val="36"/>
        </w:rPr>
        <w:t>关于促进残疾人就业政府采购政策的通知</w:t>
      </w:r>
    </w:p>
    <w:p w14:paraId="572BB824">
      <w:pPr>
        <w:spacing w:before="100" w:beforeAutospacing="1" w:after="100" w:afterAutospacing="1" w:line="360" w:lineRule="auto"/>
        <w:ind w:left="0" w:leftChars="0"/>
        <w:jc w:val="center"/>
        <w:rPr>
          <w:rFonts w:hint="eastAsia" w:ascii="宋体" w:hAnsi="宋体" w:cs="宋体"/>
          <w:sz w:val="24"/>
          <w:szCs w:val="24"/>
        </w:rPr>
      </w:pPr>
      <w:r>
        <w:rPr>
          <w:rFonts w:hint="eastAsia" w:ascii="宋体" w:hAnsi="宋体" w:cs="宋体"/>
          <w:b/>
          <w:bCs/>
          <w:sz w:val="36"/>
          <w:szCs w:val="36"/>
        </w:rPr>
        <w:t>财库〔2017〕141号</w:t>
      </w:r>
    </w:p>
    <w:p w14:paraId="2E9B9F90">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C01FEF6">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为了发挥政府采购促进残疾人就业的作用，进一步保障残疾人权益，依照《政府采购法》、《残疾人保障法》等法律法规及相关规定，现就促进残疾人就业政府采购政策通知如下：</w:t>
      </w:r>
    </w:p>
    <w:p w14:paraId="4353C35F">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一、享受政府采购支持政策的残疾人福利性单位应当同时满足以下条件：</w:t>
      </w:r>
    </w:p>
    <w:p w14:paraId="3FAEEFA7">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14:paraId="4BC66BC6">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（二）依法与安置的每位残疾人签订了一年以上（含一年）的劳动合同或服务协议；</w:t>
      </w:r>
    </w:p>
    <w:p w14:paraId="5028EB4A">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14:paraId="1DFFCD08">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14:paraId="5674D7B1">
      <w:pPr>
        <w:spacing w:before="100" w:beforeAutospacing="1" w:after="100" w:afterAutospacing="1" w:line="360" w:lineRule="auto"/>
        <w:ind w:left="0" w:leftChars="0" w:firstLine="480" w:firstLineChars="200"/>
        <w:rPr>
          <w:rFonts w:hint="eastAsia"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14:paraId="016602F4">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99DB8D3">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A9FEA39">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中标、成交供应商为残疾人福利性单位的，采购人或者其委托的采购代理机构应当随中标、成交结果同时公告其《残疾人福利性单位声明函》，接受社会监督。</w:t>
      </w:r>
    </w:p>
    <w:p w14:paraId="2A268257">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供应商提供的《残疾人福利性单位声明函》与事实不符的，依照《政府采购法》第七十七条第一款的规定追究法律责任。</w:t>
      </w:r>
    </w:p>
    <w:p w14:paraId="0E3EBF14">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6729D7C">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四、采购人采购公开招标数额标准以上的货物或者服务，因落实促进残疾人就业政策的需要，依法履行有关报批程序后，可采用公开招标以外的采购方式。</w:t>
      </w:r>
    </w:p>
    <w:p w14:paraId="33C455CA">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8EA351A">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E23BEA3">
      <w:pPr>
        <w:spacing w:before="100" w:beforeAutospacing="1" w:after="100" w:afterAutospacing="1" w:line="360" w:lineRule="auto"/>
        <w:ind w:left="0" w:leftChars="0" w:firstLine="420"/>
        <w:rPr>
          <w:rFonts w:hint="eastAsia" w:ascii="宋体" w:hAnsi="宋体" w:cs="宋体"/>
          <w:sz w:val="24"/>
          <w:szCs w:val="24"/>
        </w:rPr>
      </w:pPr>
      <w:r>
        <w:rPr>
          <w:rFonts w:hint="eastAsia" w:ascii="宋体" w:hAnsi="宋体" w:cs="宋体"/>
          <w:sz w:val="24"/>
          <w:szCs w:val="24"/>
        </w:rPr>
        <w:t>七、本通知自2017年10月1日起执行。　</w:t>
      </w:r>
    </w:p>
    <w:p w14:paraId="23E51FDD">
      <w:pPr>
        <w:spacing w:before="100" w:beforeAutospacing="1" w:after="100" w:afterAutospacing="1" w:line="360" w:lineRule="auto"/>
        <w:ind w:left="0" w:leftChars="0" w:firstLine="480"/>
        <w:jc w:val="right"/>
        <w:rPr>
          <w:rFonts w:hint="eastAsia" w:ascii="宋体" w:hAnsi="宋体" w:cs="宋体"/>
          <w:sz w:val="24"/>
          <w:szCs w:val="24"/>
        </w:rPr>
      </w:pPr>
      <w:r>
        <w:rPr>
          <w:rFonts w:hint="eastAsia" w:ascii="宋体" w:hAnsi="宋体" w:cs="宋体"/>
          <w:sz w:val="24"/>
          <w:szCs w:val="24"/>
        </w:rPr>
        <w:t>　财政部 民政部 中国残疾人联合会</w:t>
      </w:r>
    </w:p>
    <w:p w14:paraId="4A7E8536">
      <w:pPr>
        <w:spacing w:before="100" w:beforeAutospacing="1" w:after="100" w:afterAutospacing="1" w:line="360" w:lineRule="auto"/>
        <w:ind w:left="0" w:leftChars="0"/>
        <w:jc w:val="right"/>
        <w:rPr>
          <w:rFonts w:hint="eastAsia" w:ascii="宋体" w:hAnsi="宋体" w:cs="宋体"/>
          <w:b/>
          <w:bCs/>
          <w:sz w:val="30"/>
          <w:szCs w:val="30"/>
        </w:rPr>
      </w:pPr>
      <w:r>
        <w:rPr>
          <w:rFonts w:hint="eastAsia" w:ascii="宋体" w:hAnsi="宋体" w:cs="宋体"/>
          <w:sz w:val="24"/>
          <w:szCs w:val="24"/>
        </w:rPr>
        <w:t>                            2017年8月22日</w:t>
      </w:r>
    </w:p>
    <w:p w14:paraId="40DEB5A4">
      <w:pPr>
        <w:widowControl/>
        <w:spacing w:before="100" w:beforeAutospacing="1" w:after="100" w:afterAutospacing="1" w:line="360" w:lineRule="auto"/>
        <w:ind w:left="0" w:leftChars="0"/>
        <w:rPr>
          <w:rFonts w:hint="eastAsia" w:ascii="宋体" w:hAnsi="宋体" w:cs="宋体"/>
          <w:kern w:val="0"/>
          <w:sz w:val="24"/>
          <w:szCs w:val="24"/>
        </w:rPr>
      </w:pPr>
      <w:r>
        <w:rPr>
          <w:rFonts w:hint="eastAsia" w:ascii="宋体" w:hAnsi="宋体" w:cs="宋体"/>
          <w:bCs/>
          <w:sz w:val="24"/>
          <w:szCs w:val="24"/>
        </w:rPr>
        <w:t>3.</w:t>
      </w:r>
      <w:r>
        <w:rPr>
          <w:rFonts w:hint="eastAsia" w:ascii="宋体" w:hAnsi="宋体" w:cs="宋体"/>
          <w:bCs/>
          <w:kern w:val="0"/>
          <w:sz w:val="24"/>
          <w:szCs w:val="24"/>
        </w:rPr>
        <w:t>监</w:t>
      </w:r>
      <w:r>
        <w:rPr>
          <w:rFonts w:hint="eastAsia" w:ascii="宋体" w:hAnsi="宋体" w:cs="宋体"/>
          <w:kern w:val="0"/>
          <w:sz w:val="24"/>
          <w:szCs w:val="24"/>
        </w:rPr>
        <w:t>狱企业发展有关问题的通知 财库〔2014〕68号</w:t>
      </w:r>
    </w:p>
    <w:p w14:paraId="217E2715">
      <w:pPr>
        <w:widowControl/>
        <w:spacing w:before="100" w:beforeAutospacing="1" w:after="100" w:afterAutospacing="1" w:line="360" w:lineRule="auto"/>
        <w:ind w:left="0" w:leftChars="0"/>
        <w:jc w:val="center"/>
        <w:rPr>
          <w:rFonts w:hint="eastAsia" w:ascii="宋体" w:hAnsi="宋体" w:cs="宋体"/>
          <w:b/>
          <w:bCs/>
          <w:kern w:val="0"/>
          <w:sz w:val="36"/>
          <w:szCs w:val="36"/>
        </w:rPr>
      </w:pPr>
      <w:r>
        <w:rPr>
          <w:rFonts w:hint="eastAsia" w:ascii="宋体" w:hAnsi="宋体" w:cs="宋体"/>
          <w:b/>
          <w:bCs/>
          <w:kern w:val="0"/>
          <w:sz w:val="36"/>
          <w:szCs w:val="36"/>
        </w:rPr>
        <w:t>财政部 司法部关于政府采购支持监狱企业发展有关问题的通知</w:t>
      </w:r>
    </w:p>
    <w:p w14:paraId="4D4CBB5C">
      <w:pPr>
        <w:widowControl/>
        <w:spacing w:before="100" w:beforeAutospacing="1" w:after="100" w:afterAutospacing="1" w:line="360" w:lineRule="auto"/>
        <w:ind w:left="0" w:leftChars="0" w:firstLine="482"/>
        <w:jc w:val="center"/>
        <w:rPr>
          <w:rFonts w:hint="eastAsia" w:ascii="宋体" w:hAnsi="宋体" w:cs="宋体"/>
          <w:b/>
          <w:bCs/>
          <w:kern w:val="0"/>
          <w:sz w:val="36"/>
          <w:szCs w:val="36"/>
        </w:rPr>
      </w:pPr>
      <w:r>
        <w:rPr>
          <w:rFonts w:hint="eastAsia" w:ascii="宋体" w:hAnsi="宋体" w:cs="宋体"/>
          <w:b/>
          <w:bCs/>
          <w:kern w:val="0"/>
          <w:sz w:val="36"/>
          <w:szCs w:val="36"/>
        </w:rPr>
        <w:t>(财库〔2014〕68号)</w:t>
      </w:r>
    </w:p>
    <w:p w14:paraId="3B488F45">
      <w:pPr>
        <w:widowControl/>
        <w:spacing w:before="0" w:beforeAutospacing="0" w:after="0" w:afterAutospacing="0" w:line="360" w:lineRule="auto"/>
        <w:ind w:left="0" w:leftChars="0" w:firstLine="480"/>
        <w:rPr>
          <w:rFonts w:hint="eastAsia" w:ascii="宋体" w:hAnsi="宋体" w:cs="宋体"/>
          <w:kern w:val="0"/>
          <w:sz w:val="24"/>
          <w:szCs w:val="24"/>
        </w:rPr>
      </w:pPr>
      <w:r>
        <w:rPr>
          <w:rFonts w:hint="eastAsia" w:ascii="宋体" w:hAnsi="宋体" w:cs="宋体"/>
          <w:kern w:val="0"/>
          <w:sz w:val="24"/>
          <w:szCs w:val="24"/>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3C8C3A4">
      <w:pPr>
        <w:widowControl/>
        <w:spacing w:before="0" w:beforeAutospacing="0" w:after="0" w:afterAutospacing="0" w:line="360" w:lineRule="auto"/>
        <w:ind w:left="0" w:leftChars="0" w:firstLine="480"/>
        <w:rPr>
          <w:rFonts w:hint="eastAsia" w:ascii="宋体" w:hAnsi="宋体" w:cs="宋体"/>
          <w:kern w:val="0"/>
          <w:sz w:val="24"/>
          <w:szCs w:val="24"/>
        </w:rPr>
      </w:pPr>
      <w:r>
        <w:rPr>
          <w:rFonts w:hint="eastAsia" w:ascii="宋体" w:hAnsi="宋体" w:cs="宋体"/>
          <w:kern w:val="0"/>
          <w:sz w:val="24"/>
          <w:szCs w:val="24"/>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B53290A">
      <w:pPr>
        <w:widowControl/>
        <w:spacing w:before="0" w:beforeAutospacing="0" w:after="0" w:afterAutospacing="0" w:line="360" w:lineRule="auto"/>
        <w:ind w:left="0" w:leftChars="0" w:firstLine="480"/>
        <w:rPr>
          <w:rFonts w:hint="eastAsia" w:ascii="宋体" w:hAnsi="宋体" w:cs="宋体"/>
          <w:color w:val="0000FF"/>
          <w:kern w:val="0"/>
          <w:sz w:val="24"/>
          <w:szCs w:val="24"/>
        </w:rPr>
      </w:pPr>
      <w:r>
        <w:rPr>
          <w:rFonts w:hint="eastAsia" w:ascii="宋体" w:hAnsi="宋体" w:cs="宋体"/>
          <w:kern w:val="0"/>
          <w:sz w:val="24"/>
          <w:szCs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w:t>
      </w:r>
      <w:r>
        <w:rPr>
          <w:rFonts w:hint="eastAsia" w:ascii="宋体" w:hAnsi="宋体" w:cs="宋体"/>
          <w:color w:val="auto"/>
          <w:kern w:val="0"/>
          <w:sz w:val="24"/>
          <w:szCs w:val="24"/>
        </w:rPr>
        <w:t>供由省级以上监狱管理局、戒毒管理局（含新疆生产建设兵团）出具的属于监狱企业的证明文件。</w:t>
      </w:r>
    </w:p>
    <w:p w14:paraId="00CA4D21">
      <w:pPr>
        <w:widowControl/>
        <w:spacing w:before="0" w:beforeAutospacing="0" w:after="0" w:afterAutospacing="0" w:line="360" w:lineRule="auto"/>
        <w:ind w:left="0" w:leftChars="0" w:firstLine="480"/>
        <w:rPr>
          <w:rFonts w:hint="eastAsia" w:ascii="宋体" w:hAnsi="宋体" w:cs="宋体"/>
          <w:kern w:val="0"/>
          <w:sz w:val="24"/>
          <w:szCs w:val="24"/>
        </w:rPr>
      </w:pPr>
      <w:r>
        <w:rPr>
          <w:rFonts w:hint="eastAsia" w:ascii="宋体" w:hAnsi="宋体" w:cs="宋体"/>
          <w:kern w:val="0"/>
          <w:sz w:val="24"/>
          <w:szCs w:val="24"/>
        </w:rPr>
        <w:t>二、在政府采购活动中，监狱企业视同小型、微型企业，享受预留份额、评审中价格扣除等政府采购促进中小企业发展的政府采购政策。向监狱企业采购的金额，计入面向中小企业采购的统计数据。</w:t>
      </w:r>
    </w:p>
    <w:p w14:paraId="43D40B3F">
      <w:pPr>
        <w:widowControl/>
        <w:spacing w:before="0" w:beforeAutospacing="0" w:after="0" w:afterAutospacing="0" w:line="360" w:lineRule="auto"/>
        <w:ind w:left="0" w:leftChars="0" w:firstLine="480"/>
        <w:rPr>
          <w:rFonts w:hint="eastAsia" w:ascii="宋体" w:hAnsi="宋体" w:cs="宋体"/>
          <w:kern w:val="0"/>
          <w:sz w:val="24"/>
          <w:szCs w:val="24"/>
        </w:rPr>
      </w:pPr>
      <w:r>
        <w:rPr>
          <w:rFonts w:hint="eastAsia" w:ascii="宋体" w:hAnsi="宋体" w:cs="宋体"/>
          <w:kern w:val="0"/>
          <w:sz w:val="24"/>
          <w:szCs w:val="24"/>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6A10B2B">
      <w:pPr>
        <w:widowControl/>
        <w:spacing w:before="0" w:beforeAutospacing="0" w:after="0" w:afterAutospacing="0" w:line="360" w:lineRule="auto"/>
        <w:ind w:left="0" w:leftChars="0" w:firstLine="480"/>
        <w:rPr>
          <w:rFonts w:hint="eastAsia" w:ascii="宋体" w:hAnsi="宋体" w:cs="宋体"/>
          <w:kern w:val="0"/>
          <w:sz w:val="24"/>
          <w:szCs w:val="24"/>
        </w:rPr>
      </w:pPr>
      <w:r>
        <w:rPr>
          <w:rFonts w:hint="eastAsia" w:ascii="宋体" w:hAnsi="宋体" w:cs="宋体"/>
          <w:kern w:val="0"/>
          <w:sz w:val="24"/>
          <w:szCs w:val="24"/>
        </w:rPr>
        <w:t>四、各地区可以结合本地区实际，对监狱企业生产的办公用品、家具用具、车辆维修和提供的保养服务、消防设备等，提出预留份额等政府采购支持措施，加大对监狱企业产品的采购力度。</w:t>
      </w:r>
    </w:p>
    <w:p w14:paraId="64455915">
      <w:pPr>
        <w:widowControl/>
        <w:spacing w:before="0" w:beforeAutospacing="0" w:after="0" w:afterAutospacing="0" w:line="360" w:lineRule="auto"/>
        <w:ind w:left="0" w:leftChars="0" w:firstLine="480"/>
        <w:rPr>
          <w:rFonts w:hint="eastAsia" w:ascii="宋体" w:hAnsi="宋体" w:cs="宋体"/>
          <w:kern w:val="0"/>
          <w:sz w:val="24"/>
          <w:szCs w:val="24"/>
        </w:rPr>
      </w:pPr>
      <w:r>
        <w:rPr>
          <w:rFonts w:hint="eastAsia" w:ascii="宋体" w:hAnsi="宋体" w:cs="宋体"/>
          <w:kern w:val="0"/>
          <w:sz w:val="24"/>
          <w:szCs w:val="24"/>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BDAD2D">
      <w:pPr>
        <w:widowControl/>
        <w:spacing w:before="0" w:beforeAutospacing="0" w:after="0" w:afterAutospacing="0" w:line="360" w:lineRule="auto"/>
        <w:ind w:left="0" w:leftChars="0" w:firstLine="482"/>
        <w:jc w:val="right"/>
        <w:rPr>
          <w:rFonts w:hint="eastAsia" w:ascii="宋体" w:hAnsi="宋体" w:cs="宋体"/>
          <w:kern w:val="0"/>
          <w:sz w:val="24"/>
          <w:szCs w:val="24"/>
        </w:rPr>
      </w:pPr>
    </w:p>
    <w:p w14:paraId="1B5BB5D3">
      <w:pPr>
        <w:widowControl/>
        <w:spacing w:before="0" w:beforeAutospacing="0" w:after="0" w:afterAutospacing="0" w:line="360" w:lineRule="auto"/>
        <w:ind w:left="0" w:leftChars="0" w:firstLine="482"/>
        <w:jc w:val="right"/>
        <w:rPr>
          <w:rFonts w:hint="eastAsia" w:ascii="宋体" w:hAnsi="宋体" w:cs="宋体"/>
          <w:kern w:val="0"/>
          <w:sz w:val="24"/>
          <w:szCs w:val="24"/>
        </w:rPr>
      </w:pPr>
    </w:p>
    <w:p w14:paraId="3ECEE2B2">
      <w:pPr>
        <w:widowControl/>
        <w:spacing w:before="0" w:beforeAutospacing="0" w:after="0" w:afterAutospacing="0" w:line="360" w:lineRule="auto"/>
        <w:ind w:left="0" w:leftChars="0" w:firstLine="482"/>
        <w:jc w:val="right"/>
        <w:rPr>
          <w:rFonts w:hint="eastAsia" w:ascii="宋体" w:hAnsi="宋体" w:cs="宋体"/>
          <w:kern w:val="0"/>
          <w:sz w:val="24"/>
          <w:szCs w:val="24"/>
        </w:rPr>
      </w:pPr>
      <w:r>
        <w:rPr>
          <w:rFonts w:hint="eastAsia" w:ascii="宋体" w:hAnsi="宋体" w:cs="宋体"/>
          <w:kern w:val="0"/>
          <w:sz w:val="24"/>
          <w:szCs w:val="24"/>
        </w:rPr>
        <w:t>中华人民共和国财政部</w:t>
      </w:r>
    </w:p>
    <w:p w14:paraId="6A79305E">
      <w:pPr>
        <w:widowControl/>
        <w:spacing w:before="0" w:beforeAutospacing="0" w:after="0" w:afterAutospacing="0" w:line="360" w:lineRule="auto"/>
        <w:ind w:left="0" w:leftChars="0" w:firstLine="482"/>
        <w:jc w:val="right"/>
        <w:rPr>
          <w:rFonts w:hint="eastAsia" w:ascii="宋体" w:hAnsi="宋体" w:cs="宋体"/>
          <w:kern w:val="0"/>
          <w:sz w:val="24"/>
          <w:szCs w:val="24"/>
        </w:rPr>
      </w:pPr>
      <w:r>
        <w:rPr>
          <w:rFonts w:hint="eastAsia" w:ascii="宋体" w:hAnsi="宋体" w:cs="宋体"/>
          <w:kern w:val="0"/>
          <w:sz w:val="24"/>
          <w:szCs w:val="24"/>
        </w:rPr>
        <w:t>中华人民共和国司法部</w:t>
      </w:r>
    </w:p>
    <w:p w14:paraId="674807AE">
      <w:pPr>
        <w:widowControl/>
        <w:spacing w:before="0" w:beforeAutospacing="0" w:after="0" w:afterAutospacing="0" w:line="360" w:lineRule="auto"/>
        <w:ind w:left="0" w:leftChars="0" w:firstLine="482"/>
        <w:jc w:val="right"/>
        <w:rPr>
          <w:rFonts w:hint="eastAsia" w:ascii="宋体" w:hAnsi="宋体" w:cs="宋体"/>
          <w:sz w:val="21"/>
          <w:szCs w:val="24"/>
        </w:rPr>
      </w:pPr>
      <w:r>
        <w:rPr>
          <w:rFonts w:hint="eastAsia" w:ascii="宋体" w:hAnsi="宋体" w:cs="宋体"/>
          <w:kern w:val="0"/>
          <w:sz w:val="24"/>
          <w:szCs w:val="24"/>
        </w:rPr>
        <w:t>2014年6月10日</w:t>
      </w:r>
    </w:p>
    <w:p w14:paraId="110537E7">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2"/>
        <w:jc w:val="both"/>
        <w:textAlignment w:val="auto"/>
        <w:rPr>
          <w:rFonts w:hint="eastAsia" w:ascii="宋体" w:hAnsi="宋体" w:cs="宋体"/>
        </w:rPr>
      </w:pPr>
    </w:p>
    <w:p w14:paraId="1C2198B2">
      <w:pPr>
        <w:spacing w:before="240" w:beforeLines="100" w:beforeAutospacing="0" w:after="240" w:afterLines="100" w:afterAutospacing="0"/>
        <w:jc w:val="left"/>
        <w:rPr>
          <w:rFonts w:hint="eastAsia" w:ascii="宋体" w:hAnsi="宋体" w:cs="宋体"/>
          <w:sz w:val="24"/>
        </w:rPr>
      </w:pPr>
    </w:p>
    <w:p w14:paraId="478E537D">
      <w:pPr>
        <w:spacing w:before="120" w:beforeLines="50" w:beforeAutospacing="0" w:after="120" w:afterLines="50" w:afterAutospacing="0" w:line="240" w:lineRule="auto"/>
        <w:jc w:val="left"/>
        <w:rPr>
          <w:rFonts w:hint="eastAsia" w:ascii="宋体" w:hAnsi="宋体" w:cs="宋体"/>
        </w:rPr>
      </w:pPr>
    </w:p>
    <w:bookmarkEnd w:id="303"/>
    <w:bookmarkEnd w:id="304"/>
    <w:p w14:paraId="36809318">
      <w:pPr>
        <w:rPr>
          <w:rFonts w:hint="eastAsia" w:ascii="宋体" w:hAnsi="宋体" w:cs="宋体"/>
        </w:rPr>
      </w:pPr>
    </w:p>
    <w:p w14:paraId="4FA47D5B">
      <w:pPr>
        <w:rPr>
          <w:rFonts w:hint="eastAsia" w:ascii="宋体" w:hAnsi="宋体" w:cs="宋体"/>
        </w:rPr>
      </w:pPr>
    </w:p>
    <w:p w14:paraId="0404C267">
      <w:pPr>
        <w:spacing w:line="500" w:lineRule="exact"/>
        <w:ind w:firstLine="560"/>
        <w:rPr>
          <w:rFonts w:hint="eastAsia" w:ascii="宋体" w:hAnsi="宋体" w:cs="宋体"/>
          <w:bCs/>
          <w:sz w:val="28"/>
          <w:szCs w:val="28"/>
        </w:rPr>
      </w:pPr>
    </w:p>
    <w:p w14:paraId="3BF3A6B7">
      <w:pPr>
        <w:spacing w:line="276" w:lineRule="auto"/>
        <w:jc w:val="left"/>
        <w:rPr>
          <w:rFonts w:hint="eastAsia" w:ascii="宋体" w:hAnsi="宋体" w:cs="宋体"/>
          <w:color w:val="auto"/>
          <w:highlight w:val="none"/>
        </w:rPr>
      </w:pPr>
    </w:p>
    <w:p w14:paraId="6563A527">
      <w:pPr>
        <w:spacing w:line="276" w:lineRule="auto"/>
        <w:ind w:left="0" w:leftChars="0" w:firstLine="0" w:firstLineChars="0"/>
        <w:jc w:val="left"/>
        <w:rPr>
          <w:rFonts w:hint="eastAsia" w:ascii="宋体" w:hAnsi="宋体" w:cs="宋体"/>
          <w:color w:val="auto"/>
          <w:highlight w:val="none"/>
        </w:rPr>
      </w:pPr>
    </w:p>
    <w:p w14:paraId="390A9FFD">
      <w:pPr>
        <w:spacing w:line="276" w:lineRule="auto"/>
        <w:jc w:val="left"/>
        <w:rPr>
          <w:rFonts w:hint="eastAsia" w:ascii="宋体" w:hAnsi="宋体" w:cs="宋体"/>
          <w:color w:val="auto"/>
          <w:highlight w:val="none"/>
        </w:rPr>
      </w:pPr>
    </w:p>
    <w:p w14:paraId="762D2F18">
      <w:pPr>
        <w:rPr>
          <w:rFonts w:hint="eastAsia"/>
          <w:b/>
          <w:bCs/>
          <w:color w:val="auto"/>
          <w:sz w:val="28"/>
          <w:szCs w:val="28"/>
          <w:highlight w:val="none"/>
        </w:rPr>
      </w:pPr>
      <w:bookmarkStart w:id="306" w:name="_Toc17135"/>
      <w:r>
        <w:rPr>
          <w:rFonts w:hint="eastAsia"/>
          <w:b/>
          <w:bCs/>
          <w:color w:val="auto"/>
          <w:sz w:val="28"/>
          <w:szCs w:val="28"/>
          <w:highlight w:val="none"/>
        </w:rPr>
        <w:br w:type="page"/>
      </w:r>
    </w:p>
    <w:p w14:paraId="1A51B66E">
      <w:pPr>
        <w:spacing w:line="276" w:lineRule="auto"/>
        <w:ind w:left="0" w:leftChars="0" w:firstLine="0" w:firstLineChars="0"/>
        <w:jc w:val="center"/>
        <w:outlineLvl w:val="1"/>
        <w:rPr>
          <w:rFonts w:hint="eastAsia" w:ascii="宋体" w:hAnsi="宋体" w:cs="宋体"/>
          <w:color w:val="auto"/>
          <w:highlight w:val="none"/>
        </w:rPr>
      </w:pPr>
      <w:r>
        <w:rPr>
          <w:rFonts w:hint="eastAsia"/>
          <w:b/>
          <w:bCs/>
          <w:color w:val="auto"/>
          <w:sz w:val="28"/>
          <w:szCs w:val="28"/>
          <w:highlight w:val="none"/>
        </w:rPr>
        <w:t>供应商认为有必要提供的其他资料</w:t>
      </w:r>
      <w:bookmarkEnd w:id="306"/>
    </w:p>
    <w:sectPr>
      <w:footerReference r:id="rId20" w:type="default"/>
      <w:footerReference r:id="rId21" w:type="even"/>
      <w:pgSz w:w="12240" w:h="15840"/>
      <w:pgMar w:top="1440" w:right="1080" w:bottom="1440" w:left="1080" w:header="0" w:footer="210" w:gutter="0"/>
      <w:pgBorders>
        <w:top w:val="none" w:sz="0" w:space="0"/>
        <w:left w:val="none" w:sz="0" w:space="0"/>
        <w:bottom w:val="none" w:sz="0" w:space="0"/>
        <w:right w:val="none" w:sz="0" w:space="0"/>
      </w:pgBorders>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80"/>
      </w:pPr>
      <w:r>
        <w:separator/>
      </w:r>
    </w:p>
  </w:endnote>
  <w:endnote w:type="continuationSeparator" w:id="1">
    <w:p>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78"/>
    <w:family w:val="swiss"/>
    <w:pitch w:val="default"/>
    <w:sig w:usb0="000002A7" w:usb1="28CF4400" w:usb2="00000016" w:usb3="00000000" w:csb0="00100009" w:csb1="00000000"/>
  </w:font>
  <w:font w:name="等线 Light">
    <w:panose1 w:val="02010600030101010101"/>
    <w:charset w:val="7A"/>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E7BCD">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B53AB">
    <w:pPr>
      <w:spacing w:before="100" w:beforeAutospacing="1" w:after="100" w:afterAutospacing="1" w:line="196" w:lineRule="auto"/>
      <w:ind w:left="0" w:leftChars="0"/>
      <w:rPr>
        <w:rFonts w:ascii="Times New Roman" w:hAnsi="Times New Roman"/>
        <w:sz w:val="17"/>
        <w:szCs w:val="17"/>
      </w:rPr>
    </w:pPr>
    <w:r>
      <w:rPr>
        <w:rFonts w:ascii="Times New Roman" w:hAnsi="Times New Roman"/>
        <w:sz w:val="17"/>
        <w:szCs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CA808C">
                          <w:pPr>
                            <w:widowControl w:val="0"/>
                            <w:snapToGrid w:val="0"/>
                            <w:spacing w:before="100" w:beforeAutospacing="1" w:after="100" w:afterAutospacing="1" w:line="360" w:lineRule="auto"/>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94</w:t>
                          </w:r>
                          <w:r>
                            <w:rPr>
                              <w:rFonts w:ascii="Times New Roman" w:hAnsi="Times New Roman" w:eastAsia="宋体" w:cs="Times New Roman"/>
                              <w:kern w:val="0"/>
                              <w:sz w:val="18"/>
                              <w:szCs w:val="20"/>
                              <w:lang w:val="en-US" w:eastAsia="zh-CN" w:bidi="ar-SA"/>
                            </w:rPr>
                            <w:fldChar w:fldCharType="end"/>
                          </w:r>
                        </w:p>
                      </w:txbxContent>
                    </wps:txbx>
                    <wps:bodyPr vert="horz" wrap="none" lIns="0" tIns="0" rIns="0" bIns="0" anchor="t">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1N1anKAQAAkwMAAA4AAABkcnMvZTJvRG9jLnhtbK1TzY7TMBC+I/EO&#10;lu80aYWWKmq6QqoWISFYaeEBXMdpLPlPM26T8gDwBpy4cOe5+hyMnaSLlsseuDgzHvub7/s82dwO&#10;1rCTAtTe1Xy5KDlTTvpGu0PNv3y+e7XmDKNwjTDeqZqfFfLb7csXmz5UauU7bxoFjEAcVn2oeRdj&#10;qIoCZaeswIUPylGx9WBFpBQORQOiJ3RrilVZ3hS9hyaAlwqRdndjkU+I8BxA37Zaqp2XR6tcHFFB&#10;GRFJEnY6IN9mtm2rZPzUtqgiMzUnpTGv1ITifVqL7UZUBxCh03KiIJ5D4YkmK7SjpleonYiCHUH/&#10;A2W1BI++jQvpbTEKyY6QimX5xJuHTgSVtZDVGK6m4/+DlR9P98B0U/PXy/KGMycsvfnlx/fLz9+X&#10;X9/Y6k2yqA9Y0cmHcA9ThhQmvUMLNn1JCRuyreerrWqITNLmcr1ar0tyXFJtTgineLweAOM75S1L&#10;Qc2B3i3bKU4fMI5H5yOpm3Fpdf5OGzNW006RaI7EUhSH/TCx3fvmTDJp6gm88/CVs57evOaORpwz&#10;896RpWk85gDmYD8Hwkm6WPORF4a3x0jtM7fUbOwwcaC3yuqmuUrD8HeeTz3+S9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1N1anKAQAAkwMAAA4AAAAAAAAAAQAgAAAAHwEAAGRycy9lMm9E&#10;b2MueG1sUEsFBgAAAAAGAAYAWQEAAFsFAAAAAA==&#10;">
              <v:fill on="f" focussize="0,0"/>
              <v:stroke on="f"/>
              <v:imagedata o:title=""/>
              <o:lock v:ext="edit" aspectratio="f"/>
              <v:textbox inset="0mm,0mm,0mm,0mm" style="mso-fit-shape-to-text:t;">
                <w:txbxContent>
                  <w:p w14:paraId="6ECA808C">
                    <w:pPr>
                      <w:widowControl w:val="0"/>
                      <w:snapToGrid w:val="0"/>
                      <w:spacing w:before="100" w:beforeAutospacing="1" w:after="100" w:afterAutospacing="1" w:line="360" w:lineRule="auto"/>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94</w:t>
                    </w:r>
                    <w:r>
                      <w:rPr>
                        <w:rFonts w:ascii="Times New Roman" w:hAnsi="Times New Roman" w:eastAsia="宋体" w:cs="Times New Roman"/>
                        <w:kern w:val="0"/>
                        <w:sz w:val="18"/>
                        <w:szCs w:val="20"/>
                        <w:lang w:val="en-US" w:eastAsia="zh-CN" w:bidi="ar-SA"/>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E63E">
    <w:pPr>
      <w:autoSpaceDE w:val="0"/>
      <w:autoSpaceDN w:val="0"/>
      <w:adjustRightInd w:val="0"/>
      <w:spacing w:line="200" w:lineRule="exact"/>
      <w:jc w:val="left"/>
      <w:rPr>
        <w:rFonts w:ascii="Times New Roman" w:hAnsi="Times New Roman"/>
        <w:kern w:val="0"/>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CBC42">
                          <w:pPr>
                            <w:pStyle w:val="20"/>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E6CBC42">
                    <w:pPr>
                      <w:pStyle w:val="20"/>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8811">
    <w:pPr>
      <w:autoSpaceDE w:val="0"/>
      <w:autoSpaceDN w:val="0"/>
      <w:adjustRightInd w:val="0"/>
      <w:spacing w:line="10" w:lineRule="exact"/>
      <w:jc w:val="left"/>
      <w:rPr>
        <w:rFonts w:ascii="Times New Roman" w:hAnsi="Times New Roman"/>
        <w:kern w:val="0"/>
        <w:sz w:val="2"/>
        <w:szCs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E878E">
                          <w:pPr>
                            <w:pStyle w:val="20"/>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72E878E">
                    <w:pPr>
                      <w:pStyle w:val="20"/>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7221">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349FF">
    <w:pPr>
      <w:autoSpaceDE w:val="0"/>
      <w:autoSpaceDN w:val="0"/>
      <w:adjustRightInd w:val="0"/>
      <w:spacing w:line="10" w:lineRule="exact"/>
      <w:jc w:val="left"/>
      <w:rPr>
        <w:rFonts w:ascii="Times New Roman" w:hAnsi="Times New Roman"/>
        <w:kern w:val="0"/>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59590">
    <w:pPr>
      <w:autoSpaceDE w:val="0"/>
      <w:autoSpaceDN w:val="0"/>
      <w:adjustRightInd w:val="0"/>
      <w:spacing w:line="10" w:lineRule="exact"/>
      <w:jc w:val="left"/>
      <w:rPr>
        <w:rFonts w:ascii="Times New Roman" w:hAnsi="Times New Roman"/>
        <w:kern w:val="0"/>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posOffset>3016250</wp:posOffset>
              </wp:positionH>
              <wp:positionV relativeFrom="paragraph">
                <wp:posOffset>-276225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41E92">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7.5pt;margin-top:-21.75pt;height:144pt;width:144pt;mso-position-horizontal-relative:margin;mso-wrap-style:none;z-index:251659264;mso-width-relative:page;mso-height-relative:page;" filled="f" stroked="f" coordsize="21600,21600" o:gfxdata="UEsDBAoAAAAAAIdO4kAAAAAAAAAAAAAAAAAEAAAAZHJzL1BLAwQUAAAACACHTuJArSyJANkAAAAL&#10;AQAADwAAAGRycy9kb3ducmV2LnhtbE2PwU7DMBBE70j8g7VI3FqnjdNWIU4lKsIRiYYDRzfeJoHY&#10;jmw3DX/PcqLH2RnNvin2sxnYhD70zkpYLRNgaBune9tK+KirxQ5YiMpqNTiLEn4wwL68vytUrt3V&#10;vuN0jC2jEhtyJaGLccw5D02HRoWlG9GSd3beqEjSt1x7daVyM/B1kmy4Ub2lD50a8dBh8328GAmH&#10;qq79hMEPn/hapV9vzwJfZikfH1bJE7CIc/wPwx8+oUNJTCd3sTqwQYLYZrQlSliINANGie0mpctJ&#10;wlqIDHhZ8NsN5S9QSwMEFAAAAAgAh07iQJbfDwky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JHT6YQS&#10;wzQ6fvn+7fLj1+XnV4IzCFS7MEfcziEyNm9tg7EZzgMOE++m9Dp9wYjAD3nPV3lFEwlPl2bT2WwM&#10;F4dv2AA/e7zufIjvhNUkGTn16F8rKzttQ+xCh5CUzdiNVKrtoTKkzunN6zfj9sLVA3BlkCOR6IpN&#10;Vmz2Tc9sb4sziHnbzUZwfCORfMtCfGAew4CC8VziPZZSWSSxvUVJZf2Xf52nePQIXkpqDFdODd4S&#10;Jeq9Qe8AGAfDD8Z+MMxR31lMK9qBWloTF3xUg1l6qz/jDa1SDriY4ciU0ziYd7EbcLxBLlarNujo&#10;vDxU3QVMnmNxa3aOpzRJyOBWxwgxW42TQJ0qvW6YvbZL/TtJw/3nvo16/Dc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LIkA2QAAAAsBAAAPAAAAAAAAAAEAIAAAACIAAABkcnMvZG93bnJldi54&#10;bWxQSwECFAAUAAAACACHTuJAlt8PCTICAABjBAAADgAAAAAAAAABACAAAAAoAQAAZHJzL2Uyb0Rv&#10;Yy54bWxQSwUGAAAAAAYABgBZAQAAzAUAAAAA&#10;">
              <v:fill on="f" focussize="0,0"/>
              <v:stroke on="f" weight="0.5pt"/>
              <v:imagedata o:title=""/>
              <o:lock v:ext="edit" aspectratio="f"/>
              <v:textbox inset="0mm,0mm,0mm,0mm" style="mso-fit-shape-to-text:t;">
                <w:txbxContent>
                  <w:p w14:paraId="0D241E9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723E">
    <w:pPr>
      <w:autoSpaceDE w:val="0"/>
      <w:autoSpaceDN w:val="0"/>
      <w:adjustRightInd w:val="0"/>
      <w:spacing w:line="10" w:lineRule="exact"/>
      <w:jc w:val="left"/>
      <w:rPr>
        <w:rFonts w:ascii="Times New Roman" w:hAnsi="Times New Roman"/>
        <w:kern w:val="0"/>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28309">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BF28309">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5524">
    <w:pPr>
      <w:pStyle w:val="13"/>
      <w:spacing w:line="14" w:lineRule="auto"/>
      <w:rPr>
        <w:sz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647FD">
                          <w:pPr>
                            <w:pStyle w:val="2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9A647FD">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BAE51">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97F4">
                          <w:pPr>
                            <w:pStyle w:val="2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D9797F4">
                    <w:pPr>
                      <w:pStyle w:val="2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5C859">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CC1B9">
                          <w:pPr>
                            <w:pStyle w:val="2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BCCC1B9">
                    <w:pPr>
                      <w:pStyle w:val="2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9AD24">
    <w:pPr>
      <w:pStyle w:val="1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49EF5">
                          <w:pPr>
                            <w:pStyle w:val="2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9849EF5">
                    <w:pPr>
                      <w:pStyle w:val="2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480"/>
      </w:pPr>
      <w:r>
        <w:separator/>
      </w:r>
    </w:p>
  </w:footnote>
  <w:footnote w:type="continuationSeparator" w:id="1">
    <w:p>
      <w:pPr>
        <w:ind w:left="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1E09">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061C">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0FC06">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08DCF">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DD18">
    <w:pPr>
      <w:pStyle w:val="21"/>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EEAC60B"/>
    <w:multiLevelType w:val="singleLevel"/>
    <w:tmpl w:val="EEEAC60B"/>
    <w:lvl w:ilvl="0" w:tentative="0">
      <w:start w:val="1"/>
      <w:numFmt w:val="decimal"/>
      <w:lvlText w:val="%1."/>
      <w:lvlJc w:val="left"/>
      <w:pPr>
        <w:tabs>
          <w:tab w:val="left" w:pos="312"/>
        </w:tabs>
      </w:p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2"/>
    <w:multiLevelType w:val="singleLevel"/>
    <w:tmpl w:val="00000002"/>
    <w:lvl w:ilvl="0" w:tentative="0">
      <w:start w:val="9"/>
      <w:numFmt w:val="chineseCounting"/>
      <w:suff w:val="space"/>
      <w:lvlText w:val="第%1条"/>
      <w:lvlJc w:val="left"/>
      <w:rPr>
        <w:rFonts w:hint="eastAsia"/>
      </w:rPr>
    </w:lvl>
  </w:abstractNum>
  <w:abstractNum w:abstractNumId="8">
    <w:nsid w:val="0000000C"/>
    <w:multiLevelType w:val="singleLevel"/>
    <w:tmpl w:val="0000000C"/>
    <w:lvl w:ilvl="0" w:tentative="0">
      <w:start w:val="1"/>
      <w:numFmt w:val="chineseCounting"/>
      <w:suff w:val="nothing"/>
      <w:lvlText w:val="（%1）"/>
      <w:lvlJc w:val="left"/>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5"/>
  </w:num>
  <w:num w:numId="2">
    <w:abstractNumId w:val="9"/>
  </w:num>
  <w:num w:numId="3">
    <w:abstractNumId w:val="1"/>
  </w:num>
  <w:num w:numId="4">
    <w:abstractNumId w:val="6"/>
  </w:num>
  <w:num w:numId="5">
    <w:abstractNumId w:val="3"/>
  </w:num>
  <w:num w:numId="6">
    <w:abstractNumId w:val="2"/>
  </w:num>
  <w:num w:numId="7">
    <w:abstractNumId w:val="0"/>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jg3YThlN2M5ZDAxYjBlMTU5YzU2NjMwYWEzOWQifQ=="/>
  </w:docVars>
  <w:rsids>
    <w:rsidRoot w:val="00172A27"/>
    <w:rsid w:val="00004BD9"/>
    <w:rsid w:val="00005E11"/>
    <w:rsid w:val="00012BC5"/>
    <w:rsid w:val="00021109"/>
    <w:rsid w:val="0002273C"/>
    <w:rsid w:val="00030476"/>
    <w:rsid w:val="00044EF2"/>
    <w:rsid w:val="00053827"/>
    <w:rsid w:val="000730B5"/>
    <w:rsid w:val="00074A50"/>
    <w:rsid w:val="00077419"/>
    <w:rsid w:val="00083E3A"/>
    <w:rsid w:val="0008532C"/>
    <w:rsid w:val="00085884"/>
    <w:rsid w:val="00091DFA"/>
    <w:rsid w:val="000A059E"/>
    <w:rsid w:val="000A4FBA"/>
    <w:rsid w:val="000A62C6"/>
    <w:rsid w:val="000C7C42"/>
    <w:rsid w:val="000D2132"/>
    <w:rsid w:val="000E241D"/>
    <w:rsid w:val="000F4B1B"/>
    <w:rsid w:val="00100269"/>
    <w:rsid w:val="0010057D"/>
    <w:rsid w:val="00101A59"/>
    <w:rsid w:val="001033EE"/>
    <w:rsid w:val="0011502F"/>
    <w:rsid w:val="001151F2"/>
    <w:rsid w:val="001155DF"/>
    <w:rsid w:val="00122677"/>
    <w:rsid w:val="001245C7"/>
    <w:rsid w:val="00130397"/>
    <w:rsid w:val="00131AD6"/>
    <w:rsid w:val="00140B86"/>
    <w:rsid w:val="001471CF"/>
    <w:rsid w:val="00161B55"/>
    <w:rsid w:val="00165D24"/>
    <w:rsid w:val="001765F4"/>
    <w:rsid w:val="00185FCF"/>
    <w:rsid w:val="0019335E"/>
    <w:rsid w:val="00196652"/>
    <w:rsid w:val="001D426B"/>
    <w:rsid w:val="001E1156"/>
    <w:rsid w:val="001F03D3"/>
    <w:rsid w:val="001F1CB2"/>
    <w:rsid w:val="00207324"/>
    <w:rsid w:val="002243A8"/>
    <w:rsid w:val="002249D3"/>
    <w:rsid w:val="00235281"/>
    <w:rsid w:val="0024291B"/>
    <w:rsid w:val="0024528F"/>
    <w:rsid w:val="002453E1"/>
    <w:rsid w:val="00252AE9"/>
    <w:rsid w:val="00263E7B"/>
    <w:rsid w:val="002657A6"/>
    <w:rsid w:val="00276694"/>
    <w:rsid w:val="00276A6B"/>
    <w:rsid w:val="002B0502"/>
    <w:rsid w:val="002B4B0B"/>
    <w:rsid w:val="002B7C03"/>
    <w:rsid w:val="002C1B86"/>
    <w:rsid w:val="002C2AF9"/>
    <w:rsid w:val="002C4B78"/>
    <w:rsid w:val="002C6DCC"/>
    <w:rsid w:val="002F0075"/>
    <w:rsid w:val="002F15DF"/>
    <w:rsid w:val="002F4804"/>
    <w:rsid w:val="00302E37"/>
    <w:rsid w:val="00306FD8"/>
    <w:rsid w:val="00314782"/>
    <w:rsid w:val="00321B44"/>
    <w:rsid w:val="00322185"/>
    <w:rsid w:val="003256A5"/>
    <w:rsid w:val="00333181"/>
    <w:rsid w:val="00340C7F"/>
    <w:rsid w:val="003432EF"/>
    <w:rsid w:val="00353E92"/>
    <w:rsid w:val="0036471C"/>
    <w:rsid w:val="00364919"/>
    <w:rsid w:val="003764C9"/>
    <w:rsid w:val="00385ADA"/>
    <w:rsid w:val="00397B21"/>
    <w:rsid w:val="003A1506"/>
    <w:rsid w:val="003A21F6"/>
    <w:rsid w:val="003A5367"/>
    <w:rsid w:val="003B10BE"/>
    <w:rsid w:val="003B1331"/>
    <w:rsid w:val="003B238A"/>
    <w:rsid w:val="003B3169"/>
    <w:rsid w:val="003B6DFA"/>
    <w:rsid w:val="003C0159"/>
    <w:rsid w:val="003C2F22"/>
    <w:rsid w:val="003C337A"/>
    <w:rsid w:val="003D10B8"/>
    <w:rsid w:val="003D131D"/>
    <w:rsid w:val="003D3F0C"/>
    <w:rsid w:val="003D4928"/>
    <w:rsid w:val="003E5E2B"/>
    <w:rsid w:val="003E7936"/>
    <w:rsid w:val="003F25C3"/>
    <w:rsid w:val="003F4DDF"/>
    <w:rsid w:val="003F7265"/>
    <w:rsid w:val="00403EB9"/>
    <w:rsid w:val="00411BAC"/>
    <w:rsid w:val="00421A2A"/>
    <w:rsid w:val="00430B29"/>
    <w:rsid w:val="00433C75"/>
    <w:rsid w:val="004347A8"/>
    <w:rsid w:val="00476506"/>
    <w:rsid w:val="00482467"/>
    <w:rsid w:val="004977ED"/>
    <w:rsid w:val="004A03FF"/>
    <w:rsid w:val="004A6163"/>
    <w:rsid w:val="004C3F03"/>
    <w:rsid w:val="004D15DA"/>
    <w:rsid w:val="004D4D80"/>
    <w:rsid w:val="004E36C5"/>
    <w:rsid w:val="004E7539"/>
    <w:rsid w:val="004F03B1"/>
    <w:rsid w:val="004F21D4"/>
    <w:rsid w:val="004F4ED6"/>
    <w:rsid w:val="00501ABE"/>
    <w:rsid w:val="00504FF0"/>
    <w:rsid w:val="0051694F"/>
    <w:rsid w:val="005216B1"/>
    <w:rsid w:val="00522F1C"/>
    <w:rsid w:val="00524C7B"/>
    <w:rsid w:val="00541112"/>
    <w:rsid w:val="00551CD3"/>
    <w:rsid w:val="0055200D"/>
    <w:rsid w:val="00552103"/>
    <w:rsid w:val="005541F7"/>
    <w:rsid w:val="00564F37"/>
    <w:rsid w:val="005673B7"/>
    <w:rsid w:val="00573B8B"/>
    <w:rsid w:val="00574102"/>
    <w:rsid w:val="00575E07"/>
    <w:rsid w:val="005856C4"/>
    <w:rsid w:val="005A0A3B"/>
    <w:rsid w:val="005A49E5"/>
    <w:rsid w:val="005B7CD1"/>
    <w:rsid w:val="005C656E"/>
    <w:rsid w:val="005E0F02"/>
    <w:rsid w:val="005F2565"/>
    <w:rsid w:val="00612345"/>
    <w:rsid w:val="006155ED"/>
    <w:rsid w:val="006203DD"/>
    <w:rsid w:val="006269C1"/>
    <w:rsid w:val="00642C3D"/>
    <w:rsid w:val="00643B39"/>
    <w:rsid w:val="00646BC1"/>
    <w:rsid w:val="00653DF4"/>
    <w:rsid w:val="00653FEB"/>
    <w:rsid w:val="006609A5"/>
    <w:rsid w:val="00664502"/>
    <w:rsid w:val="00667F68"/>
    <w:rsid w:val="00671751"/>
    <w:rsid w:val="00672EF0"/>
    <w:rsid w:val="00677A32"/>
    <w:rsid w:val="006874CD"/>
    <w:rsid w:val="00690E4B"/>
    <w:rsid w:val="00691919"/>
    <w:rsid w:val="006923B9"/>
    <w:rsid w:val="006928E3"/>
    <w:rsid w:val="00694F89"/>
    <w:rsid w:val="006A2FF1"/>
    <w:rsid w:val="006A3F92"/>
    <w:rsid w:val="006A6DC7"/>
    <w:rsid w:val="006B6D1F"/>
    <w:rsid w:val="006C1C27"/>
    <w:rsid w:val="006D13D1"/>
    <w:rsid w:val="006D2A98"/>
    <w:rsid w:val="006E3336"/>
    <w:rsid w:val="006F2801"/>
    <w:rsid w:val="0070068F"/>
    <w:rsid w:val="007059A3"/>
    <w:rsid w:val="007113C5"/>
    <w:rsid w:val="00714119"/>
    <w:rsid w:val="007200AE"/>
    <w:rsid w:val="00726DE5"/>
    <w:rsid w:val="007314A1"/>
    <w:rsid w:val="00733302"/>
    <w:rsid w:val="00733E4F"/>
    <w:rsid w:val="00756D0A"/>
    <w:rsid w:val="007666C2"/>
    <w:rsid w:val="007777A2"/>
    <w:rsid w:val="00783AF9"/>
    <w:rsid w:val="0079142D"/>
    <w:rsid w:val="00791E4E"/>
    <w:rsid w:val="0079572D"/>
    <w:rsid w:val="007A07C3"/>
    <w:rsid w:val="007B4BFC"/>
    <w:rsid w:val="007B5FEB"/>
    <w:rsid w:val="007C6452"/>
    <w:rsid w:val="007D6CDD"/>
    <w:rsid w:val="007E1AE5"/>
    <w:rsid w:val="007E6455"/>
    <w:rsid w:val="007F1955"/>
    <w:rsid w:val="007F2C3A"/>
    <w:rsid w:val="007F7895"/>
    <w:rsid w:val="008071A2"/>
    <w:rsid w:val="00810206"/>
    <w:rsid w:val="008225A3"/>
    <w:rsid w:val="00835FE1"/>
    <w:rsid w:val="00842F31"/>
    <w:rsid w:val="00845873"/>
    <w:rsid w:val="00861145"/>
    <w:rsid w:val="00867AB8"/>
    <w:rsid w:val="00883223"/>
    <w:rsid w:val="008840EE"/>
    <w:rsid w:val="008976DC"/>
    <w:rsid w:val="008A249A"/>
    <w:rsid w:val="008A7FF0"/>
    <w:rsid w:val="008C18F6"/>
    <w:rsid w:val="008D14BE"/>
    <w:rsid w:val="008E0FE9"/>
    <w:rsid w:val="008E54CF"/>
    <w:rsid w:val="008F0C5A"/>
    <w:rsid w:val="009079FB"/>
    <w:rsid w:val="00922A6E"/>
    <w:rsid w:val="009248EE"/>
    <w:rsid w:val="0094029F"/>
    <w:rsid w:val="00947787"/>
    <w:rsid w:val="0095005B"/>
    <w:rsid w:val="00957B2F"/>
    <w:rsid w:val="00974B27"/>
    <w:rsid w:val="00982816"/>
    <w:rsid w:val="009857EE"/>
    <w:rsid w:val="009A1051"/>
    <w:rsid w:val="009A13B3"/>
    <w:rsid w:val="009A50FF"/>
    <w:rsid w:val="009B266F"/>
    <w:rsid w:val="009B445A"/>
    <w:rsid w:val="009B6FC0"/>
    <w:rsid w:val="009C0208"/>
    <w:rsid w:val="009C2BB2"/>
    <w:rsid w:val="009D03DB"/>
    <w:rsid w:val="009D391D"/>
    <w:rsid w:val="009E2051"/>
    <w:rsid w:val="009E5387"/>
    <w:rsid w:val="009F5269"/>
    <w:rsid w:val="009F73C7"/>
    <w:rsid w:val="00A02232"/>
    <w:rsid w:val="00A03C8F"/>
    <w:rsid w:val="00A11B94"/>
    <w:rsid w:val="00A15BFA"/>
    <w:rsid w:val="00A227A9"/>
    <w:rsid w:val="00A27BA0"/>
    <w:rsid w:val="00A357EE"/>
    <w:rsid w:val="00A363EF"/>
    <w:rsid w:val="00A40DCE"/>
    <w:rsid w:val="00A4C51C"/>
    <w:rsid w:val="00A63617"/>
    <w:rsid w:val="00AA0202"/>
    <w:rsid w:val="00AA1D9A"/>
    <w:rsid w:val="00AD5067"/>
    <w:rsid w:val="00AE6373"/>
    <w:rsid w:val="00B03429"/>
    <w:rsid w:val="00B069A6"/>
    <w:rsid w:val="00B11BEA"/>
    <w:rsid w:val="00B141DA"/>
    <w:rsid w:val="00B266DC"/>
    <w:rsid w:val="00B312C4"/>
    <w:rsid w:val="00B3232B"/>
    <w:rsid w:val="00B33551"/>
    <w:rsid w:val="00B3477F"/>
    <w:rsid w:val="00B35823"/>
    <w:rsid w:val="00B42C29"/>
    <w:rsid w:val="00B43010"/>
    <w:rsid w:val="00B464B7"/>
    <w:rsid w:val="00B75548"/>
    <w:rsid w:val="00B8632A"/>
    <w:rsid w:val="00BB7DD0"/>
    <w:rsid w:val="00BC0B19"/>
    <w:rsid w:val="00BC246D"/>
    <w:rsid w:val="00BC5DFF"/>
    <w:rsid w:val="00BC721C"/>
    <w:rsid w:val="00BC7D48"/>
    <w:rsid w:val="00BD3CCF"/>
    <w:rsid w:val="00BD41CE"/>
    <w:rsid w:val="00BE3D5C"/>
    <w:rsid w:val="00BF5722"/>
    <w:rsid w:val="00C10C9A"/>
    <w:rsid w:val="00C27A17"/>
    <w:rsid w:val="00C27C85"/>
    <w:rsid w:val="00C3145B"/>
    <w:rsid w:val="00C336AC"/>
    <w:rsid w:val="00C3679D"/>
    <w:rsid w:val="00C44B04"/>
    <w:rsid w:val="00C45479"/>
    <w:rsid w:val="00C45F5B"/>
    <w:rsid w:val="00C51D00"/>
    <w:rsid w:val="00C64413"/>
    <w:rsid w:val="00C644E1"/>
    <w:rsid w:val="00C833D7"/>
    <w:rsid w:val="00C84701"/>
    <w:rsid w:val="00C95201"/>
    <w:rsid w:val="00CA6668"/>
    <w:rsid w:val="00CA71B4"/>
    <w:rsid w:val="00CB0031"/>
    <w:rsid w:val="00CB0DF8"/>
    <w:rsid w:val="00CB1EB4"/>
    <w:rsid w:val="00CB265D"/>
    <w:rsid w:val="00CB2E48"/>
    <w:rsid w:val="00CB579E"/>
    <w:rsid w:val="00CC2199"/>
    <w:rsid w:val="00CD7615"/>
    <w:rsid w:val="00CF13AD"/>
    <w:rsid w:val="00CF3310"/>
    <w:rsid w:val="00CF51F8"/>
    <w:rsid w:val="00D035DA"/>
    <w:rsid w:val="00D03781"/>
    <w:rsid w:val="00D14149"/>
    <w:rsid w:val="00D16F56"/>
    <w:rsid w:val="00D2282F"/>
    <w:rsid w:val="00D36414"/>
    <w:rsid w:val="00D430DF"/>
    <w:rsid w:val="00D53F49"/>
    <w:rsid w:val="00D544FB"/>
    <w:rsid w:val="00D61612"/>
    <w:rsid w:val="00D62E42"/>
    <w:rsid w:val="00D63F44"/>
    <w:rsid w:val="00D64054"/>
    <w:rsid w:val="00D73851"/>
    <w:rsid w:val="00D84242"/>
    <w:rsid w:val="00D942DA"/>
    <w:rsid w:val="00DA6C9C"/>
    <w:rsid w:val="00DC3546"/>
    <w:rsid w:val="00DC48C6"/>
    <w:rsid w:val="00DC5EA1"/>
    <w:rsid w:val="00DD7727"/>
    <w:rsid w:val="00DE3837"/>
    <w:rsid w:val="00DF0222"/>
    <w:rsid w:val="00E01465"/>
    <w:rsid w:val="00E070A1"/>
    <w:rsid w:val="00E0731E"/>
    <w:rsid w:val="00E153E2"/>
    <w:rsid w:val="00E20704"/>
    <w:rsid w:val="00E23D8B"/>
    <w:rsid w:val="00E340EF"/>
    <w:rsid w:val="00E3690F"/>
    <w:rsid w:val="00E560AE"/>
    <w:rsid w:val="00E568D5"/>
    <w:rsid w:val="00E61929"/>
    <w:rsid w:val="00E652F8"/>
    <w:rsid w:val="00E7194F"/>
    <w:rsid w:val="00E8023D"/>
    <w:rsid w:val="00E86D6A"/>
    <w:rsid w:val="00E87D3A"/>
    <w:rsid w:val="00EA46B5"/>
    <w:rsid w:val="00EA4E7A"/>
    <w:rsid w:val="00EA7408"/>
    <w:rsid w:val="00EC7703"/>
    <w:rsid w:val="00EF09E0"/>
    <w:rsid w:val="00F075EB"/>
    <w:rsid w:val="00F11859"/>
    <w:rsid w:val="00F12AF3"/>
    <w:rsid w:val="00F15404"/>
    <w:rsid w:val="00F302F2"/>
    <w:rsid w:val="00F40404"/>
    <w:rsid w:val="00F511E6"/>
    <w:rsid w:val="00F521DC"/>
    <w:rsid w:val="00F56E02"/>
    <w:rsid w:val="00F62A39"/>
    <w:rsid w:val="00F761B8"/>
    <w:rsid w:val="00F81D05"/>
    <w:rsid w:val="00F87FDF"/>
    <w:rsid w:val="00F96281"/>
    <w:rsid w:val="00FA6E57"/>
    <w:rsid w:val="00FA7315"/>
    <w:rsid w:val="00FB1285"/>
    <w:rsid w:val="00FB3ACC"/>
    <w:rsid w:val="00FC4243"/>
    <w:rsid w:val="010F7FF3"/>
    <w:rsid w:val="012220B6"/>
    <w:rsid w:val="012F78D7"/>
    <w:rsid w:val="013C690E"/>
    <w:rsid w:val="01447C0F"/>
    <w:rsid w:val="01527EDF"/>
    <w:rsid w:val="0160154F"/>
    <w:rsid w:val="01855022"/>
    <w:rsid w:val="018A1427"/>
    <w:rsid w:val="01902486"/>
    <w:rsid w:val="01A7022B"/>
    <w:rsid w:val="01B20C96"/>
    <w:rsid w:val="01FB5DDF"/>
    <w:rsid w:val="020411DA"/>
    <w:rsid w:val="02421D02"/>
    <w:rsid w:val="0256755B"/>
    <w:rsid w:val="025832D3"/>
    <w:rsid w:val="025C1016"/>
    <w:rsid w:val="027C5214"/>
    <w:rsid w:val="028A7CAC"/>
    <w:rsid w:val="028CC9A8"/>
    <w:rsid w:val="02A0095B"/>
    <w:rsid w:val="02A06EB3"/>
    <w:rsid w:val="02A5BF2B"/>
    <w:rsid w:val="02A66735"/>
    <w:rsid w:val="02C4662B"/>
    <w:rsid w:val="02CD2899"/>
    <w:rsid w:val="02D52B76"/>
    <w:rsid w:val="02E334E5"/>
    <w:rsid w:val="02E35293"/>
    <w:rsid w:val="02ED698C"/>
    <w:rsid w:val="02F254D6"/>
    <w:rsid w:val="03125B78"/>
    <w:rsid w:val="03157416"/>
    <w:rsid w:val="031762EC"/>
    <w:rsid w:val="032D5534"/>
    <w:rsid w:val="032E74C8"/>
    <w:rsid w:val="033B78FE"/>
    <w:rsid w:val="034169C9"/>
    <w:rsid w:val="03463A74"/>
    <w:rsid w:val="035E32C9"/>
    <w:rsid w:val="037C5803"/>
    <w:rsid w:val="03803E2C"/>
    <w:rsid w:val="03981F66"/>
    <w:rsid w:val="03D177E1"/>
    <w:rsid w:val="03D33559"/>
    <w:rsid w:val="03D56849"/>
    <w:rsid w:val="04074FB1"/>
    <w:rsid w:val="0409675C"/>
    <w:rsid w:val="04114082"/>
    <w:rsid w:val="042518C8"/>
    <w:rsid w:val="042E0790"/>
    <w:rsid w:val="046B19E4"/>
    <w:rsid w:val="04700FE0"/>
    <w:rsid w:val="048B3E34"/>
    <w:rsid w:val="04966BE4"/>
    <w:rsid w:val="04C44C50"/>
    <w:rsid w:val="04C81921"/>
    <w:rsid w:val="04D54ABF"/>
    <w:rsid w:val="04D56C61"/>
    <w:rsid w:val="04DC4E76"/>
    <w:rsid w:val="04DF5E54"/>
    <w:rsid w:val="04E27999"/>
    <w:rsid w:val="04F67F6D"/>
    <w:rsid w:val="04F74B7E"/>
    <w:rsid w:val="054D10EA"/>
    <w:rsid w:val="055F2BCB"/>
    <w:rsid w:val="05654685"/>
    <w:rsid w:val="056856B4"/>
    <w:rsid w:val="056B2B35"/>
    <w:rsid w:val="05832D5D"/>
    <w:rsid w:val="05965135"/>
    <w:rsid w:val="05A827C4"/>
    <w:rsid w:val="05B53568"/>
    <w:rsid w:val="05BB6053"/>
    <w:rsid w:val="05D34F22"/>
    <w:rsid w:val="05E15A5D"/>
    <w:rsid w:val="05EF03F3"/>
    <w:rsid w:val="063903A6"/>
    <w:rsid w:val="064222D0"/>
    <w:rsid w:val="06701ABF"/>
    <w:rsid w:val="06A116ED"/>
    <w:rsid w:val="06A93A70"/>
    <w:rsid w:val="06AD1021"/>
    <w:rsid w:val="06B70E57"/>
    <w:rsid w:val="06B83F1C"/>
    <w:rsid w:val="06D02AE7"/>
    <w:rsid w:val="06D15677"/>
    <w:rsid w:val="06E35A66"/>
    <w:rsid w:val="06E635A4"/>
    <w:rsid w:val="071038F9"/>
    <w:rsid w:val="07153E89"/>
    <w:rsid w:val="07241DD5"/>
    <w:rsid w:val="073977FF"/>
    <w:rsid w:val="0749768F"/>
    <w:rsid w:val="074D235A"/>
    <w:rsid w:val="07602EF0"/>
    <w:rsid w:val="076D15CF"/>
    <w:rsid w:val="076F4A1C"/>
    <w:rsid w:val="07AE69C1"/>
    <w:rsid w:val="07AF3996"/>
    <w:rsid w:val="07D23F37"/>
    <w:rsid w:val="07DC0503"/>
    <w:rsid w:val="07F910B5"/>
    <w:rsid w:val="08002A16"/>
    <w:rsid w:val="080B2B96"/>
    <w:rsid w:val="080C0DE8"/>
    <w:rsid w:val="08110A1D"/>
    <w:rsid w:val="081D1247"/>
    <w:rsid w:val="08273E74"/>
    <w:rsid w:val="08287181"/>
    <w:rsid w:val="08396A7B"/>
    <w:rsid w:val="0850D5C5"/>
    <w:rsid w:val="08576E13"/>
    <w:rsid w:val="0858227F"/>
    <w:rsid w:val="087C63F7"/>
    <w:rsid w:val="08902440"/>
    <w:rsid w:val="08A13C26"/>
    <w:rsid w:val="08A2174C"/>
    <w:rsid w:val="08A234FA"/>
    <w:rsid w:val="08A2799E"/>
    <w:rsid w:val="08AA23AF"/>
    <w:rsid w:val="08B84ACC"/>
    <w:rsid w:val="08BA6A96"/>
    <w:rsid w:val="08C44FA5"/>
    <w:rsid w:val="08C571E9"/>
    <w:rsid w:val="08CB0CA3"/>
    <w:rsid w:val="08D36A3F"/>
    <w:rsid w:val="08DD29D1"/>
    <w:rsid w:val="08EA0DB0"/>
    <w:rsid w:val="08ED64C0"/>
    <w:rsid w:val="08EE6740"/>
    <w:rsid w:val="09111494"/>
    <w:rsid w:val="091E5277"/>
    <w:rsid w:val="092D70D8"/>
    <w:rsid w:val="094D790A"/>
    <w:rsid w:val="09742998"/>
    <w:rsid w:val="09B23C11"/>
    <w:rsid w:val="09B9BEBD"/>
    <w:rsid w:val="09D80480"/>
    <w:rsid w:val="09E60CE5"/>
    <w:rsid w:val="09FC6C3A"/>
    <w:rsid w:val="0A014251"/>
    <w:rsid w:val="0A09234C"/>
    <w:rsid w:val="0A0D7099"/>
    <w:rsid w:val="0A3D172D"/>
    <w:rsid w:val="0A3D72FF"/>
    <w:rsid w:val="0A410AF1"/>
    <w:rsid w:val="0A432061"/>
    <w:rsid w:val="0A4800D1"/>
    <w:rsid w:val="0A4A5BF8"/>
    <w:rsid w:val="0A8235E3"/>
    <w:rsid w:val="0AA25A34"/>
    <w:rsid w:val="0AA51080"/>
    <w:rsid w:val="0AA831A5"/>
    <w:rsid w:val="0ABD286D"/>
    <w:rsid w:val="0AC95193"/>
    <w:rsid w:val="0AD876A7"/>
    <w:rsid w:val="0AF01D52"/>
    <w:rsid w:val="0AF46A91"/>
    <w:rsid w:val="0B161F7E"/>
    <w:rsid w:val="0B1C21FE"/>
    <w:rsid w:val="0B204BAA"/>
    <w:rsid w:val="0B301291"/>
    <w:rsid w:val="0B424B21"/>
    <w:rsid w:val="0B48482D"/>
    <w:rsid w:val="0B494101"/>
    <w:rsid w:val="0B550CF8"/>
    <w:rsid w:val="0B783558"/>
    <w:rsid w:val="0B8934E4"/>
    <w:rsid w:val="0B8E40F7"/>
    <w:rsid w:val="0BA648D7"/>
    <w:rsid w:val="0BB65507"/>
    <w:rsid w:val="0BB772BD"/>
    <w:rsid w:val="0BBC195A"/>
    <w:rsid w:val="0BCF2858"/>
    <w:rsid w:val="0BD5530E"/>
    <w:rsid w:val="0BF84E49"/>
    <w:rsid w:val="0BFBA067"/>
    <w:rsid w:val="0C2653A0"/>
    <w:rsid w:val="0C38FFCD"/>
    <w:rsid w:val="0C801DA5"/>
    <w:rsid w:val="0C945850"/>
    <w:rsid w:val="0CA14F93"/>
    <w:rsid w:val="0CA93AC3"/>
    <w:rsid w:val="0CAF204C"/>
    <w:rsid w:val="0CD520F0"/>
    <w:rsid w:val="0CDF8538"/>
    <w:rsid w:val="0D0C188A"/>
    <w:rsid w:val="0D1D312A"/>
    <w:rsid w:val="0D26294C"/>
    <w:rsid w:val="0D6002AD"/>
    <w:rsid w:val="0D7910F6"/>
    <w:rsid w:val="0D7C7760"/>
    <w:rsid w:val="0D940B79"/>
    <w:rsid w:val="0D9773A6"/>
    <w:rsid w:val="0D9A0C44"/>
    <w:rsid w:val="0DA16476"/>
    <w:rsid w:val="0DBB2147"/>
    <w:rsid w:val="0DCB43AD"/>
    <w:rsid w:val="0DCE08EE"/>
    <w:rsid w:val="0DD028B8"/>
    <w:rsid w:val="0DD1781A"/>
    <w:rsid w:val="0DE87C01"/>
    <w:rsid w:val="0E0802A4"/>
    <w:rsid w:val="0E2A646C"/>
    <w:rsid w:val="0E364E11"/>
    <w:rsid w:val="0E5C414B"/>
    <w:rsid w:val="0E7476E7"/>
    <w:rsid w:val="0E8B27A2"/>
    <w:rsid w:val="0EA97C9F"/>
    <w:rsid w:val="0EB977F0"/>
    <w:rsid w:val="0EBB70C4"/>
    <w:rsid w:val="0EBE6BB4"/>
    <w:rsid w:val="0EE20AF5"/>
    <w:rsid w:val="0EE32BA7"/>
    <w:rsid w:val="0EE77EB9"/>
    <w:rsid w:val="0F1862C4"/>
    <w:rsid w:val="0F28BCEC"/>
    <w:rsid w:val="0F4145B2"/>
    <w:rsid w:val="0F4A31F8"/>
    <w:rsid w:val="0F50086D"/>
    <w:rsid w:val="0F756615"/>
    <w:rsid w:val="0F7923CE"/>
    <w:rsid w:val="0F890F70"/>
    <w:rsid w:val="0FAD7D39"/>
    <w:rsid w:val="0FBC7598"/>
    <w:rsid w:val="0FD3130F"/>
    <w:rsid w:val="0FE73EE9"/>
    <w:rsid w:val="0FFD0E0F"/>
    <w:rsid w:val="10012058"/>
    <w:rsid w:val="10046849"/>
    <w:rsid w:val="100D1BA1"/>
    <w:rsid w:val="100D6C71"/>
    <w:rsid w:val="10301A7D"/>
    <w:rsid w:val="106043C7"/>
    <w:rsid w:val="10615A49"/>
    <w:rsid w:val="108C51BC"/>
    <w:rsid w:val="1090632E"/>
    <w:rsid w:val="109D1492"/>
    <w:rsid w:val="10A67900"/>
    <w:rsid w:val="10B94F57"/>
    <w:rsid w:val="10CA1840"/>
    <w:rsid w:val="10D90C4A"/>
    <w:rsid w:val="10E366C5"/>
    <w:rsid w:val="10E54801"/>
    <w:rsid w:val="10E70EBA"/>
    <w:rsid w:val="110F2AEF"/>
    <w:rsid w:val="113676AF"/>
    <w:rsid w:val="11466AA4"/>
    <w:rsid w:val="11516290"/>
    <w:rsid w:val="11867E5D"/>
    <w:rsid w:val="11881DA0"/>
    <w:rsid w:val="118C11EC"/>
    <w:rsid w:val="11AA4801"/>
    <w:rsid w:val="120F3D25"/>
    <w:rsid w:val="12277A10"/>
    <w:rsid w:val="122B27B2"/>
    <w:rsid w:val="1230601B"/>
    <w:rsid w:val="12307DC9"/>
    <w:rsid w:val="12614426"/>
    <w:rsid w:val="12617F82"/>
    <w:rsid w:val="12661A3D"/>
    <w:rsid w:val="12842684"/>
    <w:rsid w:val="128B1CD8"/>
    <w:rsid w:val="12931B0E"/>
    <w:rsid w:val="12A130B7"/>
    <w:rsid w:val="12BB2651"/>
    <w:rsid w:val="12BF6C3A"/>
    <w:rsid w:val="12E3308D"/>
    <w:rsid w:val="12ED5CBA"/>
    <w:rsid w:val="12F46FA1"/>
    <w:rsid w:val="13086650"/>
    <w:rsid w:val="130D1EB8"/>
    <w:rsid w:val="133C1C73"/>
    <w:rsid w:val="135E44C2"/>
    <w:rsid w:val="1360648C"/>
    <w:rsid w:val="1389504F"/>
    <w:rsid w:val="138C4752"/>
    <w:rsid w:val="139B74C4"/>
    <w:rsid w:val="13A667A7"/>
    <w:rsid w:val="13A72195"/>
    <w:rsid w:val="13AB5856"/>
    <w:rsid w:val="13AE71F7"/>
    <w:rsid w:val="13F47B87"/>
    <w:rsid w:val="14011A1D"/>
    <w:rsid w:val="1417068A"/>
    <w:rsid w:val="1419321E"/>
    <w:rsid w:val="14447B5C"/>
    <w:rsid w:val="14454D92"/>
    <w:rsid w:val="14684B99"/>
    <w:rsid w:val="147062DF"/>
    <w:rsid w:val="147A17CF"/>
    <w:rsid w:val="14893B4B"/>
    <w:rsid w:val="14AA20B4"/>
    <w:rsid w:val="14BC3B96"/>
    <w:rsid w:val="14BF281D"/>
    <w:rsid w:val="14DA047C"/>
    <w:rsid w:val="14F96B98"/>
    <w:rsid w:val="15063063"/>
    <w:rsid w:val="15147EEB"/>
    <w:rsid w:val="151C63E2"/>
    <w:rsid w:val="15207FB0"/>
    <w:rsid w:val="1527393E"/>
    <w:rsid w:val="152754B3"/>
    <w:rsid w:val="154D0C92"/>
    <w:rsid w:val="155E2E9F"/>
    <w:rsid w:val="157B7247"/>
    <w:rsid w:val="1582093B"/>
    <w:rsid w:val="15853F88"/>
    <w:rsid w:val="15891CCA"/>
    <w:rsid w:val="158E14F6"/>
    <w:rsid w:val="15A85EC8"/>
    <w:rsid w:val="15D1725F"/>
    <w:rsid w:val="15DB629E"/>
    <w:rsid w:val="15F32FC7"/>
    <w:rsid w:val="15FA0938"/>
    <w:rsid w:val="15FF4979"/>
    <w:rsid w:val="16094BB9"/>
    <w:rsid w:val="16141442"/>
    <w:rsid w:val="161672D6"/>
    <w:rsid w:val="16225103"/>
    <w:rsid w:val="16315EBE"/>
    <w:rsid w:val="16337F32"/>
    <w:rsid w:val="16443E43"/>
    <w:rsid w:val="165A3666"/>
    <w:rsid w:val="16740541"/>
    <w:rsid w:val="16753FFC"/>
    <w:rsid w:val="16783AEC"/>
    <w:rsid w:val="16804FCD"/>
    <w:rsid w:val="168E5B5C"/>
    <w:rsid w:val="16B179F4"/>
    <w:rsid w:val="16B9038D"/>
    <w:rsid w:val="170A64B9"/>
    <w:rsid w:val="170D692B"/>
    <w:rsid w:val="17291623"/>
    <w:rsid w:val="17386D59"/>
    <w:rsid w:val="173E4D36"/>
    <w:rsid w:val="17586196"/>
    <w:rsid w:val="176A2029"/>
    <w:rsid w:val="1787048B"/>
    <w:rsid w:val="178D0EBE"/>
    <w:rsid w:val="17A2340C"/>
    <w:rsid w:val="17A4103D"/>
    <w:rsid w:val="17AD2759"/>
    <w:rsid w:val="17B56CB2"/>
    <w:rsid w:val="17BA0860"/>
    <w:rsid w:val="17D77D27"/>
    <w:rsid w:val="17D82143"/>
    <w:rsid w:val="17D94DE1"/>
    <w:rsid w:val="17ED57D0"/>
    <w:rsid w:val="18005BCE"/>
    <w:rsid w:val="1806F51B"/>
    <w:rsid w:val="180C273E"/>
    <w:rsid w:val="18320DEC"/>
    <w:rsid w:val="18365A0D"/>
    <w:rsid w:val="184243B2"/>
    <w:rsid w:val="1856148E"/>
    <w:rsid w:val="18566F6C"/>
    <w:rsid w:val="186B3909"/>
    <w:rsid w:val="186E164B"/>
    <w:rsid w:val="189C1D14"/>
    <w:rsid w:val="18B071B6"/>
    <w:rsid w:val="18BF5A03"/>
    <w:rsid w:val="18D55226"/>
    <w:rsid w:val="18D66E7C"/>
    <w:rsid w:val="18E71174"/>
    <w:rsid w:val="18EC1E96"/>
    <w:rsid w:val="19193365"/>
    <w:rsid w:val="192F6D69"/>
    <w:rsid w:val="19360CC0"/>
    <w:rsid w:val="193E726F"/>
    <w:rsid w:val="19497D53"/>
    <w:rsid w:val="195706DC"/>
    <w:rsid w:val="19762CB8"/>
    <w:rsid w:val="198C6D1E"/>
    <w:rsid w:val="19994C8B"/>
    <w:rsid w:val="19C05ED6"/>
    <w:rsid w:val="19D11CC1"/>
    <w:rsid w:val="19D918CB"/>
    <w:rsid w:val="19EA401F"/>
    <w:rsid w:val="1A192365"/>
    <w:rsid w:val="1A3A7A37"/>
    <w:rsid w:val="1A7B1EDC"/>
    <w:rsid w:val="1A7C5AF5"/>
    <w:rsid w:val="1AC437A4"/>
    <w:rsid w:val="1AF01D0B"/>
    <w:rsid w:val="1AF57E02"/>
    <w:rsid w:val="1B130EE3"/>
    <w:rsid w:val="1B155DAE"/>
    <w:rsid w:val="1B23594C"/>
    <w:rsid w:val="1B2D759B"/>
    <w:rsid w:val="1B3D7D2A"/>
    <w:rsid w:val="1B487F31"/>
    <w:rsid w:val="1B5C1C2F"/>
    <w:rsid w:val="1B762976"/>
    <w:rsid w:val="1B8360B6"/>
    <w:rsid w:val="1B95289F"/>
    <w:rsid w:val="1BA3785E"/>
    <w:rsid w:val="1BAC1462"/>
    <w:rsid w:val="1BB16ECC"/>
    <w:rsid w:val="1BB2266C"/>
    <w:rsid w:val="1BBC26CD"/>
    <w:rsid w:val="1BC872C4"/>
    <w:rsid w:val="1BD20A9B"/>
    <w:rsid w:val="1BDA0FD3"/>
    <w:rsid w:val="1C163B8C"/>
    <w:rsid w:val="1C194B76"/>
    <w:rsid w:val="1C23A8EA"/>
    <w:rsid w:val="1C2D7127"/>
    <w:rsid w:val="1C505D3B"/>
    <w:rsid w:val="1C640D9B"/>
    <w:rsid w:val="1C752FA8"/>
    <w:rsid w:val="1C9D24FF"/>
    <w:rsid w:val="1CB258B3"/>
    <w:rsid w:val="1CB36F53"/>
    <w:rsid w:val="1CBF7504"/>
    <w:rsid w:val="1CFE11EF"/>
    <w:rsid w:val="1D1B01ED"/>
    <w:rsid w:val="1D1C0790"/>
    <w:rsid w:val="1D2247B2"/>
    <w:rsid w:val="1D2D18BB"/>
    <w:rsid w:val="1D2E13A9"/>
    <w:rsid w:val="1D334817"/>
    <w:rsid w:val="1D435353"/>
    <w:rsid w:val="1D4B5AB7"/>
    <w:rsid w:val="1D5A03F0"/>
    <w:rsid w:val="1D624473"/>
    <w:rsid w:val="1D8D2E82"/>
    <w:rsid w:val="1DA32633"/>
    <w:rsid w:val="1DC97E0B"/>
    <w:rsid w:val="1E05035C"/>
    <w:rsid w:val="1E1B192D"/>
    <w:rsid w:val="1E1E4F79"/>
    <w:rsid w:val="1E222CBC"/>
    <w:rsid w:val="1E2F7187"/>
    <w:rsid w:val="1E3173A3"/>
    <w:rsid w:val="1E3A6BDE"/>
    <w:rsid w:val="1E497EC8"/>
    <w:rsid w:val="1E5170FD"/>
    <w:rsid w:val="1E7352C5"/>
    <w:rsid w:val="1E7740FA"/>
    <w:rsid w:val="1E793FEC"/>
    <w:rsid w:val="1E7E516C"/>
    <w:rsid w:val="1E8067E5"/>
    <w:rsid w:val="1E960840"/>
    <w:rsid w:val="1EB77F58"/>
    <w:rsid w:val="1EC10726"/>
    <w:rsid w:val="1ED55AED"/>
    <w:rsid w:val="1EDB10BC"/>
    <w:rsid w:val="1EEB7551"/>
    <w:rsid w:val="1EF108E0"/>
    <w:rsid w:val="1EF37D5F"/>
    <w:rsid w:val="1F0EC5D2"/>
    <w:rsid w:val="1F185E6D"/>
    <w:rsid w:val="1F364065"/>
    <w:rsid w:val="1F5275D0"/>
    <w:rsid w:val="1F54296A"/>
    <w:rsid w:val="1F5F5277"/>
    <w:rsid w:val="1F6A2431"/>
    <w:rsid w:val="1F72557D"/>
    <w:rsid w:val="1F78690B"/>
    <w:rsid w:val="1F7A2683"/>
    <w:rsid w:val="1F7F5EEC"/>
    <w:rsid w:val="1F8211CF"/>
    <w:rsid w:val="1F8A4FBC"/>
    <w:rsid w:val="1F963D0A"/>
    <w:rsid w:val="1F9A0F77"/>
    <w:rsid w:val="1FB72A96"/>
    <w:rsid w:val="1FC63B1B"/>
    <w:rsid w:val="1FE77AFD"/>
    <w:rsid w:val="1FEE2F20"/>
    <w:rsid w:val="20257BE0"/>
    <w:rsid w:val="203171E6"/>
    <w:rsid w:val="205500A2"/>
    <w:rsid w:val="205E3D53"/>
    <w:rsid w:val="20670E5A"/>
    <w:rsid w:val="206D3F96"/>
    <w:rsid w:val="20746C50"/>
    <w:rsid w:val="20777B04"/>
    <w:rsid w:val="2080016D"/>
    <w:rsid w:val="20831A0C"/>
    <w:rsid w:val="20BA42D4"/>
    <w:rsid w:val="20EA55E7"/>
    <w:rsid w:val="210668C5"/>
    <w:rsid w:val="21150BEA"/>
    <w:rsid w:val="21151B03"/>
    <w:rsid w:val="21212DBE"/>
    <w:rsid w:val="212C5BFF"/>
    <w:rsid w:val="215D400B"/>
    <w:rsid w:val="216A3C86"/>
    <w:rsid w:val="216C24A0"/>
    <w:rsid w:val="217A7F6C"/>
    <w:rsid w:val="217C6B87"/>
    <w:rsid w:val="2193528F"/>
    <w:rsid w:val="21992F47"/>
    <w:rsid w:val="219C4FF7"/>
    <w:rsid w:val="219F0AC7"/>
    <w:rsid w:val="21A13A79"/>
    <w:rsid w:val="21B31E7D"/>
    <w:rsid w:val="21CB5418"/>
    <w:rsid w:val="220D5A31"/>
    <w:rsid w:val="22113B54"/>
    <w:rsid w:val="22146DBF"/>
    <w:rsid w:val="221E610C"/>
    <w:rsid w:val="222F4DA8"/>
    <w:rsid w:val="22401962"/>
    <w:rsid w:val="22617B2B"/>
    <w:rsid w:val="2265C73F"/>
    <w:rsid w:val="226715E5"/>
    <w:rsid w:val="2297354C"/>
    <w:rsid w:val="22A2261D"/>
    <w:rsid w:val="22B8599C"/>
    <w:rsid w:val="22DF561F"/>
    <w:rsid w:val="232671E7"/>
    <w:rsid w:val="234C1F09"/>
    <w:rsid w:val="234E3834"/>
    <w:rsid w:val="239C706C"/>
    <w:rsid w:val="239F4C6E"/>
    <w:rsid w:val="23B32954"/>
    <w:rsid w:val="23C40371"/>
    <w:rsid w:val="23C640E9"/>
    <w:rsid w:val="23D031BA"/>
    <w:rsid w:val="23D34A58"/>
    <w:rsid w:val="23E427C1"/>
    <w:rsid w:val="23F2091A"/>
    <w:rsid w:val="241C01AD"/>
    <w:rsid w:val="2434162D"/>
    <w:rsid w:val="24427F36"/>
    <w:rsid w:val="244B0A92"/>
    <w:rsid w:val="244D0A9B"/>
    <w:rsid w:val="24511D89"/>
    <w:rsid w:val="246A1932"/>
    <w:rsid w:val="24762E49"/>
    <w:rsid w:val="24895793"/>
    <w:rsid w:val="249A18B6"/>
    <w:rsid w:val="24C30629"/>
    <w:rsid w:val="24CC360B"/>
    <w:rsid w:val="24D24552"/>
    <w:rsid w:val="24D40A88"/>
    <w:rsid w:val="24F609FE"/>
    <w:rsid w:val="25072C0B"/>
    <w:rsid w:val="25193311"/>
    <w:rsid w:val="2523478D"/>
    <w:rsid w:val="252448AD"/>
    <w:rsid w:val="256369D4"/>
    <w:rsid w:val="25A0096A"/>
    <w:rsid w:val="25A15886"/>
    <w:rsid w:val="25AE3087"/>
    <w:rsid w:val="25AE752B"/>
    <w:rsid w:val="25B47109"/>
    <w:rsid w:val="25B61F3B"/>
    <w:rsid w:val="25C0051A"/>
    <w:rsid w:val="25C41F50"/>
    <w:rsid w:val="25CE5F37"/>
    <w:rsid w:val="25F14B34"/>
    <w:rsid w:val="25F71D07"/>
    <w:rsid w:val="2646633D"/>
    <w:rsid w:val="265C2AE3"/>
    <w:rsid w:val="267F67D1"/>
    <w:rsid w:val="26802C75"/>
    <w:rsid w:val="26804A23"/>
    <w:rsid w:val="268F14A0"/>
    <w:rsid w:val="269D020C"/>
    <w:rsid w:val="26BA48D8"/>
    <w:rsid w:val="26C40747"/>
    <w:rsid w:val="26D0702D"/>
    <w:rsid w:val="26D87306"/>
    <w:rsid w:val="26EA00EF"/>
    <w:rsid w:val="26FD42C6"/>
    <w:rsid w:val="27012FF1"/>
    <w:rsid w:val="270F29DE"/>
    <w:rsid w:val="272A0E33"/>
    <w:rsid w:val="273DF987"/>
    <w:rsid w:val="274A3283"/>
    <w:rsid w:val="276E3494"/>
    <w:rsid w:val="27707A53"/>
    <w:rsid w:val="27821E79"/>
    <w:rsid w:val="27914A0E"/>
    <w:rsid w:val="27944D81"/>
    <w:rsid w:val="27A44741"/>
    <w:rsid w:val="27C2106B"/>
    <w:rsid w:val="27DE3507"/>
    <w:rsid w:val="27EC7E96"/>
    <w:rsid w:val="27FF406E"/>
    <w:rsid w:val="28357A8F"/>
    <w:rsid w:val="286345FC"/>
    <w:rsid w:val="286D547B"/>
    <w:rsid w:val="28754330"/>
    <w:rsid w:val="288E0F4E"/>
    <w:rsid w:val="28911DF6"/>
    <w:rsid w:val="28A644E9"/>
    <w:rsid w:val="28C44B84"/>
    <w:rsid w:val="28C45BA0"/>
    <w:rsid w:val="28CB22D7"/>
    <w:rsid w:val="28CB3F50"/>
    <w:rsid w:val="28D9041B"/>
    <w:rsid w:val="28DA4193"/>
    <w:rsid w:val="28F83799"/>
    <w:rsid w:val="28FE4325"/>
    <w:rsid w:val="290D2324"/>
    <w:rsid w:val="290E13E6"/>
    <w:rsid w:val="290F6532"/>
    <w:rsid w:val="29115E06"/>
    <w:rsid w:val="291A3901"/>
    <w:rsid w:val="29234E81"/>
    <w:rsid w:val="292875F4"/>
    <w:rsid w:val="295C3AAB"/>
    <w:rsid w:val="29602DA4"/>
    <w:rsid w:val="296E6A96"/>
    <w:rsid w:val="297445E7"/>
    <w:rsid w:val="298C440F"/>
    <w:rsid w:val="29984B41"/>
    <w:rsid w:val="29A60AD2"/>
    <w:rsid w:val="29B0281D"/>
    <w:rsid w:val="29EE10BF"/>
    <w:rsid w:val="29F85218"/>
    <w:rsid w:val="29F959EB"/>
    <w:rsid w:val="2A160DC7"/>
    <w:rsid w:val="2A164F5A"/>
    <w:rsid w:val="2A2221AF"/>
    <w:rsid w:val="2A225DF1"/>
    <w:rsid w:val="2A614B6C"/>
    <w:rsid w:val="2A652E52"/>
    <w:rsid w:val="2A6932FE"/>
    <w:rsid w:val="2A7725E1"/>
    <w:rsid w:val="2A8D770F"/>
    <w:rsid w:val="2AA131BA"/>
    <w:rsid w:val="2AB7478C"/>
    <w:rsid w:val="2ABE3D6C"/>
    <w:rsid w:val="2AC31382"/>
    <w:rsid w:val="2AD27817"/>
    <w:rsid w:val="2AD92954"/>
    <w:rsid w:val="2ADF6BC8"/>
    <w:rsid w:val="2AE57DE8"/>
    <w:rsid w:val="2AEA2DB3"/>
    <w:rsid w:val="2B0A6FB1"/>
    <w:rsid w:val="2B1F74E2"/>
    <w:rsid w:val="2B5621F6"/>
    <w:rsid w:val="2B64728F"/>
    <w:rsid w:val="2B6F150A"/>
    <w:rsid w:val="2B9F7E75"/>
    <w:rsid w:val="2BA16960"/>
    <w:rsid w:val="2BA52AAD"/>
    <w:rsid w:val="2BB45838"/>
    <w:rsid w:val="2BBE0747"/>
    <w:rsid w:val="2BD759D1"/>
    <w:rsid w:val="2BF619DF"/>
    <w:rsid w:val="2C1743DE"/>
    <w:rsid w:val="2C1756D7"/>
    <w:rsid w:val="2C23727D"/>
    <w:rsid w:val="2C444A00"/>
    <w:rsid w:val="2C471B3F"/>
    <w:rsid w:val="2C477D91"/>
    <w:rsid w:val="2C532BDA"/>
    <w:rsid w:val="2C7C7A3B"/>
    <w:rsid w:val="2C894F11"/>
    <w:rsid w:val="2CB74F17"/>
    <w:rsid w:val="2CC33E23"/>
    <w:rsid w:val="2CD8457F"/>
    <w:rsid w:val="2CE10AD8"/>
    <w:rsid w:val="2D012F66"/>
    <w:rsid w:val="2D047A30"/>
    <w:rsid w:val="2D0A11D9"/>
    <w:rsid w:val="2D2F04EF"/>
    <w:rsid w:val="2D320A41"/>
    <w:rsid w:val="2D4A18E7"/>
    <w:rsid w:val="2D746964"/>
    <w:rsid w:val="2D7A43C5"/>
    <w:rsid w:val="2D9D328F"/>
    <w:rsid w:val="2DAA05D8"/>
    <w:rsid w:val="2DC154FE"/>
    <w:rsid w:val="2DC773DC"/>
    <w:rsid w:val="2DEC0BF0"/>
    <w:rsid w:val="2E206AEC"/>
    <w:rsid w:val="2E4C5B33"/>
    <w:rsid w:val="2E530C6F"/>
    <w:rsid w:val="2E864BA1"/>
    <w:rsid w:val="2E9221B1"/>
    <w:rsid w:val="2EC8145A"/>
    <w:rsid w:val="2F064CA1"/>
    <w:rsid w:val="2F125D50"/>
    <w:rsid w:val="2F195A15"/>
    <w:rsid w:val="2F414F6C"/>
    <w:rsid w:val="2F591577"/>
    <w:rsid w:val="2F7BFBE4"/>
    <w:rsid w:val="2F901C22"/>
    <w:rsid w:val="2F9B0B20"/>
    <w:rsid w:val="2FC1790C"/>
    <w:rsid w:val="2FCA6D0F"/>
    <w:rsid w:val="2FD61B58"/>
    <w:rsid w:val="2FDE27BA"/>
    <w:rsid w:val="2FE56BC6"/>
    <w:rsid w:val="2FEA5603"/>
    <w:rsid w:val="2FEC137B"/>
    <w:rsid w:val="30112B90"/>
    <w:rsid w:val="301558D6"/>
    <w:rsid w:val="301D4E77"/>
    <w:rsid w:val="30227E4E"/>
    <w:rsid w:val="30295295"/>
    <w:rsid w:val="3038011D"/>
    <w:rsid w:val="303B5676"/>
    <w:rsid w:val="305A2CE0"/>
    <w:rsid w:val="306661CF"/>
    <w:rsid w:val="307500C9"/>
    <w:rsid w:val="308B563A"/>
    <w:rsid w:val="30980BBB"/>
    <w:rsid w:val="30A05CC2"/>
    <w:rsid w:val="30A25EDE"/>
    <w:rsid w:val="30A9101A"/>
    <w:rsid w:val="30C5746F"/>
    <w:rsid w:val="30C94A2F"/>
    <w:rsid w:val="30CB2D3F"/>
    <w:rsid w:val="30D87747"/>
    <w:rsid w:val="30E803E9"/>
    <w:rsid w:val="310D5422"/>
    <w:rsid w:val="310D77FB"/>
    <w:rsid w:val="31251884"/>
    <w:rsid w:val="31336B36"/>
    <w:rsid w:val="313E1763"/>
    <w:rsid w:val="318B2134"/>
    <w:rsid w:val="31917CDD"/>
    <w:rsid w:val="31C0486E"/>
    <w:rsid w:val="320C1E2D"/>
    <w:rsid w:val="32110C25"/>
    <w:rsid w:val="32146ADF"/>
    <w:rsid w:val="322F42CB"/>
    <w:rsid w:val="32324813"/>
    <w:rsid w:val="32422F31"/>
    <w:rsid w:val="32454D73"/>
    <w:rsid w:val="32735AE0"/>
    <w:rsid w:val="3290431A"/>
    <w:rsid w:val="32A02638"/>
    <w:rsid w:val="32A82E11"/>
    <w:rsid w:val="32AF04C0"/>
    <w:rsid w:val="32DA370D"/>
    <w:rsid w:val="32E053B7"/>
    <w:rsid w:val="32E75E2A"/>
    <w:rsid w:val="32F31E6B"/>
    <w:rsid w:val="32F82A3E"/>
    <w:rsid w:val="331C5AD4"/>
    <w:rsid w:val="33290B85"/>
    <w:rsid w:val="334B3268"/>
    <w:rsid w:val="335E62E6"/>
    <w:rsid w:val="33664FA1"/>
    <w:rsid w:val="33680D19"/>
    <w:rsid w:val="33823753"/>
    <w:rsid w:val="33824DDA"/>
    <w:rsid w:val="33B03948"/>
    <w:rsid w:val="33B67DE3"/>
    <w:rsid w:val="33B91574"/>
    <w:rsid w:val="33B96B1E"/>
    <w:rsid w:val="33EA4B5F"/>
    <w:rsid w:val="342D5ABF"/>
    <w:rsid w:val="343F4670"/>
    <w:rsid w:val="34485A40"/>
    <w:rsid w:val="345033AD"/>
    <w:rsid w:val="34504F1B"/>
    <w:rsid w:val="34514978"/>
    <w:rsid w:val="346D4150"/>
    <w:rsid w:val="34784F8C"/>
    <w:rsid w:val="347A51A8"/>
    <w:rsid w:val="348E0C53"/>
    <w:rsid w:val="349124F1"/>
    <w:rsid w:val="34B54432"/>
    <w:rsid w:val="34C605AB"/>
    <w:rsid w:val="34D83C7C"/>
    <w:rsid w:val="34DC4900"/>
    <w:rsid w:val="3519157A"/>
    <w:rsid w:val="35301D0A"/>
    <w:rsid w:val="353C06AF"/>
    <w:rsid w:val="35496928"/>
    <w:rsid w:val="35505F08"/>
    <w:rsid w:val="35586B6B"/>
    <w:rsid w:val="35906305"/>
    <w:rsid w:val="35A149B6"/>
    <w:rsid w:val="35A41DB0"/>
    <w:rsid w:val="35A85D44"/>
    <w:rsid w:val="35A87671"/>
    <w:rsid w:val="35B04BF9"/>
    <w:rsid w:val="35ED5D03"/>
    <w:rsid w:val="35F8303F"/>
    <w:rsid w:val="35FF0CF3"/>
    <w:rsid w:val="360B1E2F"/>
    <w:rsid w:val="36400C61"/>
    <w:rsid w:val="364362D2"/>
    <w:rsid w:val="367B4CE7"/>
    <w:rsid w:val="368E7F7A"/>
    <w:rsid w:val="369462C9"/>
    <w:rsid w:val="369469C6"/>
    <w:rsid w:val="36C21D9C"/>
    <w:rsid w:val="36C4095C"/>
    <w:rsid w:val="36E33990"/>
    <w:rsid w:val="36EB413B"/>
    <w:rsid w:val="36EC1C61"/>
    <w:rsid w:val="36EF52AD"/>
    <w:rsid w:val="36FA25D0"/>
    <w:rsid w:val="37103BA1"/>
    <w:rsid w:val="371B4C57"/>
    <w:rsid w:val="372178FE"/>
    <w:rsid w:val="37397DA9"/>
    <w:rsid w:val="37936580"/>
    <w:rsid w:val="37973359"/>
    <w:rsid w:val="379A346B"/>
    <w:rsid w:val="37A147F9"/>
    <w:rsid w:val="37A850B9"/>
    <w:rsid w:val="37B049D8"/>
    <w:rsid w:val="37B4131E"/>
    <w:rsid w:val="37DC7428"/>
    <w:rsid w:val="37DD4FF7"/>
    <w:rsid w:val="37E55F51"/>
    <w:rsid w:val="37EA135B"/>
    <w:rsid w:val="380145BB"/>
    <w:rsid w:val="38317DB1"/>
    <w:rsid w:val="38376628"/>
    <w:rsid w:val="383B58CC"/>
    <w:rsid w:val="3859486B"/>
    <w:rsid w:val="389C6106"/>
    <w:rsid w:val="38B247E4"/>
    <w:rsid w:val="38B955D1"/>
    <w:rsid w:val="38CA7D80"/>
    <w:rsid w:val="38D330D8"/>
    <w:rsid w:val="38D73811"/>
    <w:rsid w:val="39050DB8"/>
    <w:rsid w:val="39052A90"/>
    <w:rsid w:val="39262E16"/>
    <w:rsid w:val="392751D2"/>
    <w:rsid w:val="392B4CC2"/>
    <w:rsid w:val="393D67A4"/>
    <w:rsid w:val="39423DBA"/>
    <w:rsid w:val="394915ED"/>
    <w:rsid w:val="396350D3"/>
    <w:rsid w:val="39663F4D"/>
    <w:rsid w:val="396B3311"/>
    <w:rsid w:val="399E02AA"/>
    <w:rsid w:val="39A95BE7"/>
    <w:rsid w:val="39BC1DBE"/>
    <w:rsid w:val="39F03816"/>
    <w:rsid w:val="3A053765"/>
    <w:rsid w:val="3A0E6AD8"/>
    <w:rsid w:val="3A13241F"/>
    <w:rsid w:val="3A305520"/>
    <w:rsid w:val="3A323E2F"/>
    <w:rsid w:val="3A3C6A5B"/>
    <w:rsid w:val="3A4A1178"/>
    <w:rsid w:val="3A5C534F"/>
    <w:rsid w:val="3A8F74D3"/>
    <w:rsid w:val="3AA76149"/>
    <w:rsid w:val="3AA80595"/>
    <w:rsid w:val="3AAA536B"/>
    <w:rsid w:val="3ABE6467"/>
    <w:rsid w:val="3AD90C2B"/>
    <w:rsid w:val="3AFB6916"/>
    <w:rsid w:val="3B141786"/>
    <w:rsid w:val="3B152F92"/>
    <w:rsid w:val="3B3666E3"/>
    <w:rsid w:val="3B38369A"/>
    <w:rsid w:val="3B41354E"/>
    <w:rsid w:val="3B5953EB"/>
    <w:rsid w:val="3B64221A"/>
    <w:rsid w:val="3B854432"/>
    <w:rsid w:val="3B8C7166"/>
    <w:rsid w:val="3BAA5C47"/>
    <w:rsid w:val="3BAE1BDB"/>
    <w:rsid w:val="3BC23194"/>
    <w:rsid w:val="3BD50F16"/>
    <w:rsid w:val="3BD920D1"/>
    <w:rsid w:val="3BE178BA"/>
    <w:rsid w:val="3BEA1276"/>
    <w:rsid w:val="3BF011FB"/>
    <w:rsid w:val="3C00268C"/>
    <w:rsid w:val="3C017F5D"/>
    <w:rsid w:val="3C0637C5"/>
    <w:rsid w:val="3C153A08"/>
    <w:rsid w:val="3C2123AD"/>
    <w:rsid w:val="3C5E715D"/>
    <w:rsid w:val="3C656005"/>
    <w:rsid w:val="3C6648CA"/>
    <w:rsid w:val="3C8A2966"/>
    <w:rsid w:val="3CAF1767"/>
    <w:rsid w:val="3CBC20D5"/>
    <w:rsid w:val="3CC80A7A"/>
    <w:rsid w:val="3CFA3227"/>
    <w:rsid w:val="3D037D04"/>
    <w:rsid w:val="3D0A6551"/>
    <w:rsid w:val="3D1C15CD"/>
    <w:rsid w:val="3D2E2FD3"/>
    <w:rsid w:val="3D4C3E0F"/>
    <w:rsid w:val="3D670004"/>
    <w:rsid w:val="3D6A38DF"/>
    <w:rsid w:val="3D6D2452"/>
    <w:rsid w:val="3D6D517E"/>
    <w:rsid w:val="3D8D78E5"/>
    <w:rsid w:val="3DA9265A"/>
    <w:rsid w:val="3DB137E7"/>
    <w:rsid w:val="3DB50C64"/>
    <w:rsid w:val="3DB65977"/>
    <w:rsid w:val="3DC72B51"/>
    <w:rsid w:val="3DCB0822"/>
    <w:rsid w:val="3DE94B5E"/>
    <w:rsid w:val="3DEC4380"/>
    <w:rsid w:val="3DFC4E7F"/>
    <w:rsid w:val="3E077380"/>
    <w:rsid w:val="3E0E7371"/>
    <w:rsid w:val="3E0F6C00"/>
    <w:rsid w:val="3E1A38ED"/>
    <w:rsid w:val="3E2B4042"/>
    <w:rsid w:val="3E2D4E35"/>
    <w:rsid w:val="3E441C89"/>
    <w:rsid w:val="3E577856"/>
    <w:rsid w:val="3E614CE2"/>
    <w:rsid w:val="3E747B7D"/>
    <w:rsid w:val="3E9638F5"/>
    <w:rsid w:val="3E9E7CE5"/>
    <w:rsid w:val="3EA85C6E"/>
    <w:rsid w:val="3EAF1EF2"/>
    <w:rsid w:val="3EC84D62"/>
    <w:rsid w:val="3ECD766B"/>
    <w:rsid w:val="3ED70D62"/>
    <w:rsid w:val="3EE84AE4"/>
    <w:rsid w:val="3EEF0540"/>
    <w:rsid w:val="3F1375D9"/>
    <w:rsid w:val="3F181422"/>
    <w:rsid w:val="3F1E6D0D"/>
    <w:rsid w:val="3F2D72BA"/>
    <w:rsid w:val="3F322AD5"/>
    <w:rsid w:val="3F63E45E"/>
    <w:rsid w:val="3F6F51DD"/>
    <w:rsid w:val="3F7647BE"/>
    <w:rsid w:val="3F764822"/>
    <w:rsid w:val="3F7EBCE9"/>
    <w:rsid w:val="3F874C1D"/>
    <w:rsid w:val="3FA33BE5"/>
    <w:rsid w:val="3FC02E3A"/>
    <w:rsid w:val="3FCC262F"/>
    <w:rsid w:val="3FE51389"/>
    <w:rsid w:val="3FF81676"/>
    <w:rsid w:val="3FFF2A05"/>
    <w:rsid w:val="3FFF42C3"/>
    <w:rsid w:val="40183AC7"/>
    <w:rsid w:val="403F2E01"/>
    <w:rsid w:val="404503BF"/>
    <w:rsid w:val="404D2E17"/>
    <w:rsid w:val="406805AA"/>
    <w:rsid w:val="407D1B7C"/>
    <w:rsid w:val="40AC7DAC"/>
    <w:rsid w:val="40BC08F6"/>
    <w:rsid w:val="40BC26A4"/>
    <w:rsid w:val="40C61775"/>
    <w:rsid w:val="40C7151E"/>
    <w:rsid w:val="40C94DC1"/>
    <w:rsid w:val="40CE4185"/>
    <w:rsid w:val="40D07EFD"/>
    <w:rsid w:val="40D519B8"/>
    <w:rsid w:val="40DB45D4"/>
    <w:rsid w:val="40DB5220"/>
    <w:rsid w:val="40E5576F"/>
    <w:rsid w:val="40FE0F0E"/>
    <w:rsid w:val="410A340F"/>
    <w:rsid w:val="41131473"/>
    <w:rsid w:val="411F5ED7"/>
    <w:rsid w:val="41473D2F"/>
    <w:rsid w:val="415428DD"/>
    <w:rsid w:val="41760AA5"/>
    <w:rsid w:val="417B60BB"/>
    <w:rsid w:val="419D4283"/>
    <w:rsid w:val="41B2577E"/>
    <w:rsid w:val="41C55359"/>
    <w:rsid w:val="41C91AB7"/>
    <w:rsid w:val="41E4A9A8"/>
    <w:rsid w:val="41FB6291"/>
    <w:rsid w:val="4223046C"/>
    <w:rsid w:val="422F6EA6"/>
    <w:rsid w:val="42346FA5"/>
    <w:rsid w:val="42347419"/>
    <w:rsid w:val="42360234"/>
    <w:rsid w:val="42415557"/>
    <w:rsid w:val="424850BC"/>
    <w:rsid w:val="424961B9"/>
    <w:rsid w:val="424B0183"/>
    <w:rsid w:val="42672AE3"/>
    <w:rsid w:val="426D634C"/>
    <w:rsid w:val="4280620B"/>
    <w:rsid w:val="42972B70"/>
    <w:rsid w:val="42997E39"/>
    <w:rsid w:val="42A96C58"/>
    <w:rsid w:val="42BA0E65"/>
    <w:rsid w:val="42C972FA"/>
    <w:rsid w:val="42D737C5"/>
    <w:rsid w:val="42DA1507"/>
    <w:rsid w:val="43140A2D"/>
    <w:rsid w:val="43375BC8"/>
    <w:rsid w:val="434626F9"/>
    <w:rsid w:val="434846C3"/>
    <w:rsid w:val="4384454B"/>
    <w:rsid w:val="43862CB2"/>
    <w:rsid w:val="43A63197"/>
    <w:rsid w:val="43AF11A0"/>
    <w:rsid w:val="43B5142D"/>
    <w:rsid w:val="43D85A47"/>
    <w:rsid w:val="43DC279C"/>
    <w:rsid w:val="43DD03CC"/>
    <w:rsid w:val="43F11727"/>
    <w:rsid w:val="440235BA"/>
    <w:rsid w:val="440F3614"/>
    <w:rsid w:val="44130C4C"/>
    <w:rsid w:val="441A110F"/>
    <w:rsid w:val="44354C47"/>
    <w:rsid w:val="44392A3A"/>
    <w:rsid w:val="44414379"/>
    <w:rsid w:val="44444E8A"/>
    <w:rsid w:val="44522379"/>
    <w:rsid w:val="445D7CFA"/>
    <w:rsid w:val="44684177"/>
    <w:rsid w:val="44753CB0"/>
    <w:rsid w:val="448360AC"/>
    <w:rsid w:val="448C7A09"/>
    <w:rsid w:val="44974F2C"/>
    <w:rsid w:val="44975F5D"/>
    <w:rsid w:val="449E0D42"/>
    <w:rsid w:val="44AD0C81"/>
    <w:rsid w:val="44BC0EC5"/>
    <w:rsid w:val="44CE6E4A"/>
    <w:rsid w:val="44DA7C41"/>
    <w:rsid w:val="44DD0E3B"/>
    <w:rsid w:val="44DF4BB3"/>
    <w:rsid w:val="44F40F99"/>
    <w:rsid w:val="44FA7C3F"/>
    <w:rsid w:val="44FC7513"/>
    <w:rsid w:val="451231DA"/>
    <w:rsid w:val="45140D01"/>
    <w:rsid w:val="45165C22"/>
    <w:rsid w:val="45223261"/>
    <w:rsid w:val="45653B74"/>
    <w:rsid w:val="45815C6A"/>
    <w:rsid w:val="45CA5FBA"/>
    <w:rsid w:val="45CE5353"/>
    <w:rsid w:val="45D62F4C"/>
    <w:rsid w:val="4600AAA9"/>
    <w:rsid w:val="46456C98"/>
    <w:rsid w:val="464F1AAD"/>
    <w:rsid w:val="46586568"/>
    <w:rsid w:val="46641814"/>
    <w:rsid w:val="466B1855"/>
    <w:rsid w:val="467C6A48"/>
    <w:rsid w:val="4681058E"/>
    <w:rsid w:val="46BE4A66"/>
    <w:rsid w:val="46D149CF"/>
    <w:rsid w:val="46DA7FD3"/>
    <w:rsid w:val="46DD5122"/>
    <w:rsid w:val="46E953AF"/>
    <w:rsid w:val="46F04E55"/>
    <w:rsid w:val="4702B5D6"/>
    <w:rsid w:val="470B0F90"/>
    <w:rsid w:val="47152B0E"/>
    <w:rsid w:val="47490A0A"/>
    <w:rsid w:val="47940560"/>
    <w:rsid w:val="479E6FA7"/>
    <w:rsid w:val="47C02A7A"/>
    <w:rsid w:val="47CA166D"/>
    <w:rsid w:val="4800556C"/>
    <w:rsid w:val="48256060"/>
    <w:rsid w:val="48290558"/>
    <w:rsid w:val="48391EED"/>
    <w:rsid w:val="48537D92"/>
    <w:rsid w:val="48587156"/>
    <w:rsid w:val="486567BF"/>
    <w:rsid w:val="48685E42"/>
    <w:rsid w:val="486F1823"/>
    <w:rsid w:val="487A7B85"/>
    <w:rsid w:val="487B2E45"/>
    <w:rsid w:val="4893018E"/>
    <w:rsid w:val="489A776F"/>
    <w:rsid w:val="48C22822"/>
    <w:rsid w:val="48DB38E3"/>
    <w:rsid w:val="48F0738F"/>
    <w:rsid w:val="48F67C40"/>
    <w:rsid w:val="490948F4"/>
    <w:rsid w:val="491F7C74"/>
    <w:rsid w:val="49366D6C"/>
    <w:rsid w:val="49498DEF"/>
    <w:rsid w:val="494A5EFA"/>
    <w:rsid w:val="49584F34"/>
    <w:rsid w:val="495D254A"/>
    <w:rsid w:val="49637556"/>
    <w:rsid w:val="496A2C18"/>
    <w:rsid w:val="49845338"/>
    <w:rsid w:val="498B1DB5"/>
    <w:rsid w:val="49A86D4E"/>
    <w:rsid w:val="49AD34D2"/>
    <w:rsid w:val="49AE276F"/>
    <w:rsid w:val="49B22896"/>
    <w:rsid w:val="49C8790E"/>
    <w:rsid w:val="49D219AC"/>
    <w:rsid w:val="49F230A0"/>
    <w:rsid w:val="49F25388"/>
    <w:rsid w:val="49F27137"/>
    <w:rsid w:val="4A286209"/>
    <w:rsid w:val="4A2A4F8E"/>
    <w:rsid w:val="4A34002A"/>
    <w:rsid w:val="4A6921BC"/>
    <w:rsid w:val="4A745D9D"/>
    <w:rsid w:val="4A7A5126"/>
    <w:rsid w:val="4A842484"/>
    <w:rsid w:val="4A93301A"/>
    <w:rsid w:val="4A982E69"/>
    <w:rsid w:val="4AAC4A05"/>
    <w:rsid w:val="4AB4049F"/>
    <w:rsid w:val="4AC01DB6"/>
    <w:rsid w:val="4AC97E97"/>
    <w:rsid w:val="4ACE1952"/>
    <w:rsid w:val="4AD52CE0"/>
    <w:rsid w:val="4AE178D7"/>
    <w:rsid w:val="4AF3760A"/>
    <w:rsid w:val="4B1B446B"/>
    <w:rsid w:val="4B301E5B"/>
    <w:rsid w:val="4B3E1837"/>
    <w:rsid w:val="4B4C600B"/>
    <w:rsid w:val="4B541BD0"/>
    <w:rsid w:val="4B935BD3"/>
    <w:rsid w:val="4B966E3B"/>
    <w:rsid w:val="4BAD1EC1"/>
    <w:rsid w:val="4BB73B49"/>
    <w:rsid w:val="4BC71023"/>
    <w:rsid w:val="4BD50BA9"/>
    <w:rsid w:val="4BE624CC"/>
    <w:rsid w:val="4C0118B3"/>
    <w:rsid w:val="4C0F2222"/>
    <w:rsid w:val="4C286E40"/>
    <w:rsid w:val="4C4C179A"/>
    <w:rsid w:val="4C686CF0"/>
    <w:rsid w:val="4C7201FE"/>
    <w:rsid w:val="4C7B1665"/>
    <w:rsid w:val="4C7E2F03"/>
    <w:rsid w:val="4C87000A"/>
    <w:rsid w:val="4CC72AFC"/>
    <w:rsid w:val="4CF907DC"/>
    <w:rsid w:val="4D017C19"/>
    <w:rsid w:val="4D063625"/>
    <w:rsid w:val="4D0F1DAD"/>
    <w:rsid w:val="4D1614F4"/>
    <w:rsid w:val="4D1D5961"/>
    <w:rsid w:val="4D245859"/>
    <w:rsid w:val="4D2C7831"/>
    <w:rsid w:val="4D2DB082"/>
    <w:rsid w:val="4D3121D0"/>
    <w:rsid w:val="4D540B87"/>
    <w:rsid w:val="4D602609"/>
    <w:rsid w:val="4D7517FD"/>
    <w:rsid w:val="4D9978A7"/>
    <w:rsid w:val="4D9A5B1B"/>
    <w:rsid w:val="4DB210B7"/>
    <w:rsid w:val="4DBB1BA6"/>
    <w:rsid w:val="4DCA534C"/>
    <w:rsid w:val="4DDD3BDD"/>
    <w:rsid w:val="4DE64B1C"/>
    <w:rsid w:val="4E04568A"/>
    <w:rsid w:val="4E0643A4"/>
    <w:rsid w:val="4E086F29"/>
    <w:rsid w:val="4E2B70BB"/>
    <w:rsid w:val="4E3A4FCB"/>
    <w:rsid w:val="4E41243B"/>
    <w:rsid w:val="4E4B5067"/>
    <w:rsid w:val="4E5B5CFD"/>
    <w:rsid w:val="4E61488B"/>
    <w:rsid w:val="4E8567CB"/>
    <w:rsid w:val="4E86609F"/>
    <w:rsid w:val="4E8B43FB"/>
    <w:rsid w:val="4E920EE8"/>
    <w:rsid w:val="4EAC6BE9"/>
    <w:rsid w:val="4EC529A2"/>
    <w:rsid w:val="4EFB6A8D"/>
    <w:rsid w:val="4F0911AA"/>
    <w:rsid w:val="4F1418FD"/>
    <w:rsid w:val="4F1F277C"/>
    <w:rsid w:val="4F2935FA"/>
    <w:rsid w:val="4F2A1C15"/>
    <w:rsid w:val="4F644506"/>
    <w:rsid w:val="4F652159"/>
    <w:rsid w:val="4F6B34B1"/>
    <w:rsid w:val="4F6E6269"/>
    <w:rsid w:val="4F830CB8"/>
    <w:rsid w:val="4FA26F09"/>
    <w:rsid w:val="4FA35CE3"/>
    <w:rsid w:val="4FB8497E"/>
    <w:rsid w:val="4FBD1F95"/>
    <w:rsid w:val="4FD70857"/>
    <w:rsid w:val="4FD95BD8"/>
    <w:rsid w:val="4FEB51AA"/>
    <w:rsid w:val="4FF7120A"/>
    <w:rsid w:val="4FFC0D0F"/>
    <w:rsid w:val="50344F7E"/>
    <w:rsid w:val="50377F99"/>
    <w:rsid w:val="506B2BBD"/>
    <w:rsid w:val="506B379F"/>
    <w:rsid w:val="50964CC0"/>
    <w:rsid w:val="5099655E"/>
    <w:rsid w:val="50B96C00"/>
    <w:rsid w:val="50F3086A"/>
    <w:rsid w:val="50FE2865"/>
    <w:rsid w:val="510734C7"/>
    <w:rsid w:val="51090226"/>
    <w:rsid w:val="5109055A"/>
    <w:rsid w:val="510A6872"/>
    <w:rsid w:val="511D2CEB"/>
    <w:rsid w:val="51352C37"/>
    <w:rsid w:val="514364CA"/>
    <w:rsid w:val="514C537E"/>
    <w:rsid w:val="51597A9B"/>
    <w:rsid w:val="517F7502"/>
    <w:rsid w:val="51822E36"/>
    <w:rsid w:val="518D1C42"/>
    <w:rsid w:val="519A7DC4"/>
    <w:rsid w:val="519E044E"/>
    <w:rsid w:val="51AFE679"/>
    <w:rsid w:val="51B318A1"/>
    <w:rsid w:val="51BD002A"/>
    <w:rsid w:val="51C94C21"/>
    <w:rsid w:val="51D04201"/>
    <w:rsid w:val="51D81308"/>
    <w:rsid w:val="51D87F5F"/>
    <w:rsid w:val="51E1EFD0"/>
    <w:rsid w:val="51E952C3"/>
    <w:rsid w:val="51EB1DCA"/>
    <w:rsid w:val="5233653E"/>
    <w:rsid w:val="523C53F3"/>
    <w:rsid w:val="524CACED"/>
    <w:rsid w:val="525E5AE5"/>
    <w:rsid w:val="526A6404"/>
    <w:rsid w:val="528B0128"/>
    <w:rsid w:val="529812DB"/>
    <w:rsid w:val="52CB6777"/>
    <w:rsid w:val="52D60BA3"/>
    <w:rsid w:val="52D63A99"/>
    <w:rsid w:val="52E20C00"/>
    <w:rsid w:val="52E77A54"/>
    <w:rsid w:val="52FE4D9E"/>
    <w:rsid w:val="530F0D59"/>
    <w:rsid w:val="532F31A9"/>
    <w:rsid w:val="53397B84"/>
    <w:rsid w:val="53424C8B"/>
    <w:rsid w:val="537373BC"/>
    <w:rsid w:val="537A6478"/>
    <w:rsid w:val="53911318"/>
    <w:rsid w:val="539D6365"/>
    <w:rsid w:val="53A84A4C"/>
    <w:rsid w:val="53D0531B"/>
    <w:rsid w:val="53D27C3B"/>
    <w:rsid w:val="53E421E6"/>
    <w:rsid w:val="53FB4EF4"/>
    <w:rsid w:val="53FF2B7C"/>
    <w:rsid w:val="5402266C"/>
    <w:rsid w:val="54246E44"/>
    <w:rsid w:val="54353257"/>
    <w:rsid w:val="54447474"/>
    <w:rsid w:val="544E58B1"/>
    <w:rsid w:val="54A11E85"/>
    <w:rsid w:val="54AA5C7B"/>
    <w:rsid w:val="54AE4EA6"/>
    <w:rsid w:val="54B115C7"/>
    <w:rsid w:val="54B95421"/>
    <w:rsid w:val="54BB1FB1"/>
    <w:rsid w:val="54CC3FD1"/>
    <w:rsid w:val="54D80579"/>
    <w:rsid w:val="54E81862"/>
    <w:rsid w:val="54ED0C26"/>
    <w:rsid w:val="54F7338B"/>
    <w:rsid w:val="54FA4BAF"/>
    <w:rsid w:val="550541C2"/>
    <w:rsid w:val="550827A2"/>
    <w:rsid w:val="550C072E"/>
    <w:rsid w:val="5511700B"/>
    <w:rsid w:val="55181BC4"/>
    <w:rsid w:val="552A59D6"/>
    <w:rsid w:val="552F0DC7"/>
    <w:rsid w:val="55560EC1"/>
    <w:rsid w:val="55562C6F"/>
    <w:rsid w:val="5583158B"/>
    <w:rsid w:val="5589787B"/>
    <w:rsid w:val="55943798"/>
    <w:rsid w:val="559612BE"/>
    <w:rsid w:val="55AA4BB5"/>
    <w:rsid w:val="55AF381D"/>
    <w:rsid w:val="55ED3A80"/>
    <w:rsid w:val="567A4BF9"/>
    <w:rsid w:val="569021B1"/>
    <w:rsid w:val="569357FD"/>
    <w:rsid w:val="56941836"/>
    <w:rsid w:val="56951575"/>
    <w:rsid w:val="56A52F13"/>
    <w:rsid w:val="56A63FEE"/>
    <w:rsid w:val="56A812A9"/>
    <w:rsid w:val="56B85264"/>
    <w:rsid w:val="56C9121F"/>
    <w:rsid w:val="56CE4A87"/>
    <w:rsid w:val="56DC14C6"/>
    <w:rsid w:val="57034731"/>
    <w:rsid w:val="570404A9"/>
    <w:rsid w:val="570D66C4"/>
    <w:rsid w:val="572121A9"/>
    <w:rsid w:val="572671D4"/>
    <w:rsid w:val="57284198"/>
    <w:rsid w:val="57403E88"/>
    <w:rsid w:val="575256B8"/>
    <w:rsid w:val="577363AB"/>
    <w:rsid w:val="57830B29"/>
    <w:rsid w:val="57980FE9"/>
    <w:rsid w:val="579C4AA3"/>
    <w:rsid w:val="57A001D2"/>
    <w:rsid w:val="57A176D1"/>
    <w:rsid w:val="57B974E6"/>
    <w:rsid w:val="57BA2037"/>
    <w:rsid w:val="57BB73FE"/>
    <w:rsid w:val="57CA34A1"/>
    <w:rsid w:val="57CC7219"/>
    <w:rsid w:val="57DB745C"/>
    <w:rsid w:val="57F51527"/>
    <w:rsid w:val="57FF139C"/>
    <w:rsid w:val="58097B3E"/>
    <w:rsid w:val="58105627"/>
    <w:rsid w:val="584722A5"/>
    <w:rsid w:val="584C33F8"/>
    <w:rsid w:val="586C23B7"/>
    <w:rsid w:val="587E6E55"/>
    <w:rsid w:val="588875E4"/>
    <w:rsid w:val="589172B7"/>
    <w:rsid w:val="58A43CF2"/>
    <w:rsid w:val="58AE691E"/>
    <w:rsid w:val="58B331A5"/>
    <w:rsid w:val="58B8154B"/>
    <w:rsid w:val="58C3686E"/>
    <w:rsid w:val="58DB0544"/>
    <w:rsid w:val="58E57C89"/>
    <w:rsid w:val="58F307D5"/>
    <w:rsid w:val="59215342"/>
    <w:rsid w:val="5934151A"/>
    <w:rsid w:val="59534E81"/>
    <w:rsid w:val="599849BE"/>
    <w:rsid w:val="59993355"/>
    <w:rsid w:val="59A8245D"/>
    <w:rsid w:val="59C52172"/>
    <w:rsid w:val="59C8B35B"/>
    <w:rsid w:val="59CC52AE"/>
    <w:rsid w:val="59D249E3"/>
    <w:rsid w:val="59DE4FE1"/>
    <w:rsid w:val="59EB2381"/>
    <w:rsid w:val="59EB7527"/>
    <w:rsid w:val="59FB55E7"/>
    <w:rsid w:val="5A1B5932"/>
    <w:rsid w:val="5A2117BA"/>
    <w:rsid w:val="5A2570B4"/>
    <w:rsid w:val="5A4A650E"/>
    <w:rsid w:val="5A783688"/>
    <w:rsid w:val="5A8E6A07"/>
    <w:rsid w:val="5AF3075B"/>
    <w:rsid w:val="5AF56A87"/>
    <w:rsid w:val="5B121258"/>
    <w:rsid w:val="5B127639"/>
    <w:rsid w:val="5B182775"/>
    <w:rsid w:val="5B3475AF"/>
    <w:rsid w:val="5B537EED"/>
    <w:rsid w:val="5B5D7E1A"/>
    <w:rsid w:val="5B607DDE"/>
    <w:rsid w:val="5B615ECA"/>
    <w:rsid w:val="5B644A38"/>
    <w:rsid w:val="5B990248"/>
    <w:rsid w:val="5BAB1666"/>
    <w:rsid w:val="5BB13F20"/>
    <w:rsid w:val="5BC26823"/>
    <w:rsid w:val="5BD448EE"/>
    <w:rsid w:val="5BD8487B"/>
    <w:rsid w:val="5BDC37A3"/>
    <w:rsid w:val="5BFB00CD"/>
    <w:rsid w:val="5C0E4CD4"/>
    <w:rsid w:val="5C1178F0"/>
    <w:rsid w:val="5C1318BA"/>
    <w:rsid w:val="5C1949F7"/>
    <w:rsid w:val="5C1B076F"/>
    <w:rsid w:val="5C243CBA"/>
    <w:rsid w:val="5C2932E5"/>
    <w:rsid w:val="5C346DE2"/>
    <w:rsid w:val="5C4952DC"/>
    <w:rsid w:val="5C533CD2"/>
    <w:rsid w:val="5C657C3C"/>
    <w:rsid w:val="5C8DF663"/>
    <w:rsid w:val="5C952F4A"/>
    <w:rsid w:val="5CA77BA1"/>
    <w:rsid w:val="5CB12420"/>
    <w:rsid w:val="5CBF10FA"/>
    <w:rsid w:val="5CD05E1D"/>
    <w:rsid w:val="5CDA23D8"/>
    <w:rsid w:val="5CDC1CAC"/>
    <w:rsid w:val="5CE7460C"/>
    <w:rsid w:val="5CF60D2A"/>
    <w:rsid w:val="5CFD1C22"/>
    <w:rsid w:val="5D0D6309"/>
    <w:rsid w:val="5D0F1FBD"/>
    <w:rsid w:val="5D3E4715"/>
    <w:rsid w:val="5D6972B8"/>
    <w:rsid w:val="5D7E56F6"/>
    <w:rsid w:val="5D7F6ADB"/>
    <w:rsid w:val="5D8660BC"/>
    <w:rsid w:val="5D8C20E8"/>
    <w:rsid w:val="5D8F31C2"/>
    <w:rsid w:val="5DA66E34"/>
    <w:rsid w:val="5DEF5A0F"/>
    <w:rsid w:val="5DFF4C2D"/>
    <w:rsid w:val="5E371DF4"/>
    <w:rsid w:val="5E6EC2AD"/>
    <w:rsid w:val="5E79352B"/>
    <w:rsid w:val="5E8A4D87"/>
    <w:rsid w:val="5EA97F96"/>
    <w:rsid w:val="5EB2219C"/>
    <w:rsid w:val="5EBE13FE"/>
    <w:rsid w:val="5EC571D9"/>
    <w:rsid w:val="5ED609D3"/>
    <w:rsid w:val="5F0415E0"/>
    <w:rsid w:val="5F1A63D6"/>
    <w:rsid w:val="5F223BC2"/>
    <w:rsid w:val="5F3B6A32"/>
    <w:rsid w:val="5F3E1FD6"/>
    <w:rsid w:val="5F3F3754"/>
    <w:rsid w:val="5F77182E"/>
    <w:rsid w:val="5F7A755A"/>
    <w:rsid w:val="5F966838"/>
    <w:rsid w:val="5F9C1BC7"/>
    <w:rsid w:val="5FA87B71"/>
    <w:rsid w:val="5FCB6008"/>
    <w:rsid w:val="5FCF78A6"/>
    <w:rsid w:val="5FD858D7"/>
    <w:rsid w:val="5FD919FD"/>
    <w:rsid w:val="5FDC1FC3"/>
    <w:rsid w:val="5FF85127"/>
    <w:rsid w:val="60250909"/>
    <w:rsid w:val="60455DBA"/>
    <w:rsid w:val="60457B68"/>
    <w:rsid w:val="60483AFC"/>
    <w:rsid w:val="604B5E32"/>
    <w:rsid w:val="604F6C39"/>
    <w:rsid w:val="60645B46"/>
    <w:rsid w:val="606F72DB"/>
    <w:rsid w:val="60762418"/>
    <w:rsid w:val="608C25AC"/>
    <w:rsid w:val="60CF1B28"/>
    <w:rsid w:val="60D00DA3"/>
    <w:rsid w:val="60D46EDC"/>
    <w:rsid w:val="611C318D"/>
    <w:rsid w:val="613A61D9"/>
    <w:rsid w:val="61675533"/>
    <w:rsid w:val="6172141B"/>
    <w:rsid w:val="61A03FBA"/>
    <w:rsid w:val="61B72CE8"/>
    <w:rsid w:val="61BF1B9C"/>
    <w:rsid w:val="61C1DCCB"/>
    <w:rsid w:val="61ED04B8"/>
    <w:rsid w:val="61EF4230"/>
    <w:rsid w:val="61FF32F8"/>
    <w:rsid w:val="62045801"/>
    <w:rsid w:val="620B4BE9"/>
    <w:rsid w:val="621023F8"/>
    <w:rsid w:val="6223212B"/>
    <w:rsid w:val="622D2FAA"/>
    <w:rsid w:val="62350B62"/>
    <w:rsid w:val="623A2D1F"/>
    <w:rsid w:val="6249622F"/>
    <w:rsid w:val="624A590A"/>
    <w:rsid w:val="624F0041"/>
    <w:rsid w:val="626E425E"/>
    <w:rsid w:val="628C5291"/>
    <w:rsid w:val="629021F7"/>
    <w:rsid w:val="62A019CE"/>
    <w:rsid w:val="62A3501A"/>
    <w:rsid w:val="62A82E54"/>
    <w:rsid w:val="62B70BE3"/>
    <w:rsid w:val="62B821EE"/>
    <w:rsid w:val="62BD432E"/>
    <w:rsid w:val="62C54F90"/>
    <w:rsid w:val="62C55BF8"/>
    <w:rsid w:val="62C76F5B"/>
    <w:rsid w:val="62DE42A4"/>
    <w:rsid w:val="62E01DCA"/>
    <w:rsid w:val="62E75EB3"/>
    <w:rsid w:val="62F13FD7"/>
    <w:rsid w:val="62FA10DE"/>
    <w:rsid w:val="630371FA"/>
    <w:rsid w:val="63367C3C"/>
    <w:rsid w:val="633F1BA5"/>
    <w:rsid w:val="63683978"/>
    <w:rsid w:val="63716EC6"/>
    <w:rsid w:val="63827325"/>
    <w:rsid w:val="638766EA"/>
    <w:rsid w:val="63A575B7"/>
    <w:rsid w:val="63C811DC"/>
    <w:rsid w:val="63D11A70"/>
    <w:rsid w:val="63D61541"/>
    <w:rsid w:val="63E73C31"/>
    <w:rsid w:val="640A7E2C"/>
    <w:rsid w:val="64283A29"/>
    <w:rsid w:val="64291FCF"/>
    <w:rsid w:val="64335D7B"/>
    <w:rsid w:val="64410F8F"/>
    <w:rsid w:val="647147E2"/>
    <w:rsid w:val="647D1899"/>
    <w:rsid w:val="649371CA"/>
    <w:rsid w:val="64966BE4"/>
    <w:rsid w:val="649829B4"/>
    <w:rsid w:val="64A25256"/>
    <w:rsid w:val="64BB664B"/>
    <w:rsid w:val="64DA2233"/>
    <w:rsid w:val="64DD066C"/>
    <w:rsid w:val="64DE6065"/>
    <w:rsid w:val="64E47E9F"/>
    <w:rsid w:val="64E57ED0"/>
    <w:rsid w:val="64F2474D"/>
    <w:rsid w:val="64F4271E"/>
    <w:rsid w:val="651A1366"/>
    <w:rsid w:val="653B37DD"/>
    <w:rsid w:val="65424FBE"/>
    <w:rsid w:val="655A5E64"/>
    <w:rsid w:val="656E5DB3"/>
    <w:rsid w:val="65757142"/>
    <w:rsid w:val="65E4510A"/>
    <w:rsid w:val="65E676F8"/>
    <w:rsid w:val="6602429A"/>
    <w:rsid w:val="66124991"/>
    <w:rsid w:val="661A04F6"/>
    <w:rsid w:val="6646288C"/>
    <w:rsid w:val="66680A54"/>
    <w:rsid w:val="666D606B"/>
    <w:rsid w:val="66967370"/>
    <w:rsid w:val="66A27075"/>
    <w:rsid w:val="66A51361"/>
    <w:rsid w:val="66B43C9A"/>
    <w:rsid w:val="66CF1EFB"/>
    <w:rsid w:val="66D1384B"/>
    <w:rsid w:val="66FB71D3"/>
    <w:rsid w:val="67193AFD"/>
    <w:rsid w:val="67344547"/>
    <w:rsid w:val="67430B7A"/>
    <w:rsid w:val="674C3ED2"/>
    <w:rsid w:val="675E7762"/>
    <w:rsid w:val="67805880"/>
    <w:rsid w:val="67987117"/>
    <w:rsid w:val="67AD5303"/>
    <w:rsid w:val="67BA52E0"/>
    <w:rsid w:val="67C43A69"/>
    <w:rsid w:val="67D0240D"/>
    <w:rsid w:val="67D6461D"/>
    <w:rsid w:val="67E0517D"/>
    <w:rsid w:val="67E74A3E"/>
    <w:rsid w:val="67E9768B"/>
    <w:rsid w:val="67EA78BF"/>
    <w:rsid w:val="67EC2FBF"/>
    <w:rsid w:val="68000CD8"/>
    <w:rsid w:val="681A3FD0"/>
    <w:rsid w:val="681A7B2C"/>
    <w:rsid w:val="68273FF7"/>
    <w:rsid w:val="682A34B6"/>
    <w:rsid w:val="6836494D"/>
    <w:rsid w:val="68443DF9"/>
    <w:rsid w:val="68B7537B"/>
    <w:rsid w:val="68B834A0"/>
    <w:rsid w:val="68D979E8"/>
    <w:rsid w:val="68F11E21"/>
    <w:rsid w:val="68FC7232"/>
    <w:rsid w:val="69015A74"/>
    <w:rsid w:val="69257391"/>
    <w:rsid w:val="692C5D69"/>
    <w:rsid w:val="69313305"/>
    <w:rsid w:val="69382960"/>
    <w:rsid w:val="69470DF5"/>
    <w:rsid w:val="694F2063"/>
    <w:rsid w:val="69753360"/>
    <w:rsid w:val="69796AD5"/>
    <w:rsid w:val="69A9EE1C"/>
    <w:rsid w:val="69BE35AB"/>
    <w:rsid w:val="69CA7330"/>
    <w:rsid w:val="69EF6417"/>
    <w:rsid w:val="69F34AD9"/>
    <w:rsid w:val="6A0A597F"/>
    <w:rsid w:val="6A0F1269"/>
    <w:rsid w:val="6A130FD7"/>
    <w:rsid w:val="6A1509EA"/>
    <w:rsid w:val="6A1A3E14"/>
    <w:rsid w:val="6A1F58CE"/>
    <w:rsid w:val="6A300E10"/>
    <w:rsid w:val="6A352F84"/>
    <w:rsid w:val="6A420E8B"/>
    <w:rsid w:val="6A443448"/>
    <w:rsid w:val="6A4561D4"/>
    <w:rsid w:val="6A5030B1"/>
    <w:rsid w:val="6A576E16"/>
    <w:rsid w:val="6A682DD1"/>
    <w:rsid w:val="6A6B466F"/>
    <w:rsid w:val="6A7A2335"/>
    <w:rsid w:val="6A90A9B1"/>
    <w:rsid w:val="6AD93CCF"/>
    <w:rsid w:val="6ADC7FA6"/>
    <w:rsid w:val="6AF512DE"/>
    <w:rsid w:val="6B1408AD"/>
    <w:rsid w:val="6B2721FB"/>
    <w:rsid w:val="6B3715F5"/>
    <w:rsid w:val="6B3C7DBA"/>
    <w:rsid w:val="6B3E1D84"/>
    <w:rsid w:val="6B4078AA"/>
    <w:rsid w:val="6B751939"/>
    <w:rsid w:val="6B7834E8"/>
    <w:rsid w:val="6B8A4FC9"/>
    <w:rsid w:val="6B96571C"/>
    <w:rsid w:val="6B97686F"/>
    <w:rsid w:val="6BA240C1"/>
    <w:rsid w:val="6BC02BF6"/>
    <w:rsid w:val="6BE0108D"/>
    <w:rsid w:val="6BE065BD"/>
    <w:rsid w:val="6BE21E65"/>
    <w:rsid w:val="6BF80185"/>
    <w:rsid w:val="6BFD3496"/>
    <w:rsid w:val="6C0C1FC4"/>
    <w:rsid w:val="6C10344F"/>
    <w:rsid w:val="6C103720"/>
    <w:rsid w:val="6C1F4C6E"/>
    <w:rsid w:val="6C336FBF"/>
    <w:rsid w:val="6C3E6251"/>
    <w:rsid w:val="6C4A3A22"/>
    <w:rsid w:val="6C51215B"/>
    <w:rsid w:val="6C726189"/>
    <w:rsid w:val="6C7B2206"/>
    <w:rsid w:val="6C7E3D0B"/>
    <w:rsid w:val="6C874FC0"/>
    <w:rsid w:val="6CAE18AF"/>
    <w:rsid w:val="6CBE13CE"/>
    <w:rsid w:val="6CC47F29"/>
    <w:rsid w:val="6CD44759"/>
    <w:rsid w:val="6CD81F30"/>
    <w:rsid w:val="6CDB2F2E"/>
    <w:rsid w:val="6CE9291E"/>
    <w:rsid w:val="6CEB5F3B"/>
    <w:rsid w:val="6CFC1EF7"/>
    <w:rsid w:val="6CFE2BD9"/>
    <w:rsid w:val="6D2B4F79"/>
    <w:rsid w:val="6D2D3E5E"/>
    <w:rsid w:val="6D4F0278"/>
    <w:rsid w:val="6D77157D"/>
    <w:rsid w:val="6D8F3676"/>
    <w:rsid w:val="6D8F4028"/>
    <w:rsid w:val="6DA27568"/>
    <w:rsid w:val="6DA82D2C"/>
    <w:rsid w:val="6DAF0D17"/>
    <w:rsid w:val="6DC04CD2"/>
    <w:rsid w:val="6DC451CF"/>
    <w:rsid w:val="6DCA3150"/>
    <w:rsid w:val="6DE74A35"/>
    <w:rsid w:val="6DEA33C2"/>
    <w:rsid w:val="6DEA72D7"/>
    <w:rsid w:val="6E1E6807"/>
    <w:rsid w:val="6E333EEB"/>
    <w:rsid w:val="6E364F94"/>
    <w:rsid w:val="6E376D60"/>
    <w:rsid w:val="6E4070A8"/>
    <w:rsid w:val="6E4477A3"/>
    <w:rsid w:val="6E512D78"/>
    <w:rsid w:val="6E530DC1"/>
    <w:rsid w:val="6E9D3265"/>
    <w:rsid w:val="6EAB3BD4"/>
    <w:rsid w:val="6EB55062"/>
    <w:rsid w:val="6EB9F230"/>
    <w:rsid w:val="6EBC193D"/>
    <w:rsid w:val="6EBEBF2C"/>
    <w:rsid w:val="6EC145AA"/>
    <w:rsid w:val="6ECD58F9"/>
    <w:rsid w:val="6ED0363B"/>
    <w:rsid w:val="6EDB7D33"/>
    <w:rsid w:val="6F060E0B"/>
    <w:rsid w:val="6F12155D"/>
    <w:rsid w:val="6F123A51"/>
    <w:rsid w:val="6F1E1DCC"/>
    <w:rsid w:val="6F255A07"/>
    <w:rsid w:val="6F26325B"/>
    <w:rsid w:val="6F377216"/>
    <w:rsid w:val="6F3B5DE4"/>
    <w:rsid w:val="6F4D4C8B"/>
    <w:rsid w:val="6F7C7B7A"/>
    <w:rsid w:val="6F9F88BE"/>
    <w:rsid w:val="6FA34825"/>
    <w:rsid w:val="6FDE1813"/>
    <w:rsid w:val="6FEC1DAE"/>
    <w:rsid w:val="70333E81"/>
    <w:rsid w:val="70531E2E"/>
    <w:rsid w:val="7056191E"/>
    <w:rsid w:val="706935C4"/>
    <w:rsid w:val="706978A3"/>
    <w:rsid w:val="70862203"/>
    <w:rsid w:val="709A5CAE"/>
    <w:rsid w:val="70A1406F"/>
    <w:rsid w:val="70A8132D"/>
    <w:rsid w:val="70AC03A5"/>
    <w:rsid w:val="70AC1D81"/>
    <w:rsid w:val="70B01F60"/>
    <w:rsid w:val="70BB1ABF"/>
    <w:rsid w:val="70BD374B"/>
    <w:rsid w:val="70DF018D"/>
    <w:rsid w:val="70E60EF4"/>
    <w:rsid w:val="70E746D0"/>
    <w:rsid w:val="70FC0717"/>
    <w:rsid w:val="711F04F2"/>
    <w:rsid w:val="713A4D9B"/>
    <w:rsid w:val="713B48FF"/>
    <w:rsid w:val="7141612A"/>
    <w:rsid w:val="714300F4"/>
    <w:rsid w:val="71456753"/>
    <w:rsid w:val="71575E53"/>
    <w:rsid w:val="715A0436"/>
    <w:rsid w:val="715A3F81"/>
    <w:rsid w:val="71969AE8"/>
    <w:rsid w:val="71A861A9"/>
    <w:rsid w:val="71AB38D7"/>
    <w:rsid w:val="71AD46E8"/>
    <w:rsid w:val="71BD7A27"/>
    <w:rsid w:val="71C10F79"/>
    <w:rsid w:val="71C70D25"/>
    <w:rsid w:val="71CA611F"/>
    <w:rsid w:val="71D7137A"/>
    <w:rsid w:val="71EA4355"/>
    <w:rsid w:val="72020FBC"/>
    <w:rsid w:val="721455EC"/>
    <w:rsid w:val="72202D43"/>
    <w:rsid w:val="72485290"/>
    <w:rsid w:val="72534A19"/>
    <w:rsid w:val="72593834"/>
    <w:rsid w:val="725B76BF"/>
    <w:rsid w:val="725F4533"/>
    <w:rsid w:val="726A4227"/>
    <w:rsid w:val="72715C07"/>
    <w:rsid w:val="7278201F"/>
    <w:rsid w:val="72944C91"/>
    <w:rsid w:val="72AA787E"/>
    <w:rsid w:val="72AFBA28"/>
    <w:rsid w:val="72BF19FC"/>
    <w:rsid w:val="72C2386F"/>
    <w:rsid w:val="72D32AB0"/>
    <w:rsid w:val="72D97771"/>
    <w:rsid w:val="72F428C1"/>
    <w:rsid w:val="72FDDF74"/>
    <w:rsid w:val="73291207"/>
    <w:rsid w:val="7344BE13"/>
    <w:rsid w:val="7351614A"/>
    <w:rsid w:val="73734595"/>
    <w:rsid w:val="737C2059"/>
    <w:rsid w:val="737E18B7"/>
    <w:rsid w:val="73832A2A"/>
    <w:rsid w:val="73887E58"/>
    <w:rsid w:val="73922C6D"/>
    <w:rsid w:val="73D454D7"/>
    <w:rsid w:val="73E65D8C"/>
    <w:rsid w:val="73F317D1"/>
    <w:rsid w:val="73F531FC"/>
    <w:rsid w:val="74081181"/>
    <w:rsid w:val="740B41C6"/>
    <w:rsid w:val="740F0761"/>
    <w:rsid w:val="740F0DF5"/>
    <w:rsid w:val="74277859"/>
    <w:rsid w:val="7428537F"/>
    <w:rsid w:val="744E47FD"/>
    <w:rsid w:val="745D4CA2"/>
    <w:rsid w:val="74776CB5"/>
    <w:rsid w:val="747B7BA5"/>
    <w:rsid w:val="749018A2"/>
    <w:rsid w:val="7492596F"/>
    <w:rsid w:val="74AC4202"/>
    <w:rsid w:val="74B51309"/>
    <w:rsid w:val="74D80B53"/>
    <w:rsid w:val="74E81FDB"/>
    <w:rsid w:val="750C545F"/>
    <w:rsid w:val="751E0676"/>
    <w:rsid w:val="75461F61"/>
    <w:rsid w:val="75497CA3"/>
    <w:rsid w:val="75504B8E"/>
    <w:rsid w:val="755B004F"/>
    <w:rsid w:val="75703482"/>
    <w:rsid w:val="75707197"/>
    <w:rsid w:val="75846F2D"/>
    <w:rsid w:val="759B20F9"/>
    <w:rsid w:val="75CA0DE4"/>
    <w:rsid w:val="75E31EA6"/>
    <w:rsid w:val="75F23E97"/>
    <w:rsid w:val="760616F0"/>
    <w:rsid w:val="76155BCF"/>
    <w:rsid w:val="7648090D"/>
    <w:rsid w:val="764C0FDD"/>
    <w:rsid w:val="764D505D"/>
    <w:rsid w:val="765D3A06"/>
    <w:rsid w:val="766B17EA"/>
    <w:rsid w:val="769136B0"/>
    <w:rsid w:val="7693567A"/>
    <w:rsid w:val="76961E11"/>
    <w:rsid w:val="769B7099"/>
    <w:rsid w:val="76C770D1"/>
    <w:rsid w:val="76DA574E"/>
    <w:rsid w:val="77020109"/>
    <w:rsid w:val="7717695B"/>
    <w:rsid w:val="777FD3FB"/>
    <w:rsid w:val="77931A6B"/>
    <w:rsid w:val="779D132A"/>
    <w:rsid w:val="77D31AA6"/>
    <w:rsid w:val="77D47CF8"/>
    <w:rsid w:val="77D93560"/>
    <w:rsid w:val="77E872FF"/>
    <w:rsid w:val="77EA751B"/>
    <w:rsid w:val="77F57C6E"/>
    <w:rsid w:val="77FE2FC7"/>
    <w:rsid w:val="78000AED"/>
    <w:rsid w:val="78106856"/>
    <w:rsid w:val="781B1459"/>
    <w:rsid w:val="7833493E"/>
    <w:rsid w:val="78412EB3"/>
    <w:rsid w:val="7860333A"/>
    <w:rsid w:val="786472D1"/>
    <w:rsid w:val="78654DF4"/>
    <w:rsid w:val="78874D6A"/>
    <w:rsid w:val="78970D25"/>
    <w:rsid w:val="789D27E0"/>
    <w:rsid w:val="789E7338"/>
    <w:rsid w:val="78A3D165"/>
    <w:rsid w:val="78A6518B"/>
    <w:rsid w:val="78D27D09"/>
    <w:rsid w:val="78D37FAF"/>
    <w:rsid w:val="78D426C8"/>
    <w:rsid w:val="78D45AD6"/>
    <w:rsid w:val="78FB5758"/>
    <w:rsid w:val="79215B20"/>
    <w:rsid w:val="79335A27"/>
    <w:rsid w:val="795029C9"/>
    <w:rsid w:val="795935F9"/>
    <w:rsid w:val="795D5ACB"/>
    <w:rsid w:val="7961380D"/>
    <w:rsid w:val="796450AB"/>
    <w:rsid w:val="79780B57"/>
    <w:rsid w:val="797E0EB6"/>
    <w:rsid w:val="798017B9"/>
    <w:rsid w:val="79A14858"/>
    <w:rsid w:val="79A1711A"/>
    <w:rsid w:val="79A436FA"/>
    <w:rsid w:val="79CB0C87"/>
    <w:rsid w:val="79CE1BA2"/>
    <w:rsid w:val="79D42883"/>
    <w:rsid w:val="79D95265"/>
    <w:rsid w:val="79D95D63"/>
    <w:rsid w:val="79E152E7"/>
    <w:rsid w:val="7A085E6E"/>
    <w:rsid w:val="7A1E525A"/>
    <w:rsid w:val="7A394769"/>
    <w:rsid w:val="7A5B64AE"/>
    <w:rsid w:val="7A61783D"/>
    <w:rsid w:val="7A684727"/>
    <w:rsid w:val="7A8E463E"/>
    <w:rsid w:val="7A926349"/>
    <w:rsid w:val="7AA53BCD"/>
    <w:rsid w:val="7ABC5C0B"/>
    <w:rsid w:val="7AC04563"/>
    <w:rsid w:val="7AC43368"/>
    <w:rsid w:val="7ADC570D"/>
    <w:rsid w:val="7AE93065"/>
    <w:rsid w:val="7B0408F4"/>
    <w:rsid w:val="7B0F1047"/>
    <w:rsid w:val="7B382AD5"/>
    <w:rsid w:val="7B3A2568"/>
    <w:rsid w:val="7B4927AB"/>
    <w:rsid w:val="7B6A2721"/>
    <w:rsid w:val="7B7D06A6"/>
    <w:rsid w:val="7B9F061D"/>
    <w:rsid w:val="7B9F32B1"/>
    <w:rsid w:val="7BE95139"/>
    <w:rsid w:val="7BF00A9C"/>
    <w:rsid w:val="7BF06275"/>
    <w:rsid w:val="7BF10231"/>
    <w:rsid w:val="7BFC5A6F"/>
    <w:rsid w:val="7C19D286"/>
    <w:rsid w:val="7C1C1C6D"/>
    <w:rsid w:val="7C1F46F0"/>
    <w:rsid w:val="7C3D4C22"/>
    <w:rsid w:val="7C444D20"/>
    <w:rsid w:val="7C4B4301"/>
    <w:rsid w:val="7C547AD8"/>
    <w:rsid w:val="7C6A03D6"/>
    <w:rsid w:val="7C920F0A"/>
    <w:rsid w:val="7C923CDE"/>
    <w:rsid w:val="7C947A56"/>
    <w:rsid w:val="7CB03748"/>
    <w:rsid w:val="7CC7600D"/>
    <w:rsid w:val="7D0447CC"/>
    <w:rsid w:val="7D0E5A5A"/>
    <w:rsid w:val="7D1312C2"/>
    <w:rsid w:val="7D3B6123"/>
    <w:rsid w:val="7D547E54"/>
    <w:rsid w:val="7D8B94CA"/>
    <w:rsid w:val="7DAF2BE4"/>
    <w:rsid w:val="7DB44158"/>
    <w:rsid w:val="7DBF4FA6"/>
    <w:rsid w:val="7DD50326"/>
    <w:rsid w:val="7DF10ED8"/>
    <w:rsid w:val="7DFF1847"/>
    <w:rsid w:val="7E13782B"/>
    <w:rsid w:val="7E2050D1"/>
    <w:rsid w:val="7E327526"/>
    <w:rsid w:val="7E447410"/>
    <w:rsid w:val="7E4E5E2B"/>
    <w:rsid w:val="7E665209"/>
    <w:rsid w:val="7E71385C"/>
    <w:rsid w:val="7E722019"/>
    <w:rsid w:val="7E7933A7"/>
    <w:rsid w:val="7E7A711F"/>
    <w:rsid w:val="7E8104AE"/>
    <w:rsid w:val="7EA15462"/>
    <w:rsid w:val="7EB50157"/>
    <w:rsid w:val="7EB7008E"/>
    <w:rsid w:val="7EBB285C"/>
    <w:rsid w:val="7EC95C1D"/>
    <w:rsid w:val="7EE34CC4"/>
    <w:rsid w:val="7EE53695"/>
    <w:rsid w:val="7EE8052D"/>
    <w:rsid w:val="7EFD6EFF"/>
    <w:rsid w:val="7F037115"/>
    <w:rsid w:val="7F04132C"/>
    <w:rsid w:val="7F08018A"/>
    <w:rsid w:val="7F14232C"/>
    <w:rsid w:val="7F1C1F84"/>
    <w:rsid w:val="7F34BA9C"/>
    <w:rsid w:val="7F3B240A"/>
    <w:rsid w:val="7F473F79"/>
    <w:rsid w:val="7F686F78"/>
    <w:rsid w:val="7F6C1CFD"/>
    <w:rsid w:val="7F875650"/>
    <w:rsid w:val="7F97781F"/>
    <w:rsid w:val="7FA060F0"/>
    <w:rsid w:val="7FA44AC2"/>
    <w:rsid w:val="7FA7D09F"/>
    <w:rsid w:val="7FBD72C3"/>
    <w:rsid w:val="7FC91BFD"/>
    <w:rsid w:val="7FCB14A3"/>
    <w:rsid w:val="7FD91C23"/>
    <w:rsid w:val="7FFC484F"/>
    <w:rsid w:val="8022DF8E"/>
    <w:rsid w:val="8087D664"/>
    <w:rsid w:val="80F1E770"/>
    <w:rsid w:val="820EFC2E"/>
    <w:rsid w:val="83892437"/>
    <w:rsid w:val="83B7938B"/>
    <w:rsid w:val="85333026"/>
    <w:rsid w:val="85438D01"/>
    <w:rsid w:val="8810D9F0"/>
    <w:rsid w:val="8EACA275"/>
    <w:rsid w:val="8EB0F283"/>
    <w:rsid w:val="8F2212F8"/>
    <w:rsid w:val="90037820"/>
    <w:rsid w:val="914F2947"/>
    <w:rsid w:val="91EC86F0"/>
    <w:rsid w:val="92FE9695"/>
    <w:rsid w:val="94974544"/>
    <w:rsid w:val="96083401"/>
    <w:rsid w:val="9669A444"/>
    <w:rsid w:val="97684FE8"/>
    <w:rsid w:val="983954B8"/>
    <w:rsid w:val="98A65211"/>
    <w:rsid w:val="98B54385"/>
    <w:rsid w:val="9A367BA3"/>
    <w:rsid w:val="9BCFA616"/>
    <w:rsid w:val="9C800861"/>
    <w:rsid w:val="9CC9BEAF"/>
    <w:rsid w:val="9D259DE8"/>
    <w:rsid w:val="A0B3EA02"/>
    <w:rsid w:val="A29BB342"/>
    <w:rsid w:val="A3393917"/>
    <w:rsid w:val="A40E928A"/>
    <w:rsid w:val="A60B9FCC"/>
    <w:rsid w:val="A6800A51"/>
    <w:rsid w:val="A8051421"/>
    <w:rsid w:val="A867E544"/>
    <w:rsid w:val="B195DF3E"/>
    <w:rsid w:val="B1B49A00"/>
    <w:rsid w:val="B1E7677F"/>
    <w:rsid w:val="B2AA2131"/>
    <w:rsid w:val="B3B6893C"/>
    <w:rsid w:val="B58EBA5F"/>
    <w:rsid w:val="B6B92F51"/>
    <w:rsid w:val="B7ED3A64"/>
    <w:rsid w:val="B7F129B0"/>
    <w:rsid w:val="B85055B4"/>
    <w:rsid w:val="B897D173"/>
    <w:rsid w:val="B8AD1781"/>
    <w:rsid w:val="B8C74379"/>
    <w:rsid w:val="BB5AC5B7"/>
    <w:rsid w:val="BBCF3E6B"/>
    <w:rsid w:val="BC7B1E5F"/>
    <w:rsid w:val="BCD4E9ED"/>
    <w:rsid w:val="BE18CDEA"/>
    <w:rsid w:val="BE3EDC9A"/>
    <w:rsid w:val="BE5D60EF"/>
    <w:rsid w:val="C06DA0CD"/>
    <w:rsid w:val="C080F1F5"/>
    <w:rsid w:val="C16E7861"/>
    <w:rsid w:val="C1B96497"/>
    <w:rsid w:val="C211B1D7"/>
    <w:rsid w:val="C23CC752"/>
    <w:rsid w:val="C2A60CDD"/>
    <w:rsid w:val="C2EB3E65"/>
    <w:rsid w:val="C51D9264"/>
    <w:rsid w:val="C56C8077"/>
    <w:rsid w:val="C683F874"/>
    <w:rsid w:val="C7553734"/>
    <w:rsid w:val="C77DA65F"/>
    <w:rsid w:val="C7BDFD31"/>
    <w:rsid w:val="CA747C18"/>
    <w:rsid w:val="CAE433C6"/>
    <w:rsid w:val="CEA3B8EA"/>
    <w:rsid w:val="CEC94CB3"/>
    <w:rsid w:val="CF15847D"/>
    <w:rsid w:val="CF9C5B5E"/>
    <w:rsid w:val="D0315663"/>
    <w:rsid w:val="D2B2CBD8"/>
    <w:rsid w:val="D2F3C9BA"/>
    <w:rsid w:val="D31A170F"/>
    <w:rsid w:val="D4CA4409"/>
    <w:rsid w:val="D54716E2"/>
    <w:rsid w:val="D724906D"/>
    <w:rsid w:val="D8249032"/>
    <w:rsid w:val="D8CA29CE"/>
    <w:rsid w:val="DA3A4DE3"/>
    <w:rsid w:val="DC5D7940"/>
    <w:rsid w:val="DCE22E2A"/>
    <w:rsid w:val="DD3707C7"/>
    <w:rsid w:val="DD7B0CCA"/>
    <w:rsid w:val="DE45ED66"/>
    <w:rsid w:val="DE931772"/>
    <w:rsid w:val="DF14B1D1"/>
    <w:rsid w:val="DF6BB114"/>
    <w:rsid w:val="DF74FD5D"/>
    <w:rsid w:val="E0510911"/>
    <w:rsid w:val="E0E7A09E"/>
    <w:rsid w:val="E2125421"/>
    <w:rsid w:val="E2AC380F"/>
    <w:rsid w:val="E2EEF899"/>
    <w:rsid w:val="E3A38CE2"/>
    <w:rsid w:val="E4611FA9"/>
    <w:rsid w:val="E4E8171E"/>
    <w:rsid w:val="E594606A"/>
    <w:rsid w:val="E6941BBE"/>
    <w:rsid w:val="E72C61C3"/>
    <w:rsid w:val="E74BE3C4"/>
    <w:rsid w:val="E77D29B4"/>
    <w:rsid w:val="E828766B"/>
    <w:rsid w:val="E89992A7"/>
    <w:rsid w:val="E9610DEB"/>
    <w:rsid w:val="EB17E8DC"/>
    <w:rsid w:val="EDC5E000"/>
    <w:rsid w:val="EDF2AA7A"/>
    <w:rsid w:val="EE513094"/>
    <w:rsid w:val="EF5FDB56"/>
    <w:rsid w:val="EFDF9C71"/>
    <w:rsid w:val="F054AA0B"/>
    <w:rsid w:val="F0C0E0B9"/>
    <w:rsid w:val="F21F1AFA"/>
    <w:rsid w:val="F2951542"/>
    <w:rsid w:val="F2AE663C"/>
    <w:rsid w:val="F35B5777"/>
    <w:rsid w:val="F541A84E"/>
    <w:rsid w:val="F8A74D32"/>
    <w:rsid w:val="FB5C1283"/>
    <w:rsid w:val="FBE58B8F"/>
    <w:rsid w:val="FC540706"/>
    <w:rsid w:val="FCB91100"/>
    <w:rsid w:val="FFDF5871"/>
    <w:rsid w:val="FFE9EF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480" w:leftChars="200"/>
      <w:jc w:val="both"/>
    </w:pPr>
    <w:rPr>
      <w:rFonts w:ascii="Calibri" w:hAnsi="Calibri" w:eastAsia="宋体" w:cs="Times New Roman"/>
      <w:kern w:val="2"/>
      <w:sz w:val="24"/>
      <w:szCs w:val="22"/>
      <w:lang w:val="en-US" w:eastAsia="zh-CN" w:bidi="ar-SA"/>
    </w:rPr>
  </w:style>
  <w:style w:type="paragraph" w:styleId="5">
    <w:name w:val="heading 1"/>
    <w:basedOn w:val="1"/>
    <w:next w:val="1"/>
    <w:link w:val="33"/>
    <w:qFormat/>
    <w:uiPriority w:val="0"/>
    <w:pPr>
      <w:keepNext/>
      <w:keepLines/>
      <w:spacing w:before="100" w:after="90" w:line="240" w:lineRule="auto"/>
      <w:jc w:val="center"/>
      <w:outlineLvl w:val="0"/>
    </w:pPr>
    <w:rPr>
      <w:rFonts w:ascii="Times New Roman" w:hAnsi="Times New Roman" w:eastAsia="宋体" w:cs="Times New Roman"/>
      <w:b/>
      <w:bCs/>
      <w:kern w:val="44"/>
      <w:sz w:val="44"/>
      <w:szCs w:val="44"/>
    </w:rPr>
  </w:style>
  <w:style w:type="paragraph" w:styleId="6">
    <w:name w:val="heading 2"/>
    <w:basedOn w:val="1"/>
    <w:next w:val="1"/>
    <w:link w:val="34"/>
    <w:qFormat/>
    <w:uiPriority w:val="0"/>
    <w:pPr>
      <w:spacing w:line="360" w:lineRule="auto"/>
      <w:ind w:left="304" w:right="553"/>
      <w:jc w:val="left"/>
      <w:outlineLvl w:val="1"/>
    </w:pPr>
    <w:rPr>
      <w:rFonts w:ascii="宋体" w:hAnsi="宋体" w:eastAsia="宋体" w:cs="宋体"/>
      <w:b/>
      <w:sz w:val="30"/>
      <w:szCs w:val="44"/>
      <w:lang w:val="zh-CN" w:bidi="zh-CN"/>
    </w:rPr>
  </w:style>
  <w:style w:type="paragraph" w:styleId="7">
    <w:name w:val="heading 3"/>
    <w:basedOn w:val="1"/>
    <w:next w:val="1"/>
    <w:link w:val="35"/>
    <w:qFormat/>
    <w:uiPriority w:val="0"/>
    <w:pPr>
      <w:ind w:left="100"/>
      <w:outlineLvl w:val="2"/>
    </w:pPr>
    <w:rPr>
      <w:rFonts w:ascii="Microsoft JhengHei" w:hAnsi="Microsoft JhengHei" w:eastAsia="宋体" w:cs="Times New Roman"/>
      <w:b/>
      <w:bCs/>
      <w:sz w:val="30"/>
      <w:szCs w:val="32"/>
    </w:rPr>
  </w:style>
  <w:style w:type="paragraph" w:styleId="8">
    <w:name w:val="heading 4"/>
    <w:basedOn w:val="1"/>
    <w:next w:val="1"/>
    <w:link w:val="36"/>
    <w:qFormat/>
    <w:uiPriority w:val="0"/>
    <w:pPr>
      <w:keepNext/>
      <w:keepLines/>
      <w:spacing w:before="280" w:after="290" w:line="240" w:lineRule="auto"/>
      <w:outlineLvl w:val="3"/>
    </w:pPr>
    <w:rPr>
      <w:rFonts w:ascii="等线 Light" w:hAnsi="等线 Light" w:eastAsia="宋体" w:cs="Times New Roman"/>
      <w:b/>
      <w:bCs/>
      <w:szCs w:val="28"/>
    </w:rPr>
  </w:style>
  <w:style w:type="paragraph" w:styleId="9">
    <w:name w:val="heading 5"/>
    <w:basedOn w:val="1"/>
    <w:next w:val="1"/>
    <w:qFormat/>
    <w:uiPriority w:val="0"/>
    <w:pPr>
      <w:ind w:right="658"/>
      <w:jc w:val="center"/>
      <w:outlineLvl w:val="4"/>
    </w:pPr>
    <w:rPr>
      <w:rFonts w:ascii="宋体" w:hAnsi="宋体" w:eastAsia="宋体" w:cs="宋体"/>
      <w:sz w:val="30"/>
      <w:szCs w:val="30"/>
      <w:lang w:val="zh-CN" w:eastAsia="zh-CN" w:bidi="zh-CN"/>
    </w:rPr>
  </w:style>
  <w:style w:type="paragraph" w:styleId="10">
    <w:name w:val="heading 6"/>
    <w:basedOn w:val="1"/>
    <w:next w:val="1"/>
    <w:qFormat/>
    <w:uiPriority w:val="1"/>
    <w:pPr>
      <w:ind w:left="1960" w:hanging="701"/>
      <w:outlineLvl w:val="5"/>
    </w:pPr>
    <w:rPr>
      <w:rFonts w:ascii="宋体" w:hAnsi="宋体" w:eastAsia="宋体" w:cs="宋体"/>
      <w:b/>
      <w:bCs/>
      <w:sz w:val="28"/>
      <w:szCs w:val="28"/>
      <w:lang w:val="zh-CN" w:eastAsia="zh-CN" w:bidi="zh-CN"/>
    </w:rPr>
  </w:style>
  <w:style w:type="character" w:default="1" w:styleId="30">
    <w:name w:val="Default Paragraph Font"/>
    <w:qFormat/>
    <w:uiPriority w:val="0"/>
    <w:rPr>
      <w:rFonts w:ascii="Times New Roman" w:hAnsi="Times New Roman" w:eastAsia="宋体" w:cs="Times New Roman"/>
    </w:rPr>
  </w:style>
  <w:style w:type="table" w:default="1" w:styleId="2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正文 首缩2"/>
    <w:basedOn w:val="3"/>
    <w:next w:val="4"/>
    <w:qFormat/>
    <w:uiPriority w:val="0"/>
    <w:pPr>
      <w:ind w:firstLine="560"/>
    </w:pPr>
    <w:rPr>
      <w:szCs w:val="36"/>
    </w:rPr>
  </w:style>
  <w:style w:type="paragraph" w:styleId="3">
    <w:name w:val="Normal Indent"/>
    <w:basedOn w:val="1"/>
    <w:next w:val="1"/>
    <w:qFormat/>
    <w:uiPriority w:val="0"/>
    <w:pPr>
      <w:ind w:firstLine="420" w:firstLineChars="200"/>
    </w:pPr>
    <w:rPr>
      <w:rFonts w:ascii="Tahoma" w:hAnsi="Tahoma" w:eastAsia="仿宋" w:cs="Times New Roman"/>
      <w:sz w:val="24"/>
    </w:rPr>
  </w:style>
  <w:style w:type="paragraph" w:styleId="4">
    <w:name w:val="Body Text First Indent 2"/>
    <w:basedOn w:val="1"/>
    <w:next w:val="1"/>
    <w:qFormat/>
    <w:uiPriority w:val="0"/>
    <w:pPr>
      <w:ind w:firstLine="420" w:firstLineChars="200"/>
    </w:pPr>
  </w:style>
  <w:style w:type="paragraph" w:styleId="11">
    <w:name w:val="table of authorities"/>
    <w:basedOn w:val="1"/>
    <w:next w:val="1"/>
    <w:qFormat/>
    <w:uiPriority w:val="0"/>
    <w:pPr>
      <w:ind w:left="420" w:leftChars="200"/>
    </w:pPr>
    <w:rPr>
      <w:rFonts w:ascii="Times New Roman" w:hAnsi="Times New Roman" w:eastAsia="宋体" w:cs="Times New Roman"/>
    </w:rPr>
  </w:style>
  <w:style w:type="paragraph" w:styleId="12">
    <w:name w:val="annotation text"/>
    <w:basedOn w:val="1"/>
    <w:qFormat/>
    <w:uiPriority w:val="0"/>
    <w:pPr>
      <w:jc w:val="left"/>
    </w:pPr>
    <w:rPr>
      <w:rFonts w:ascii="Times New Roman" w:hAnsi="Times New Roman" w:eastAsia="宋体" w:cs="Times New Roman"/>
    </w:rPr>
  </w:style>
  <w:style w:type="paragraph" w:styleId="13">
    <w:name w:val="Body Text"/>
    <w:basedOn w:val="1"/>
    <w:next w:val="1"/>
    <w:link w:val="37"/>
    <w:qFormat/>
    <w:uiPriority w:val="0"/>
    <w:pPr>
      <w:spacing w:after="120"/>
    </w:pPr>
    <w:rPr>
      <w:rFonts w:ascii="Times New Roman" w:hAnsi="Times New Roman" w:eastAsia="宋体" w:cs="Times New Roman"/>
      <w:szCs w:val="21"/>
    </w:rPr>
  </w:style>
  <w:style w:type="paragraph" w:styleId="14">
    <w:name w:val="Body Text Indent"/>
    <w:basedOn w:val="1"/>
    <w:qFormat/>
    <w:uiPriority w:val="0"/>
    <w:pPr>
      <w:spacing w:after="120"/>
      <w:ind w:left="420" w:leftChars="200"/>
    </w:pPr>
  </w:style>
  <w:style w:type="paragraph" w:styleId="15">
    <w:name w:val="toc 3"/>
    <w:basedOn w:val="1"/>
    <w:next w:val="1"/>
    <w:qFormat/>
    <w:uiPriority w:val="0"/>
    <w:pPr>
      <w:ind w:left="520"/>
    </w:pPr>
    <w:rPr>
      <w:rFonts w:ascii="宋体" w:hAnsi="宋体" w:eastAsia="宋体" w:cs="Times New Roman"/>
      <w:szCs w:val="21"/>
    </w:rPr>
  </w:style>
  <w:style w:type="paragraph" w:styleId="16">
    <w:name w:val="Plain Text"/>
    <w:basedOn w:val="1"/>
    <w:link w:val="38"/>
    <w:qFormat/>
    <w:uiPriority w:val="0"/>
    <w:rPr>
      <w:rFonts w:ascii="宋体" w:hAnsi="Courier New" w:eastAsia="宋体" w:cs="Times New Roman"/>
      <w:kern w:val="0"/>
      <w:szCs w:val="21"/>
    </w:rPr>
  </w:style>
  <w:style w:type="paragraph" w:styleId="17">
    <w:name w:val="Date"/>
    <w:basedOn w:val="1"/>
    <w:next w:val="1"/>
    <w:qFormat/>
    <w:uiPriority w:val="0"/>
    <w:pPr>
      <w:ind w:left="100" w:leftChars="2500"/>
    </w:pPr>
    <w:rPr>
      <w:rFonts w:ascii="Calibri" w:hAnsi="Calibri" w:eastAsia="宋体" w:cs="Times New Roman"/>
      <w:sz w:val="28"/>
    </w:rPr>
  </w:style>
  <w:style w:type="paragraph" w:styleId="18">
    <w:name w:val="Body Text Indent 2"/>
    <w:basedOn w:val="1"/>
    <w:qFormat/>
    <w:uiPriority w:val="0"/>
    <w:pPr>
      <w:spacing w:after="120" w:afterLines="0" w:afterAutospacing="0" w:line="480" w:lineRule="auto"/>
      <w:ind w:left="420" w:leftChars="200"/>
    </w:pPr>
  </w:style>
  <w:style w:type="paragraph" w:styleId="19">
    <w:name w:val="Balloon Text"/>
    <w:basedOn w:val="1"/>
    <w:link w:val="39"/>
    <w:qFormat/>
    <w:uiPriority w:val="0"/>
    <w:rPr>
      <w:rFonts w:ascii="Times New Roman" w:hAnsi="Times New Roman" w:eastAsia="宋体" w:cs="Times New Roman"/>
      <w:sz w:val="18"/>
      <w:szCs w:val="18"/>
    </w:rPr>
  </w:style>
  <w:style w:type="paragraph" w:styleId="20">
    <w:name w:val="footer"/>
    <w:basedOn w:val="1"/>
    <w:link w:val="40"/>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21">
    <w:name w:val="header"/>
    <w:basedOn w:val="1"/>
    <w:link w:val="4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2">
    <w:name w:val="toc 1"/>
    <w:basedOn w:val="1"/>
    <w:next w:val="1"/>
    <w:qFormat/>
    <w:uiPriority w:val="0"/>
    <w:pPr>
      <w:spacing w:line="272" w:lineRule="exact"/>
      <w:ind w:left="100"/>
    </w:pPr>
    <w:rPr>
      <w:rFonts w:ascii="Times New Roman" w:hAnsi="Times New Roman" w:eastAsia="宋体" w:cs="Times New Roman"/>
      <w:sz w:val="21"/>
      <w:szCs w:val="21"/>
    </w:rPr>
  </w:style>
  <w:style w:type="paragraph" w:styleId="23">
    <w:name w:val="toc 2"/>
    <w:basedOn w:val="1"/>
    <w:next w:val="1"/>
    <w:qFormat/>
    <w:uiPriority w:val="0"/>
    <w:pPr>
      <w:ind w:left="420" w:leftChars="200"/>
    </w:pPr>
    <w:rPr>
      <w:rFonts w:ascii="Times New Roman" w:hAnsi="Times New Roman" w:eastAsia="宋体" w:cs="Times New Roman"/>
    </w:rPr>
  </w:style>
  <w:style w:type="paragraph" w:styleId="24">
    <w:name w:val="Body Text 2"/>
    <w:basedOn w:val="1"/>
    <w:qFormat/>
    <w:uiPriority w:val="0"/>
    <w:pPr>
      <w:spacing w:line="500" w:lineRule="exact"/>
      <w:jc w:val="center"/>
    </w:pPr>
    <w:rPr>
      <w:rFonts w:ascii="Times New Roman" w:hAnsi="宋体" w:eastAsia="方正小标宋_GBK" w:cs="Times New Roman"/>
      <w:spacing w:val="-20"/>
      <w:sz w:val="44"/>
      <w:szCs w:val="32"/>
    </w:rPr>
  </w:style>
  <w:style w:type="paragraph" w:styleId="2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6">
    <w:name w:val="index 1"/>
    <w:basedOn w:val="1"/>
    <w:next w:val="1"/>
    <w:qFormat/>
    <w:uiPriority w:val="0"/>
    <w:pPr>
      <w:spacing w:line="400" w:lineRule="exact"/>
      <w:ind w:firstLine="2205" w:firstLineChars="1050"/>
    </w:pPr>
    <w:rPr>
      <w:rFonts w:ascii="Times New Roman" w:hAnsi="Times New Roman" w:eastAsia="宋体" w:cs="Times New Roman"/>
      <w:szCs w:val="21"/>
    </w:rPr>
  </w:style>
  <w:style w:type="paragraph" w:styleId="27">
    <w:name w:val="Body Text First Indent"/>
    <w:basedOn w:val="13"/>
    <w:link w:val="42"/>
    <w:qFormat/>
    <w:uiPriority w:val="0"/>
    <w:pPr>
      <w:ind w:firstLine="420" w:firstLineChars="100"/>
    </w:pPr>
    <w:rPr>
      <w:rFonts w:ascii="Times New Roman" w:hAnsi="Times New Roman" w:eastAsia="宋体" w:cs="Times New Roman"/>
      <w:szCs w:val="22"/>
    </w:rPr>
  </w:style>
  <w:style w:type="table" w:styleId="29">
    <w:name w:val="Table Grid"/>
    <w:basedOn w:val="2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rFonts w:eastAsia="黑体"/>
      <w:bCs/>
    </w:rPr>
  </w:style>
  <w:style w:type="character" w:styleId="32">
    <w:name w:val="Hyperlink"/>
    <w:qFormat/>
    <w:uiPriority w:val="0"/>
    <w:rPr>
      <w:rFonts w:ascii="Times New Roman" w:hAnsi="Times New Roman" w:eastAsia="宋体" w:cs="Times New Roman"/>
      <w:color w:val="0563C1"/>
      <w:u w:val="single"/>
    </w:rPr>
  </w:style>
  <w:style w:type="character" w:customStyle="1" w:styleId="33">
    <w:name w:val="标题 1 字符1"/>
    <w:link w:val="5"/>
    <w:qFormat/>
    <w:uiPriority w:val="0"/>
    <w:rPr>
      <w:rFonts w:ascii="Times New Roman" w:hAnsi="Times New Roman" w:eastAsia="宋体" w:cs="Times New Roman"/>
      <w:b/>
      <w:bCs/>
      <w:kern w:val="44"/>
      <w:sz w:val="44"/>
      <w:szCs w:val="44"/>
    </w:rPr>
  </w:style>
  <w:style w:type="character" w:customStyle="1" w:styleId="34">
    <w:name w:val="标题 2 字符"/>
    <w:link w:val="6"/>
    <w:qFormat/>
    <w:uiPriority w:val="0"/>
    <w:rPr>
      <w:rFonts w:ascii="宋体" w:hAnsi="宋体" w:eastAsia="宋体" w:cs="宋体"/>
      <w:b/>
      <w:sz w:val="30"/>
      <w:szCs w:val="44"/>
      <w:lang w:val="zh-CN" w:bidi="zh-CN"/>
    </w:rPr>
  </w:style>
  <w:style w:type="character" w:customStyle="1" w:styleId="35">
    <w:name w:val="标题 3 字符"/>
    <w:link w:val="7"/>
    <w:qFormat/>
    <w:uiPriority w:val="0"/>
    <w:rPr>
      <w:rFonts w:ascii="Microsoft JhengHei" w:hAnsi="Microsoft JhengHei" w:eastAsia="宋体" w:cs="Times New Roman"/>
      <w:b/>
      <w:bCs/>
      <w:kern w:val="2"/>
      <w:sz w:val="30"/>
      <w:szCs w:val="32"/>
    </w:rPr>
  </w:style>
  <w:style w:type="character" w:customStyle="1" w:styleId="36">
    <w:name w:val="标题 4 字符"/>
    <w:link w:val="8"/>
    <w:qFormat/>
    <w:uiPriority w:val="0"/>
    <w:rPr>
      <w:rFonts w:ascii="等线 Light" w:hAnsi="等线 Light" w:eastAsia="宋体" w:cs="Times New Roman"/>
      <w:b/>
      <w:bCs/>
      <w:kern w:val="2"/>
      <w:sz w:val="24"/>
      <w:szCs w:val="28"/>
    </w:rPr>
  </w:style>
  <w:style w:type="character" w:customStyle="1" w:styleId="37">
    <w:name w:val="正文文本 字符"/>
    <w:link w:val="13"/>
    <w:qFormat/>
    <w:uiPriority w:val="0"/>
    <w:rPr>
      <w:rFonts w:ascii="Times New Roman" w:hAnsi="Times New Roman" w:eastAsia="宋体" w:cs="Times New Roman"/>
      <w:kern w:val="2"/>
      <w:sz w:val="21"/>
      <w:szCs w:val="21"/>
    </w:rPr>
  </w:style>
  <w:style w:type="character" w:customStyle="1" w:styleId="38">
    <w:name w:val="纯文本 字符1"/>
    <w:link w:val="16"/>
    <w:qFormat/>
    <w:uiPriority w:val="0"/>
    <w:rPr>
      <w:rFonts w:ascii="宋体" w:hAnsi="Courier New" w:eastAsia="宋体" w:cs="Courier New"/>
      <w:sz w:val="21"/>
      <w:szCs w:val="21"/>
    </w:rPr>
  </w:style>
  <w:style w:type="character" w:customStyle="1" w:styleId="39">
    <w:name w:val="批注框文本 字符"/>
    <w:link w:val="19"/>
    <w:qFormat/>
    <w:uiPriority w:val="0"/>
    <w:rPr>
      <w:rFonts w:ascii="Calibri" w:hAnsi="Calibri" w:eastAsia="宋体" w:cs="Times New Roman"/>
      <w:kern w:val="2"/>
      <w:sz w:val="18"/>
      <w:szCs w:val="18"/>
    </w:rPr>
  </w:style>
  <w:style w:type="character" w:customStyle="1" w:styleId="40">
    <w:name w:val="页脚 字符"/>
    <w:link w:val="20"/>
    <w:qFormat/>
    <w:uiPriority w:val="0"/>
    <w:rPr>
      <w:rFonts w:ascii="Times New Roman" w:hAnsi="Times New Roman" w:eastAsia="宋体" w:cs="Times New Roman"/>
      <w:sz w:val="18"/>
      <w:szCs w:val="18"/>
    </w:rPr>
  </w:style>
  <w:style w:type="character" w:customStyle="1" w:styleId="41">
    <w:name w:val="页眉 字符"/>
    <w:link w:val="21"/>
    <w:qFormat/>
    <w:uiPriority w:val="0"/>
    <w:rPr>
      <w:rFonts w:ascii="Times New Roman" w:hAnsi="Times New Roman" w:eastAsia="宋体" w:cs="Times New Roman"/>
      <w:sz w:val="18"/>
      <w:szCs w:val="18"/>
    </w:rPr>
  </w:style>
  <w:style w:type="character" w:customStyle="1" w:styleId="42">
    <w:name w:val="正文文本首行缩进 字符"/>
    <w:link w:val="27"/>
    <w:qFormat/>
    <w:uiPriority w:val="0"/>
    <w:rPr>
      <w:rFonts w:ascii="Times New Roman" w:hAnsi="Times New Roman" w:eastAsia="宋体" w:cs="Times New Roman"/>
      <w:kern w:val="2"/>
      <w:sz w:val="21"/>
      <w:szCs w:val="22"/>
    </w:rPr>
  </w:style>
  <w:style w:type="paragraph" w:customStyle="1" w:styleId="43">
    <w:name w:val="首行缩进"/>
    <w:basedOn w:val="1"/>
    <w:qFormat/>
    <w:uiPriority w:val="0"/>
    <w:pPr>
      <w:ind w:firstLine="480"/>
    </w:pPr>
    <w:rPr>
      <w:rFonts w:ascii="Times New Roman" w:hAnsi="Times New Roman" w:eastAsia="宋体" w:cs="Times New Roman"/>
      <w:lang w:val="zh-CN"/>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Table Paragraph"/>
    <w:basedOn w:val="1"/>
    <w:qFormat/>
    <w:uiPriority w:val="0"/>
    <w:rPr>
      <w:rFonts w:ascii="Times New Roman" w:hAnsi="Times New Roman" w:eastAsia="宋体" w:cs="Times New Roman"/>
      <w:szCs w:val="21"/>
    </w:rPr>
  </w:style>
  <w:style w:type="paragraph" w:styleId="46">
    <w:name w:val="List Paragraph"/>
    <w:basedOn w:val="1"/>
    <w:qFormat/>
    <w:uiPriority w:val="0"/>
    <w:rPr>
      <w:rFonts w:ascii="Times New Roman" w:hAnsi="Times New Roman" w:eastAsia="宋体" w:cs="Times New Roman"/>
      <w:szCs w:val="21"/>
    </w:rPr>
  </w:style>
  <w:style w:type="paragraph" w:customStyle="1" w:styleId="47">
    <w:name w:val="四级标题"/>
    <w:basedOn w:val="17"/>
    <w:qFormat/>
    <w:uiPriority w:val="0"/>
    <w:rPr>
      <w:rFonts w:ascii="Times New Roman" w:hAnsi="Times New Roman" w:eastAsia="黑体" w:cs="Times New Roman"/>
      <w:sz w:val="24"/>
    </w:rPr>
  </w:style>
  <w:style w:type="character" w:customStyle="1" w:styleId="48">
    <w:name w:val="_Style 1"/>
    <w:qFormat/>
    <w:uiPriority w:val="0"/>
    <w:rPr>
      <w:rFonts w:ascii="Times New Roman" w:hAnsi="Times New Roman" w:eastAsia="仿宋_GB2312" w:cs="Times New Roman"/>
      <w:b/>
      <w:bCs/>
      <w:smallCaps/>
      <w:spacing w:val="5"/>
      <w:sz w:val="36"/>
    </w:rPr>
  </w:style>
  <w:style w:type="character" w:customStyle="1" w:styleId="49">
    <w:name w:val="标题 1 字符"/>
    <w:qFormat/>
    <w:uiPriority w:val="0"/>
    <w:rPr>
      <w:rFonts w:ascii="Times New Roman" w:hAnsi="Times New Roman" w:eastAsia="宋体" w:cs="Times New Roman"/>
      <w:b/>
      <w:bCs/>
      <w:kern w:val="44"/>
      <w:sz w:val="44"/>
      <w:szCs w:val="44"/>
    </w:rPr>
  </w:style>
  <w:style w:type="character" w:customStyle="1" w:styleId="50">
    <w:name w:val="font21"/>
    <w:qFormat/>
    <w:uiPriority w:val="0"/>
    <w:rPr>
      <w:rFonts w:hint="eastAsia" w:ascii="宋体" w:hAnsi="宋体" w:eastAsia="宋体" w:cs="宋体"/>
      <w:color w:val="000000"/>
      <w:sz w:val="20"/>
      <w:szCs w:val="20"/>
      <w:u w:val="none"/>
    </w:rPr>
  </w:style>
  <w:style w:type="character" w:customStyle="1" w:styleId="51">
    <w:name w:val="正文文本 Char"/>
    <w:qFormat/>
    <w:uiPriority w:val="0"/>
    <w:rPr>
      <w:rFonts w:ascii="Times New Roman" w:hAnsi="Times New Roman" w:eastAsia="宋体" w:cs="Times New Roman"/>
      <w:sz w:val="21"/>
      <w:szCs w:val="21"/>
      <w:lang w:bidi="ar-SA"/>
    </w:rPr>
  </w:style>
  <w:style w:type="character" w:customStyle="1" w:styleId="52">
    <w:name w:val="纯文本 字符"/>
    <w:qFormat/>
    <w:uiPriority w:val="0"/>
    <w:rPr>
      <w:rFonts w:ascii="宋体" w:hAnsi="Courier New" w:eastAsia="宋体" w:cs="Courier New"/>
      <w:kern w:val="2"/>
      <w:sz w:val="21"/>
      <w:szCs w:val="21"/>
    </w:rPr>
  </w:style>
  <w:style w:type="character" w:customStyle="1" w:styleId="53">
    <w:name w:val="font01"/>
    <w:qFormat/>
    <w:uiPriority w:val="0"/>
    <w:rPr>
      <w:rFonts w:hint="eastAsia" w:ascii="宋体" w:hAnsi="宋体" w:eastAsia="宋体" w:cs="宋体"/>
      <w:color w:val="000000"/>
      <w:sz w:val="20"/>
      <w:szCs w:val="20"/>
      <w:u w:val="none"/>
      <w:vertAlign w:val="subscript"/>
    </w:rPr>
  </w:style>
  <w:style w:type="character" w:customStyle="1" w:styleId="54">
    <w:name w:val="font11"/>
    <w:qFormat/>
    <w:uiPriority w:val="0"/>
    <w:rPr>
      <w:rFonts w:hint="eastAsia" w:ascii="宋体" w:hAnsi="宋体" w:eastAsia="宋体" w:cs="宋体"/>
      <w:color w:val="000000"/>
      <w:sz w:val="20"/>
      <w:szCs w:val="20"/>
      <w:u w:val="none"/>
    </w:rPr>
  </w:style>
  <w:style w:type="character" w:customStyle="1" w:styleId="55">
    <w:name w:val="font81"/>
    <w:qFormat/>
    <w:uiPriority w:val="0"/>
    <w:rPr>
      <w:rFonts w:hint="eastAsia" w:ascii="宋体" w:hAnsi="宋体" w:eastAsia="宋体" w:cs="宋体"/>
      <w:color w:val="000000"/>
      <w:sz w:val="20"/>
      <w:szCs w:val="20"/>
      <w:u w:val="none"/>
    </w:rPr>
  </w:style>
  <w:style w:type="paragraph" w:customStyle="1" w:styleId="56">
    <w:name w:val="WPSOffice手动目录 2"/>
    <w:qFormat/>
    <w:uiPriority w:val="0"/>
    <w:pPr>
      <w:ind w:leftChars="200"/>
    </w:pPr>
    <w:rPr>
      <w:rFonts w:ascii="Times New Roman" w:hAnsi="Times New Roman" w:eastAsia="宋体" w:cs="Times New Roman"/>
      <w:lang w:val="en-US" w:eastAsia="zh-CN" w:bidi="ar-SA"/>
    </w:rPr>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WPSOffice手动目录 3"/>
    <w:qFormat/>
    <w:uiPriority w:val="0"/>
    <w:pPr>
      <w:ind w:leftChars="400"/>
    </w:pPr>
    <w:rPr>
      <w:rFonts w:ascii="Times New Roman" w:hAnsi="Times New Roman" w:eastAsia="宋体" w:cs="Times New Roman"/>
      <w:lang w:val="en-US" w:eastAsia="zh-CN" w:bidi="ar-SA"/>
    </w:rPr>
  </w:style>
  <w:style w:type="paragraph" w:customStyle="1" w:styleId="59">
    <w:name w:val="Body text|1"/>
    <w:basedOn w:val="1"/>
    <w:qFormat/>
    <w:uiPriority w:val="0"/>
    <w:pPr>
      <w:spacing w:after="80" w:line="480" w:lineRule="auto"/>
      <w:ind w:firstLine="360"/>
    </w:pPr>
    <w:rPr>
      <w:rFonts w:ascii="MingLiU" w:hAnsi="MingLiU" w:eastAsia="MingLiU" w:cs="MingLiU"/>
      <w:sz w:val="20"/>
      <w:szCs w:val="20"/>
      <w:lang w:val="zh-TW" w:eastAsia="zh-TW" w:bidi="zh-TW"/>
    </w:rPr>
  </w:style>
  <w:style w:type="table" w:customStyle="1" w:styleId="60">
    <w:name w:val="Table Normal"/>
    <w:qFormat/>
    <w:uiPriority w:val="0"/>
    <w:rPr>
      <w:rFonts w:ascii="Times New Roman" w:hAnsi="Times New Roman" w:eastAsia="宋体" w:cs="Times New Roman"/>
      <w:lang w:val="en-US" w:eastAsia="zh-CN" w:bidi="ar-SA"/>
    </w:rPr>
    <w:tblPr>
      <w:tblCellMar>
        <w:top w:w="0" w:type="dxa"/>
        <w:left w:w="0" w:type="dxa"/>
        <w:bottom w:w="0" w:type="dxa"/>
        <w:right w:w="0" w:type="dxa"/>
      </w:tblCellMar>
    </w:tblPr>
  </w:style>
  <w:style w:type="character" w:customStyle="1" w:styleId="61">
    <w:name w:val="_Style 60"/>
    <w:qFormat/>
    <w:uiPriority w:val="0"/>
    <w:rPr>
      <w:rFonts w:ascii="Times New Roman" w:hAnsi="Times New Roman" w:eastAsia="宋体" w:cs="Times New Roman"/>
      <w:color w:val="605E5C"/>
      <w:shd w:val="clear" w:color="auto" w:fill="E1DFDD"/>
    </w:rPr>
  </w:style>
  <w:style w:type="paragraph" w:customStyle="1" w:styleId="6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无间隔1"/>
    <w:qFormat/>
    <w:uiPriority w:val="1"/>
    <w:rPr>
      <w:rFonts w:ascii="Times New Roman" w:hAnsi="Times New Roman" w:eastAsia="宋体" w:cs="Times New Roman"/>
      <w:sz w:val="22"/>
      <w:lang w:val="en-US" w:eastAsia="zh-CN" w:bidi="ar-SA"/>
    </w:rPr>
  </w:style>
  <w:style w:type="paragraph" w:customStyle="1" w:styleId="64">
    <w:name w:val="方案正文"/>
    <w:basedOn w:val="1"/>
    <w:qFormat/>
    <w:uiPriority w:val="0"/>
    <w:pPr>
      <w:adjustRightInd w:val="0"/>
      <w:snapToGrid w:val="0"/>
      <w:spacing w:before="0" w:beforeAutospacing="0" w:after="0" w:afterAutospacing="0"/>
      <w:ind w:firstLine="480" w:firstLineChars="200"/>
      <w:jc w:val="left"/>
    </w:pPr>
    <w:rPr>
      <w:sz w:val="24"/>
    </w:rPr>
  </w:style>
  <w:style w:type="paragraph" w:customStyle="1" w:styleId="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6">
    <w:name w:val="列出段落1"/>
    <w:basedOn w:val="1"/>
    <w:qFormat/>
    <w:uiPriority w:val="0"/>
    <w:pPr>
      <w:ind w:firstLine="420" w:firstLineChars="200"/>
    </w:pPr>
    <w:rPr>
      <w:szCs w:val="21"/>
    </w:rPr>
  </w:style>
  <w:style w:type="paragraph" w:customStyle="1" w:styleId="67">
    <w:name w:val="报告正文1"/>
    <w:basedOn w:val="1"/>
    <w:qFormat/>
    <w:uiPriority w:val="0"/>
    <w:pPr>
      <w:spacing w:line="400" w:lineRule="exact"/>
      <w:ind w:firstLine="200" w:firstLineChars="200"/>
    </w:pPr>
    <w:rPr>
      <w:rFonts w:ascii="宋体" w:hAnsi="宋体"/>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18560</Words>
  <Characters>19962</Characters>
  <Lines>257</Lines>
  <Paragraphs>72</Paragraphs>
  <TotalTime>4</TotalTime>
  <ScaleCrop>false</ScaleCrop>
  <LinksUpToDate>false</LinksUpToDate>
  <CharactersWithSpaces>20279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2022-08-08T01:49:00Z</dcterms:created>
  <dc:creator>袁静</dc:creator>
  <cp:lastModifiedBy>一切皆有可能</cp:lastModifiedBy>
  <cp:lastPrinted>2025-07-03T04:27:00Z</cp:lastPrinted>
  <dcterms:modified xsi:type="dcterms:W3CDTF">2025-07-08T03:24:33Z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12EF290B6F594EDBB805A8D8F86D5C18_13</vt:lpwstr>
  </property>
  <property fmtid="{D5CDD505-2E9C-101B-9397-08002B2CF9AE}" pid="4" name="commondata">
    <vt:lpwstr>eyJoZGlkIjoiN2VkN2NiNGQ2ZjJmZjAwNTg4NGE3NjYxMDg4ZjUxMzIifQ==</vt:lpwstr>
  </property>
  <property fmtid="{D5CDD505-2E9C-101B-9397-08002B2CF9AE}" pid="5" name="KSOTemplateDocerSaveRecord">
    <vt:lpwstr>eyJoZGlkIjoiY2M2ZDUzZDI5ZmQwOTg3ZjliYzA0M2FhZjJiYWZlNzEiLCJ1c2VySWQiOiIzNjA4NDMwNTUifQ==</vt:lpwstr>
  </property>
</Properties>
</file>