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6FD48">
      <w:pPr>
        <w:jc w:val="center"/>
        <w:rPr>
          <w:rFonts w:hint="eastAsia"/>
          <w:sz w:val="36"/>
          <w:szCs w:val="44"/>
          <w:lang w:val="en-US" w:eastAsia="zh-CN"/>
        </w:rPr>
      </w:pPr>
      <w:r>
        <w:rPr>
          <w:rFonts w:hint="eastAsia"/>
          <w:sz w:val="36"/>
          <w:szCs w:val="44"/>
          <w:lang w:val="en-US" w:eastAsia="zh-CN"/>
        </w:rPr>
        <w:t>大型设备、设施维修维护费（二次）</w:t>
      </w:r>
    </w:p>
    <w:p w14:paraId="7938A5DB">
      <w:pPr>
        <w:jc w:val="center"/>
        <w:rPr>
          <w:rFonts w:hint="eastAsia"/>
          <w:sz w:val="36"/>
          <w:szCs w:val="44"/>
        </w:rPr>
      </w:pPr>
      <w:r>
        <w:rPr>
          <w:rFonts w:hint="eastAsia"/>
          <w:sz w:val="36"/>
          <w:szCs w:val="44"/>
        </w:rPr>
        <w:t>需求公示</w:t>
      </w:r>
    </w:p>
    <w:p w14:paraId="1064903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一、项目基本信息</w:t>
      </w:r>
    </w:p>
    <w:p w14:paraId="6D6FE7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项目名称：</w:t>
      </w:r>
      <w:r>
        <w:rPr>
          <w:rFonts w:hint="eastAsia" w:asciiTheme="minorEastAsia" w:hAnsiTheme="minorEastAsia" w:eastAsiaTheme="minorEastAsia" w:cstheme="minorEastAsia"/>
          <w:sz w:val="28"/>
          <w:szCs w:val="28"/>
          <w:lang w:val="en-US" w:eastAsia="zh-CN"/>
        </w:rPr>
        <w:t>大型设备、设施维修维护费</w:t>
      </w:r>
      <w:r>
        <w:rPr>
          <w:rFonts w:hint="eastAsia" w:asciiTheme="minorEastAsia" w:hAnsiTheme="minorEastAsia" w:cstheme="minorEastAsia"/>
          <w:sz w:val="28"/>
          <w:szCs w:val="28"/>
          <w:lang w:val="en-US" w:eastAsia="zh-CN"/>
        </w:rPr>
        <w:t>（二次）</w:t>
      </w:r>
    </w:p>
    <w:p w14:paraId="578D83E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项目编号：</w:t>
      </w:r>
      <w:r>
        <w:rPr>
          <w:rFonts w:hint="eastAsia" w:asciiTheme="minorEastAsia" w:hAnsiTheme="minorEastAsia" w:eastAsiaTheme="minorEastAsia" w:cstheme="minorEastAsia"/>
          <w:sz w:val="28"/>
          <w:szCs w:val="28"/>
          <w:lang w:eastAsia="zh-CN"/>
        </w:rPr>
        <w:t>JYZF-2507</w:t>
      </w:r>
      <w:r>
        <w:rPr>
          <w:rFonts w:hint="eastAsia" w:asciiTheme="minorEastAsia" w:hAnsiTheme="minorEastAsia" w:cstheme="minorEastAsia"/>
          <w:sz w:val="28"/>
          <w:szCs w:val="28"/>
          <w:lang w:val="en-US" w:eastAsia="zh-CN"/>
        </w:rPr>
        <w:t>R</w:t>
      </w:r>
    </w:p>
    <w:p w14:paraId="70EC26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采购预算：</w:t>
      </w:r>
      <w:r>
        <w:rPr>
          <w:rFonts w:hint="eastAsia" w:asciiTheme="minorEastAsia" w:hAnsiTheme="minorEastAsia" w:eastAsiaTheme="minorEastAsia" w:cstheme="minorEastAsia"/>
          <w:sz w:val="28"/>
          <w:szCs w:val="28"/>
          <w:lang w:val="en-US" w:eastAsia="zh-CN"/>
        </w:rPr>
        <w:t>722100.00元</w:t>
      </w:r>
    </w:p>
    <w:p w14:paraId="7E89637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最高限价：</w:t>
      </w:r>
      <w:r>
        <w:rPr>
          <w:rFonts w:hint="eastAsia" w:asciiTheme="minorEastAsia" w:hAnsiTheme="minorEastAsia" w:eastAsiaTheme="minorEastAsia" w:cstheme="minorEastAsia"/>
          <w:sz w:val="28"/>
          <w:szCs w:val="28"/>
          <w:lang w:val="en-US" w:eastAsia="zh-CN"/>
        </w:rPr>
        <w:t>672645.00</w:t>
      </w:r>
      <w:r>
        <w:rPr>
          <w:rFonts w:hint="eastAsia" w:asciiTheme="minorEastAsia" w:hAnsiTheme="minorEastAsia" w:eastAsiaTheme="minorEastAsia" w:cstheme="minorEastAsia"/>
          <w:sz w:val="28"/>
          <w:szCs w:val="28"/>
        </w:rPr>
        <w:t>元</w:t>
      </w:r>
    </w:p>
    <w:p w14:paraId="490033B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二、公示期限（不少于2个工作日）</w:t>
      </w:r>
    </w:p>
    <w:p w14:paraId="0E1BF83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17</w:t>
      </w:r>
      <w:r>
        <w:rPr>
          <w:rFonts w:hint="eastAsia" w:asciiTheme="minorEastAsia" w:hAnsiTheme="minorEastAsia" w:eastAsiaTheme="minorEastAsia" w:cstheme="minorEastAsia"/>
          <w:sz w:val="28"/>
          <w:szCs w:val="28"/>
        </w:rPr>
        <w:t>日至202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日</w:t>
      </w:r>
    </w:p>
    <w:p w14:paraId="53A29F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三、其他补充事宜</w:t>
      </w:r>
    </w:p>
    <w:p w14:paraId="0256719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采购预算确定依据：</w:t>
      </w:r>
      <w:r>
        <w:rPr>
          <w:rFonts w:hint="eastAsia" w:asciiTheme="minorEastAsia" w:hAnsiTheme="minorEastAsia" w:cstheme="minorEastAsia"/>
          <w:sz w:val="28"/>
          <w:szCs w:val="28"/>
          <w:lang w:eastAsia="zh-CN"/>
        </w:rPr>
        <w:t>贵州省本级政府采购计划书</w:t>
      </w:r>
      <w:r>
        <w:rPr>
          <w:rFonts w:hint="eastAsia" w:asciiTheme="minorEastAsia" w:hAnsiTheme="minorEastAsia" w:eastAsiaTheme="minorEastAsia" w:cstheme="minorEastAsia"/>
          <w:sz w:val="28"/>
          <w:szCs w:val="28"/>
        </w:rPr>
        <w:t>[2025]5523号</w:t>
      </w:r>
    </w:p>
    <w:p w14:paraId="7F46D79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四、项目联系人（公示期限内，优先反馈给代理机构）</w:t>
      </w:r>
    </w:p>
    <w:p w14:paraId="6906BA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rPr>
        <w:t>采购人信息</w:t>
      </w:r>
    </w:p>
    <w:p w14:paraId="2C80EB9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采购单位名称：</w:t>
      </w:r>
      <w:r>
        <w:rPr>
          <w:rFonts w:hint="eastAsia" w:asciiTheme="minorEastAsia" w:hAnsiTheme="minorEastAsia" w:eastAsiaTheme="minorEastAsia" w:cstheme="minorEastAsia"/>
          <w:sz w:val="28"/>
          <w:szCs w:val="28"/>
          <w:lang w:val="en-US" w:eastAsia="zh-CN"/>
        </w:rPr>
        <w:t>贵州省住房和城乡建设厅</w:t>
      </w:r>
    </w:p>
    <w:p w14:paraId="553D276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项目联系人：</w:t>
      </w:r>
      <w:r>
        <w:rPr>
          <w:rFonts w:hint="eastAsia" w:asciiTheme="minorEastAsia" w:hAnsiTheme="minorEastAsia" w:eastAsiaTheme="minorEastAsia" w:cstheme="minorEastAsia"/>
          <w:sz w:val="28"/>
          <w:szCs w:val="28"/>
          <w:lang w:eastAsia="zh-CN"/>
        </w:rPr>
        <w:t>何立富</w:t>
      </w:r>
    </w:p>
    <w:p w14:paraId="66A5F1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联系电话：</w:t>
      </w:r>
      <w:r>
        <w:rPr>
          <w:rFonts w:hint="eastAsia" w:asciiTheme="minorEastAsia" w:hAnsiTheme="minorEastAsia" w:eastAsiaTheme="minorEastAsia" w:cstheme="minorEastAsia"/>
          <w:sz w:val="28"/>
          <w:szCs w:val="28"/>
          <w:lang w:val="en-US" w:eastAsia="zh-CN"/>
        </w:rPr>
        <w:t>0851-85360001</w:t>
      </w:r>
    </w:p>
    <w:p w14:paraId="6A9C68F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（二）</w:t>
      </w:r>
      <w:r>
        <w:rPr>
          <w:rFonts w:hint="eastAsia" w:asciiTheme="minorEastAsia" w:hAnsiTheme="minorEastAsia" w:eastAsiaTheme="minorEastAsia" w:cstheme="minorEastAsia"/>
          <w:sz w:val="28"/>
          <w:szCs w:val="28"/>
        </w:rPr>
        <w:t>代理机构</w:t>
      </w:r>
    </w:p>
    <w:p w14:paraId="636288A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代理全称：贵州锦阳项目管理咨询有限公司</w:t>
      </w:r>
    </w:p>
    <w:p w14:paraId="44552E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联系人：</w:t>
      </w:r>
      <w:r>
        <w:rPr>
          <w:rFonts w:hint="eastAsia" w:asciiTheme="minorEastAsia" w:hAnsiTheme="minorEastAsia" w:cstheme="minorEastAsia"/>
          <w:sz w:val="28"/>
          <w:szCs w:val="28"/>
          <w:lang w:eastAsia="zh-CN"/>
        </w:rPr>
        <w:t>闫磊、</w:t>
      </w:r>
      <w:r>
        <w:rPr>
          <w:rFonts w:hint="eastAsia" w:asciiTheme="minorEastAsia" w:hAnsiTheme="minorEastAsia" w:eastAsiaTheme="minorEastAsia" w:cstheme="minorEastAsia"/>
          <w:sz w:val="28"/>
          <w:szCs w:val="28"/>
        </w:rPr>
        <w:t>田仁屹</w:t>
      </w:r>
      <w:r>
        <w:rPr>
          <w:rFonts w:hint="eastAsia" w:asciiTheme="minorEastAsia" w:hAnsiTheme="minorEastAsia" w:cstheme="minorEastAsia"/>
          <w:sz w:val="28"/>
          <w:szCs w:val="28"/>
          <w:lang w:eastAsia="zh-CN"/>
        </w:rPr>
        <w:t>、姚丹</w:t>
      </w:r>
    </w:p>
    <w:p w14:paraId="3CD31D8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联系方式：0851-82203376</w:t>
      </w:r>
    </w:p>
    <w:p w14:paraId="479881C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p>
    <w:p w14:paraId="530ADE7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p>
    <w:p w14:paraId="7CD46C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p>
    <w:p w14:paraId="6CB25F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p>
    <w:p w14:paraId="1FD920F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cstheme="minorEastAsia"/>
          <w:b/>
          <w:bCs/>
          <w:sz w:val="28"/>
          <w:szCs w:val="28"/>
          <w:lang w:val="en-US" w:eastAsia="zh-CN"/>
        </w:rPr>
      </w:pPr>
      <w:r>
        <w:rPr>
          <w:rFonts w:hint="eastAsia" w:asciiTheme="minorEastAsia" w:hAnsiTheme="minorEastAsia" w:eastAsiaTheme="minorEastAsia" w:cstheme="minorEastAsia"/>
          <w:b/>
          <w:bCs/>
          <w:kern w:val="2"/>
          <w:sz w:val="28"/>
          <w:szCs w:val="28"/>
          <w:lang w:val="en-US" w:eastAsia="zh-CN" w:bidi="ar-SA"/>
        </w:rPr>
        <w:t>一、</w:t>
      </w:r>
      <w:r>
        <w:rPr>
          <w:rFonts w:hint="eastAsia" w:asciiTheme="minorEastAsia" w:hAnsiTheme="minorEastAsia" w:cstheme="minorEastAsia"/>
          <w:b/>
          <w:bCs/>
          <w:sz w:val="28"/>
          <w:szCs w:val="28"/>
          <w:lang w:val="en-US" w:eastAsia="zh-CN"/>
        </w:rPr>
        <w:t>资格要求：</w:t>
      </w:r>
    </w:p>
    <w:p w14:paraId="0D580F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43" w:beforeLines="50" w:beforeAutospacing="0" w:after="143" w:afterLines="50" w:afterAutospacing="0" w:line="560" w:lineRule="exact"/>
        <w:ind w:left="0" w:right="0" w:firstLine="480" w:firstLineChars="200"/>
        <w:jc w:val="left"/>
        <w:textAlignment w:val="auto"/>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t>(一)一般资格要求:</w:t>
      </w:r>
    </w:p>
    <w:p w14:paraId="65835B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43" w:beforeLines="50" w:beforeAutospacing="0" w:after="143" w:afterLines="50" w:afterAutospacing="0" w:line="560" w:lineRule="exact"/>
        <w:ind w:left="0" w:right="0" w:firstLine="480" w:firstLineChars="200"/>
        <w:jc w:val="left"/>
        <w:textAlignment w:val="auto"/>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t>1.具有独立承担民事责任的能力：提供法人或其他组织的营业执照等证明文件，或自然人身份证明，</w:t>
      </w:r>
    </w:p>
    <w:p w14:paraId="501BBC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43" w:beforeLines="50" w:beforeAutospacing="0" w:after="143" w:afterLines="50" w:afterAutospacing="0" w:line="560" w:lineRule="exact"/>
        <w:ind w:left="0" w:right="0" w:firstLine="480" w:firstLineChars="200"/>
        <w:jc w:val="left"/>
        <w:textAlignment w:val="auto"/>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t>2.具有良好的商业信誉和健全的财务会计制度：供应商是法人的，提供2023年度或2024年度经合法有效的第三方审计机构出具的审计报告，或者由基本账户开户银行出具2024年或2025年的资信证明；</w:t>
      </w:r>
    </w:p>
    <w:p w14:paraId="63A4B9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43" w:beforeLines="50" w:beforeAutospacing="0" w:after="143" w:afterLines="50" w:afterAutospacing="0" w:line="560" w:lineRule="exact"/>
        <w:ind w:left="0" w:right="0" w:firstLine="480" w:firstLineChars="200"/>
        <w:jc w:val="left"/>
        <w:textAlignment w:val="auto"/>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t>3.具有履行合同所必需的设备和专业技术能力：供应商自行承诺具备履行合同所必需的设备和专业技术能力（自行承诺，格式自拟）；</w:t>
      </w:r>
    </w:p>
    <w:p w14:paraId="37F8C4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43" w:beforeLines="50" w:beforeAutospacing="0" w:after="143" w:afterLines="50" w:afterAutospacing="0" w:line="560" w:lineRule="exact"/>
        <w:ind w:left="0" w:right="0" w:firstLine="480" w:firstLineChars="200"/>
        <w:jc w:val="left"/>
        <w:textAlignment w:val="auto"/>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t>4.具有依法缴纳税收和社会保障资金的良好记录：具体要求：提供2025年以来至今任意1个月依法缴纳税收和社会保障资金的相关材料（根据国家相关政策免缴或迟缴的需提供相关证明材料）；</w:t>
      </w:r>
    </w:p>
    <w:p w14:paraId="0CEB56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43" w:beforeLines="50" w:beforeAutospacing="0" w:after="143" w:afterLines="50" w:afterAutospacing="0" w:line="560" w:lineRule="exact"/>
        <w:ind w:left="0" w:right="0" w:firstLine="480" w:firstLineChars="200"/>
        <w:jc w:val="left"/>
        <w:textAlignment w:val="auto"/>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t>5.参加本次政府采购活动前三年内，在经营活动中没有违法违规记录：提供参加政府采购活动前3年内在经营活动中没有重大违法记录的书面声明（格式文件详见响应文件范本）；</w:t>
      </w:r>
    </w:p>
    <w:p w14:paraId="3C1189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43" w:beforeLines="50" w:beforeAutospacing="0" w:after="143" w:afterLines="50" w:afterAutospacing="0" w:line="560" w:lineRule="exact"/>
        <w:ind w:left="0" w:right="0" w:firstLine="480" w:firstLineChars="200"/>
        <w:jc w:val="left"/>
        <w:textAlignment w:val="auto"/>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t>6.法律、行政法规规定的其他条件：供应商须承诺：</w:t>
      </w:r>
    </w:p>
    <w:p w14:paraId="5F11E105">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43" w:beforeLines="50" w:beforeAutospacing="0" w:after="143" w:afterLines="50" w:afterAutospacing="0" w:line="560" w:lineRule="exact"/>
        <w:ind w:left="0" w:right="0" w:firstLine="480" w:firstLineChars="200"/>
        <w:jc w:val="left"/>
        <w:textAlignment w:val="auto"/>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t>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5236853B">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43" w:beforeLines="50" w:beforeAutospacing="0" w:after="143" w:afterLines="50" w:afterAutospacing="0" w:line="560" w:lineRule="exact"/>
        <w:ind w:left="0" w:right="0" w:firstLine="480" w:firstLineChars="200"/>
        <w:jc w:val="left"/>
        <w:textAlignment w:val="auto"/>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t>根据《省发展改革委、省法院、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w:t>
      </w:r>
    </w:p>
    <w:p w14:paraId="78B46A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43" w:beforeLines="50" w:beforeAutospacing="0" w:after="143" w:afterLines="50" w:afterAutospacing="0" w:line="560" w:lineRule="exact"/>
        <w:ind w:left="0" w:right="0" w:firstLine="480" w:firstLineChars="200"/>
        <w:jc w:val="left"/>
        <w:textAlignment w:val="auto"/>
        <w:rPr>
          <w:rFonts w:hint="eastAsia" w:ascii="宋体" w:hAnsi="宋体" w:eastAsia="宋体" w:cs="宋体"/>
          <w:i w:val="0"/>
          <w:iCs w:val="0"/>
          <w:caps w:val="0"/>
          <w:color w:val="000000" w:themeColor="text1"/>
          <w:spacing w:val="0"/>
          <w:sz w:val="24"/>
          <w:szCs w:val="24"/>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t>（二）本项目</w:t>
      </w:r>
      <w:r>
        <w:rPr>
          <w:rFonts w:hint="eastAsia" w:ascii="宋体" w:hAnsi="宋体" w:eastAsia="宋体" w:cs="宋体"/>
          <w:i w:val="0"/>
          <w:iCs w:val="0"/>
          <w:caps w:val="0"/>
          <w:color w:val="000000" w:themeColor="text1"/>
          <w:spacing w:val="0"/>
          <w:kern w:val="0"/>
          <w:sz w:val="24"/>
          <w:szCs w:val="24"/>
          <w:u w:val="single"/>
          <w:shd w:val="clear" w:color="auto" w:fill="auto"/>
          <w:lang w:val="en-US" w:eastAsia="zh-CN" w:bidi="ar"/>
          <w14:textFill>
            <w14:solidFill>
              <w14:schemeClr w14:val="tx1"/>
            </w14:solidFill>
          </w14:textFill>
        </w:rPr>
        <w:t>不接受</w:t>
      </w:r>
      <w:r>
        <w:rPr>
          <w:rFonts w:hint="eastAsia" w:ascii="宋体" w:hAnsi="宋体" w:eastAsia="宋体" w:cs="宋体"/>
          <w:i w:val="0"/>
          <w:iCs w:val="0"/>
          <w:caps w:val="0"/>
          <w:color w:val="000000" w:themeColor="text1"/>
          <w:spacing w:val="0"/>
          <w:kern w:val="0"/>
          <w:sz w:val="24"/>
          <w:szCs w:val="24"/>
          <w:shd w:val="clear" w:color="auto" w:fill="auto"/>
          <w:lang w:val="en-US" w:eastAsia="zh-CN" w:bidi="ar"/>
          <w14:textFill>
            <w14:solidFill>
              <w14:schemeClr w14:val="tx1"/>
            </w14:solidFill>
          </w14:textFill>
        </w:rPr>
        <w:t>联合体投标，</w:t>
      </w:r>
    </w:p>
    <w:p w14:paraId="222354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43" w:beforeLines="50" w:beforeAutospacing="0" w:after="143" w:afterLines="50" w:afterAutospacing="0" w:line="560" w:lineRule="exact"/>
        <w:ind w:left="0" w:right="0" w:firstLine="480" w:firstLineChars="200"/>
        <w:jc w:val="left"/>
        <w:textAlignment w:val="auto"/>
        <w:rPr>
          <w:rFonts w:hint="eastAsia" w:ascii="宋体" w:hAnsi="宋体" w:eastAsia="宋体" w:cs="宋体"/>
          <w:i w:val="0"/>
          <w:iCs w:val="0"/>
          <w:caps w:val="0"/>
          <w:color w:val="000000" w:themeColor="text1"/>
          <w:spacing w:val="0"/>
          <w:kern w:val="0"/>
          <w:sz w:val="24"/>
          <w:szCs w:val="24"/>
          <w:highlight w:val="none"/>
          <w:shd w:val="clear" w:color="auto" w:fill="auto"/>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highlight w:val="none"/>
          <w:shd w:val="clear" w:color="auto" w:fill="auto"/>
          <w:lang w:val="en-US" w:eastAsia="zh-CN" w:bidi="ar"/>
          <w14:textFill>
            <w14:solidFill>
              <w14:schemeClr w14:val="tx1"/>
            </w14:solidFill>
          </w14:textFill>
        </w:rPr>
        <w:t>（三）本项目</w:t>
      </w:r>
      <w:r>
        <w:rPr>
          <w:rFonts w:hint="eastAsia" w:ascii="宋体" w:hAnsi="宋体" w:eastAsia="宋体" w:cs="宋体"/>
          <w:i w:val="0"/>
          <w:iCs w:val="0"/>
          <w:caps w:val="0"/>
          <w:color w:val="000000" w:themeColor="text1"/>
          <w:spacing w:val="0"/>
          <w:kern w:val="0"/>
          <w:sz w:val="24"/>
          <w:szCs w:val="24"/>
          <w:highlight w:val="none"/>
          <w:u w:val="single"/>
          <w:shd w:val="clear" w:color="auto" w:fill="auto"/>
          <w:lang w:val="en-US" w:eastAsia="zh-CN" w:bidi="ar"/>
          <w14:textFill>
            <w14:solidFill>
              <w14:schemeClr w14:val="tx1"/>
            </w14:solidFill>
          </w14:textFill>
        </w:rPr>
        <w:t>属于</w:t>
      </w:r>
      <w:r>
        <w:rPr>
          <w:rFonts w:hint="eastAsia" w:ascii="宋体" w:hAnsi="宋体" w:eastAsia="宋体" w:cs="宋体"/>
          <w:i w:val="0"/>
          <w:iCs w:val="0"/>
          <w:caps w:val="0"/>
          <w:color w:val="000000" w:themeColor="text1"/>
          <w:spacing w:val="0"/>
          <w:kern w:val="0"/>
          <w:sz w:val="24"/>
          <w:szCs w:val="24"/>
          <w:highlight w:val="none"/>
          <w:shd w:val="clear" w:color="auto" w:fill="auto"/>
          <w:lang w:val="en-US" w:eastAsia="zh-CN" w:bidi="ar"/>
          <w14:textFill>
            <w14:solidFill>
              <w14:schemeClr w14:val="tx1"/>
            </w14:solidFill>
          </w14:textFill>
        </w:rPr>
        <w:t>专门面向中小企业采购，【本项目所属行业为：工业】，非中小微企业不得参与投标。【投标供应商须提供《中小企业声明函》；（注意：根据相关政府采购政策，监狱企业、残疾人福利性单位视同小型、微型企业，享受相关政府采购政策】</w:t>
      </w:r>
    </w:p>
    <w:p w14:paraId="3696A1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43" w:beforeLines="50" w:beforeAutospacing="0" w:after="143" w:afterLines="50" w:afterAutospacing="0" w:line="560" w:lineRule="exact"/>
        <w:ind w:left="0" w:right="0" w:firstLine="480" w:firstLineChars="200"/>
        <w:jc w:val="left"/>
        <w:textAlignment w:val="auto"/>
        <w:rPr>
          <w:rFonts w:hint="eastAsia" w:ascii="宋体" w:hAnsi="宋体" w:eastAsia="宋体" w:cs="宋体"/>
          <w:b w:val="0"/>
          <w:bCs w:val="0"/>
          <w:i w:val="0"/>
          <w:iCs w:val="0"/>
          <w:caps w:val="0"/>
          <w:color w:val="000000" w:themeColor="text1"/>
          <w:spacing w:val="0"/>
          <w:kern w:val="0"/>
          <w:sz w:val="24"/>
          <w:szCs w:val="24"/>
          <w:shd w:val="clear" w:color="auto" w:fill="auto"/>
          <w:lang w:val="en-US" w:eastAsia="zh-CN" w:bidi="ar"/>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shd w:val="clear" w:color="auto" w:fill="auto"/>
          <w:lang w:val="en-US" w:eastAsia="zh-CN" w:bidi="ar"/>
          <w14:textFill>
            <w14:solidFill>
              <w14:schemeClr w14:val="tx1"/>
            </w14:solidFill>
          </w14:textFill>
        </w:rPr>
        <w:t>（四）本项目的特定资格要求：</w:t>
      </w:r>
    </w:p>
    <w:p w14:paraId="55264D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43" w:beforeLines="50" w:beforeAutospacing="0" w:after="143" w:afterLines="50" w:afterAutospacing="0" w:line="560" w:lineRule="exact"/>
        <w:ind w:left="0" w:right="0" w:firstLine="480" w:firstLineChars="200"/>
        <w:jc w:val="left"/>
        <w:textAlignment w:val="auto"/>
        <w:rPr>
          <w:rFonts w:hint="eastAsia" w:ascii="宋体" w:hAnsi="宋体" w:eastAsia="宋体" w:cs="宋体"/>
          <w:b w:val="0"/>
          <w:bCs w:val="0"/>
          <w:i w:val="0"/>
          <w:iCs w:val="0"/>
          <w:caps w:val="0"/>
          <w:color w:val="000000" w:themeColor="text1"/>
          <w:spacing w:val="0"/>
          <w:kern w:val="0"/>
          <w:sz w:val="24"/>
          <w:szCs w:val="24"/>
          <w:shd w:val="clear" w:color="auto" w:fill="auto"/>
          <w:lang w:val="en-US" w:eastAsia="zh-CN" w:bidi="ar"/>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shd w:val="clear" w:color="auto" w:fill="auto"/>
          <w:lang w:val="en-US" w:eastAsia="zh-CN" w:bidi="ar"/>
          <w14:textFill>
            <w14:solidFill>
              <w14:schemeClr w14:val="tx1"/>
            </w14:solidFill>
          </w14:textFill>
        </w:rPr>
        <w:t>标项1：</w:t>
      </w:r>
    </w:p>
    <w:p w14:paraId="7C5997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43" w:beforeLines="50" w:beforeAutospacing="0" w:after="143" w:afterLines="50" w:afterAutospacing="0" w:line="560" w:lineRule="exact"/>
        <w:ind w:left="0" w:right="0" w:firstLine="480" w:firstLineChars="200"/>
        <w:jc w:val="left"/>
        <w:textAlignment w:val="auto"/>
        <w:rPr>
          <w:rFonts w:hint="default" w:ascii="宋体" w:hAnsi="宋体" w:eastAsia="宋体" w:cs="宋体"/>
          <w:b w:val="0"/>
          <w:bCs w:val="0"/>
          <w:i w:val="0"/>
          <w:iCs w:val="0"/>
          <w:caps w:val="0"/>
          <w:color w:val="000000" w:themeColor="text1"/>
          <w:spacing w:val="0"/>
          <w:kern w:val="0"/>
          <w:sz w:val="24"/>
          <w:szCs w:val="24"/>
          <w:highlight w:val="none"/>
          <w:shd w:val="clear" w:color="auto" w:fill="auto"/>
          <w:lang w:val="en-US" w:eastAsia="zh-CN" w:bidi="ar"/>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highlight w:val="none"/>
          <w:shd w:val="clear" w:color="auto" w:fill="auto"/>
          <w:lang w:val="en-US" w:eastAsia="zh-CN" w:bidi="ar"/>
          <w14:textFill>
            <w14:solidFill>
              <w14:schemeClr w14:val="tx1"/>
            </w14:solidFill>
          </w14:textFill>
        </w:rPr>
        <w:t>1.具有行政主管部门颁发的电力工程施工总承包三级及以上资质或输变电工程施工专业承包三级及以上资质。2.具备国家能源局颁发的承装（修、试）类电力设施许可证三级及以上资质；3.具备有效的企业安全生产许可证；4.项目经理具备机电工程专业二级及以上建造师注册证</w:t>
      </w:r>
      <w:r>
        <w:rPr>
          <w:rFonts w:hint="eastAsia" w:ascii="宋体" w:hAnsi="宋体" w:eastAsia="宋体" w:cs="宋体"/>
          <w:b/>
          <w:bCs/>
          <w:i w:val="0"/>
          <w:iCs w:val="0"/>
          <w:caps w:val="0"/>
          <w:color w:val="000000" w:themeColor="text1"/>
          <w:spacing w:val="0"/>
          <w:kern w:val="0"/>
          <w:sz w:val="24"/>
          <w:szCs w:val="24"/>
          <w:highlight w:val="none"/>
          <w:shd w:val="clear" w:color="auto" w:fill="auto"/>
          <w:lang w:val="en-US" w:eastAsia="zh-CN" w:bidi="ar"/>
          <w14:textFill>
            <w14:solidFill>
              <w14:schemeClr w14:val="tx1"/>
            </w14:solidFill>
          </w14:textFill>
        </w:rPr>
        <w:t>（需提供电子证书，且由本人签名）</w:t>
      </w:r>
      <w:r>
        <w:rPr>
          <w:rFonts w:hint="eastAsia" w:ascii="宋体" w:hAnsi="宋体" w:eastAsia="宋体" w:cs="宋体"/>
          <w:b w:val="0"/>
          <w:bCs w:val="0"/>
          <w:i w:val="0"/>
          <w:iCs w:val="0"/>
          <w:caps w:val="0"/>
          <w:color w:val="000000" w:themeColor="text1"/>
          <w:spacing w:val="0"/>
          <w:kern w:val="0"/>
          <w:sz w:val="24"/>
          <w:szCs w:val="24"/>
          <w:highlight w:val="none"/>
          <w:shd w:val="clear" w:color="auto" w:fill="auto"/>
          <w:lang w:val="en-US" w:eastAsia="zh-CN" w:bidi="ar"/>
          <w14:textFill>
            <w14:solidFill>
              <w14:schemeClr w14:val="tx1"/>
            </w14:solidFill>
          </w14:textFill>
        </w:rPr>
        <w:t>和安全生产考核合格证B证。</w:t>
      </w:r>
    </w:p>
    <w:p w14:paraId="689AF7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43" w:beforeLines="50" w:beforeAutospacing="0" w:after="143" w:afterLines="50" w:afterAutospacing="0" w:line="560" w:lineRule="exact"/>
        <w:ind w:left="0" w:right="0" w:firstLine="480" w:firstLineChars="200"/>
        <w:jc w:val="left"/>
        <w:textAlignment w:val="auto"/>
        <w:rPr>
          <w:rFonts w:hint="default" w:ascii="宋体" w:hAnsi="宋体" w:eastAsia="宋体" w:cs="宋体"/>
          <w:b w:val="0"/>
          <w:bCs w:val="0"/>
          <w:i w:val="0"/>
          <w:iCs w:val="0"/>
          <w:caps w:val="0"/>
          <w:color w:val="393939"/>
          <w:spacing w:val="0"/>
          <w:kern w:val="0"/>
          <w:sz w:val="24"/>
          <w:szCs w:val="24"/>
          <w:highlight w:val="none"/>
          <w:shd w:val="clear" w:color="auto" w:fill="auto"/>
          <w:lang w:val="en-US" w:eastAsia="zh-CN" w:bidi="ar"/>
        </w:rPr>
      </w:pPr>
    </w:p>
    <w:p w14:paraId="692A437B">
      <w:pPr>
        <w:rPr>
          <w:rFonts w:hint="eastAsia" w:ascii="宋体" w:hAnsi="宋体" w:eastAsia="宋体" w:cs="宋体"/>
          <w:b/>
          <w:bCs w:val="0"/>
          <w:sz w:val="28"/>
          <w:szCs w:val="28"/>
          <w:lang w:eastAsia="zh-CN"/>
        </w:rPr>
      </w:pPr>
    </w:p>
    <w:p w14:paraId="5F009C9E">
      <w:pPr>
        <w:rPr>
          <w:rFonts w:hint="eastAsia" w:ascii="宋体" w:hAnsi="宋体" w:eastAsia="宋体" w:cs="宋体"/>
          <w:b/>
          <w:bCs w:val="0"/>
          <w:sz w:val="28"/>
          <w:szCs w:val="28"/>
          <w:lang w:eastAsia="zh-CN"/>
        </w:rPr>
      </w:pPr>
    </w:p>
    <w:p w14:paraId="002D7921">
      <w:pPr>
        <w:rPr>
          <w:rFonts w:hint="eastAsia" w:ascii="宋体" w:hAnsi="宋体" w:eastAsia="宋体" w:cs="宋体"/>
          <w:b/>
          <w:bCs w:val="0"/>
          <w:sz w:val="28"/>
          <w:szCs w:val="28"/>
          <w:lang w:eastAsia="zh-CN"/>
        </w:rPr>
      </w:pPr>
    </w:p>
    <w:p w14:paraId="63382632">
      <w:pPr>
        <w:rPr>
          <w:rFonts w:hint="eastAsia" w:ascii="宋体" w:hAnsi="宋体" w:eastAsia="宋体" w:cs="宋体"/>
          <w:b/>
          <w:bCs w:val="0"/>
          <w:sz w:val="28"/>
          <w:szCs w:val="28"/>
          <w:lang w:eastAsia="zh-CN"/>
        </w:rPr>
      </w:pPr>
    </w:p>
    <w:p w14:paraId="3D652B57">
      <w:pPr>
        <w:rPr>
          <w:rFonts w:hint="eastAsia" w:ascii="宋体" w:hAnsi="宋体" w:eastAsia="宋体" w:cs="宋体"/>
          <w:b/>
          <w:bCs w:val="0"/>
          <w:sz w:val="28"/>
          <w:szCs w:val="28"/>
          <w:lang w:eastAsia="zh-CN"/>
        </w:rPr>
      </w:pPr>
      <w:r>
        <w:rPr>
          <w:rFonts w:hint="eastAsia" w:ascii="宋体" w:hAnsi="宋体" w:eastAsia="宋体" w:cs="宋体"/>
          <w:b/>
          <w:bCs w:val="0"/>
          <w:sz w:val="28"/>
          <w:szCs w:val="28"/>
          <w:lang w:eastAsia="zh-CN"/>
        </w:rPr>
        <w:t>二、技术要求</w:t>
      </w:r>
    </w:p>
    <w:p w14:paraId="03B728C4">
      <w:pPr>
        <w:pStyle w:val="2"/>
        <w:tabs>
          <w:tab w:val="left" w:pos="3402"/>
          <w:tab w:val="clear" w:pos="851"/>
        </w:tabs>
        <w:spacing w:before="240" w:after="240"/>
        <w:jc w:val="center"/>
        <w:outlineLvl w:val="2"/>
        <w:rPr>
          <w:rFonts w:hint="default" w:asciiTheme="minorEastAsia" w:hAnsiTheme="minorEastAsia" w:eastAsiaTheme="minorEastAsia" w:cstheme="minorEastAsia"/>
          <w:color w:val="auto"/>
          <w:highlight w:val="none"/>
          <w:shd w:val="clear" w:color="auto" w:fill="auto"/>
          <w:lang w:val="en-US" w:eastAsia="zh-CN"/>
        </w:rPr>
      </w:pPr>
      <w:bookmarkStart w:id="0" w:name="_Toc22353"/>
      <w:bookmarkStart w:id="1" w:name="_Toc407182666"/>
      <w:bookmarkStart w:id="2" w:name="_Toc25477"/>
      <w:bookmarkStart w:id="3" w:name="_Toc25146"/>
      <w:r>
        <w:rPr>
          <w:rFonts w:hint="eastAsia" w:asciiTheme="minorEastAsia" w:hAnsiTheme="minorEastAsia" w:eastAsiaTheme="minorEastAsia" w:cstheme="minorEastAsia"/>
          <w:color w:val="auto"/>
          <w:sz w:val="30"/>
          <w:szCs w:val="30"/>
          <w:highlight w:val="none"/>
          <w:shd w:val="clear" w:color="auto" w:fill="auto"/>
        </w:rPr>
        <w:t xml:space="preserve">第一节 </w:t>
      </w:r>
      <w:bookmarkEnd w:id="0"/>
      <w:bookmarkEnd w:id="1"/>
      <w:bookmarkEnd w:id="2"/>
      <w:bookmarkEnd w:id="3"/>
      <w:r>
        <w:rPr>
          <w:rFonts w:hint="eastAsia" w:asciiTheme="minorEastAsia" w:hAnsiTheme="minorEastAsia" w:eastAsiaTheme="minorEastAsia" w:cstheme="minorEastAsia"/>
          <w:color w:val="auto"/>
          <w:sz w:val="30"/>
          <w:szCs w:val="30"/>
          <w:highlight w:val="none"/>
          <w:shd w:val="clear" w:color="auto" w:fill="auto"/>
        </w:rPr>
        <w:t>采购</w:t>
      </w:r>
      <w:r>
        <w:rPr>
          <w:rFonts w:hint="eastAsia" w:asciiTheme="minorEastAsia" w:hAnsiTheme="minorEastAsia" w:eastAsiaTheme="minorEastAsia" w:cstheme="minorEastAsia"/>
          <w:color w:val="auto"/>
          <w:sz w:val="30"/>
          <w:szCs w:val="30"/>
          <w:highlight w:val="none"/>
          <w:shd w:val="clear" w:color="auto" w:fill="auto"/>
          <w:lang w:val="en-US" w:eastAsia="zh-CN"/>
        </w:rPr>
        <w:t>服务内容及</w:t>
      </w:r>
      <w:r>
        <w:rPr>
          <w:rFonts w:hint="eastAsia" w:asciiTheme="minorEastAsia" w:hAnsiTheme="minorEastAsia" w:eastAsiaTheme="minorEastAsia" w:cstheme="minorEastAsia"/>
          <w:color w:val="auto"/>
          <w:sz w:val="30"/>
          <w:szCs w:val="30"/>
          <w:highlight w:val="none"/>
          <w:shd w:val="clear" w:color="auto" w:fill="auto"/>
        </w:rPr>
        <w:t>技术</w:t>
      </w:r>
      <w:r>
        <w:rPr>
          <w:rFonts w:hint="eastAsia" w:asciiTheme="minorEastAsia" w:hAnsiTheme="minorEastAsia" w:eastAsiaTheme="minorEastAsia" w:cstheme="minorEastAsia"/>
          <w:color w:val="auto"/>
          <w:sz w:val="30"/>
          <w:szCs w:val="30"/>
          <w:highlight w:val="none"/>
          <w:shd w:val="clear" w:color="auto" w:fill="auto"/>
          <w:lang w:val="en-US" w:eastAsia="zh-CN"/>
        </w:rPr>
        <w:t>要求</w:t>
      </w:r>
    </w:p>
    <w:p w14:paraId="09D9A600">
      <w:pPr>
        <w:spacing w:line="560" w:lineRule="exact"/>
        <w:ind w:left="0" w:firstLine="0" w:firstLineChars="0"/>
        <w:outlineLvl w:val="0"/>
        <w:rPr>
          <w:rFonts w:ascii="宋体" w:hAnsi="宋体" w:eastAsia="宋体" w:cs="宋体"/>
          <w:b/>
          <w:bCs/>
          <w:color w:val="000000" w:themeColor="text1"/>
          <w:sz w:val="24"/>
          <w:szCs w:val="32"/>
          <w14:textFill>
            <w14:solidFill>
              <w14:schemeClr w14:val="tx1"/>
            </w14:solidFill>
          </w14:textFill>
        </w:rPr>
      </w:pPr>
      <w:r>
        <w:rPr>
          <w:rFonts w:ascii="宋体" w:hAnsi="宋体" w:eastAsia="宋体" w:cs="宋体"/>
          <w:b/>
          <w:bCs/>
          <w:color w:val="000000" w:themeColor="text1"/>
          <w:sz w:val="24"/>
          <w:szCs w:val="32"/>
          <w14:textFill>
            <w14:solidFill>
              <w14:schemeClr w14:val="tx1"/>
            </w14:solidFill>
          </w14:textFill>
        </w:rPr>
        <w:t>一、项目概况</w:t>
      </w:r>
    </w:p>
    <w:p w14:paraId="2A58251D">
      <w:pPr>
        <w:widowControl/>
        <w:pBdr>
          <w:top w:val="none" w:color="auto" w:sz="0" w:space="0"/>
          <w:left w:val="none" w:color="auto" w:sz="0" w:space="0"/>
          <w:bottom w:val="none" w:color="auto" w:sz="0" w:space="0"/>
          <w:right w:val="none" w:color="auto" w:sz="0" w:space="0"/>
        </w:pBdr>
        <w:spacing w:before="143" w:beforeLines="50" w:after="143" w:afterLines="50" w:line="560" w:lineRule="exact"/>
        <w:ind w:firstLine="480"/>
        <w:rPr>
          <w:rFonts w:hint="eastAsia" w:ascii="宋体" w:hAnsi="宋体" w:eastAsia="宋体" w:cs="宋体"/>
          <w:color w:val="000000" w:themeColor="text1"/>
          <w:kern w:val="0"/>
          <w:sz w:val="24"/>
          <w:szCs w:val="32"/>
          <w:shd w:val="clear" w:color="auto" w:fill="auto"/>
          <w:lang w:bidi="ar"/>
          <w14:textFill>
            <w14:solidFill>
              <w14:schemeClr w14:val="tx1"/>
            </w14:solidFill>
          </w14:textFill>
        </w:rPr>
      </w:pPr>
      <w:r>
        <w:rPr>
          <w:rFonts w:hint="eastAsia" w:ascii="宋体" w:hAnsi="宋体" w:eastAsia="宋体" w:cs="宋体"/>
          <w:color w:val="000000" w:themeColor="text1"/>
          <w:kern w:val="0"/>
          <w:sz w:val="24"/>
          <w:szCs w:val="32"/>
          <w:shd w:val="clear" w:color="auto" w:fill="auto"/>
          <w:lang w:bidi="ar"/>
          <w14:textFill>
            <w14:solidFill>
              <w14:schemeClr w14:val="tx1"/>
            </w14:solidFill>
          </w14:textFill>
        </w:rPr>
        <w:t>贵州省住房和城乡建设厅双电源供电，一回10kV桥油线为主供电源、另一回10kV瑞六线为保安电源。线路采用电缆穿管敷设，搭火点从位于办公楼一楼建设银行延安西路人行道路面的10kV桥油线3093#箱开柜和10kV瑞六线环网柜接入。</w:t>
      </w:r>
    </w:p>
    <w:p w14:paraId="46978F0E">
      <w:pPr>
        <w:spacing w:line="520" w:lineRule="exact"/>
        <w:ind w:left="0" w:firstLine="0" w:firstLineChars="0"/>
        <w:outlineLvl w:val="0"/>
        <w:rPr>
          <w:rFonts w:ascii="宋体" w:hAnsi="宋体" w:eastAsia="宋体" w:cs="宋体"/>
          <w:b/>
          <w:bCs/>
          <w:color w:val="000000" w:themeColor="text1"/>
          <w14:textFill>
            <w14:solidFill>
              <w14:schemeClr w14:val="tx1"/>
            </w14:solidFill>
          </w14:textFill>
        </w:rPr>
      </w:pPr>
      <w:r>
        <w:rPr>
          <w:rFonts w:ascii="宋体" w:hAnsi="宋体" w:eastAsia="宋体" w:cs="宋体"/>
          <w:b/>
          <w:bCs/>
          <w:color w:val="000000" w:themeColor="text1"/>
          <w14:textFill>
            <w14:solidFill>
              <w14:schemeClr w14:val="tx1"/>
            </w14:solidFill>
          </w14:textFill>
        </w:rPr>
        <w:t>二、</w:t>
      </w:r>
      <w:r>
        <w:rPr>
          <w:rFonts w:ascii="宋体" w:hAnsi="宋体" w:eastAsia="宋体" w:cs="宋体"/>
          <w:b/>
          <w:bCs/>
          <w:color w:val="000000" w:themeColor="text1"/>
          <w:spacing w:val="0"/>
          <w:sz w:val="24"/>
          <w:szCs w:val="24"/>
          <w14:textFill>
            <w14:solidFill>
              <w14:schemeClr w14:val="tx1"/>
            </w14:solidFill>
          </w14:textFill>
        </w:rPr>
        <w:t>安装主要配电设备如下</w:t>
      </w:r>
    </w:p>
    <w:p w14:paraId="18A99522">
      <w:pPr>
        <w:spacing w:line="65" w:lineRule="exact"/>
        <w:rPr>
          <w:color w:val="000000" w:themeColor="text1"/>
          <w14:textFill>
            <w14:solidFill>
              <w14:schemeClr w14:val="tx1"/>
            </w14:solidFill>
          </w14:textFill>
        </w:rPr>
      </w:pPr>
    </w:p>
    <w:tbl>
      <w:tblPr>
        <w:tblStyle w:val="19"/>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3"/>
        <w:gridCol w:w="3011"/>
        <w:gridCol w:w="2405"/>
        <w:gridCol w:w="878"/>
        <w:gridCol w:w="997"/>
        <w:gridCol w:w="1774"/>
      </w:tblGrid>
      <w:tr w14:paraId="19991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793" w:type="dxa"/>
            <w:vAlign w:val="top"/>
          </w:tcPr>
          <w:p w14:paraId="14DB4A1F">
            <w:pPr>
              <w:spacing w:before="227" w:line="221" w:lineRule="auto"/>
              <w:ind w:left="0"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序</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号</w:t>
            </w:r>
          </w:p>
        </w:tc>
        <w:tc>
          <w:tcPr>
            <w:tcW w:w="3011" w:type="dxa"/>
            <w:vAlign w:val="top"/>
          </w:tcPr>
          <w:p w14:paraId="35FF9241">
            <w:pPr>
              <w:spacing w:before="226" w:line="222" w:lineRule="auto"/>
              <w:ind w:left="0"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名</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称</w:t>
            </w:r>
          </w:p>
        </w:tc>
        <w:tc>
          <w:tcPr>
            <w:tcW w:w="2405" w:type="dxa"/>
            <w:vAlign w:val="top"/>
          </w:tcPr>
          <w:p w14:paraId="72CB490A">
            <w:pPr>
              <w:spacing w:before="227" w:line="221" w:lineRule="auto"/>
              <w:ind w:left="0"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型</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号</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/参数</w:t>
            </w:r>
          </w:p>
        </w:tc>
        <w:tc>
          <w:tcPr>
            <w:tcW w:w="878" w:type="dxa"/>
            <w:vAlign w:val="top"/>
          </w:tcPr>
          <w:p w14:paraId="6CAFC0D3">
            <w:pPr>
              <w:spacing w:before="226" w:line="221" w:lineRule="auto"/>
              <w:ind w:left="0"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单位</w:t>
            </w:r>
          </w:p>
        </w:tc>
        <w:tc>
          <w:tcPr>
            <w:tcW w:w="997" w:type="dxa"/>
            <w:vAlign w:val="top"/>
          </w:tcPr>
          <w:p w14:paraId="69C6FA03">
            <w:pPr>
              <w:spacing w:before="226" w:line="221" w:lineRule="auto"/>
              <w:ind w:left="0" w:firstLine="0" w:firstLineChars="0"/>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数量</w:t>
            </w:r>
          </w:p>
        </w:tc>
        <w:tc>
          <w:tcPr>
            <w:tcW w:w="1774" w:type="dxa"/>
            <w:vAlign w:val="top"/>
          </w:tcPr>
          <w:p w14:paraId="29A5407B">
            <w:pPr>
              <w:spacing w:before="226" w:line="221" w:lineRule="auto"/>
              <w:ind w:left="0" w:leftChars="0" w:firstLine="0" w:firstLineChars="0"/>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备</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注</w:t>
            </w:r>
          </w:p>
        </w:tc>
      </w:tr>
      <w:tr w14:paraId="5B294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93" w:type="dxa"/>
            <w:vAlign w:val="top"/>
          </w:tcPr>
          <w:p w14:paraId="31047E5B">
            <w:pPr>
              <w:spacing w:before="89" w:line="185" w:lineRule="auto"/>
              <w:ind w:left="0"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3011" w:type="dxa"/>
            <w:vAlign w:val="top"/>
          </w:tcPr>
          <w:p w14:paraId="1FD3CADC">
            <w:pPr>
              <w:spacing w:before="42" w:line="216" w:lineRule="auto"/>
              <w:ind w:left="0" w:firstLine="0" w:firstLineChars="0"/>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t>号变压器</w:t>
            </w:r>
            <w:r>
              <w:rPr>
                <w:rFonts w:hint="eastAsia" w:asciiTheme="minorEastAsia" w:hAnsiTheme="minorEastAsia" w:eastAsiaTheme="minorEastAsia" w:cstheme="minorEastAsia"/>
                <w:color w:val="000000" w:themeColor="text1"/>
                <w:spacing w:val="-16"/>
                <w:sz w:val="24"/>
                <w:szCs w:val="24"/>
                <w:lang w:eastAsia="zh-CN"/>
                <w14:textFill>
                  <w14:solidFill>
                    <w14:schemeClr w14:val="tx1"/>
                  </w14:solidFill>
                </w14:textFill>
              </w:rPr>
              <w:t>保养</w:t>
            </w:r>
          </w:p>
        </w:tc>
        <w:tc>
          <w:tcPr>
            <w:tcW w:w="2405" w:type="dxa"/>
            <w:vAlign w:val="top"/>
          </w:tcPr>
          <w:p w14:paraId="4AF837D2">
            <w:pPr>
              <w:spacing w:before="84" w:line="187" w:lineRule="auto"/>
              <w:ind w:left="0"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SCB1</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-1600kV</w:t>
            </w:r>
            <w:r>
              <w:rPr>
                <w:rFonts w:hint="eastAsia" w:asciiTheme="minorEastAsia" w:hAnsiTheme="minorEastAsia" w:eastAsiaTheme="minorEastAsia" w:cstheme="minorEastAsia"/>
                <w:color w:val="000000" w:themeColor="text1"/>
                <w:sz w:val="24"/>
                <w:szCs w:val="24"/>
                <w14:textFill>
                  <w14:solidFill>
                    <w14:schemeClr w14:val="tx1"/>
                  </w14:solidFill>
                </w14:textFill>
              </w:rPr>
              <w:t>A</w:t>
            </w:r>
          </w:p>
        </w:tc>
        <w:tc>
          <w:tcPr>
            <w:tcW w:w="878" w:type="dxa"/>
            <w:vAlign w:val="top"/>
          </w:tcPr>
          <w:p w14:paraId="245FB115">
            <w:pPr>
              <w:spacing w:before="42" w:line="216" w:lineRule="auto"/>
              <w:ind w:left="0"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台</w:t>
            </w:r>
          </w:p>
        </w:tc>
        <w:tc>
          <w:tcPr>
            <w:tcW w:w="997" w:type="dxa"/>
            <w:vAlign w:val="top"/>
          </w:tcPr>
          <w:p w14:paraId="61079EE6">
            <w:pPr>
              <w:spacing w:before="42" w:line="216" w:lineRule="auto"/>
              <w:ind w:left="0" w:firstLine="0" w:firstLineChars="0"/>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1</w:t>
            </w:r>
          </w:p>
        </w:tc>
        <w:tc>
          <w:tcPr>
            <w:tcW w:w="1774" w:type="dxa"/>
            <w:vAlign w:val="top"/>
          </w:tcPr>
          <w:p w14:paraId="721AD379">
            <w:pPr>
              <w:spacing w:before="42" w:line="216" w:lineRule="auto"/>
              <w:ind w:left="0" w:leftChars="0" w:firstLine="0" w:firstLineChars="0"/>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为东楼供电(省住建厅户头)</w:t>
            </w:r>
          </w:p>
        </w:tc>
      </w:tr>
      <w:tr w14:paraId="51D0E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93" w:type="dxa"/>
            <w:vAlign w:val="top"/>
          </w:tcPr>
          <w:p w14:paraId="727F8C49">
            <w:pPr>
              <w:spacing w:before="91" w:line="184" w:lineRule="auto"/>
              <w:ind w:left="0" w:leftChars="0"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tc>
        <w:tc>
          <w:tcPr>
            <w:tcW w:w="3011" w:type="dxa"/>
            <w:vAlign w:val="top"/>
          </w:tcPr>
          <w:p w14:paraId="42EBE2F2">
            <w:pPr>
              <w:spacing w:before="41" w:line="214" w:lineRule="auto"/>
              <w:ind w:left="0" w:leftChars="0" w:firstLine="0" w:firstLineChars="0"/>
              <w:jc w:val="cente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中压开关柜</w:t>
            </w:r>
          </w:p>
        </w:tc>
        <w:tc>
          <w:tcPr>
            <w:tcW w:w="2405" w:type="dxa"/>
            <w:vAlign w:val="top"/>
          </w:tcPr>
          <w:p w14:paraId="343BC74C">
            <w:pPr>
              <w:spacing w:before="88" w:line="183" w:lineRule="auto"/>
              <w:ind w:left="0" w:leftChars="0" w:firstLine="0" w:firstLineChars="0"/>
              <w:jc w:val="cente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KYN28</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-12</w:t>
            </w:r>
          </w:p>
        </w:tc>
        <w:tc>
          <w:tcPr>
            <w:tcW w:w="878" w:type="dxa"/>
            <w:vAlign w:val="top"/>
          </w:tcPr>
          <w:p w14:paraId="656908BC">
            <w:pPr>
              <w:spacing w:before="41" w:line="214" w:lineRule="auto"/>
              <w:ind w:left="0" w:leftChars="0"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台</w:t>
            </w:r>
          </w:p>
        </w:tc>
        <w:tc>
          <w:tcPr>
            <w:tcW w:w="997" w:type="dxa"/>
            <w:vAlign w:val="top"/>
          </w:tcPr>
          <w:p w14:paraId="6FC59213">
            <w:pPr>
              <w:ind w:firstLine="0" w:firstLineChars="0"/>
              <w:jc w:val="cente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8</w:t>
            </w:r>
          </w:p>
        </w:tc>
        <w:tc>
          <w:tcPr>
            <w:tcW w:w="1774" w:type="dxa"/>
            <w:vAlign w:val="top"/>
          </w:tcPr>
          <w:p w14:paraId="138583F1">
            <w:pPr>
              <w:spacing w:before="41" w:line="231" w:lineRule="auto"/>
              <w:ind w:left="0" w:leftChars="0" w:right="117" w:rightChars="0" w:firstLine="0" w:firstLineChars="0"/>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p>
        </w:tc>
      </w:tr>
      <w:tr w14:paraId="27872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93" w:type="dxa"/>
            <w:vAlign w:val="top"/>
          </w:tcPr>
          <w:p w14:paraId="4DC11667">
            <w:pPr>
              <w:spacing w:before="88" w:line="183" w:lineRule="auto"/>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p>
        </w:tc>
        <w:tc>
          <w:tcPr>
            <w:tcW w:w="3011" w:type="dxa"/>
            <w:vAlign w:val="top"/>
          </w:tcPr>
          <w:p w14:paraId="590727BF">
            <w:pPr>
              <w:spacing w:before="42" w:line="213" w:lineRule="auto"/>
              <w:ind w:left="0" w:leftChars="0" w:firstLine="0" w:firstLineChars="0"/>
              <w:jc w:val="center"/>
              <w:rPr>
                <w:rFonts w:hint="eastAsia" w:asciiTheme="minorEastAsia" w:hAnsiTheme="minorEastAsia" w:eastAsiaTheme="minorEastAsia" w:cstheme="minorEastAsia"/>
                <w:color w:val="000000" w:themeColor="text1"/>
                <w:spacing w:val="-16"/>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直</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流屏</w:t>
            </w:r>
          </w:p>
        </w:tc>
        <w:tc>
          <w:tcPr>
            <w:tcW w:w="2405" w:type="dxa"/>
            <w:vAlign w:val="top"/>
          </w:tcPr>
          <w:p w14:paraId="6B620C2A">
            <w:pPr>
              <w:spacing w:before="89" w:line="182" w:lineRule="auto"/>
              <w:ind w:left="0" w:leftChars="0" w:firstLine="0" w:firstLineChars="0"/>
              <w:jc w:val="cente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TZDW33、</w:t>
            </w: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容量：（</w:t>
            </w: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24Ah</w:t>
            </w: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w:t>
            </w:r>
          </w:p>
        </w:tc>
        <w:tc>
          <w:tcPr>
            <w:tcW w:w="878" w:type="dxa"/>
            <w:vAlign w:val="top"/>
          </w:tcPr>
          <w:p w14:paraId="592C46BB">
            <w:pPr>
              <w:spacing w:before="42" w:line="213" w:lineRule="auto"/>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套</w:t>
            </w:r>
          </w:p>
        </w:tc>
        <w:tc>
          <w:tcPr>
            <w:tcW w:w="997" w:type="dxa"/>
            <w:vAlign w:val="top"/>
          </w:tcPr>
          <w:p w14:paraId="00D17E66">
            <w:pPr>
              <w:ind w:firstLine="0" w:firstLineChars="0"/>
              <w:jc w:val="center"/>
              <w:rPr>
                <w:rFonts w:hint="eastAsia" w:asciiTheme="minorEastAsia" w:hAnsiTheme="minorEastAsia" w:eastAsiaTheme="minorEastAsia" w:cstheme="minorEastAsia"/>
                <w:color w:val="000000" w:themeColor="text1"/>
                <w:spacing w:val="-3"/>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highlight w:val="none"/>
                <w:lang w:val="en-US" w:eastAsia="zh-CN"/>
                <w14:textFill>
                  <w14:solidFill>
                    <w14:schemeClr w14:val="tx1"/>
                  </w14:solidFill>
                </w14:textFill>
              </w:rPr>
              <w:t>1</w:t>
            </w:r>
          </w:p>
        </w:tc>
        <w:tc>
          <w:tcPr>
            <w:tcW w:w="1774" w:type="dxa"/>
            <w:vAlign w:val="top"/>
          </w:tcPr>
          <w:p w14:paraId="3C01B378">
            <w:pPr>
              <w:ind w:firstLine="468" w:firstLineChars="200"/>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pPr>
          </w:p>
        </w:tc>
      </w:tr>
      <w:tr w14:paraId="6B208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93" w:type="dxa"/>
            <w:vAlign w:val="top"/>
          </w:tcPr>
          <w:p w14:paraId="3A569102">
            <w:pPr>
              <w:spacing w:before="92" w:line="182" w:lineRule="auto"/>
              <w:ind w:left="0"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p>
        </w:tc>
        <w:tc>
          <w:tcPr>
            <w:tcW w:w="3011" w:type="dxa"/>
            <w:vAlign w:val="top"/>
          </w:tcPr>
          <w:p w14:paraId="177F835E">
            <w:pPr>
              <w:spacing w:before="42" w:line="213" w:lineRule="auto"/>
              <w:ind w:left="0" w:leftChars="0" w:firstLine="0" w:firstLineChars="0"/>
              <w:jc w:val="cente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七氟丙烷</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消</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防系统</w:t>
            </w:r>
          </w:p>
        </w:tc>
        <w:tc>
          <w:tcPr>
            <w:tcW w:w="2405" w:type="dxa"/>
            <w:vAlign w:val="top"/>
          </w:tcPr>
          <w:p w14:paraId="5BFFE8AC">
            <w:pPr>
              <w:spacing w:before="89" w:line="182" w:lineRule="auto"/>
              <w:ind w:left="0" w:leftChars="0" w:firstLine="0" w:firstLineChars="0"/>
              <w:jc w:val="cente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pPr>
          </w:p>
        </w:tc>
        <w:tc>
          <w:tcPr>
            <w:tcW w:w="878" w:type="dxa"/>
            <w:vAlign w:val="top"/>
          </w:tcPr>
          <w:p w14:paraId="3007AF09">
            <w:pPr>
              <w:spacing w:before="42" w:line="213" w:lineRule="auto"/>
              <w:ind w:left="0" w:leftChars="0"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套</w:t>
            </w:r>
          </w:p>
        </w:tc>
        <w:tc>
          <w:tcPr>
            <w:tcW w:w="997" w:type="dxa"/>
            <w:vAlign w:val="top"/>
          </w:tcPr>
          <w:p w14:paraId="035B1328">
            <w:pPr>
              <w:ind w:firstLine="0" w:firstLineChars="0"/>
              <w:jc w:val="cente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1774" w:type="dxa"/>
            <w:vAlign w:val="top"/>
          </w:tcPr>
          <w:p w14:paraId="0ECA657D">
            <w:pPr>
              <w:ind w:firstLine="468" w:firstLineChars="200"/>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pPr>
          </w:p>
        </w:tc>
      </w:tr>
      <w:tr w14:paraId="26712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93" w:type="dxa"/>
            <w:vAlign w:val="top"/>
          </w:tcPr>
          <w:p w14:paraId="13745740">
            <w:pPr>
              <w:spacing w:before="92" w:line="180" w:lineRule="auto"/>
              <w:ind w:left="0" w:leftChars="0"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p>
        </w:tc>
        <w:tc>
          <w:tcPr>
            <w:tcW w:w="3011" w:type="dxa"/>
            <w:vAlign w:val="top"/>
          </w:tcPr>
          <w:p w14:paraId="003C8CEA">
            <w:pPr>
              <w:spacing w:before="42" w:line="213" w:lineRule="auto"/>
              <w:ind w:left="0" w:leftChars="0" w:firstLine="0" w:firstLineChars="0"/>
              <w:jc w:val="cente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配电房内安健环及设备</w:t>
            </w:r>
          </w:p>
        </w:tc>
        <w:tc>
          <w:tcPr>
            <w:tcW w:w="2405" w:type="dxa"/>
            <w:vAlign w:val="top"/>
          </w:tcPr>
          <w:p w14:paraId="5B2D6938">
            <w:pPr>
              <w:spacing w:before="89" w:line="182" w:lineRule="auto"/>
              <w:ind w:left="0" w:leftChars="0" w:firstLine="0" w:firstLineChars="0"/>
              <w:jc w:val="cente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pPr>
          </w:p>
        </w:tc>
        <w:tc>
          <w:tcPr>
            <w:tcW w:w="878" w:type="dxa"/>
            <w:vAlign w:val="top"/>
          </w:tcPr>
          <w:p w14:paraId="0AFFE0BA">
            <w:pPr>
              <w:spacing w:before="42" w:line="213" w:lineRule="auto"/>
              <w:ind w:left="0" w:leftChars="0"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项</w:t>
            </w:r>
          </w:p>
        </w:tc>
        <w:tc>
          <w:tcPr>
            <w:tcW w:w="997" w:type="dxa"/>
            <w:vAlign w:val="top"/>
          </w:tcPr>
          <w:p w14:paraId="4DEB5AC3">
            <w:pPr>
              <w:ind w:firstLine="0" w:firstLineChars="0"/>
              <w:jc w:val="cente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p>
        </w:tc>
        <w:tc>
          <w:tcPr>
            <w:tcW w:w="1774" w:type="dxa"/>
            <w:vAlign w:val="top"/>
          </w:tcPr>
          <w:p w14:paraId="4D7F8BFB">
            <w:pPr>
              <w:ind w:firstLine="468" w:firstLineChars="200"/>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pPr>
          </w:p>
        </w:tc>
      </w:tr>
      <w:tr w14:paraId="34106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793" w:type="dxa"/>
            <w:vAlign w:val="top"/>
          </w:tcPr>
          <w:p w14:paraId="05721210">
            <w:pPr>
              <w:spacing w:before="92" w:line="180" w:lineRule="auto"/>
              <w:ind w:left="0" w:leftChars="0"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p>
        </w:tc>
        <w:tc>
          <w:tcPr>
            <w:tcW w:w="3011" w:type="dxa"/>
            <w:vAlign w:val="top"/>
          </w:tcPr>
          <w:p w14:paraId="6FA540B2">
            <w:pPr>
              <w:spacing w:before="42" w:line="213" w:lineRule="auto"/>
              <w:ind w:left="0" w:leftChars="0" w:firstLine="0" w:firstLineChars="0"/>
              <w:jc w:val="cente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拆除高压柜、铜排及电缆、隔离刀闸等</w:t>
            </w:r>
          </w:p>
        </w:tc>
        <w:tc>
          <w:tcPr>
            <w:tcW w:w="2405" w:type="dxa"/>
            <w:vAlign w:val="top"/>
          </w:tcPr>
          <w:p w14:paraId="3BA2F9C2">
            <w:pPr>
              <w:spacing w:before="89" w:line="182" w:lineRule="auto"/>
              <w:ind w:left="0" w:leftChars="0" w:firstLine="0" w:firstLineChars="0"/>
              <w:jc w:val="cente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pPr>
          </w:p>
        </w:tc>
        <w:tc>
          <w:tcPr>
            <w:tcW w:w="878" w:type="dxa"/>
            <w:vAlign w:val="top"/>
          </w:tcPr>
          <w:p w14:paraId="05B164BD">
            <w:pPr>
              <w:spacing w:before="42" w:line="213" w:lineRule="auto"/>
              <w:ind w:left="0" w:leftChars="0"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项</w:t>
            </w:r>
          </w:p>
        </w:tc>
        <w:tc>
          <w:tcPr>
            <w:tcW w:w="997" w:type="dxa"/>
            <w:vAlign w:val="top"/>
          </w:tcPr>
          <w:p w14:paraId="672A9F2B">
            <w:pPr>
              <w:ind w:firstLine="0" w:firstLineChars="0"/>
              <w:jc w:val="cente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p>
        </w:tc>
        <w:tc>
          <w:tcPr>
            <w:tcW w:w="1774" w:type="dxa"/>
            <w:vAlign w:val="top"/>
          </w:tcPr>
          <w:p w14:paraId="59D59E03">
            <w:pPr>
              <w:ind w:firstLine="468" w:firstLineChars="200"/>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pPr>
          </w:p>
        </w:tc>
      </w:tr>
      <w:tr w14:paraId="4A5D6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3" w:type="dxa"/>
            <w:vAlign w:val="top"/>
          </w:tcPr>
          <w:p w14:paraId="237448A6">
            <w:pPr>
              <w:spacing w:before="92" w:line="180" w:lineRule="auto"/>
              <w:ind w:left="0" w:leftChars="0" w:firstLine="0" w:firstLineChars="0"/>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p>
        </w:tc>
        <w:tc>
          <w:tcPr>
            <w:tcW w:w="3011" w:type="dxa"/>
            <w:vAlign w:val="center"/>
          </w:tcPr>
          <w:p w14:paraId="65031AD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高压电缆</w:t>
            </w:r>
          </w:p>
        </w:tc>
        <w:tc>
          <w:tcPr>
            <w:tcW w:w="2405" w:type="dxa"/>
            <w:vAlign w:val="center"/>
          </w:tcPr>
          <w:p w14:paraId="65D7F7B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YJV22-8.7/15kV-3x95</w:t>
            </w:r>
          </w:p>
        </w:tc>
        <w:tc>
          <w:tcPr>
            <w:tcW w:w="878" w:type="dxa"/>
            <w:vAlign w:val="center"/>
          </w:tcPr>
          <w:p w14:paraId="4DA8505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米</w:t>
            </w:r>
          </w:p>
        </w:tc>
        <w:tc>
          <w:tcPr>
            <w:tcW w:w="997" w:type="dxa"/>
            <w:vAlign w:val="center"/>
          </w:tcPr>
          <w:p w14:paraId="54C9A0A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约25</w:t>
            </w:r>
          </w:p>
        </w:tc>
        <w:tc>
          <w:tcPr>
            <w:tcW w:w="1774" w:type="dxa"/>
            <w:vMerge w:val="restart"/>
            <w:vAlign w:val="top"/>
          </w:tcPr>
          <w:p w14:paraId="0CA2F4AF">
            <w:pPr>
              <w:ind w:left="0" w:leftChars="0" w:firstLine="0" w:firstLineChars="0"/>
              <w:jc w:val="both"/>
              <w:rPr>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t>根据实际采购量据实结算</w:t>
            </w:r>
          </w:p>
        </w:tc>
      </w:tr>
      <w:tr w14:paraId="6F4E1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93" w:type="dxa"/>
            <w:vAlign w:val="top"/>
          </w:tcPr>
          <w:p w14:paraId="5525BD5D">
            <w:pPr>
              <w:spacing w:before="92" w:line="180" w:lineRule="auto"/>
              <w:ind w:left="0" w:leftChars="0" w:firstLine="0" w:firstLineChars="0"/>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p>
        </w:tc>
        <w:tc>
          <w:tcPr>
            <w:tcW w:w="3011" w:type="dxa"/>
            <w:vAlign w:val="top"/>
          </w:tcPr>
          <w:p w14:paraId="1981B40B">
            <w:pPr>
              <w:spacing w:before="42" w:line="213" w:lineRule="auto"/>
              <w:ind w:left="0" w:leftChars="0" w:firstLine="0" w:firstLineChars="0"/>
              <w:jc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高压电缆</w:t>
            </w:r>
          </w:p>
        </w:tc>
        <w:tc>
          <w:tcPr>
            <w:tcW w:w="2405" w:type="dxa"/>
            <w:vAlign w:val="top"/>
          </w:tcPr>
          <w:p w14:paraId="6563C841">
            <w:pPr>
              <w:spacing w:before="89" w:line="182" w:lineRule="auto"/>
              <w:ind w:left="0" w:leftChars="0" w:firstLine="0" w:firstLineChars="0"/>
              <w:jc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YJV22-8.7/15kV-3x70</w:t>
            </w:r>
          </w:p>
        </w:tc>
        <w:tc>
          <w:tcPr>
            <w:tcW w:w="878" w:type="dxa"/>
            <w:vAlign w:val="top"/>
          </w:tcPr>
          <w:p w14:paraId="7C2F0F9E">
            <w:pPr>
              <w:spacing w:before="42" w:line="213" w:lineRule="auto"/>
              <w:ind w:left="0" w:leftChars="0" w:firstLine="0" w:firstLineChars="0"/>
              <w:jc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米</w:t>
            </w:r>
          </w:p>
        </w:tc>
        <w:tc>
          <w:tcPr>
            <w:tcW w:w="997" w:type="dxa"/>
            <w:vAlign w:val="top"/>
          </w:tcPr>
          <w:p w14:paraId="451CBA2F">
            <w:pPr>
              <w:ind w:firstLine="0" w:firstLineChars="0"/>
              <w:jc w:val="center"/>
              <w:rPr>
                <w:rFonts w:hint="default"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约250</w:t>
            </w:r>
          </w:p>
        </w:tc>
        <w:tc>
          <w:tcPr>
            <w:tcW w:w="1774" w:type="dxa"/>
            <w:vMerge w:val="continue"/>
            <w:vAlign w:val="top"/>
          </w:tcPr>
          <w:p w14:paraId="4A555793">
            <w:pPr>
              <w:ind w:firstLine="468" w:firstLineChars="200"/>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pPr>
          </w:p>
        </w:tc>
      </w:tr>
      <w:tr w14:paraId="53F99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93" w:type="dxa"/>
            <w:vAlign w:val="top"/>
          </w:tcPr>
          <w:p w14:paraId="497A2972">
            <w:pPr>
              <w:spacing w:before="92" w:line="180" w:lineRule="auto"/>
              <w:ind w:left="0" w:leftChars="0" w:firstLine="0" w:firstLineChars="0"/>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w:t>
            </w:r>
          </w:p>
        </w:tc>
        <w:tc>
          <w:tcPr>
            <w:tcW w:w="3011" w:type="dxa"/>
            <w:vAlign w:val="top"/>
          </w:tcPr>
          <w:p w14:paraId="555CD46B">
            <w:pPr>
              <w:spacing w:before="42" w:line="213" w:lineRule="auto"/>
              <w:ind w:left="0" w:leftChars="0" w:firstLine="0" w:firstLineChars="0"/>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控制电缆</w:t>
            </w:r>
          </w:p>
        </w:tc>
        <w:tc>
          <w:tcPr>
            <w:tcW w:w="2405" w:type="dxa"/>
            <w:vAlign w:val="top"/>
          </w:tcPr>
          <w:p w14:paraId="13F5A53E">
            <w:pPr>
              <w:spacing w:before="89" w:line="182" w:lineRule="auto"/>
              <w:ind w:left="0" w:leftChars="0" w:firstLine="0" w:firstLineChars="0"/>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KVVP-6*2.5</w:t>
            </w:r>
          </w:p>
        </w:tc>
        <w:tc>
          <w:tcPr>
            <w:tcW w:w="878" w:type="dxa"/>
            <w:vAlign w:val="top"/>
          </w:tcPr>
          <w:p w14:paraId="505E5108">
            <w:pPr>
              <w:spacing w:before="42" w:line="213" w:lineRule="auto"/>
              <w:ind w:left="0" w:leftChars="0" w:firstLine="0" w:firstLineChars="0"/>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米</w:t>
            </w:r>
          </w:p>
        </w:tc>
        <w:tc>
          <w:tcPr>
            <w:tcW w:w="997" w:type="dxa"/>
            <w:vAlign w:val="top"/>
          </w:tcPr>
          <w:p w14:paraId="61785519">
            <w:pPr>
              <w:ind w:firstLine="0" w:firstLineChars="0"/>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约50</w:t>
            </w:r>
          </w:p>
        </w:tc>
        <w:tc>
          <w:tcPr>
            <w:tcW w:w="1774" w:type="dxa"/>
            <w:vMerge w:val="continue"/>
            <w:vAlign w:val="top"/>
          </w:tcPr>
          <w:p w14:paraId="2B9C0D7C">
            <w:pPr>
              <w:ind w:firstLine="468" w:firstLineChars="200"/>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pPr>
          </w:p>
        </w:tc>
      </w:tr>
      <w:tr w14:paraId="54519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93" w:type="dxa"/>
            <w:vAlign w:val="top"/>
          </w:tcPr>
          <w:p w14:paraId="6D1C15C2">
            <w:pPr>
              <w:spacing w:before="92" w:line="180" w:lineRule="auto"/>
              <w:ind w:left="0" w:leftChars="0" w:firstLine="0" w:firstLineChars="0"/>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p>
        </w:tc>
        <w:tc>
          <w:tcPr>
            <w:tcW w:w="3011" w:type="dxa"/>
            <w:vAlign w:val="top"/>
          </w:tcPr>
          <w:p w14:paraId="0053081D">
            <w:pPr>
              <w:spacing w:before="42" w:line="213" w:lineRule="auto"/>
              <w:ind w:left="0" w:leftChars="0" w:firstLine="0" w:firstLineChars="0"/>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直流屏电源电缆</w:t>
            </w:r>
          </w:p>
        </w:tc>
        <w:tc>
          <w:tcPr>
            <w:tcW w:w="2405" w:type="dxa"/>
            <w:vAlign w:val="top"/>
          </w:tcPr>
          <w:p w14:paraId="525CC2A5">
            <w:pPr>
              <w:spacing w:before="89" w:line="182" w:lineRule="auto"/>
              <w:ind w:left="0" w:leftChars="0" w:firstLine="0" w:firstLineChars="0"/>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YJV-0.6/1kV-4*2.5</w:t>
            </w:r>
          </w:p>
        </w:tc>
        <w:tc>
          <w:tcPr>
            <w:tcW w:w="878" w:type="dxa"/>
            <w:vAlign w:val="top"/>
          </w:tcPr>
          <w:p w14:paraId="1FCF8A42">
            <w:pPr>
              <w:spacing w:before="42" w:line="213" w:lineRule="auto"/>
              <w:ind w:left="0" w:leftChars="0" w:firstLine="0" w:firstLineChars="0"/>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米</w:t>
            </w:r>
          </w:p>
        </w:tc>
        <w:tc>
          <w:tcPr>
            <w:tcW w:w="997" w:type="dxa"/>
            <w:vAlign w:val="top"/>
          </w:tcPr>
          <w:p w14:paraId="79902371">
            <w:pPr>
              <w:ind w:firstLine="0" w:firstLineChars="0"/>
              <w:jc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约75</w:t>
            </w:r>
          </w:p>
        </w:tc>
        <w:tc>
          <w:tcPr>
            <w:tcW w:w="1774" w:type="dxa"/>
            <w:vMerge w:val="continue"/>
            <w:vAlign w:val="top"/>
          </w:tcPr>
          <w:p w14:paraId="49D3C344">
            <w:pPr>
              <w:ind w:firstLine="468" w:firstLineChars="200"/>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pPr>
          </w:p>
        </w:tc>
      </w:tr>
      <w:tr w14:paraId="74CA5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93" w:type="dxa"/>
            <w:vAlign w:val="top"/>
          </w:tcPr>
          <w:p w14:paraId="2C6427FA">
            <w:pPr>
              <w:spacing w:before="92" w:line="180" w:lineRule="auto"/>
              <w:ind w:left="0" w:leftChars="0" w:firstLine="0" w:firstLineChars="0"/>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11</w:t>
            </w:r>
          </w:p>
        </w:tc>
        <w:tc>
          <w:tcPr>
            <w:tcW w:w="3011" w:type="dxa"/>
            <w:vAlign w:val="top"/>
          </w:tcPr>
          <w:p w14:paraId="7AC4DE5C">
            <w:pPr>
              <w:spacing w:before="42" w:line="213" w:lineRule="auto"/>
              <w:ind w:left="0" w:leftChars="0" w:firstLine="0" w:firstLineChars="0"/>
              <w:jc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电缆熔接头（含防爆盒）</w:t>
            </w:r>
          </w:p>
        </w:tc>
        <w:tc>
          <w:tcPr>
            <w:tcW w:w="2405" w:type="dxa"/>
            <w:vAlign w:val="top"/>
          </w:tcPr>
          <w:p w14:paraId="5A4A3727">
            <w:pPr>
              <w:spacing w:before="89" w:line="182" w:lineRule="auto"/>
              <w:ind w:left="0" w:leftChars="0" w:firstLine="0" w:firstLineChars="0"/>
              <w:jc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14:textFill>
                  <w14:solidFill>
                    <w14:schemeClr w14:val="tx1"/>
                  </w14:solidFill>
                </w14:textFill>
              </w:rPr>
              <w:t>YJY22-3*95</w:t>
            </w:r>
          </w:p>
        </w:tc>
        <w:tc>
          <w:tcPr>
            <w:tcW w:w="878" w:type="dxa"/>
            <w:vAlign w:val="top"/>
          </w:tcPr>
          <w:p w14:paraId="44879883">
            <w:pPr>
              <w:spacing w:before="42" w:line="213" w:lineRule="auto"/>
              <w:ind w:left="0" w:leftChars="0" w:firstLine="0" w:firstLineChars="0"/>
              <w:jc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套</w:t>
            </w:r>
          </w:p>
        </w:tc>
        <w:tc>
          <w:tcPr>
            <w:tcW w:w="997" w:type="dxa"/>
            <w:vAlign w:val="top"/>
          </w:tcPr>
          <w:p w14:paraId="4610F255">
            <w:pPr>
              <w:ind w:firstLine="0" w:firstLineChars="0"/>
              <w:jc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w:t>
            </w:r>
          </w:p>
        </w:tc>
        <w:tc>
          <w:tcPr>
            <w:tcW w:w="1774" w:type="dxa"/>
            <w:vAlign w:val="top"/>
          </w:tcPr>
          <w:p w14:paraId="1CD9AAC7">
            <w:pPr>
              <w:ind w:firstLine="468" w:firstLineChars="200"/>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pPr>
          </w:p>
        </w:tc>
      </w:tr>
    </w:tbl>
    <w:p w14:paraId="270F95EA">
      <w:pPr>
        <w:spacing w:line="74" w:lineRule="exact"/>
        <w:rPr>
          <w:color w:val="000000" w:themeColor="text1"/>
          <w14:textFill>
            <w14:solidFill>
              <w14:schemeClr w14:val="tx1"/>
            </w14:solidFill>
          </w14:textFill>
        </w:rPr>
      </w:pPr>
    </w:p>
    <w:p w14:paraId="34DBFE8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0"/>
        <w:rPr>
          <w:rFonts w:hint="default" w:ascii="宋体" w:hAnsi="宋体" w:eastAsia="宋体" w:cs="宋体"/>
          <w:b/>
          <w:bCs/>
          <w:color w:val="000000" w:themeColor="text1"/>
          <w:sz w:val="24"/>
          <w:szCs w:val="32"/>
          <w:lang w:eastAsia="zh-CN"/>
          <w14:textFill>
            <w14:solidFill>
              <w14:schemeClr w14:val="tx1"/>
            </w14:solidFill>
          </w14:textFill>
        </w:rPr>
      </w:pPr>
      <w:r>
        <w:rPr>
          <w:rFonts w:hint="default" w:ascii="宋体" w:hAnsi="宋体" w:eastAsia="宋体" w:cs="宋体"/>
          <w:b/>
          <w:bCs/>
          <w:color w:val="000000" w:themeColor="text1"/>
          <w:sz w:val="24"/>
          <w:szCs w:val="32"/>
          <w:lang w:eastAsia="zh-CN"/>
          <w14:textFill>
            <w14:solidFill>
              <w14:schemeClr w14:val="tx1"/>
            </w14:solidFill>
          </w14:textFill>
        </w:rPr>
        <w:t>三、投标报价说明</w:t>
      </w:r>
    </w:p>
    <w:p w14:paraId="5598318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3" w:beforeLines="50" w:after="143" w:afterLines="50" w:line="560" w:lineRule="exact"/>
        <w:ind w:firstLine="480"/>
        <w:textAlignment w:val="auto"/>
        <w:rPr>
          <w:rFonts w:hint="eastAsia" w:ascii="宋体" w:hAnsi="宋体" w:eastAsia="宋体" w:cs="宋体"/>
          <w:color w:val="000000" w:themeColor="text1"/>
          <w:kern w:val="0"/>
          <w:sz w:val="24"/>
          <w:szCs w:val="32"/>
          <w:shd w:val="clear" w:color="auto" w:fill="auto"/>
          <w:lang w:val="en-US" w:eastAsia="zh-CN" w:bidi="ar"/>
          <w14:textFill>
            <w14:solidFill>
              <w14:schemeClr w14:val="tx1"/>
            </w14:solidFill>
          </w14:textFill>
        </w:rPr>
      </w:pPr>
      <w:r>
        <w:rPr>
          <w:rFonts w:hint="eastAsia" w:ascii="宋体" w:hAnsi="宋体" w:eastAsia="宋体" w:cs="宋体"/>
          <w:color w:val="000000" w:themeColor="text1"/>
          <w:kern w:val="0"/>
          <w:sz w:val="24"/>
          <w:szCs w:val="32"/>
          <w:shd w:val="clear" w:color="auto" w:fill="auto"/>
          <w:lang w:val="en-US" w:eastAsia="zh-CN" w:bidi="ar"/>
          <w14:textFill>
            <w14:solidFill>
              <w14:schemeClr w14:val="tx1"/>
            </w14:solidFill>
          </w14:textFill>
        </w:rPr>
        <w:t>本工程为交钥匙工程，投标人应按“交钥匙工程”综合考虑报价，包括但不限于以下内容：</w:t>
      </w:r>
    </w:p>
    <w:p w14:paraId="5BA49ED4">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3" w:beforeLines="50" w:after="143" w:afterLines="50" w:line="560" w:lineRule="exact"/>
        <w:ind w:firstLine="480"/>
        <w:textAlignment w:val="auto"/>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pPr>
      <w:r>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t>1.除了新增设施设备的安装就位、调试和送电外，还</w:t>
      </w:r>
      <w:r>
        <w:rPr>
          <w:rFonts w:hint="eastAsia" w:ascii="宋体" w:hAnsi="宋体" w:eastAsia="宋体" w:cs="宋体"/>
          <w:color w:val="000000" w:themeColor="text1"/>
          <w:kern w:val="0"/>
          <w:sz w:val="24"/>
          <w:szCs w:val="32"/>
          <w:shd w:val="clear" w:color="auto" w:fill="auto"/>
          <w:lang w:eastAsia="zh-CN" w:bidi="ar"/>
          <w14:textFill>
            <w14:solidFill>
              <w14:schemeClr w14:val="tx1"/>
            </w14:solidFill>
          </w14:textFill>
        </w:rPr>
        <w:t>包含</w:t>
      </w:r>
      <w:r>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t>高压柜与变压器连接和变压器与新低压柜连接的铜排，以及盘柜间</w:t>
      </w:r>
      <w:r>
        <w:rPr>
          <w:rFonts w:hint="eastAsia" w:ascii="宋体" w:hAnsi="宋体" w:eastAsia="宋体" w:cs="宋体"/>
          <w:color w:val="000000" w:themeColor="text1"/>
          <w:kern w:val="0"/>
          <w:sz w:val="24"/>
          <w:szCs w:val="32"/>
          <w:shd w:val="clear" w:color="auto" w:fill="auto"/>
          <w:lang w:val="en-US" w:eastAsia="zh-CN" w:bidi="ar"/>
          <w14:textFill>
            <w14:solidFill>
              <w14:schemeClr w14:val="tx1"/>
            </w14:solidFill>
          </w14:textFill>
        </w:rPr>
        <w:t>高压、控制线及电源</w:t>
      </w:r>
      <w:r>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t>电线电缆等</w:t>
      </w:r>
      <w:r>
        <w:rPr>
          <w:rFonts w:hint="eastAsia" w:ascii="宋体" w:hAnsi="宋体" w:eastAsia="宋体" w:cs="宋体"/>
          <w:color w:val="000000" w:themeColor="text1"/>
          <w:kern w:val="0"/>
          <w:sz w:val="24"/>
          <w:szCs w:val="32"/>
          <w:shd w:val="clear" w:color="auto" w:fill="auto"/>
          <w:lang w:eastAsia="zh-CN" w:bidi="ar"/>
          <w14:textFill>
            <w14:solidFill>
              <w14:schemeClr w14:val="tx1"/>
            </w14:solidFill>
          </w14:textFill>
        </w:rPr>
        <w:t>的</w:t>
      </w:r>
      <w:r>
        <w:rPr>
          <w:rFonts w:hint="eastAsia" w:ascii="宋体" w:hAnsi="宋体" w:eastAsia="宋体" w:cs="宋体"/>
          <w:color w:val="000000" w:themeColor="text1"/>
          <w:kern w:val="0"/>
          <w:sz w:val="24"/>
          <w:szCs w:val="32"/>
          <w:shd w:val="clear" w:color="auto" w:fill="auto"/>
          <w:lang w:val="en-US" w:eastAsia="zh-CN" w:bidi="ar"/>
          <w14:textFill>
            <w14:solidFill>
              <w14:schemeClr w14:val="tx1"/>
            </w14:solidFill>
          </w14:textFill>
        </w:rPr>
        <w:t>连接</w:t>
      </w:r>
      <w:r>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t>；</w:t>
      </w:r>
    </w:p>
    <w:p w14:paraId="6895D89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3" w:beforeLines="50" w:after="143" w:afterLines="50" w:line="560" w:lineRule="exact"/>
        <w:ind w:firstLine="480"/>
        <w:textAlignment w:val="auto"/>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pPr>
      <w:r>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t>2.包含原</w:t>
      </w:r>
      <w:r>
        <w:rPr>
          <w:rFonts w:hint="eastAsia" w:ascii="宋体" w:hAnsi="宋体" w:eastAsia="宋体" w:cs="宋体"/>
          <w:color w:val="000000" w:themeColor="text1"/>
          <w:kern w:val="0"/>
          <w:sz w:val="24"/>
          <w:szCs w:val="32"/>
          <w:shd w:val="clear" w:color="auto" w:fill="auto"/>
          <w:lang w:val="en-US" w:eastAsia="zh-CN" w:bidi="ar"/>
          <w14:textFill>
            <w14:solidFill>
              <w14:schemeClr w14:val="tx1"/>
            </w14:solidFill>
          </w14:textFill>
        </w:rPr>
        <w:t>高压柜及隔离刀闸等</w:t>
      </w:r>
      <w:r>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t>设施设备的拆除费用，拆除后的原设施设备归</w:t>
      </w:r>
      <w:r>
        <w:rPr>
          <w:rFonts w:hint="eastAsia" w:ascii="宋体" w:hAnsi="宋体" w:eastAsia="宋体" w:cs="宋体"/>
          <w:color w:val="000000" w:themeColor="text1"/>
          <w:kern w:val="0"/>
          <w:sz w:val="24"/>
          <w:szCs w:val="32"/>
          <w:shd w:val="clear" w:color="auto" w:fill="auto"/>
          <w:lang w:eastAsia="zh-CN" w:bidi="ar"/>
          <w14:textFill>
            <w14:solidFill>
              <w14:schemeClr w14:val="tx1"/>
            </w14:solidFill>
          </w14:textFill>
        </w:rPr>
        <w:t>采购人</w:t>
      </w:r>
      <w:r>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t>所有；</w:t>
      </w:r>
    </w:p>
    <w:p w14:paraId="4BCB052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3" w:beforeLines="50" w:after="143" w:afterLines="50" w:line="560" w:lineRule="exact"/>
        <w:ind w:firstLine="480"/>
        <w:textAlignment w:val="auto"/>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pPr>
      <w:r>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t>3.包含设备基础</w:t>
      </w:r>
      <w:r>
        <w:rPr>
          <w:rFonts w:hint="eastAsia" w:ascii="宋体" w:hAnsi="宋体" w:eastAsia="宋体" w:cs="宋体"/>
          <w:color w:val="000000" w:themeColor="text1"/>
          <w:kern w:val="0"/>
          <w:sz w:val="24"/>
          <w:szCs w:val="32"/>
          <w:shd w:val="clear" w:color="auto" w:fill="auto"/>
          <w:lang w:val="en-US" w:eastAsia="zh-CN" w:bidi="ar"/>
          <w14:textFill>
            <w14:solidFill>
              <w14:schemeClr w14:val="tx1"/>
            </w14:solidFill>
          </w14:textFill>
        </w:rPr>
        <w:t>改造</w:t>
      </w:r>
      <w:r>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t>费用，即</w:t>
      </w:r>
      <w:r>
        <w:rPr>
          <w:rFonts w:hint="eastAsia" w:ascii="宋体" w:hAnsi="宋体" w:eastAsia="宋体" w:cs="宋体"/>
          <w:color w:val="000000" w:themeColor="text1"/>
          <w:kern w:val="0"/>
          <w:sz w:val="24"/>
          <w:szCs w:val="32"/>
          <w:shd w:val="clear" w:color="auto" w:fill="auto"/>
          <w:lang w:eastAsia="zh-CN" w:bidi="ar"/>
          <w14:textFill>
            <w14:solidFill>
              <w14:schemeClr w14:val="tx1"/>
            </w14:solidFill>
          </w14:textFill>
        </w:rPr>
        <w:t>包含</w:t>
      </w:r>
      <w:r>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t>柜子及变压器等安装工程的设备基础</w:t>
      </w:r>
      <w:r>
        <w:rPr>
          <w:rFonts w:hint="eastAsia" w:ascii="宋体" w:hAnsi="宋体" w:eastAsia="宋体" w:cs="宋体"/>
          <w:color w:val="000000" w:themeColor="text1"/>
          <w:kern w:val="0"/>
          <w:sz w:val="24"/>
          <w:szCs w:val="32"/>
          <w:shd w:val="clear" w:color="auto" w:fill="auto"/>
          <w:lang w:eastAsia="zh-CN" w:bidi="ar"/>
          <w14:textFill>
            <w14:solidFill>
              <w14:schemeClr w14:val="tx1"/>
            </w14:solidFill>
          </w14:textFill>
        </w:rPr>
        <w:t>、</w:t>
      </w:r>
      <w:r>
        <w:rPr>
          <w:rFonts w:hint="eastAsia" w:ascii="宋体" w:hAnsi="宋体" w:eastAsia="宋体" w:cs="宋体"/>
          <w:color w:val="000000" w:themeColor="text1"/>
          <w:kern w:val="0"/>
          <w:sz w:val="24"/>
          <w:szCs w:val="32"/>
          <w:shd w:val="clear" w:color="auto" w:fill="auto"/>
          <w:lang w:val="en-US" w:eastAsia="zh-CN" w:bidi="ar"/>
          <w14:textFill>
            <w14:solidFill>
              <w14:schemeClr w14:val="tx1"/>
            </w14:solidFill>
          </w14:textFill>
        </w:rPr>
        <w:t>槽钢、角钢及接地</w:t>
      </w:r>
      <w:r>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t>，也</w:t>
      </w:r>
      <w:r>
        <w:rPr>
          <w:rFonts w:hint="eastAsia" w:ascii="宋体" w:hAnsi="宋体" w:eastAsia="宋体" w:cs="宋体"/>
          <w:color w:val="000000" w:themeColor="text1"/>
          <w:kern w:val="0"/>
          <w:sz w:val="24"/>
          <w:szCs w:val="32"/>
          <w:shd w:val="clear" w:color="auto" w:fill="auto"/>
          <w:lang w:eastAsia="zh-CN" w:bidi="ar"/>
          <w14:textFill>
            <w14:solidFill>
              <w14:schemeClr w14:val="tx1"/>
            </w14:solidFill>
          </w14:textFill>
        </w:rPr>
        <w:t>包含</w:t>
      </w:r>
      <w:r>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t>管沟等土建工程</w:t>
      </w:r>
      <w:r>
        <w:rPr>
          <w:rFonts w:hint="eastAsia" w:ascii="宋体" w:hAnsi="宋体" w:eastAsia="宋体" w:cs="宋体"/>
          <w:color w:val="000000" w:themeColor="text1"/>
          <w:kern w:val="0"/>
          <w:sz w:val="24"/>
          <w:szCs w:val="32"/>
          <w:shd w:val="clear" w:color="auto" w:fill="auto"/>
          <w:lang w:eastAsia="zh-CN" w:bidi="ar"/>
          <w14:textFill>
            <w14:solidFill>
              <w14:schemeClr w14:val="tx1"/>
            </w14:solidFill>
          </w14:textFill>
        </w:rPr>
        <w:t>；</w:t>
      </w:r>
    </w:p>
    <w:p w14:paraId="320341E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3" w:beforeLines="50" w:after="143" w:afterLines="50" w:line="560" w:lineRule="exact"/>
        <w:ind w:firstLine="480"/>
        <w:textAlignment w:val="auto"/>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pPr>
      <w:r>
        <w:rPr>
          <w:rFonts w:hint="eastAsia" w:ascii="宋体" w:hAnsi="宋体" w:eastAsia="宋体" w:cs="宋体"/>
          <w:color w:val="000000" w:themeColor="text1"/>
          <w:kern w:val="0"/>
          <w:sz w:val="24"/>
          <w:szCs w:val="32"/>
          <w:shd w:val="clear" w:color="auto" w:fill="auto"/>
          <w:lang w:val="en-US" w:eastAsia="zh-CN" w:bidi="ar"/>
          <w14:textFill>
            <w14:solidFill>
              <w14:schemeClr w14:val="tx1"/>
            </w14:solidFill>
          </w14:textFill>
        </w:rPr>
        <w:t>4.</w:t>
      </w:r>
      <w:r>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t>如果新旧设备进出需要拆除配电房门的，报价应</w:t>
      </w:r>
      <w:r>
        <w:rPr>
          <w:rFonts w:hint="eastAsia" w:ascii="宋体" w:hAnsi="宋体" w:eastAsia="宋体" w:cs="宋体"/>
          <w:color w:val="000000" w:themeColor="text1"/>
          <w:kern w:val="0"/>
          <w:sz w:val="24"/>
          <w:szCs w:val="32"/>
          <w:shd w:val="clear" w:color="auto" w:fill="auto"/>
          <w:lang w:eastAsia="zh-CN" w:bidi="ar"/>
          <w14:textFill>
            <w14:solidFill>
              <w14:schemeClr w14:val="tx1"/>
            </w14:solidFill>
          </w14:textFill>
        </w:rPr>
        <w:t>包含</w:t>
      </w:r>
      <w:r>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t>门的拆除及恢复费用</w:t>
      </w:r>
      <w:r>
        <w:rPr>
          <w:rFonts w:hint="eastAsia" w:ascii="宋体" w:hAnsi="宋体" w:eastAsia="宋体" w:cs="宋体"/>
          <w:color w:val="000000" w:themeColor="text1"/>
          <w:kern w:val="0"/>
          <w:sz w:val="24"/>
          <w:szCs w:val="32"/>
          <w:shd w:val="clear" w:color="auto" w:fill="auto"/>
          <w:lang w:eastAsia="zh-CN" w:bidi="ar"/>
          <w14:textFill>
            <w14:solidFill>
              <w14:schemeClr w14:val="tx1"/>
            </w14:solidFill>
          </w14:textFill>
        </w:rPr>
        <w:t>；</w:t>
      </w:r>
    </w:p>
    <w:p w14:paraId="3200486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3" w:beforeLines="50" w:after="143" w:afterLines="50" w:line="560" w:lineRule="exact"/>
        <w:ind w:firstLine="480"/>
        <w:textAlignment w:val="auto"/>
        <w:rPr>
          <w:rFonts w:hint="eastAsia" w:ascii="宋体" w:hAnsi="宋体" w:eastAsia="宋体" w:cs="宋体"/>
          <w:color w:val="000000" w:themeColor="text1"/>
          <w:kern w:val="0"/>
          <w:sz w:val="24"/>
          <w:szCs w:val="32"/>
          <w:shd w:val="clear" w:color="auto" w:fill="auto"/>
          <w:lang w:eastAsia="zh-CN" w:bidi="ar"/>
          <w14:textFill>
            <w14:solidFill>
              <w14:schemeClr w14:val="tx1"/>
            </w14:solidFill>
          </w14:textFill>
        </w:rPr>
      </w:pPr>
      <w:r>
        <w:rPr>
          <w:rFonts w:hint="eastAsia" w:ascii="宋体" w:hAnsi="宋体" w:eastAsia="宋体" w:cs="宋体"/>
          <w:color w:val="000000" w:themeColor="text1"/>
          <w:kern w:val="0"/>
          <w:sz w:val="24"/>
          <w:szCs w:val="32"/>
          <w:shd w:val="clear" w:color="auto" w:fill="auto"/>
          <w:lang w:val="en-US" w:eastAsia="zh-CN" w:bidi="ar"/>
          <w14:textFill>
            <w14:solidFill>
              <w14:schemeClr w14:val="tx1"/>
            </w14:solidFill>
          </w14:textFill>
        </w:rPr>
        <w:t>5</w:t>
      </w:r>
      <w:r>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t>.</w:t>
      </w:r>
      <w:r>
        <w:rPr>
          <w:rFonts w:hint="eastAsia" w:ascii="宋体" w:hAnsi="宋体" w:eastAsia="宋体" w:cs="宋体"/>
          <w:color w:val="000000" w:themeColor="text1"/>
          <w:kern w:val="0"/>
          <w:sz w:val="24"/>
          <w:szCs w:val="32"/>
          <w:shd w:val="clear" w:color="auto" w:fill="auto"/>
          <w:lang w:eastAsia="zh-CN" w:bidi="ar"/>
          <w14:textFill>
            <w14:solidFill>
              <w14:schemeClr w14:val="tx1"/>
            </w14:solidFill>
          </w14:textFill>
        </w:rPr>
        <w:t>配电房照明（全部更换灯线），</w:t>
      </w:r>
      <w:r>
        <w:rPr>
          <w:rFonts w:hint="default" w:ascii="宋体" w:hAnsi="宋体" w:eastAsia="宋体" w:cs="宋体"/>
          <w:color w:val="000000" w:themeColor="text1"/>
          <w:kern w:val="0"/>
          <w:sz w:val="24"/>
          <w:szCs w:val="32"/>
          <w:shd w:val="clear" w:color="auto" w:fill="auto"/>
          <w:lang w:val="en-US" w:eastAsia="zh-CN" w:bidi="ar"/>
          <w14:textFill>
            <w14:solidFill>
              <w14:schemeClr w14:val="tx1"/>
            </w14:solidFill>
          </w14:textFill>
        </w:rPr>
        <w:t>配电房原有所有墙面重新抹灰</w:t>
      </w:r>
      <w:r>
        <w:rPr>
          <w:rFonts w:hint="eastAsia" w:ascii="宋体" w:hAnsi="宋体" w:eastAsia="宋体" w:cs="宋体"/>
          <w:color w:val="000000" w:themeColor="text1"/>
          <w:kern w:val="0"/>
          <w:sz w:val="24"/>
          <w:szCs w:val="32"/>
          <w:shd w:val="clear" w:color="auto" w:fill="auto"/>
          <w:lang w:val="en-US" w:eastAsia="zh-CN" w:bidi="ar"/>
          <w14:textFill>
            <w14:solidFill>
              <w14:schemeClr w14:val="tx1"/>
            </w14:solidFill>
          </w14:textFill>
        </w:rPr>
        <w:t>并刷乳胶漆</w:t>
      </w:r>
      <w:r>
        <w:rPr>
          <w:rFonts w:hint="default" w:ascii="宋体" w:hAnsi="宋体" w:eastAsia="宋体" w:cs="宋体"/>
          <w:color w:val="000000" w:themeColor="text1"/>
          <w:kern w:val="0"/>
          <w:sz w:val="24"/>
          <w:szCs w:val="32"/>
          <w:shd w:val="clear" w:color="auto" w:fill="auto"/>
          <w:lang w:val="en-US" w:eastAsia="zh-CN" w:bidi="ar"/>
          <w14:textFill>
            <w14:solidFill>
              <w14:schemeClr w14:val="tx1"/>
            </w14:solidFill>
          </w14:textFill>
        </w:rPr>
        <w:t>，</w:t>
      </w:r>
      <w:r>
        <w:rPr>
          <w:rFonts w:hint="eastAsia" w:ascii="宋体" w:hAnsi="宋体" w:eastAsia="宋体" w:cs="宋体"/>
          <w:color w:val="000000" w:themeColor="text1"/>
          <w:kern w:val="0"/>
          <w:sz w:val="24"/>
          <w:szCs w:val="32"/>
          <w:shd w:val="clear" w:color="auto" w:fill="auto"/>
          <w:lang w:val="en-US" w:eastAsia="zh-CN" w:bidi="ar"/>
          <w14:textFill>
            <w14:solidFill>
              <w14:schemeClr w14:val="tx1"/>
            </w14:solidFill>
          </w14:textFill>
        </w:rPr>
        <w:t>地面处理并刷防尘</w:t>
      </w:r>
      <w:r>
        <w:rPr>
          <w:rFonts w:hint="default" w:ascii="宋体" w:hAnsi="宋体" w:eastAsia="宋体" w:cs="宋体"/>
          <w:color w:val="000000" w:themeColor="text1"/>
          <w:kern w:val="0"/>
          <w:sz w:val="24"/>
          <w:szCs w:val="32"/>
          <w:shd w:val="clear" w:color="auto" w:fill="auto"/>
          <w:lang w:bidi="ar"/>
          <w14:textFill>
            <w14:solidFill>
              <w14:schemeClr w14:val="tx1"/>
            </w14:solidFill>
          </w14:textFill>
        </w:rPr>
        <w:t>漆</w:t>
      </w:r>
      <w:r>
        <w:rPr>
          <w:rFonts w:hint="eastAsia" w:ascii="宋体" w:hAnsi="宋体" w:eastAsia="宋体" w:cs="宋体"/>
          <w:color w:val="000000" w:themeColor="text1"/>
          <w:kern w:val="0"/>
          <w:sz w:val="24"/>
          <w:szCs w:val="32"/>
          <w:shd w:val="clear" w:color="auto" w:fill="auto"/>
          <w:lang w:eastAsia="zh-CN" w:bidi="ar"/>
          <w14:textFill>
            <w14:solidFill>
              <w14:schemeClr w14:val="tx1"/>
            </w14:solidFill>
          </w14:textFill>
        </w:rPr>
        <w:t>；</w:t>
      </w:r>
    </w:p>
    <w:p w14:paraId="57BFA80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3" w:beforeLines="50" w:after="143" w:afterLines="50" w:line="560" w:lineRule="exact"/>
        <w:ind w:firstLine="480"/>
        <w:textAlignment w:val="auto"/>
        <w:rPr>
          <w:rFonts w:hint="default" w:ascii="宋体" w:hAnsi="宋体" w:eastAsia="宋体" w:cs="宋体"/>
          <w:color w:val="000000" w:themeColor="text1"/>
          <w:kern w:val="0"/>
          <w:sz w:val="24"/>
          <w:szCs w:val="32"/>
          <w:shd w:val="clear" w:color="auto" w:fill="auto"/>
          <w:lang w:val="en-US" w:eastAsia="zh-CN" w:bidi="ar"/>
          <w14:textFill>
            <w14:solidFill>
              <w14:schemeClr w14:val="tx1"/>
            </w14:solidFill>
          </w14:textFill>
        </w:rPr>
      </w:pPr>
      <w:r>
        <w:rPr>
          <w:rFonts w:hint="eastAsia" w:ascii="宋体" w:hAnsi="宋体" w:eastAsia="宋体" w:cs="宋体"/>
          <w:color w:val="000000" w:themeColor="text1"/>
          <w:kern w:val="0"/>
          <w:sz w:val="24"/>
          <w:szCs w:val="32"/>
          <w:shd w:val="clear" w:color="auto" w:fill="auto"/>
          <w:lang w:val="en-US" w:eastAsia="zh-CN" w:bidi="ar"/>
          <w14:textFill>
            <w14:solidFill>
              <w14:schemeClr w14:val="tx1"/>
            </w14:solidFill>
          </w14:textFill>
        </w:rPr>
        <w:t>6、要做到停电时长尽可能短，因用电变压器后端均带有负荷，不能长时间停电；</w:t>
      </w:r>
    </w:p>
    <w:p w14:paraId="7E0519A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3" w:beforeLines="50" w:after="143" w:afterLines="50" w:line="560" w:lineRule="exact"/>
        <w:ind w:firstLine="480"/>
        <w:textAlignment w:val="auto"/>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pPr>
      <w:r>
        <w:rPr>
          <w:rFonts w:hint="eastAsia" w:ascii="宋体" w:hAnsi="宋体" w:eastAsia="宋体" w:cs="宋体"/>
          <w:color w:val="000000" w:themeColor="text1"/>
          <w:kern w:val="0"/>
          <w:sz w:val="24"/>
          <w:szCs w:val="32"/>
          <w:shd w:val="clear" w:color="auto" w:fill="auto"/>
          <w:lang w:val="en-US" w:eastAsia="zh-CN" w:bidi="ar"/>
          <w14:textFill>
            <w14:solidFill>
              <w14:schemeClr w14:val="tx1"/>
            </w14:solidFill>
          </w14:textFill>
        </w:rPr>
        <w:t>7、</w:t>
      </w:r>
      <w:r>
        <w:rPr>
          <w:rFonts w:hint="eastAsia" w:ascii="宋体" w:hAnsi="宋体" w:eastAsia="宋体" w:cs="宋体"/>
          <w:color w:val="000000" w:themeColor="text1"/>
          <w:kern w:val="0"/>
          <w:sz w:val="24"/>
          <w:szCs w:val="32"/>
          <w:shd w:val="clear" w:color="auto" w:fill="auto"/>
          <w:lang w:eastAsia="zh-CN" w:bidi="ar"/>
          <w14:textFill>
            <w14:solidFill>
              <w14:schemeClr w14:val="tx1"/>
            </w14:solidFill>
          </w14:textFill>
        </w:rPr>
        <w:t>包含实施过程中的保电措施费用和安全措施费等</w:t>
      </w:r>
      <w:r>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t>。</w:t>
      </w:r>
    </w:p>
    <w:p w14:paraId="5396F56C">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3" w:beforeLines="50" w:after="143" w:afterLines="50" w:line="560" w:lineRule="exact"/>
        <w:ind w:firstLine="480"/>
        <w:textAlignment w:val="auto"/>
        <w:rPr>
          <w:rFonts w:hint="default" w:ascii="宋体" w:hAnsi="宋体" w:eastAsia="宋体" w:cs="宋体"/>
          <w:color w:val="000000" w:themeColor="text1"/>
          <w:kern w:val="0"/>
          <w:sz w:val="24"/>
          <w:szCs w:val="32"/>
          <w:shd w:val="clear" w:color="auto" w:fill="auto"/>
          <w:lang w:eastAsia="zh-CN" w:bidi="ar"/>
          <w14:textFill>
            <w14:solidFill>
              <w14:schemeClr w14:val="tx1"/>
            </w14:solidFill>
          </w14:textFill>
        </w:rPr>
      </w:pPr>
      <w:r>
        <w:rPr>
          <w:rFonts w:hint="default" w:ascii="宋体" w:hAnsi="宋体" w:eastAsia="宋体" w:cs="宋体"/>
          <w:color w:val="000000" w:themeColor="text1"/>
          <w:kern w:val="0"/>
          <w:sz w:val="24"/>
          <w:szCs w:val="32"/>
          <w:shd w:val="clear" w:color="auto" w:fill="auto"/>
          <w:lang w:val="en-US" w:eastAsia="zh-CN" w:bidi="ar"/>
          <w14:textFill>
            <w14:solidFill>
              <w14:schemeClr w14:val="tx1"/>
            </w14:solidFill>
          </w14:textFill>
        </w:rPr>
        <w:t>8.本项目最高限价：</w:t>
      </w:r>
      <w:r>
        <w:rPr>
          <w:rFonts w:hint="eastAsia" w:ascii="宋体" w:hAnsi="宋体" w:eastAsia="宋体" w:cs="宋体"/>
          <w:color w:val="000000" w:themeColor="text1"/>
          <w:kern w:val="0"/>
          <w:sz w:val="24"/>
          <w:szCs w:val="32"/>
          <w:shd w:val="clear" w:color="auto" w:fill="auto"/>
          <w:lang w:val="en-US" w:eastAsia="zh-CN" w:bidi="ar"/>
          <w14:textFill>
            <w14:solidFill>
              <w14:schemeClr w14:val="tx1"/>
            </w14:solidFill>
          </w14:textFill>
        </w:rPr>
        <w:t>672645</w:t>
      </w:r>
      <w:r>
        <w:rPr>
          <w:rFonts w:hint="default" w:ascii="宋体" w:hAnsi="宋体" w:eastAsia="宋体" w:cs="宋体"/>
          <w:color w:val="000000" w:themeColor="text1"/>
          <w:kern w:val="0"/>
          <w:sz w:val="24"/>
          <w:szCs w:val="32"/>
          <w:shd w:val="clear" w:color="auto" w:fill="auto"/>
          <w:lang w:val="en-US" w:eastAsia="zh-CN" w:bidi="ar"/>
          <w14:textFill>
            <w14:solidFill>
              <w14:schemeClr w14:val="tx1"/>
            </w14:solidFill>
          </w14:textFill>
        </w:rPr>
        <w:t>.00元</w:t>
      </w:r>
      <w:r>
        <w:rPr>
          <w:rFonts w:hint="eastAsia" w:ascii="宋体" w:hAnsi="宋体" w:eastAsia="宋体" w:cs="宋体"/>
          <w:color w:val="000000" w:themeColor="text1"/>
          <w:kern w:val="0"/>
          <w:sz w:val="24"/>
          <w:szCs w:val="32"/>
          <w:shd w:val="clear" w:color="auto" w:fill="auto"/>
          <w:lang w:val="en-US" w:eastAsia="zh-CN" w:bidi="ar"/>
          <w14:textFill>
            <w14:solidFill>
              <w14:schemeClr w14:val="tx1"/>
            </w14:solidFill>
          </w14:textFill>
        </w:rPr>
        <w:t>。</w:t>
      </w:r>
    </w:p>
    <w:p w14:paraId="21DF4237">
      <w:pPr>
        <w:rPr>
          <w:rFonts w:hint="eastAsia" w:ascii="宋体" w:hAnsi="宋体" w:eastAsia="宋体" w:cs="宋体"/>
          <w:b/>
          <w:bCs w:val="0"/>
          <w:sz w:val="28"/>
          <w:szCs w:val="28"/>
        </w:rPr>
      </w:pPr>
      <w:r>
        <w:rPr>
          <w:rFonts w:hint="eastAsia" w:ascii="宋体" w:hAnsi="宋体" w:eastAsia="宋体" w:cs="宋体"/>
          <w:b/>
          <w:bCs w:val="0"/>
          <w:sz w:val="28"/>
          <w:szCs w:val="28"/>
          <w:lang w:eastAsia="zh-CN"/>
        </w:rPr>
        <w:t>三、</w:t>
      </w:r>
      <w:r>
        <w:rPr>
          <w:rFonts w:hint="eastAsia" w:ascii="宋体" w:hAnsi="宋体" w:eastAsia="宋体" w:cs="宋体"/>
          <w:b/>
          <w:bCs w:val="0"/>
          <w:sz w:val="28"/>
          <w:szCs w:val="28"/>
        </w:rPr>
        <w:t>主要商务要求</w:t>
      </w:r>
    </w:p>
    <w:p w14:paraId="720C5B20">
      <w:pPr>
        <w:pStyle w:val="2"/>
        <w:tabs>
          <w:tab w:val="left" w:pos="3402"/>
          <w:tab w:val="clear" w:pos="851"/>
        </w:tabs>
        <w:spacing w:before="240" w:after="240"/>
        <w:jc w:val="center"/>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第二节 商务要求</w:t>
      </w:r>
    </w:p>
    <w:p w14:paraId="2A8E810C">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eastAsia="zh-CN"/>
        </w:rPr>
      </w:pPr>
      <w:r>
        <w:rPr>
          <w:rFonts w:hint="eastAsia" w:asciiTheme="minorEastAsia" w:hAnsiTheme="minorEastAsia" w:eastAsiaTheme="minorEastAsia" w:cstheme="minorEastAsia"/>
          <w:sz w:val="24"/>
          <w:szCs w:val="24"/>
          <w:shd w:val="clear" w:color="auto" w:fill="auto"/>
          <w:lang w:eastAsia="zh-CN"/>
        </w:rPr>
        <w:t>一、供货期及供货地点</w:t>
      </w:r>
    </w:p>
    <w:p w14:paraId="32D07ED9">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val="en-US" w:eastAsia="zh-CN"/>
        </w:rPr>
      </w:pPr>
      <w:r>
        <w:rPr>
          <w:rFonts w:hint="eastAsia" w:asciiTheme="minorEastAsia" w:hAnsiTheme="minorEastAsia" w:eastAsiaTheme="minorEastAsia" w:cstheme="minorEastAsia"/>
          <w:sz w:val="24"/>
          <w:szCs w:val="24"/>
          <w:shd w:val="clear" w:color="auto" w:fill="auto"/>
          <w:lang w:eastAsia="zh-CN"/>
        </w:rPr>
        <w:t>（一）供货期：合同签订后20个日历天内，完成供货、安装、通电。</w:t>
      </w:r>
    </w:p>
    <w:p w14:paraId="2604579F">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eastAsia="zh-CN"/>
        </w:rPr>
      </w:pPr>
      <w:r>
        <w:rPr>
          <w:rFonts w:hint="eastAsia" w:asciiTheme="minorEastAsia" w:hAnsiTheme="minorEastAsia" w:eastAsiaTheme="minorEastAsia" w:cstheme="minorEastAsia"/>
          <w:sz w:val="24"/>
          <w:szCs w:val="24"/>
          <w:shd w:val="clear" w:color="auto" w:fill="auto"/>
          <w:lang w:eastAsia="zh-CN"/>
        </w:rPr>
        <w:t>（二）供货地点：贵州省贵阳市云岩区延安西路1号建设大厦，贵州省住房和城乡建设厅办公大楼。</w:t>
      </w:r>
    </w:p>
    <w:p w14:paraId="308623B7">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eastAsia="zh-CN"/>
        </w:rPr>
      </w:pPr>
      <w:r>
        <w:rPr>
          <w:rFonts w:hint="eastAsia" w:asciiTheme="minorEastAsia" w:hAnsiTheme="minorEastAsia" w:eastAsiaTheme="minorEastAsia" w:cstheme="minorEastAsia"/>
          <w:sz w:val="24"/>
          <w:szCs w:val="24"/>
          <w:shd w:val="clear" w:color="auto" w:fill="auto"/>
          <w:lang w:eastAsia="zh-CN"/>
        </w:rPr>
        <w:t>二、投标有效期：</w:t>
      </w:r>
    </w:p>
    <w:p w14:paraId="2F8BFBF5">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eastAsia="zh-CN"/>
        </w:rPr>
      </w:pPr>
      <w:r>
        <w:rPr>
          <w:rFonts w:hint="eastAsia" w:asciiTheme="minorEastAsia" w:hAnsiTheme="minorEastAsia" w:eastAsiaTheme="minorEastAsia" w:cstheme="minorEastAsia"/>
          <w:sz w:val="24"/>
          <w:szCs w:val="24"/>
          <w:shd w:val="clear" w:color="auto" w:fill="auto"/>
          <w:lang w:eastAsia="zh-CN"/>
        </w:rPr>
        <w:t>投标截止之日起90个日历日</w:t>
      </w:r>
    </w:p>
    <w:p w14:paraId="59DE4744">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eastAsia="zh-CN"/>
        </w:rPr>
      </w:pPr>
      <w:r>
        <w:rPr>
          <w:rFonts w:hint="eastAsia" w:asciiTheme="minorEastAsia" w:hAnsiTheme="minorEastAsia" w:eastAsiaTheme="minorEastAsia" w:cstheme="minorEastAsia"/>
          <w:sz w:val="24"/>
          <w:szCs w:val="24"/>
          <w:shd w:val="clear" w:color="auto" w:fill="auto"/>
          <w:lang w:val="en-US" w:eastAsia="zh-CN"/>
        </w:rPr>
        <w:t>三、</w:t>
      </w:r>
      <w:r>
        <w:rPr>
          <w:rFonts w:hint="eastAsia" w:asciiTheme="minorEastAsia" w:hAnsiTheme="minorEastAsia" w:eastAsiaTheme="minorEastAsia" w:cstheme="minorEastAsia"/>
          <w:sz w:val="24"/>
          <w:szCs w:val="24"/>
          <w:shd w:val="clear" w:color="auto" w:fill="auto"/>
          <w:lang w:eastAsia="zh-CN"/>
        </w:rPr>
        <w:t>质量、验收标准、规范</w:t>
      </w:r>
    </w:p>
    <w:p w14:paraId="7429097A">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eastAsia="zh-CN"/>
        </w:rPr>
      </w:pPr>
      <w:r>
        <w:rPr>
          <w:rFonts w:hint="eastAsia" w:asciiTheme="minorEastAsia" w:hAnsiTheme="minorEastAsia" w:eastAsiaTheme="minorEastAsia" w:cstheme="minorEastAsia"/>
          <w:sz w:val="24"/>
          <w:szCs w:val="24"/>
          <w:shd w:val="clear" w:color="auto" w:fill="auto"/>
          <w:lang w:eastAsia="zh-CN"/>
        </w:rPr>
        <w:t>（一）质量标准：符合国家现行有关标准及规范，并满足采购人的要求；</w:t>
      </w:r>
    </w:p>
    <w:p w14:paraId="6C7C34EC">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eastAsia="zh-CN"/>
        </w:rPr>
      </w:pPr>
      <w:r>
        <w:rPr>
          <w:rFonts w:hint="eastAsia" w:asciiTheme="minorEastAsia" w:hAnsiTheme="minorEastAsia" w:eastAsiaTheme="minorEastAsia" w:cstheme="minorEastAsia"/>
          <w:sz w:val="24"/>
          <w:szCs w:val="24"/>
          <w:shd w:val="clear" w:color="auto" w:fill="auto"/>
          <w:lang w:eastAsia="zh-CN"/>
        </w:rPr>
        <w:t>（二）验收标准、规范：执行国家现行有关质量验收规范标准。</w:t>
      </w:r>
    </w:p>
    <w:p w14:paraId="3460DD5D">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eastAsia="zh-CN"/>
        </w:rPr>
      </w:pPr>
      <w:r>
        <w:rPr>
          <w:rFonts w:hint="eastAsia" w:asciiTheme="minorEastAsia" w:hAnsiTheme="minorEastAsia" w:eastAsiaTheme="minorEastAsia" w:cstheme="minorEastAsia"/>
          <w:sz w:val="24"/>
          <w:szCs w:val="24"/>
          <w:shd w:val="clear" w:color="auto" w:fill="auto"/>
          <w:lang w:val="en-US" w:eastAsia="zh-CN"/>
        </w:rPr>
        <w:t>四、</w:t>
      </w:r>
      <w:r>
        <w:rPr>
          <w:rFonts w:hint="eastAsia" w:asciiTheme="minorEastAsia" w:hAnsiTheme="minorEastAsia" w:eastAsiaTheme="minorEastAsia" w:cstheme="minorEastAsia"/>
          <w:sz w:val="24"/>
          <w:szCs w:val="24"/>
          <w:shd w:val="clear" w:color="auto" w:fill="auto"/>
          <w:lang w:eastAsia="zh-CN"/>
        </w:rPr>
        <w:t>付款方式：</w:t>
      </w:r>
    </w:p>
    <w:p w14:paraId="0276DA2A">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eastAsia="zh-CN"/>
        </w:rPr>
      </w:pPr>
      <w:r>
        <w:rPr>
          <w:rFonts w:hint="eastAsia" w:asciiTheme="minorEastAsia" w:hAnsiTheme="minorEastAsia" w:eastAsiaTheme="minorEastAsia" w:cstheme="minorEastAsia"/>
          <w:sz w:val="24"/>
          <w:szCs w:val="24"/>
          <w:shd w:val="clear" w:color="auto" w:fill="auto"/>
          <w:lang w:eastAsia="zh-CN"/>
        </w:rPr>
        <w:t>货物必须为全新的、标牌齐全、清晰合格的产品，货物的价格为完成供货安装调试及验收合格、质保期内服务所有费用的含税价格。货物安装调试完成后，采购人按有关规定组织验收，验收合格后，竣工验收后无质量问题进行结算，结算款付至结算价的97%，预留3%质保金，缺陷责任期两年届满后无任何质量问题，一次性无息退还质保金。</w:t>
      </w:r>
    </w:p>
    <w:p w14:paraId="5F5D866A">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val="en-US" w:eastAsia="zh-CN"/>
        </w:rPr>
      </w:pPr>
      <w:r>
        <w:rPr>
          <w:rFonts w:hint="eastAsia" w:asciiTheme="minorEastAsia" w:hAnsiTheme="minorEastAsia" w:eastAsiaTheme="minorEastAsia" w:cstheme="minorEastAsia"/>
          <w:sz w:val="24"/>
          <w:szCs w:val="24"/>
          <w:shd w:val="clear" w:color="auto" w:fill="auto"/>
          <w:lang w:val="en-US" w:eastAsia="zh-CN"/>
        </w:rPr>
        <w:t>五、质保期</w:t>
      </w:r>
    </w:p>
    <w:p w14:paraId="6CDAFBFF">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val="en-US" w:eastAsia="zh-CN"/>
        </w:rPr>
      </w:pPr>
      <w:r>
        <w:rPr>
          <w:rFonts w:hint="eastAsia" w:asciiTheme="minorEastAsia" w:hAnsiTheme="minorEastAsia" w:eastAsiaTheme="minorEastAsia" w:cstheme="minorEastAsia"/>
          <w:sz w:val="24"/>
          <w:szCs w:val="24"/>
          <w:shd w:val="clear" w:color="auto" w:fill="auto"/>
          <w:lang w:val="en-US" w:eastAsia="zh-CN"/>
        </w:rPr>
        <w:t>2年（采购人验收合格之日起计算）</w:t>
      </w:r>
    </w:p>
    <w:p w14:paraId="5F5558B5">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val="en-US" w:eastAsia="zh-CN"/>
        </w:rPr>
      </w:pPr>
      <w:r>
        <w:rPr>
          <w:rFonts w:hint="eastAsia" w:asciiTheme="minorEastAsia" w:hAnsiTheme="minorEastAsia" w:eastAsiaTheme="minorEastAsia" w:cstheme="minorEastAsia"/>
          <w:sz w:val="24"/>
          <w:szCs w:val="24"/>
          <w:shd w:val="clear" w:color="auto" w:fill="auto"/>
          <w:lang w:val="en-US" w:eastAsia="zh-CN"/>
        </w:rPr>
        <w:t>六、其他要求</w:t>
      </w:r>
    </w:p>
    <w:p w14:paraId="1C852945">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val="en-US" w:eastAsia="zh-CN"/>
        </w:rPr>
      </w:pPr>
      <w:r>
        <w:rPr>
          <w:rFonts w:hint="eastAsia" w:asciiTheme="minorEastAsia" w:hAnsiTheme="minorEastAsia" w:eastAsiaTheme="minorEastAsia" w:cstheme="minorEastAsia"/>
          <w:sz w:val="24"/>
          <w:szCs w:val="24"/>
          <w:shd w:val="clear" w:color="auto" w:fill="auto"/>
          <w:lang w:val="en-US" w:eastAsia="zh-CN"/>
        </w:rPr>
        <w:t>（一）更换的原有设备，搬运至采购人指定地点；</w:t>
      </w:r>
      <w:r>
        <w:rPr>
          <w:rFonts w:hint="eastAsia" w:asciiTheme="minorEastAsia" w:hAnsiTheme="minorEastAsia" w:eastAsiaTheme="minorEastAsia" w:cstheme="minorEastAsia"/>
          <w:sz w:val="24"/>
          <w:szCs w:val="24"/>
          <w:shd w:val="clear" w:color="auto" w:fill="auto"/>
          <w:lang w:eastAsia="zh-CN"/>
        </w:rPr>
        <w:t>（自行承诺，格式自拟）</w:t>
      </w:r>
    </w:p>
    <w:p w14:paraId="0AC4EC60">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val="en-US" w:eastAsia="zh-CN"/>
        </w:rPr>
      </w:pPr>
      <w:r>
        <w:rPr>
          <w:rFonts w:hint="eastAsia" w:asciiTheme="minorEastAsia" w:hAnsiTheme="minorEastAsia" w:eastAsiaTheme="minorEastAsia" w:cstheme="minorEastAsia"/>
          <w:sz w:val="24"/>
          <w:szCs w:val="24"/>
          <w:shd w:val="clear" w:color="auto" w:fill="auto"/>
          <w:lang w:val="en-US" w:eastAsia="zh-CN"/>
        </w:rPr>
        <w:t>（二）在设备进场安装、调试时，项目经理（项目负责人），技术负责人必须在项目现场到岗履行职责，缺勤按每人每天扣减违约金500元。项目现场作业人员（如高压电作业人员）必须持特种作业操作证；（自行承诺，格式自拟）</w:t>
      </w:r>
    </w:p>
    <w:p w14:paraId="71A4F446">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val="en-US" w:eastAsia="zh-CN"/>
        </w:rPr>
      </w:pPr>
      <w:r>
        <w:rPr>
          <w:rFonts w:hint="eastAsia" w:asciiTheme="minorEastAsia" w:hAnsiTheme="minorEastAsia" w:eastAsiaTheme="minorEastAsia" w:cstheme="minorEastAsia"/>
          <w:sz w:val="24"/>
          <w:szCs w:val="24"/>
          <w:shd w:val="clear" w:color="auto" w:fill="auto"/>
          <w:lang w:val="en-US" w:eastAsia="zh-CN"/>
        </w:rPr>
        <w:t>（三）供应商具备24小时应急抢修能力，故障发生后1小时内到达项目现场，24小时内修复；未按承诺响应故障的，每次扣减合同金额1%，重大失误将承担赔偿责任。（自行承诺，格式自拟）</w:t>
      </w:r>
    </w:p>
    <w:p w14:paraId="757A043F">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val="en-US" w:eastAsia="zh-CN"/>
        </w:rPr>
      </w:pPr>
      <w:r>
        <w:rPr>
          <w:rFonts w:hint="eastAsia" w:asciiTheme="minorEastAsia" w:hAnsiTheme="minorEastAsia" w:eastAsiaTheme="minorEastAsia" w:cstheme="minorEastAsia"/>
          <w:sz w:val="24"/>
          <w:szCs w:val="24"/>
          <w:shd w:val="clear" w:color="auto" w:fill="auto"/>
          <w:lang w:val="en-US" w:eastAsia="zh-CN"/>
        </w:rPr>
        <w:t>（四）真空断路器操动机构采用功能模块化设计，操动机构自带机械防跳装置并集成储能电机操作手柄，提供断路器厂家出具的断路器操动机构结构说明图作为佐证材料</w:t>
      </w:r>
    </w:p>
    <w:p w14:paraId="5C0C9BCF">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val="en-US" w:eastAsia="zh-CN"/>
        </w:rPr>
      </w:pPr>
      <w:r>
        <w:rPr>
          <w:rFonts w:hint="eastAsia" w:asciiTheme="minorEastAsia" w:hAnsiTheme="minorEastAsia" w:eastAsiaTheme="minorEastAsia" w:cstheme="minorEastAsia"/>
          <w:sz w:val="24"/>
          <w:szCs w:val="24"/>
          <w:shd w:val="clear" w:color="auto" w:fill="auto"/>
          <w:lang w:val="en-US" w:eastAsia="zh-CN"/>
        </w:rPr>
        <w:t>（五）真空断路器短路开断电流直流分量百分比最高要达到52%，满容量开断次数最高要达到50次，提供断路器厂家出具的型式试验报告作为证明文件</w:t>
      </w:r>
    </w:p>
    <w:p w14:paraId="347BD613">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val="en-US" w:eastAsia="zh-CN"/>
        </w:rPr>
      </w:pPr>
      <w:r>
        <w:rPr>
          <w:rFonts w:hint="eastAsia" w:asciiTheme="minorEastAsia" w:hAnsiTheme="minorEastAsia" w:eastAsiaTheme="minorEastAsia" w:cstheme="minorEastAsia"/>
          <w:sz w:val="24"/>
          <w:szCs w:val="24"/>
          <w:shd w:val="clear" w:color="auto" w:fill="auto"/>
          <w:lang w:val="en-US" w:eastAsia="zh-CN"/>
        </w:rPr>
        <w:t>七、现场踏勘：</w:t>
      </w:r>
    </w:p>
    <w:p w14:paraId="22447A7C">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eastAsia="zh-CN"/>
        </w:rPr>
      </w:pPr>
      <w:r>
        <w:rPr>
          <w:rFonts w:hint="eastAsia" w:asciiTheme="minorEastAsia" w:hAnsiTheme="minorEastAsia" w:eastAsiaTheme="minorEastAsia" w:cstheme="minorEastAsia"/>
          <w:sz w:val="24"/>
          <w:szCs w:val="24"/>
          <w:shd w:val="clear" w:color="auto" w:fill="auto"/>
          <w:lang w:val="en-US" w:eastAsia="zh-CN"/>
        </w:rPr>
        <w:t>采购人不组织现场踏勘，有踏勘需求的供应商自行到现场踏勘，采购人对任何供应商均视为对现场已作深入了解，对供应商关于本项目的任何推理与判断不负任何责任。因踏勘不详产生的偏差，由供应商自行负责。</w:t>
      </w:r>
    </w:p>
    <w:p w14:paraId="47DA63C1">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eastAsia="zh-CN"/>
        </w:rPr>
      </w:pPr>
    </w:p>
    <w:p w14:paraId="73122DBB">
      <w:pPr>
        <w:keepNext w:val="0"/>
        <w:keepLines w:val="0"/>
        <w:pageBreakBefore w:val="0"/>
        <w:widowControl w:val="0"/>
        <w:kinsoku/>
        <w:wordWrap/>
        <w:overflowPunct/>
        <w:topLinePunct w:val="0"/>
        <w:autoSpaceDE/>
        <w:autoSpaceDN/>
        <w:bidi w:val="0"/>
        <w:adjustRightInd/>
        <w:snapToGrid/>
        <w:spacing w:before="143" w:beforeLines="50" w:after="143" w:afterLines="50" w:line="560" w:lineRule="exact"/>
        <w:ind w:firstLine="480" w:firstLineChars="200"/>
        <w:textAlignment w:val="auto"/>
        <w:outlineLvl w:val="3"/>
        <w:rPr>
          <w:rFonts w:hint="eastAsia" w:asciiTheme="minorEastAsia" w:hAnsiTheme="minorEastAsia" w:eastAsiaTheme="minorEastAsia" w:cstheme="minorEastAsia"/>
          <w:sz w:val="24"/>
          <w:szCs w:val="24"/>
          <w:shd w:val="clear" w:color="auto" w:fill="auto"/>
          <w:lang w:eastAsia="zh-CN"/>
        </w:rPr>
      </w:pPr>
    </w:p>
    <w:p w14:paraId="2AD29131">
      <w:pPr>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br w:type="page"/>
      </w:r>
    </w:p>
    <w:p w14:paraId="62F0E23F">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0" w:firstLineChars="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五、评审方法</w:t>
      </w:r>
    </w:p>
    <w:p w14:paraId="65E82F7E">
      <w:pPr>
        <w:pStyle w:val="4"/>
        <w:rPr>
          <w:rFonts w:hint="eastAsia"/>
          <w:sz w:val="28"/>
          <w:szCs w:val="28"/>
          <w:lang w:val="en-US" w:eastAsia="zh-CN"/>
        </w:rPr>
      </w:pPr>
    </w:p>
    <w:p w14:paraId="656783FB">
      <w:pPr>
        <w:pStyle w:val="4"/>
        <w:ind w:left="0" w:leftChars="0" w:firstLine="0" w:firstLineChars="0"/>
        <w:rPr>
          <w:rFonts w:hint="eastAsia"/>
          <w:sz w:val="28"/>
          <w:szCs w:val="28"/>
          <w:lang w:val="en-US" w:eastAsia="zh-CN"/>
        </w:rPr>
      </w:pPr>
      <w:r>
        <w:rPr>
          <w:rFonts w:hint="eastAsia"/>
          <w:sz w:val="28"/>
          <w:szCs w:val="28"/>
          <w:lang w:val="en-US" w:eastAsia="zh-CN"/>
        </w:rPr>
        <w:t>本次评审采用综合评分法</w:t>
      </w:r>
    </w:p>
    <w:p w14:paraId="64F3A7C6">
      <w:pPr>
        <w:ind w:firstLine="0" w:firstLineChars="0"/>
        <w:rPr>
          <w:rFonts w:ascii="宋体" w:hAnsi="宋体" w:eastAsia="宋体" w:cs="宋体"/>
          <w:b/>
          <w:bCs/>
          <w:color w:val="000000" w:themeColor="text1"/>
          <w:highlight w:val="none"/>
          <w:shd w:val="clear" w:color="auto" w:fill="auto"/>
          <w14:textFill>
            <w14:solidFill>
              <w14:schemeClr w14:val="tx1"/>
            </w14:solidFill>
          </w14:textFill>
        </w:rPr>
      </w:pPr>
      <w:r>
        <w:rPr>
          <w:rFonts w:hint="eastAsia" w:ascii="宋体" w:hAnsi="宋体" w:eastAsia="宋体" w:cs="宋体"/>
          <w:b/>
          <w:bCs/>
          <w:color w:val="000000" w:themeColor="text1"/>
          <w:highlight w:val="none"/>
          <w:shd w:val="clear" w:color="auto" w:fill="auto"/>
          <w14:textFill>
            <w14:solidFill>
              <w14:schemeClr w14:val="tx1"/>
            </w14:solidFill>
          </w14:textFill>
        </w:rPr>
        <w:t>报价分：</w:t>
      </w:r>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30</w:t>
      </w:r>
      <w:r>
        <w:rPr>
          <w:rFonts w:hint="eastAsia" w:ascii="宋体" w:hAnsi="宋体" w:eastAsia="宋体" w:cs="宋体"/>
          <w:b/>
          <w:bCs/>
          <w:color w:val="000000" w:themeColor="text1"/>
          <w:highlight w:val="none"/>
          <w:shd w:val="clear" w:color="auto" w:fill="auto"/>
          <w14:textFill>
            <w14:solidFill>
              <w14:schemeClr w14:val="tx1"/>
            </w14:solidFill>
          </w14:textFill>
        </w:rPr>
        <w:t>分</w:t>
      </w:r>
    </w:p>
    <w:tbl>
      <w:tblPr>
        <w:tblStyle w:val="10"/>
        <w:tblW w:w="8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1234"/>
        <w:gridCol w:w="5652"/>
      </w:tblGrid>
      <w:tr w14:paraId="16B9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206" w:type="dxa"/>
            <w:vAlign w:val="center"/>
          </w:tcPr>
          <w:p w14:paraId="71599560">
            <w:pPr>
              <w:ind w:firstLine="0" w:firstLineChars="0"/>
              <w:jc w:val="center"/>
              <w:rPr>
                <w:rFonts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项  目</w:t>
            </w:r>
          </w:p>
        </w:tc>
        <w:tc>
          <w:tcPr>
            <w:tcW w:w="1234" w:type="dxa"/>
            <w:vAlign w:val="center"/>
          </w:tcPr>
          <w:p w14:paraId="6CAF5F2A">
            <w:pPr>
              <w:ind w:firstLine="0" w:firstLineChars="0"/>
              <w:jc w:val="center"/>
              <w:rPr>
                <w:rFonts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分</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 xml:space="preserve">  </w:t>
            </w:r>
            <w:r>
              <w:rPr>
                <w:rFonts w:hint="eastAsia" w:ascii="宋体" w:hAnsi="宋体" w:eastAsia="宋体" w:cs="宋体"/>
                <w:color w:val="000000" w:themeColor="text1"/>
                <w:highlight w:val="none"/>
                <w:shd w:val="clear" w:color="auto" w:fill="auto"/>
                <w14:textFill>
                  <w14:solidFill>
                    <w14:schemeClr w14:val="tx1"/>
                  </w14:solidFill>
                </w14:textFill>
              </w:rPr>
              <w:t>值</w:t>
            </w:r>
          </w:p>
        </w:tc>
        <w:tc>
          <w:tcPr>
            <w:tcW w:w="5652" w:type="dxa"/>
            <w:vAlign w:val="center"/>
          </w:tcPr>
          <w:p w14:paraId="0FD53A8F">
            <w:pPr>
              <w:ind w:firstLine="0" w:firstLineChars="0"/>
              <w:jc w:val="center"/>
              <w:rPr>
                <w:rFonts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说      明</w:t>
            </w:r>
          </w:p>
        </w:tc>
      </w:tr>
      <w:tr w14:paraId="19FC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6" w:type="dxa"/>
            <w:vAlign w:val="center"/>
          </w:tcPr>
          <w:p w14:paraId="3CB4EE32">
            <w:pPr>
              <w:ind w:firstLine="0" w:firstLineChars="0"/>
              <w:rPr>
                <w:rFonts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投标报价</w:t>
            </w:r>
          </w:p>
        </w:tc>
        <w:tc>
          <w:tcPr>
            <w:tcW w:w="1234" w:type="dxa"/>
            <w:vAlign w:val="center"/>
          </w:tcPr>
          <w:p w14:paraId="6C108E89">
            <w:pPr>
              <w:ind w:firstLine="210" w:firstLineChars="100"/>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30</w:t>
            </w:r>
          </w:p>
        </w:tc>
        <w:tc>
          <w:tcPr>
            <w:tcW w:w="5652" w:type="dxa"/>
          </w:tcPr>
          <w:p w14:paraId="26F2CEDF">
            <w:pPr>
              <w:ind w:left="0" w:leftChars="0" w:firstLine="480" w:firstLineChars="0"/>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实质性响应磋商文件要求且价格最低的报价为磋商基准价，其价格分为满分。其他供应商的价格分统一按照下列公式计算：</w:t>
            </w:r>
          </w:p>
          <w:p w14:paraId="3B2B14DF">
            <w:pPr>
              <w:ind w:left="0" w:leftChars="0" w:firstLine="480" w:firstLineChars="0"/>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磋商报价得分=（磋商基准价/最终磋商报价）×</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30</w:t>
            </w:r>
          </w:p>
          <w:p w14:paraId="64450EEA">
            <w:pPr>
              <w:ind w:left="0" w:leftChars="0" w:firstLine="480" w:firstLineChars="0"/>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注：</w:t>
            </w:r>
          </w:p>
          <w:p w14:paraId="48B4D888">
            <w:pPr>
              <w:ind w:firstLine="480"/>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1.磋商基准价指实质性响应磋商文件且磋商价格最低的磋商报价；</w:t>
            </w:r>
          </w:p>
          <w:p w14:paraId="5F572045">
            <w:pPr>
              <w:ind w:firstLine="480"/>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2.经评审无效的磋商报价，不进入价格分计算；</w:t>
            </w:r>
          </w:p>
          <w:p w14:paraId="2E9770DD">
            <w:pPr>
              <w:ind w:firstLine="480"/>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3.本项目专门面向中小企业采购，不再执行价格扣除优惠</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p>
          <w:p w14:paraId="1DDEE594">
            <w:pPr>
              <w:ind w:firstLine="480" w:firstLineChars="0"/>
              <w:rPr>
                <w:rFonts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highlight w:val="none"/>
                <w:shd w:val="clear" w:color="auto" w:fill="auto"/>
                <w14:textFill>
                  <w14:solidFill>
                    <w14:schemeClr w14:val="tx1"/>
                  </w14:solidFill>
                </w14:textFill>
              </w:rPr>
              <w:t>供应商投标报价超过</w:t>
            </w:r>
            <w:r>
              <w:rPr>
                <w:rFonts w:hint="eastAsia" w:ascii="宋体" w:hAnsi="宋体" w:eastAsia="宋体" w:cs="宋体"/>
                <w:color w:val="000000" w:themeColor="text1"/>
                <w:highlight w:val="none"/>
                <w:shd w:val="clear" w:color="auto" w:fill="auto"/>
                <w:lang w:eastAsia="zh-CN"/>
                <w14:textFill>
                  <w14:solidFill>
                    <w14:schemeClr w14:val="tx1"/>
                  </w14:solidFill>
                </w14:textFill>
              </w:rPr>
              <w:t>本项目最高投标限价</w:t>
            </w:r>
            <w:r>
              <w:rPr>
                <w:rFonts w:hint="eastAsia" w:ascii="宋体" w:hAnsi="宋体" w:eastAsia="宋体" w:cs="宋体"/>
                <w:color w:val="000000" w:themeColor="text1"/>
                <w:highlight w:val="none"/>
                <w:shd w:val="clear" w:color="auto" w:fill="auto"/>
                <w14:textFill>
                  <w14:solidFill>
                    <w14:schemeClr w14:val="tx1"/>
                  </w14:solidFill>
                </w14:textFill>
              </w:rPr>
              <w:t>、未按竞争性磋商文件要求进行报价或磋商小组认为供应商的报价明显低于其他通过符合性审查供应商的报价，有可能影响产品质量或者不能诚信履约的，应当要求其在评标现场合理的时间内提供书面说明，必要时提供相关材料；供应商不能证明其报价合理性的，磋商小组应当将其作为无效投标处理</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p>
        </w:tc>
      </w:tr>
    </w:tbl>
    <w:p w14:paraId="6103194A">
      <w:pPr>
        <w:ind w:firstLine="0" w:firstLineChars="0"/>
        <w:rPr>
          <w:rFonts w:ascii="宋体" w:hAnsi="宋体" w:eastAsia="宋体" w:cs="宋体"/>
          <w:color w:val="000000" w:themeColor="text1"/>
          <w:highlight w:val="none"/>
          <w:shd w:val="clear" w:color="auto" w:fill="auto"/>
          <w14:textFill>
            <w14:solidFill>
              <w14:schemeClr w14:val="tx1"/>
            </w14:solidFill>
          </w14:textFill>
        </w:rPr>
      </w:pPr>
    </w:p>
    <w:p w14:paraId="57D0447E">
      <w:pPr>
        <w:rPr>
          <w:rFonts w:hint="eastAsia" w:ascii="宋体" w:hAnsi="宋体" w:eastAsia="宋体" w:cs="宋体"/>
          <w:b/>
          <w:bCs/>
          <w:color w:val="000000" w:themeColor="text1"/>
          <w:highlight w:val="none"/>
          <w:shd w:val="clear" w:color="auto" w:fill="auto"/>
          <w14:textFill>
            <w14:solidFill>
              <w14:schemeClr w14:val="tx1"/>
            </w14:solidFill>
          </w14:textFill>
        </w:rPr>
      </w:pPr>
      <w:r>
        <w:rPr>
          <w:rFonts w:hint="eastAsia" w:ascii="宋体" w:hAnsi="宋体" w:eastAsia="宋体" w:cs="宋体"/>
          <w:b/>
          <w:bCs/>
          <w:color w:val="000000" w:themeColor="text1"/>
          <w:highlight w:val="none"/>
          <w:shd w:val="clear" w:color="auto" w:fill="auto"/>
          <w14:textFill>
            <w14:solidFill>
              <w14:schemeClr w14:val="tx1"/>
            </w14:solidFill>
          </w14:textFill>
        </w:rPr>
        <w:br w:type="page"/>
      </w:r>
    </w:p>
    <w:p w14:paraId="17477C69">
      <w:pPr>
        <w:ind w:firstLine="0" w:firstLineChars="0"/>
        <w:rPr>
          <w:rFonts w:ascii="宋体" w:hAnsi="宋体" w:eastAsia="宋体" w:cs="宋体"/>
          <w:b/>
          <w:bCs/>
          <w:color w:val="000000" w:themeColor="text1"/>
          <w:highlight w:val="none"/>
          <w:shd w:val="clear" w:color="auto" w:fill="auto"/>
          <w14:textFill>
            <w14:solidFill>
              <w14:schemeClr w14:val="tx1"/>
            </w14:solidFill>
          </w14:textFill>
        </w:rPr>
      </w:pPr>
      <w:r>
        <w:rPr>
          <w:rFonts w:hint="eastAsia" w:ascii="宋体" w:hAnsi="宋体" w:eastAsia="宋体" w:cs="宋体"/>
          <w:b/>
          <w:bCs/>
          <w:color w:val="000000" w:themeColor="text1"/>
          <w:highlight w:val="none"/>
          <w:shd w:val="clear" w:color="auto" w:fill="auto"/>
          <w14:textFill>
            <w14:solidFill>
              <w14:schemeClr w14:val="tx1"/>
            </w14:solidFill>
          </w14:textFill>
        </w:rPr>
        <w:t>技术分：</w:t>
      </w:r>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40</w:t>
      </w:r>
      <w:r>
        <w:rPr>
          <w:rFonts w:hint="eastAsia" w:ascii="宋体" w:hAnsi="宋体" w:eastAsia="宋体" w:cs="宋体"/>
          <w:b/>
          <w:bCs/>
          <w:color w:val="000000" w:themeColor="text1"/>
          <w:highlight w:val="none"/>
          <w:shd w:val="clear" w:color="auto" w:fill="auto"/>
          <w14:textFill>
            <w14:solidFill>
              <w14:schemeClr w14:val="tx1"/>
            </w14:solidFill>
          </w14:textFill>
        </w:rPr>
        <w:t>分</w:t>
      </w:r>
    </w:p>
    <w:tbl>
      <w:tblPr>
        <w:tblStyle w:val="10"/>
        <w:tblW w:w="8718"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167"/>
        <w:gridCol w:w="5333"/>
      </w:tblGrid>
      <w:tr w14:paraId="6848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18" w:type="dxa"/>
            <w:vAlign w:val="center"/>
          </w:tcPr>
          <w:p w14:paraId="13A7AD10">
            <w:pPr>
              <w:ind w:firstLine="0" w:firstLineChars="0"/>
              <w:jc w:val="center"/>
              <w:rPr>
                <w:rFonts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项   目</w:t>
            </w:r>
          </w:p>
        </w:tc>
        <w:tc>
          <w:tcPr>
            <w:tcW w:w="2167" w:type="dxa"/>
            <w:vAlign w:val="center"/>
          </w:tcPr>
          <w:p w14:paraId="08078BE4">
            <w:pPr>
              <w:ind w:firstLine="0" w:firstLineChars="0"/>
              <w:jc w:val="center"/>
              <w:rPr>
                <w:rFonts w:hint="default" w:ascii="宋体" w:hAnsi="宋体" w:eastAsia="宋体" w:cs="宋体"/>
                <w:color w:val="000000" w:themeColor="text1"/>
                <w:highlight w:val="none"/>
                <w:shd w:val="clear" w:color="auto" w:fill="auto"/>
                <w:lang w:val="en-US"/>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评审项/分值</w:t>
            </w:r>
          </w:p>
        </w:tc>
        <w:tc>
          <w:tcPr>
            <w:tcW w:w="5333" w:type="dxa"/>
            <w:vAlign w:val="center"/>
          </w:tcPr>
          <w:p w14:paraId="1973463D">
            <w:pPr>
              <w:ind w:firstLine="0" w:firstLineChars="0"/>
              <w:jc w:val="center"/>
              <w:rPr>
                <w:rFonts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说      明</w:t>
            </w:r>
          </w:p>
        </w:tc>
      </w:tr>
      <w:tr w14:paraId="7718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8" w:type="dxa"/>
            <w:vMerge w:val="restart"/>
            <w:vAlign w:val="center"/>
          </w:tcPr>
          <w:p w14:paraId="1B5167AD">
            <w:pPr>
              <w:ind w:firstLine="0" w:firstLineChars="0"/>
              <w:jc w:val="center"/>
              <w:rPr>
                <w:rFonts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技术分</w:t>
            </w:r>
          </w:p>
        </w:tc>
        <w:tc>
          <w:tcPr>
            <w:tcW w:w="2167" w:type="dxa"/>
            <w:vAlign w:val="center"/>
          </w:tcPr>
          <w:p w14:paraId="0F5E8751">
            <w:pPr>
              <w:ind w:firstLine="0" w:firstLineChars="0"/>
              <w:jc w:val="center"/>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供货安装实施方案（10分）</w:t>
            </w:r>
          </w:p>
        </w:tc>
        <w:tc>
          <w:tcPr>
            <w:tcW w:w="5333" w:type="dxa"/>
          </w:tcPr>
          <w:p w14:paraId="54835559">
            <w:pPr>
              <w:keepNext w:val="0"/>
              <w:keepLines w:val="0"/>
              <w:pageBreakBefore w:val="0"/>
              <w:widowControl/>
              <w:suppressLineNumbers w:val="0"/>
              <w:kinsoku/>
              <w:wordWrap/>
              <w:overflowPunct/>
              <w:topLinePunct w:val="0"/>
              <w:autoSpaceDE/>
              <w:autoSpaceDN/>
              <w:bidi w:val="0"/>
              <w:adjustRightInd/>
              <w:snapToGrid/>
              <w:ind w:left="0" w:leftChars="0" w:firstLine="420" w:firstLineChars="200"/>
              <w:jc w:val="left"/>
              <w:textAlignment w:val="auto"/>
              <w:rPr>
                <w:rFonts w:hint="eastAsia" w:ascii="宋体" w:hAnsi="宋体" w:eastAsia="宋体" w:cs="宋体"/>
                <w:color w:val="000000" w:themeColor="text1"/>
                <w:sz w:val="24"/>
                <w:szCs w:val="22"/>
                <w:lang w:val="en-US" w:eastAsia="zh-CN"/>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投标</w:t>
            </w:r>
            <w:r>
              <w:rPr>
                <w:rFonts w:hint="eastAsia" w:ascii="宋体" w:hAnsi="宋体" w:eastAsia="宋体" w:cs="宋体"/>
                <w:color w:val="000000" w:themeColor="text1"/>
                <w:sz w:val="24"/>
                <w:szCs w:val="22"/>
                <w:lang w:val="en-US" w:eastAsia="zh-CN"/>
                <w14:textFill>
                  <w14:solidFill>
                    <w14:schemeClr w14:val="tx1"/>
                  </w14:solidFill>
                </w14:textFill>
              </w:rPr>
              <w:t>供应商提供符合本项目实际的供货安装实施方案。</w:t>
            </w:r>
          </w:p>
          <w:p w14:paraId="449F2F14">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color w:val="000000" w:themeColor="text1"/>
                <w:sz w:val="24"/>
                <w:szCs w:val="22"/>
                <w:lang w:val="en-US" w:eastAsia="zh-CN"/>
                <w14:textFill>
                  <w14:solidFill>
                    <w14:schemeClr w14:val="tx1"/>
                  </w14:solidFill>
                </w14:textFill>
              </w:rPr>
            </w:pPr>
            <w:r>
              <w:rPr>
                <w:rFonts w:hint="eastAsia" w:ascii="宋体" w:hAnsi="宋体" w:eastAsia="宋体" w:cs="宋体"/>
                <w:color w:val="000000" w:themeColor="text1"/>
                <w:sz w:val="24"/>
                <w:szCs w:val="22"/>
                <w:lang w:val="en-US" w:eastAsia="zh-CN"/>
                <w14:textFill>
                  <w14:solidFill>
                    <w14:schemeClr w14:val="tx1"/>
                  </w14:solidFill>
                </w14:textFill>
              </w:rPr>
              <w:t>①供货安装实施方案清晰明了，可实施性强，能够完全满足本项目需求的得10-7分；</w:t>
            </w:r>
          </w:p>
          <w:p w14:paraId="71CBB977">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color w:val="000000" w:themeColor="text1"/>
                <w:sz w:val="24"/>
                <w:szCs w:val="22"/>
                <w:lang w:val="en-US" w:eastAsia="zh-CN"/>
                <w14:textFill>
                  <w14:solidFill>
                    <w14:schemeClr w14:val="tx1"/>
                  </w14:solidFill>
                </w14:textFill>
              </w:rPr>
            </w:pPr>
            <w:r>
              <w:rPr>
                <w:rFonts w:hint="eastAsia" w:ascii="宋体" w:hAnsi="宋体" w:eastAsia="宋体" w:cs="宋体"/>
                <w:color w:val="000000" w:themeColor="text1"/>
                <w:sz w:val="24"/>
                <w:szCs w:val="22"/>
                <w:lang w:val="en-US" w:eastAsia="zh-CN"/>
                <w14:textFill>
                  <w14:solidFill>
                    <w14:schemeClr w14:val="tx1"/>
                  </w14:solidFill>
                </w14:textFill>
              </w:rPr>
              <w:t>②供货安装实施方案较为完整，可实施性较强，能够较好满足本项目需求的得6-3分；</w:t>
            </w:r>
          </w:p>
          <w:p w14:paraId="011B1C93">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color w:val="000000" w:themeColor="text1"/>
                <w:sz w:val="24"/>
                <w:szCs w:val="22"/>
                <w:lang w:val="en-US" w:eastAsia="zh-CN"/>
                <w14:textFill>
                  <w14:solidFill>
                    <w14:schemeClr w14:val="tx1"/>
                  </w14:solidFill>
                </w14:textFill>
              </w:rPr>
            </w:pPr>
            <w:r>
              <w:rPr>
                <w:rFonts w:hint="eastAsia" w:ascii="宋体" w:hAnsi="宋体" w:eastAsia="宋体" w:cs="宋体"/>
                <w:color w:val="000000" w:themeColor="text1"/>
                <w:sz w:val="24"/>
                <w:szCs w:val="22"/>
                <w:lang w:val="en-US" w:eastAsia="zh-CN"/>
                <w14:textFill>
                  <w14:solidFill>
                    <w14:schemeClr w14:val="tx1"/>
                  </w14:solidFill>
                </w14:textFill>
              </w:rPr>
              <w:t>③供货安装实施方案可实施性较一般，能够基本满足本项目需求的得2-1分；</w:t>
            </w:r>
          </w:p>
          <w:p w14:paraId="35839237">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left"/>
              <w:textAlignment w:val="auto"/>
              <w:rPr>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sz w:val="24"/>
                <w:szCs w:val="22"/>
                <w:lang w:val="en-US" w:eastAsia="zh-CN"/>
                <w14:textFill>
                  <w14:solidFill>
                    <w14:schemeClr w14:val="tx1"/>
                  </w14:solidFill>
                </w14:textFill>
              </w:rPr>
              <w:t>未提供的，得0分。</w:t>
            </w:r>
          </w:p>
        </w:tc>
      </w:tr>
      <w:tr w14:paraId="16816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218" w:type="dxa"/>
            <w:vMerge w:val="continue"/>
            <w:tcBorders/>
            <w:vAlign w:val="center"/>
          </w:tcPr>
          <w:p w14:paraId="55F076CE">
            <w:pPr>
              <w:ind w:firstLine="0" w:firstLineChars="0"/>
              <w:jc w:val="center"/>
              <w:rPr>
                <w:rFonts w:hint="eastAsia" w:ascii="宋体" w:hAnsi="宋体" w:eastAsia="宋体" w:cs="宋体"/>
                <w:color w:val="000000" w:themeColor="text1"/>
                <w:highlight w:val="none"/>
                <w:shd w:val="clear" w:color="auto" w:fill="auto"/>
                <w14:textFill>
                  <w14:solidFill>
                    <w14:schemeClr w14:val="tx1"/>
                  </w14:solidFill>
                </w14:textFill>
              </w:rPr>
            </w:pPr>
          </w:p>
        </w:tc>
        <w:tc>
          <w:tcPr>
            <w:tcW w:w="2167" w:type="dxa"/>
            <w:vAlign w:val="center"/>
          </w:tcPr>
          <w:p w14:paraId="0B3ABAE9">
            <w:pPr>
              <w:pStyle w:val="8"/>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t>项目负责人（10分）</w:t>
            </w:r>
          </w:p>
        </w:tc>
        <w:tc>
          <w:tcPr>
            <w:tcW w:w="5333" w:type="dxa"/>
          </w:tcPr>
          <w:p w14:paraId="557819CE">
            <w:pPr>
              <w:keepNext w:val="0"/>
              <w:keepLines w:val="0"/>
              <w:pageBreakBefore w:val="0"/>
              <w:widowControl/>
              <w:suppressLineNumbers w:val="0"/>
              <w:kinsoku/>
              <w:wordWrap/>
              <w:overflowPunct/>
              <w:topLinePunct w:val="0"/>
              <w:autoSpaceDE/>
              <w:autoSpaceDN/>
              <w:bidi w:val="0"/>
              <w:adjustRightInd/>
              <w:snapToGrid/>
              <w:ind w:left="0" w:leftChars="0" w:firstLine="420" w:firstLineChars="200"/>
              <w:jc w:val="left"/>
              <w:textAlignment w:val="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项目</w:t>
            </w:r>
            <w:r>
              <w:rPr>
                <w:rFonts w:hint="default" w:asciiTheme="minorEastAsia" w:hAnsiTheme="minorEastAsia" w:eastAsiaTheme="minorEastAsia"/>
                <w:color w:val="000000" w:themeColor="text1"/>
                <w:lang w:eastAsia="zh-CN"/>
                <w14:textFill>
                  <w14:solidFill>
                    <w14:schemeClr w14:val="tx1"/>
                  </w14:solidFill>
                </w14:textFill>
              </w:rPr>
              <w:t>负责人</w:t>
            </w:r>
            <w:r>
              <w:rPr>
                <w:rFonts w:asciiTheme="minorEastAsia" w:hAnsiTheme="minorEastAsia" w:eastAsiaTheme="minorEastAsia"/>
                <w:color w:val="000000" w:themeColor="text1"/>
                <w14:textFill>
                  <w14:solidFill>
                    <w14:schemeClr w14:val="tx1"/>
                  </w14:solidFill>
                </w14:textFill>
              </w:rPr>
              <w:t>具有</w:t>
            </w:r>
            <w:r>
              <w:rPr>
                <w:rFonts w:hint="eastAsia" w:asciiTheme="minorEastAsia" w:hAnsiTheme="minorEastAsia" w:eastAsiaTheme="minorEastAsia"/>
                <w:color w:val="000000" w:themeColor="text1"/>
                <w:lang w:eastAsia="zh-CN"/>
                <w14:textFill>
                  <w14:solidFill>
                    <w14:schemeClr w14:val="tx1"/>
                  </w14:solidFill>
                </w14:textFill>
              </w:rPr>
              <w:t>中</w:t>
            </w:r>
            <w:r>
              <w:rPr>
                <w:rFonts w:asciiTheme="minorEastAsia" w:hAnsiTheme="minorEastAsia" w:eastAsiaTheme="minorEastAsia"/>
                <w:color w:val="000000" w:themeColor="text1"/>
                <w14:textFill>
                  <w14:solidFill>
                    <w14:schemeClr w14:val="tx1"/>
                  </w14:solidFill>
                </w14:textFill>
              </w:rPr>
              <w:t>级及以上职称得</w:t>
            </w:r>
            <w:r>
              <w:rPr>
                <w:rFonts w:hint="default" w:asciiTheme="minorEastAsia" w:hAnsiTheme="minorEastAsia" w:eastAsiaTheme="minorEastAsia"/>
                <w:color w:val="000000" w:themeColor="text1"/>
                <w:lang w:val="en-US" w:eastAsia="zh-CN"/>
                <w14:textFill>
                  <w14:solidFill>
                    <w14:schemeClr w14:val="tx1"/>
                  </w14:solidFill>
                </w14:textFill>
              </w:rPr>
              <w:t>10</w:t>
            </w:r>
            <w:r>
              <w:rPr>
                <w:rFonts w:asciiTheme="minorEastAsia" w:hAnsiTheme="minorEastAsia" w:eastAsiaTheme="minorEastAsia"/>
                <w:color w:val="000000" w:themeColor="text1"/>
                <w14:textFill>
                  <w14:solidFill>
                    <w14:schemeClr w14:val="tx1"/>
                  </w14:solidFill>
                </w14:textFill>
              </w:rPr>
              <w:t>分。</w:t>
            </w:r>
          </w:p>
          <w:p w14:paraId="3737DD67">
            <w:pPr>
              <w:keepNext w:val="0"/>
              <w:keepLines w:val="0"/>
              <w:pageBreakBefore w:val="0"/>
              <w:widowControl/>
              <w:suppressLineNumbers w:val="0"/>
              <w:kinsoku/>
              <w:wordWrap/>
              <w:overflowPunct/>
              <w:topLinePunct w:val="0"/>
              <w:autoSpaceDE/>
              <w:autoSpaceDN/>
              <w:bidi w:val="0"/>
              <w:adjustRightInd/>
              <w:snapToGrid/>
              <w:ind w:left="0" w:leftChars="0" w:firstLine="420" w:firstLineChars="200"/>
              <w:jc w:val="left"/>
              <w:textAlignment w:val="auto"/>
              <w:rPr>
                <w:rFonts w:hint="eastAsia" w:ascii="宋体" w:hAnsi="宋体" w:eastAsia="宋体" w:cs="宋体"/>
                <w:color w:val="000000" w:themeColor="text1"/>
                <w:sz w:val="24"/>
                <w:szCs w:val="22"/>
                <w:lang w:val="en-US" w:eastAsia="zh-CN"/>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注：</w:t>
            </w:r>
            <w:r>
              <w:rPr>
                <w:rFonts w:hint="default" w:asciiTheme="minorEastAsia" w:hAnsiTheme="minorEastAsia" w:eastAsiaTheme="minorEastAsia"/>
                <w:color w:val="000000" w:themeColor="text1"/>
                <w:lang w:eastAsia="zh-CN"/>
                <w14:textFill>
                  <w14:solidFill>
                    <w14:schemeClr w14:val="tx1"/>
                  </w14:solidFill>
                </w14:textFill>
              </w:rPr>
              <w:t>提供</w:t>
            </w:r>
            <w:r>
              <w:rPr>
                <w:rFonts w:asciiTheme="minorEastAsia" w:hAnsiTheme="minorEastAsia" w:eastAsiaTheme="minorEastAsia"/>
                <w:color w:val="000000" w:themeColor="text1"/>
                <w14:textFill>
                  <w14:solidFill>
                    <w14:schemeClr w14:val="tx1"/>
                  </w14:solidFill>
                </w14:textFill>
              </w:rPr>
              <w:t>相关证书</w:t>
            </w:r>
            <w:r>
              <w:rPr>
                <w:rFonts w:hint="default" w:asciiTheme="minorEastAsia" w:hAnsiTheme="minorEastAsia" w:eastAsiaTheme="minorEastAsia"/>
                <w:color w:val="000000" w:themeColor="text1"/>
                <w:lang w:eastAsia="zh-CN"/>
                <w14:textFill>
                  <w14:solidFill>
                    <w14:schemeClr w14:val="tx1"/>
                  </w14:solidFill>
                </w14:textFill>
              </w:rPr>
              <w:t>及</w:t>
            </w:r>
            <w:r>
              <w:rPr>
                <w:rFonts w:asciiTheme="minorEastAsia" w:hAnsiTheme="minorEastAsia" w:eastAsiaTheme="minorEastAsia"/>
                <w:color w:val="000000" w:themeColor="text1"/>
                <w14:textFill>
                  <w14:solidFill>
                    <w14:schemeClr w14:val="tx1"/>
                  </w14:solidFill>
                </w14:textFill>
              </w:rPr>
              <w:t>投标单位为其缴纳社保证明（202</w:t>
            </w:r>
            <w:r>
              <w:rPr>
                <w:rFonts w:hint="default" w:asciiTheme="minorEastAsia" w:hAnsiTheme="minorEastAsia" w:eastAsiaTheme="minorEastAsia"/>
                <w:color w:val="000000" w:themeColor="text1"/>
                <w:lang w:val="en-US" w:eastAsia="zh-CN"/>
                <w14:textFill>
                  <w14:solidFill>
                    <w14:schemeClr w14:val="tx1"/>
                  </w14:solidFill>
                </w14:textFill>
              </w:rPr>
              <w:t>5</w:t>
            </w:r>
            <w:r>
              <w:rPr>
                <w:rFonts w:asciiTheme="minorEastAsia" w:hAnsiTheme="minorEastAsia" w:eastAsiaTheme="minorEastAsia"/>
                <w:color w:val="000000" w:themeColor="text1"/>
                <w14:textFill>
                  <w14:solidFill>
                    <w14:schemeClr w14:val="tx1"/>
                  </w14:solidFill>
                </w14:textFill>
              </w:rPr>
              <w:t>年任意三个月）。</w:t>
            </w:r>
          </w:p>
        </w:tc>
      </w:tr>
      <w:tr w14:paraId="0CDA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218" w:type="dxa"/>
            <w:vMerge w:val="continue"/>
            <w:tcBorders/>
            <w:vAlign w:val="center"/>
          </w:tcPr>
          <w:p w14:paraId="310B350D">
            <w:pPr>
              <w:ind w:firstLine="0" w:firstLineChars="0"/>
              <w:jc w:val="center"/>
              <w:rPr>
                <w:rFonts w:hint="eastAsia" w:ascii="宋体" w:hAnsi="宋体" w:eastAsia="宋体" w:cs="宋体"/>
                <w:color w:val="000000" w:themeColor="text1"/>
                <w:highlight w:val="none"/>
                <w:shd w:val="clear" w:color="auto" w:fill="auto"/>
                <w14:textFill>
                  <w14:solidFill>
                    <w14:schemeClr w14:val="tx1"/>
                  </w14:solidFill>
                </w14:textFill>
              </w:rPr>
            </w:pPr>
          </w:p>
        </w:tc>
        <w:tc>
          <w:tcPr>
            <w:tcW w:w="2167" w:type="dxa"/>
            <w:vAlign w:val="center"/>
          </w:tcPr>
          <w:p w14:paraId="0D3ADBEE">
            <w:pPr>
              <w:spacing w:line="240" w:lineRule="auto"/>
              <w:ind w:firstLine="0" w:firstLineChars="0"/>
              <w:jc w:val="both"/>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技术负责人（10分）</w:t>
            </w:r>
          </w:p>
        </w:tc>
        <w:tc>
          <w:tcPr>
            <w:tcW w:w="5333" w:type="dxa"/>
          </w:tcPr>
          <w:p w14:paraId="1C2BEF6D">
            <w:pPr>
              <w:keepNext w:val="0"/>
              <w:keepLines w:val="0"/>
              <w:pageBreakBefore w:val="0"/>
              <w:widowControl/>
              <w:suppressLineNumbers w:val="0"/>
              <w:kinsoku/>
              <w:wordWrap/>
              <w:overflowPunct/>
              <w:topLinePunct w:val="0"/>
              <w:autoSpaceDE/>
              <w:autoSpaceDN/>
              <w:bidi w:val="0"/>
              <w:adjustRightInd/>
              <w:snapToGrid/>
              <w:ind w:left="0" w:leftChars="0" w:firstLine="420" w:firstLineChars="200"/>
              <w:jc w:val="left"/>
              <w:textAlignment w:val="auto"/>
              <w:rPr>
                <w:rFonts w:asciiTheme="minorEastAsia" w:hAnsiTheme="minorEastAsia" w:eastAsiaTheme="minorEastAsia"/>
                <w:color w:val="000000" w:themeColor="text1"/>
                <w14:textFill>
                  <w14:solidFill>
                    <w14:schemeClr w14:val="tx1"/>
                  </w14:solidFill>
                </w14:textFill>
              </w:rPr>
            </w:pPr>
            <w:r>
              <w:rPr>
                <w:rFonts w:hint="default" w:asciiTheme="minorEastAsia" w:hAnsiTheme="minorEastAsia" w:eastAsiaTheme="minorEastAsia"/>
                <w:color w:val="000000" w:themeColor="text1"/>
                <w:lang w:eastAsia="zh-CN"/>
                <w14:textFill>
                  <w14:solidFill>
                    <w14:schemeClr w14:val="tx1"/>
                  </w14:solidFill>
                </w14:textFill>
              </w:rPr>
              <w:t>技术负责人</w:t>
            </w:r>
            <w:r>
              <w:rPr>
                <w:rFonts w:asciiTheme="minorEastAsia" w:hAnsiTheme="minorEastAsia" w:eastAsiaTheme="minorEastAsia"/>
                <w:color w:val="000000" w:themeColor="text1"/>
                <w14:textFill>
                  <w14:solidFill>
                    <w14:schemeClr w14:val="tx1"/>
                  </w14:solidFill>
                </w14:textFill>
              </w:rPr>
              <w:t>具有高级及以上职称得</w:t>
            </w:r>
            <w:r>
              <w:rPr>
                <w:rFonts w:hint="default" w:asciiTheme="minorEastAsia" w:hAnsiTheme="minorEastAsia" w:eastAsiaTheme="minorEastAsia"/>
                <w:color w:val="000000" w:themeColor="text1"/>
                <w:lang w:val="en-US" w:eastAsia="zh-CN"/>
                <w14:textFill>
                  <w14:solidFill>
                    <w14:schemeClr w14:val="tx1"/>
                  </w14:solidFill>
                </w14:textFill>
              </w:rPr>
              <w:t>10</w:t>
            </w:r>
            <w:r>
              <w:rPr>
                <w:rFonts w:asciiTheme="minorEastAsia" w:hAnsiTheme="minorEastAsia" w:eastAsiaTheme="minorEastAsia"/>
                <w:color w:val="000000" w:themeColor="text1"/>
                <w14:textFill>
                  <w14:solidFill>
                    <w14:schemeClr w14:val="tx1"/>
                  </w14:solidFill>
                </w14:textFill>
              </w:rPr>
              <w:t>分，具有中级职称得</w:t>
            </w:r>
            <w:r>
              <w:rPr>
                <w:rFonts w:hint="default" w:asciiTheme="minorEastAsia" w:hAnsiTheme="minorEastAsia" w:eastAsiaTheme="minorEastAsia"/>
                <w:color w:val="000000" w:themeColor="text1"/>
                <w:lang w:val="en-US" w:eastAsia="zh-CN"/>
                <w14:textFill>
                  <w14:solidFill>
                    <w14:schemeClr w14:val="tx1"/>
                  </w14:solidFill>
                </w14:textFill>
              </w:rPr>
              <w:t>5</w:t>
            </w:r>
            <w:r>
              <w:rPr>
                <w:rFonts w:asciiTheme="minorEastAsia" w:hAnsiTheme="minorEastAsia" w:eastAsiaTheme="minorEastAsia"/>
                <w:color w:val="000000" w:themeColor="text1"/>
                <w14:textFill>
                  <w14:solidFill>
                    <w14:schemeClr w14:val="tx1"/>
                  </w14:solidFill>
                </w14:textFill>
              </w:rPr>
              <w:t>分，其它不得分。</w:t>
            </w:r>
          </w:p>
          <w:p w14:paraId="5E15F0AD">
            <w:pPr>
              <w:widowControl/>
              <w:ind w:firstLine="420" w:firstLineChars="200"/>
              <w:rPr>
                <w:rFonts w:hint="eastAsia" w:asciiTheme="minorEastAsia" w:hAnsiTheme="minorEastAsia" w:eastAsiaTheme="minorEastAsia"/>
                <w:b w:val="0"/>
                <w:bCs w:val="0"/>
                <w:color w:val="000000" w:themeColor="text1"/>
                <w:sz w:val="24"/>
                <w:szCs w:val="24"/>
                <w:u w:val="none"/>
                <w:lang w:eastAsia="zh-CN"/>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注：</w:t>
            </w:r>
            <w:r>
              <w:rPr>
                <w:rFonts w:hint="default" w:asciiTheme="minorEastAsia" w:hAnsiTheme="minorEastAsia" w:eastAsiaTheme="minorEastAsia"/>
                <w:color w:val="000000" w:themeColor="text1"/>
                <w:lang w:eastAsia="zh-CN"/>
                <w14:textFill>
                  <w14:solidFill>
                    <w14:schemeClr w14:val="tx1"/>
                  </w14:solidFill>
                </w14:textFill>
              </w:rPr>
              <w:t>提供</w:t>
            </w:r>
            <w:r>
              <w:rPr>
                <w:rFonts w:asciiTheme="minorEastAsia" w:hAnsiTheme="minorEastAsia" w:eastAsiaTheme="minorEastAsia"/>
                <w:color w:val="000000" w:themeColor="text1"/>
                <w14:textFill>
                  <w14:solidFill>
                    <w14:schemeClr w14:val="tx1"/>
                  </w14:solidFill>
                </w14:textFill>
              </w:rPr>
              <w:t>相关证书</w:t>
            </w:r>
            <w:r>
              <w:rPr>
                <w:rFonts w:hint="default" w:asciiTheme="minorEastAsia" w:hAnsiTheme="minorEastAsia" w:eastAsiaTheme="minorEastAsia"/>
                <w:color w:val="000000" w:themeColor="text1"/>
                <w:lang w:eastAsia="zh-CN"/>
                <w14:textFill>
                  <w14:solidFill>
                    <w14:schemeClr w14:val="tx1"/>
                  </w14:solidFill>
                </w14:textFill>
              </w:rPr>
              <w:t>及</w:t>
            </w:r>
            <w:r>
              <w:rPr>
                <w:rFonts w:asciiTheme="minorEastAsia" w:hAnsiTheme="minorEastAsia" w:eastAsiaTheme="minorEastAsia"/>
                <w:color w:val="000000" w:themeColor="text1"/>
                <w14:textFill>
                  <w14:solidFill>
                    <w14:schemeClr w14:val="tx1"/>
                  </w14:solidFill>
                </w14:textFill>
              </w:rPr>
              <w:t>投标单位为其缴纳社保证明（202</w:t>
            </w:r>
            <w:r>
              <w:rPr>
                <w:rFonts w:hint="default" w:asciiTheme="minorEastAsia" w:hAnsiTheme="minorEastAsia" w:eastAsiaTheme="minorEastAsia"/>
                <w:color w:val="000000" w:themeColor="text1"/>
                <w:lang w:val="en-US" w:eastAsia="zh-CN"/>
                <w14:textFill>
                  <w14:solidFill>
                    <w14:schemeClr w14:val="tx1"/>
                  </w14:solidFill>
                </w14:textFill>
              </w:rPr>
              <w:t>5</w:t>
            </w:r>
            <w:r>
              <w:rPr>
                <w:rFonts w:asciiTheme="minorEastAsia" w:hAnsiTheme="minorEastAsia" w:eastAsiaTheme="minorEastAsia"/>
                <w:color w:val="000000" w:themeColor="text1"/>
                <w14:textFill>
                  <w14:solidFill>
                    <w14:schemeClr w14:val="tx1"/>
                  </w14:solidFill>
                </w14:textFill>
              </w:rPr>
              <w:t>年任意三个月）。</w:t>
            </w:r>
          </w:p>
        </w:tc>
      </w:tr>
      <w:tr w14:paraId="2EF90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1218" w:type="dxa"/>
            <w:vMerge w:val="continue"/>
            <w:tcBorders/>
            <w:vAlign w:val="center"/>
          </w:tcPr>
          <w:p w14:paraId="4C5D548E">
            <w:pPr>
              <w:ind w:firstLine="0" w:firstLineChars="0"/>
              <w:jc w:val="center"/>
              <w:rPr>
                <w:rFonts w:hint="eastAsia" w:ascii="宋体" w:hAnsi="宋体" w:eastAsia="宋体" w:cs="宋体"/>
                <w:color w:val="000000" w:themeColor="text1"/>
                <w:highlight w:val="none"/>
                <w:shd w:val="clear" w:color="auto" w:fill="auto"/>
                <w14:textFill>
                  <w14:solidFill>
                    <w14:schemeClr w14:val="tx1"/>
                  </w14:solidFill>
                </w14:textFill>
              </w:rPr>
            </w:pPr>
          </w:p>
        </w:tc>
        <w:tc>
          <w:tcPr>
            <w:tcW w:w="2167" w:type="dxa"/>
            <w:vAlign w:val="center"/>
          </w:tcPr>
          <w:p w14:paraId="650C477C">
            <w:pPr>
              <w:spacing w:line="240" w:lineRule="auto"/>
              <w:ind w:firstLine="0" w:firstLineChars="0"/>
              <w:jc w:val="both"/>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其他人员（10</w:t>
            </w:r>
            <w:bookmarkStart w:id="4" w:name="_GoBack"/>
            <w:bookmarkEnd w:id="4"/>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分）</w:t>
            </w:r>
          </w:p>
        </w:tc>
        <w:tc>
          <w:tcPr>
            <w:tcW w:w="5333" w:type="dxa"/>
          </w:tcPr>
          <w:p w14:paraId="39484D2D">
            <w:pPr>
              <w:widowControl/>
              <w:ind w:firstLine="420" w:firstLineChars="200"/>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除项目负责人，技术负责人，投标供应商对</w:t>
            </w:r>
            <w:r>
              <w:rPr>
                <w:rFonts w:asciiTheme="minorEastAsia" w:hAnsiTheme="minorEastAsia" w:eastAsiaTheme="minorEastAsia"/>
                <w:color w:val="000000" w:themeColor="text1"/>
                <w14:textFill>
                  <w14:solidFill>
                    <w14:schemeClr w14:val="tx1"/>
                  </w14:solidFill>
                </w14:textFill>
              </w:rPr>
              <w:t>本项目配备高压电工作业人员</w:t>
            </w:r>
            <w:r>
              <w:rPr>
                <w:rFonts w:hint="eastAsia" w:asciiTheme="minorEastAsia" w:hAnsiTheme="minorEastAsia" w:eastAsiaTheme="minorEastAsia"/>
                <w:color w:val="000000" w:themeColor="text1"/>
                <w:lang w:eastAsia="zh-CN"/>
                <w14:textFill>
                  <w14:solidFill>
                    <w14:schemeClr w14:val="tx1"/>
                  </w14:solidFill>
                </w14:textFill>
              </w:rPr>
              <w:t>，每配备</w:t>
            </w:r>
            <w:r>
              <w:rPr>
                <w:rFonts w:hint="eastAsia" w:asciiTheme="minorEastAsia" w:hAnsiTheme="minorEastAsia" w:eastAsiaTheme="minorEastAsia"/>
                <w:color w:val="000000" w:themeColor="text1"/>
                <w:lang w:val="en-US" w:eastAsia="zh-CN"/>
                <w14:textFill>
                  <w14:solidFill>
                    <w14:schemeClr w14:val="tx1"/>
                  </w14:solidFill>
                </w14:textFill>
              </w:rPr>
              <w:t>1人得5分，满分10分。</w:t>
            </w:r>
          </w:p>
          <w:p w14:paraId="416A252A">
            <w:pPr>
              <w:widowControl/>
              <w:ind w:firstLine="420" w:firstLineChars="200"/>
              <w:rPr>
                <w:rFonts w:hint="default" w:asciiTheme="minorEastAsia" w:hAnsiTheme="minorEastAsia" w:eastAsiaTheme="minorEastAsia"/>
                <w:color w:val="000000" w:themeColor="text1"/>
                <w:lang w:val="en-US" w:eastAsia="zh-CN"/>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注：</w:t>
            </w:r>
            <w:r>
              <w:rPr>
                <w:rFonts w:hint="default" w:asciiTheme="minorEastAsia" w:hAnsiTheme="minorEastAsia" w:eastAsiaTheme="minorEastAsia"/>
                <w:color w:val="000000" w:themeColor="text1"/>
                <w:lang w:eastAsia="zh-CN"/>
                <w14:textFill>
                  <w14:solidFill>
                    <w14:schemeClr w14:val="tx1"/>
                  </w14:solidFill>
                </w14:textFill>
              </w:rPr>
              <w:t>提供</w:t>
            </w:r>
            <w:r>
              <w:rPr>
                <w:rFonts w:hint="eastAsia" w:asciiTheme="minorEastAsia" w:hAnsiTheme="minorEastAsia" w:eastAsiaTheme="minorEastAsia"/>
                <w:color w:val="000000" w:themeColor="text1"/>
                <w:lang w:eastAsia="zh-CN"/>
                <w14:textFill>
                  <w14:solidFill>
                    <w14:schemeClr w14:val="tx1"/>
                  </w14:solidFill>
                </w14:textFill>
              </w:rPr>
              <w:t>人员特种作业操作证（高压电工）</w:t>
            </w:r>
            <w:r>
              <w:rPr>
                <w:rFonts w:hint="default" w:asciiTheme="minorEastAsia" w:hAnsiTheme="minorEastAsia" w:eastAsiaTheme="minorEastAsia"/>
                <w:color w:val="000000" w:themeColor="text1"/>
                <w:lang w:eastAsia="zh-CN"/>
                <w14:textFill>
                  <w14:solidFill>
                    <w14:schemeClr w14:val="tx1"/>
                  </w14:solidFill>
                </w14:textFill>
              </w:rPr>
              <w:t>及</w:t>
            </w:r>
            <w:r>
              <w:rPr>
                <w:rFonts w:asciiTheme="minorEastAsia" w:hAnsiTheme="minorEastAsia" w:eastAsiaTheme="minorEastAsia"/>
                <w:color w:val="000000" w:themeColor="text1"/>
                <w14:textFill>
                  <w14:solidFill>
                    <w14:schemeClr w14:val="tx1"/>
                  </w14:solidFill>
                </w14:textFill>
              </w:rPr>
              <w:t>投标单位为其缴纳社保证明（202</w:t>
            </w:r>
            <w:r>
              <w:rPr>
                <w:rFonts w:hint="default" w:asciiTheme="minorEastAsia" w:hAnsiTheme="minorEastAsia" w:eastAsiaTheme="minorEastAsia"/>
                <w:color w:val="000000" w:themeColor="text1"/>
                <w:lang w:val="en-US" w:eastAsia="zh-CN"/>
                <w14:textFill>
                  <w14:solidFill>
                    <w14:schemeClr w14:val="tx1"/>
                  </w14:solidFill>
                </w14:textFill>
              </w:rPr>
              <w:t>5</w:t>
            </w:r>
            <w:r>
              <w:rPr>
                <w:rFonts w:asciiTheme="minorEastAsia" w:hAnsiTheme="minorEastAsia" w:eastAsiaTheme="minorEastAsia"/>
                <w:color w:val="000000" w:themeColor="text1"/>
                <w14:textFill>
                  <w14:solidFill>
                    <w14:schemeClr w14:val="tx1"/>
                  </w14:solidFill>
                </w14:textFill>
              </w:rPr>
              <w:t>年任意三个月）。</w:t>
            </w:r>
          </w:p>
        </w:tc>
      </w:tr>
    </w:tbl>
    <w:p w14:paraId="02B6D781">
      <w:pPr>
        <w:rPr>
          <w:rFonts w:hint="eastAsia" w:ascii="宋体" w:hAnsi="宋体" w:eastAsia="宋体" w:cs="宋体"/>
          <w:b/>
          <w:bCs/>
          <w:color w:val="000000" w:themeColor="text1"/>
          <w:highlight w:val="none"/>
          <w:shd w:val="clear" w:color="auto" w:fill="auto"/>
          <w:lang w:eastAsia="zh-CN"/>
          <w14:textFill>
            <w14:solidFill>
              <w14:schemeClr w14:val="tx1"/>
            </w14:solidFill>
          </w14:textFill>
        </w:rPr>
      </w:pPr>
      <w:r>
        <w:rPr>
          <w:rFonts w:hint="eastAsia" w:ascii="宋体" w:hAnsi="宋体" w:eastAsia="宋体" w:cs="宋体"/>
          <w:b/>
          <w:bCs/>
          <w:color w:val="000000" w:themeColor="text1"/>
          <w:highlight w:val="none"/>
          <w:shd w:val="clear" w:color="auto" w:fill="auto"/>
          <w:lang w:eastAsia="zh-CN"/>
          <w14:textFill>
            <w14:solidFill>
              <w14:schemeClr w14:val="tx1"/>
            </w14:solidFill>
          </w14:textFill>
        </w:rPr>
        <w:br w:type="page"/>
      </w:r>
    </w:p>
    <w:p w14:paraId="219FF29F">
      <w:pPr>
        <w:rPr>
          <w:color w:val="000000" w:themeColor="text1"/>
          <w14:textFill>
            <w14:solidFill>
              <w14:schemeClr w14:val="tx1"/>
            </w14:solidFill>
          </w14:textFill>
        </w:rPr>
      </w:pPr>
      <w:r>
        <w:rPr>
          <w:rFonts w:hint="eastAsia" w:ascii="宋体" w:hAnsi="宋体" w:eastAsia="宋体" w:cs="宋体"/>
          <w:b/>
          <w:bCs/>
          <w:color w:val="000000" w:themeColor="text1"/>
          <w:highlight w:val="none"/>
          <w:shd w:val="clear" w:color="auto" w:fill="auto"/>
          <w:lang w:eastAsia="zh-CN"/>
          <w14:textFill>
            <w14:solidFill>
              <w14:schemeClr w14:val="tx1"/>
            </w14:solidFill>
          </w14:textFill>
        </w:rPr>
        <w:t>商务</w:t>
      </w:r>
      <w:r>
        <w:rPr>
          <w:rFonts w:hint="eastAsia" w:ascii="宋体" w:hAnsi="宋体" w:eastAsia="宋体" w:cs="宋体"/>
          <w:b/>
          <w:bCs/>
          <w:color w:val="000000" w:themeColor="text1"/>
          <w:highlight w:val="none"/>
          <w:shd w:val="clear" w:color="auto" w:fill="auto"/>
          <w14:textFill>
            <w14:solidFill>
              <w14:schemeClr w14:val="tx1"/>
            </w14:solidFill>
          </w14:textFill>
        </w:rPr>
        <w:t>分：</w:t>
      </w:r>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30</w:t>
      </w:r>
      <w:r>
        <w:rPr>
          <w:rFonts w:hint="eastAsia" w:ascii="宋体" w:hAnsi="宋体" w:eastAsia="宋体" w:cs="宋体"/>
          <w:b/>
          <w:bCs/>
          <w:color w:val="000000" w:themeColor="text1"/>
          <w:highlight w:val="none"/>
          <w:shd w:val="clear" w:color="auto" w:fill="auto"/>
          <w14:textFill>
            <w14:solidFill>
              <w14:schemeClr w14:val="tx1"/>
            </w14:solidFill>
          </w14:textFill>
        </w:rPr>
        <w:t>分</w:t>
      </w:r>
    </w:p>
    <w:tbl>
      <w:tblPr>
        <w:tblStyle w:val="10"/>
        <w:tblpPr w:leftFromText="180" w:rightFromText="180" w:vertAnchor="text" w:horzAnchor="page" w:tblpX="1609" w:tblpY="336"/>
        <w:tblOverlap w:val="never"/>
        <w:tblW w:w="8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2170"/>
        <w:gridCol w:w="5330"/>
      </w:tblGrid>
      <w:tr w14:paraId="17B5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211" w:type="dxa"/>
            <w:vAlign w:val="center"/>
          </w:tcPr>
          <w:p w14:paraId="27217257">
            <w:pPr>
              <w:ind w:firstLine="0" w:firstLineChars="0"/>
              <w:jc w:val="center"/>
              <w:rPr>
                <w:rFonts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项  目</w:t>
            </w:r>
          </w:p>
        </w:tc>
        <w:tc>
          <w:tcPr>
            <w:tcW w:w="2170" w:type="dxa"/>
            <w:vAlign w:val="center"/>
          </w:tcPr>
          <w:p w14:paraId="40B0B8A4">
            <w:pPr>
              <w:ind w:firstLine="0" w:firstLineChars="0"/>
              <w:jc w:val="center"/>
              <w:rPr>
                <w:rFonts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分值</w:t>
            </w:r>
          </w:p>
        </w:tc>
        <w:tc>
          <w:tcPr>
            <w:tcW w:w="5330" w:type="dxa"/>
            <w:vAlign w:val="center"/>
          </w:tcPr>
          <w:p w14:paraId="124256D2">
            <w:pPr>
              <w:ind w:firstLine="0" w:firstLineChars="0"/>
              <w:jc w:val="center"/>
              <w:rPr>
                <w:rFonts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说      明</w:t>
            </w:r>
          </w:p>
        </w:tc>
      </w:tr>
      <w:tr w14:paraId="1ACD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1211" w:type="dxa"/>
            <w:vMerge w:val="restart"/>
            <w:vAlign w:val="center"/>
          </w:tcPr>
          <w:p w14:paraId="017C4779">
            <w:pPr>
              <w:ind w:firstLine="0" w:firstLineChars="0"/>
              <w:jc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商务分</w:t>
            </w:r>
          </w:p>
        </w:tc>
        <w:tc>
          <w:tcPr>
            <w:tcW w:w="2170" w:type="dxa"/>
            <w:vAlign w:val="center"/>
          </w:tcPr>
          <w:p w14:paraId="5BAD4D10">
            <w:pPr>
              <w:ind w:firstLine="0" w:firstLineChars="0"/>
              <w:jc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ascii="宋体" w:hAnsi="宋体" w:eastAsia="宋体" w:cs="宋体"/>
                <w:b w:val="0"/>
                <w:bCs w:val="0"/>
                <w:color w:val="000000" w:themeColor="text1"/>
                <w14:textFill>
                  <w14:solidFill>
                    <w14:schemeClr w14:val="tx1"/>
                  </w14:solidFill>
                </w14:textFill>
              </w:rPr>
              <w:t>投标</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供应商业绩</w:t>
            </w:r>
          </w:p>
          <w:p w14:paraId="3C32DA64">
            <w:pPr>
              <w:ind w:firstLine="0" w:firstLineChars="0"/>
              <w:jc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（20分）</w:t>
            </w:r>
          </w:p>
        </w:tc>
        <w:tc>
          <w:tcPr>
            <w:tcW w:w="5330" w:type="dxa"/>
          </w:tcPr>
          <w:p w14:paraId="1543851D">
            <w:pPr>
              <w:widowControl/>
              <w:ind w:firstLine="420" w:firstLineChars="200"/>
              <w:rPr>
                <w:rFonts w:hint="default" w:cs="Times New Roman" w:asciiTheme="minorEastAsia" w:hAnsiTheme="minorEastAsia" w:eastAsiaTheme="minorEastAsia"/>
                <w:color w:val="000000" w:themeColor="text1"/>
                <w:kern w:val="2"/>
                <w:sz w:val="24"/>
                <w:szCs w:val="24"/>
                <w:shd w:val="clear"/>
                <w:lang w:val="en-US" w:eastAsia="zh-CN" w:bidi="ar"/>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投标</w:t>
            </w:r>
            <w:r>
              <w:rPr>
                <w:rFonts w:hint="default" w:cs="Times New Roman" w:asciiTheme="minorEastAsia" w:hAnsiTheme="minorEastAsia" w:eastAsiaTheme="minorEastAsia"/>
                <w:color w:val="000000" w:themeColor="text1"/>
                <w:kern w:val="2"/>
                <w:sz w:val="24"/>
                <w:szCs w:val="24"/>
                <w:shd w:val="clear"/>
                <w:lang w:val="en-US" w:eastAsia="zh-CN" w:bidi="ar"/>
                <w14:textFill>
                  <w14:solidFill>
                    <w14:schemeClr w14:val="tx1"/>
                  </w14:solidFill>
                </w14:textFill>
              </w:rPr>
              <w:t>供应商提供2021年01月01日至今</w:t>
            </w:r>
            <w:r>
              <w:rPr>
                <w:rFonts w:hint="default" w:cs="Times New Roman" w:asciiTheme="minorEastAsia" w:hAnsiTheme="minorEastAsia" w:eastAsiaTheme="minorEastAsia"/>
                <w:color w:val="000000" w:themeColor="text1"/>
                <w:kern w:val="2"/>
                <w:sz w:val="24"/>
                <w:szCs w:val="24"/>
                <w:lang w:val="en-US" w:eastAsia="zh-CN"/>
                <w14:textFill>
                  <w14:solidFill>
                    <w14:schemeClr w14:val="tx1"/>
                  </w14:solidFill>
                </w14:textFill>
              </w:rPr>
              <w:t>（响应文件递交截止时间）的</w:t>
            </w:r>
            <w:r>
              <w:rPr>
                <w:rFonts w:hint="default" w:cs="Times New Roman" w:asciiTheme="minorEastAsia" w:hAnsiTheme="minorEastAsia" w:eastAsiaTheme="minorEastAsia"/>
                <w:color w:val="000000" w:themeColor="text1"/>
                <w:kern w:val="2"/>
                <w:sz w:val="24"/>
                <w:szCs w:val="24"/>
                <w:shd w:val="clear"/>
                <w:lang w:val="en-US" w:eastAsia="zh-CN" w:bidi="ar"/>
                <w14:textFill>
                  <w14:solidFill>
                    <w14:schemeClr w14:val="tx1"/>
                  </w14:solidFill>
                </w14:textFill>
              </w:rPr>
              <w:t>类似项目业绩，每提供一个业绩得</w:t>
            </w:r>
            <w:r>
              <w:rPr>
                <w:rFonts w:hint="eastAsia" w:cs="Times New Roman" w:asciiTheme="minorEastAsia" w:hAnsiTheme="minorEastAsia" w:eastAsiaTheme="minorEastAsia"/>
                <w:color w:val="000000" w:themeColor="text1"/>
                <w:kern w:val="2"/>
                <w:sz w:val="24"/>
                <w:szCs w:val="24"/>
                <w:shd w:val="clear"/>
                <w:lang w:val="en-US" w:eastAsia="zh-CN" w:bidi="ar"/>
                <w14:textFill>
                  <w14:solidFill>
                    <w14:schemeClr w14:val="tx1"/>
                  </w14:solidFill>
                </w14:textFill>
              </w:rPr>
              <w:t>5</w:t>
            </w:r>
            <w:r>
              <w:rPr>
                <w:rFonts w:hint="default" w:cs="Times New Roman" w:asciiTheme="minorEastAsia" w:hAnsiTheme="minorEastAsia" w:eastAsiaTheme="minorEastAsia"/>
                <w:color w:val="000000" w:themeColor="text1"/>
                <w:kern w:val="2"/>
                <w:sz w:val="24"/>
                <w:szCs w:val="24"/>
                <w:shd w:val="clear"/>
                <w:lang w:val="en-US" w:eastAsia="zh-CN" w:bidi="ar"/>
                <w14:textFill>
                  <w14:solidFill>
                    <w14:schemeClr w14:val="tx1"/>
                  </w14:solidFill>
                </w14:textFill>
              </w:rPr>
              <w:t>分，满分</w:t>
            </w:r>
            <w:r>
              <w:rPr>
                <w:rFonts w:hint="eastAsia" w:cs="Times New Roman" w:asciiTheme="minorEastAsia" w:hAnsiTheme="minorEastAsia" w:eastAsiaTheme="minorEastAsia"/>
                <w:color w:val="000000" w:themeColor="text1"/>
                <w:kern w:val="2"/>
                <w:sz w:val="24"/>
                <w:szCs w:val="24"/>
                <w:shd w:val="clear"/>
                <w:lang w:val="en-US" w:eastAsia="zh-CN" w:bidi="ar"/>
                <w14:textFill>
                  <w14:solidFill>
                    <w14:schemeClr w14:val="tx1"/>
                  </w14:solidFill>
                </w14:textFill>
              </w:rPr>
              <w:t>20</w:t>
            </w:r>
            <w:r>
              <w:rPr>
                <w:rFonts w:hint="default" w:cs="Times New Roman" w:asciiTheme="minorEastAsia" w:hAnsiTheme="minorEastAsia" w:eastAsiaTheme="minorEastAsia"/>
                <w:color w:val="000000" w:themeColor="text1"/>
                <w:kern w:val="2"/>
                <w:sz w:val="24"/>
                <w:szCs w:val="24"/>
                <w:shd w:val="clear"/>
                <w:lang w:val="en-US" w:eastAsia="zh-CN" w:bidi="ar"/>
                <w14:textFill>
                  <w14:solidFill>
                    <w14:schemeClr w14:val="tx1"/>
                  </w14:solidFill>
                </w14:textFill>
              </w:rPr>
              <w:t>分。</w:t>
            </w:r>
          </w:p>
          <w:p w14:paraId="704B5E8E">
            <w:pPr>
              <w:widowControl/>
              <w:rPr>
                <w:rFonts w:eastAsia="宋体" w:asciiTheme="minorEastAsia" w:hAnsiTheme="minorEastAsia"/>
                <w:color w:val="000000" w:themeColor="text1"/>
                <w:highlight w:val="none"/>
                <w:shd w:val="clear" w:color="auto" w:fill="auto"/>
                <w:lang w:val="en-US"/>
                <w14:textFill>
                  <w14:solidFill>
                    <w14:schemeClr w14:val="tx1"/>
                  </w14:solidFill>
                </w14:textFill>
              </w:rPr>
            </w:pPr>
            <w:r>
              <w:rPr>
                <w:rFonts w:hint="default" w:cs="Times New Roman" w:asciiTheme="minorEastAsia" w:hAnsiTheme="minorEastAsia" w:eastAsiaTheme="minorEastAsia"/>
                <w:color w:val="000000" w:themeColor="text1"/>
                <w:kern w:val="2"/>
                <w:sz w:val="24"/>
                <w:szCs w:val="24"/>
                <w:shd w:val="clear"/>
                <w:lang w:val="en-US" w:eastAsia="zh-CN" w:bidi="ar"/>
                <w14:textFill>
                  <w14:solidFill>
                    <w14:schemeClr w14:val="tx1"/>
                  </w14:solidFill>
                </w14:textFill>
              </w:rPr>
              <w:t>注：上述业绩提供合同或中标通知书，复印件加盖投标供应商公章，不提供不得分。</w:t>
            </w:r>
          </w:p>
        </w:tc>
      </w:tr>
      <w:tr w14:paraId="6C19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1" w:hRule="atLeast"/>
        </w:trPr>
        <w:tc>
          <w:tcPr>
            <w:tcW w:w="1211" w:type="dxa"/>
            <w:vMerge w:val="continue"/>
            <w:vAlign w:val="center"/>
          </w:tcPr>
          <w:p w14:paraId="7F29CBD7">
            <w:pPr>
              <w:ind w:firstLine="0" w:firstLineChars="0"/>
              <w:jc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p>
        </w:tc>
        <w:tc>
          <w:tcPr>
            <w:tcW w:w="2170" w:type="dxa"/>
            <w:vAlign w:val="center"/>
          </w:tcPr>
          <w:p w14:paraId="22C5EC7E">
            <w:pPr>
              <w:ind w:firstLine="0" w:firstLineChars="0"/>
              <w:jc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质保期（8分）</w:t>
            </w:r>
          </w:p>
        </w:tc>
        <w:tc>
          <w:tcPr>
            <w:tcW w:w="5330" w:type="dxa"/>
            <w:vAlign w:val="top"/>
          </w:tcPr>
          <w:p w14:paraId="3E0871C9">
            <w:pPr>
              <w:keepNext w:val="0"/>
              <w:keepLines w:val="0"/>
              <w:widowControl/>
              <w:suppressLineNumbers w:val="0"/>
              <w:ind w:firstLine="480" w:firstLineChars="200"/>
              <w:jc w:val="left"/>
              <w:rPr>
                <w:rFonts w:hint="eastAsia" w:ascii="宋体" w:hAnsi="宋体" w:eastAsia="宋体" w:cs="宋体"/>
                <w:color w:val="000000" w:themeColor="text1"/>
                <w:kern w:val="0"/>
                <w:sz w:val="24"/>
                <w:szCs w:val="24"/>
                <w:shd w:val="clear" w:color="auto" w:fill="auto"/>
                <w:lang w:val="en-US" w:eastAsia="zh-CN" w:bidi="ar"/>
                <w14:textFill>
                  <w14:solidFill>
                    <w14:schemeClr w14:val="tx1"/>
                  </w14:solidFill>
                </w14:textFill>
              </w:rPr>
            </w:pPr>
            <w:r>
              <w:rPr>
                <w:rFonts w:hint="default" w:cs="Times New Roman" w:asciiTheme="minorEastAsia" w:hAnsiTheme="minorEastAsia" w:eastAsiaTheme="minorEastAsia"/>
                <w:color w:val="000000" w:themeColor="text1"/>
                <w:kern w:val="2"/>
                <w:sz w:val="24"/>
                <w:szCs w:val="24"/>
                <w:shd w:val="clear"/>
                <w:lang w:val="en-US" w:eastAsia="zh-CN" w:bidi="ar"/>
                <w14:textFill>
                  <w14:solidFill>
                    <w14:schemeClr w14:val="tx1"/>
                  </w14:solidFill>
                </w14:textFill>
              </w:rPr>
              <w:t>在采购文件要求基础上，</w:t>
            </w:r>
            <w:r>
              <w:rPr>
                <w:rFonts w:asciiTheme="minorEastAsia" w:hAnsiTheme="minorEastAsia" w:eastAsiaTheme="minorEastAsia"/>
                <w:color w:val="000000" w:themeColor="text1"/>
                <w14:textFill>
                  <w14:solidFill>
                    <w14:schemeClr w14:val="tx1"/>
                  </w14:solidFill>
                </w14:textFill>
              </w:rPr>
              <w:t>投标</w:t>
            </w:r>
            <w:r>
              <w:rPr>
                <w:rFonts w:hint="default" w:cs="Times New Roman" w:asciiTheme="minorEastAsia" w:hAnsiTheme="minorEastAsia" w:eastAsiaTheme="minorEastAsia"/>
                <w:color w:val="000000" w:themeColor="text1"/>
                <w:kern w:val="2"/>
                <w:sz w:val="24"/>
                <w:szCs w:val="24"/>
                <w:shd w:val="clear"/>
                <w:lang w:val="en-US" w:eastAsia="zh-CN" w:bidi="ar"/>
                <w14:textFill>
                  <w14:solidFill>
                    <w14:schemeClr w14:val="tx1"/>
                  </w14:solidFill>
                </w14:textFill>
              </w:rPr>
              <w:t>供应商每承诺增加一年质保期得</w:t>
            </w:r>
            <w:r>
              <w:rPr>
                <w:rFonts w:hint="eastAsia" w:cs="Times New Roman" w:asciiTheme="minorEastAsia" w:hAnsiTheme="minorEastAsia" w:eastAsiaTheme="minorEastAsia"/>
                <w:color w:val="000000" w:themeColor="text1"/>
                <w:kern w:val="2"/>
                <w:sz w:val="24"/>
                <w:szCs w:val="24"/>
                <w:shd w:val="clear"/>
                <w:lang w:val="en-US" w:eastAsia="zh-CN" w:bidi="ar"/>
                <w14:textFill>
                  <w14:solidFill>
                    <w14:schemeClr w14:val="tx1"/>
                  </w14:solidFill>
                </w14:textFill>
              </w:rPr>
              <w:t>4</w:t>
            </w:r>
            <w:r>
              <w:rPr>
                <w:rFonts w:hint="default" w:cs="Times New Roman" w:asciiTheme="minorEastAsia" w:hAnsiTheme="minorEastAsia" w:eastAsiaTheme="minorEastAsia"/>
                <w:color w:val="000000" w:themeColor="text1"/>
                <w:kern w:val="2"/>
                <w:sz w:val="24"/>
                <w:szCs w:val="24"/>
                <w:shd w:val="clear"/>
                <w:lang w:val="en-US" w:eastAsia="zh-CN" w:bidi="ar"/>
                <w14:textFill>
                  <w14:solidFill>
                    <w14:schemeClr w14:val="tx1"/>
                  </w14:solidFill>
                </w14:textFill>
              </w:rPr>
              <w:t>分，满分</w:t>
            </w:r>
            <w:r>
              <w:rPr>
                <w:rFonts w:hint="eastAsia" w:cs="Times New Roman" w:asciiTheme="minorEastAsia" w:hAnsiTheme="minorEastAsia" w:eastAsiaTheme="minorEastAsia"/>
                <w:color w:val="000000" w:themeColor="text1"/>
                <w:kern w:val="2"/>
                <w:sz w:val="24"/>
                <w:szCs w:val="24"/>
                <w:shd w:val="clear"/>
                <w:lang w:val="en-US" w:eastAsia="zh-CN" w:bidi="ar"/>
                <w14:textFill>
                  <w14:solidFill>
                    <w14:schemeClr w14:val="tx1"/>
                  </w14:solidFill>
                </w14:textFill>
              </w:rPr>
              <w:t>8</w:t>
            </w:r>
            <w:r>
              <w:rPr>
                <w:rFonts w:hint="default" w:cs="Times New Roman" w:asciiTheme="minorEastAsia" w:hAnsiTheme="minorEastAsia" w:eastAsiaTheme="minorEastAsia"/>
                <w:color w:val="000000" w:themeColor="text1"/>
                <w:kern w:val="2"/>
                <w:sz w:val="24"/>
                <w:szCs w:val="24"/>
                <w:shd w:val="clear"/>
                <w:lang w:val="en-US" w:eastAsia="zh-CN" w:bidi="ar"/>
                <w14:textFill>
                  <w14:solidFill>
                    <w14:schemeClr w14:val="tx1"/>
                  </w14:solidFill>
                </w14:textFill>
              </w:rPr>
              <w:t>分。（自行承诺，格式自拟）</w:t>
            </w:r>
          </w:p>
        </w:tc>
      </w:tr>
      <w:tr w14:paraId="3128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1211" w:type="dxa"/>
            <w:vMerge w:val="continue"/>
            <w:vAlign w:val="center"/>
          </w:tcPr>
          <w:p w14:paraId="7C877BFB">
            <w:pPr>
              <w:ind w:firstLine="0" w:firstLineChars="0"/>
              <w:jc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p>
        </w:tc>
        <w:tc>
          <w:tcPr>
            <w:tcW w:w="2170" w:type="dxa"/>
            <w:vAlign w:val="center"/>
          </w:tcPr>
          <w:p w14:paraId="0F1EE22C">
            <w:pPr>
              <w:spacing w:line="276" w:lineRule="auto"/>
              <w:ind w:firstLine="0" w:firstLineChars="0"/>
              <w:jc w:val="both"/>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作业时间</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（2分）</w:t>
            </w:r>
          </w:p>
          <w:p w14:paraId="6B2C636C">
            <w:pPr>
              <w:spacing w:line="276" w:lineRule="auto"/>
              <w:ind w:firstLine="0" w:firstLineChars="0"/>
              <w:jc w:val="both"/>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p>
        </w:tc>
        <w:tc>
          <w:tcPr>
            <w:tcW w:w="5330" w:type="dxa"/>
            <w:vAlign w:val="center"/>
          </w:tcPr>
          <w:p w14:paraId="269A78A6">
            <w:pPr>
              <w:ind w:firstLine="480"/>
              <w:rPr>
                <w:rFonts w:hint="default"/>
                <w:color w:val="000000" w:themeColor="text1"/>
                <w:lang w:val="en-US" w:eastAsia="zh-CN"/>
                <w14:textFill>
                  <w14:solidFill>
                    <w14:schemeClr w14:val="tx1"/>
                  </w14:solidFill>
                </w14:textFill>
              </w:rPr>
            </w:pPr>
            <w:r>
              <w:rPr>
                <w:rFonts w:asciiTheme="minorEastAsia" w:hAnsiTheme="minorEastAsia" w:eastAsiaTheme="minorEastAsia"/>
                <w:color w:val="000000" w:themeColor="text1"/>
                <w:lang w:bidi="ar"/>
                <w14:textFill>
                  <w14:solidFill>
                    <w14:schemeClr w14:val="tx1"/>
                  </w14:solidFill>
                </w14:textFill>
              </w:rPr>
              <w:t>投标</w:t>
            </w:r>
            <w:r>
              <w:rPr>
                <w:rFonts w:hint="default" w:asciiTheme="minorEastAsia" w:hAnsiTheme="minorEastAsia" w:eastAsiaTheme="minorEastAsia"/>
                <w:color w:val="000000" w:themeColor="text1"/>
                <w:lang w:eastAsia="zh-CN" w:bidi="ar"/>
                <w14:textFill>
                  <w14:solidFill>
                    <w14:schemeClr w14:val="tx1"/>
                  </w14:solidFill>
                </w14:textFill>
              </w:rPr>
              <w:t>供应商</w:t>
            </w:r>
            <w:r>
              <w:rPr>
                <w:rFonts w:hint="default" w:asciiTheme="minorEastAsia" w:hAnsiTheme="minorEastAsia" w:eastAsiaTheme="minorEastAsia"/>
                <w:color w:val="000000" w:themeColor="text1"/>
                <w:lang w:bidi="ar"/>
                <w14:textFill>
                  <w14:solidFill>
                    <w14:schemeClr w14:val="tx1"/>
                  </w14:solidFill>
                </w14:textFill>
              </w:rPr>
              <w:t>承诺利用非工作日、非工作时合理安排作业时间</w:t>
            </w:r>
            <w:r>
              <w:rPr>
                <w:rFonts w:hint="default" w:asciiTheme="minorEastAsia" w:hAnsiTheme="minorEastAsia" w:eastAsiaTheme="minorEastAsia"/>
                <w:color w:val="000000" w:themeColor="text1"/>
                <w:lang w:eastAsia="zh-CN" w:bidi="ar"/>
                <w14:textFill>
                  <w14:solidFill>
                    <w14:schemeClr w14:val="tx1"/>
                  </w14:solidFill>
                </w14:textFill>
              </w:rPr>
              <w:t>，</w:t>
            </w:r>
            <w:r>
              <w:rPr>
                <w:rFonts w:hint="default" w:asciiTheme="minorEastAsia" w:hAnsiTheme="minorEastAsia" w:eastAsiaTheme="minorEastAsia"/>
                <w:color w:val="000000" w:themeColor="text1"/>
                <w:lang w:bidi="ar"/>
                <w14:textFill>
                  <w14:solidFill>
                    <w14:schemeClr w14:val="tx1"/>
                  </w14:solidFill>
                </w14:textFill>
              </w:rPr>
              <w:t>避免干扰</w:t>
            </w:r>
            <w:r>
              <w:rPr>
                <w:rFonts w:hint="default" w:asciiTheme="minorEastAsia" w:hAnsiTheme="minorEastAsia" w:eastAsiaTheme="minorEastAsia"/>
                <w:color w:val="000000" w:themeColor="text1"/>
                <w:lang w:val="en-US" w:eastAsia="zh-CN" w:bidi="ar"/>
                <w14:textFill>
                  <w14:solidFill>
                    <w14:schemeClr w14:val="tx1"/>
                  </w14:solidFill>
                </w14:textFill>
              </w:rPr>
              <w:t>采购人</w:t>
            </w:r>
            <w:r>
              <w:rPr>
                <w:rFonts w:hint="default" w:asciiTheme="minorEastAsia" w:hAnsiTheme="minorEastAsia" w:eastAsiaTheme="minorEastAsia"/>
                <w:color w:val="000000" w:themeColor="text1"/>
                <w:lang w:bidi="ar"/>
                <w14:textFill>
                  <w14:solidFill>
                    <w14:schemeClr w14:val="tx1"/>
                  </w14:solidFill>
                </w14:textFill>
              </w:rPr>
              <w:t>各业务部门正常工作的得</w:t>
            </w:r>
            <w:r>
              <w:rPr>
                <w:rFonts w:hint="default" w:asciiTheme="minorEastAsia" w:hAnsiTheme="minorEastAsia" w:eastAsiaTheme="minorEastAsia"/>
                <w:color w:val="000000" w:themeColor="text1"/>
                <w:lang w:val="en-US" w:eastAsia="zh-CN" w:bidi="ar"/>
                <w14:textFill>
                  <w14:solidFill>
                    <w14:schemeClr w14:val="tx1"/>
                  </w14:solidFill>
                </w14:textFill>
              </w:rPr>
              <w:t>2</w:t>
            </w:r>
            <w:r>
              <w:rPr>
                <w:rFonts w:hint="default" w:asciiTheme="minorEastAsia" w:hAnsiTheme="minorEastAsia" w:eastAsiaTheme="minorEastAsia"/>
                <w:color w:val="000000" w:themeColor="text1"/>
                <w:lang w:bidi="ar"/>
                <w14:textFill>
                  <w14:solidFill>
                    <w14:schemeClr w14:val="tx1"/>
                  </w14:solidFill>
                </w14:textFill>
              </w:rPr>
              <w:t>分，不承诺不得分。</w:t>
            </w:r>
            <w:r>
              <w:rPr>
                <w:rFonts w:hint="default" w:asciiTheme="minorEastAsia" w:hAnsiTheme="minorEastAsia" w:eastAsiaTheme="minorEastAsia"/>
                <w:color w:val="000000" w:themeColor="text1"/>
                <w:lang w:eastAsia="zh-CN" w:bidi="ar"/>
                <w14:textFill>
                  <w14:solidFill>
                    <w14:schemeClr w14:val="tx1"/>
                  </w14:solidFill>
                </w14:textFill>
              </w:rPr>
              <w:t>（自行承诺，格式自拟）</w:t>
            </w:r>
          </w:p>
        </w:tc>
      </w:tr>
    </w:tbl>
    <w:p w14:paraId="792EFED9">
      <w:pPr>
        <w:ind w:firstLine="0" w:firstLineChars="0"/>
        <w:rPr>
          <w:rFonts w:hint="eastAsia" w:ascii="宋体" w:hAnsi="宋体" w:eastAsia="宋体" w:cs="宋体"/>
          <w:b w:val="0"/>
          <w:bCs w:val="0"/>
          <w:color w:val="auto"/>
          <w:sz w:val="24"/>
          <w:szCs w:val="28"/>
          <w:highlight w:val="none"/>
          <w:shd w:val="clear" w:color="auto" w:fill="auto"/>
        </w:rPr>
      </w:pPr>
    </w:p>
    <w:p w14:paraId="6C045257">
      <w:pPr>
        <w:ind w:left="480" w:firstLine="0" w:firstLineChars="0"/>
        <w:rPr>
          <w:rFonts w:ascii="宋体" w:hAnsi="宋体" w:eastAsia="宋体"/>
          <w:highlight w:val="none"/>
        </w:rPr>
      </w:pPr>
    </w:p>
    <w:p w14:paraId="2116727D">
      <w:pPr>
        <w:ind w:left="480" w:firstLine="0" w:firstLineChars="0"/>
        <w:rPr>
          <w:rFonts w:ascii="宋体" w:hAnsi="宋体" w:eastAsia="宋体"/>
          <w:highlight w:val="none"/>
        </w:rPr>
      </w:pPr>
    </w:p>
    <w:p w14:paraId="5197D595">
      <w:pPr>
        <w:pStyle w:val="13"/>
        <w:ind w:left="0" w:leftChars="0" w:firstLine="0" w:firstLineChars="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六、无效标条款及废标条款</w:t>
      </w:r>
    </w:p>
    <w:p w14:paraId="0211010F">
      <w:pPr>
        <w:keepNext w:val="0"/>
        <w:keepLines w:val="0"/>
        <w:pageBreakBefore w:val="0"/>
        <w:widowControl/>
        <w:suppressLineNumbers w:val="0"/>
        <w:kinsoku/>
        <w:wordWrap/>
        <w:overflowPunct/>
        <w:topLinePunct w:val="0"/>
        <w:autoSpaceDE/>
        <w:autoSpaceDN/>
        <w:bidi w:val="0"/>
        <w:snapToGrid/>
        <w:spacing w:line="56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lang w:val="en-US" w:eastAsia="zh-CN" w:bidi="ar"/>
        </w:rPr>
        <w:t>废标条款</w:t>
      </w:r>
    </w:p>
    <w:p w14:paraId="17494298">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出现下列情形之一的，本项目给予废标，项目磋商终止：</w:t>
      </w:r>
    </w:p>
    <w:p w14:paraId="70F16F4E">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（一）符合专业条件的或对竞争性磋商文件作实质响应的供应商不足三家的；</w:t>
      </w:r>
    </w:p>
    <w:p w14:paraId="14FD2D72">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（二）出现影响采购公正的违法、违规行为的；</w:t>
      </w:r>
    </w:p>
    <w:p w14:paraId="5B7E69BC">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（三）供应商报价均超过了采购预算，采购人不能支付的；</w:t>
      </w:r>
    </w:p>
    <w:p w14:paraId="4BC33ED2">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（四）因重大变故，采购任务取消的。</w:t>
      </w:r>
    </w:p>
    <w:p w14:paraId="4A340961">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000000"/>
          <w:kern w:val="0"/>
          <w:sz w:val="28"/>
          <w:szCs w:val="28"/>
          <w:lang w:val="en-US" w:eastAsia="zh-CN" w:bidi="ar"/>
        </w:rPr>
        <w:t>无效标条款</w:t>
      </w:r>
    </w:p>
    <w:p w14:paraId="50A42AA1">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出现下列情形之一的，供应商递交的响应文件作无效投标处理，该供应商的响应文件不参与评审：</w:t>
      </w:r>
    </w:p>
    <w:p w14:paraId="39F7BE0B">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（一）递交的响应文件不完整或未按竞争性磋商文件要求盖公章及签字的；</w:t>
      </w:r>
    </w:p>
    <w:p w14:paraId="5347C6F2">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（二）供应商不符合国家及竞争性磋商文件规定的资格条件的；</w:t>
      </w:r>
    </w:p>
    <w:p w14:paraId="70CC4B5E">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（三）投标联合体未提交联合投标协议的；</w:t>
      </w:r>
    </w:p>
    <w:p w14:paraId="2DA66D0D">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（四）初始报价经评审委员会认定低于成本价的；</w:t>
      </w:r>
    </w:p>
    <w:p w14:paraId="6F3C399D">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（五）最终报价高于竞争性磋商文件载明的最高限价的；</w:t>
      </w:r>
    </w:p>
    <w:p w14:paraId="744F4971">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（六）响应文件未对竞争性磋商文件的实质性要求和条件作出响应的；</w:t>
      </w:r>
    </w:p>
    <w:p w14:paraId="339DCFBA">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（七）供应商有串通投标、弄虚作假、行贿等违法行为的；</w:t>
      </w:r>
    </w:p>
    <w:p w14:paraId="284EDC82">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（八）有下列情形之一的，视为供应商串通投标，其投标无效：</w:t>
      </w:r>
    </w:p>
    <w:p w14:paraId="7529B9C2">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1.不同供应商的磋商响应文件由同一单位或者个人编制；</w:t>
      </w:r>
    </w:p>
    <w:p w14:paraId="05961345">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2.不同供应商委托同一单位或者个人办理投标事宜；</w:t>
      </w:r>
    </w:p>
    <w:p w14:paraId="67FD2F51">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3.不同供应商的磋商响应文件载明的项目管理成员或者联系人员为同一人；</w:t>
      </w:r>
    </w:p>
    <w:p w14:paraId="56D1CCE8">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4.不同供应商的磋商响应文件异常一致或者磋商报价呈规律性差异；</w:t>
      </w:r>
    </w:p>
    <w:p w14:paraId="249C003D">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5.不同供应商的磋商响应文件相互混装；</w:t>
      </w:r>
    </w:p>
    <w:p w14:paraId="6C7467C3">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6.不同供应商的投标保证金从同一单位或者个人的账户转出。</w:t>
      </w:r>
    </w:p>
    <w:p w14:paraId="2C84B0D8">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（九）响应文件未胶装成册的（采用打孔装订、活页夹等方式装订的响应文件作为无效投标处理）；</w:t>
      </w:r>
    </w:p>
    <w:p w14:paraId="1773CE67">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（十）未缴纳保证金的；</w:t>
      </w:r>
    </w:p>
    <w:p w14:paraId="6C7B8834">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（十一）投标有效期不足的投标无效；</w:t>
      </w:r>
    </w:p>
    <w:p w14:paraId="649335E7">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（十二）单位负责人为同一人或者存在直接控股、管理关系的不同供应商，不得参加同一合同项下的政府采购活动；</w:t>
      </w:r>
    </w:p>
    <w:p w14:paraId="057CDF65">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（十三）为本项目提供整体设计、规范编制或者项目管理、监理、检测等服务的供应商参加本采购项目的；</w:t>
      </w:r>
    </w:p>
    <w:p w14:paraId="51F70FDF">
      <w:pPr>
        <w:pStyle w:val="2"/>
        <w:keepNext w:val="0"/>
        <w:keepLines w:val="0"/>
        <w:pageBreakBefore w:val="0"/>
        <w:widowControl w:val="0"/>
        <w:numPr>
          <w:ilvl w:val="1"/>
          <w:numId w:val="0"/>
        </w:numPr>
        <w:tabs>
          <w:tab w:val="clear" w:pos="851"/>
        </w:tabs>
        <w:kinsoku/>
        <w:wordWrap/>
        <w:overflowPunct/>
        <w:topLinePunct w:val="0"/>
        <w:autoSpaceDE w:val="0"/>
        <w:autoSpaceDN w:val="0"/>
        <w:bidi w:val="0"/>
        <w:adjustRightInd w:val="0"/>
        <w:snapToGrid w:val="0"/>
        <w:spacing w:line="560" w:lineRule="exact"/>
        <w:ind w:left="0" w:leftChars="0" w:firstLine="425" w:firstLineChars="0"/>
        <w:textAlignment w:val="auto"/>
        <w:outlineLvl w:val="9"/>
        <w:rPr>
          <w:rFonts w:hint="eastAsia" w:eastAsia="宋体" w:asciiTheme="minorEastAsia" w:hAnsiTheme="minorEastAsia" w:cstheme="minorEastAsia"/>
          <w:color w:val="000000"/>
          <w:kern w:val="0"/>
          <w:sz w:val="24"/>
          <w:szCs w:val="24"/>
          <w:lang w:val="en-US" w:eastAsia="zh-CN" w:bidi="ar"/>
        </w:rPr>
      </w:pPr>
      <w:r>
        <w:rPr>
          <w:rFonts w:hint="eastAsia" w:ascii="宋体" w:hAnsi="宋体" w:eastAsia="宋体" w:cs="宋体"/>
          <w:color w:val="auto"/>
          <w:kern w:val="2"/>
          <w:sz w:val="24"/>
          <w:szCs w:val="24"/>
          <w:lang w:val="en-US" w:eastAsia="zh-CN" w:bidi="ar-SA"/>
        </w:rPr>
        <w:t>（十四）违反政府采购法律法规,足以导致响应文件无效的情形</w:t>
      </w:r>
      <w:r>
        <w:rPr>
          <w:rFonts w:hint="eastAsia" w:hAnsi="宋体" w:eastAsia="宋体" w:cs="宋体"/>
          <w:color w:val="auto"/>
          <w:kern w:val="2"/>
          <w:sz w:val="24"/>
          <w:szCs w:val="24"/>
          <w:lang w:val="en-US"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22381"/>
    <w:multiLevelType w:val="singleLevel"/>
    <w:tmpl w:val="19E2238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5M2QwYmM3MjczM2FhZDU0NDYxMTRiNTVmYjE3ZTUifQ=="/>
  </w:docVars>
  <w:rsids>
    <w:rsidRoot w:val="00000000"/>
    <w:rsid w:val="02DE5ECF"/>
    <w:rsid w:val="064E12C8"/>
    <w:rsid w:val="0B2D5659"/>
    <w:rsid w:val="0CD03B5A"/>
    <w:rsid w:val="11612EA2"/>
    <w:rsid w:val="1DD77CE1"/>
    <w:rsid w:val="20000609"/>
    <w:rsid w:val="2A615F7E"/>
    <w:rsid w:val="2C606B5C"/>
    <w:rsid w:val="32C37947"/>
    <w:rsid w:val="39EA6F21"/>
    <w:rsid w:val="3A5F2E20"/>
    <w:rsid w:val="3B636BE5"/>
    <w:rsid w:val="3B8701AA"/>
    <w:rsid w:val="3D373021"/>
    <w:rsid w:val="4C546144"/>
    <w:rsid w:val="50E26B2B"/>
    <w:rsid w:val="578D1EAB"/>
    <w:rsid w:val="59D464F5"/>
    <w:rsid w:val="654C7BEB"/>
    <w:rsid w:val="65EC5154"/>
    <w:rsid w:val="713B48D6"/>
    <w:rsid w:val="756D573F"/>
    <w:rsid w:val="77370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widowControl w:val="0"/>
      <w:tabs>
        <w:tab w:val="left" w:pos="851"/>
      </w:tabs>
      <w:autoSpaceDE w:val="0"/>
      <w:autoSpaceDN w:val="0"/>
      <w:adjustRightInd w:val="0"/>
      <w:snapToGrid w:val="0"/>
      <w:spacing w:line="360" w:lineRule="auto"/>
      <w:jc w:val="both"/>
      <w:outlineLvl w:val="2"/>
    </w:pPr>
    <w:rPr>
      <w:rFonts w:ascii="宋体" w:cs="宋体"/>
    </w:rPr>
  </w:style>
  <w:style w:type="paragraph" w:styleId="3">
    <w:name w:val="heading 4"/>
    <w:basedOn w:val="1"/>
    <w:next w:val="1"/>
    <w:qFormat/>
    <w:uiPriority w:val="0"/>
    <w:pPr>
      <w:widowControl w:val="0"/>
      <w:autoSpaceDE w:val="0"/>
      <w:autoSpaceDN w:val="0"/>
      <w:adjustRightInd w:val="0"/>
      <w:snapToGrid w:val="0"/>
      <w:spacing w:line="360" w:lineRule="auto"/>
      <w:jc w:val="both"/>
      <w:outlineLvl w:val="3"/>
    </w:pPr>
    <w:rPr>
      <w:rFonts w:ascii="宋体" w:hAnsi="Arial" w:cs="宋体"/>
      <w:color w:val="00000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pPr>
    <w:rPr>
      <w:kern w:val="0"/>
      <w:szCs w:val="20"/>
    </w:rPr>
  </w:style>
  <w:style w:type="paragraph" w:styleId="5">
    <w:name w:val="Body Text"/>
    <w:basedOn w:val="1"/>
    <w:next w:val="1"/>
    <w:autoRedefine/>
    <w:semiHidden/>
    <w:qFormat/>
    <w:uiPriority w:val="0"/>
    <w:rPr>
      <w:rFonts w:ascii="黑体" w:hAnsi="黑体" w:eastAsia="黑体" w:cs="黑体"/>
      <w:sz w:val="31"/>
      <w:szCs w:val="31"/>
      <w:lang w:val="en-US" w:eastAsia="en-US" w:bidi="ar-SA"/>
    </w:rPr>
  </w:style>
  <w:style w:type="paragraph" w:styleId="6">
    <w:name w:val="Block Text"/>
    <w:basedOn w:val="1"/>
    <w:autoRedefine/>
    <w:qFormat/>
    <w:uiPriority w:val="99"/>
    <w:pPr>
      <w:spacing w:after="120"/>
      <w:ind w:left="1440" w:leftChars="700" w:right="1440" w:rightChars="700"/>
    </w:pPr>
  </w:style>
  <w:style w:type="paragraph" w:styleId="7">
    <w:name w:val="footer"/>
    <w:basedOn w:val="1"/>
    <w:qFormat/>
    <w:uiPriority w:val="0"/>
    <w:pPr>
      <w:tabs>
        <w:tab w:val="center" w:pos="4153"/>
        <w:tab w:val="right" w:pos="8306"/>
      </w:tabs>
      <w:snapToGrid w:val="0"/>
    </w:pPr>
    <w:rPr>
      <w:sz w:val="18"/>
    </w:rPr>
  </w:style>
  <w:style w:type="paragraph" w:styleId="8">
    <w:name w:val="toc 1"/>
    <w:basedOn w:val="1"/>
    <w:next w:val="1"/>
    <w:unhideWhenUsed/>
    <w:qFormat/>
    <w:uiPriority w:val="39"/>
    <w:pPr>
      <w:tabs>
        <w:tab w:val="right" w:leader="dot" w:pos="8721"/>
      </w:tabs>
      <w:spacing w:line="300" w:lineRule="auto"/>
      <w:ind w:firstLine="0" w:firstLineChars="0"/>
      <w:jc w:val="center"/>
    </w:pPr>
    <w:rPr>
      <w:rFonts w:ascii="黑体" w:hAnsi="黑体" w:eastAsia="黑体"/>
      <w:sz w:val="28"/>
      <w:szCs w:val="28"/>
    </w:rPr>
  </w:style>
  <w:style w:type="paragraph" w:styleId="9">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table" w:styleId="11">
    <w:name w:val="Table Grid"/>
    <w:basedOn w:val="1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文档正文"/>
    <w:basedOn w:val="1"/>
    <w:autoRedefine/>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paragraph" w:customStyle="1" w:styleId="14">
    <w:name w:val="_Style 2"/>
    <w:next w:val="1"/>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15">
    <w:name w:val="首行缩进"/>
    <w:basedOn w:val="1"/>
    <w:qFormat/>
    <w:uiPriority w:val="0"/>
    <w:pPr>
      <w:ind w:firstLine="480"/>
    </w:pPr>
    <w:rPr>
      <w:lang w:val="zh-CN"/>
    </w:rPr>
  </w:style>
  <w:style w:type="character" w:customStyle="1" w:styleId="16">
    <w:name w:val="p141"/>
    <w:autoRedefine/>
    <w:qFormat/>
    <w:uiPriority w:val="0"/>
    <w:rPr>
      <w:sz w:val="21"/>
      <w:szCs w:val="21"/>
    </w:rPr>
  </w:style>
  <w:style w:type="paragraph" w:styleId="17">
    <w:name w:val="List Paragraph"/>
    <w:basedOn w:val="1"/>
    <w:qFormat/>
    <w:uiPriority w:val="34"/>
    <w:pPr>
      <w:ind w:firstLine="420" w:firstLineChars="200"/>
    </w:pPr>
    <w:rPr>
      <w:rFonts w:ascii="Calibri" w:hAnsi="Calibri" w:eastAsia="宋体"/>
    </w:rPr>
  </w:style>
  <w:style w:type="paragraph" w:customStyle="1" w:styleId="18">
    <w:name w:val="p0"/>
    <w:basedOn w:val="1"/>
    <w:qFormat/>
    <w:uiPriority w:val="0"/>
    <w:pPr>
      <w:jc w:val="both"/>
    </w:pPr>
    <w:rPr>
      <w:szCs w:val="21"/>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4452</Words>
  <Characters>4776</Characters>
  <Lines>0</Lines>
  <Paragraphs>0</Paragraphs>
  <TotalTime>13</TotalTime>
  <ScaleCrop>false</ScaleCrop>
  <LinksUpToDate>false</LinksUpToDate>
  <CharactersWithSpaces>4805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2023-11-14T07:47:00Z</dcterms:created>
  <dc:creator>Administrator</dc:creator>
  <cp:lastModifiedBy>Administrator</cp:lastModifiedBy>
  <dcterms:modified xsi:type="dcterms:W3CDTF">2025-08-15T04:10:53Z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136002219A6144CA87985EE6C52DF879_12</vt:lpwstr>
  </property>
  <property fmtid="{D5CDD505-2E9C-101B-9397-08002B2CF9AE}" pid="4" name="KSOTemplateDocerSaveRecord">
    <vt:lpwstr>eyJoZGlkIjoiNDU5M2QwYmM3MjczM2FhZDU0NDYxMTRiNTVmYjE3ZTUiLCJ1c2VySWQiOiIzNTE4MTY4OTgifQ==</vt:lpwstr>
  </property>
</Properties>
</file>