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FD48">
      <w:pPr>
        <w:jc w:val="center"/>
        <w:rPr>
          <w:rFonts w:hint="eastAsia"/>
          <w:sz w:val="36"/>
          <w:szCs w:val="44"/>
          <w:lang w:val="en-US" w:eastAsia="zh-CN"/>
        </w:rPr>
      </w:pPr>
      <w:r>
        <w:rPr>
          <w:rFonts w:hint="eastAsia"/>
          <w:sz w:val="36"/>
          <w:szCs w:val="44"/>
          <w:lang w:val="en-US" w:eastAsia="zh-CN"/>
        </w:rPr>
        <w:t>大型设备、设施维修维护费</w:t>
      </w:r>
    </w:p>
    <w:p w14:paraId="7938A5DB">
      <w:pPr>
        <w:jc w:val="center"/>
        <w:rPr>
          <w:rFonts w:hint="eastAsia"/>
          <w:sz w:val="36"/>
          <w:szCs w:val="44"/>
        </w:rPr>
      </w:pPr>
      <w:r>
        <w:rPr>
          <w:rFonts w:hint="eastAsia"/>
          <w:sz w:val="36"/>
          <w:szCs w:val="44"/>
        </w:rPr>
        <w:t>需求公示</w:t>
      </w:r>
    </w:p>
    <w:p w14:paraId="106490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一、项目基本信息</w:t>
      </w:r>
    </w:p>
    <w:p w14:paraId="6D6FE7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val="en-US" w:eastAsia="zh-CN"/>
        </w:rPr>
        <w:t>大型设备、设施维修维护费</w:t>
      </w:r>
    </w:p>
    <w:p w14:paraId="578D8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eastAsia="zh-CN"/>
        </w:rPr>
        <w:t>JYZF-2507</w:t>
      </w:r>
    </w:p>
    <w:p w14:paraId="70EC26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采购预算：</w:t>
      </w:r>
      <w:r>
        <w:rPr>
          <w:rFonts w:hint="eastAsia" w:asciiTheme="minorEastAsia" w:hAnsiTheme="minorEastAsia" w:eastAsiaTheme="minorEastAsia" w:cstheme="minorEastAsia"/>
          <w:sz w:val="28"/>
          <w:szCs w:val="28"/>
          <w:lang w:val="en-US" w:eastAsia="zh-CN"/>
        </w:rPr>
        <w:t>722100.00元</w:t>
      </w:r>
    </w:p>
    <w:p w14:paraId="7E8963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672645.00</w:t>
      </w:r>
      <w:r>
        <w:rPr>
          <w:rFonts w:hint="eastAsia" w:asciiTheme="minorEastAsia" w:hAnsiTheme="minorEastAsia" w:eastAsiaTheme="minorEastAsia" w:cstheme="minorEastAsia"/>
          <w:sz w:val="28"/>
          <w:szCs w:val="28"/>
        </w:rPr>
        <w:t>元</w:t>
      </w:r>
    </w:p>
    <w:p w14:paraId="490033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二、公示期限（不少于2个工作日）</w:t>
      </w:r>
    </w:p>
    <w:p w14:paraId="0E1BF8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日至202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日</w:t>
      </w:r>
    </w:p>
    <w:p w14:paraId="53A29F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三、其他补充事宜</w:t>
      </w:r>
    </w:p>
    <w:p w14:paraId="025671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采购预算确定依据：</w:t>
      </w:r>
      <w:r>
        <w:rPr>
          <w:rFonts w:hint="eastAsia" w:asciiTheme="minorEastAsia" w:hAnsiTheme="minorEastAsia" w:cstheme="minorEastAsia"/>
          <w:sz w:val="28"/>
          <w:szCs w:val="28"/>
          <w:lang w:eastAsia="zh-CN"/>
        </w:rPr>
        <w:t>贵州省本级政府采购计划书</w:t>
      </w:r>
      <w:r>
        <w:rPr>
          <w:rFonts w:hint="eastAsia" w:asciiTheme="minorEastAsia" w:hAnsiTheme="minorEastAsia" w:eastAsiaTheme="minorEastAsia" w:cstheme="minorEastAsia"/>
          <w:sz w:val="28"/>
          <w:szCs w:val="28"/>
        </w:rPr>
        <w:t>[2025]5523号</w:t>
      </w:r>
    </w:p>
    <w:p w14:paraId="7F46D7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四、项目联系人（公示期限内，优先反馈给代理机构）</w:t>
      </w:r>
    </w:p>
    <w:p w14:paraId="6906B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采购人信息</w:t>
      </w:r>
    </w:p>
    <w:p w14:paraId="2C80E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采购单位名称：</w:t>
      </w:r>
      <w:r>
        <w:rPr>
          <w:rFonts w:hint="eastAsia" w:asciiTheme="minorEastAsia" w:hAnsiTheme="minorEastAsia" w:eastAsiaTheme="minorEastAsia" w:cstheme="minorEastAsia"/>
          <w:sz w:val="28"/>
          <w:szCs w:val="28"/>
          <w:lang w:val="en-US" w:eastAsia="zh-CN"/>
        </w:rPr>
        <w:t>贵州省住房和城乡建设厅</w:t>
      </w:r>
    </w:p>
    <w:p w14:paraId="553D27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lang w:eastAsia="zh-CN"/>
        </w:rPr>
        <w:t>何立富</w:t>
      </w:r>
    </w:p>
    <w:p w14:paraId="66A5F1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0851-85360001</w:t>
      </w:r>
    </w:p>
    <w:p w14:paraId="6A9C68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代理机构</w:t>
      </w:r>
    </w:p>
    <w:p w14:paraId="63628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代理全称：贵州锦阳项目管理咨询有限公司</w:t>
      </w:r>
    </w:p>
    <w:p w14:paraId="44552E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闫磊、</w:t>
      </w:r>
      <w:r>
        <w:rPr>
          <w:rFonts w:hint="eastAsia" w:asciiTheme="minorEastAsia" w:hAnsiTheme="minorEastAsia" w:eastAsiaTheme="minorEastAsia" w:cstheme="minorEastAsia"/>
          <w:sz w:val="28"/>
          <w:szCs w:val="28"/>
        </w:rPr>
        <w:t>田仁屹</w:t>
      </w:r>
      <w:r>
        <w:rPr>
          <w:rFonts w:hint="eastAsia" w:asciiTheme="minorEastAsia" w:hAnsiTheme="minorEastAsia" w:cstheme="minorEastAsia"/>
          <w:sz w:val="28"/>
          <w:szCs w:val="28"/>
          <w:lang w:eastAsia="zh-CN"/>
        </w:rPr>
        <w:t>、陈锌</w:t>
      </w:r>
    </w:p>
    <w:p w14:paraId="3CD31D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联系方式：0851-82203376</w:t>
      </w:r>
    </w:p>
    <w:p w14:paraId="479881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530ADE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7CD46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6CB25F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2BE2F648">
      <w:pPr>
        <w:pStyle w:val="5"/>
        <w:rPr>
          <w:rFonts w:hint="eastAsia" w:asciiTheme="minorEastAsia" w:hAnsiTheme="minorEastAsia" w:eastAsiaTheme="minorEastAsia" w:cstheme="minorEastAsia"/>
          <w:sz w:val="28"/>
          <w:szCs w:val="28"/>
        </w:rPr>
      </w:pPr>
    </w:p>
    <w:p w14:paraId="1478E1C9">
      <w:pPr>
        <w:rPr>
          <w:rFonts w:hint="eastAsia"/>
        </w:rPr>
      </w:pPr>
    </w:p>
    <w:p w14:paraId="1FD920F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一、</w:t>
      </w:r>
      <w:r>
        <w:rPr>
          <w:rFonts w:hint="eastAsia" w:asciiTheme="minorEastAsia" w:hAnsiTheme="minorEastAsia" w:cstheme="minorEastAsia"/>
          <w:b/>
          <w:bCs/>
          <w:sz w:val="28"/>
          <w:szCs w:val="28"/>
          <w:lang w:val="en-US" w:eastAsia="zh-CN"/>
        </w:rPr>
        <w:t>资格要求：</w:t>
      </w:r>
    </w:p>
    <w:p w14:paraId="0D580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(一)一般资格要求:</w:t>
      </w:r>
    </w:p>
    <w:p w14:paraId="65835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1.具有独立承担民事责任的能力：提供法人或其他组织的营业执照等证明文件，或自然人身份证明，</w:t>
      </w:r>
    </w:p>
    <w:p w14:paraId="501BBC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2.具有良好的商业信誉和健全的财务会计制度：供应商是法人的，提供2023年度或2024年度经合法有效的第三方审计机构出具的审计报告，或者由基本账户开户银行出具2024年或2025年的资信证明；</w:t>
      </w:r>
    </w:p>
    <w:p w14:paraId="63A4B9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3.具有履行合同所必需的设备和专业技术能力：供应商自行承诺具备履行合同所必需的设备和专业技术能力（自行承诺，格式自拟）；</w:t>
      </w:r>
    </w:p>
    <w:p w14:paraId="37F8C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4.具有依法缴纳税收和社会保障资金的良好记录：具体要求：提供2025年以来至今任意1个月依法缴纳税收和社会保障资金的相关材料（根据国家相关政策免缴或迟缴的需提供相关证明材料）；</w:t>
      </w:r>
    </w:p>
    <w:p w14:paraId="0CEB5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5.参加本次政府采购活动前三年内，在经营活动中没有违法违规记录：提供参加政府采购活动前3年内在经营活动中没有重大违法记录的书面声明（格式文件详见响应文件范本）；</w:t>
      </w:r>
    </w:p>
    <w:p w14:paraId="3C1189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6.法律、行政法规规定的其他条件：供应商须承诺：</w:t>
      </w:r>
    </w:p>
    <w:p w14:paraId="5F11E10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236853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78B46A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（二）本项目</w:t>
      </w:r>
      <w:r>
        <w:rPr>
          <w:rFonts w:hint="eastAsia" w:ascii="宋体" w:hAnsi="宋体" w:eastAsia="宋体" w:cs="宋体"/>
          <w:i w:val="0"/>
          <w:iCs w:val="0"/>
          <w:caps w:val="0"/>
          <w:color w:val="000000" w:themeColor="text1"/>
          <w:spacing w:val="0"/>
          <w:kern w:val="0"/>
          <w:sz w:val="24"/>
          <w:szCs w:val="24"/>
          <w:u w:val="single"/>
          <w:shd w:val="clear" w:color="auto" w:fill="auto"/>
          <w:lang w:val="en-US" w:eastAsia="zh-CN" w:bidi="ar"/>
          <w14:textFill>
            <w14:solidFill>
              <w14:schemeClr w14:val="tx1"/>
            </w14:solidFill>
          </w14:textFill>
        </w:rPr>
        <w:t>不接受</w:t>
      </w: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联合体投标，</w:t>
      </w:r>
    </w:p>
    <w:p w14:paraId="222354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（三）本项目</w:t>
      </w:r>
      <w:r>
        <w:rPr>
          <w:rFonts w:hint="eastAsia" w:ascii="宋体" w:hAnsi="宋体" w:eastAsia="宋体" w:cs="宋体"/>
          <w:i w:val="0"/>
          <w:iCs w:val="0"/>
          <w:caps w:val="0"/>
          <w:color w:val="000000" w:themeColor="text1"/>
          <w:spacing w:val="0"/>
          <w:kern w:val="0"/>
          <w:sz w:val="24"/>
          <w:szCs w:val="24"/>
          <w:highlight w:val="none"/>
          <w:u w:val="single"/>
          <w:shd w:val="clear" w:color="auto" w:fill="auto"/>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专门面向中小企业采购，【本项目所属行业为：工业】，非中小微企业不得参与投标。【投标供应商须提供《中小企业声明函》；（注意：根据相关政府采购政策，监狱企业、残疾人福利性单位视同小型、微型企业，享受相关政府采购政策】</w:t>
      </w:r>
    </w:p>
    <w:p w14:paraId="3696A1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t>（四）本项目的特定资格要求：</w:t>
      </w:r>
    </w:p>
    <w:p w14:paraId="55264D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t>标项1：</w:t>
      </w:r>
    </w:p>
    <w:p w14:paraId="7C599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default"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1.具有行政主管部门颁发的电力工程施工总承包三级及以上资质或输变电工程施工专业承包三级及以上资质。2.具备国家能源局颁发的承装（修、试）类电力设施许可证三级及以上资质；3.具备有效的企业安全生产许可证；4.项目经理具备机电工程专业二级及以上建造师注册证</w:t>
      </w:r>
      <w:r>
        <w:rPr>
          <w:rFonts w:hint="eastAsia" w:ascii="宋体" w:hAnsi="宋体" w:eastAsia="宋体" w:cs="宋体"/>
          <w:b/>
          <w:bCs/>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（需提供电子证书，且由本人签名）</w:t>
      </w:r>
      <w:r>
        <w:rPr>
          <w:rFonts w:hint="eastAsia"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和安全生产考核合格证B证。</w:t>
      </w:r>
    </w:p>
    <w:p w14:paraId="689AF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default" w:ascii="宋体" w:hAnsi="宋体" w:eastAsia="宋体" w:cs="宋体"/>
          <w:b w:val="0"/>
          <w:bCs w:val="0"/>
          <w:i w:val="0"/>
          <w:iCs w:val="0"/>
          <w:caps w:val="0"/>
          <w:color w:val="393939"/>
          <w:spacing w:val="0"/>
          <w:kern w:val="0"/>
          <w:sz w:val="24"/>
          <w:szCs w:val="24"/>
          <w:highlight w:val="none"/>
          <w:shd w:val="clear" w:color="auto" w:fill="auto"/>
          <w:lang w:val="en-US" w:eastAsia="zh-CN" w:bidi="ar"/>
        </w:rPr>
      </w:pPr>
    </w:p>
    <w:p w14:paraId="692A437B">
      <w:pPr>
        <w:rPr>
          <w:rFonts w:hint="eastAsia" w:ascii="宋体" w:hAnsi="宋体" w:eastAsia="宋体" w:cs="宋体"/>
          <w:b/>
          <w:bCs w:val="0"/>
          <w:sz w:val="28"/>
          <w:szCs w:val="28"/>
          <w:lang w:eastAsia="zh-CN"/>
        </w:rPr>
      </w:pPr>
    </w:p>
    <w:p w14:paraId="5F009C9E">
      <w:pPr>
        <w:rPr>
          <w:rFonts w:hint="eastAsia" w:ascii="宋体" w:hAnsi="宋体" w:eastAsia="宋体" w:cs="宋体"/>
          <w:b/>
          <w:bCs w:val="0"/>
          <w:sz w:val="28"/>
          <w:szCs w:val="28"/>
          <w:lang w:eastAsia="zh-CN"/>
        </w:rPr>
      </w:pPr>
    </w:p>
    <w:p w14:paraId="002D7921">
      <w:pPr>
        <w:rPr>
          <w:rFonts w:hint="eastAsia" w:ascii="宋体" w:hAnsi="宋体" w:eastAsia="宋体" w:cs="宋体"/>
          <w:b/>
          <w:bCs w:val="0"/>
          <w:sz w:val="28"/>
          <w:szCs w:val="28"/>
          <w:lang w:eastAsia="zh-CN"/>
        </w:rPr>
      </w:pPr>
    </w:p>
    <w:p w14:paraId="63382632">
      <w:pPr>
        <w:rPr>
          <w:rFonts w:hint="eastAsia" w:ascii="宋体" w:hAnsi="宋体" w:eastAsia="宋体" w:cs="宋体"/>
          <w:b/>
          <w:bCs w:val="0"/>
          <w:sz w:val="28"/>
          <w:szCs w:val="28"/>
          <w:lang w:eastAsia="zh-CN"/>
        </w:rPr>
      </w:pPr>
    </w:p>
    <w:p w14:paraId="20275EE5">
      <w:pPr>
        <w:rPr>
          <w:rFonts w:hint="eastAsia" w:ascii="宋体" w:hAnsi="宋体" w:eastAsia="宋体" w:cs="宋体"/>
          <w:b/>
          <w:bCs w:val="0"/>
          <w:sz w:val="28"/>
          <w:szCs w:val="28"/>
          <w:lang w:eastAsia="zh-CN"/>
        </w:rPr>
      </w:pPr>
    </w:p>
    <w:p w14:paraId="59B75B00">
      <w:pPr>
        <w:pStyle w:val="5"/>
        <w:rPr>
          <w:rFonts w:hint="eastAsia" w:ascii="宋体" w:hAnsi="宋体" w:eastAsia="宋体" w:cs="宋体"/>
          <w:b/>
          <w:bCs w:val="0"/>
          <w:sz w:val="28"/>
          <w:szCs w:val="28"/>
          <w:lang w:eastAsia="zh-CN"/>
        </w:rPr>
      </w:pPr>
    </w:p>
    <w:p w14:paraId="01A5ADBA">
      <w:pPr>
        <w:rPr>
          <w:rFonts w:hint="eastAsia" w:ascii="宋体" w:hAnsi="宋体" w:eastAsia="宋体" w:cs="宋体"/>
          <w:b/>
          <w:bCs w:val="0"/>
          <w:sz w:val="28"/>
          <w:szCs w:val="28"/>
          <w:lang w:eastAsia="zh-CN"/>
        </w:rPr>
      </w:pPr>
    </w:p>
    <w:p w14:paraId="683E3641">
      <w:pPr>
        <w:pStyle w:val="5"/>
        <w:rPr>
          <w:rFonts w:hint="eastAsia" w:ascii="宋体" w:hAnsi="宋体" w:eastAsia="宋体" w:cs="宋体"/>
          <w:b/>
          <w:bCs w:val="0"/>
          <w:sz w:val="28"/>
          <w:szCs w:val="28"/>
          <w:lang w:eastAsia="zh-CN"/>
        </w:rPr>
      </w:pPr>
    </w:p>
    <w:p w14:paraId="5347AA37">
      <w:pPr>
        <w:rPr>
          <w:rFonts w:hint="eastAsia" w:ascii="宋体" w:hAnsi="宋体" w:eastAsia="宋体" w:cs="宋体"/>
          <w:b/>
          <w:bCs w:val="0"/>
          <w:sz w:val="28"/>
          <w:szCs w:val="28"/>
          <w:lang w:eastAsia="zh-CN"/>
        </w:rPr>
      </w:pPr>
    </w:p>
    <w:p w14:paraId="00A1D69A">
      <w:pPr>
        <w:pStyle w:val="5"/>
        <w:rPr>
          <w:rFonts w:hint="eastAsia" w:ascii="宋体" w:hAnsi="宋体" w:eastAsia="宋体" w:cs="宋体"/>
          <w:b/>
          <w:bCs w:val="0"/>
          <w:sz w:val="28"/>
          <w:szCs w:val="28"/>
          <w:lang w:eastAsia="zh-CN"/>
        </w:rPr>
      </w:pPr>
    </w:p>
    <w:p w14:paraId="0621AAE7">
      <w:pPr>
        <w:rPr>
          <w:rFonts w:hint="eastAsia"/>
          <w:lang w:eastAsia="zh-CN"/>
        </w:rPr>
      </w:pPr>
    </w:p>
    <w:p w14:paraId="296AA827">
      <w:pPr>
        <w:rPr>
          <w:rFonts w:hint="eastAsia" w:ascii="宋体" w:hAnsi="宋体" w:eastAsia="宋体" w:cs="宋体"/>
          <w:b/>
          <w:bCs w:val="0"/>
          <w:sz w:val="28"/>
          <w:szCs w:val="28"/>
          <w:lang w:eastAsia="zh-CN"/>
        </w:rPr>
      </w:pPr>
    </w:p>
    <w:p w14:paraId="3D652B57">
      <w:pP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二、技术要求</w:t>
      </w:r>
    </w:p>
    <w:p w14:paraId="03B728C4">
      <w:pPr>
        <w:pStyle w:val="2"/>
        <w:tabs>
          <w:tab w:val="left" w:pos="3402"/>
          <w:tab w:val="clear" w:pos="851"/>
        </w:tabs>
        <w:spacing w:before="240" w:after="240"/>
        <w:jc w:val="center"/>
        <w:outlineLvl w:val="2"/>
        <w:rPr>
          <w:rFonts w:hint="default" w:asciiTheme="minorEastAsia" w:hAnsiTheme="minorEastAsia" w:eastAsiaTheme="minorEastAsia" w:cstheme="minorEastAsia"/>
          <w:color w:val="auto"/>
          <w:highlight w:val="none"/>
          <w:shd w:val="clear" w:color="auto" w:fill="auto"/>
          <w:lang w:val="en-US" w:eastAsia="zh-CN"/>
        </w:rPr>
      </w:pPr>
      <w:bookmarkStart w:id="0" w:name="_Toc25477"/>
      <w:bookmarkStart w:id="1" w:name="_Toc407182666"/>
      <w:bookmarkStart w:id="2" w:name="_Toc22353"/>
      <w:bookmarkStart w:id="3" w:name="_Toc25146"/>
      <w:r>
        <w:rPr>
          <w:rFonts w:hint="eastAsia" w:asciiTheme="minorEastAsia" w:hAnsiTheme="minorEastAsia" w:eastAsiaTheme="minorEastAsia" w:cstheme="minorEastAsia"/>
          <w:color w:val="auto"/>
          <w:sz w:val="30"/>
          <w:szCs w:val="30"/>
          <w:highlight w:val="none"/>
          <w:shd w:val="clear" w:color="auto" w:fill="auto"/>
        </w:rPr>
        <w:t xml:space="preserve">第一节 </w:t>
      </w:r>
      <w:bookmarkEnd w:id="0"/>
      <w:bookmarkEnd w:id="1"/>
      <w:bookmarkEnd w:id="2"/>
      <w:bookmarkEnd w:id="3"/>
      <w:r>
        <w:rPr>
          <w:rFonts w:hint="eastAsia" w:asciiTheme="minorEastAsia" w:hAnsiTheme="minorEastAsia" w:eastAsiaTheme="minorEastAsia" w:cstheme="minorEastAsia"/>
          <w:color w:val="auto"/>
          <w:sz w:val="30"/>
          <w:szCs w:val="30"/>
          <w:highlight w:val="none"/>
          <w:shd w:val="clear" w:color="auto" w:fill="auto"/>
        </w:rPr>
        <w:t>采购</w:t>
      </w:r>
      <w:r>
        <w:rPr>
          <w:rFonts w:hint="eastAsia" w:asciiTheme="minorEastAsia" w:hAnsiTheme="minorEastAsia" w:eastAsiaTheme="minorEastAsia" w:cstheme="minorEastAsia"/>
          <w:color w:val="auto"/>
          <w:sz w:val="30"/>
          <w:szCs w:val="30"/>
          <w:highlight w:val="none"/>
          <w:shd w:val="clear" w:color="auto" w:fill="auto"/>
          <w:lang w:val="en-US" w:eastAsia="zh-CN"/>
        </w:rPr>
        <w:t>服务内容及</w:t>
      </w:r>
      <w:r>
        <w:rPr>
          <w:rFonts w:hint="eastAsia" w:asciiTheme="minorEastAsia" w:hAnsiTheme="minorEastAsia" w:eastAsiaTheme="minorEastAsia" w:cstheme="minorEastAsia"/>
          <w:color w:val="auto"/>
          <w:sz w:val="30"/>
          <w:szCs w:val="30"/>
          <w:highlight w:val="none"/>
          <w:shd w:val="clear" w:color="auto" w:fill="auto"/>
        </w:rPr>
        <w:t>技术</w:t>
      </w:r>
      <w:r>
        <w:rPr>
          <w:rFonts w:hint="eastAsia" w:asciiTheme="minorEastAsia" w:hAnsiTheme="minorEastAsia" w:eastAsiaTheme="minorEastAsia" w:cstheme="minorEastAsia"/>
          <w:color w:val="auto"/>
          <w:sz w:val="30"/>
          <w:szCs w:val="30"/>
          <w:highlight w:val="none"/>
          <w:shd w:val="clear" w:color="auto" w:fill="auto"/>
          <w:lang w:val="en-US" w:eastAsia="zh-CN"/>
        </w:rPr>
        <w:t>要求</w:t>
      </w:r>
    </w:p>
    <w:p w14:paraId="09D9A600">
      <w:pPr>
        <w:spacing w:line="560" w:lineRule="exact"/>
        <w:ind w:left="0" w:firstLine="0" w:firstLineChars="0"/>
        <w:outlineLvl w:val="0"/>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t>一、项目概况</w:t>
      </w:r>
    </w:p>
    <w:p w14:paraId="2A58251D">
      <w:pPr>
        <w:widowControl/>
        <w:pBdr>
          <w:top w:val="none" w:color="auto" w:sz="0" w:space="0"/>
          <w:left w:val="none" w:color="auto" w:sz="0" w:space="0"/>
          <w:bottom w:val="none" w:color="auto" w:sz="0" w:space="0"/>
          <w:right w:val="none" w:color="auto" w:sz="0" w:space="0"/>
        </w:pBdr>
        <w:spacing w:before="143" w:beforeLines="50" w:after="143" w:afterLines="50" w:line="560" w:lineRule="exact"/>
        <w:ind w:firstLine="480"/>
        <w:rPr>
          <w:rFonts w:hint="eastAsia" w:ascii="宋体" w:hAnsi="宋体" w:eastAsia="宋体" w:cs="宋体"/>
          <w:color w:val="000000" w:themeColor="text1"/>
          <w:kern w:val="0"/>
          <w:sz w:val="24"/>
          <w:szCs w:val="32"/>
          <w:shd w:val="clear" w:color="auto" w:fill="auto"/>
          <w:lang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bidi="ar"/>
          <w14:textFill>
            <w14:solidFill>
              <w14:schemeClr w14:val="tx1"/>
            </w14:solidFill>
          </w14:textFill>
        </w:rPr>
        <w:t>贵州省住房和城乡建设厅双电源供电，一回10kV桥油线为主供电源、另一回10kV瑞六线为保安电源。线路采用电缆穿管敷设，搭火点从位于办公楼一楼建设银行延安西路人行道路面的10kV桥油线3093#箱开柜和10kV瑞六线环网柜接入。</w:t>
      </w:r>
    </w:p>
    <w:p w14:paraId="46978F0E">
      <w:pPr>
        <w:spacing w:line="520" w:lineRule="exact"/>
        <w:ind w:left="0" w:firstLine="0" w:firstLineChars="0"/>
        <w:outlineLvl w:val="0"/>
        <w:rPr>
          <w:rFonts w:ascii="宋体" w:hAnsi="宋体" w:eastAsia="宋体" w:cs="宋体"/>
          <w:b/>
          <w:bCs/>
          <w:color w:val="000000" w:themeColor="text1"/>
          <w14:textFill>
            <w14:solidFill>
              <w14:schemeClr w14:val="tx1"/>
            </w14:solidFill>
          </w14:textFill>
        </w:rPr>
      </w:pPr>
      <w:r>
        <w:rPr>
          <w:rFonts w:ascii="宋体" w:hAnsi="宋体" w:eastAsia="宋体" w:cs="宋体"/>
          <w:b/>
          <w:bCs/>
          <w:color w:val="000000" w:themeColor="text1"/>
          <w14:textFill>
            <w14:solidFill>
              <w14:schemeClr w14:val="tx1"/>
            </w14:solidFill>
          </w14:textFill>
        </w:rPr>
        <w:t>二、</w:t>
      </w:r>
      <w:r>
        <w:rPr>
          <w:rFonts w:ascii="宋体" w:hAnsi="宋体" w:eastAsia="宋体" w:cs="宋体"/>
          <w:b/>
          <w:bCs/>
          <w:color w:val="000000" w:themeColor="text1"/>
          <w:spacing w:val="0"/>
          <w:sz w:val="24"/>
          <w:szCs w:val="24"/>
          <w14:textFill>
            <w14:solidFill>
              <w14:schemeClr w14:val="tx1"/>
            </w14:solidFill>
          </w14:textFill>
        </w:rPr>
        <w:t>安装主要配电设备如下</w:t>
      </w:r>
    </w:p>
    <w:p w14:paraId="18A99522">
      <w:pPr>
        <w:spacing w:line="65" w:lineRule="exact"/>
        <w:rPr>
          <w:color w:val="000000" w:themeColor="text1"/>
          <w14:textFill>
            <w14:solidFill>
              <w14:schemeClr w14:val="tx1"/>
            </w14:solidFill>
          </w14:textFill>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3011"/>
        <w:gridCol w:w="2405"/>
        <w:gridCol w:w="878"/>
        <w:gridCol w:w="997"/>
        <w:gridCol w:w="1774"/>
      </w:tblGrid>
      <w:tr w14:paraId="1999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93" w:type="dxa"/>
            <w:vAlign w:val="top"/>
          </w:tcPr>
          <w:p w14:paraId="14DB4A1F">
            <w:pPr>
              <w:spacing w:before="227" w:line="221"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序</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号</w:t>
            </w:r>
          </w:p>
        </w:tc>
        <w:tc>
          <w:tcPr>
            <w:tcW w:w="3011" w:type="dxa"/>
            <w:vAlign w:val="top"/>
          </w:tcPr>
          <w:p w14:paraId="35FF9241">
            <w:pPr>
              <w:spacing w:before="226" w:line="222"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名</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称</w:t>
            </w:r>
          </w:p>
        </w:tc>
        <w:tc>
          <w:tcPr>
            <w:tcW w:w="2405" w:type="dxa"/>
            <w:vAlign w:val="top"/>
          </w:tcPr>
          <w:p w14:paraId="72CB490A">
            <w:pPr>
              <w:spacing w:before="227" w:line="221" w:lineRule="auto"/>
              <w:ind w:left="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型</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号</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/参数</w:t>
            </w:r>
          </w:p>
        </w:tc>
        <w:tc>
          <w:tcPr>
            <w:tcW w:w="878" w:type="dxa"/>
            <w:vAlign w:val="top"/>
          </w:tcPr>
          <w:p w14:paraId="6CAFC0D3">
            <w:pPr>
              <w:spacing w:before="226" w:line="221"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单位</w:t>
            </w:r>
          </w:p>
        </w:tc>
        <w:tc>
          <w:tcPr>
            <w:tcW w:w="997" w:type="dxa"/>
            <w:vAlign w:val="top"/>
          </w:tcPr>
          <w:p w14:paraId="69C6FA03">
            <w:pPr>
              <w:spacing w:before="226" w:line="221"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数量</w:t>
            </w:r>
          </w:p>
        </w:tc>
        <w:tc>
          <w:tcPr>
            <w:tcW w:w="1774" w:type="dxa"/>
            <w:vAlign w:val="top"/>
          </w:tcPr>
          <w:p w14:paraId="29A5407B">
            <w:pPr>
              <w:spacing w:before="226" w:line="221" w:lineRule="auto"/>
              <w:ind w:left="0" w:leftChars="0" w:firstLine="0" w:firstLineChars="0"/>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注</w:t>
            </w:r>
          </w:p>
        </w:tc>
      </w:tr>
      <w:tr w14:paraId="5B29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93" w:type="dxa"/>
            <w:vAlign w:val="top"/>
          </w:tcPr>
          <w:p w14:paraId="31047E5B">
            <w:pPr>
              <w:spacing w:before="89" w:line="185"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3011" w:type="dxa"/>
            <w:vAlign w:val="top"/>
          </w:tcPr>
          <w:p w14:paraId="1FD3CADC">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号变压器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保养</w:t>
            </w:r>
          </w:p>
        </w:tc>
        <w:tc>
          <w:tcPr>
            <w:tcW w:w="2405" w:type="dxa"/>
            <w:vAlign w:val="top"/>
          </w:tcPr>
          <w:p w14:paraId="4AF837D2">
            <w:pPr>
              <w:spacing w:before="84" w:line="187"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SCB1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-1600kV</w:t>
            </w:r>
            <w:r>
              <w:rPr>
                <w:rFonts w:hint="eastAsia" w:asciiTheme="minorEastAsia" w:hAnsiTheme="minorEastAsia" w:eastAsiaTheme="minorEastAsia" w:cstheme="minorEastAsia"/>
                <w:color w:val="000000" w:themeColor="text1"/>
                <w:sz w:val="24"/>
                <w:szCs w:val="24"/>
                <w14:textFill>
                  <w14:solidFill>
                    <w14:schemeClr w14:val="tx1"/>
                  </w14:solidFill>
                </w14:textFill>
              </w:rPr>
              <w:t>A</w:t>
            </w:r>
          </w:p>
        </w:tc>
        <w:tc>
          <w:tcPr>
            <w:tcW w:w="878" w:type="dxa"/>
            <w:vAlign w:val="top"/>
          </w:tcPr>
          <w:p w14:paraId="245FB115">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台</w:t>
            </w:r>
          </w:p>
        </w:tc>
        <w:tc>
          <w:tcPr>
            <w:tcW w:w="997" w:type="dxa"/>
            <w:vAlign w:val="top"/>
          </w:tcPr>
          <w:p w14:paraId="61079EE6">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p>
        </w:tc>
        <w:tc>
          <w:tcPr>
            <w:tcW w:w="1774" w:type="dxa"/>
            <w:vAlign w:val="top"/>
          </w:tcPr>
          <w:p w14:paraId="721AD379">
            <w:pPr>
              <w:spacing w:before="42" w:line="216" w:lineRule="auto"/>
              <w:ind w:left="0" w:leftChars="0" w:firstLine="0" w:firstLineChars="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为东楼供电(省住建厅户头)</w:t>
            </w:r>
          </w:p>
        </w:tc>
      </w:tr>
      <w:tr w14:paraId="51D0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727F8C49">
            <w:pPr>
              <w:spacing w:before="91" w:line="184"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3011" w:type="dxa"/>
            <w:vAlign w:val="top"/>
          </w:tcPr>
          <w:p w14:paraId="42EBE2F2">
            <w:pPr>
              <w:spacing w:before="41" w:line="214"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中压开关柜</w:t>
            </w:r>
          </w:p>
        </w:tc>
        <w:tc>
          <w:tcPr>
            <w:tcW w:w="2405" w:type="dxa"/>
            <w:vAlign w:val="top"/>
          </w:tcPr>
          <w:p w14:paraId="343BC74C">
            <w:pPr>
              <w:spacing w:before="88" w:line="183"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KYN28</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w:t>
            </w:r>
          </w:p>
        </w:tc>
        <w:tc>
          <w:tcPr>
            <w:tcW w:w="878" w:type="dxa"/>
            <w:vAlign w:val="top"/>
          </w:tcPr>
          <w:p w14:paraId="656908BC">
            <w:pPr>
              <w:spacing w:before="41" w:line="214"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台</w:t>
            </w:r>
          </w:p>
        </w:tc>
        <w:tc>
          <w:tcPr>
            <w:tcW w:w="997" w:type="dxa"/>
            <w:vAlign w:val="top"/>
          </w:tcPr>
          <w:p w14:paraId="6FC59213">
            <w:pPr>
              <w:ind w:firstLine="0" w:firstLineChars="0"/>
              <w:jc w:val="cente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w:t>
            </w:r>
          </w:p>
        </w:tc>
        <w:tc>
          <w:tcPr>
            <w:tcW w:w="1774" w:type="dxa"/>
            <w:vAlign w:val="top"/>
          </w:tcPr>
          <w:p w14:paraId="138583F1">
            <w:pPr>
              <w:spacing w:before="41" w:line="231" w:lineRule="auto"/>
              <w:ind w:left="0" w:leftChars="0" w:right="117" w:rightChars="0" w:firstLine="0" w:firstLineChars="0"/>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p>
        </w:tc>
      </w:tr>
      <w:tr w14:paraId="2787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4DC11667">
            <w:pPr>
              <w:spacing w:before="88" w:line="183" w:lineRule="auto"/>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3011" w:type="dxa"/>
            <w:vAlign w:val="top"/>
          </w:tcPr>
          <w:p w14:paraId="590727BF">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直</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流屏</w:t>
            </w:r>
          </w:p>
        </w:tc>
        <w:tc>
          <w:tcPr>
            <w:tcW w:w="2405" w:type="dxa"/>
            <w:vAlign w:val="top"/>
          </w:tcPr>
          <w:p w14:paraId="6B620C2A">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TZDW33、</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容量：（</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24Ah</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p>
        </w:tc>
        <w:tc>
          <w:tcPr>
            <w:tcW w:w="878" w:type="dxa"/>
            <w:vAlign w:val="top"/>
          </w:tcPr>
          <w:p w14:paraId="592C46BB">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997" w:type="dxa"/>
            <w:vAlign w:val="top"/>
          </w:tcPr>
          <w:p w14:paraId="00D17E66">
            <w:pPr>
              <w:ind w:firstLine="0" w:firstLineChars="0"/>
              <w:jc w:val="cente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1</w:t>
            </w:r>
          </w:p>
        </w:tc>
        <w:tc>
          <w:tcPr>
            <w:tcW w:w="1774" w:type="dxa"/>
            <w:vAlign w:val="top"/>
          </w:tcPr>
          <w:p w14:paraId="3C01B378">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r w14:paraId="6B20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3A569102">
            <w:pPr>
              <w:spacing w:before="92" w:line="182"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3011" w:type="dxa"/>
            <w:vAlign w:val="top"/>
          </w:tcPr>
          <w:p w14:paraId="177F835E">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七氟丙烷</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消</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防系统</w:t>
            </w:r>
          </w:p>
        </w:tc>
        <w:tc>
          <w:tcPr>
            <w:tcW w:w="2405" w:type="dxa"/>
            <w:vAlign w:val="top"/>
          </w:tcPr>
          <w:p w14:paraId="5BFFE8AC">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tc>
        <w:tc>
          <w:tcPr>
            <w:tcW w:w="878" w:type="dxa"/>
            <w:vAlign w:val="top"/>
          </w:tcPr>
          <w:p w14:paraId="3007AF09">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套</w:t>
            </w:r>
          </w:p>
        </w:tc>
        <w:tc>
          <w:tcPr>
            <w:tcW w:w="997" w:type="dxa"/>
            <w:vAlign w:val="top"/>
          </w:tcPr>
          <w:p w14:paraId="035B1328">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774" w:type="dxa"/>
            <w:vAlign w:val="top"/>
          </w:tcPr>
          <w:p w14:paraId="0ECA657D">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26712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13745740">
            <w:pPr>
              <w:spacing w:before="92" w:line="180"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3011" w:type="dxa"/>
            <w:vAlign w:val="top"/>
          </w:tcPr>
          <w:p w14:paraId="003C8CEA">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配电房内安健环及设备</w:t>
            </w:r>
          </w:p>
        </w:tc>
        <w:tc>
          <w:tcPr>
            <w:tcW w:w="2405" w:type="dxa"/>
            <w:vAlign w:val="top"/>
          </w:tcPr>
          <w:p w14:paraId="5B2D6938">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c>
          <w:tcPr>
            <w:tcW w:w="878" w:type="dxa"/>
            <w:vAlign w:val="top"/>
          </w:tcPr>
          <w:p w14:paraId="0AFFE0BA">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997" w:type="dxa"/>
            <w:vAlign w:val="top"/>
          </w:tcPr>
          <w:p w14:paraId="4DEB5AC3">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774" w:type="dxa"/>
            <w:vAlign w:val="top"/>
          </w:tcPr>
          <w:p w14:paraId="4D7F8BFB">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3410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3" w:type="dxa"/>
            <w:vAlign w:val="top"/>
          </w:tcPr>
          <w:p w14:paraId="05721210">
            <w:pPr>
              <w:spacing w:before="92" w:line="180" w:lineRule="auto"/>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3011" w:type="dxa"/>
            <w:vAlign w:val="top"/>
          </w:tcPr>
          <w:p w14:paraId="6FA540B2">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拆除高压柜、铜排及电缆、隔离刀闸等</w:t>
            </w:r>
          </w:p>
        </w:tc>
        <w:tc>
          <w:tcPr>
            <w:tcW w:w="2405" w:type="dxa"/>
            <w:vAlign w:val="top"/>
          </w:tcPr>
          <w:p w14:paraId="3BA2F9C2">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tc>
        <w:tc>
          <w:tcPr>
            <w:tcW w:w="878" w:type="dxa"/>
            <w:vAlign w:val="top"/>
          </w:tcPr>
          <w:p w14:paraId="05B164BD">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997" w:type="dxa"/>
            <w:vAlign w:val="top"/>
          </w:tcPr>
          <w:p w14:paraId="672A9F2B">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774" w:type="dxa"/>
            <w:vAlign w:val="top"/>
          </w:tcPr>
          <w:p w14:paraId="59D59E03">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4A5D6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3" w:type="dxa"/>
            <w:vAlign w:val="top"/>
          </w:tcPr>
          <w:p w14:paraId="237448A6">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3011" w:type="dxa"/>
            <w:vAlign w:val="center"/>
          </w:tcPr>
          <w:p w14:paraId="65031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高压电缆</w:t>
            </w:r>
          </w:p>
        </w:tc>
        <w:tc>
          <w:tcPr>
            <w:tcW w:w="2405" w:type="dxa"/>
            <w:vAlign w:val="center"/>
          </w:tcPr>
          <w:p w14:paraId="65D7F7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YJV22-8.7/15kV-3x95</w:t>
            </w:r>
          </w:p>
        </w:tc>
        <w:tc>
          <w:tcPr>
            <w:tcW w:w="878" w:type="dxa"/>
            <w:vAlign w:val="center"/>
          </w:tcPr>
          <w:p w14:paraId="4DA850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米</w:t>
            </w:r>
          </w:p>
        </w:tc>
        <w:tc>
          <w:tcPr>
            <w:tcW w:w="997" w:type="dxa"/>
            <w:vAlign w:val="center"/>
          </w:tcPr>
          <w:p w14:paraId="54C9A0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约25</w:t>
            </w:r>
          </w:p>
        </w:tc>
        <w:tc>
          <w:tcPr>
            <w:tcW w:w="1774" w:type="dxa"/>
            <w:vMerge w:val="restart"/>
            <w:vAlign w:val="top"/>
          </w:tcPr>
          <w:p w14:paraId="0CA2F4AF">
            <w:pPr>
              <w:ind w:left="0" w:leftChars="0" w:firstLine="0" w:firstLineChars="0"/>
              <w:jc w:val="both"/>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根据实际采购量据实结算</w:t>
            </w:r>
          </w:p>
        </w:tc>
      </w:tr>
      <w:tr w14:paraId="6F4E1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3" w:type="dxa"/>
            <w:vAlign w:val="top"/>
          </w:tcPr>
          <w:p w14:paraId="5525BD5D">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3011" w:type="dxa"/>
            <w:vAlign w:val="top"/>
          </w:tcPr>
          <w:p w14:paraId="1981B40B">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高压电缆</w:t>
            </w:r>
          </w:p>
        </w:tc>
        <w:tc>
          <w:tcPr>
            <w:tcW w:w="2405" w:type="dxa"/>
            <w:vAlign w:val="top"/>
          </w:tcPr>
          <w:p w14:paraId="6563C841">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YJV22-8.7/15kV-3x70</w:t>
            </w:r>
          </w:p>
        </w:tc>
        <w:tc>
          <w:tcPr>
            <w:tcW w:w="878" w:type="dxa"/>
            <w:vAlign w:val="top"/>
          </w:tcPr>
          <w:p w14:paraId="7C2F0F9E">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米</w:t>
            </w:r>
          </w:p>
        </w:tc>
        <w:tc>
          <w:tcPr>
            <w:tcW w:w="997" w:type="dxa"/>
            <w:vAlign w:val="top"/>
          </w:tcPr>
          <w:p w14:paraId="451CBA2F">
            <w:pPr>
              <w:ind w:firstLine="0" w:firstLineChars="0"/>
              <w:jc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约250</w:t>
            </w:r>
          </w:p>
        </w:tc>
        <w:tc>
          <w:tcPr>
            <w:tcW w:w="1774" w:type="dxa"/>
            <w:vMerge w:val="continue"/>
            <w:vAlign w:val="top"/>
          </w:tcPr>
          <w:p w14:paraId="4A555793">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r w14:paraId="53F9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497A2972">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3011" w:type="dxa"/>
            <w:vAlign w:val="top"/>
          </w:tcPr>
          <w:p w14:paraId="555CD46B">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控制电缆</w:t>
            </w:r>
          </w:p>
        </w:tc>
        <w:tc>
          <w:tcPr>
            <w:tcW w:w="2405" w:type="dxa"/>
            <w:vAlign w:val="top"/>
          </w:tcPr>
          <w:p w14:paraId="13F5A53E">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KVVP-6*2.5</w:t>
            </w:r>
          </w:p>
        </w:tc>
        <w:tc>
          <w:tcPr>
            <w:tcW w:w="878" w:type="dxa"/>
            <w:vAlign w:val="top"/>
          </w:tcPr>
          <w:p w14:paraId="505E5108">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米</w:t>
            </w:r>
          </w:p>
        </w:tc>
        <w:tc>
          <w:tcPr>
            <w:tcW w:w="997" w:type="dxa"/>
            <w:vAlign w:val="top"/>
          </w:tcPr>
          <w:p w14:paraId="61785519">
            <w:pPr>
              <w:ind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约50</w:t>
            </w:r>
          </w:p>
        </w:tc>
        <w:tc>
          <w:tcPr>
            <w:tcW w:w="1774" w:type="dxa"/>
            <w:vMerge w:val="continue"/>
            <w:vAlign w:val="top"/>
          </w:tcPr>
          <w:p w14:paraId="2B9C0D7C">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5451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3" w:type="dxa"/>
            <w:vAlign w:val="top"/>
          </w:tcPr>
          <w:p w14:paraId="6D1C15C2">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3011" w:type="dxa"/>
            <w:vAlign w:val="top"/>
          </w:tcPr>
          <w:p w14:paraId="0053081D">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直流屏电源电缆</w:t>
            </w:r>
          </w:p>
        </w:tc>
        <w:tc>
          <w:tcPr>
            <w:tcW w:w="2405" w:type="dxa"/>
            <w:vAlign w:val="top"/>
          </w:tcPr>
          <w:p w14:paraId="525CC2A5">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YJV-0.6/1kV-4*2.5</w:t>
            </w:r>
          </w:p>
        </w:tc>
        <w:tc>
          <w:tcPr>
            <w:tcW w:w="878" w:type="dxa"/>
            <w:vAlign w:val="top"/>
          </w:tcPr>
          <w:p w14:paraId="1FCF8A42">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米</w:t>
            </w:r>
          </w:p>
        </w:tc>
        <w:tc>
          <w:tcPr>
            <w:tcW w:w="997" w:type="dxa"/>
            <w:vAlign w:val="top"/>
          </w:tcPr>
          <w:p w14:paraId="79902371">
            <w:pPr>
              <w:ind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约75</w:t>
            </w:r>
          </w:p>
        </w:tc>
        <w:tc>
          <w:tcPr>
            <w:tcW w:w="1774" w:type="dxa"/>
            <w:vMerge w:val="continue"/>
            <w:vAlign w:val="top"/>
          </w:tcPr>
          <w:p w14:paraId="49D3C344">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74CA5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93" w:type="dxa"/>
            <w:vAlign w:val="top"/>
          </w:tcPr>
          <w:p w14:paraId="2C6427FA">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3011" w:type="dxa"/>
            <w:vAlign w:val="top"/>
          </w:tcPr>
          <w:p w14:paraId="7AC4DE5C">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电缆熔接头（含防爆盒）</w:t>
            </w:r>
          </w:p>
        </w:tc>
        <w:tc>
          <w:tcPr>
            <w:tcW w:w="2405" w:type="dxa"/>
            <w:vAlign w:val="top"/>
          </w:tcPr>
          <w:p w14:paraId="5A4A3727">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YJY22-3*95</w:t>
            </w:r>
          </w:p>
        </w:tc>
        <w:tc>
          <w:tcPr>
            <w:tcW w:w="878" w:type="dxa"/>
            <w:vAlign w:val="top"/>
          </w:tcPr>
          <w:p w14:paraId="44879883">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套</w:t>
            </w:r>
          </w:p>
        </w:tc>
        <w:tc>
          <w:tcPr>
            <w:tcW w:w="997" w:type="dxa"/>
            <w:vAlign w:val="top"/>
          </w:tcPr>
          <w:p w14:paraId="4610F255">
            <w:pPr>
              <w:ind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p>
        </w:tc>
        <w:tc>
          <w:tcPr>
            <w:tcW w:w="1774" w:type="dxa"/>
            <w:vAlign w:val="top"/>
          </w:tcPr>
          <w:p w14:paraId="1CD9AAC7">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bl>
    <w:p w14:paraId="270F95EA">
      <w:pPr>
        <w:spacing w:line="74" w:lineRule="exact"/>
        <w:rPr>
          <w:color w:val="000000" w:themeColor="text1"/>
          <w14:textFill>
            <w14:solidFill>
              <w14:schemeClr w14:val="tx1"/>
            </w14:solidFill>
          </w14:textFill>
        </w:rPr>
      </w:pPr>
    </w:p>
    <w:p w14:paraId="34DBFE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宋体" w:hAnsi="宋体" w:eastAsia="宋体" w:cs="宋体"/>
          <w:b/>
          <w:bCs/>
          <w:color w:val="000000" w:themeColor="text1"/>
          <w:sz w:val="24"/>
          <w:szCs w:val="32"/>
          <w:lang w:eastAsia="zh-CN"/>
          <w14:textFill>
            <w14:solidFill>
              <w14:schemeClr w14:val="tx1"/>
            </w14:solidFill>
          </w14:textFill>
        </w:rPr>
      </w:pPr>
      <w:r>
        <w:rPr>
          <w:rFonts w:hint="default" w:ascii="宋体" w:hAnsi="宋体" w:eastAsia="宋体" w:cs="宋体"/>
          <w:b/>
          <w:bCs/>
          <w:color w:val="000000" w:themeColor="text1"/>
          <w:sz w:val="24"/>
          <w:szCs w:val="32"/>
          <w:lang w:eastAsia="zh-CN"/>
          <w14:textFill>
            <w14:solidFill>
              <w14:schemeClr w14:val="tx1"/>
            </w14:solidFill>
          </w14:textFill>
        </w:rPr>
        <w:t>三、投标报价说明</w:t>
      </w:r>
    </w:p>
    <w:p w14:paraId="5598318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本工程为交钥匙工程，投标人应按“交钥匙工程”综合考虑报价，包括但不限于以下内容：</w:t>
      </w:r>
    </w:p>
    <w:p w14:paraId="5BA49ED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1.除了新增设施设备的安装就位、调试和送电外，还</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高压柜与变压器连接和变压器与新低压柜连接的铜排，以及盘柜间</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高压、控制线及电源</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电线电缆等</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的</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连接</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6895D89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2.包含原</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高压柜及隔离刀闸等</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设施设备的拆除费用，拆除后的原设施设备归</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采购人</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所有；</w:t>
      </w:r>
    </w:p>
    <w:p w14:paraId="4BCB052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3.包含设备基础</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改造</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费用，即</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柜子及变压器等安装工程的设备基础</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槽钢、角钢及接地</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，也</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管沟等土建工程</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320341E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4.</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如果新旧设备进出需要拆除配电房门的，报价应</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门的拆除及恢复费用</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3200486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5</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配电房照明（全部更换灯线），</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配电房原有所有墙面重新抹灰</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并刷乳胶漆</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地面处理并刷防尘</w:t>
      </w:r>
      <w:r>
        <w:rPr>
          <w:rFonts w:hint="default" w:ascii="宋体" w:hAnsi="宋体" w:eastAsia="宋体" w:cs="宋体"/>
          <w:color w:val="000000" w:themeColor="text1"/>
          <w:kern w:val="0"/>
          <w:sz w:val="24"/>
          <w:szCs w:val="32"/>
          <w:shd w:val="clear" w:color="auto" w:fill="auto"/>
          <w:lang w:bidi="ar"/>
          <w14:textFill>
            <w14:solidFill>
              <w14:schemeClr w14:val="tx1"/>
            </w14:solidFill>
          </w14:textFill>
        </w:rPr>
        <w:t>漆</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57BFA80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6、要做到停电时长尽可能短，因用电变压器后端均带有负荷，不能长时间停电；</w:t>
      </w:r>
    </w:p>
    <w:p w14:paraId="7E0519A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7、</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包含实施过程中的保电措施费用和安全措施费等</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5396F5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8.本项目最高限价：</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672645</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.00元</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w:t>
      </w:r>
    </w:p>
    <w:p w14:paraId="2CDED3B6">
      <w:pPr>
        <w:rPr>
          <w:rFonts w:hint="eastAsia" w:ascii="宋体" w:hAnsi="宋体" w:eastAsia="宋体" w:cs="宋体"/>
          <w:b/>
          <w:bCs w:val="0"/>
          <w:sz w:val="28"/>
          <w:szCs w:val="28"/>
          <w:lang w:eastAsia="zh-CN"/>
        </w:rPr>
      </w:pPr>
    </w:p>
    <w:p w14:paraId="4BAAEB3E">
      <w:pPr>
        <w:pStyle w:val="5"/>
        <w:rPr>
          <w:rFonts w:hint="eastAsia"/>
          <w:lang w:eastAsia="zh-CN"/>
        </w:rPr>
      </w:pPr>
    </w:p>
    <w:p w14:paraId="21DF4237">
      <w:pPr>
        <w:rPr>
          <w:rFonts w:hint="eastAsia" w:ascii="宋体" w:hAnsi="宋体" w:eastAsia="宋体" w:cs="宋体"/>
          <w:b/>
          <w:bCs w:val="0"/>
          <w:sz w:val="28"/>
          <w:szCs w:val="28"/>
        </w:rPr>
      </w:pPr>
      <w:r>
        <w:rPr>
          <w:rFonts w:hint="eastAsia" w:ascii="宋体" w:hAnsi="宋体" w:eastAsia="宋体" w:cs="宋体"/>
          <w:b/>
          <w:bCs w:val="0"/>
          <w:sz w:val="28"/>
          <w:szCs w:val="28"/>
          <w:lang w:eastAsia="zh-CN"/>
        </w:rPr>
        <w:t>三、</w:t>
      </w:r>
      <w:r>
        <w:rPr>
          <w:rFonts w:hint="eastAsia" w:ascii="宋体" w:hAnsi="宋体" w:eastAsia="宋体" w:cs="宋体"/>
          <w:b/>
          <w:bCs w:val="0"/>
          <w:sz w:val="28"/>
          <w:szCs w:val="28"/>
        </w:rPr>
        <w:t>主要商务要求</w:t>
      </w:r>
    </w:p>
    <w:p w14:paraId="720C5B20">
      <w:pPr>
        <w:pStyle w:val="2"/>
        <w:tabs>
          <w:tab w:val="left" w:pos="3402"/>
          <w:tab w:val="clear" w:pos="851"/>
        </w:tabs>
        <w:spacing w:before="240" w:after="240"/>
        <w:jc w:val="cente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第二节 商务要求</w:t>
      </w:r>
    </w:p>
    <w:p w14:paraId="2A8E810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一、供货期及供货地点</w:t>
      </w:r>
    </w:p>
    <w:p w14:paraId="32D07ED9">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eastAsia="zh-CN"/>
        </w:rPr>
        <w:t>（一）供货期：合同签订后20个日历天内，完成供货、安装、通电。</w:t>
      </w:r>
    </w:p>
    <w:p w14:paraId="2604579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（二）供货地点：贵州省贵阳市云岩区延安西路1号建设大厦，贵州省住房和城乡建设厅办公大楼。</w:t>
      </w:r>
    </w:p>
    <w:p w14:paraId="308623B7">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二、投标有效期：</w:t>
      </w:r>
    </w:p>
    <w:p w14:paraId="2F8BFBF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投标截止之日起90个日历日</w:t>
      </w:r>
    </w:p>
    <w:p w14:paraId="59DE4744">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三、</w:t>
      </w:r>
      <w:r>
        <w:rPr>
          <w:rFonts w:hint="eastAsia" w:asciiTheme="minorEastAsia" w:hAnsiTheme="minorEastAsia" w:eastAsiaTheme="minorEastAsia" w:cstheme="minorEastAsia"/>
          <w:sz w:val="24"/>
          <w:szCs w:val="24"/>
          <w:shd w:val="clear" w:color="auto" w:fill="auto"/>
          <w:lang w:eastAsia="zh-CN"/>
        </w:rPr>
        <w:t>质量、验收标准、规范</w:t>
      </w:r>
    </w:p>
    <w:p w14:paraId="7429097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（一）质量标准：符合国家现行有关标准及规范，并满足采购人的要求；</w:t>
      </w:r>
    </w:p>
    <w:p w14:paraId="6C7C34E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（二）验收标准、规范：执行国家现行有关质量验收规范标准。</w:t>
      </w:r>
    </w:p>
    <w:p w14:paraId="3460DD5D">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四、</w:t>
      </w:r>
      <w:r>
        <w:rPr>
          <w:rFonts w:hint="eastAsia" w:asciiTheme="minorEastAsia" w:hAnsiTheme="minorEastAsia" w:eastAsiaTheme="minorEastAsia" w:cstheme="minorEastAsia"/>
          <w:sz w:val="24"/>
          <w:szCs w:val="24"/>
          <w:shd w:val="clear" w:color="auto" w:fill="auto"/>
          <w:lang w:eastAsia="zh-CN"/>
        </w:rPr>
        <w:t>付款方式：</w:t>
      </w:r>
    </w:p>
    <w:p w14:paraId="0276DA2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货物必须为全新的、标牌齐全、清晰合格的产品，货物的价格为完成供货安装调试及验收合格、质保期内服务所有费用的含税价格。货物安装调试完成后，采购人按有关规定组织验收，验收合格后，竣工验收后无质量问题进行结算，结算款付至结算价的97%，预留3%质保金，缺陷责任期两年届满后无任何质量问题，一次性无息退还质保金。</w:t>
      </w:r>
    </w:p>
    <w:p w14:paraId="5F5D866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五、质保期</w:t>
      </w:r>
    </w:p>
    <w:p w14:paraId="6CDAFBF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2年（采购人验收合格之日起计算）</w:t>
      </w:r>
    </w:p>
    <w:p w14:paraId="5F5558B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六、其他要求</w:t>
      </w:r>
    </w:p>
    <w:p w14:paraId="1C85294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（一）更换的原有设备，搬运至采购人指定地点；</w:t>
      </w:r>
      <w:r>
        <w:rPr>
          <w:rFonts w:hint="eastAsia" w:asciiTheme="minorEastAsia" w:hAnsiTheme="minorEastAsia" w:eastAsiaTheme="minorEastAsia" w:cstheme="minorEastAsia"/>
          <w:sz w:val="24"/>
          <w:szCs w:val="24"/>
          <w:shd w:val="clear" w:color="auto" w:fill="auto"/>
          <w:lang w:eastAsia="zh-CN"/>
        </w:rPr>
        <w:t>（自行承诺，格式自拟）</w:t>
      </w:r>
    </w:p>
    <w:p w14:paraId="0AC4EC60">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二）在设备进场安装、调试时，项目经理（项目负责人），技术负责人必须在项目现场到岗履行职责，缺勤按每人每天扣减违约金500元。项目现场作业人员（如高压电作业人员）必须持特种作业操作证；（自行承诺，格式自拟）</w:t>
      </w:r>
    </w:p>
    <w:p w14:paraId="71A4F446">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（三）供应商具备24小时应急抢修能力，故障发生后1小时内到达项目现场，24小时内修复；未按承诺响应故障的，每次扣减合同金额1%，重大失误将承担赔偿责任。（自行承诺，格式自拟）</w:t>
      </w:r>
    </w:p>
    <w:p w14:paraId="757A043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（四）真空断路器操动机构采用功能模块化设计，操动机构自带机械防跳装置并集成储能电机操作手柄，提供断路器厂家出具的断路器操动机构结构说明图作为佐证材料</w:t>
      </w:r>
    </w:p>
    <w:p w14:paraId="5C0C9BC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（五）真空断路器短路开断电流直流分量百分比最高要达到52%，满容量开断次数最高要达到50次，提供断路器厂家出具的型式试验报告作为证明文件</w:t>
      </w:r>
    </w:p>
    <w:p w14:paraId="347BD613">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七、现场踏勘：</w:t>
      </w:r>
    </w:p>
    <w:p w14:paraId="22447A7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采购人不组织现场踏勘，有踏勘需求的供应商自行到现场踏勘，采购人对任何供应商均视为对现场已作深入了解，对供应商关于本项目的任何推理与判断不负任何责任。因踏勘不详产生的偏差，由供应商自行负责。</w:t>
      </w:r>
    </w:p>
    <w:p w14:paraId="47DA63C1">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p>
    <w:p w14:paraId="73122DBB">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p>
    <w:p w14:paraId="2AD29131">
      <w:pP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br w:type="page"/>
      </w:r>
    </w:p>
    <w:p w14:paraId="62F0E23F">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五、评审方法</w:t>
      </w:r>
    </w:p>
    <w:p w14:paraId="65E82F7E">
      <w:pPr>
        <w:pStyle w:val="4"/>
        <w:rPr>
          <w:rFonts w:hint="eastAsia"/>
          <w:sz w:val="28"/>
          <w:szCs w:val="28"/>
          <w:lang w:val="en-US" w:eastAsia="zh-CN"/>
        </w:rPr>
      </w:pPr>
    </w:p>
    <w:p w14:paraId="656783FB">
      <w:pPr>
        <w:pStyle w:val="4"/>
        <w:ind w:left="0" w:leftChars="0" w:firstLine="0" w:firstLineChars="0"/>
        <w:rPr>
          <w:rFonts w:hint="eastAsia"/>
          <w:sz w:val="28"/>
          <w:szCs w:val="28"/>
          <w:lang w:val="en-US" w:eastAsia="zh-CN"/>
        </w:rPr>
      </w:pPr>
      <w:r>
        <w:rPr>
          <w:rFonts w:hint="eastAsia"/>
          <w:sz w:val="28"/>
          <w:szCs w:val="28"/>
          <w:lang w:val="en-US" w:eastAsia="zh-CN"/>
        </w:rPr>
        <w:t>本次评审采用综合评分法</w:t>
      </w:r>
    </w:p>
    <w:p w14:paraId="64F3A7C6">
      <w:pPr>
        <w:ind w:firstLine="0" w:firstLineChars="0"/>
        <w:rPr>
          <w:rFonts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报价分：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30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34"/>
        <w:gridCol w:w="5652"/>
      </w:tblGrid>
      <w:tr w14:paraId="16B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6" w:type="dxa"/>
            <w:vAlign w:val="center"/>
          </w:tcPr>
          <w:p w14:paraId="71599560">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1234" w:type="dxa"/>
            <w:vAlign w:val="center"/>
          </w:tcPr>
          <w:p w14:paraId="6CAF5F2A">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值</w:t>
            </w:r>
          </w:p>
        </w:tc>
        <w:tc>
          <w:tcPr>
            <w:tcW w:w="5652" w:type="dxa"/>
            <w:vAlign w:val="center"/>
          </w:tcPr>
          <w:p w14:paraId="0FD53A8F">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19FC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14:paraId="3CB4EE32">
            <w:pPr>
              <w:ind w:firstLine="0" w:firstLineChars="0"/>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投标报价</w:t>
            </w:r>
          </w:p>
        </w:tc>
        <w:tc>
          <w:tcPr>
            <w:tcW w:w="1234" w:type="dxa"/>
            <w:vAlign w:val="center"/>
          </w:tcPr>
          <w:p w14:paraId="6C108E89">
            <w:pPr>
              <w:ind w:firstLine="210" w:firstLineChars="100"/>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30</w:t>
            </w:r>
          </w:p>
        </w:tc>
        <w:tc>
          <w:tcPr>
            <w:tcW w:w="5652" w:type="dxa"/>
          </w:tcPr>
          <w:p w14:paraId="26F2CEDF">
            <w:pPr>
              <w:ind w:left="0" w:leftChars="0" w:firstLine="480" w:firstLineChars="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实质性响应磋商文件要求且价格最低的报价为磋商基准价，其价格分为满分。其他供应商的价格分统一按照下列公式计算：</w:t>
            </w:r>
          </w:p>
          <w:p w14:paraId="3B2B14DF">
            <w:pPr>
              <w:ind w:left="0" w:leftChars="0" w:firstLine="480" w:firstLineChars="0"/>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磋商报价得分=（磋商基准价/最终磋商报价）×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30</w:t>
            </w:r>
          </w:p>
          <w:p w14:paraId="64450EEA">
            <w:pPr>
              <w:ind w:left="0" w:leftChars="0" w:firstLine="480" w:firstLineChars="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注：</w:t>
            </w:r>
          </w:p>
          <w:p w14:paraId="48B4D888">
            <w:pPr>
              <w:ind w:firstLine="48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1.磋商基准价指实质性响应磋商文件且磋商价格最低的磋商报价；</w:t>
            </w:r>
          </w:p>
          <w:p w14:paraId="5F572045">
            <w:pPr>
              <w:ind w:firstLine="48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2.经评审无效的磋商报价，不进入价格分计算；</w:t>
            </w:r>
          </w:p>
          <w:p w14:paraId="2E9770DD">
            <w:pPr>
              <w:ind w:firstLine="48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3.本项目专门面向中小企业采购，不再执行价格扣除优惠</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1DDEE594">
            <w:pPr>
              <w:ind w:firstLine="480" w:firstLineChars="0"/>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14:textFill>
                  <w14:solidFill>
                    <w14:schemeClr w14:val="tx1"/>
                  </w14:solidFill>
                </w14:textFill>
              </w:rPr>
              <w:t>供应商投标报价超过</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本项目最高投标限价</w:t>
            </w:r>
            <w:r>
              <w:rPr>
                <w:rFonts w:hint="eastAsia" w:ascii="宋体" w:hAnsi="宋体" w:eastAsia="宋体" w:cs="宋体"/>
                <w:color w:val="000000" w:themeColor="text1"/>
                <w:highlight w:val="none"/>
                <w:shd w:val="clear" w:color="auto" w:fill="auto"/>
                <w14:textFill>
                  <w14:solidFill>
                    <w14:schemeClr w14:val="tx1"/>
                  </w14:solidFill>
                </w14:textFill>
              </w:rPr>
              <w:t>、未按竞争性磋商文件要求进行报价或磋商小组认为供应商的报价明显低于其他通过符合性审查供应商的报价，有可能影响产品质量或者不能诚信履约的，应当要求其在评标现场合理的时间内提供书面说明，必要时提供相关材料；供应商不能证明其报价合理性的，磋商小组应当将其作为无效投标处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tc>
      </w:tr>
    </w:tbl>
    <w:p w14:paraId="6103194A">
      <w:pPr>
        <w:ind w:firstLine="0" w:firstLineChars="0"/>
        <w:rPr>
          <w:rFonts w:ascii="宋体" w:hAnsi="宋体" w:eastAsia="宋体" w:cs="宋体"/>
          <w:color w:val="000000" w:themeColor="text1"/>
          <w:highlight w:val="none"/>
          <w:shd w:val="clear" w:color="auto" w:fill="auto"/>
          <w14:textFill>
            <w14:solidFill>
              <w14:schemeClr w14:val="tx1"/>
            </w14:solidFill>
          </w14:textFill>
        </w:rPr>
      </w:pPr>
    </w:p>
    <w:p w14:paraId="57D0447E">
      <w:p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br w:type="page"/>
      </w:r>
    </w:p>
    <w:p w14:paraId="17477C69">
      <w:pPr>
        <w:ind w:firstLine="0" w:firstLineChars="0"/>
        <w:rPr>
          <w:rFonts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技术分：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40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W w:w="871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167"/>
        <w:gridCol w:w="5333"/>
      </w:tblGrid>
      <w:tr w14:paraId="6848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8" w:type="dxa"/>
            <w:vAlign w:val="center"/>
          </w:tcPr>
          <w:p w14:paraId="13A7AD10">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2167" w:type="dxa"/>
            <w:vAlign w:val="center"/>
          </w:tcPr>
          <w:p w14:paraId="08078BE4">
            <w:pPr>
              <w:ind w:firstLine="0" w:firstLineChars="0"/>
              <w:jc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评审项/分值</w:t>
            </w:r>
          </w:p>
        </w:tc>
        <w:tc>
          <w:tcPr>
            <w:tcW w:w="5333" w:type="dxa"/>
            <w:vAlign w:val="center"/>
          </w:tcPr>
          <w:p w14:paraId="1973463D">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7718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8" w:type="dxa"/>
            <w:vMerge w:val="restart"/>
            <w:vAlign w:val="center"/>
          </w:tcPr>
          <w:p w14:paraId="1B5167AD">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技术分</w:t>
            </w:r>
          </w:p>
        </w:tc>
        <w:tc>
          <w:tcPr>
            <w:tcW w:w="2167" w:type="dxa"/>
            <w:vAlign w:val="center"/>
          </w:tcPr>
          <w:p w14:paraId="0F5E8751">
            <w:pPr>
              <w:ind w:firstLine="0" w:firstLineChars="0"/>
              <w:jc w:val="center"/>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供货安装实施方案（10分）</w:t>
            </w:r>
          </w:p>
        </w:tc>
        <w:tc>
          <w:tcPr>
            <w:tcW w:w="5333" w:type="dxa"/>
          </w:tcPr>
          <w:p w14:paraId="54835559">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w:t>
            </w:r>
            <w:r>
              <w:rPr>
                <w:rFonts w:hint="eastAsia" w:ascii="宋体" w:hAnsi="宋体" w:eastAsia="宋体" w:cs="宋体"/>
                <w:color w:val="000000" w:themeColor="text1"/>
                <w:sz w:val="24"/>
                <w:szCs w:val="22"/>
                <w:lang w:val="en-US" w:eastAsia="zh-CN"/>
                <w14:textFill>
                  <w14:solidFill>
                    <w14:schemeClr w14:val="tx1"/>
                  </w14:solidFill>
                </w14:textFill>
              </w:rPr>
              <w:t>供应商提供符合本项目实际的供货安装实施方案。</w:t>
            </w:r>
          </w:p>
          <w:p w14:paraId="449F2F14">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①供货安装实施方案清晰明了，可实施性强，能够完全满足本项目需求的得10-7分；</w:t>
            </w:r>
          </w:p>
          <w:p w14:paraId="71CBB977">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②供货安装实施方案较为完整，可实施性较强，能够较好满足本项目需求的得6-3分；</w:t>
            </w:r>
          </w:p>
          <w:p w14:paraId="011B1C93">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③供货安装实施方案可实施性较一般，能够基本满足本项目需求的得2-1分；</w:t>
            </w:r>
          </w:p>
          <w:p w14:paraId="35839237">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未提供的，得0分。</w:t>
            </w:r>
          </w:p>
        </w:tc>
      </w:tr>
      <w:tr w14:paraId="1681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218" w:type="dxa"/>
            <w:vMerge w:val="continue"/>
            <w:vAlign w:val="center"/>
          </w:tcPr>
          <w:p w14:paraId="55F076CE">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0B3ABAE9">
            <w:pPr>
              <w:pStyle w:val="8"/>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项目负责人（10分）</w:t>
            </w:r>
          </w:p>
        </w:tc>
        <w:tc>
          <w:tcPr>
            <w:tcW w:w="5333" w:type="dxa"/>
          </w:tcPr>
          <w:p w14:paraId="557819CE">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w:t>
            </w:r>
            <w:r>
              <w:rPr>
                <w:rFonts w:hint="default" w:asciiTheme="minorEastAsia" w:hAnsiTheme="minorEastAsia" w:eastAsiaTheme="minorEastAsia"/>
                <w:color w:val="000000" w:themeColor="text1"/>
                <w:lang w:eastAsia="zh-CN"/>
                <w14:textFill>
                  <w14:solidFill>
                    <w14:schemeClr w14:val="tx1"/>
                  </w14:solidFill>
                </w14:textFill>
              </w:rPr>
              <w:t>负责人</w:t>
            </w:r>
            <w:r>
              <w:rPr>
                <w:rFonts w:asciiTheme="minorEastAsia" w:hAnsiTheme="minorEastAsia" w:eastAsiaTheme="minorEastAsia"/>
                <w:color w:val="000000" w:themeColor="text1"/>
                <w14:textFill>
                  <w14:solidFill>
                    <w14:schemeClr w14:val="tx1"/>
                  </w14:solidFill>
                </w14:textFill>
              </w:rPr>
              <w:t>具有</w:t>
            </w:r>
            <w:r>
              <w:rPr>
                <w:rFonts w:hint="eastAsia" w:asciiTheme="minorEastAsia" w:hAnsiTheme="minorEastAsia" w:eastAsiaTheme="minorEastAsia"/>
                <w:color w:val="000000" w:themeColor="text1"/>
                <w:lang w:eastAsia="zh-CN"/>
                <w14:textFill>
                  <w14:solidFill>
                    <w14:schemeClr w14:val="tx1"/>
                  </w14:solidFill>
                </w14:textFill>
              </w:rPr>
              <w:t>中</w:t>
            </w:r>
            <w:r>
              <w:rPr>
                <w:rFonts w:asciiTheme="minorEastAsia" w:hAnsiTheme="minorEastAsia" w:eastAsiaTheme="minorEastAsia"/>
                <w:color w:val="000000" w:themeColor="text1"/>
                <w14:textFill>
                  <w14:solidFill>
                    <w14:schemeClr w14:val="tx1"/>
                  </w14:solidFill>
                </w14:textFill>
              </w:rPr>
              <w:t>级及以上职称得</w:t>
            </w:r>
            <w:r>
              <w:rPr>
                <w:rFonts w:hint="default"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w:t>
            </w:r>
          </w:p>
          <w:p w14:paraId="3737DD67">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asciiTheme="minorEastAsia" w:hAnsiTheme="minorEastAsia" w:eastAsiaTheme="minorEastAsia"/>
                <w:color w:val="000000" w:themeColor="text1"/>
                <w14:textFill>
                  <w14:solidFill>
                    <w14:schemeClr w14:val="tx1"/>
                  </w14:solidFill>
                </w14:textFill>
              </w:rPr>
              <w:t>相关证书</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r w14:paraId="0CDA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8" w:type="dxa"/>
            <w:vMerge w:val="continue"/>
            <w:vAlign w:val="center"/>
          </w:tcPr>
          <w:p w14:paraId="310B350D">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0D3ADBEE">
            <w:pPr>
              <w:spacing w:line="240"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技术负责人（10分）</w:t>
            </w:r>
          </w:p>
        </w:tc>
        <w:tc>
          <w:tcPr>
            <w:tcW w:w="5333" w:type="dxa"/>
          </w:tcPr>
          <w:p w14:paraId="1C2BEF6D">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asciiTheme="minorEastAsia" w:hAnsiTheme="minorEastAsia" w:eastAsiaTheme="minorEastAsia"/>
                <w:color w:val="000000" w:themeColor="text1"/>
                <w14:textFill>
                  <w14:solidFill>
                    <w14:schemeClr w14:val="tx1"/>
                  </w14:solidFill>
                </w14:textFill>
              </w:rPr>
            </w:pPr>
            <w:r>
              <w:rPr>
                <w:rFonts w:hint="default" w:asciiTheme="minorEastAsia" w:hAnsiTheme="minorEastAsia" w:eastAsiaTheme="minorEastAsia"/>
                <w:color w:val="000000" w:themeColor="text1"/>
                <w:lang w:eastAsia="zh-CN"/>
                <w14:textFill>
                  <w14:solidFill>
                    <w14:schemeClr w14:val="tx1"/>
                  </w14:solidFill>
                </w14:textFill>
              </w:rPr>
              <w:t>技术负责人</w:t>
            </w:r>
            <w:r>
              <w:rPr>
                <w:rFonts w:asciiTheme="minorEastAsia" w:hAnsiTheme="minorEastAsia" w:eastAsiaTheme="minorEastAsia"/>
                <w:color w:val="000000" w:themeColor="text1"/>
                <w14:textFill>
                  <w14:solidFill>
                    <w14:schemeClr w14:val="tx1"/>
                  </w14:solidFill>
                </w14:textFill>
              </w:rPr>
              <w:t>具有高级及以上职称得</w:t>
            </w:r>
            <w:r>
              <w:rPr>
                <w:rFonts w:hint="default"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分，具有中级职称得</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分，其它不得分。</w:t>
            </w:r>
          </w:p>
          <w:p w14:paraId="5E15F0AD">
            <w:pPr>
              <w:widowControl/>
              <w:ind w:firstLine="420" w:firstLineChars="200"/>
              <w:rPr>
                <w:rFonts w:hint="eastAsia" w:asciiTheme="minorEastAsia" w:hAnsiTheme="minorEastAsia" w:eastAsiaTheme="minorEastAsia"/>
                <w:b w:val="0"/>
                <w:bCs w:val="0"/>
                <w:color w:val="000000" w:themeColor="text1"/>
                <w:sz w:val="24"/>
                <w:szCs w:val="24"/>
                <w:u w:val="none"/>
                <w:lang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asciiTheme="minorEastAsia" w:hAnsiTheme="minorEastAsia" w:eastAsiaTheme="minorEastAsia"/>
                <w:color w:val="000000" w:themeColor="text1"/>
                <w14:textFill>
                  <w14:solidFill>
                    <w14:schemeClr w14:val="tx1"/>
                  </w14:solidFill>
                </w14:textFill>
              </w:rPr>
              <w:t>相关证书</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r w14:paraId="2EF9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8" w:type="dxa"/>
            <w:vAlign w:val="center"/>
          </w:tcPr>
          <w:p w14:paraId="4C5D548E">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650C477C">
            <w:pPr>
              <w:spacing w:line="240"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其他人员（10分）</w:t>
            </w:r>
          </w:p>
        </w:tc>
        <w:tc>
          <w:tcPr>
            <w:tcW w:w="5333" w:type="dxa"/>
          </w:tcPr>
          <w:p w14:paraId="39484D2D">
            <w:pPr>
              <w:widowControl/>
              <w:ind w:firstLine="420" w:firstLineChars="200"/>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除项目负责人，技术负责人，投标供应商对</w:t>
            </w:r>
            <w:r>
              <w:rPr>
                <w:rFonts w:asciiTheme="minorEastAsia" w:hAnsiTheme="minorEastAsia" w:eastAsiaTheme="minorEastAsia"/>
                <w:color w:val="000000" w:themeColor="text1"/>
                <w14:textFill>
                  <w14:solidFill>
                    <w14:schemeClr w14:val="tx1"/>
                  </w14:solidFill>
                </w14:textFill>
              </w:rPr>
              <w:t>本项目配备高压电工作业人员</w:t>
            </w:r>
            <w:r>
              <w:rPr>
                <w:rFonts w:hint="eastAsia" w:asciiTheme="minorEastAsia" w:hAnsiTheme="minorEastAsia" w:eastAsiaTheme="minorEastAsia"/>
                <w:color w:val="000000" w:themeColor="text1"/>
                <w:lang w:eastAsia="zh-CN"/>
                <w14:textFill>
                  <w14:solidFill>
                    <w14:schemeClr w14:val="tx1"/>
                  </w14:solidFill>
                </w14:textFill>
              </w:rPr>
              <w:t>，每配备</w:t>
            </w:r>
            <w:r>
              <w:rPr>
                <w:rFonts w:hint="eastAsia" w:asciiTheme="minorEastAsia" w:hAnsiTheme="minorEastAsia" w:eastAsiaTheme="minorEastAsia"/>
                <w:color w:val="000000" w:themeColor="text1"/>
                <w:lang w:val="en-US" w:eastAsia="zh-CN"/>
                <w14:textFill>
                  <w14:solidFill>
                    <w14:schemeClr w14:val="tx1"/>
                  </w14:solidFill>
                </w14:textFill>
              </w:rPr>
              <w:t>1人得5分，满分10分。</w:t>
            </w:r>
          </w:p>
          <w:p w14:paraId="416A252A">
            <w:pPr>
              <w:widowControl/>
              <w:ind w:firstLine="42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hint="eastAsia" w:asciiTheme="minorEastAsia" w:hAnsiTheme="minorEastAsia" w:eastAsiaTheme="minorEastAsia"/>
                <w:color w:val="000000" w:themeColor="text1"/>
                <w:lang w:eastAsia="zh-CN"/>
                <w14:textFill>
                  <w14:solidFill>
                    <w14:schemeClr w14:val="tx1"/>
                  </w14:solidFill>
                </w14:textFill>
              </w:rPr>
              <w:t>人员特种作业操作证（高压电工）</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bl>
    <w:p w14:paraId="02B6D781">
      <w:pPr>
        <w:rPr>
          <w:rFonts w:hint="eastAsia" w:ascii="宋体" w:hAnsi="宋体" w:eastAsia="宋体" w:cs="宋体"/>
          <w:b/>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eastAsia="zh-CN"/>
          <w14:textFill>
            <w14:solidFill>
              <w14:schemeClr w14:val="tx1"/>
            </w14:solidFill>
          </w14:textFill>
        </w:rPr>
        <w:br w:type="page"/>
      </w:r>
    </w:p>
    <w:p w14:paraId="219FF29F">
      <w:pPr>
        <w:rPr>
          <w:color w:val="000000" w:themeColor="text1"/>
          <w14:textFill>
            <w14:solidFill>
              <w14:schemeClr w14:val="tx1"/>
            </w14:solidFill>
          </w14:textFill>
        </w:rPr>
      </w:pPr>
      <w:r>
        <w:rPr>
          <w:rFonts w:hint="eastAsia" w:ascii="宋体" w:hAnsi="宋体" w:eastAsia="宋体" w:cs="宋体"/>
          <w:b/>
          <w:bCs/>
          <w:color w:val="000000" w:themeColor="text1"/>
          <w:highlight w:val="none"/>
          <w:shd w:val="clear" w:color="auto" w:fill="auto"/>
          <w:lang w:eastAsia="zh-CN"/>
          <w14:textFill>
            <w14:solidFill>
              <w14:schemeClr w14:val="tx1"/>
            </w14:solidFill>
          </w14:textFill>
        </w:rPr>
        <w:t>商务</w:t>
      </w:r>
      <w:r>
        <w:rPr>
          <w:rFonts w:hint="eastAsia" w:ascii="宋体" w:hAnsi="宋体" w:eastAsia="宋体" w:cs="宋体"/>
          <w:b/>
          <w:bCs/>
          <w:color w:val="000000" w:themeColor="text1"/>
          <w:highlight w:val="none"/>
          <w:shd w:val="clear" w:color="auto" w:fill="auto"/>
          <w14:textFill>
            <w14:solidFill>
              <w14:schemeClr w14:val="tx1"/>
            </w14:solidFill>
          </w14:textFill>
        </w:rPr>
        <w:t>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30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pPr w:leftFromText="180" w:rightFromText="180" w:vertAnchor="text" w:horzAnchor="page" w:tblpX="1609" w:tblpY="336"/>
        <w:tblOverlap w:val="never"/>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170"/>
        <w:gridCol w:w="5330"/>
      </w:tblGrid>
      <w:tr w14:paraId="17B5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1" w:type="dxa"/>
            <w:vAlign w:val="center"/>
          </w:tcPr>
          <w:p w14:paraId="27217257">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2170" w:type="dxa"/>
            <w:vAlign w:val="center"/>
          </w:tcPr>
          <w:p w14:paraId="40B0B8A4">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分值</w:t>
            </w:r>
          </w:p>
        </w:tc>
        <w:tc>
          <w:tcPr>
            <w:tcW w:w="5330" w:type="dxa"/>
            <w:vAlign w:val="center"/>
          </w:tcPr>
          <w:p w14:paraId="124256D2">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1AC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211" w:type="dxa"/>
            <w:vMerge w:val="restart"/>
            <w:vAlign w:val="center"/>
          </w:tcPr>
          <w:p w14:paraId="017C4779">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商务分</w:t>
            </w:r>
          </w:p>
        </w:tc>
        <w:tc>
          <w:tcPr>
            <w:tcW w:w="2170" w:type="dxa"/>
            <w:vAlign w:val="center"/>
          </w:tcPr>
          <w:p w14:paraId="5BAD4D10">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ascii="宋体" w:hAnsi="宋体" w:eastAsia="宋体" w:cs="宋体"/>
                <w:b w:val="0"/>
                <w:bCs w:val="0"/>
                <w:color w:val="000000" w:themeColor="text1"/>
                <w14:textFill>
                  <w14:solidFill>
                    <w14:schemeClr w14:val="tx1"/>
                  </w14:solidFill>
                </w14:textFill>
              </w:rPr>
              <w:t>投标</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供应商业绩</w:t>
            </w:r>
          </w:p>
          <w:p w14:paraId="3C32DA64">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（20分）</w:t>
            </w:r>
          </w:p>
        </w:tc>
        <w:tc>
          <w:tcPr>
            <w:tcW w:w="5330" w:type="dxa"/>
          </w:tcPr>
          <w:p w14:paraId="1543851D">
            <w:pPr>
              <w:widowControl/>
              <w:ind w:firstLine="420" w:firstLineChars="200"/>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供应商提供2021年01月01日至今</w:t>
            </w:r>
            <w:r>
              <w:rPr>
                <w:rFonts w:hint="default" w:cs="Times New Roman" w:asciiTheme="minorEastAsia" w:hAnsiTheme="minorEastAsia" w:eastAsiaTheme="minorEastAsia"/>
                <w:color w:val="000000" w:themeColor="text1"/>
                <w:kern w:val="2"/>
                <w:sz w:val="24"/>
                <w:szCs w:val="24"/>
                <w:lang w:val="en-US" w:eastAsia="zh-CN"/>
                <w14:textFill>
                  <w14:solidFill>
                    <w14:schemeClr w14:val="tx1"/>
                  </w14:solidFill>
                </w14:textFill>
              </w:rPr>
              <w:t>（响应文件递交截止时间）的</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类似项目业绩，每提供一个业绩得</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5</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分，满分</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20</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w:t>
            </w:r>
          </w:p>
          <w:p w14:paraId="704B5E8E">
            <w:pPr>
              <w:widowControl/>
              <w:rPr>
                <w:rFonts w:eastAsia="宋体" w:asciiTheme="minorEastAsia" w:hAnsiTheme="minorEastAsia"/>
                <w:color w:val="000000" w:themeColor="text1"/>
                <w:highlight w:val="none"/>
                <w:shd w:val="clear" w:color="auto" w:fill="auto"/>
                <w:lang w:val="en-US"/>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注：上述业绩提供合同或中标通知书，复印件加盖投标供应商公章，不提供不得分。</w:t>
            </w:r>
          </w:p>
        </w:tc>
      </w:tr>
      <w:tr w14:paraId="6C1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1211" w:type="dxa"/>
            <w:vMerge w:val="continue"/>
            <w:vAlign w:val="center"/>
          </w:tcPr>
          <w:p w14:paraId="7F29CBD7">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2170" w:type="dxa"/>
            <w:vAlign w:val="center"/>
          </w:tcPr>
          <w:p w14:paraId="22C5EC7E">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质保期（8分）</w:t>
            </w:r>
          </w:p>
        </w:tc>
        <w:tc>
          <w:tcPr>
            <w:tcW w:w="5330" w:type="dxa"/>
            <w:vAlign w:val="top"/>
          </w:tcPr>
          <w:p w14:paraId="3E0871C9">
            <w:pPr>
              <w:keepNext w:val="0"/>
              <w:keepLines w:val="0"/>
              <w:widowControl/>
              <w:suppressLineNumbers w:val="0"/>
              <w:ind w:firstLine="480" w:firstLineChars="200"/>
              <w:jc w:val="left"/>
              <w:rPr>
                <w:rFonts w:hint="eastAsia" w:ascii="宋体" w:hAnsi="宋体" w:eastAsia="宋体" w:cs="宋体"/>
                <w:color w:val="000000" w:themeColor="text1"/>
                <w:kern w:val="0"/>
                <w:sz w:val="24"/>
                <w:szCs w:val="24"/>
                <w:shd w:val="clear" w:color="auto" w:fill="auto"/>
                <w:lang w:val="en-US" w:eastAsia="zh-CN" w:bidi="ar"/>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在采购文件要求基础上，</w:t>
            </w:r>
            <w:r>
              <w:rPr>
                <w:rFonts w:asciiTheme="minorEastAsia" w:hAnsiTheme="minorEastAsia" w:eastAsiaTheme="minorEastAsia"/>
                <w:color w:val="000000" w:themeColor="text1"/>
                <w14:textFill>
                  <w14:solidFill>
                    <w14:schemeClr w14:val="tx1"/>
                  </w14:solidFill>
                </w14:textFill>
              </w:rPr>
              <w:t>投标</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供应商每承诺增加一年质保期得</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4</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分，满分</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8</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分。（自行承诺，格式自拟）</w:t>
            </w:r>
          </w:p>
        </w:tc>
      </w:tr>
      <w:tr w14:paraId="3128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11" w:type="dxa"/>
            <w:vMerge w:val="continue"/>
            <w:vAlign w:val="center"/>
          </w:tcPr>
          <w:p w14:paraId="7C877BFB">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2170" w:type="dxa"/>
            <w:vAlign w:val="center"/>
          </w:tcPr>
          <w:p w14:paraId="0F1EE22C">
            <w:pPr>
              <w:spacing w:line="276" w:lineRule="auto"/>
              <w:ind w:firstLine="0" w:firstLineChars="0"/>
              <w:jc w:val="both"/>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作业时间</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（2分）</w:t>
            </w:r>
          </w:p>
          <w:p w14:paraId="6B2C636C">
            <w:pPr>
              <w:spacing w:line="276"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5330" w:type="dxa"/>
            <w:vAlign w:val="center"/>
          </w:tcPr>
          <w:p w14:paraId="269A78A6">
            <w:pPr>
              <w:ind w:firstLine="480"/>
              <w:rPr>
                <w:rFonts w:hint="default"/>
                <w:color w:val="000000" w:themeColor="text1"/>
                <w:lang w:val="en-US" w:eastAsia="zh-CN"/>
                <w14:textFill>
                  <w14:solidFill>
                    <w14:schemeClr w14:val="tx1"/>
                  </w14:solidFill>
                </w14:textFill>
              </w:rPr>
            </w:pPr>
            <w:r>
              <w:rPr>
                <w:rFonts w:asciiTheme="minorEastAsia" w:hAnsiTheme="minorEastAsia" w:eastAsiaTheme="minorEastAsia"/>
                <w:color w:val="000000" w:themeColor="text1"/>
                <w:lang w:bidi="ar"/>
                <w14:textFill>
                  <w14:solidFill>
                    <w14:schemeClr w14:val="tx1"/>
                  </w14:solidFill>
                </w14:textFill>
              </w:rPr>
              <w:t>投标</w:t>
            </w:r>
            <w:r>
              <w:rPr>
                <w:rFonts w:hint="default" w:asciiTheme="minorEastAsia" w:hAnsiTheme="minorEastAsia" w:eastAsiaTheme="minorEastAsia"/>
                <w:color w:val="000000" w:themeColor="text1"/>
                <w:lang w:eastAsia="zh-CN" w:bidi="ar"/>
                <w14:textFill>
                  <w14:solidFill>
                    <w14:schemeClr w14:val="tx1"/>
                  </w14:solidFill>
                </w14:textFill>
              </w:rPr>
              <w:t>供应商</w:t>
            </w:r>
            <w:r>
              <w:rPr>
                <w:rFonts w:hint="default" w:asciiTheme="minorEastAsia" w:hAnsiTheme="minorEastAsia" w:eastAsiaTheme="minorEastAsia"/>
                <w:color w:val="000000" w:themeColor="text1"/>
                <w:lang w:bidi="ar"/>
                <w14:textFill>
                  <w14:solidFill>
                    <w14:schemeClr w14:val="tx1"/>
                  </w14:solidFill>
                </w14:textFill>
              </w:rPr>
              <w:t>承诺利用非工作日、非工作时合理安排作业时间</w:t>
            </w:r>
            <w:r>
              <w:rPr>
                <w:rFonts w:hint="default" w:asciiTheme="minorEastAsia" w:hAnsiTheme="minorEastAsia" w:eastAsiaTheme="minorEastAsia"/>
                <w:color w:val="000000" w:themeColor="text1"/>
                <w:lang w:eastAsia="zh-CN" w:bidi="ar"/>
                <w14:textFill>
                  <w14:solidFill>
                    <w14:schemeClr w14:val="tx1"/>
                  </w14:solidFill>
                </w14:textFill>
              </w:rPr>
              <w:t>，</w:t>
            </w:r>
            <w:r>
              <w:rPr>
                <w:rFonts w:hint="default" w:asciiTheme="minorEastAsia" w:hAnsiTheme="minorEastAsia" w:eastAsiaTheme="minorEastAsia"/>
                <w:color w:val="000000" w:themeColor="text1"/>
                <w:lang w:bidi="ar"/>
                <w14:textFill>
                  <w14:solidFill>
                    <w14:schemeClr w14:val="tx1"/>
                  </w14:solidFill>
                </w14:textFill>
              </w:rPr>
              <w:t>避免干扰</w:t>
            </w:r>
            <w:r>
              <w:rPr>
                <w:rFonts w:hint="default" w:asciiTheme="minorEastAsia" w:hAnsiTheme="minorEastAsia" w:eastAsiaTheme="minorEastAsia"/>
                <w:color w:val="000000" w:themeColor="text1"/>
                <w:lang w:val="en-US" w:eastAsia="zh-CN" w:bidi="ar"/>
                <w14:textFill>
                  <w14:solidFill>
                    <w14:schemeClr w14:val="tx1"/>
                  </w14:solidFill>
                </w14:textFill>
              </w:rPr>
              <w:t>采购人</w:t>
            </w:r>
            <w:r>
              <w:rPr>
                <w:rFonts w:hint="default" w:asciiTheme="minorEastAsia" w:hAnsiTheme="minorEastAsia" w:eastAsiaTheme="minorEastAsia"/>
                <w:color w:val="000000" w:themeColor="text1"/>
                <w:lang w:bidi="ar"/>
                <w14:textFill>
                  <w14:solidFill>
                    <w14:schemeClr w14:val="tx1"/>
                  </w14:solidFill>
                </w14:textFill>
              </w:rPr>
              <w:t>各业务部门正常工作的得</w:t>
            </w:r>
            <w:r>
              <w:rPr>
                <w:rFonts w:hint="default" w:asciiTheme="minorEastAsia" w:hAnsiTheme="minorEastAsia" w:eastAsiaTheme="minorEastAsia"/>
                <w:color w:val="000000" w:themeColor="text1"/>
                <w:lang w:val="en-US" w:eastAsia="zh-CN" w:bidi="ar"/>
                <w14:textFill>
                  <w14:solidFill>
                    <w14:schemeClr w14:val="tx1"/>
                  </w14:solidFill>
                </w14:textFill>
              </w:rPr>
              <w:t>2</w:t>
            </w:r>
            <w:r>
              <w:rPr>
                <w:rFonts w:hint="default" w:asciiTheme="minorEastAsia" w:hAnsiTheme="minorEastAsia" w:eastAsiaTheme="minorEastAsia"/>
                <w:color w:val="000000" w:themeColor="text1"/>
                <w:lang w:bidi="ar"/>
                <w14:textFill>
                  <w14:solidFill>
                    <w14:schemeClr w14:val="tx1"/>
                  </w14:solidFill>
                </w14:textFill>
              </w:rPr>
              <w:t>分，不承诺不得分。</w:t>
            </w:r>
            <w:r>
              <w:rPr>
                <w:rFonts w:hint="default" w:asciiTheme="minorEastAsia" w:hAnsiTheme="minorEastAsia" w:eastAsiaTheme="minorEastAsia"/>
                <w:color w:val="000000" w:themeColor="text1"/>
                <w:lang w:eastAsia="zh-CN" w:bidi="ar"/>
                <w14:textFill>
                  <w14:solidFill>
                    <w14:schemeClr w14:val="tx1"/>
                  </w14:solidFill>
                </w14:textFill>
              </w:rPr>
              <w:t>（自行承诺，格式自拟）</w:t>
            </w:r>
          </w:p>
        </w:tc>
      </w:tr>
    </w:tbl>
    <w:p w14:paraId="792EFED9">
      <w:pPr>
        <w:ind w:firstLine="0" w:firstLineChars="0"/>
        <w:rPr>
          <w:rFonts w:hint="eastAsia" w:ascii="宋体" w:hAnsi="宋体" w:eastAsia="宋体" w:cs="宋体"/>
          <w:b w:val="0"/>
          <w:bCs w:val="0"/>
          <w:color w:val="auto"/>
          <w:sz w:val="24"/>
          <w:szCs w:val="28"/>
          <w:highlight w:val="none"/>
          <w:shd w:val="clear" w:color="auto" w:fill="auto"/>
        </w:rPr>
      </w:pPr>
    </w:p>
    <w:p w14:paraId="6C045257">
      <w:pPr>
        <w:ind w:left="480" w:firstLine="0" w:firstLineChars="0"/>
        <w:rPr>
          <w:rFonts w:ascii="宋体" w:hAnsi="宋体" w:eastAsia="宋体"/>
          <w:highlight w:val="none"/>
        </w:rPr>
      </w:pPr>
    </w:p>
    <w:p w14:paraId="2116727D">
      <w:pPr>
        <w:ind w:left="480" w:firstLine="0" w:firstLineChars="0"/>
        <w:rPr>
          <w:rFonts w:ascii="宋体" w:hAnsi="宋体" w:eastAsia="宋体"/>
          <w:highlight w:val="none"/>
        </w:rPr>
      </w:pPr>
    </w:p>
    <w:p w14:paraId="5197D595">
      <w:pPr>
        <w:pStyle w:val="13"/>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六、无效标条款及废标条款</w:t>
      </w:r>
    </w:p>
    <w:p w14:paraId="0211010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废标条款</w:t>
      </w:r>
    </w:p>
    <w:p w14:paraId="1749429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出现下列情形之一的，本项目给予废标，项目磋商终止：</w:t>
      </w:r>
    </w:p>
    <w:p w14:paraId="70F16F4E">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（一）符合专业条件的或对竞争性磋商文件作实质响应的供应商不足三家的；</w:t>
      </w:r>
    </w:p>
    <w:p w14:paraId="14FD2D7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（二）出现影响采购公正的违法、违规行为的；</w:t>
      </w:r>
    </w:p>
    <w:p w14:paraId="5B7E69BC">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（三）供应商报价均超过了采购预算，采购人不能支付的；</w:t>
      </w:r>
    </w:p>
    <w:p w14:paraId="4BC33ED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（四）因重大变故，采购任务取消的。</w:t>
      </w:r>
    </w:p>
    <w:p w14:paraId="4A34096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无效标条款</w:t>
      </w:r>
    </w:p>
    <w:p w14:paraId="50A42AA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出现下列情形之一的，供应商递交的响应文件作无效投标处理，该供应商的响应文件不参与评审：</w:t>
      </w:r>
    </w:p>
    <w:p w14:paraId="39F7BE0B">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（一）递交的响应文件不完整或未按竞争性磋商文件要求盖公章及签字的；</w:t>
      </w:r>
    </w:p>
    <w:p w14:paraId="5347C6F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（二）供应商不符合国家及竞争性磋商文件规定的资格条件的；</w:t>
      </w:r>
    </w:p>
    <w:p w14:paraId="70CC4B5E">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（三）投标联合体未提交联合投标协议的；</w:t>
      </w:r>
    </w:p>
    <w:p w14:paraId="2DA66D0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（四）初始报价经评审委员会认定低于成本价的；</w:t>
      </w:r>
    </w:p>
    <w:p w14:paraId="6F3C399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（五）最终报价高于竞争性磋商文件载明的最高限价的；</w:t>
      </w:r>
    </w:p>
    <w:p w14:paraId="744F497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（六）响应文件未对竞争性磋商文件的实质性要求和条件作出响应的；</w:t>
      </w:r>
    </w:p>
    <w:p w14:paraId="339DCFBA">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（七）供应商有串通投标、弄虚作假、行贿等违法行为的；</w:t>
      </w:r>
    </w:p>
    <w:p w14:paraId="284EDC8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（八）有下列情形之一的，视为供应商串通投标，其投标无效：</w:t>
      </w:r>
    </w:p>
    <w:p w14:paraId="7529B9C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1.不同供应商的磋商响应文件由同一单位或者个人编制；</w:t>
      </w:r>
    </w:p>
    <w:p w14:paraId="05961345">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2.不同供应商委托同一单位或者个人办理投标事宜；</w:t>
      </w:r>
    </w:p>
    <w:p w14:paraId="67FD2F5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3.不同供应商的磋商响应文件载明的项目管理成员或者联系人员为同一人；</w:t>
      </w:r>
    </w:p>
    <w:p w14:paraId="56D1CCE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4.不同供应商的磋商响应文件异常一致或者磋商报价呈规律性差异；</w:t>
      </w:r>
    </w:p>
    <w:p w14:paraId="249C003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5.不同供应商的磋商响应文件相互混装；</w:t>
      </w:r>
    </w:p>
    <w:p w14:paraId="6C7467C3">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6.不同供应商的投标保证金从同一单位或者个人的账户转出。</w:t>
      </w:r>
    </w:p>
    <w:p w14:paraId="2C84B0D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（九）响应文件未胶装成册的（采用打孔装订、活页夹等方式装订的响应文件作为无效投标处理）；</w:t>
      </w:r>
    </w:p>
    <w:p w14:paraId="1773CE67">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（十）未缴纳保证金的；</w:t>
      </w:r>
    </w:p>
    <w:p w14:paraId="6C7B8834">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（十一）投标有效期不足的投标无效；</w:t>
      </w:r>
    </w:p>
    <w:p w14:paraId="649335E7">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（十二）单位负责人为同一人或者存在直接控股、管理关系的不同供应商，不得参加同一合同项下的政府采购活动；</w:t>
      </w:r>
    </w:p>
    <w:p w14:paraId="057CDF65">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（十三）为本项目提供整体设计、规范编制或者项目管理、监理、检测等服务的供应商参加本采购项目的；</w:t>
      </w:r>
    </w:p>
    <w:p w14:paraId="51F70FDF">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eastAsia="宋体" w:asciiTheme="minorEastAsia" w:hAnsiTheme="minorEastAsia" w:cstheme="minorEastAsia"/>
          <w:color w:val="000000"/>
          <w:kern w:val="0"/>
          <w:sz w:val="24"/>
          <w:szCs w:val="24"/>
          <w:lang w:val="en-US" w:eastAsia="zh-CN" w:bidi="ar"/>
        </w:rPr>
      </w:pPr>
      <w:r>
        <w:rPr>
          <w:rFonts w:hint="eastAsia" w:ascii="宋体" w:hAnsi="宋体" w:eastAsia="宋体" w:cs="宋体"/>
          <w:color w:val="auto"/>
          <w:kern w:val="2"/>
          <w:sz w:val="24"/>
          <w:szCs w:val="24"/>
          <w:lang w:val="en-US" w:eastAsia="zh-CN" w:bidi="ar-SA"/>
        </w:rPr>
        <w:t>（十四）违反政府采购法律法规,足以导致响应文件无效的情形</w:t>
      </w:r>
      <w:r>
        <w:rPr>
          <w:rFonts w:hint="eastAsia" w:hAnsi="宋体" w:eastAsia="宋体" w:cs="宋体"/>
          <w:color w:val="auto"/>
          <w:kern w:val="2"/>
          <w:sz w:val="24"/>
          <w:szCs w:val="24"/>
          <w:lang w:val="en-US" w:eastAsia="zh-CN" w:bidi="ar-SA"/>
        </w:rPr>
        <w: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22381"/>
    <w:multiLevelType w:val="singleLevel"/>
    <w:tmpl w:val="19E223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2QwYmM3MjczM2FhZDU0NDYxMTRiNTVmYjE3ZTUifQ=="/>
  </w:docVars>
  <w:rsids>
    <w:rsidRoot w:val="00000000"/>
    <w:rsid w:val="02DE5ECF"/>
    <w:rsid w:val="064E12C8"/>
    <w:rsid w:val="0B2D5659"/>
    <w:rsid w:val="0CD03B5A"/>
    <w:rsid w:val="11612EA2"/>
    <w:rsid w:val="1DD77CE1"/>
    <w:rsid w:val="20000609"/>
    <w:rsid w:val="2A615F7E"/>
    <w:rsid w:val="2C606B5C"/>
    <w:rsid w:val="39EA6F21"/>
    <w:rsid w:val="3A5F2E20"/>
    <w:rsid w:val="3B636BE5"/>
    <w:rsid w:val="3B8701AA"/>
    <w:rsid w:val="3D373021"/>
    <w:rsid w:val="4C546144"/>
    <w:rsid w:val="50E26B2B"/>
    <w:rsid w:val="578D1EAB"/>
    <w:rsid w:val="59D464F5"/>
    <w:rsid w:val="654C7BEB"/>
    <w:rsid w:val="65EC5154"/>
    <w:rsid w:val="713B48D6"/>
    <w:rsid w:val="756D573F"/>
    <w:rsid w:val="7737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3">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Cs w:val="20"/>
    </w:rPr>
  </w:style>
  <w:style w:type="paragraph" w:styleId="5">
    <w:name w:val="Body Text"/>
    <w:basedOn w:val="1"/>
    <w:next w:val="1"/>
    <w:autoRedefine/>
    <w:semiHidden/>
    <w:qFormat/>
    <w:uiPriority w:val="0"/>
    <w:rPr>
      <w:rFonts w:ascii="黑体" w:hAnsi="黑体" w:eastAsia="黑体" w:cs="黑体"/>
      <w:sz w:val="31"/>
      <w:szCs w:val="31"/>
      <w:lang w:val="en-US" w:eastAsia="en-US" w:bidi="ar-SA"/>
    </w:rPr>
  </w:style>
  <w:style w:type="paragraph" w:styleId="6">
    <w:name w:val="Block Text"/>
    <w:basedOn w:val="1"/>
    <w:autoRedefine/>
    <w:qFormat/>
    <w:uiPriority w:val="99"/>
    <w:pPr>
      <w:spacing w:after="120"/>
      <w:ind w:left="1440" w:leftChars="700" w:right="1440" w:rightChars="700"/>
    </w:p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文档正文"/>
    <w:basedOn w:val="1"/>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paragraph" w:customStyle="1" w:styleId="14">
    <w:name w:val="_Style 2"/>
    <w:next w:val="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15">
    <w:name w:val="首行缩进"/>
    <w:basedOn w:val="1"/>
    <w:qFormat/>
    <w:uiPriority w:val="0"/>
    <w:pPr>
      <w:ind w:firstLine="480"/>
    </w:pPr>
    <w:rPr>
      <w:lang w:val="zh-CN"/>
    </w:rPr>
  </w:style>
  <w:style w:type="character" w:customStyle="1" w:styleId="16">
    <w:name w:val="p141"/>
    <w:autoRedefine/>
    <w:qFormat/>
    <w:uiPriority w:val="0"/>
    <w:rPr>
      <w:sz w:val="21"/>
      <w:szCs w:val="21"/>
    </w:rPr>
  </w:style>
  <w:style w:type="paragraph" w:styleId="17">
    <w:name w:val="List Paragraph"/>
    <w:basedOn w:val="1"/>
    <w:qFormat/>
    <w:uiPriority w:val="34"/>
    <w:pPr>
      <w:ind w:firstLine="420" w:firstLineChars="200"/>
    </w:pPr>
    <w:rPr>
      <w:rFonts w:ascii="Calibri" w:hAnsi="Calibri" w:eastAsia="宋体"/>
    </w:rPr>
  </w:style>
  <w:style w:type="paragraph" w:customStyle="1" w:styleId="18">
    <w:name w:val="p0"/>
    <w:basedOn w:val="1"/>
    <w:qFormat/>
    <w:uiPriority w:val="0"/>
    <w:pPr>
      <w:jc w:val="both"/>
    </w:pPr>
    <w:rPr>
      <w:szCs w:val="21"/>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2244</Words>
  <Characters>2448</Characters>
  <Lines>0</Lines>
  <Paragraphs>0</Paragraphs>
  <TotalTime>0</TotalTime>
  <ScaleCrop>false</ScaleCrop>
  <LinksUpToDate>false</LinksUpToDate>
  <CharactersWithSpaces>2460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2023-11-14T07:47:00Z</dcterms:created>
  <dc:creator>Administrator</dc:creator>
  <cp:lastModifiedBy>Administrator</cp:lastModifiedBy>
  <dcterms:modified xsi:type="dcterms:W3CDTF">2025-07-31T03:27:23Z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136002219A6144CA87985EE6C52DF879_12</vt:lpwstr>
  </property>
  <property fmtid="{D5CDD505-2E9C-101B-9397-08002B2CF9AE}" pid="4" name="KSOTemplateDocerSaveRecord">
    <vt:lpwstr>eyJoZGlkIjoiNDU5M2QwYmM3MjczM2FhZDU0NDYxMTRiNTVmYjE3ZTUiLCJ1c2VySWQiOiIzNTE4MTY4OTgifQ==</vt:lpwstr>
  </property>
</Properties>
</file>