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11D5B">
      <w:pPr>
        <w:keepNext w:val="0"/>
        <w:keepLines w:val="0"/>
        <w:pageBreakBefore w:val="0"/>
        <w:kinsoku/>
        <w:wordWrap/>
        <w:overflowPunct/>
        <w:topLinePunct w:val="0"/>
        <w:bidi w:val="0"/>
        <w:snapToGrid/>
        <w:spacing w:line="400" w:lineRule="exact"/>
        <w:ind w:firstLine="0" w:firstLineChars="0"/>
        <w:jc w:val="center"/>
        <w:textAlignment w:val="auto"/>
        <w:rPr>
          <w:rFonts w:hint="eastAsia" w:ascii="仿宋" w:hAnsi="仿宋" w:eastAsia="仿宋" w:cs="仿宋"/>
          <w:b/>
          <w:bCs/>
          <w:color w:val="auto"/>
          <w:kern w:val="0"/>
          <w:sz w:val="36"/>
          <w:szCs w:val="36"/>
          <w:highlight w:val="none"/>
          <w:lang w:val="en-US" w:eastAsia="zh-CN"/>
        </w:rPr>
      </w:pPr>
      <w:r>
        <w:rPr>
          <w:rFonts w:hint="eastAsia" w:ascii="仿宋" w:hAnsi="仿宋" w:eastAsia="仿宋" w:cs="仿宋"/>
          <w:b/>
          <w:bCs/>
          <w:color w:val="auto"/>
          <w:kern w:val="0"/>
          <w:sz w:val="36"/>
          <w:szCs w:val="36"/>
          <w:highlight w:val="none"/>
          <w:lang w:eastAsia="zh-CN"/>
        </w:rPr>
        <w:t>贵州省交通运输与能源融合发展研究</w:t>
      </w:r>
      <w:r>
        <w:rPr>
          <w:rFonts w:hint="eastAsia" w:ascii="仿宋" w:hAnsi="仿宋" w:eastAsia="仿宋" w:cs="仿宋"/>
          <w:b/>
          <w:bCs/>
          <w:color w:val="auto"/>
          <w:kern w:val="0"/>
          <w:sz w:val="36"/>
          <w:szCs w:val="36"/>
          <w:highlight w:val="none"/>
          <w:lang w:val="en-US" w:eastAsia="zh-CN"/>
        </w:rPr>
        <w:t>采购需求公示</w:t>
      </w:r>
    </w:p>
    <w:p w14:paraId="0A397ABA">
      <w:pPr>
        <w:spacing w:line="360" w:lineRule="auto"/>
        <w:ind w:left="-420" w:leftChars="-200" w:right="113" w:rightChars="54"/>
        <w:jc w:val="center"/>
        <w:rPr>
          <w:rFonts w:hint="eastAsia" w:ascii="宋体" w:hAnsi="宋体" w:cs="宋体"/>
          <w:b/>
          <w:color w:val="auto"/>
          <w:w w:val="90"/>
          <w:sz w:val="36"/>
          <w:szCs w:val="36"/>
          <w:highlight w:val="none"/>
          <w:lang w:val="en-US" w:eastAsia="zh-CN"/>
        </w:rPr>
      </w:pPr>
    </w:p>
    <w:p w14:paraId="1911F3A5">
      <w:pPr>
        <w:spacing w:line="360" w:lineRule="auto"/>
        <w:ind w:left="-420" w:leftChars="-200" w:right="113" w:rightChars="54"/>
        <w:jc w:val="center"/>
        <w:rPr>
          <w:rFonts w:hint="default" w:ascii="黑体" w:hAnsi="黑体" w:eastAsia="黑体" w:cs="黑体"/>
          <w:b/>
          <w:color w:val="auto"/>
          <w:w w:val="90"/>
          <w:sz w:val="36"/>
          <w:szCs w:val="36"/>
          <w:highlight w:val="none"/>
          <w:lang w:val="en-US" w:eastAsia="zh-CN"/>
        </w:rPr>
      </w:pPr>
      <w:r>
        <w:rPr>
          <w:rFonts w:hint="eastAsia" w:ascii="黑体" w:hAnsi="黑体" w:eastAsia="黑体" w:cs="黑体"/>
          <w:b/>
          <w:color w:val="auto"/>
          <w:w w:val="90"/>
          <w:sz w:val="36"/>
          <w:szCs w:val="36"/>
          <w:highlight w:val="none"/>
          <w:lang w:val="en-US" w:eastAsia="zh-CN"/>
        </w:rPr>
        <w:t>第一章 资格要求</w:t>
      </w:r>
    </w:p>
    <w:p w14:paraId="206F103F">
      <w:pPr>
        <w:pStyle w:val="5"/>
        <w:rPr>
          <w:rFonts w:hint="default"/>
          <w:color w:val="auto"/>
          <w:highlight w:val="none"/>
          <w:lang w:val="en-US" w:eastAsia="zh-CN"/>
        </w:rPr>
      </w:pPr>
    </w:p>
    <w:p w14:paraId="3B09A728">
      <w:pPr>
        <w:widowControl/>
        <w:shd w:val="clear" w:color="auto" w:fill="FFFFFF"/>
        <w:spacing w:before="150" w:line="360" w:lineRule="auto"/>
        <w:jc w:val="left"/>
        <w:rPr>
          <w:rFonts w:hint="eastAsia" w:ascii="宋体" w:hAnsi="宋体" w:cs="宋体"/>
          <w:b/>
          <w:color w:val="auto"/>
          <w:sz w:val="24"/>
          <w:highlight w:val="none"/>
        </w:rPr>
      </w:pPr>
      <w:r>
        <w:rPr>
          <w:rFonts w:hint="eastAsia" w:ascii="宋体" w:hAnsi="宋体" w:cs="宋体"/>
          <w:b/>
          <w:color w:val="auto"/>
          <w:kern w:val="0"/>
          <w:sz w:val="24"/>
          <w:highlight w:val="none"/>
          <w:shd w:val="clear" w:color="auto" w:fill="FFFFFF"/>
          <w:lang w:bidi="ar"/>
        </w:rPr>
        <w:t>一、项目基本信息</w:t>
      </w:r>
    </w:p>
    <w:p w14:paraId="2930C855">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项目名称：</w:t>
      </w:r>
      <w:bookmarkStart w:id="0" w:name="OLE_LINK1"/>
      <w:r>
        <w:rPr>
          <w:rFonts w:hint="eastAsia" w:ascii="宋体" w:hAnsi="宋体" w:cs="宋体"/>
          <w:kern w:val="0"/>
          <w:sz w:val="24"/>
          <w:highlight w:val="none"/>
          <w:shd w:val="clear" w:color="auto" w:fill="FFFFFF"/>
          <w:lang w:bidi="ar"/>
        </w:rPr>
        <w:t>贵州省交通运输与能源融合发展研究</w:t>
      </w:r>
      <w:bookmarkEnd w:id="0"/>
    </w:p>
    <w:p w14:paraId="5D3D4EA6">
      <w:pPr>
        <w:widowControl/>
        <w:shd w:val="clear" w:color="auto" w:fill="FFFFFF"/>
        <w:spacing w:before="100"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shd w:val="clear" w:color="auto" w:fill="FFFFFF"/>
          <w:lang w:bidi="ar"/>
        </w:rPr>
        <w:t xml:space="preserve">项目编号：HJZCZB-2025-02 </w:t>
      </w:r>
    </w:p>
    <w:p w14:paraId="5D42C991">
      <w:pPr>
        <w:widowControl/>
        <w:shd w:val="clear" w:color="auto" w:fill="FFFFFF"/>
        <w:spacing w:before="100" w:line="360" w:lineRule="auto"/>
        <w:ind w:firstLine="480" w:firstLineChars="200"/>
        <w:jc w:val="left"/>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采购方式：公开招标</w:t>
      </w:r>
      <w:r>
        <w:rPr>
          <w:rFonts w:hint="eastAsia" w:ascii="宋体" w:hAnsi="宋体" w:cs="宋体"/>
          <w:sz w:val="24"/>
          <w:highlight w:val="none"/>
          <w:lang w:bidi="ar"/>
        </w:rPr>
        <w:t xml:space="preserve">                 </w:t>
      </w:r>
    </w:p>
    <w:p w14:paraId="299BCCE4">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项目背景情况：贵州省作为全国重要的能源基地和国家生态文明试验区，近年来在“双碳”目标引领下，积极探索交通运输与能源融合发展的创新路径。本项目以“电动贵州”建设为核心，依托贵州丰富的能源资源和交通基础设施优势，通过新能源汽车推广、绿色能源综合开发、智能充换电网络建设等举措，构建"车-路-能"协同发展的新型交通能源体系，旨在实现交通运输低碳化转型与能源产业升级。</w:t>
      </w:r>
    </w:p>
    <w:p w14:paraId="4C7D3573">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现以公开招标方式采购贵州省交通运输与能源融合发展研究咨询单位。</w:t>
      </w:r>
    </w:p>
    <w:p w14:paraId="37AD7C0B">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咨询单位主要工作内容为：</w:t>
      </w:r>
      <w:bookmarkStart w:id="1" w:name="OLE_LINK3"/>
      <w:r>
        <w:rPr>
          <w:rFonts w:hint="eastAsia" w:ascii="宋体" w:hAnsi="宋体" w:cs="宋体"/>
          <w:kern w:val="0"/>
          <w:sz w:val="24"/>
          <w:highlight w:val="none"/>
          <w:shd w:val="clear" w:color="auto" w:fill="FFFFFF"/>
          <w:lang w:bidi="ar"/>
        </w:rPr>
        <w:t>编制《关于推动全</w:t>
      </w:r>
      <w:r>
        <w:rPr>
          <w:rFonts w:hint="eastAsia" w:ascii="宋体" w:hAnsi="宋体" w:cs="宋体"/>
          <w:kern w:val="0"/>
          <w:sz w:val="24"/>
          <w:highlight w:val="none"/>
          <w:shd w:val="clear" w:color="auto" w:fill="FFFFFF"/>
          <w:lang w:val="en-US" w:eastAsia="zh-CN" w:bidi="ar"/>
        </w:rPr>
        <w:t>省</w:t>
      </w:r>
      <w:r>
        <w:rPr>
          <w:rFonts w:hint="eastAsia" w:ascii="宋体" w:hAnsi="宋体" w:cs="宋体"/>
          <w:kern w:val="0"/>
          <w:sz w:val="24"/>
          <w:highlight w:val="none"/>
          <w:shd w:val="clear" w:color="auto" w:fill="FFFFFF"/>
          <w:lang w:bidi="ar"/>
        </w:rPr>
        <w:t>交通运输与能源融合发展的</w:t>
      </w:r>
      <w:r>
        <w:rPr>
          <w:rFonts w:hint="eastAsia" w:ascii="宋体" w:hAnsi="宋体" w:cs="宋体"/>
          <w:kern w:val="0"/>
          <w:sz w:val="24"/>
          <w:highlight w:val="none"/>
          <w:shd w:val="clear" w:color="auto" w:fill="FFFFFF"/>
          <w:lang w:val="en-US" w:eastAsia="zh-CN" w:bidi="ar"/>
        </w:rPr>
        <w:t>实施</w:t>
      </w:r>
      <w:r>
        <w:rPr>
          <w:rFonts w:hint="eastAsia" w:ascii="宋体" w:hAnsi="宋体" w:cs="宋体"/>
          <w:kern w:val="0"/>
          <w:sz w:val="24"/>
          <w:highlight w:val="none"/>
          <w:shd w:val="clear" w:color="auto" w:fill="FFFFFF"/>
          <w:lang w:bidi="ar"/>
        </w:rPr>
        <w:t>意见》及《贵州省交通运输与能源融合建设发展规划》</w:t>
      </w:r>
      <w:bookmarkEnd w:id="1"/>
    </w:p>
    <w:p w14:paraId="71D3B65A">
      <w:pPr>
        <w:widowControl/>
        <w:shd w:val="clear" w:color="auto" w:fill="FFFFFF"/>
        <w:spacing w:before="100"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shd w:val="clear" w:color="auto" w:fill="FFFFFF"/>
          <w:lang w:bidi="ar"/>
        </w:rPr>
        <w:t xml:space="preserve">采购数量：1次 </w:t>
      </w:r>
    </w:p>
    <w:p w14:paraId="6E875811">
      <w:pPr>
        <w:widowControl/>
        <w:shd w:val="clear" w:color="auto" w:fill="FFFFFF"/>
        <w:spacing w:before="100"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shd w:val="clear" w:color="auto" w:fill="FFFFFF"/>
          <w:lang w:bidi="ar"/>
        </w:rPr>
        <w:t>预算金额：1000000元</w:t>
      </w:r>
    </w:p>
    <w:p w14:paraId="3D75280B">
      <w:pPr>
        <w:widowControl/>
        <w:shd w:val="clear" w:color="auto" w:fill="FFFFFF"/>
        <w:spacing w:before="100" w:line="360" w:lineRule="auto"/>
        <w:ind w:firstLine="480" w:firstLineChars="200"/>
        <w:jc w:val="left"/>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采购人设定的最高投标限价为：1000000元</w:t>
      </w:r>
    </w:p>
    <w:p w14:paraId="24162974">
      <w:pPr>
        <w:widowControl/>
        <w:shd w:val="clear" w:color="auto" w:fill="FFFFFF"/>
        <w:spacing w:before="100"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shd w:val="clear" w:color="auto" w:fill="FFFFFF"/>
          <w:lang w:bidi="ar"/>
        </w:rPr>
        <w:t>供应商的投标报价不得超过上述最高投标限价。</w:t>
      </w:r>
    </w:p>
    <w:p w14:paraId="68BC8376">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val="en-US" w:eastAsia="zh-CN" w:bidi="ar"/>
        </w:rPr>
      </w:pPr>
      <w:r>
        <w:rPr>
          <w:rFonts w:hint="eastAsia" w:ascii="宋体" w:hAnsi="宋体" w:cs="宋体"/>
          <w:kern w:val="0"/>
          <w:sz w:val="24"/>
          <w:highlight w:val="none"/>
          <w:shd w:val="clear" w:color="auto" w:fill="FFFFFF"/>
          <w:lang w:bidi="ar"/>
        </w:rPr>
        <w:t>本项目是否接受联合体投标：是，</w:t>
      </w:r>
      <w:r>
        <w:rPr>
          <w:rFonts w:hint="eastAsia" w:ascii="宋体" w:hAnsi="宋体" w:cs="宋体"/>
          <w:kern w:val="0"/>
          <w:sz w:val="24"/>
          <w:highlight w:val="none"/>
          <w:shd w:val="clear" w:color="auto" w:fill="FFFFFF"/>
          <w:lang w:val="en-US" w:eastAsia="zh-CN" w:bidi="ar"/>
        </w:rPr>
        <w:t>联合体投标的，应满足下列要求：</w:t>
      </w:r>
    </w:p>
    <w:p w14:paraId="3E561DD1">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val="en-US" w:eastAsia="zh-CN" w:bidi="ar"/>
        </w:rPr>
        <w:t>（1）</w:t>
      </w:r>
      <w:r>
        <w:rPr>
          <w:rFonts w:hint="eastAsia" w:ascii="宋体" w:hAnsi="宋体" w:cs="宋体"/>
          <w:kern w:val="0"/>
          <w:sz w:val="24"/>
          <w:highlight w:val="none"/>
          <w:shd w:val="clear" w:color="auto" w:fill="FFFFFF"/>
          <w:lang w:bidi="ar"/>
        </w:rPr>
        <w:t>联合体各成员均应满足一般资格要求。</w:t>
      </w:r>
    </w:p>
    <w:p w14:paraId="2032A6F4">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val="en-US" w:eastAsia="zh-CN" w:bidi="ar"/>
        </w:rPr>
      </w:pPr>
      <w:r>
        <w:rPr>
          <w:rFonts w:hint="eastAsia" w:ascii="宋体" w:hAnsi="宋体" w:cs="宋体"/>
          <w:kern w:val="0"/>
          <w:sz w:val="24"/>
          <w:highlight w:val="none"/>
          <w:shd w:val="clear" w:color="auto" w:fill="FFFFFF"/>
          <w:lang w:val="en-US" w:eastAsia="zh-CN" w:bidi="ar"/>
        </w:rPr>
        <w:t>（2）联合体各成员不得再以自己名义单独或参加其他联合体在同一标段中投标，否则相关投标均将被否决；</w:t>
      </w:r>
    </w:p>
    <w:p w14:paraId="5CF0DF74">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val="en-US" w:eastAsia="zh-CN" w:bidi="ar"/>
        </w:rPr>
        <w:t>（3）联合体各成员必须按采购文件提供的格式签订联合体协议书，载明联合体各方承担的工作范围，明确各方承担连带责任，并明确了联合体牵头人。</w:t>
      </w:r>
    </w:p>
    <w:p w14:paraId="167E53CF">
      <w:pPr>
        <w:widowControl/>
        <w:shd w:val="clear" w:color="auto" w:fill="FFFFFF"/>
        <w:spacing w:before="150" w:line="360" w:lineRule="auto"/>
        <w:jc w:val="left"/>
        <w:rPr>
          <w:rFonts w:hint="eastAsia" w:ascii="宋体" w:hAnsi="宋体" w:cs="宋体"/>
          <w:b/>
          <w:sz w:val="24"/>
          <w:highlight w:val="none"/>
        </w:rPr>
      </w:pPr>
      <w:r>
        <w:rPr>
          <w:rFonts w:hint="eastAsia" w:ascii="宋体" w:hAnsi="宋体" w:cs="宋体"/>
          <w:b/>
          <w:kern w:val="0"/>
          <w:sz w:val="24"/>
          <w:highlight w:val="none"/>
          <w:shd w:val="clear" w:color="auto" w:fill="FFFFFF"/>
          <w:lang w:bidi="ar"/>
        </w:rPr>
        <w:t>二、申请人的资格要求：</w:t>
      </w:r>
    </w:p>
    <w:p w14:paraId="09AA6C42">
      <w:pPr>
        <w:widowControl/>
        <w:shd w:val="clear" w:color="auto" w:fill="FFFFFF"/>
        <w:spacing w:before="100" w:line="360"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shd w:val="clear" w:color="auto" w:fill="FFFFFF"/>
          <w:lang w:bidi="ar"/>
        </w:rPr>
        <w:t>1. 一般资格要求:</w:t>
      </w:r>
    </w:p>
    <w:p w14:paraId="317961E2">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供应商应符合《中华人民共和国政府采购法》第二十二条规定，提供政府采购法实施条例第十七条规定资料。</w:t>
      </w:r>
    </w:p>
    <w:p w14:paraId="2574423C">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（1）具有独立承担民事责任的能力：提供法人或其他组织的营业执照或事业单位法人证书等证明文件，或自然人身份证明；</w:t>
      </w:r>
    </w:p>
    <w:p w14:paraId="2236EA50">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（2）具有良好的商业信誉和健全的财务会计制度：提供2024年财务决算报表或经审计的财务报告或银行出具的资信证明；</w:t>
      </w:r>
    </w:p>
    <w:p w14:paraId="16D5D2F6">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（3）具有依法缴纳税收和社会保障资金的良好记录：提供依法缴纳税收和社会保障资金的相关材料（提供202</w:t>
      </w:r>
      <w:r>
        <w:rPr>
          <w:rFonts w:hint="eastAsia" w:ascii="宋体" w:hAnsi="宋体" w:cs="宋体"/>
          <w:kern w:val="0"/>
          <w:sz w:val="24"/>
          <w:highlight w:val="none"/>
          <w:shd w:val="clear" w:color="auto" w:fill="FFFFFF"/>
          <w:lang w:val="en-US" w:eastAsia="zh-CN" w:bidi="ar"/>
        </w:rPr>
        <w:t>5</w:t>
      </w:r>
      <w:r>
        <w:rPr>
          <w:rFonts w:hint="eastAsia" w:ascii="宋体" w:hAnsi="宋体" w:cs="宋体"/>
          <w:kern w:val="0"/>
          <w:sz w:val="24"/>
          <w:highlight w:val="none"/>
          <w:shd w:val="clear" w:color="auto" w:fill="FFFFFF"/>
          <w:lang w:bidi="ar"/>
        </w:rPr>
        <w:t>年</w:t>
      </w:r>
      <w:r>
        <w:rPr>
          <w:rFonts w:hint="eastAsia" w:ascii="宋体" w:hAnsi="宋体" w:cs="宋体"/>
          <w:kern w:val="0"/>
          <w:sz w:val="24"/>
          <w:highlight w:val="none"/>
          <w:shd w:val="clear" w:color="auto" w:fill="FFFFFF"/>
          <w:lang w:val="en-US" w:eastAsia="zh-CN" w:bidi="ar"/>
        </w:rPr>
        <w:t>1</w:t>
      </w:r>
      <w:r>
        <w:rPr>
          <w:rFonts w:hint="eastAsia" w:ascii="宋体" w:hAnsi="宋体" w:cs="宋体"/>
          <w:kern w:val="0"/>
          <w:sz w:val="24"/>
          <w:highlight w:val="none"/>
          <w:shd w:val="clear" w:color="auto" w:fill="FFFFFF"/>
          <w:lang w:bidi="ar"/>
        </w:rPr>
        <w:t xml:space="preserve">月至递交投标文件截止日时间内任意连续3个月的即可）； </w:t>
      </w:r>
    </w:p>
    <w:p w14:paraId="29A236C8">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（4）具有履行合同所必须的设备和专业技术能力：供应商自行承诺。</w:t>
      </w:r>
    </w:p>
    <w:p w14:paraId="3F9A9A87">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5）在“信用中国”网站（www.creditchina.gov.cn）、中国政府采购网（www.ccgp.gov.cn）等渠道查询中未被列入失信被执行人名单、重大税收违法案件当事人名单、政府采购严重违法失信行为记录名单中:提供相应网站的网页截图。</w:t>
      </w:r>
    </w:p>
    <w:p w14:paraId="1869F012">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2. 特殊资格要求:供应商需在全国投资项目在线审批监管平台（https://new.tzxm.gov.cn/）中备案，备案咨询专业和服务范围应包含公路规划咨询。（提供相应网站的网页截图）</w:t>
      </w:r>
    </w:p>
    <w:p w14:paraId="271BDB4F">
      <w:pPr>
        <w:pStyle w:val="7"/>
        <w:rPr>
          <w:rFonts w:hint="eastAsia" w:ascii="仿宋" w:hAnsi="仿宋" w:eastAsia="仿宋" w:cs="仿宋"/>
          <w:color w:val="auto"/>
          <w:kern w:val="0"/>
          <w:sz w:val="24"/>
          <w:highlight w:val="none"/>
        </w:rPr>
      </w:pPr>
    </w:p>
    <w:p w14:paraId="5A4E0D12">
      <w:pPr>
        <w:rPr>
          <w:rFonts w:hint="eastAsia" w:ascii="仿宋" w:hAnsi="仿宋" w:eastAsia="仿宋" w:cs="仿宋"/>
          <w:color w:val="auto"/>
          <w:kern w:val="0"/>
          <w:sz w:val="24"/>
          <w:highlight w:val="none"/>
        </w:rPr>
      </w:pPr>
    </w:p>
    <w:p w14:paraId="451F8DDE">
      <w:pPr>
        <w:pStyle w:val="7"/>
        <w:rPr>
          <w:rFonts w:hint="eastAsia" w:ascii="仿宋" w:hAnsi="仿宋" w:eastAsia="仿宋" w:cs="仿宋"/>
          <w:color w:val="auto"/>
          <w:kern w:val="0"/>
          <w:sz w:val="24"/>
          <w:highlight w:val="none"/>
        </w:rPr>
      </w:pPr>
    </w:p>
    <w:p w14:paraId="589CE8E6">
      <w:pPr>
        <w:rPr>
          <w:rFonts w:hint="eastAsia" w:ascii="仿宋" w:hAnsi="仿宋" w:eastAsia="仿宋" w:cs="仿宋"/>
          <w:color w:val="auto"/>
          <w:kern w:val="0"/>
          <w:sz w:val="24"/>
          <w:highlight w:val="none"/>
        </w:rPr>
      </w:pPr>
    </w:p>
    <w:p w14:paraId="5FC59DB8">
      <w:pPr>
        <w:pStyle w:val="7"/>
        <w:rPr>
          <w:rFonts w:hint="eastAsia" w:ascii="仿宋" w:hAnsi="仿宋" w:eastAsia="仿宋" w:cs="仿宋"/>
          <w:color w:val="auto"/>
          <w:kern w:val="0"/>
          <w:sz w:val="24"/>
          <w:highlight w:val="none"/>
        </w:rPr>
      </w:pPr>
    </w:p>
    <w:p w14:paraId="0619C9E6">
      <w:pPr>
        <w:rPr>
          <w:rFonts w:hint="eastAsia" w:ascii="仿宋" w:hAnsi="仿宋" w:eastAsia="仿宋" w:cs="仿宋"/>
          <w:color w:val="auto"/>
          <w:kern w:val="0"/>
          <w:sz w:val="24"/>
          <w:highlight w:val="none"/>
        </w:rPr>
      </w:pPr>
    </w:p>
    <w:p w14:paraId="1D643030">
      <w:pPr>
        <w:pStyle w:val="7"/>
        <w:rPr>
          <w:rFonts w:hint="eastAsia" w:ascii="仿宋" w:hAnsi="仿宋" w:eastAsia="仿宋" w:cs="仿宋"/>
          <w:color w:val="auto"/>
          <w:kern w:val="0"/>
          <w:sz w:val="24"/>
          <w:highlight w:val="none"/>
        </w:rPr>
      </w:pPr>
    </w:p>
    <w:p w14:paraId="0E921BB0">
      <w:pPr>
        <w:rPr>
          <w:rFonts w:hint="eastAsia" w:ascii="仿宋" w:hAnsi="仿宋" w:eastAsia="仿宋" w:cs="仿宋"/>
          <w:color w:val="auto"/>
          <w:kern w:val="0"/>
          <w:sz w:val="24"/>
          <w:highlight w:val="none"/>
        </w:rPr>
      </w:pPr>
    </w:p>
    <w:p w14:paraId="2D0CE032">
      <w:pPr>
        <w:numPr>
          <w:ilvl w:val="0"/>
          <w:numId w:val="2"/>
        </w:numPr>
        <w:spacing w:line="360" w:lineRule="auto"/>
        <w:ind w:left="-420" w:leftChars="-200" w:right="113" w:rightChars="54"/>
        <w:jc w:val="center"/>
        <w:rPr>
          <w:rFonts w:hint="eastAsia" w:ascii="黑体" w:hAnsi="黑体" w:eastAsia="黑体" w:cs="黑体"/>
          <w:b/>
          <w:color w:val="auto"/>
          <w:w w:val="90"/>
          <w:sz w:val="36"/>
          <w:szCs w:val="36"/>
          <w:highlight w:val="none"/>
          <w:lang w:val="en-US" w:eastAsia="zh-CN"/>
        </w:rPr>
      </w:pPr>
      <w:bookmarkStart w:id="2" w:name="_Toc482777603"/>
      <w:bookmarkStart w:id="3" w:name="_Toc407182666"/>
      <w:r>
        <w:rPr>
          <w:rFonts w:hint="eastAsia" w:ascii="黑体" w:hAnsi="黑体" w:eastAsia="黑体" w:cs="黑体"/>
          <w:b/>
          <w:color w:val="auto"/>
          <w:w w:val="90"/>
          <w:sz w:val="36"/>
          <w:szCs w:val="36"/>
          <w:highlight w:val="none"/>
          <w:lang w:val="en-US" w:eastAsia="zh-CN"/>
        </w:rPr>
        <w:t>采购需求</w:t>
      </w:r>
    </w:p>
    <w:p w14:paraId="24BED638">
      <w:pPr>
        <w:pStyle w:val="7"/>
        <w:numPr>
          <w:ilvl w:val="-1"/>
          <w:numId w:val="0"/>
        </w:numPr>
        <w:rPr>
          <w:rFonts w:hint="default"/>
          <w:color w:val="auto"/>
          <w:highlight w:val="none"/>
          <w:lang w:val="en-US" w:eastAsia="zh-CN"/>
        </w:rPr>
      </w:pPr>
    </w:p>
    <w:bookmarkEnd w:id="2"/>
    <w:bookmarkEnd w:id="3"/>
    <w:p w14:paraId="42D64110">
      <w:pPr>
        <w:pStyle w:val="16"/>
        <w:spacing w:line="360" w:lineRule="auto"/>
        <w:ind w:firstLine="0" w:firstLineChars="0"/>
        <w:jc w:val="left"/>
        <w:rPr>
          <w:rFonts w:hint="eastAsia" w:ascii="仿宋_GB2312" w:hAnsi="黑体" w:cs="仿宋_GB2312"/>
          <w:b/>
          <w:highlight w:val="none"/>
        </w:rPr>
      </w:pPr>
      <w:bookmarkStart w:id="4" w:name="_Toc498516103"/>
      <w:bookmarkStart w:id="5" w:name="_Toc407182667"/>
      <w:r>
        <w:rPr>
          <w:rFonts w:hint="eastAsia" w:ascii="仿宋_GB2312" w:hAnsi="黑体" w:cs="仿宋_GB2312"/>
          <w:b/>
          <w:highlight w:val="none"/>
          <w:lang w:val="en-US" w:eastAsia="zh-CN"/>
        </w:rPr>
        <w:t>2</w:t>
      </w:r>
      <w:r>
        <w:rPr>
          <w:rFonts w:hint="eastAsia" w:ascii="仿宋_GB2312" w:hAnsi="黑体" w:cs="仿宋_GB2312"/>
          <w:b/>
          <w:highlight w:val="none"/>
        </w:rPr>
        <w:t>.1 商务要求</w:t>
      </w:r>
    </w:p>
    <w:p w14:paraId="5548FEFC">
      <w:pPr>
        <w:widowControl/>
        <w:shd w:val="clear" w:color="auto" w:fill="FFFFFF"/>
        <w:spacing w:before="100" w:line="360" w:lineRule="auto"/>
        <w:ind w:firstLine="482" w:firstLineChars="200"/>
        <w:jc w:val="left"/>
        <w:rPr>
          <w:rFonts w:hint="eastAsia" w:ascii="宋体" w:hAnsi="宋体" w:cs="宋体"/>
          <w:kern w:val="0"/>
          <w:sz w:val="24"/>
          <w:highlight w:val="none"/>
          <w:shd w:val="clear" w:color="auto" w:fill="FFFFFF"/>
          <w:lang w:bidi="ar"/>
        </w:rPr>
      </w:pPr>
      <w:r>
        <w:rPr>
          <w:rFonts w:hint="eastAsia" w:ascii="宋体" w:hAnsi="宋体" w:cs="宋体"/>
          <w:b/>
          <w:bCs/>
          <w:sz w:val="24"/>
          <w:highlight w:val="none"/>
          <w:lang w:val="en-US" w:eastAsia="zh-CN"/>
        </w:rPr>
        <w:t>2</w:t>
      </w:r>
      <w:r>
        <w:rPr>
          <w:rFonts w:hint="eastAsia" w:ascii="宋体" w:hAnsi="宋体" w:cs="宋体"/>
          <w:b/>
          <w:bCs/>
          <w:sz w:val="24"/>
          <w:highlight w:val="none"/>
        </w:rPr>
        <w:t xml:space="preserve">.1.1 </w:t>
      </w:r>
      <w:r>
        <w:rPr>
          <w:rFonts w:hint="eastAsia" w:ascii="宋体" w:hAnsi="宋体" w:cs="宋体"/>
          <w:kern w:val="0"/>
          <w:sz w:val="24"/>
          <w:highlight w:val="none"/>
          <w:shd w:val="clear" w:color="auto" w:fill="FFFFFF"/>
          <w:lang w:bidi="ar"/>
        </w:rPr>
        <w:t>项目背景情况：贵州省作为全国重要的能源基地和国家生态文明试验区，近年来在"双碳"目标引领下，积极探索交通运输与能源融合发展的创新路径。本项目以"电动贵州"建设为核心，依托贵州丰富的能源资源和交通基础设施优势，通过新能源汽车推广、绿色能源综合开发、智能充换电网络建设等举措，构建"车-路-能"协同发展的新型交通能源体系，旨在实现交通运输低碳化转型与能源产业升级的双赢局面。</w:t>
      </w:r>
    </w:p>
    <w:p w14:paraId="04DC954F">
      <w:pPr>
        <w:widowControl/>
        <w:shd w:val="clear" w:color="auto" w:fill="FFFFFF"/>
        <w:spacing w:before="100" w:line="360" w:lineRule="auto"/>
        <w:ind w:firstLine="482" w:firstLineChars="200"/>
        <w:jc w:val="left"/>
        <w:rPr>
          <w:rFonts w:ascii="宋体" w:hAnsi="宋体" w:cs="宋体"/>
          <w:sz w:val="24"/>
          <w:highlight w:val="none"/>
          <w:lang w:bidi="ar"/>
        </w:rPr>
      </w:pPr>
      <w:r>
        <w:rPr>
          <w:rFonts w:hint="eastAsia" w:ascii="宋体" w:hAnsi="宋体" w:cs="宋体"/>
          <w:b/>
          <w:bCs/>
          <w:sz w:val="24"/>
          <w:highlight w:val="none"/>
          <w:lang w:val="en-US" w:eastAsia="zh-CN" w:bidi="ar"/>
        </w:rPr>
        <w:t>2</w:t>
      </w:r>
      <w:r>
        <w:rPr>
          <w:rFonts w:hint="eastAsia" w:ascii="宋体" w:hAnsi="宋体" w:cs="宋体"/>
          <w:b/>
          <w:bCs/>
          <w:sz w:val="24"/>
          <w:highlight w:val="none"/>
          <w:lang w:bidi="ar"/>
        </w:rPr>
        <w:t>.1.2</w:t>
      </w:r>
      <w:r>
        <w:rPr>
          <w:rFonts w:hint="eastAsia" w:ascii="宋体" w:hAnsi="宋体" w:cs="宋体"/>
          <w:sz w:val="24"/>
          <w:highlight w:val="none"/>
          <w:lang w:bidi="ar"/>
        </w:rPr>
        <w:t>咨询单位主要工作内容为：</w:t>
      </w:r>
    </w:p>
    <w:p w14:paraId="30464D59">
      <w:pPr>
        <w:widowControl/>
        <w:shd w:val="clear" w:color="auto" w:fill="FFFFFF"/>
        <w:spacing w:before="100" w:line="360" w:lineRule="auto"/>
        <w:ind w:firstLine="480" w:firstLineChars="200"/>
        <w:jc w:val="left"/>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（1）</w:t>
      </w:r>
      <w:r>
        <w:rPr>
          <w:rFonts w:hint="eastAsia" w:ascii="宋体" w:hAnsi="宋体" w:cs="宋体"/>
          <w:sz w:val="24"/>
          <w:highlight w:val="none"/>
          <w:lang w:bidi="ar"/>
        </w:rPr>
        <w:t>通过调研和分析，以《关于推动交通运输与能源融合发展的指导意见》（交规划发〔2025〕42号）、《省人民政府办公厅关于加快新能源汽车产业高质量发展推进“电动贵州”建设的指导意见》（黔府办发〔2023〕18号）为基础，深入研究</w:t>
      </w:r>
      <w:r>
        <w:rPr>
          <w:rFonts w:hint="eastAsia" w:ascii="宋体" w:hAnsi="宋体" w:cs="宋体"/>
          <w:kern w:val="0"/>
          <w:sz w:val="24"/>
          <w:highlight w:val="none"/>
          <w:shd w:val="clear" w:color="auto" w:fill="FFFFFF"/>
          <w:lang w:bidi="ar"/>
        </w:rPr>
        <w:t>推动全国交通运输与能源融合发展实施的方向与目标。</w:t>
      </w:r>
    </w:p>
    <w:p w14:paraId="690CA5B1">
      <w:pPr>
        <w:widowControl/>
        <w:shd w:val="clear" w:color="auto" w:fill="FFFFFF"/>
        <w:spacing w:before="100" w:line="360" w:lineRule="auto"/>
        <w:ind w:firstLine="480" w:firstLineChars="200"/>
        <w:jc w:val="left"/>
        <w:rPr>
          <w:rFonts w:hint="eastAsia" w:ascii="宋体" w:hAnsi="宋体" w:cs="宋体"/>
          <w:sz w:val="24"/>
          <w:highlight w:val="none"/>
          <w:lang w:bidi="ar"/>
        </w:rPr>
      </w:pPr>
      <w:r>
        <w:rPr>
          <w:rFonts w:hint="eastAsia" w:ascii="宋体" w:hAnsi="宋体" w:cs="宋体"/>
          <w:kern w:val="0"/>
          <w:sz w:val="24"/>
          <w:highlight w:val="none"/>
          <w:shd w:val="clear" w:color="auto" w:fill="FFFFFF"/>
          <w:lang w:bidi="ar"/>
        </w:rPr>
        <w:t>（2）</w:t>
      </w:r>
      <w:bookmarkStart w:id="6" w:name="OLE_LINK5"/>
      <w:r>
        <w:rPr>
          <w:rFonts w:hint="eastAsia" w:ascii="宋体" w:hAnsi="宋体" w:cs="宋体"/>
          <w:kern w:val="0"/>
          <w:sz w:val="24"/>
          <w:highlight w:val="none"/>
          <w:shd w:val="clear" w:color="auto" w:fill="FFFFFF"/>
          <w:lang w:bidi="ar"/>
        </w:rPr>
        <w:t>总结并编制《</w:t>
      </w:r>
      <w:r>
        <w:rPr>
          <w:rFonts w:hint="eastAsia" w:ascii="宋体" w:hAnsi="宋体" w:cs="宋体"/>
          <w:kern w:val="0"/>
          <w:sz w:val="24"/>
          <w:highlight w:val="none"/>
          <w:shd w:val="clear" w:color="auto" w:fill="FFFFFF"/>
          <w:lang w:eastAsia="zh-CN" w:bidi="ar"/>
        </w:rPr>
        <w:t>关于推动全省交通运输与能源融合发展的实施意见</w:t>
      </w:r>
      <w:r>
        <w:rPr>
          <w:rFonts w:hint="eastAsia" w:ascii="宋体" w:hAnsi="宋体" w:cs="宋体"/>
          <w:kern w:val="0"/>
          <w:sz w:val="24"/>
          <w:highlight w:val="none"/>
          <w:shd w:val="clear" w:color="auto" w:fill="FFFFFF"/>
          <w:lang w:bidi="ar"/>
        </w:rPr>
        <w:t>》及《贵州省交通运输与能源融合建设发展规划》</w:t>
      </w:r>
      <w:bookmarkEnd w:id="6"/>
    </w:p>
    <w:p w14:paraId="3853894A">
      <w:pPr>
        <w:pStyle w:val="5"/>
        <w:widowControl/>
        <w:shd w:val="clear" w:color="auto" w:fill="FFFFFF"/>
        <w:spacing w:before="100" w:line="360" w:lineRule="auto"/>
        <w:ind w:left="0" w:leftChars="0" w:firstLine="480" w:firstLineChars="200"/>
        <w:jc w:val="left"/>
        <w:rPr>
          <w:rFonts w:hint="eastAsia"/>
          <w:highlight w:val="none"/>
          <w:lang w:bidi="ar"/>
        </w:rPr>
      </w:pPr>
      <w:r>
        <w:rPr>
          <w:rFonts w:hint="eastAsia" w:ascii="宋体" w:hAnsi="宋体" w:cs="宋体"/>
          <w:sz w:val="24"/>
          <w:highlight w:val="none"/>
          <w:lang w:bidi="ar"/>
        </w:rPr>
        <w:t>（3）完成规划编制评审及汇报工作。协助采购人开展汇报、专家咨询、衔接报批等相关工作。</w:t>
      </w:r>
    </w:p>
    <w:p w14:paraId="475B6797">
      <w:pPr>
        <w:spacing w:line="360" w:lineRule="auto"/>
        <w:ind w:firstLine="482" w:firstLineChars="200"/>
        <w:rPr>
          <w:rFonts w:hint="eastAsia" w:ascii="仿宋" w:hAnsi="仿宋" w:cs="仿宋"/>
          <w:sz w:val="32"/>
          <w:szCs w:val="32"/>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.1.3 咨询服务时间</w:t>
      </w:r>
      <w:r>
        <w:rPr>
          <w:rFonts w:hint="eastAsia" w:ascii="宋体" w:hAnsi="宋体" w:cs="宋体"/>
          <w:sz w:val="24"/>
          <w:highlight w:val="none"/>
        </w:rPr>
        <w:t>：</w:t>
      </w:r>
      <w:r>
        <w:rPr>
          <w:rFonts w:hint="eastAsia" w:ascii="宋体" w:hAnsi="宋体" w:cs="宋体"/>
          <w:kern w:val="0"/>
          <w:sz w:val="24"/>
          <w:highlight w:val="none"/>
          <w:shd w:val="clear" w:color="auto" w:fill="FFFFFF"/>
          <w:lang w:bidi="ar"/>
        </w:rPr>
        <w:t>从合同签订之日起至2026年</w:t>
      </w:r>
      <w:r>
        <w:rPr>
          <w:rFonts w:hint="eastAsia" w:ascii="宋体" w:hAnsi="宋体" w:cs="宋体"/>
          <w:kern w:val="0"/>
          <w:sz w:val="24"/>
          <w:highlight w:val="none"/>
          <w:shd w:val="clear" w:color="auto" w:fill="FFFFFF"/>
          <w:lang w:val="en-US" w:eastAsia="zh-CN" w:bidi="ar"/>
        </w:rPr>
        <w:t>6</w:t>
      </w:r>
      <w:r>
        <w:rPr>
          <w:rFonts w:hint="eastAsia" w:ascii="宋体" w:hAnsi="宋体" w:cs="宋体"/>
          <w:kern w:val="0"/>
          <w:sz w:val="24"/>
          <w:highlight w:val="none"/>
          <w:shd w:val="clear" w:color="auto" w:fill="FFFFFF"/>
          <w:lang w:bidi="ar"/>
        </w:rPr>
        <w:t>月</w:t>
      </w:r>
      <w:r>
        <w:rPr>
          <w:rFonts w:hint="eastAsia" w:ascii="宋体" w:hAnsi="宋体" w:cs="宋体"/>
          <w:kern w:val="0"/>
          <w:sz w:val="24"/>
          <w:highlight w:val="none"/>
          <w:shd w:val="clear" w:color="auto" w:fill="FFFFFF"/>
          <w:lang w:val="en-US" w:eastAsia="zh-CN" w:bidi="ar"/>
        </w:rPr>
        <w:t>30</w:t>
      </w:r>
      <w:r>
        <w:rPr>
          <w:rFonts w:hint="eastAsia" w:ascii="宋体" w:hAnsi="宋体" w:cs="宋体"/>
          <w:kern w:val="0"/>
          <w:sz w:val="24"/>
          <w:highlight w:val="none"/>
          <w:shd w:val="clear" w:color="auto" w:fill="FFFFFF"/>
          <w:lang w:bidi="ar"/>
        </w:rPr>
        <w:t>日止，完成贵州省交通运输与能源融合发展研究的全部工作内容，通过采购人审核或专家评审。</w:t>
      </w:r>
    </w:p>
    <w:p w14:paraId="7798DA88">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.1.4 支付方式：</w:t>
      </w:r>
    </w:p>
    <w:p w14:paraId="412C44D6">
      <w:pPr>
        <w:spacing w:line="360" w:lineRule="auto"/>
        <w:ind w:firstLine="480" w:firstLineChars="200"/>
        <w:rPr>
          <w:rFonts w:ascii="宋体" w:hAnsi="宋体" w:cs="宋体"/>
          <w:sz w:val="24"/>
          <w:highlight w:val="none"/>
        </w:rPr>
      </w:pPr>
      <w:bookmarkStart w:id="7" w:name="_Hlk180083988"/>
      <w:r>
        <w:rPr>
          <w:rFonts w:hint="eastAsia" w:ascii="宋体" w:hAnsi="宋体" w:cs="宋体"/>
          <w:sz w:val="24"/>
          <w:highlight w:val="none"/>
        </w:rPr>
        <w:t>（1）提交《关于推动贵州省交通运输与能源融合发展的实施意见》，并经专家评审甲方认可后，甲方支付合同额的20%；</w:t>
      </w:r>
    </w:p>
    <w:p w14:paraId="7085B47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（2）提交</w:t>
      </w:r>
      <w:r>
        <w:rPr>
          <w:rFonts w:hint="eastAsia" w:ascii="宋体" w:hAnsi="宋体" w:cs="宋体"/>
          <w:kern w:val="0"/>
          <w:sz w:val="24"/>
          <w:highlight w:val="none"/>
          <w:shd w:val="clear" w:color="auto" w:fill="FFFFFF"/>
          <w:lang w:bidi="ar"/>
        </w:rPr>
        <w:t>《贵州省交通运输与能源融合建设发展规划》，</w:t>
      </w:r>
      <w:r>
        <w:rPr>
          <w:rFonts w:hint="eastAsia" w:ascii="宋体" w:hAnsi="宋体" w:cs="宋体"/>
          <w:sz w:val="24"/>
          <w:highlight w:val="none"/>
        </w:rPr>
        <w:t>并经专家评审甲方认可后</w:t>
      </w:r>
      <w:r>
        <w:rPr>
          <w:rFonts w:hint="eastAsia" w:ascii="宋体" w:hAnsi="宋体" w:cs="宋体"/>
          <w:sz w:val="24"/>
          <w:highlight w:val="none"/>
          <w:lang w:val="en-US" w:eastAsia="zh-CN"/>
        </w:rPr>
        <w:t>30个工作内</w:t>
      </w:r>
      <w:r>
        <w:rPr>
          <w:rFonts w:hint="eastAsia" w:ascii="宋体" w:hAnsi="宋体" w:cs="宋体"/>
          <w:sz w:val="24"/>
          <w:highlight w:val="none"/>
        </w:rPr>
        <w:t>支付剩余签约合同金额。</w:t>
      </w:r>
    </w:p>
    <w:bookmarkEnd w:id="7"/>
    <w:p w14:paraId="1EADE0D1">
      <w:pPr>
        <w:overflowPunct w:val="0"/>
        <w:autoSpaceDE w:val="0"/>
        <w:adjustRightInd w:val="0"/>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.1.5</w:t>
      </w:r>
      <w:r>
        <w:rPr>
          <w:rFonts w:hint="eastAsia" w:ascii="宋体" w:hAnsi="宋体" w:cs="宋体"/>
          <w:sz w:val="24"/>
          <w:highlight w:val="none"/>
        </w:rPr>
        <w:t xml:space="preserve"> 投标有效期</w:t>
      </w:r>
    </w:p>
    <w:p w14:paraId="6507A626">
      <w:pPr>
        <w:overflowPunct w:val="0"/>
        <w:autoSpaceDE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自供应商递交投标文件截止之日起计算90天。</w:t>
      </w:r>
    </w:p>
    <w:p w14:paraId="18A250AC">
      <w:pPr>
        <w:overflowPunct w:val="0"/>
        <w:autoSpaceDE w:val="0"/>
        <w:adjustRightInd w:val="0"/>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 xml:space="preserve">.1.6 </w:t>
      </w:r>
      <w:r>
        <w:rPr>
          <w:rFonts w:hint="eastAsia" w:ascii="宋体" w:hAnsi="宋体" w:cs="宋体"/>
          <w:sz w:val="24"/>
          <w:highlight w:val="none"/>
        </w:rPr>
        <w:t>质量要求</w:t>
      </w:r>
    </w:p>
    <w:p w14:paraId="1CD752D3">
      <w:pPr>
        <w:spacing w:line="360" w:lineRule="auto"/>
        <w:ind w:firstLine="720" w:firstLineChars="300"/>
        <w:rPr>
          <w:rFonts w:hint="eastAsia" w:ascii="宋体" w:hAnsi="宋体" w:cs="宋体"/>
          <w:sz w:val="24"/>
          <w:highlight w:val="none"/>
          <w:lang w:val="zh-TW"/>
        </w:rPr>
      </w:pPr>
      <w:r>
        <w:rPr>
          <w:rFonts w:hint="eastAsia" w:ascii="宋体" w:hAnsi="宋体" w:cs="宋体"/>
          <w:sz w:val="24"/>
          <w:highlight w:val="none"/>
        </w:rPr>
        <w:t>符合现行国家及行业相关标准和规范要求，通过采购人认可及结题论证会议。</w:t>
      </w:r>
    </w:p>
    <w:p w14:paraId="606F41FC">
      <w:pPr>
        <w:spacing w:line="360" w:lineRule="auto"/>
        <w:rPr>
          <w:rFonts w:hint="eastAsia" w:ascii="仿宋_GB2312" w:hAnsi="黑体" w:cs="仿宋_GB2312"/>
          <w:b/>
          <w:sz w:val="28"/>
          <w:szCs w:val="28"/>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.2</w:t>
      </w:r>
      <w:r>
        <w:rPr>
          <w:rFonts w:hint="eastAsia" w:ascii="仿宋_GB2312" w:hAnsi="黑体" w:cs="仿宋_GB2312"/>
          <w:b/>
          <w:sz w:val="28"/>
          <w:szCs w:val="28"/>
          <w:highlight w:val="none"/>
        </w:rPr>
        <w:t xml:space="preserve"> 技术要求</w:t>
      </w:r>
    </w:p>
    <w:p w14:paraId="271E5B3C">
      <w:pPr>
        <w:widowControl/>
        <w:shd w:val="clear" w:color="auto" w:fill="FFFFFF"/>
        <w:spacing w:before="100" w:line="360" w:lineRule="auto"/>
        <w:ind w:firstLine="482" w:firstLineChars="200"/>
        <w:jc w:val="left"/>
        <w:rPr>
          <w:rFonts w:hint="eastAsia" w:ascii="宋体" w:hAnsi="宋体" w:cs="宋体"/>
          <w:b/>
          <w:bCs/>
          <w:kern w:val="0"/>
          <w:sz w:val="24"/>
          <w:highlight w:val="none"/>
          <w:shd w:val="clear" w:color="auto" w:fill="FFFFFF"/>
          <w:lang w:bidi="ar"/>
        </w:rPr>
      </w:pPr>
      <w:r>
        <w:rPr>
          <w:rFonts w:hint="eastAsia" w:ascii="宋体" w:hAnsi="宋体" w:cs="宋体"/>
          <w:b/>
          <w:bCs/>
          <w:kern w:val="0"/>
          <w:sz w:val="24"/>
          <w:highlight w:val="none"/>
          <w:shd w:val="clear" w:color="auto" w:fill="FFFFFF"/>
          <w:lang w:val="en-US" w:eastAsia="zh-CN" w:bidi="ar"/>
        </w:rPr>
        <w:t>2</w:t>
      </w:r>
      <w:r>
        <w:rPr>
          <w:rFonts w:hint="eastAsia" w:ascii="宋体" w:hAnsi="宋体" w:cs="宋体"/>
          <w:b/>
          <w:bCs/>
          <w:kern w:val="0"/>
          <w:sz w:val="24"/>
          <w:highlight w:val="none"/>
          <w:shd w:val="clear" w:color="auto" w:fill="FFFFFF"/>
          <w:lang w:bidi="ar"/>
        </w:rPr>
        <w:t>.2.1 满足国家相关法律、法规、相关主管部门的要求。</w:t>
      </w:r>
    </w:p>
    <w:p w14:paraId="63E19CC1">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《关于推动交通运输与能源融合发展的指导意见》（交规划发〔2025〕42号）</w:t>
      </w:r>
    </w:p>
    <w:p w14:paraId="1FC0489A">
      <w:pPr>
        <w:widowControl/>
        <w:shd w:val="clear" w:color="auto" w:fill="FFFFFF"/>
        <w:spacing w:before="100" w:line="360" w:lineRule="auto"/>
        <w:ind w:firstLine="480" w:firstLineChars="200"/>
        <w:jc w:val="left"/>
        <w:rPr>
          <w:rFonts w:hint="eastAsia"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《省人民政府办公厅关于加快新能源汽车产业高质量发展推进“电动贵州”建设的指导意见》（黔府办发〔2023〕18号）</w:t>
      </w:r>
    </w:p>
    <w:p w14:paraId="0D9C01E4">
      <w:pPr>
        <w:spacing w:line="360" w:lineRule="auto"/>
        <w:ind w:firstLine="420" w:firstLineChars="200"/>
        <w:rPr>
          <w:rFonts w:hint="eastAsia"/>
          <w:color w:val="auto"/>
          <w:highlight w:val="none"/>
        </w:rPr>
      </w:pPr>
    </w:p>
    <w:bookmarkEnd w:id="4"/>
    <w:bookmarkEnd w:id="5"/>
    <w:p w14:paraId="2D65E27F">
      <w:pPr>
        <w:spacing w:line="360" w:lineRule="auto"/>
        <w:ind w:left="0" w:leftChars="0" w:right="113" w:rightChars="54"/>
        <w:jc w:val="left"/>
        <w:rPr>
          <w:rFonts w:hint="default" w:ascii="宋体" w:hAnsi="宋体" w:eastAsia="宋体" w:cs="宋体"/>
          <w:i w:val="0"/>
          <w:caps w:val="0"/>
          <w:color w:val="auto"/>
          <w:spacing w:val="0"/>
          <w:sz w:val="28"/>
          <w:szCs w:val="28"/>
          <w:highlight w:val="none"/>
          <w:shd w:val="clear" w:fill="FFFFFF"/>
          <w:lang w:val="en-US" w:eastAsia="zh-CN"/>
        </w:rPr>
      </w:pPr>
    </w:p>
    <w:p w14:paraId="2E3D82B5">
      <w:pPr>
        <w:spacing w:line="360" w:lineRule="auto"/>
        <w:ind w:left="0" w:leftChars="0" w:right="113" w:rightChars="54"/>
        <w:jc w:val="left"/>
        <w:rPr>
          <w:rFonts w:hint="default" w:ascii="宋体" w:hAnsi="宋体" w:eastAsia="宋体" w:cs="宋体"/>
          <w:i w:val="0"/>
          <w:caps w:val="0"/>
          <w:color w:val="auto"/>
          <w:spacing w:val="0"/>
          <w:sz w:val="28"/>
          <w:szCs w:val="28"/>
          <w:highlight w:val="none"/>
          <w:shd w:val="clear" w:fill="FFFFFF"/>
          <w:lang w:val="en-US" w:eastAsia="zh-CN"/>
        </w:rPr>
      </w:pPr>
    </w:p>
    <w:p w14:paraId="643E8C9B">
      <w:pPr>
        <w:spacing w:line="360" w:lineRule="auto"/>
        <w:ind w:left="0" w:leftChars="0" w:right="113" w:rightChars="54"/>
        <w:jc w:val="left"/>
        <w:rPr>
          <w:rFonts w:hint="default" w:ascii="宋体" w:hAnsi="宋体" w:eastAsia="宋体" w:cs="宋体"/>
          <w:i w:val="0"/>
          <w:caps w:val="0"/>
          <w:color w:val="auto"/>
          <w:spacing w:val="0"/>
          <w:sz w:val="28"/>
          <w:szCs w:val="28"/>
          <w:highlight w:val="none"/>
          <w:shd w:val="clear" w:fill="FFFFFF"/>
          <w:lang w:val="en-US" w:eastAsia="zh-CN"/>
        </w:rPr>
      </w:pPr>
    </w:p>
    <w:p w14:paraId="2A6B1FF0">
      <w:pPr>
        <w:spacing w:line="360" w:lineRule="auto"/>
        <w:ind w:left="0" w:leftChars="0" w:right="113" w:rightChars="54"/>
        <w:jc w:val="left"/>
        <w:rPr>
          <w:rFonts w:hint="default" w:ascii="宋体" w:hAnsi="宋体" w:eastAsia="宋体" w:cs="宋体"/>
          <w:i w:val="0"/>
          <w:caps w:val="0"/>
          <w:color w:val="auto"/>
          <w:spacing w:val="0"/>
          <w:sz w:val="28"/>
          <w:szCs w:val="28"/>
          <w:highlight w:val="none"/>
          <w:shd w:val="clear" w:fill="FFFFFF"/>
          <w:lang w:val="en-US" w:eastAsia="zh-CN"/>
        </w:rPr>
      </w:pPr>
    </w:p>
    <w:p w14:paraId="51ACF6E1">
      <w:pPr>
        <w:spacing w:line="360" w:lineRule="auto"/>
        <w:ind w:left="0" w:leftChars="0" w:right="113" w:rightChars="54"/>
        <w:jc w:val="left"/>
        <w:rPr>
          <w:rFonts w:hint="default" w:ascii="宋体" w:hAnsi="宋体" w:eastAsia="宋体" w:cs="宋体"/>
          <w:i w:val="0"/>
          <w:caps w:val="0"/>
          <w:color w:val="auto"/>
          <w:spacing w:val="0"/>
          <w:sz w:val="28"/>
          <w:szCs w:val="28"/>
          <w:highlight w:val="none"/>
          <w:shd w:val="clear" w:fill="FFFFFF"/>
          <w:lang w:val="en-US" w:eastAsia="zh-CN"/>
        </w:rPr>
      </w:pPr>
    </w:p>
    <w:p w14:paraId="3060B0BA">
      <w:pPr>
        <w:spacing w:line="360" w:lineRule="auto"/>
        <w:ind w:left="0" w:leftChars="0" w:right="113" w:rightChars="54"/>
        <w:jc w:val="left"/>
        <w:rPr>
          <w:rFonts w:hint="default" w:ascii="宋体" w:hAnsi="宋体" w:eastAsia="宋体" w:cs="宋体"/>
          <w:i w:val="0"/>
          <w:caps w:val="0"/>
          <w:color w:val="auto"/>
          <w:spacing w:val="0"/>
          <w:sz w:val="28"/>
          <w:szCs w:val="28"/>
          <w:highlight w:val="none"/>
          <w:shd w:val="clear" w:fill="FFFFFF"/>
          <w:lang w:val="en-US" w:eastAsia="zh-CN"/>
        </w:rPr>
      </w:pPr>
    </w:p>
    <w:p w14:paraId="5923309C">
      <w:pPr>
        <w:pStyle w:val="14"/>
        <w:rPr>
          <w:rFonts w:hint="default" w:ascii="宋体" w:hAnsi="宋体" w:eastAsia="宋体" w:cs="宋体"/>
          <w:i w:val="0"/>
          <w:caps w:val="0"/>
          <w:color w:val="auto"/>
          <w:spacing w:val="0"/>
          <w:sz w:val="28"/>
          <w:szCs w:val="28"/>
          <w:highlight w:val="none"/>
          <w:shd w:val="clear" w:fill="FFFFFF"/>
          <w:lang w:val="en-US" w:eastAsia="zh-CN"/>
        </w:rPr>
      </w:pPr>
    </w:p>
    <w:p w14:paraId="5CFDB0F8">
      <w:pPr>
        <w:pStyle w:val="14"/>
        <w:rPr>
          <w:rFonts w:hint="default" w:ascii="宋体" w:hAnsi="宋体" w:eastAsia="宋体" w:cs="宋体"/>
          <w:i w:val="0"/>
          <w:caps w:val="0"/>
          <w:color w:val="auto"/>
          <w:spacing w:val="0"/>
          <w:sz w:val="28"/>
          <w:szCs w:val="28"/>
          <w:highlight w:val="none"/>
          <w:shd w:val="clear" w:fill="FFFFFF"/>
          <w:lang w:val="en-US" w:eastAsia="zh-CN"/>
        </w:rPr>
      </w:pPr>
    </w:p>
    <w:p w14:paraId="6445BED6">
      <w:pPr>
        <w:pStyle w:val="14"/>
        <w:rPr>
          <w:rFonts w:hint="default" w:ascii="宋体" w:hAnsi="宋体" w:eastAsia="宋体" w:cs="宋体"/>
          <w:i w:val="0"/>
          <w:caps w:val="0"/>
          <w:color w:val="auto"/>
          <w:spacing w:val="0"/>
          <w:sz w:val="28"/>
          <w:szCs w:val="28"/>
          <w:highlight w:val="none"/>
          <w:shd w:val="clear" w:fill="FFFFFF"/>
          <w:lang w:val="en-US" w:eastAsia="zh-CN"/>
        </w:rPr>
      </w:pPr>
    </w:p>
    <w:p w14:paraId="52B8ABDB">
      <w:pPr>
        <w:pStyle w:val="14"/>
        <w:rPr>
          <w:rFonts w:hint="default" w:ascii="宋体" w:hAnsi="宋体" w:eastAsia="宋体" w:cs="宋体"/>
          <w:i w:val="0"/>
          <w:caps w:val="0"/>
          <w:color w:val="auto"/>
          <w:spacing w:val="0"/>
          <w:sz w:val="28"/>
          <w:szCs w:val="28"/>
          <w:highlight w:val="none"/>
          <w:shd w:val="clear" w:fill="FFFFFF"/>
          <w:lang w:val="en-US" w:eastAsia="zh-CN"/>
        </w:rPr>
      </w:pPr>
    </w:p>
    <w:p w14:paraId="5CCE683A">
      <w:pPr>
        <w:pStyle w:val="14"/>
        <w:rPr>
          <w:rFonts w:hint="default" w:ascii="宋体" w:hAnsi="宋体" w:eastAsia="宋体" w:cs="宋体"/>
          <w:i w:val="0"/>
          <w:caps w:val="0"/>
          <w:color w:val="auto"/>
          <w:spacing w:val="0"/>
          <w:sz w:val="28"/>
          <w:szCs w:val="28"/>
          <w:highlight w:val="none"/>
          <w:shd w:val="clear" w:fill="FFFFFF"/>
          <w:lang w:val="en-US" w:eastAsia="zh-CN"/>
        </w:rPr>
      </w:pPr>
    </w:p>
    <w:p w14:paraId="7BD30508">
      <w:pPr>
        <w:pStyle w:val="14"/>
        <w:rPr>
          <w:rFonts w:hint="default" w:ascii="宋体" w:hAnsi="宋体" w:eastAsia="宋体" w:cs="宋体"/>
          <w:i w:val="0"/>
          <w:caps w:val="0"/>
          <w:color w:val="auto"/>
          <w:spacing w:val="0"/>
          <w:sz w:val="28"/>
          <w:szCs w:val="28"/>
          <w:highlight w:val="none"/>
          <w:shd w:val="clear" w:fill="FFFFFF"/>
          <w:lang w:val="en-US" w:eastAsia="zh-CN"/>
        </w:rPr>
      </w:pPr>
    </w:p>
    <w:p w14:paraId="69367ED9">
      <w:pPr>
        <w:pStyle w:val="14"/>
        <w:rPr>
          <w:rFonts w:hint="default" w:ascii="宋体" w:hAnsi="宋体" w:eastAsia="宋体" w:cs="宋体"/>
          <w:i w:val="0"/>
          <w:caps w:val="0"/>
          <w:color w:val="auto"/>
          <w:spacing w:val="0"/>
          <w:sz w:val="28"/>
          <w:szCs w:val="28"/>
          <w:highlight w:val="none"/>
          <w:shd w:val="clear" w:fill="FFFFFF"/>
          <w:lang w:val="en-US" w:eastAsia="zh-CN"/>
        </w:rPr>
      </w:pPr>
    </w:p>
    <w:p w14:paraId="4D7D384D">
      <w:pPr>
        <w:pStyle w:val="14"/>
        <w:rPr>
          <w:rFonts w:hint="default" w:ascii="宋体" w:hAnsi="宋体" w:eastAsia="宋体" w:cs="宋体"/>
          <w:i w:val="0"/>
          <w:caps w:val="0"/>
          <w:color w:val="auto"/>
          <w:spacing w:val="0"/>
          <w:sz w:val="28"/>
          <w:szCs w:val="28"/>
          <w:highlight w:val="none"/>
          <w:shd w:val="clear" w:fill="FFFFFF"/>
          <w:lang w:val="en-US" w:eastAsia="zh-CN"/>
        </w:rPr>
      </w:pPr>
      <w:bookmarkStart w:id="9" w:name="_GoBack"/>
      <w:bookmarkEnd w:id="9"/>
    </w:p>
    <w:p w14:paraId="249D6814">
      <w:pPr>
        <w:spacing w:line="360" w:lineRule="auto"/>
        <w:ind w:left="0" w:leftChars="0" w:right="113" w:rightChars="54"/>
        <w:jc w:val="left"/>
        <w:rPr>
          <w:rFonts w:hint="default" w:ascii="宋体" w:hAnsi="宋体" w:eastAsia="宋体" w:cs="宋体"/>
          <w:i w:val="0"/>
          <w:caps w:val="0"/>
          <w:color w:val="auto"/>
          <w:spacing w:val="0"/>
          <w:sz w:val="28"/>
          <w:szCs w:val="28"/>
          <w:highlight w:val="none"/>
          <w:shd w:val="clear" w:fill="FFFFFF"/>
          <w:lang w:val="en-US" w:eastAsia="zh-CN"/>
        </w:rPr>
      </w:pPr>
    </w:p>
    <w:p w14:paraId="7DB2A0BB">
      <w:pPr>
        <w:numPr>
          <w:ilvl w:val="0"/>
          <w:numId w:val="3"/>
        </w:numPr>
        <w:spacing w:line="360" w:lineRule="auto"/>
        <w:ind w:left="-420" w:leftChars="-200" w:right="113" w:rightChars="54"/>
        <w:jc w:val="center"/>
        <w:rPr>
          <w:rFonts w:hint="eastAsia" w:ascii="黑体" w:hAnsi="黑体" w:eastAsia="黑体" w:cs="黑体"/>
          <w:b/>
          <w:color w:val="auto"/>
          <w:w w:val="90"/>
          <w:sz w:val="36"/>
          <w:szCs w:val="36"/>
          <w:highlight w:val="none"/>
          <w:lang w:val="en-US" w:eastAsia="zh-CN"/>
        </w:rPr>
      </w:pPr>
      <w:r>
        <w:rPr>
          <w:rFonts w:hint="eastAsia" w:ascii="黑体" w:hAnsi="黑体" w:eastAsia="黑体" w:cs="黑体"/>
          <w:b/>
          <w:color w:val="auto"/>
          <w:w w:val="90"/>
          <w:sz w:val="36"/>
          <w:szCs w:val="36"/>
          <w:highlight w:val="none"/>
          <w:lang w:val="en-US" w:eastAsia="zh-CN"/>
        </w:rPr>
        <w:t>评审办法及评分标准</w:t>
      </w:r>
    </w:p>
    <w:p w14:paraId="29E247BF">
      <w:pPr>
        <w:pStyle w:val="5"/>
        <w:ind w:left="0" w:leftChars="0"/>
        <w:rPr>
          <w:rFonts w:hint="default"/>
          <w:color w:val="auto"/>
          <w:highlight w:val="none"/>
          <w:lang w:val="en-US" w:eastAsia="zh-CN"/>
        </w:rPr>
      </w:pPr>
    </w:p>
    <w:p w14:paraId="6D29A06A">
      <w:pPr>
        <w:overflowPunct w:val="0"/>
        <w:autoSpaceDE w:val="0"/>
        <w:adjustRightInd w:val="0"/>
        <w:spacing w:line="420" w:lineRule="atLeast"/>
        <w:rPr>
          <w:rFonts w:hint="eastAsia" w:eastAsia="黑体"/>
          <w:kern w:val="0"/>
          <w:sz w:val="24"/>
          <w:szCs w:val="22"/>
          <w:highlight w:val="none"/>
        </w:rPr>
      </w:pPr>
      <w:r>
        <w:rPr>
          <w:rFonts w:hint="eastAsia" w:eastAsia="黑体"/>
          <w:kern w:val="0"/>
          <w:sz w:val="24"/>
          <w:szCs w:val="22"/>
          <w:highlight w:val="none"/>
        </w:rPr>
        <w:t>一、总则</w:t>
      </w:r>
    </w:p>
    <w:p w14:paraId="3909F773">
      <w:pPr>
        <w:overflowPunct w:val="0"/>
        <w:autoSpaceDE w:val="0"/>
        <w:adjustRightInd w:val="0"/>
        <w:spacing w:line="420" w:lineRule="atLeast"/>
        <w:ind w:firstLine="480"/>
        <w:rPr>
          <w:rFonts w:ascii="宋体" w:hAnsi="宋体" w:cs="宋体"/>
          <w:sz w:val="24"/>
          <w:highlight w:val="none"/>
        </w:rPr>
      </w:pPr>
      <w:r>
        <w:rPr>
          <w:rFonts w:hint="eastAsia" w:ascii="宋体" w:hAnsi="宋体" w:cs="宋体"/>
          <w:sz w:val="24"/>
          <w:highlight w:val="none"/>
        </w:rPr>
        <w:t>1、根据国家有关规定，结合本项目的特点，制定本办法。本次评审采用综合评分法进行，供应商的最终得分以评标委员会各成员打分的算术平均值确定，得分保留小数点后两位。</w:t>
      </w:r>
    </w:p>
    <w:p w14:paraId="2B599E93">
      <w:pPr>
        <w:overflowPunct w:val="0"/>
        <w:autoSpaceDE w:val="0"/>
        <w:adjustRightInd w:val="0"/>
        <w:spacing w:line="420" w:lineRule="atLeast"/>
        <w:ind w:firstLine="480"/>
        <w:rPr>
          <w:rFonts w:ascii="宋体" w:hAnsi="宋体" w:cs="宋体"/>
          <w:sz w:val="24"/>
          <w:highlight w:val="none"/>
        </w:rPr>
      </w:pPr>
      <w:r>
        <w:rPr>
          <w:rFonts w:hint="eastAsia" w:ascii="宋体" w:hAnsi="宋体" w:cs="宋体"/>
          <w:sz w:val="24"/>
          <w:highlight w:val="none"/>
        </w:rPr>
        <w:t>2、评标由采购人依法组建的评标委员会负责，评标委员会成员应当客观、公正地履行职责，对所提出的评审意见承担个人责任。</w:t>
      </w:r>
    </w:p>
    <w:p w14:paraId="2675E32F">
      <w:pPr>
        <w:overflowPunct w:val="0"/>
        <w:autoSpaceDE w:val="0"/>
        <w:adjustRightInd w:val="0"/>
        <w:spacing w:line="420" w:lineRule="atLeast"/>
        <w:ind w:firstLine="480"/>
        <w:rPr>
          <w:rFonts w:ascii="宋体" w:hAnsi="宋体" w:cs="宋体"/>
          <w:sz w:val="24"/>
          <w:highlight w:val="none"/>
        </w:rPr>
      </w:pPr>
      <w:r>
        <w:rPr>
          <w:rFonts w:hint="eastAsia" w:ascii="宋体" w:hAnsi="宋体" w:cs="宋体"/>
          <w:sz w:val="24"/>
          <w:highlight w:val="none"/>
        </w:rPr>
        <w:t>3、评标工作按以下程序进行：</w:t>
      </w:r>
    </w:p>
    <w:p w14:paraId="4085CA43">
      <w:pPr>
        <w:overflowPunct w:val="0"/>
        <w:autoSpaceDE w:val="0"/>
        <w:adjustRightInd w:val="0"/>
        <w:spacing w:line="420" w:lineRule="atLeast"/>
        <w:ind w:firstLine="480"/>
        <w:rPr>
          <w:rFonts w:ascii="宋体" w:hAnsi="宋体" w:cs="宋体"/>
          <w:sz w:val="24"/>
          <w:highlight w:val="none"/>
        </w:rPr>
      </w:pPr>
      <w:r>
        <w:rPr>
          <w:rFonts w:hint="eastAsia" w:ascii="宋体" w:hAnsi="宋体" w:cs="宋体"/>
          <w:sz w:val="24"/>
          <w:highlight w:val="none"/>
        </w:rPr>
        <w:t>（1）初步评审（评审内容详见附件一 初步评审）；</w:t>
      </w:r>
    </w:p>
    <w:p w14:paraId="7954D1CF">
      <w:pPr>
        <w:overflowPunct w:val="0"/>
        <w:autoSpaceDE w:val="0"/>
        <w:adjustRightInd w:val="0"/>
        <w:spacing w:line="420" w:lineRule="atLeast"/>
        <w:ind w:firstLine="480"/>
        <w:rPr>
          <w:rFonts w:hint="eastAsia" w:ascii="宋体" w:hAnsi="宋体" w:cs="宋体"/>
          <w:sz w:val="24"/>
          <w:highlight w:val="none"/>
        </w:rPr>
      </w:pPr>
      <w:r>
        <w:rPr>
          <w:rFonts w:hint="eastAsia" w:ascii="宋体" w:hAnsi="宋体" w:cs="宋体"/>
          <w:sz w:val="24"/>
          <w:highlight w:val="none"/>
        </w:rPr>
        <w:t>（2）详细评审（评审内容详见附件二 详细评审 综合评分明细表）；</w:t>
      </w:r>
    </w:p>
    <w:p w14:paraId="58C65FDE">
      <w:pPr>
        <w:overflowPunct w:val="0"/>
        <w:autoSpaceDE w:val="0"/>
        <w:adjustRightInd w:val="0"/>
        <w:spacing w:line="420" w:lineRule="atLeast"/>
        <w:ind w:firstLine="480"/>
        <w:rPr>
          <w:rFonts w:ascii="宋体" w:hAnsi="宋体" w:cs="宋体"/>
          <w:sz w:val="24"/>
          <w:highlight w:val="none"/>
        </w:rPr>
      </w:pPr>
      <w:r>
        <w:rPr>
          <w:rFonts w:hint="eastAsia" w:ascii="宋体" w:hAnsi="宋体" w:cs="宋体"/>
          <w:sz w:val="24"/>
          <w:highlight w:val="none"/>
        </w:rPr>
        <w:t>（3）澄清与核实（如有）；</w:t>
      </w:r>
    </w:p>
    <w:p w14:paraId="43307335">
      <w:pPr>
        <w:overflowPunct w:val="0"/>
        <w:autoSpaceDE w:val="0"/>
        <w:adjustRightInd w:val="0"/>
        <w:spacing w:line="420" w:lineRule="atLeast"/>
        <w:ind w:firstLine="480"/>
        <w:rPr>
          <w:rFonts w:hint="eastAsia" w:ascii="宋体" w:hAnsi="宋体" w:cs="宋体"/>
          <w:sz w:val="24"/>
          <w:highlight w:val="none"/>
        </w:rPr>
      </w:pPr>
      <w:r>
        <w:rPr>
          <w:rFonts w:hint="eastAsia" w:ascii="宋体" w:hAnsi="宋体" w:cs="宋体"/>
          <w:sz w:val="24"/>
          <w:highlight w:val="none"/>
        </w:rPr>
        <w:t>（4）推荐中标候选人。</w:t>
      </w:r>
    </w:p>
    <w:p w14:paraId="2511C14B">
      <w:pPr>
        <w:overflowPunct w:val="0"/>
        <w:autoSpaceDE w:val="0"/>
        <w:adjustRightInd w:val="0"/>
        <w:spacing w:line="420" w:lineRule="atLeast"/>
        <w:ind w:firstLine="480"/>
        <w:rPr>
          <w:rFonts w:ascii="宋体" w:hAnsi="宋体" w:cs="宋体"/>
          <w:sz w:val="24"/>
          <w:highlight w:val="none"/>
        </w:rPr>
      </w:pPr>
      <w:r>
        <w:rPr>
          <w:rFonts w:hint="eastAsia" w:ascii="宋体" w:hAnsi="宋体" w:cs="宋体"/>
          <w:sz w:val="24"/>
          <w:highlight w:val="none"/>
        </w:rPr>
        <w:t>注：未通过初步评审（资格审查及符合性审查）的供应商不得进入详细评审。</w:t>
      </w:r>
    </w:p>
    <w:p w14:paraId="6BC8EAFD">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4、供应商得分由三部分组成：报价分、商务分和技术分，各部分得分之和为100分。（评审内容详见附件二 详细评审 综合评分明细表）。</w:t>
      </w:r>
    </w:p>
    <w:p w14:paraId="3231C41A">
      <w:pPr>
        <w:spacing w:line="500" w:lineRule="exact"/>
        <w:ind w:firstLine="480" w:firstLineChars="200"/>
        <w:rPr>
          <w:rFonts w:ascii="宋体" w:hAnsi="宋体" w:cs="宋体"/>
          <w:sz w:val="24"/>
          <w:highlight w:val="none"/>
        </w:rPr>
      </w:pPr>
      <w:r>
        <w:rPr>
          <w:rFonts w:hint="eastAsia" w:ascii="宋体" w:hAnsi="宋体" w:cs="宋体"/>
          <w:sz w:val="24"/>
          <w:highlight w:val="none"/>
        </w:rPr>
        <w:t>供应商得分统计应遵循以下原则：</w:t>
      </w:r>
    </w:p>
    <w:p w14:paraId="14C4D4A1">
      <w:pPr>
        <w:spacing w:line="500" w:lineRule="exact"/>
        <w:ind w:firstLine="480" w:firstLineChars="200"/>
        <w:rPr>
          <w:rFonts w:ascii="宋体" w:hAnsi="宋体" w:cs="宋体"/>
          <w:sz w:val="24"/>
          <w:highlight w:val="none"/>
        </w:rPr>
      </w:pPr>
      <w:r>
        <w:rPr>
          <w:rFonts w:hint="eastAsia" w:ascii="宋体" w:hAnsi="宋体" w:cs="宋体"/>
          <w:sz w:val="24"/>
          <w:highlight w:val="none"/>
        </w:rPr>
        <w:t>（1）客观分值项（即商务部分评分）:是评委共同公正评判供应商投标文件客观内容的一致反映，必须统一；</w:t>
      </w:r>
    </w:p>
    <w:p w14:paraId="52DB6C60">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（2）主观分值项（即技术部分评分）:评分是评委个人公正评判供应商投标文件主观内容的反映，是个性与共性的统一。得分以评标委员会各成员打分的算术平均值确定，得分保留小数点后两位。</w:t>
      </w:r>
    </w:p>
    <w:p w14:paraId="12E7E79C">
      <w:pPr>
        <w:overflowPunct w:val="0"/>
        <w:autoSpaceDE w:val="0"/>
        <w:adjustRightInd w:val="0"/>
        <w:spacing w:line="420" w:lineRule="atLeast"/>
        <w:rPr>
          <w:rFonts w:hint="eastAsia" w:eastAsia="黑体"/>
          <w:kern w:val="0"/>
          <w:sz w:val="24"/>
          <w:szCs w:val="22"/>
          <w:highlight w:val="none"/>
        </w:rPr>
      </w:pPr>
      <w:r>
        <w:rPr>
          <w:rFonts w:hint="eastAsia" w:eastAsia="黑体"/>
          <w:kern w:val="0"/>
          <w:sz w:val="24"/>
          <w:szCs w:val="22"/>
          <w:highlight w:val="none"/>
        </w:rPr>
        <w:t>二、算术性修正</w:t>
      </w:r>
    </w:p>
    <w:p w14:paraId="052417D7">
      <w:pPr>
        <w:spacing w:line="520" w:lineRule="exact"/>
        <w:ind w:firstLine="480" w:firstLineChars="200"/>
        <w:rPr>
          <w:rFonts w:hAnsi="宋体" w:cs="宋体"/>
          <w:sz w:val="24"/>
          <w:highlight w:val="none"/>
        </w:rPr>
      </w:pPr>
      <w:r>
        <w:rPr>
          <w:rFonts w:hint="eastAsia" w:hAnsi="宋体" w:cs="宋体"/>
          <w:sz w:val="24"/>
          <w:highlight w:val="none"/>
        </w:rPr>
        <w:t>评标委员会对通过符合性审查的供应商的报价按下列原则进行算术性修正：</w:t>
      </w:r>
    </w:p>
    <w:p w14:paraId="1158AAAB">
      <w:pPr>
        <w:spacing w:line="520" w:lineRule="exact"/>
        <w:ind w:firstLine="480" w:firstLineChars="200"/>
        <w:rPr>
          <w:rFonts w:hAnsi="宋体" w:cs="宋体"/>
          <w:sz w:val="24"/>
          <w:highlight w:val="none"/>
        </w:rPr>
      </w:pPr>
      <w:r>
        <w:rPr>
          <w:rFonts w:hint="eastAsia" w:hAnsi="宋体" w:cs="宋体"/>
          <w:sz w:val="24"/>
          <w:highlight w:val="none"/>
        </w:rPr>
        <w:t>（</w:t>
      </w:r>
      <w:r>
        <w:rPr>
          <w:rFonts w:hAnsi="宋体" w:cs="宋体"/>
          <w:sz w:val="24"/>
          <w:highlight w:val="none"/>
        </w:rPr>
        <w:t>1</w:t>
      </w:r>
      <w:r>
        <w:rPr>
          <w:rFonts w:hint="eastAsia" w:hAnsi="宋体" w:cs="宋体"/>
          <w:sz w:val="24"/>
          <w:highlight w:val="none"/>
        </w:rPr>
        <w:t>）投标文件中投标函内容（投标报价、服务时间、拟派项目负责人）与投标文件中相应内容不一致的，以投标函为准；</w:t>
      </w:r>
    </w:p>
    <w:p w14:paraId="7FB611A2">
      <w:pPr>
        <w:spacing w:line="520" w:lineRule="exact"/>
        <w:ind w:firstLine="480" w:firstLineChars="200"/>
        <w:rPr>
          <w:rFonts w:hint="eastAsia" w:hAnsi="宋体" w:cs="宋体"/>
          <w:sz w:val="24"/>
          <w:highlight w:val="none"/>
        </w:rPr>
      </w:pPr>
      <w:r>
        <w:rPr>
          <w:rFonts w:hint="eastAsia" w:hAnsi="宋体" w:cs="宋体"/>
          <w:sz w:val="24"/>
          <w:highlight w:val="none"/>
        </w:rPr>
        <w:t>（</w:t>
      </w:r>
      <w:r>
        <w:rPr>
          <w:rFonts w:hAnsi="宋体" w:cs="宋体"/>
          <w:sz w:val="24"/>
          <w:highlight w:val="none"/>
        </w:rPr>
        <w:t>2</w:t>
      </w:r>
      <w:r>
        <w:rPr>
          <w:rFonts w:hint="eastAsia" w:hAnsi="宋体" w:cs="宋体"/>
          <w:sz w:val="24"/>
          <w:highlight w:val="none"/>
        </w:rPr>
        <w:t>）大写金额和小写金额不一致的，以大写金额为准；</w:t>
      </w:r>
    </w:p>
    <w:p w14:paraId="1063D87A">
      <w:pPr>
        <w:spacing w:line="520" w:lineRule="exact"/>
        <w:ind w:firstLine="480" w:firstLineChars="200"/>
        <w:rPr>
          <w:rFonts w:hint="eastAsia" w:hAnsi="宋体" w:cs="宋体"/>
          <w:sz w:val="24"/>
          <w:highlight w:val="none"/>
        </w:rPr>
      </w:pPr>
      <w:r>
        <w:rPr>
          <w:rFonts w:hint="eastAsia" w:hAnsi="宋体" w:cs="宋体"/>
          <w:sz w:val="24"/>
          <w:highlight w:val="none"/>
        </w:rPr>
        <w:t>（3）单价金额小数点或者百分比（如有）有明显错位的，以投标函的总价为准，并修改单价；</w:t>
      </w:r>
    </w:p>
    <w:p w14:paraId="15A79209">
      <w:pPr>
        <w:spacing w:line="520" w:lineRule="exact"/>
        <w:ind w:firstLine="480" w:firstLineChars="200"/>
        <w:rPr>
          <w:rFonts w:hint="eastAsia" w:hAnsi="宋体" w:cs="宋体"/>
          <w:sz w:val="24"/>
          <w:highlight w:val="none"/>
        </w:rPr>
      </w:pPr>
      <w:r>
        <w:rPr>
          <w:rFonts w:hint="eastAsia" w:hAnsi="宋体" w:cs="宋体"/>
          <w:sz w:val="24"/>
          <w:highlight w:val="none"/>
        </w:rPr>
        <w:t>（4）总价金额与按单价汇总金额不一致的，以单价金额计算结果为准。</w:t>
      </w:r>
    </w:p>
    <w:p w14:paraId="2895D28C">
      <w:pPr>
        <w:spacing w:line="520" w:lineRule="exact"/>
        <w:ind w:firstLine="480" w:firstLineChars="200"/>
        <w:rPr>
          <w:rFonts w:hAnsi="宋体" w:cs="宋体"/>
          <w:sz w:val="24"/>
          <w:highlight w:val="none"/>
        </w:rPr>
      </w:pPr>
      <w:r>
        <w:rPr>
          <w:rFonts w:ascii="宋体" w:hAnsi="宋体" w:cs="宋体"/>
          <w:sz w:val="24"/>
          <w:highlight w:val="none"/>
        </w:rPr>
        <w:t>同时出现两种以上不一致的，按照前款规定的顺序修正。</w:t>
      </w:r>
      <w:r>
        <w:rPr>
          <w:rFonts w:hint="eastAsia" w:hAnsi="宋体" w:cs="宋体"/>
          <w:sz w:val="24"/>
          <w:szCs w:val="22"/>
          <w:highlight w:val="none"/>
        </w:rPr>
        <w:t>按以上</w:t>
      </w:r>
      <w:r>
        <w:rPr>
          <w:rFonts w:hint="eastAsia" w:hAnsi="宋体" w:cs="宋体"/>
          <w:sz w:val="24"/>
          <w:highlight w:val="none"/>
        </w:rPr>
        <w:t>原则对算术性差错的修正，应取得供应商的同意，并确认修正后的最终投标价。如果供应商拒绝确认，其投标无效。</w:t>
      </w:r>
    </w:p>
    <w:p w14:paraId="0675C92C">
      <w:pPr>
        <w:spacing w:line="520" w:lineRule="exact"/>
        <w:ind w:firstLine="480" w:firstLineChars="200"/>
        <w:rPr>
          <w:rFonts w:hint="eastAsia" w:hAnsi="宋体" w:cs="宋体"/>
          <w:sz w:val="24"/>
          <w:highlight w:val="none"/>
        </w:rPr>
      </w:pPr>
      <w:r>
        <w:rPr>
          <w:rFonts w:hint="eastAsia" w:hAnsi="宋体" w:cs="宋体"/>
          <w:sz w:val="24"/>
          <w:highlight w:val="none"/>
        </w:rPr>
        <w:t>修正后的最终投标价超出采购人设定的投标控制价上限，其投标将无效。</w:t>
      </w:r>
    </w:p>
    <w:p w14:paraId="5B3261D1">
      <w:pPr>
        <w:spacing w:line="440" w:lineRule="exact"/>
        <w:ind w:right="113" w:firstLine="482" w:firstLineChars="200"/>
        <w:rPr>
          <w:rFonts w:hint="eastAsia" w:ascii="宋体" w:hAnsi="宋体"/>
          <w:b/>
          <w:sz w:val="24"/>
          <w:highlight w:val="none"/>
        </w:rPr>
      </w:pPr>
      <w:r>
        <w:rPr>
          <w:rFonts w:hint="eastAsia" w:ascii="宋体" w:hAnsi="宋体"/>
          <w:b/>
          <w:sz w:val="24"/>
          <w:highlight w:val="none"/>
        </w:rPr>
        <w:t>注：根据《政府采购促进中小企业发展暂行办法》的规定，投标供应商属于小型和微型企业的，对小型和微型企业产品的价格给与10%-20%的扣除，用扣除后的价格参与评审，本项目具体扣除比例为10％；联合体均为小微企业的价格扣除</w:t>
      </w:r>
      <w:r>
        <w:rPr>
          <w:rFonts w:hint="eastAsia" w:ascii="宋体" w:hAnsi="宋体"/>
          <w:b/>
          <w:sz w:val="24"/>
          <w:highlight w:val="none"/>
          <w:lang w:val="en-US" w:eastAsia="zh-CN"/>
        </w:rPr>
        <w:t>比例为10%。</w:t>
      </w:r>
      <w:r>
        <w:rPr>
          <w:rFonts w:hint="eastAsia" w:ascii="宋体" w:hAnsi="宋体"/>
          <w:b/>
          <w:sz w:val="24"/>
          <w:highlight w:val="none"/>
        </w:rPr>
        <w:t>需提供《中小企业声明函》（见投标文件格式部分）。组成联合体的小微企业与联合体内其他企业之间存在直接控股、管理关系的，不享受价格扣除优惠政策。</w:t>
      </w:r>
    </w:p>
    <w:p w14:paraId="7E0E427F">
      <w:pPr>
        <w:spacing w:line="440" w:lineRule="exact"/>
        <w:ind w:right="113" w:firstLine="482" w:firstLineChars="200"/>
        <w:rPr>
          <w:rFonts w:hint="eastAsia" w:ascii="宋体" w:hAnsi="宋体"/>
          <w:b/>
          <w:sz w:val="24"/>
          <w:highlight w:val="none"/>
        </w:rPr>
      </w:pPr>
      <w:r>
        <w:rPr>
          <w:rFonts w:hint="eastAsia" w:ascii="宋体" w:hAnsi="宋体"/>
          <w:b/>
          <w:sz w:val="24"/>
          <w:highlight w:val="none"/>
          <w:lang w:val="en-US" w:eastAsia="zh-CN"/>
        </w:rPr>
        <w:t>大中型企业与小微企业组成联合体且小微企业的合同份额占到合同总金额30%以上的价格扣除比例为4%，需提供合同份额分配情况说明。</w:t>
      </w:r>
    </w:p>
    <w:p w14:paraId="5D236E75">
      <w:pPr>
        <w:overflowPunct/>
        <w:autoSpaceDE/>
        <w:adjustRightInd/>
        <w:spacing w:line="440" w:lineRule="exact"/>
        <w:ind w:right="113" w:firstLine="482" w:firstLineChars="200"/>
        <w:rPr>
          <w:rFonts w:hint="eastAsia" w:eastAsia="黑体"/>
          <w:kern w:val="0"/>
          <w:sz w:val="24"/>
          <w:szCs w:val="22"/>
          <w:highlight w:val="none"/>
        </w:rPr>
      </w:pPr>
      <w:r>
        <w:rPr>
          <w:rFonts w:hint="eastAsia" w:ascii="宋体" w:hAnsi="宋体"/>
          <w:b/>
          <w:sz w:val="24"/>
          <w:highlight w:val="none"/>
        </w:rPr>
        <w:t>根据财库〔2017〕141 号文的相关规定，残疾人福利型单位并提供《残疾人福利性单位声明函》的视同为小微企业。</w:t>
      </w:r>
    </w:p>
    <w:p w14:paraId="2EA16C2B">
      <w:pPr>
        <w:overflowPunct w:val="0"/>
        <w:autoSpaceDE w:val="0"/>
        <w:adjustRightInd w:val="0"/>
        <w:spacing w:line="420" w:lineRule="atLeast"/>
        <w:rPr>
          <w:rFonts w:hint="eastAsia" w:eastAsia="黑体"/>
          <w:kern w:val="0"/>
          <w:sz w:val="24"/>
          <w:szCs w:val="22"/>
          <w:highlight w:val="none"/>
        </w:rPr>
      </w:pPr>
      <w:r>
        <w:rPr>
          <w:rFonts w:hint="eastAsia" w:eastAsia="黑体"/>
          <w:kern w:val="0"/>
          <w:sz w:val="24"/>
          <w:szCs w:val="22"/>
          <w:highlight w:val="none"/>
        </w:rPr>
        <w:t>三、澄清与核实</w:t>
      </w:r>
    </w:p>
    <w:p w14:paraId="63639D10">
      <w:pPr>
        <w:overflowPunct w:val="0"/>
        <w:autoSpaceDE w:val="0"/>
        <w:adjustRightInd w:val="0"/>
        <w:spacing w:line="420" w:lineRule="atLeast"/>
        <w:ind w:firstLine="480"/>
        <w:rPr>
          <w:rFonts w:ascii="宋体" w:hAnsi="宋体" w:cs="宋体"/>
          <w:sz w:val="24"/>
          <w:highlight w:val="none"/>
        </w:rPr>
      </w:pPr>
      <w:r>
        <w:rPr>
          <w:rFonts w:hint="eastAsia" w:ascii="宋体" w:hAnsi="宋体" w:cs="宋体"/>
          <w:sz w:val="24"/>
          <w:highlight w:val="none"/>
        </w:rPr>
        <w:t>1、为了有助于投标文件的审查、评分和比较，评标委员会可以要求供应商对投标文件中含义不明确的内容或与采购文件的偏差作必要的澄清或说明。</w:t>
      </w:r>
    </w:p>
    <w:p w14:paraId="4391131F">
      <w:pPr>
        <w:overflowPunct w:val="0"/>
        <w:autoSpaceDE w:val="0"/>
        <w:adjustRightInd w:val="0"/>
        <w:spacing w:line="420" w:lineRule="atLeast"/>
        <w:ind w:firstLine="480"/>
        <w:rPr>
          <w:rFonts w:ascii="宋体" w:hAnsi="宋体" w:cs="宋体"/>
          <w:sz w:val="24"/>
          <w:highlight w:val="none"/>
        </w:rPr>
      </w:pPr>
      <w:r>
        <w:rPr>
          <w:rFonts w:hint="eastAsia" w:ascii="宋体" w:hAnsi="宋体" w:cs="宋体"/>
          <w:sz w:val="24"/>
          <w:highlight w:val="none"/>
        </w:rPr>
        <w:t>2、供应商必须以书面形式提供澄清内容或说明内容，并作为投标文件的组成部分。</w:t>
      </w:r>
    </w:p>
    <w:p w14:paraId="16DFB62C">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3、澄清和说明不得超出投标文件的范围或改变投标文件的实质性内容，评标委员会不接受供应商主动提出的澄清。</w:t>
      </w:r>
    </w:p>
    <w:p w14:paraId="2152A373">
      <w:pPr>
        <w:spacing w:line="500" w:lineRule="exact"/>
        <w:ind w:firstLine="480" w:firstLineChars="200"/>
        <w:rPr>
          <w:rFonts w:ascii="宋体" w:hAnsi="宋体" w:cs="宋体"/>
          <w:sz w:val="24"/>
          <w:highlight w:val="none"/>
        </w:rPr>
      </w:pPr>
      <w:r>
        <w:rPr>
          <w:rFonts w:hint="eastAsia" w:ascii="宋体" w:hAnsi="宋体" w:cs="宋体"/>
          <w:sz w:val="24"/>
          <w:highlight w:val="none"/>
        </w:rPr>
        <w:t>4、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E8AF6A4">
      <w:pPr>
        <w:overflowPunct w:val="0"/>
        <w:autoSpaceDE w:val="0"/>
        <w:adjustRightInd w:val="0"/>
        <w:spacing w:line="420" w:lineRule="atLeast"/>
        <w:rPr>
          <w:rFonts w:hint="eastAsia" w:eastAsia="黑体"/>
          <w:kern w:val="0"/>
          <w:sz w:val="24"/>
          <w:szCs w:val="22"/>
          <w:highlight w:val="none"/>
        </w:rPr>
      </w:pPr>
      <w:r>
        <w:rPr>
          <w:rFonts w:hint="eastAsia" w:eastAsia="黑体"/>
          <w:kern w:val="0"/>
          <w:sz w:val="24"/>
          <w:szCs w:val="22"/>
          <w:highlight w:val="none"/>
        </w:rPr>
        <w:t>四、推荐中标候选人名单</w:t>
      </w:r>
    </w:p>
    <w:p w14:paraId="28FEF7A6">
      <w:pPr>
        <w:overflowPunct w:val="0"/>
        <w:autoSpaceDE w:val="0"/>
        <w:adjustRightInd w:val="0"/>
        <w:spacing w:line="420" w:lineRule="atLeast"/>
        <w:ind w:firstLine="480"/>
        <w:rPr>
          <w:rFonts w:hint="eastAsia" w:ascii="宋体" w:hAnsi="宋体" w:cs="宋体"/>
          <w:sz w:val="24"/>
          <w:highlight w:val="none"/>
        </w:rPr>
      </w:pPr>
      <w:r>
        <w:rPr>
          <w:rFonts w:hint="eastAsia" w:ascii="宋体" w:hAnsi="宋体" w:cs="宋体"/>
          <w:sz w:val="24"/>
          <w:highlight w:val="none"/>
        </w:rPr>
        <w:t>1、评标委员会完成评标后，应当向采购人提出书面报告。</w:t>
      </w:r>
    </w:p>
    <w:p w14:paraId="5A60CB6A">
      <w:pPr>
        <w:overflowPunct w:val="0"/>
        <w:autoSpaceDE w:val="0"/>
        <w:adjustRightInd w:val="0"/>
        <w:spacing w:line="420" w:lineRule="atLeast"/>
        <w:ind w:firstLine="480"/>
        <w:rPr>
          <w:rFonts w:hint="eastAsia" w:ascii="宋体" w:hAnsi="宋体" w:cs="宋体"/>
          <w:sz w:val="24"/>
          <w:highlight w:val="none"/>
        </w:rPr>
      </w:pPr>
      <w:r>
        <w:rPr>
          <w:rFonts w:hint="eastAsia" w:ascii="宋体" w:hAnsi="宋体" w:cs="宋体"/>
          <w:sz w:val="24"/>
          <w:highlight w:val="none"/>
        </w:rPr>
        <w:t>2、评标报告由评标委员会全体成员签字。</w:t>
      </w:r>
    </w:p>
    <w:p w14:paraId="27A3C317">
      <w:pPr>
        <w:overflowPunct w:val="0"/>
        <w:autoSpaceDE w:val="0"/>
        <w:adjustRightInd w:val="0"/>
        <w:spacing w:line="420" w:lineRule="atLeast"/>
        <w:ind w:firstLine="480"/>
        <w:rPr>
          <w:rFonts w:hint="eastAsia" w:ascii="宋体" w:hAnsi="宋体" w:cs="宋体"/>
          <w:sz w:val="24"/>
          <w:highlight w:val="none"/>
        </w:rPr>
      </w:pPr>
      <w:r>
        <w:rPr>
          <w:rFonts w:hint="eastAsia" w:ascii="宋体" w:hAnsi="宋体" w:cs="宋体"/>
          <w:sz w:val="24"/>
          <w:highlight w:val="none"/>
        </w:rPr>
        <w:t>3、对通过资格评审和符合性评审的投标文件，评标委员会按综合得分由高到低的顺序，推荐3名中标候选人。当出现综合得分相同时，按投标报价由低到高的优先顺序排列；综合得分且投标报价均相同的，按照投标文件中技术部分得分从高到低的优先顺序排列；若仍然相等的，按照递交投标文件的先后顺序排列。</w:t>
      </w:r>
    </w:p>
    <w:p w14:paraId="54162F3D">
      <w:pPr>
        <w:spacing w:line="500" w:lineRule="exact"/>
        <w:ind w:firstLine="480" w:firstLineChars="200"/>
        <w:rPr>
          <w:rFonts w:ascii="宋体" w:hAnsi="宋体" w:cs="宋体"/>
          <w:sz w:val="24"/>
          <w:highlight w:val="none"/>
        </w:rPr>
      </w:pPr>
    </w:p>
    <w:p w14:paraId="36181CAC">
      <w:pPr>
        <w:spacing w:line="500" w:lineRule="exact"/>
        <w:ind w:firstLine="480" w:firstLineChars="200"/>
        <w:rPr>
          <w:rFonts w:ascii="宋体" w:hAnsi="宋体" w:cs="宋体"/>
          <w:sz w:val="24"/>
          <w:highlight w:val="none"/>
        </w:rPr>
      </w:pPr>
    </w:p>
    <w:p w14:paraId="5EF1AFB8">
      <w:pPr>
        <w:spacing w:line="500" w:lineRule="exact"/>
        <w:ind w:firstLine="480" w:firstLineChars="200"/>
        <w:rPr>
          <w:rFonts w:ascii="宋体" w:hAnsi="宋体" w:cs="宋体"/>
          <w:sz w:val="24"/>
          <w:highlight w:val="none"/>
        </w:rPr>
      </w:pPr>
    </w:p>
    <w:p w14:paraId="08590902">
      <w:pPr>
        <w:spacing w:line="500" w:lineRule="exact"/>
        <w:rPr>
          <w:rFonts w:ascii="宋体" w:hAnsi="宋体" w:cs="宋体"/>
          <w:b/>
          <w:sz w:val="28"/>
          <w:highlight w:val="none"/>
        </w:rPr>
      </w:pPr>
      <w:r>
        <w:rPr>
          <w:rFonts w:ascii="宋体" w:hAnsi="宋体" w:cs="宋体"/>
          <w:b/>
          <w:sz w:val="28"/>
          <w:highlight w:val="none"/>
        </w:rPr>
        <w:br w:type="page"/>
      </w:r>
      <w:r>
        <w:rPr>
          <w:rFonts w:hint="eastAsia" w:ascii="宋体" w:hAnsi="宋体" w:cs="宋体"/>
          <w:b/>
          <w:sz w:val="28"/>
          <w:highlight w:val="none"/>
        </w:rPr>
        <w:t xml:space="preserve">附件一  </w:t>
      </w:r>
      <w:r>
        <w:rPr>
          <w:rFonts w:ascii="宋体" w:hAnsi="宋体" w:cs="宋体"/>
          <w:b/>
          <w:sz w:val="28"/>
          <w:highlight w:val="none"/>
        </w:rPr>
        <w:t>初步评审</w:t>
      </w:r>
    </w:p>
    <w:tbl>
      <w:tblPr>
        <w:tblStyle w:val="1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1887"/>
        <w:gridCol w:w="6534"/>
      </w:tblGrid>
      <w:tr w14:paraId="29556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exact"/>
        </w:trPr>
        <w:tc>
          <w:tcPr>
            <w:tcW w:w="2560" w:type="dxa"/>
            <w:gridSpan w:val="2"/>
            <w:tcBorders>
              <w:top w:val="single" w:color="auto" w:sz="4" w:space="0"/>
              <w:bottom w:val="single" w:color="auto" w:sz="4" w:space="0"/>
              <w:right w:val="single" w:color="auto" w:sz="4" w:space="0"/>
            </w:tcBorders>
            <w:noWrap w:val="0"/>
            <w:vAlign w:val="center"/>
          </w:tcPr>
          <w:p w14:paraId="56D7D321">
            <w:pPr>
              <w:spacing w:line="360" w:lineRule="auto"/>
              <w:jc w:val="center"/>
              <w:rPr>
                <w:rFonts w:ascii="宋体" w:cs="宋体"/>
                <w:b/>
                <w:sz w:val="24"/>
                <w:highlight w:val="none"/>
              </w:rPr>
            </w:pPr>
            <w:r>
              <w:rPr>
                <w:rFonts w:hint="eastAsia" w:ascii="宋体" w:cs="宋体"/>
                <w:b/>
                <w:sz w:val="24"/>
                <w:highlight w:val="none"/>
              </w:rPr>
              <w:t>序号</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4A7C3F3F">
            <w:pPr>
              <w:spacing w:line="360" w:lineRule="auto"/>
              <w:jc w:val="center"/>
              <w:rPr>
                <w:rFonts w:ascii="宋体" w:cs="宋体"/>
                <w:b/>
                <w:sz w:val="24"/>
                <w:highlight w:val="none"/>
              </w:rPr>
            </w:pPr>
            <w:r>
              <w:rPr>
                <w:rFonts w:hint="eastAsia" w:ascii="宋体" w:cs="宋体"/>
                <w:b/>
                <w:sz w:val="24"/>
                <w:highlight w:val="none"/>
              </w:rPr>
              <w:t>评审因素及评审标准</w:t>
            </w:r>
          </w:p>
        </w:tc>
      </w:tr>
      <w:tr w14:paraId="2A6E1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6" w:hRule="atLeast"/>
        </w:trPr>
        <w:tc>
          <w:tcPr>
            <w:tcW w:w="673" w:type="dxa"/>
            <w:vMerge w:val="restart"/>
            <w:tcBorders>
              <w:top w:val="single" w:color="auto" w:sz="4" w:space="0"/>
              <w:right w:val="single" w:color="auto" w:sz="4" w:space="0"/>
            </w:tcBorders>
            <w:noWrap w:val="0"/>
            <w:vAlign w:val="center"/>
          </w:tcPr>
          <w:p w14:paraId="6D2C1797">
            <w:pPr>
              <w:spacing w:line="360" w:lineRule="auto"/>
              <w:jc w:val="center"/>
              <w:rPr>
                <w:rFonts w:ascii="宋体" w:cs="宋体"/>
                <w:sz w:val="24"/>
                <w:highlight w:val="none"/>
              </w:rPr>
            </w:pPr>
            <w:r>
              <w:rPr>
                <w:rFonts w:hint="eastAsia" w:ascii="宋体" w:cs="宋体"/>
                <w:sz w:val="24"/>
                <w:highlight w:val="none"/>
              </w:rPr>
              <w:t>1</w:t>
            </w:r>
          </w:p>
        </w:tc>
        <w:tc>
          <w:tcPr>
            <w:tcW w:w="1887" w:type="dxa"/>
            <w:vMerge w:val="restart"/>
            <w:tcBorders>
              <w:top w:val="single" w:color="auto" w:sz="4" w:space="0"/>
              <w:left w:val="single" w:color="auto" w:sz="4" w:space="0"/>
              <w:right w:val="single" w:color="auto" w:sz="4" w:space="0"/>
            </w:tcBorders>
            <w:noWrap w:val="0"/>
            <w:vAlign w:val="center"/>
          </w:tcPr>
          <w:p w14:paraId="0DFAE68C">
            <w:pPr>
              <w:spacing w:line="380" w:lineRule="exact"/>
              <w:jc w:val="left"/>
              <w:rPr>
                <w:rFonts w:hint="eastAsia" w:ascii="宋体" w:cs="宋体"/>
                <w:sz w:val="24"/>
                <w:highlight w:val="none"/>
              </w:rPr>
            </w:pPr>
            <w:r>
              <w:rPr>
                <w:rFonts w:hint="eastAsia" w:ascii="宋体" w:cs="宋体"/>
                <w:sz w:val="24"/>
                <w:highlight w:val="none"/>
              </w:rPr>
              <w:t>资格审查（</w:t>
            </w:r>
            <w:r>
              <w:rPr>
                <w:rFonts w:hint="eastAsia" w:ascii="宋体" w:hAnsi="宋体" w:cs="宋体"/>
                <w:sz w:val="24"/>
                <w:highlight w:val="none"/>
              </w:rPr>
              <w:t>采购人或采购代理机构在开标结束后依法对供应商的资格进行审查，评标专家不再对供应商的资格进行审查。</w:t>
            </w:r>
            <w:r>
              <w:rPr>
                <w:rFonts w:hint="eastAsia" w:ascii="宋体" w:cs="宋体"/>
                <w:sz w:val="24"/>
                <w:highlight w:val="none"/>
              </w:rPr>
              <w:t>）</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6497F2A2">
            <w:pPr>
              <w:widowControl/>
              <w:rPr>
                <w:rFonts w:hint="eastAsia" w:cs="SSJ-PK74820000008-Identity-H"/>
                <w:kern w:val="0"/>
                <w:sz w:val="24"/>
                <w:highlight w:val="none"/>
              </w:rPr>
            </w:pPr>
            <w:r>
              <w:rPr>
                <w:rFonts w:hint="eastAsia" w:ascii="宋体" w:hAnsi="宋体" w:cs="宋体"/>
                <w:sz w:val="24"/>
                <w:highlight w:val="none"/>
              </w:rPr>
              <w:t>（1）具有独立承担民事责任的能力：提供法人或其他组织的营业执照或事业单位法人证书等证明文件，或自然人身份证明；</w:t>
            </w:r>
          </w:p>
        </w:tc>
      </w:tr>
      <w:tr w14:paraId="234AC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6" w:hRule="atLeast"/>
        </w:trPr>
        <w:tc>
          <w:tcPr>
            <w:tcW w:w="673" w:type="dxa"/>
            <w:vMerge w:val="continue"/>
            <w:tcBorders>
              <w:right w:val="single" w:color="auto" w:sz="4" w:space="0"/>
            </w:tcBorders>
            <w:noWrap w:val="0"/>
            <w:vAlign w:val="center"/>
          </w:tcPr>
          <w:p w14:paraId="26A87E5C">
            <w:pPr>
              <w:spacing w:line="360" w:lineRule="auto"/>
              <w:jc w:val="center"/>
              <w:rPr>
                <w:rFonts w:ascii="宋体" w:cs="宋体"/>
                <w:sz w:val="24"/>
                <w:highlight w:val="none"/>
              </w:rPr>
            </w:pPr>
          </w:p>
        </w:tc>
        <w:tc>
          <w:tcPr>
            <w:tcW w:w="1887" w:type="dxa"/>
            <w:vMerge w:val="continue"/>
            <w:tcBorders>
              <w:left w:val="single" w:color="auto" w:sz="4" w:space="0"/>
              <w:right w:val="single" w:color="auto" w:sz="4" w:space="0"/>
            </w:tcBorders>
            <w:noWrap w:val="0"/>
            <w:vAlign w:val="center"/>
          </w:tcPr>
          <w:p w14:paraId="4325E610">
            <w:pPr>
              <w:spacing w:line="360" w:lineRule="auto"/>
              <w:rPr>
                <w:rFonts w:ascii="宋体" w:cs="宋体"/>
                <w:sz w:val="24"/>
                <w:highlight w:val="none"/>
              </w:rPr>
            </w:pPr>
          </w:p>
        </w:tc>
        <w:tc>
          <w:tcPr>
            <w:tcW w:w="6534" w:type="dxa"/>
            <w:tcBorders>
              <w:top w:val="single" w:color="auto" w:sz="4" w:space="0"/>
              <w:left w:val="single" w:color="auto" w:sz="4" w:space="0"/>
              <w:bottom w:val="single" w:color="auto" w:sz="4" w:space="0"/>
              <w:right w:val="single" w:color="auto" w:sz="4" w:space="0"/>
            </w:tcBorders>
            <w:noWrap w:val="0"/>
            <w:vAlign w:val="center"/>
          </w:tcPr>
          <w:p w14:paraId="1B8DE489">
            <w:pPr>
              <w:widowControl/>
              <w:spacing w:line="380" w:lineRule="exact"/>
              <w:jc w:val="left"/>
              <w:rPr>
                <w:rFonts w:hint="eastAsia" w:ascii="宋体" w:hAnsi="宋体" w:cs="宋体"/>
                <w:sz w:val="24"/>
                <w:highlight w:val="none"/>
              </w:rPr>
            </w:pPr>
            <w:r>
              <w:rPr>
                <w:rFonts w:hint="eastAsia" w:ascii="宋体" w:hAnsi="宋体" w:cs="宋体"/>
                <w:sz w:val="24"/>
                <w:highlight w:val="none"/>
              </w:rPr>
              <w:t>（2）具有良好的商业信誉和健全的财务会计制度：</w:t>
            </w:r>
            <w:r>
              <w:rPr>
                <w:rFonts w:hint="eastAsia" w:ascii="宋体" w:hAnsi="宋体" w:cs="宋体"/>
                <w:kern w:val="0"/>
                <w:sz w:val="24"/>
                <w:highlight w:val="none"/>
                <w:shd w:val="clear" w:color="auto" w:fill="FFFFFF"/>
                <w:lang w:bidi="ar"/>
              </w:rPr>
              <w:t>2024年</w:t>
            </w:r>
            <w:r>
              <w:rPr>
                <w:rFonts w:hint="eastAsia" w:ascii="宋体" w:hAnsi="宋体" w:cs="宋体"/>
                <w:sz w:val="24"/>
                <w:highlight w:val="none"/>
              </w:rPr>
              <w:t>财务决算报表或经审计的财务报告或银行出具的资信证明；</w:t>
            </w:r>
          </w:p>
        </w:tc>
      </w:tr>
      <w:tr w14:paraId="45535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6" w:hRule="atLeast"/>
        </w:trPr>
        <w:tc>
          <w:tcPr>
            <w:tcW w:w="673" w:type="dxa"/>
            <w:vMerge w:val="continue"/>
            <w:tcBorders>
              <w:right w:val="single" w:color="auto" w:sz="4" w:space="0"/>
            </w:tcBorders>
            <w:noWrap w:val="0"/>
            <w:vAlign w:val="center"/>
          </w:tcPr>
          <w:p w14:paraId="216F016A">
            <w:pPr>
              <w:spacing w:line="360" w:lineRule="auto"/>
              <w:jc w:val="center"/>
              <w:rPr>
                <w:rFonts w:ascii="宋体" w:cs="宋体"/>
                <w:sz w:val="24"/>
                <w:highlight w:val="none"/>
              </w:rPr>
            </w:pPr>
          </w:p>
        </w:tc>
        <w:tc>
          <w:tcPr>
            <w:tcW w:w="1887" w:type="dxa"/>
            <w:vMerge w:val="continue"/>
            <w:tcBorders>
              <w:left w:val="single" w:color="auto" w:sz="4" w:space="0"/>
              <w:right w:val="single" w:color="auto" w:sz="4" w:space="0"/>
            </w:tcBorders>
            <w:noWrap w:val="0"/>
            <w:vAlign w:val="center"/>
          </w:tcPr>
          <w:p w14:paraId="1CFBA9C8">
            <w:pPr>
              <w:spacing w:line="360" w:lineRule="auto"/>
              <w:rPr>
                <w:rFonts w:ascii="宋体" w:cs="宋体"/>
                <w:sz w:val="24"/>
                <w:highlight w:val="none"/>
              </w:rPr>
            </w:pPr>
          </w:p>
        </w:tc>
        <w:tc>
          <w:tcPr>
            <w:tcW w:w="6534" w:type="dxa"/>
            <w:tcBorders>
              <w:top w:val="single" w:color="auto" w:sz="4" w:space="0"/>
              <w:left w:val="single" w:color="auto" w:sz="4" w:space="0"/>
              <w:bottom w:val="single" w:color="auto" w:sz="4" w:space="0"/>
              <w:right w:val="single" w:color="auto" w:sz="4" w:space="0"/>
            </w:tcBorders>
            <w:noWrap w:val="0"/>
            <w:vAlign w:val="center"/>
          </w:tcPr>
          <w:p w14:paraId="6D748418">
            <w:pPr>
              <w:spacing w:line="380" w:lineRule="exact"/>
              <w:jc w:val="left"/>
              <w:rPr>
                <w:rFonts w:hint="eastAsia" w:ascii="宋体" w:hAnsi="宋体" w:cs="宋体"/>
                <w:sz w:val="24"/>
                <w:highlight w:val="none"/>
              </w:rPr>
            </w:pPr>
            <w:r>
              <w:rPr>
                <w:rFonts w:hint="eastAsia" w:ascii="宋体" w:hAnsi="宋体" w:cs="宋体"/>
                <w:sz w:val="24"/>
                <w:highlight w:val="none"/>
              </w:rPr>
              <w:t>（3）具有依法缴纳税收和社会保障资金的良好记录：提供依法缴纳税收和社会保障资金的相关材料（</w:t>
            </w:r>
            <w:r>
              <w:rPr>
                <w:rFonts w:hint="eastAsia" w:ascii="宋体" w:hAnsi="宋体" w:cs="宋体"/>
                <w:kern w:val="0"/>
                <w:sz w:val="24"/>
                <w:highlight w:val="none"/>
                <w:shd w:val="clear" w:color="auto" w:fill="FFFFFF"/>
                <w:lang w:bidi="ar"/>
              </w:rPr>
              <w:t>提供202</w:t>
            </w:r>
            <w:r>
              <w:rPr>
                <w:rFonts w:hint="eastAsia" w:ascii="宋体" w:hAnsi="宋体" w:cs="宋体"/>
                <w:kern w:val="0"/>
                <w:sz w:val="24"/>
                <w:highlight w:val="none"/>
                <w:shd w:val="clear" w:color="auto" w:fill="FFFFFF"/>
                <w:lang w:val="en-US" w:eastAsia="zh-CN" w:bidi="ar"/>
              </w:rPr>
              <w:t>5</w:t>
            </w:r>
            <w:r>
              <w:rPr>
                <w:rFonts w:hint="eastAsia" w:ascii="宋体" w:hAnsi="宋体" w:cs="宋体"/>
                <w:kern w:val="0"/>
                <w:sz w:val="24"/>
                <w:highlight w:val="none"/>
                <w:shd w:val="clear" w:color="auto" w:fill="FFFFFF"/>
                <w:lang w:bidi="ar"/>
              </w:rPr>
              <w:t>年</w:t>
            </w:r>
            <w:r>
              <w:rPr>
                <w:rFonts w:hint="eastAsia" w:ascii="宋体" w:hAnsi="宋体" w:cs="宋体"/>
                <w:kern w:val="0"/>
                <w:sz w:val="24"/>
                <w:highlight w:val="none"/>
                <w:shd w:val="clear" w:color="auto" w:fill="FFFFFF"/>
                <w:lang w:val="en-US" w:eastAsia="zh-CN" w:bidi="ar"/>
              </w:rPr>
              <w:t>1</w:t>
            </w:r>
            <w:r>
              <w:rPr>
                <w:rFonts w:hint="eastAsia" w:ascii="宋体" w:hAnsi="宋体" w:cs="宋体"/>
                <w:kern w:val="0"/>
                <w:sz w:val="24"/>
                <w:highlight w:val="none"/>
                <w:shd w:val="clear" w:color="auto" w:fill="FFFFFF"/>
                <w:lang w:bidi="ar"/>
              </w:rPr>
              <w:t>月至递交投标文件截止日时间内任意连续3个月的即可</w:t>
            </w:r>
            <w:r>
              <w:rPr>
                <w:rFonts w:hint="eastAsia" w:ascii="宋体" w:hAnsi="宋体" w:cs="宋体"/>
                <w:sz w:val="24"/>
                <w:highlight w:val="none"/>
              </w:rPr>
              <w:t xml:space="preserve">）； </w:t>
            </w:r>
          </w:p>
        </w:tc>
      </w:tr>
      <w:tr w14:paraId="48F32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6" w:hRule="atLeast"/>
        </w:trPr>
        <w:tc>
          <w:tcPr>
            <w:tcW w:w="673" w:type="dxa"/>
            <w:vMerge w:val="continue"/>
            <w:tcBorders>
              <w:right w:val="single" w:color="auto" w:sz="4" w:space="0"/>
            </w:tcBorders>
            <w:noWrap w:val="0"/>
            <w:vAlign w:val="center"/>
          </w:tcPr>
          <w:p w14:paraId="57AF0EBC">
            <w:pPr>
              <w:spacing w:line="360" w:lineRule="auto"/>
              <w:jc w:val="center"/>
              <w:rPr>
                <w:rFonts w:ascii="宋体" w:cs="宋体"/>
                <w:sz w:val="24"/>
                <w:highlight w:val="none"/>
              </w:rPr>
            </w:pPr>
          </w:p>
        </w:tc>
        <w:tc>
          <w:tcPr>
            <w:tcW w:w="1887" w:type="dxa"/>
            <w:vMerge w:val="continue"/>
            <w:tcBorders>
              <w:left w:val="single" w:color="auto" w:sz="4" w:space="0"/>
              <w:right w:val="single" w:color="auto" w:sz="4" w:space="0"/>
            </w:tcBorders>
            <w:noWrap w:val="0"/>
            <w:vAlign w:val="center"/>
          </w:tcPr>
          <w:p w14:paraId="0AA9C90D">
            <w:pPr>
              <w:spacing w:line="360" w:lineRule="auto"/>
              <w:rPr>
                <w:rFonts w:ascii="宋体" w:cs="宋体"/>
                <w:sz w:val="24"/>
                <w:highlight w:val="none"/>
              </w:rPr>
            </w:pPr>
          </w:p>
        </w:tc>
        <w:tc>
          <w:tcPr>
            <w:tcW w:w="6534" w:type="dxa"/>
            <w:tcBorders>
              <w:top w:val="single" w:color="auto" w:sz="4" w:space="0"/>
              <w:left w:val="single" w:color="auto" w:sz="4" w:space="0"/>
              <w:bottom w:val="single" w:color="auto" w:sz="4" w:space="0"/>
              <w:right w:val="single" w:color="auto" w:sz="4" w:space="0"/>
            </w:tcBorders>
            <w:noWrap w:val="0"/>
            <w:vAlign w:val="center"/>
          </w:tcPr>
          <w:p w14:paraId="74FE8FC0">
            <w:pPr>
              <w:spacing w:line="380" w:lineRule="exact"/>
              <w:jc w:val="left"/>
              <w:rPr>
                <w:rFonts w:hint="eastAsia" w:ascii="宋体" w:hAnsi="宋体" w:cs="宋体"/>
                <w:sz w:val="24"/>
                <w:highlight w:val="none"/>
              </w:rPr>
            </w:pPr>
            <w:r>
              <w:rPr>
                <w:rFonts w:hint="eastAsia" w:ascii="宋体" w:hAnsi="宋体" w:cs="宋体"/>
                <w:sz w:val="24"/>
                <w:highlight w:val="none"/>
              </w:rPr>
              <w:t>（4）具有履行合同所必须的设备和专业技术能力：供应商自行承诺。</w:t>
            </w:r>
          </w:p>
        </w:tc>
      </w:tr>
      <w:tr w14:paraId="16186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0" w:hRule="exact"/>
        </w:trPr>
        <w:tc>
          <w:tcPr>
            <w:tcW w:w="673" w:type="dxa"/>
            <w:vMerge w:val="continue"/>
            <w:tcBorders>
              <w:right w:val="single" w:color="auto" w:sz="4" w:space="0"/>
            </w:tcBorders>
            <w:noWrap w:val="0"/>
            <w:vAlign w:val="center"/>
          </w:tcPr>
          <w:p w14:paraId="4E8C24C0">
            <w:pPr>
              <w:spacing w:line="360" w:lineRule="auto"/>
              <w:jc w:val="center"/>
              <w:rPr>
                <w:rFonts w:ascii="宋体" w:cs="宋体"/>
                <w:sz w:val="24"/>
                <w:highlight w:val="none"/>
              </w:rPr>
            </w:pPr>
          </w:p>
        </w:tc>
        <w:tc>
          <w:tcPr>
            <w:tcW w:w="1887" w:type="dxa"/>
            <w:vMerge w:val="continue"/>
            <w:tcBorders>
              <w:left w:val="single" w:color="auto" w:sz="4" w:space="0"/>
              <w:right w:val="single" w:color="auto" w:sz="4" w:space="0"/>
            </w:tcBorders>
            <w:noWrap w:val="0"/>
            <w:vAlign w:val="center"/>
          </w:tcPr>
          <w:p w14:paraId="0A1E3E79">
            <w:pPr>
              <w:spacing w:line="360" w:lineRule="auto"/>
              <w:rPr>
                <w:rFonts w:ascii="宋体" w:cs="宋体"/>
                <w:sz w:val="24"/>
                <w:highlight w:val="none"/>
              </w:rPr>
            </w:pPr>
          </w:p>
        </w:tc>
        <w:tc>
          <w:tcPr>
            <w:tcW w:w="6534" w:type="dxa"/>
            <w:tcBorders>
              <w:top w:val="single" w:color="auto" w:sz="4" w:space="0"/>
              <w:left w:val="single" w:color="auto" w:sz="4" w:space="0"/>
              <w:bottom w:val="single" w:color="auto" w:sz="4" w:space="0"/>
              <w:right w:val="single" w:color="auto" w:sz="4" w:space="0"/>
            </w:tcBorders>
            <w:noWrap w:val="0"/>
            <w:vAlign w:val="center"/>
          </w:tcPr>
          <w:p w14:paraId="588C8E79">
            <w:pPr>
              <w:spacing w:line="380" w:lineRule="exact"/>
              <w:jc w:val="left"/>
              <w:rPr>
                <w:rFonts w:hint="eastAsia" w:ascii="宋体" w:hAnsi="宋体" w:cs="宋体"/>
                <w:sz w:val="24"/>
                <w:highlight w:val="none"/>
              </w:rPr>
            </w:pPr>
            <w:r>
              <w:rPr>
                <w:rFonts w:hint="eastAsia" w:ascii="宋体" w:hAnsi="宋体" w:cs="宋体"/>
                <w:sz w:val="24"/>
                <w:highlight w:val="none"/>
              </w:rPr>
              <w:t>（5）在“信用中国”网站（www.creditchina.gov.cn）、中国政府采购网（www.ccgp.gov.cn）等渠道查询中未被列入失信被执行人名单、重大税收违法案件当事人名单、政府采购严重违法失信行为记录名单中:提供相应网站的网页截图。</w:t>
            </w:r>
          </w:p>
        </w:tc>
      </w:tr>
      <w:tr w14:paraId="2DB59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0" w:hRule="exact"/>
        </w:trPr>
        <w:tc>
          <w:tcPr>
            <w:tcW w:w="673" w:type="dxa"/>
            <w:vMerge w:val="continue"/>
            <w:tcBorders>
              <w:right w:val="single" w:color="auto" w:sz="4" w:space="0"/>
            </w:tcBorders>
            <w:noWrap w:val="0"/>
            <w:vAlign w:val="center"/>
          </w:tcPr>
          <w:p w14:paraId="31D90E54">
            <w:pPr>
              <w:spacing w:line="360" w:lineRule="auto"/>
              <w:jc w:val="center"/>
              <w:rPr>
                <w:rFonts w:ascii="宋体" w:cs="宋体"/>
                <w:sz w:val="24"/>
                <w:highlight w:val="none"/>
              </w:rPr>
            </w:pPr>
          </w:p>
        </w:tc>
        <w:tc>
          <w:tcPr>
            <w:tcW w:w="1887" w:type="dxa"/>
            <w:vMerge w:val="continue"/>
            <w:tcBorders>
              <w:left w:val="single" w:color="auto" w:sz="4" w:space="0"/>
              <w:right w:val="single" w:color="auto" w:sz="4" w:space="0"/>
            </w:tcBorders>
            <w:noWrap w:val="0"/>
            <w:vAlign w:val="center"/>
          </w:tcPr>
          <w:p w14:paraId="008A3339">
            <w:pPr>
              <w:spacing w:line="360" w:lineRule="auto"/>
              <w:rPr>
                <w:rFonts w:ascii="宋体" w:cs="宋体"/>
                <w:sz w:val="24"/>
                <w:highlight w:val="none"/>
              </w:rPr>
            </w:pPr>
          </w:p>
        </w:tc>
        <w:tc>
          <w:tcPr>
            <w:tcW w:w="6534" w:type="dxa"/>
            <w:tcBorders>
              <w:top w:val="single" w:color="auto" w:sz="4" w:space="0"/>
              <w:left w:val="single" w:color="auto" w:sz="4" w:space="0"/>
              <w:bottom w:val="single" w:color="auto" w:sz="4" w:space="0"/>
              <w:right w:val="single" w:color="auto" w:sz="4" w:space="0"/>
            </w:tcBorders>
            <w:noWrap w:val="0"/>
            <w:vAlign w:val="center"/>
          </w:tcPr>
          <w:p w14:paraId="16241912">
            <w:pPr>
              <w:widowControl/>
              <w:spacing w:line="380" w:lineRule="exact"/>
              <w:jc w:val="left"/>
              <w:rPr>
                <w:rFonts w:hint="eastAsia" w:ascii="宋体" w:hAnsi="宋体" w:cs="宋体"/>
                <w:sz w:val="24"/>
                <w:highlight w:val="none"/>
              </w:rPr>
            </w:pPr>
            <w:r>
              <w:rPr>
                <w:rFonts w:hint="eastAsia" w:ascii="宋体" w:hAnsi="宋体" w:cs="宋体"/>
                <w:sz w:val="24"/>
                <w:highlight w:val="none"/>
              </w:rPr>
              <w:t>（6）特殊资格要求：</w:t>
            </w:r>
            <w:r>
              <w:rPr>
                <w:rFonts w:hint="eastAsia" w:ascii="宋体" w:hAnsi="宋体" w:cs="宋体"/>
                <w:sz w:val="24"/>
                <w:highlight w:val="none"/>
                <w:lang w:bidi="ar"/>
              </w:rPr>
              <w:t>供应商需在全国投资项目在线审批监管平台（https://new.tzxm.gov.cn/）中备案，备案咨询专业和服务范围应包含公路规划咨询。（提供相应网站的网页截图）</w:t>
            </w:r>
          </w:p>
        </w:tc>
      </w:tr>
      <w:tr w14:paraId="73C1C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trPr>
        <w:tc>
          <w:tcPr>
            <w:tcW w:w="673" w:type="dxa"/>
            <w:vMerge w:val="restart"/>
            <w:tcBorders>
              <w:top w:val="single" w:color="auto" w:sz="4" w:space="0"/>
              <w:right w:val="single" w:color="auto" w:sz="4" w:space="0"/>
            </w:tcBorders>
            <w:noWrap w:val="0"/>
            <w:vAlign w:val="center"/>
          </w:tcPr>
          <w:p w14:paraId="53A9130D">
            <w:pPr>
              <w:spacing w:line="360" w:lineRule="auto"/>
              <w:jc w:val="center"/>
              <w:rPr>
                <w:sz w:val="24"/>
                <w:highlight w:val="none"/>
              </w:rPr>
            </w:pPr>
            <w:r>
              <w:rPr>
                <w:rFonts w:hint="eastAsia" w:ascii="宋体" w:cs="宋体"/>
                <w:sz w:val="24"/>
                <w:highlight w:val="none"/>
              </w:rPr>
              <w:t>2</w:t>
            </w:r>
          </w:p>
        </w:tc>
        <w:tc>
          <w:tcPr>
            <w:tcW w:w="1887" w:type="dxa"/>
            <w:vMerge w:val="restart"/>
            <w:tcBorders>
              <w:top w:val="single" w:color="auto" w:sz="4" w:space="0"/>
              <w:left w:val="single" w:color="auto" w:sz="4" w:space="0"/>
              <w:right w:val="single" w:color="auto" w:sz="4" w:space="0"/>
            </w:tcBorders>
            <w:noWrap w:val="0"/>
            <w:vAlign w:val="center"/>
          </w:tcPr>
          <w:p w14:paraId="53885FA9">
            <w:pPr>
              <w:spacing w:line="360" w:lineRule="auto"/>
              <w:jc w:val="center"/>
              <w:rPr>
                <w:rFonts w:hint="eastAsia" w:ascii="宋体" w:cs="宋体"/>
                <w:sz w:val="24"/>
                <w:highlight w:val="none"/>
              </w:rPr>
            </w:pPr>
            <w:r>
              <w:rPr>
                <w:rFonts w:hint="eastAsia" w:ascii="宋体" w:cs="宋体"/>
                <w:sz w:val="24"/>
                <w:highlight w:val="none"/>
              </w:rPr>
              <w:t>符合性审查</w:t>
            </w:r>
          </w:p>
        </w:tc>
        <w:tc>
          <w:tcPr>
            <w:tcW w:w="6534" w:type="dxa"/>
            <w:tcBorders>
              <w:top w:val="single" w:color="auto" w:sz="4" w:space="0"/>
              <w:left w:val="single" w:color="auto" w:sz="4" w:space="0"/>
              <w:bottom w:val="single" w:color="auto" w:sz="4" w:space="0"/>
              <w:right w:val="single" w:color="auto" w:sz="4" w:space="0"/>
            </w:tcBorders>
            <w:noWrap w:val="0"/>
            <w:vAlign w:val="center"/>
          </w:tcPr>
          <w:p w14:paraId="673020CA">
            <w:pPr>
              <w:widowControl/>
              <w:spacing w:line="380" w:lineRule="exact"/>
              <w:jc w:val="left"/>
              <w:rPr>
                <w:rFonts w:hint="eastAsia" w:ascii="宋体" w:hAnsi="宋体" w:cs="宋体"/>
                <w:sz w:val="24"/>
                <w:highlight w:val="none"/>
              </w:rPr>
            </w:pPr>
            <w:r>
              <w:rPr>
                <w:rFonts w:hint="eastAsia" w:ascii="宋体" w:hAnsi="宋体" w:cs="宋体"/>
                <w:sz w:val="24"/>
                <w:highlight w:val="none"/>
              </w:rPr>
              <w:t>（1）</w:t>
            </w:r>
            <w:r>
              <w:rPr>
                <w:rFonts w:ascii="宋体" w:hAnsi="宋体" w:cs="宋体"/>
                <w:sz w:val="24"/>
                <w:highlight w:val="none"/>
              </w:rPr>
              <w:t>投标文件</w:t>
            </w:r>
            <w:r>
              <w:rPr>
                <w:rFonts w:hint="eastAsia" w:ascii="宋体" w:hAnsi="宋体" w:cs="宋体"/>
                <w:sz w:val="24"/>
                <w:highlight w:val="none"/>
              </w:rPr>
              <w:t>按照采购</w:t>
            </w:r>
            <w:r>
              <w:rPr>
                <w:rFonts w:ascii="宋体" w:hAnsi="宋体" w:cs="宋体"/>
                <w:sz w:val="24"/>
                <w:highlight w:val="none"/>
              </w:rPr>
              <w:t>文件要求签署、盖章</w:t>
            </w:r>
            <w:r>
              <w:rPr>
                <w:rFonts w:hint="eastAsia" w:ascii="宋体" w:hAnsi="宋体" w:cs="宋体"/>
                <w:sz w:val="24"/>
                <w:highlight w:val="none"/>
              </w:rPr>
              <w:t>；</w:t>
            </w:r>
          </w:p>
        </w:tc>
      </w:tr>
      <w:tr w14:paraId="1FD48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trPr>
        <w:tc>
          <w:tcPr>
            <w:tcW w:w="673" w:type="dxa"/>
            <w:vMerge w:val="continue"/>
            <w:tcBorders>
              <w:right w:val="single" w:color="auto" w:sz="4" w:space="0"/>
            </w:tcBorders>
            <w:noWrap w:val="0"/>
            <w:vAlign w:val="center"/>
          </w:tcPr>
          <w:p w14:paraId="18A4ECE5">
            <w:pPr>
              <w:spacing w:line="360" w:lineRule="auto"/>
              <w:jc w:val="center"/>
              <w:rPr>
                <w:rFonts w:hint="eastAsia" w:ascii="宋体" w:cs="宋体"/>
                <w:sz w:val="24"/>
                <w:highlight w:val="none"/>
              </w:rPr>
            </w:pPr>
          </w:p>
        </w:tc>
        <w:tc>
          <w:tcPr>
            <w:tcW w:w="1887" w:type="dxa"/>
            <w:vMerge w:val="continue"/>
            <w:tcBorders>
              <w:left w:val="single" w:color="auto" w:sz="4" w:space="0"/>
              <w:right w:val="single" w:color="auto" w:sz="4" w:space="0"/>
            </w:tcBorders>
            <w:noWrap w:val="0"/>
            <w:vAlign w:val="center"/>
          </w:tcPr>
          <w:p w14:paraId="742CF99A">
            <w:pPr>
              <w:spacing w:line="360" w:lineRule="auto"/>
              <w:jc w:val="center"/>
              <w:rPr>
                <w:rFonts w:hint="eastAsia" w:ascii="宋体" w:cs="宋体"/>
                <w:sz w:val="24"/>
                <w:highlight w:val="none"/>
              </w:rPr>
            </w:pPr>
          </w:p>
        </w:tc>
        <w:tc>
          <w:tcPr>
            <w:tcW w:w="6534" w:type="dxa"/>
            <w:tcBorders>
              <w:top w:val="single" w:color="auto" w:sz="4" w:space="0"/>
              <w:left w:val="single" w:color="auto" w:sz="4" w:space="0"/>
              <w:bottom w:val="single" w:color="auto" w:sz="4" w:space="0"/>
              <w:right w:val="single" w:color="auto" w:sz="4" w:space="0"/>
            </w:tcBorders>
            <w:noWrap w:val="0"/>
            <w:vAlign w:val="center"/>
          </w:tcPr>
          <w:p w14:paraId="27671FC4">
            <w:pPr>
              <w:widowControl/>
              <w:spacing w:line="380" w:lineRule="exact"/>
              <w:jc w:val="left"/>
              <w:rPr>
                <w:rFonts w:hint="eastAsia" w:ascii="宋体" w:hAnsi="宋体" w:cs="宋体"/>
                <w:sz w:val="24"/>
                <w:highlight w:val="none"/>
              </w:rPr>
            </w:pPr>
            <w:r>
              <w:rPr>
                <w:rFonts w:hint="eastAsia" w:ascii="宋体" w:hAnsi="宋体" w:cs="宋体"/>
                <w:sz w:val="24"/>
                <w:highlight w:val="none"/>
              </w:rPr>
              <w:t>（2）供应商</w:t>
            </w:r>
            <w:r>
              <w:rPr>
                <w:rFonts w:ascii="宋体" w:hAnsi="宋体" w:cs="宋体"/>
                <w:sz w:val="24"/>
                <w:highlight w:val="none"/>
              </w:rPr>
              <w:t>按照</w:t>
            </w:r>
            <w:r>
              <w:rPr>
                <w:rFonts w:hint="eastAsia" w:ascii="宋体" w:hAnsi="宋体" w:cs="宋体"/>
                <w:sz w:val="24"/>
                <w:highlight w:val="none"/>
              </w:rPr>
              <w:t>采购</w:t>
            </w:r>
            <w:r>
              <w:rPr>
                <w:rFonts w:ascii="宋体" w:hAnsi="宋体" w:cs="宋体"/>
                <w:sz w:val="24"/>
                <w:highlight w:val="none"/>
              </w:rPr>
              <w:t>文件的规定提交</w:t>
            </w:r>
            <w:r>
              <w:rPr>
                <w:rFonts w:hint="eastAsia" w:ascii="宋体" w:hAnsi="宋体" w:cs="宋体"/>
                <w:sz w:val="24"/>
                <w:highlight w:val="none"/>
              </w:rPr>
              <w:t>了</w:t>
            </w:r>
            <w:r>
              <w:rPr>
                <w:rFonts w:ascii="宋体" w:hAnsi="宋体" w:cs="宋体"/>
                <w:sz w:val="24"/>
                <w:highlight w:val="none"/>
              </w:rPr>
              <w:t>投标保证</w:t>
            </w:r>
            <w:r>
              <w:rPr>
                <w:rFonts w:hint="eastAsia" w:ascii="宋体" w:hAnsi="宋体" w:cs="宋体"/>
                <w:sz w:val="24"/>
                <w:highlight w:val="none"/>
              </w:rPr>
              <w:t>金；</w:t>
            </w:r>
          </w:p>
        </w:tc>
      </w:tr>
      <w:tr w14:paraId="2BB91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trPr>
        <w:tc>
          <w:tcPr>
            <w:tcW w:w="673" w:type="dxa"/>
            <w:vMerge w:val="continue"/>
            <w:tcBorders>
              <w:right w:val="single" w:color="auto" w:sz="4" w:space="0"/>
            </w:tcBorders>
            <w:noWrap w:val="0"/>
            <w:vAlign w:val="center"/>
          </w:tcPr>
          <w:p w14:paraId="5ED9F6DC">
            <w:pPr>
              <w:spacing w:line="360" w:lineRule="auto"/>
              <w:jc w:val="center"/>
              <w:rPr>
                <w:rFonts w:hint="eastAsia" w:ascii="宋体" w:cs="宋体"/>
                <w:sz w:val="24"/>
                <w:highlight w:val="none"/>
              </w:rPr>
            </w:pPr>
          </w:p>
        </w:tc>
        <w:tc>
          <w:tcPr>
            <w:tcW w:w="1887" w:type="dxa"/>
            <w:vMerge w:val="continue"/>
            <w:tcBorders>
              <w:left w:val="single" w:color="auto" w:sz="4" w:space="0"/>
              <w:right w:val="single" w:color="auto" w:sz="4" w:space="0"/>
            </w:tcBorders>
            <w:noWrap w:val="0"/>
            <w:vAlign w:val="center"/>
          </w:tcPr>
          <w:p w14:paraId="40175281">
            <w:pPr>
              <w:spacing w:line="360" w:lineRule="auto"/>
              <w:jc w:val="center"/>
              <w:rPr>
                <w:rFonts w:hint="eastAsia" w:ascii="宋体" w:cs="宋体"/>
                <w:sz w:val="24"/>
                <w:highlight w:val="none"/>
              </w:rPr>
            </w:pPr>
          </w:p>
        </w:tc>
        <w:tc>
          <w:tcPr>
            <w:tcW w:w="6534" w:type="dxa"/>
            <w:tcBorders>
              <w:top w:val="single" w:color="auto" w:sz="4" w:space="0"/>
              <w:left w:val="single" w:color="auto" w:sz="4" w:space="0"/>
              <w:bottom w:val="single" w:color="auto" w:sz="4" w:space="0"/>
              <w:right w:val="single" w:color="auto" w:sz="4" w:space="0"/>
            </w:tcBorders>
            <w:noWrap w:val="0"/>
            <w:vAlign w:val="center"/>
          </w:tcPr>
          <w:p w14:paraId="6448D77B">
            <w:pPr>
              <w:widowControl/>
              <w:spacing w:line="380" w:lineRule="exact"/>
              <w:jc w:val="left"/>
              <w:rPr>
                <w:rFonts w:hint="eastAsia" w:ascii="宋体" w:hAnsi="宋体" w:cs="宋体"/>
                <w:sz w:val="24"/>
                <w:highlight w:val="none"/>
              </w:rPr>
            </w:pPr>
            <w:r>
              <w:rPr>
                <w:rFonts w:ascii="宋体" w:hAnsi="宋体" w:cs="宋体"/>
                <w:sz w:val="24"/>
                <w:highlight w:val="none"/>
              </w:rPr>
              <w:t>（3）投标文件</w:t>
            </w:r>
            <w:r>
              <w:rPr>
                <w:rFonts w:hint="eastAsia" w:ascii="宋体" w:hAnsi="宋体" w:cs="宋体"/>
                <w:sz w:val="24"/>
                <w:highlight w:val="none"/>
              </w:rPr>
              <w:t>未</w:t>
            </w:r>
            <w:r>
              <w:rPr>
                <w:rFonts w:ascii="宋体" w:hAnsi="宋体" w:cs="宋体"/>
                <w:sz w:val="24"/>
                <w:highlight w:val="none"/>
              </w:rPr>
              <w:t>含有采购人不能接受的附加条件</w:t>
            </w:r>
            <w:r>
              <w:rPr>
                <w:rFonts w:hint="eastAsia" w:ascii="宋体" w:hAnsi="宋体" w:cs="宋体"/>
                <w:sz w:val="24"/>
                <w:highlight w:val="none"/>
              </w:rPr>
              <w:t>。</w:t>
            </w:r>
          </w:p>
        </w:tc>
      </w:tr>
      <w:tr w14:paraId="7FCB4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73" w:type="dxa"/>
            <w:vMerge w:val="continue"/>
            <w:tcBorders>
              <w:right w:val="single" w:color="auto" w:sz="4" w:space="0"/>
            </w:tcBorders>
            <w:noWrap w:val="0"/>
            <w:vAlign w:val="center"/>
          </w:tcPr>
          <w:p w14:paraId="6018BA93">
            <w:pPr>
              <w:spacing w:line="360" w:lineRule="auto"/>
              <w:ind w:firstLine="480" w:firstLineChars="200"/>
              <w:jc w:val="center"/>
              <w:rPr>
                <w:sz w:val="24"/>
                <w:highlight w:val="none"/>
              </w:rPr>
            </w:pPr>
          </w:p>
        </w:tc>
        <w:tc>
          <w:tcPr>
            <w:tcW w:w="1887" w:type="dxa"/>
            <w:vMerge w:val="continue"/>
            <w:tcBorders>
              <w:left w:val="single" w:color="auto" w:sz="4" w:space="0"/>
              <w:right w:val="single" w:color="auto" w:sz="4" w:space="0"/>
            </w:tcBorders>
            <w:noWrap w:val="0"/>
            <w:vAlign w:val="center"/>
          </w:tcPr>
          <w:p w14:paraId="0BBA1077">
            <w:pPr>
              <w:spacing w:line="360" w:lineRule="auto"/>
              <w:rPr>
                <w:sz w:val="24"/>
                <w:highlight w:val="none"/>
              </w:rPr>
            </w:pPr>
          </w:p>
        </w:tc>
        <w:tc>
          <w:tcPr>
            <w:tcW w:w="6534" w:type="dxa"/>
            <w:tcBorders>
              <w:top w:val="single" w:color="auto" w:sz="4" w:space="0"/>
              <w:left w:val="single" w:color="auto" w:sz="4" w:space="0"/>
              <w:bottom w:val="single" w:color="auto" w:sz="4" w:space="0"/>
              <w:right w:val="single" w:color="auto" w:sz="4" w:space="0"/>
            </w:tcBorders>
            <w:noWrap w:val="0"/>
            <w:vAlign w:val="center"/>
          </w:tcPr>
          <w:p w14:paraId="7CE9A58A">
            <w:pPr>
              <w:widowControl/>
              <w:spacing w:line="380" w:lineRule="exact"/>
              <w:jc w:val="left"/>
              <w:rPr>
                <w:rFonts w:hint="eastAsia" w:ascii="宋体" w:hAnsi="宋体" w:cs="宋体"/>
                <w:sz w:val="24"/>
                <w:highlight w:val="none"/>
              </w:rPr>
            </w:pPr>
            <w:r>
              <w:rPr>
                <w:rFonts w:hint="eastAsia" w:ascii="宋体" w:hAnsi="宋体" w:cs="宋体"/>
                <w:sz w:val="24"/>
                <w:highlight w:val="none"/>
              </w:rPr>
              <w:t>（4）服务时间满足采购文件要求</w:t>
            </w:r>
          </w:p>
        </w:tc>
      </w:tr>
      <w:tr w14:paraId="5A648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73" w:type="dxa"/>
            <w:vMerge w:val="continue"/>
            <w:tcBorders>
              <w:right w:val="single" w:color="auto" w:sz="4" w:space="0"/>
            </w:tcBorders>
            <w:noWrap w:val="0"/>
            <w:vAlign w:val="center"/>
          </w:tcPr>
          <w:p w14:paraId="1972B1F1">
            <w:pPr>
              <w:spacing w:line="360" w:lineRule="auto"/>
              <w:ind w:firstLine="480" w:firstLineChars="200"/>
              <w:jc w:val="center"/>
              <w:rPr>
                <w:sz w:val="24"/>
                <w:highlight w:val="none"/>
              </w:rPr>
            </w:pPr>
          </w:p>
        </w:tc>
        <w:tc>
          <w:tcPr>
            <w:tcW w:w="1887" w:type="dxa"/>
            <w:vMerge w:val="continue"/>
            <w:tcBorders>
              <w:left w:val="single" w:color="auto" w:sz="4" w:space="0"/>
              <w:right w:val="single" w:color="auto" w:sz="4" w:space="0"/>
            </w:tcBorders>
            <w:noWrap w:val="0"/>
            <w:vAlign w:val="center"/>
          </w:tcPr>
          <w:p w14:paraId="6BEFCAB6">
            <w:pPr>
              <w:spacing w:line="360" w:lineRule="auto"/>
              <w:rPr>
                <w:sz w:val="24"/>
                <w:highlight w:val="none"/>
              </w:rPr>
            </w:pPr>
          </w:p>
        </w:tc>
        <w:tc>
          <w:tcPr>
            <w:tcW w:w="6534" w:type="dxa"/>
            <w:tcBorders>
              <w:top w:val="single" w:color="auto" w:sz="4" w:space="0"/>
              <w:left w:val="single" w:color="auto" w:sz="4" w:space="0"/>
              <w:bottom w:val="single" w:color="auto" w:sz="4" w:space="0"/>
              <w:right w:val="single" w:color="auto" w:sz="4" w:space="0"/>
            </w:tcBorders>
            <w:noWrap w:val="0"/>
            <w:vAlign w:val="center"/>
          </w:tcPr>
          <w:p w14:paraId="0223C310">
            <w:pPr>
              <w:widowControl/>
              <w:spacing w:line="380" w:lineRule="exact"/>
              <w:jc w:val="left"/>
              <w:rPr>
                <w:rFonts w:hint="eastAsia" w:ascii="宋体" w:hAnsi="宋体" w:cs="宋体"/>
                <w:sz w:val="24"/>
                <w:highlight w:val="none"/>
              </w:rPr>
            </w:pPr>
            <w:r>
              <w:rPr>
                <w:rFonts w:hint="eastAsia" w:ascii="宋体" w:hAnsi="宋体" w:cs="宋体"/>
                <w:sz w:val="24"/>
                <w:highlight w:val="none"/>
              </w:rPr>
              <w:t>（5）服务地点满足采购文件要求</w:t>
            </w:r>
          </w:p>
        </w:tc>
      </w:tr>
      <w:tr w14:paraId="357CF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73" w:type="dxa"/>
            <w:vMerge w:val="continue"/>
            <w:tcBorders>
              <w:right w:val="single" w:color="auto" w:sz="4" w:space="0"/>
            </w:tcBorders>
            <w:noWrap w:val="0"/>
            <w:vAlign w:val="center"/>
          </w:tcPr>
          <w:p w14:paraId="7BE1F732">
            <w:pPr>
              <w:spacing w:line="360" w:lineRule="auto"/>
              <w:ind w:firstLine="480" w:firstLineChars="200"/>
              <w:jc w:val="center"/>
              <w:rPr>
                <w:sz w:val="24"/>
                <w:highlight w:val="none"/>
              </w:rPr>
            </w:pPr>
          </w:p>
        </w:tc>
        <w:tc>
          <w:tcPr>
            <w:tcW w:w="1887" w:type="dxa"/>
            <w:vMerge w:val="continue"/>
            <w:tcBorders>
              <w:left w:val="single" w:color="auto" w:sz="4" w:space="0"/>
              <w:right w:val="single" w:color="auto" w:sz="4" w:space="0"/>
            </w:tcBorders>
            <w:noWrap w:val="0"/>
            <w:vAlign w:val="center"/>
          </w:tcPr>
          <w:p w14:paraId="3B3544D7">
            <w:pPr>
              <w:spacing w:line="360" w:lineRule="auto"/>
              <w:rPr>
                <w:sz w:val="24"/>
                <w:highlight w:val="none"/>
              </w:rPr>
            </w:pPr>
          </w:p>
        </w:tc>
        <w:tc>
          <w:tcPr>
            <w:tcW w:w="6534" w:type="dxa"/>
            <w:tcBorders>
              <w:top w:val="single" w:color="auto" w:sz="4" w:space="0"/>
              <w:left w:val="single" w:color="auto" w:sz="4" w:space="0"/>
              <w:bottom w:val="single" w:color="auto" w:sz="4" w:space="0"/>
              <w:right w:val="single" w:color="auto" w:sz="4" w:space="0"/>
            </w:tcBorders>
            <w:noWrap w:val="0"/>
            <w:vAlign w:val="center"/>
          </w:tcPr>
          <w:p w14:paraId="684A4F81">
            <w:pPr>
              <w:widowControl/>
              <w:spacing w:line="380" w:lineRule="exact"/>
              <w:jc w:val="left"/>
              <w:rPr>
                <w:rFonts w:hint="eastAsia" w:ascii="宋体" w:hAnsi="宋体" w:cs="宋体"/>
                <w:sz w:val="24"/>
                <w:highlight w:val="none"/>
              </w:rPr>
            </w:pPr>
            <w:r>
              <w:rPr>
                <w:rFonts w:hint="eastAsia" w:ascii="宋体" w:hAnsi="宋体" w:cs="宋体"/>
                <w:sz w:val="24"/>
                <w:highlight w:val="none"/>
              </w:rPr>
              <w:t>（6）付款方式满足采购文件要求</w:t>
            </w:r>
          </w:p>
        </w:tc>
      </w:tr>
      <w:tr w14:paraId="07C62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73" w:type="dxa"/>
            <w:vMerge w:val="continue"/>
            <w:tcBorders>
              <w:right w:val="single" w:color="auto" w:sz="4" w:space="0"/>
            </w:tcBorders>
            <w:noWrap w:val="0"/>
            <w:vAlign w:val="center"/>
          </w:tcPr>
          <w:p w14:paraId="1968AC7E">
            <w:pPr>
              <w:spacing w:line="360" w:lineRule="auto"/>
              <w:ind w:firstLine="480" w:firstLineChars="200"/>
              <w:jc w:val="center"/>
              <w:rPr>
                <w:sz w:val="24"/>
                <w:highlight w:val="none"/>
              </w:rPr>
            </w:pPr>
          </w:p>
        </w:tc>
        <w:tc>
          <w:tcPr>
            <w:tcW w:w="1887" w:type="dxa"/>
            <w:vMerge w:val="continue"/>
            <w:tcBorders>
              <w:left w:val="single" w:color="auto" w:sz="4" w:space="0"/>
              <w:right w:val="single" w:color="auto" w:sz="4" w:space="0"/>
            </w:tcBorders>
            <w:noWrap w:val="0"/>
            <w:vAlign w:val="center"/>
          </w:tcPr>
          <w:p w14:paraId="0BC9257C">
            <w:pPr>
              <w:spacing w:line="360" w:lineRule="auto"/>
              <w:rPr>
                <w:sz w:val="24"/>
                <w:highlight w:val="none"/>
              </w:rPr>
            </w:pPr>
          </w:p>
        </w:tc>
        <w:tc>
          <w:tcPr>
            <w:tcW w:w="6534" w:type="dxa"/>
            <w:tcBorders>
              <w:top w:val="single" w:color="auto" w:sz="4" w:space="0"/>
              <w:left w:val="single" w:color="auto" w:sz="4" w:space="0"/>
              <w:bottom w:val="single" w:color="auto" w:sz="4" w:space="0"/>
              <w:right w:val="single" w:color="auto" w:sz="4" w:space="0"/>
            </w:tcBorders>
            <w:noWrap w:val="0"/>
            <w:vAlign w:val="center"/>
          </w:tcPr>
          <w:p w14:paraId="327F219A">
            <w:pPr>
              <w:widowControl/>
              <w:spacing w:line="380" w:lineRule="exact"/>
              <w:jc w:val="left"/>
              <w:rPr>
                <w:rFonts w:hint="eastAsia" w:ascii="宋体" w:hAnsi="宋体" w:cs="宋体"/>
                <w:sz w:val="24"/>
                <w:highlight w:val="none"/>
              </w:rPr>
            </w:pPr>
            <w:r>
              <w:rPr>
                <w:rFonts w:hint="eastAsia" w:ascii="宋体" w:hAnsi="宋体" w:cs="宋体"/>
                <w:sz w:val="24"/>
                <w:highlight w:val="none"/>
              </w:rPr>
              <w:t>（7）投标报价满足采购文件要求，</w:t>
            </w:r>
            <w:r>
              <w:rPr>
                <w:rFonts w:ascii="宋体" w:hAnsi="宋体" w:cs="宋体"/>
                <w:sz w:val="24"/>
                <w:highlight w:val="none"/>
              </w:rPr>
              <w:t>报价</w:t>
            </w:r>
            <w:r>
              <w:rPr>
                <w:rFonts w:hint="eastAsia" w:ascii="宋体" w:hAnsi="宋体" w:cs="宋体"/>
                <w:sz w:val="24"/>
                <w:highlight w:val="none"/>
              </w:rPr>
              <w:t>未</w:t>
            </w:r>
            <w:r>
              <w:rPr>
                <w:rFonts w:ascii="宋体" w:hAnsi="宋体" w:cs="宋体"/>
                <w:sz w:val="24"/>
                <w:highlight w:val="none"/>
              </w:rPr>
              <w:t>超过</w:t>
            </w:r>
            <w:r>
              <w:rPr>
                <w:rFonts w:hint="eastAsia" w:ascii="宋体" w:hAnsi="宋体" w:cs="宋体"/>
                <w:sz w:val="24"/>
                <w:highlight w:val="none"/>
              </w:rPr>
              <w:t>采购</w:t>
            </w:r>
            <w:r>
              <w:rPr>
                <w:rFonts w:ascii="宋体" w:hAnsi="宋体" w:cs="宋体"/>
                <w:sz w:val="24"/>
                <w:highlight w:val="none"/>
              </w:rPr>
              <w:t>文件中规定的最高限价</w:t>
            </w:r>
            <w:r>
              <w:rPr>
                <w:rFonts w:hint="eastAsia" w:ascii="宋体" w:hAnsi="宋体" w:cs="宋体"/>
                <w:sz w:val="24"/>
                <w:highlight w:val="none"/>
              </w:rPr>
              <w:t>。如存在报价需要修正的情形，已经过供应商</w:t>
            </w:r>
            <w:r>
              <w:rPr>
                <w:rFonts w:ascii="宋体" w:hAnsi="宋体" w:cs="宋体"/>
                <w:sz w:val="24"/>
                <w:highlight w:val="none"/>
              </w:rPr>
              <w:t>确认</w:t>
            </w:r>
            <w:r>
              <w:rPr>
                <w:rFonts w:hint="eastAsia" w:ascii="宋体" w:hAnsi="宋体" w:cs="宋体"/>
                <w:sz w:val="24"/>
                <w:highlight w:val="none"/>
              </w:rPr>
              <w:t>。</w:t>
            </w:r>
          </w:p>
        </w:tc>
      </w:tr>
      <w:tr w14:paraId="6B40D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73" w:type="dxa"/>
            <w:vMerge w:val="continue"/>
            <w:tcBorders>
              <w:right w:val="single" w:color="auto" w:sz="4" w:space="0"/>
            </w:tcBorders>
            <w:noWrap w:val="0"/>
            <w:vAlign w:val="center"/>
          </w:tcPr>
          <w:p w14:paraId="773BF221">
            <w:pPr>
              <w:spacing w:line="360" w:lineRule="auto"/>
              <w:ind w:firstLine="480" w:firstLineChars="200"/>
              <w:jc w:val="center"/>
              <w:rPr>
                <w:sz w:val="24"/>
                <w:highlight w:val="none"/>
              </w:rPr>
            </w:pPr>
          </w:p>
        </w:tc>
        <w:tc>
          <w:tcPr>
            <w:tcW w:w="1887" w:type="dxa"/>
            <w:vMerge w:val="continue"/>
            <w:tcBorders>
              <w:left w:val="single" w:color="auto" w:sz="4" w:space="0"/>
              <w:right w:val="single" w:color="auto" w:sz="4" w:space="0"/>
            </w:tcBorders>
            <w:noWrap w:val="0"/>
            <w:vAlign w:val="center"/>
          </w:tcPr>
          <w:p w14:paraId="485E2F82">
            <w:pPr>
              <w:spacing w:line="360" w:lineRule="auto"/>
              <w:rPr>
                <w:sz w:val="24"/>
                <w:highlight w:val="none"/>
              </w:rPr>
            </w:pPr>
          </w:p>
        </w:tc>
        <w:tc>
          <w:tcPr>
            <w:tcW w:w="6534" w:type="dxa"/>
            <w:tcBorders>
              <w:top w:val="single" w:color="auto" w:sz="4" w:space="0"/>
              <w:left w:val="single" w:color="auto" w:sz="4" w:space="0"/>
              <w:bottom w:val="single" w:color="auto" w:sz="4" w:space="0"/>
              <w:right w:val="single" w:color="auto" w:sz="4" w:space="0"/>
            </w:tcBorders>
            <w:noWrap w:val="0"/>
            <w:vAlign w:val="center"/>
          </w:tcPr>
          <w:p w14:paraId="2BA448E0">
            <w:pPr>
              <w:widowControl/>
              <w:spacing w:line="380" w:lineRule="exact"/>
              <w:jc w:val="left"/>
              <w:rPr>
                <w:rFonts w:hint="eastAsia" w:ascii="宋体" w:hAnsi="宋体" w:cs="宋体"/>
                <w:sz w:val="24"/>
                <w:highlight w:val="none"/>
              </w:rPr>
            </w:pPr>
            <w:r>
              <w:rPr>
                <w:rFonts w:hint="eastAsia" w:ascii="宋体" w:hAnsi="宋体" w:cs="宋体"/>
                <w:sz w:val="24"/>
                <w:highlight w:val="none"/>
              </w:rPr>
              <w:t>（8）投标报价不存在明显低于其他通过符合性审查供应商的报价情形，但供应商能证明其报价合理性的除外</w:t>
            </w:r>
          </w:p>
        </w:tc>
      </w:tr>
      <w:tr w14:paraId="591C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9" w:hRule="exact"/>
        </w:trPr>
        <w:tc>
          <w:tcPr>
            <w:tcW w:w="673" w:type="dxa"/>
            <w:vMerge w:val="continue"/>
            <w:tcBorders>
              <w:right w:val="single" w:color="auto" w:sz="4" w:space="0"/>
            </w:tcBorders>
            <w:noWrap w:val="0"/>
            <w:vAlign w:val="center"/>
          </w:tcPr>
          <w:p w14:paraId="2BD48467">
            <w:pPr>
              <w:spacing w:line="360" w:lineRule="auto"/>
              <w:ind w:firstLine="480" w:firstLineChars="200"/>
              <w:jc w:val="center"/>
              <w:rPr>
                <w:sz w:val="24"/>
                <w:highlight w:val="none"/>
              </w:rPr>
            </w:pPr>
          </w:p>
        </w:tc>
        <w:tc>
          <w:tcPr>
            <w:tcW w:w="1887" w:type="dxa"/>
            <w:vMerge w:val="continue"/>
            <w:tcBorders>
              <w:left w:val="single" w:color="auto" w:sz="4" w:space="0"/>
              <w:right w:val="single" w:color="auto" w:sz="4" w:space="0"/>
            </w:tcBorders>
            <w:noWrap w:val="0"/>
            <w:vAlign w:val="center"/>
          </w:tcPr>
          <w:p w14:paraId="1A79839C">
            <w:pPr>
              <w:spacing w:line="360" w:lineRule="auto"/>
              <w:rPr>
                <w:sz w:val="24"/>
                <w:highlight w:val="none"/>
              </w:rPr>
            </w:pPr>
          </w:p>
        </w:tc>
        <w:tc>
          <w:tcPr>
            <w:tcW w:w="6534" w:type="dxa"/>
            <w:tcBorders>
              <w:top w:val="single" w:color="auto" w:sz="4" w:space="0"/>
              <w:left w:val="single" w:color="auto" w:sz="4" w:space="0"/>
              <w:bottom w:val="single" w:color="auto" w:sz="4" w:space="0"/>
              <w:right w:val="single" w:color="auto" w:sz="4" w:space="0"/>
            </w:tcBorders>
            <w:noWrap w:val="0"/>
            <w:vAlign w:val="center"/>
          </w:tcPr>
          <w:p w14:paraId="05AA0CEB">
            <w:pPr>
              <w:widowControl/>
              <w:spacing w:line="380" w:lineRule="exact"/>
              <w:jc w:val="left"/>
              <w:rPr>
                <w:rFonts w:hint="eastAsia" w:ascii="宋体" w:hAnsi="宋体" w:cs="宋体"/>
                <w:sz w:val="24"/>
                <w:highlight w:val="none"/>
              </w:rPr>
            </w:pPr>
            <w:r>
              <w:rPr>
                <w:rFonts w:hint="eastAsia" w:ascii="宋体" w:hAnsi="宋体" w:cs="宋体"/>
                <w:sz w:val="24"/>
                <w:highlight w:val="none"/>
                <w:lang w:val="en-US" w:eastAsia="zh-CN"/>
              </w:rPr>
              <w:t>（9）联合体投标的，联合体各成员不得再以自己名义单独或参加其他联合体在同一标段中投标，否则相关投标均将被否决；联合体各成员必须按采购文件提供的格式签订联合体协议书，载明联合体各方承担的工作范围，明确各方承担连带责任，并明确了联合体牵头人；联合体各成员应按照协议书载明的工作内容（专业）具备相对应的资格条件。</w:t>
            </w:r>
          </w:p>
        </w:tc>
      </w:tr>
      <w:tr w14:paraId="135B0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exact"/>
        </w:trPr>
        <w:tc>
          <w:tcPr>
            <w:tcW w:w="673" w:type="dxa"/>
            <w:vMerge w:val="continue"/>
            <w:tcBorders>
              <w:bottom w:val="single" w:color="auto" w:sz="4" w:space="0"/>
              <w:right w:val="single" w:color="auto" w:sz="4" w:space="0"/>
            </w:tcBorders>
            <w:noWrap w:val="0"/>
            <w:vAlign w:val="center"/>
          </w:tcPr>
          <w:p w14:paraId="696F010A">
            <w:pPr>
              <w:spacing w:line="360" w:lineRule="auto"/>
              <w:ind w:firstLine="480" w:firstLineChars="200"/>
              <w:jc w:val="center"/>
              <w:rPr>
                <w:sz w:val="24"/>
                <w:highlight w:val="none"/>
              </w:rPr>
            </w:pPr>
          </w:p>
        </w:tc>
        <w:tc>
          <w:tcPr>
            <w:tcW w:w="1887" w:type="dxa"/>
            <w:vMerge w:val="continue"/>
            <w:tcBorders>
              <w:left w:val="single" w:color="auto" w:sz="4" w:space="0"/>
              <w:bottom w:val="single" w:color="auto" w:sz="4" w:space="0"/>
              <w:right w:val="single" w:color="auto" w:sz="4" w:space="0"/>
            </w:tcBorders>
            <w:noWrap w:val="0"/>
            <w:vAlign w:val="center"/>
          </w:tcPr>
          <w:p w14:paraId="2298AD73">
            <w:pPr>
              <w:spacing w:line="360" w:lineRule="auto"/>
              <w:rPr>
                <w:sz w:val="24"/>
                <w:highlight w:val="none"/>
              </w:rPr>
            </w:pPr>
          </w:p>
        </w:tc>
        <w:tc>
          <w:tcPr>
            <w:tcW w:w="6534" w:type="dxa"/>
            <w:tcBorders>
              <w:top w:val="single" w:color="auto" w:sz="4" w:space="0"/>
              <w:left w:val="single" w:color="auto" w:sz="4" w:space="0"/>
              <w:bottom w:val="single" w:color="auto" w:sz="4" w:space="0"/>
              <w:right w:val="single" w:color="auto" w:sz="4" w:space="0"/>
            </w:tcBorders>
            <w:noWrap w:val="0"/>
            <w:vAlign w:val="center"/>
          </w:tcPr>
          <w:p w14:paraId="26D0ADFF">
            <w:pPr>
              <w:widowControl/>
              <w:spacing w:line="380" w:lineRule="exact"/>
              <w:jc w:val="left"/>
              <w:rPr>
                <w:bCs/>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10</w:t>
            </w:r>
            <w:r>
              <w:rPr>
                <w:rFonts w:hint="eastAsia" w:ascii="宋体" w:hAnsi="宋体" w:cs="宋体"/>
                <w:sz w:val="24"/>
                <w:highlight w:val="none"/>
              </w:rPr>
              <w:t>）法律、法规和采购文件规定的其他无效情形</w:t>
            </w:r>
          </w:p>
        </w:tc>
      </w:tr>
    </w:tbl>
    <w:p w14:paraId="66D7BB05">
      <w:pPr>
        <w:spacing w:line="500" w:lineRule="exact"/>
        <w:rPr>
          <w:rFonts w:hint="eastAsia" w:ascii="宋体" w:hAnsi="宋体" w:cs="宋体"/>
          <w:b/>
          <w:sz w:val="28"/>
          <w:highlight w:val="none"/>
        </w:rPr>
      </w:pPr>
      <w:r>
        <w:rPr>
          <w:rFonts w:hint="eastAsia" w:ascii="宋体" w:hAnsi="宋体" w:cs="宋体"/>
          <w:b/>
          <w:sz w:val="24"/>
          <w:highlight w:val="none"/>
        </w:rPr>
        <w:br w:type="page"/>
      </w:r>
      <w:r>
        <w:rPr>
          <w:rFonts w:hint="eastAsia" w:ascii="宋体" w:hAnsi="宋体" w:cs="宋体"/>
          <w:b/>
          <w:sz w:val="28"/>
          <w:highlight w:val="none"/>
        </w:rPr>
        <w:t>附件二  详细评审</w:t>
      </w:r>
    </w:p>
    <w:p w14:paraId="51CBDC28">
      <w:pPr>
        <w:spacing w:line="500" w:lineRule="exact"/>
        <w:jc w:val="center"/>
        <w:rPr>
          <w:rFonts w:ascii="宋体" w:hAnsi="宋体" w:cs="宋体"/>
          <w:b/>
          <w:sz w:val="24"/>
          <w:highlight w:val="none"/>
        </w:rPr>
      </w:pPr>
      <w:r>
        <w:rPr>
          <w:rFonts w:hint="eastAsia" w:ascii="宋体" w:hAnsi="宋体" w:cs="宋体"/>
          <w:b/>
          <w:sz w:val="28"/>
          <w:highlight w:val="none"/>
        </w:rPr>
        <w:t>综合评分明细表（满分：100分）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044"/>
        <w:gridCol w:w="1725"/>
        <w:gridCol w:w="5683"/>
      </w:tblGrid>
      <w:tr w14:paraId="3C57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95" w:type="dxa"/>
            <w:noWrap w:val="0"/>
            <w:vAlign w:val="center"/>
          </w:tcPr>
          <w:p w14:paraId="2D2FE10B">
            <w:pPr>
              <w:tabs>
                <w:tab w:val="left" w:pos="5220"/>
                <w:tab w:val="left" w:pos="5400"/>
                <w:tab w:val="left" w:pos="5580"/>
              </w:tabs>
              <w:adjustRightInd w:val="0"/>
              <w:spacing w:line="400" w:lineRule="exact"/>
              <w:jc w:val="center"/>
              <w:rPr>
                <w:rFonts w:ascii="宋体" w:hAnsi="宋体" w:cs="宋体"/>
                <w:b/>
                <w:highlight w:val="none"/>
              </w:rPr>
            </w:pPr>
            <w:r>
              <w:rPr>
                <w:rFonts w:hint="eastAsia" w:ascii="宋体" w:hAnsi="宋体" w:cs="宋体"/>
                <w:b/>
                <w:highlight w:val="none"/>
              </w:rPr>
              <w:t>序号</w:t>
            </w:r>
          </w:p>
        </w:tc>
        <w:tc>
          <w:tcPr>
            <w:tcW w:w="1044" w:type="dxa"/>
            <w:noWrap w:val="0"/>
            <w:vAlign w:val="center"/>
          </w:tcPr>
          <w:p w14:paraId="688C9D4E">
            <w:pPr>
              <w:tabs>
                <w:tab w:val="left" w:pos="5220"/>
                <w:tab w:val="left" w:pos="5400"/>
                <w:tab w:val="left" w:pos="5580"/>
              </w:tabs>
              <w:adjustRightInd w:val="0"/>
              <w:spacing w:line="400" w:lineRule="exact"/>
              <w:jc w:val="center"/>
              <w:rPr>
                <w:rFonts w:ascii="宋体" w:hAnsi="宋体" w:cs="宋体"/>
                <w:b/>
                <w:highlight w:val="none"/>
              </w:rPr>
            </w:pPr>
            <w:r>
              <w:rPr>
                <w:rFonts w:hint="eastAsia" w:ascii="宋体" w:hAnsi="宋体" w:cs="宋体"/>
                <w:b/>
                <w:highlight w:val="none"/>
              </w:rPr>
              <w:t>评分项目</w:t>
            </w:r>
          </w:p>
        </w:tc>
        <w:tc>
          <w:tcPr>
            <w:tcW w:w="1725" w:type="dxa"/>
            <w:noWrap w:val="0"/>
            <w:vAlign w:val="center"/>
          </w:tcPr>
          <w:p w14:paraId="5B34447D">
            <w:pPr>
              <w:tabs>
                <w:tab w:val="left" w:pos="5220"/>
                <w:tab w:val="left" w:pos="5400"/>
                <w:tab w:val="left" w:pos="5580"/>
              </w:tabs>
              <w:adjustRightInd w:val="0"/>
              <w:spacing w:line="400" w:lineRule="exact"/>
              <w:jc w:val="center"/>
              <w:rPr>
                <w:rFonts w:ascii="宋体" w:hAnsi="宋体" w:cs="宋体"/>
                <w:b/>
                <w:highlight w:val="none"/>
              </w:rPr>
            </w:pPr>
            <w:r>
              <w:rPr>
                <w:rFonts w:hint="eastAsia" w:ascii="宋体" w:hAnsi="宋体" w:cs="宋体"/>
                <w:b/>
                <w:highlight w:val="none"/>
              </w:rPr>
              <w:t>内容</w:t>
            </w:r>
          </w:p>
        </w:tc>
        <w:tc>
          <w:tcPr>
            <w:tcW w:w="5683" w:type="dxa"/>
            <w:noWrap w:val="0"/>
            <w:vAlign w:val="center"/>
          </w:tcPr>
          <w:p w14:paraId="2FCDB2F6">
            <w:pPr>
              <w:tabs>
                <w:tab w:val="left" w:pos="5220"/>
                <w:tab w:val="left" w:pos="5400"/>
                <w:tab w:val="left" w:pos="5580"/>
              </w:tabs>
              <w:adjustRightInd w:val="0"/>
              <w:spacing w:line="400" w:lineRule="exact"/>
              <w:jc w:val="center"/>
              <w:rPr>
                <w:rFonts w:ascii="宋体" w:hAnsi="宋体" w:cs="宋体"/>
                <w:b/>
                <w:highlight w:val="none"/>
              </w:rPr>
            </w:pPr>
            <w:r>
              <w:rPr>
                <w:rFonts w:hint="eastAsia" w:ascii="宋体" w:hAnsi="宋体" w:cs="宋体"/>
                <w:b/>
                <w:highlight w:val="none"/>
              </w:rPr>
              <w:t>评分细则</w:t>
            </w:r>
          </w:p>
        </w:tc>
      </w:tr>
      <w:tr w14:paraId="3A84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95" w:type="dxa"/>
            <w:noWrap w:val="0"/>
            <w:vAlign w:val="center"/>
          </w:tcPr>
          <w:p w14:paraId="0DCEECCB">
            <w:pPr>
              <w:tabs>
                <w:tab w:val="left" w:pos="5220"/>
                <w:tab w:val="left" w:pos="5400"/>
                <w:tab w:val="left" w:pos="5580"/>
              </w:tabs>
              <w:adjustRightInd w:val="0"/>
              <w:spacing w:line="400" w:lineRule="exact"/>
              <w:rPr>
                <w:rFonts w:ascii="宋体" w:hAnsi="宋体" w:cs="宋体"/>
                <w:highlight w:val="none"/>
              </w:rPr>
            </w:pPr>
            <w:r>
              <w:rPr>
                <w:rFonts w:hint="eastAsia" w:ascii="宋体" w:hAnsi="宋体" w:cs="宋体"/>
                <w:highlight w:val="none"/>
              </w:rPr>
              <w:t>1</w:t>
            </w:r>
          </w:p>
        </w:tc>
        <w:tc>
          <w:tcPr>
            <w:tcW w:w="1044" w:type="dxa"/>
            <w:noWrap w:val="0"/>
            <w:vAlign w:val="center"/>
          </w:tcPr>
          <w:p w14:paraId="2E96A040">
            <w:pPr>
              <w:tabs>
                <w:tab w:val="left" w:pos="5220"/>
                <w:tab w:val="left" w:pos="5400"/>
                <w:tab w:val="left" w:pos="5580"/>
              </w:tabs>
              <w:adjustRightInd w:val="0"/>
              <w:spacing w:line="400" w:lineRule="exact"/>
              <w:rPr>
                <w:rFonts w:ascii="宋体" w:hAnsi="宋体" w:cs="宋体"/>
                <w:highlight w:val="none"/>
              </w:rPr>
            </w:pPr>
            <w:r>
              <w:rPr>
                <w:rFonts w:hint="eastAsia" w:ascii="宋体" w:hAnsi="宋体" w:cs="宋体"/>
                <w:highlight w:val="none"/>
              </w:rPr>
              <w:t>报价分（15分）</w:t>
            </w:r>
          </w:p>
        </w:tc>
        <w:tc>
          <w:tcPr>
            <w:tcW w:w="1725" w:type="dxa"/>
            <w:noWrap w:val="0"/>
            <w:vAlign w:val="center"/>
          </w:tcPr>
          <w:p w14:paraId="409520CF">
            <w:pPr>
              <w:pStyle w:val="8"/>
              <w:adjustRightInd w:val="0"/>
              <w:snapToGrid w:val="0"/>
              <w:spacing w:line="400" w:lineRule="exact"/>
              <w:jc w:val="center"/>
              <w:rPr>
                <w:rFonts w:hAnsi="宋体" w:cs="宋体"/>
                <w:szCs w:val="24"/>
                <w:highlight w:val="none"/>
              </w:rPr>
            </w:pPr>
            <w:r>
              <w:rPr>
                <w:rFonts w:hint="eastAsia" w:hAnsi="宋体" w:cs="宋体"/>
                <w:szCs w:val="24"/>
                <w:highlight w:val="none"/>
              </w:rPr>
              <w:t>投标报价</w:t>
            </w:r>
          </w:p>
        </w:tc>
        <w:tc>
          <w:tcPr>
            <w:tcW w:w="5683" w:type="dxa"/>
            <w:noWrap w:val="0"/>
            <w:vAlign w:val="center"/>
          </w:tcPr>
          <w:p w14:paraId="011AA6A1">
            <w:pPr>
              <w:pStyle w:val="8"/>
              <w:adjustRightInd w:val="0"/>
              <w:snapToGrid w:val="0"/>
              <w:spacing w:line="400" w:lineRule="exact"/>
              <w:rPr>
                <w:rFonts w:hAnsi="宋体" w:cs="宋体"/>
                <w:szCs w:val="24"/>
                <w:highlight w:val="none"/>
              </w:rPr>
            </w:pPr>
            <w:r>
              <w:rPr>
                <w:rFonts w:hint="eastAsia" w:hAnsi="宋体" w:cs="宋体"/>
                <w:szCs w:val="24"/>
                <w:highlight w:val="none"/>
              </w:rPr>
              <w:t>报价得分＝（评标基准价／投标报价）×15%×100</w:t>
            </w:r>
          </w:p>
          <w:p w14:paraId="475B7290">
            <w:pPr>
              <w:pStyle w:val="8"/>
              <w:adjustRightInd w:val="0"/>
              <w:snapToGrid w:val="0"/>
              <w:spacing w:line="400" w:lineRule="exact"/>
              <w:rPr>
                <w:rFonts w:hint="eastAsia" w:hAnsi="宋体" w:cs="宋体"/>
                <w:szCs w:val="24"/>
                <w:highlight w:val="none"/>
              </w:rPr>
            </w:pPr>
            <w:r>
              <w:rPr>
                <w:rFonts w:hint="eastAsia" w:hAnsi="宋体" w:cs="宋体"/>
                <w:szCs w:val="24"/>
                <w:highlight w:val="none"/>
              </w:rPr>
              <w:t>注：</w:t>
            </w:r>
          </w:p>
          <w:p w14:paraId="13BD8476">
            <w:pPr>
              <w:pStyle w:val="8"/>
              <w:adjustRightInd w:val="0"/>
              <w:snapToGrid w:val="0"/>
              <w:spacing w:line="400" w:lineRule="exact"/>
              <w:rPr>
                <w:rFonts w:hint="eastAsia" w:hAnsi="宋体" w:cs="宋体"/>
                <w:szCs w:val="24"/>
                <w:highlight w:val="none"/>
                <w:lang w:val="en-US" w:eastAsia="zh-CN"/>
              </w:rPr>
            </w:pPr>
            <w:r>
              <w:rPr>
                <w:rFonts w:hint="eastAsia" w:hAnsi="宋体" w:cs="宋体"/>
                <w:szCs w:val="24"/>
                <w:highlight w:val="none"/>
              </w:rPr>
              <w:t>1、满足采购文件要求且价格最低的投标报价为评标基准价；2、对小型和微型企业产品的价格给与10%-20%的扣除，用扣除后的价格参与评审，本项目具体扣除比例为10％；联合体均为小微企业的价格扣除</w:t>
            </w:r>
            <w:r>
              <w:rPr>
                <w:rFonts w:hint="eastAsia" w:hAnsi="宋体" w:cs="宋体"/>
                <w:szCs w:val="24"/>
                <w:highlight w:val="none"/>
                <w:lang w:val="en-US" w:eastAsia="zh-CN"/>
              </w:rPr>
              <w:t>比例为10%。组成联合体的小微企业与联合体内其他企业之间存在直接控股、管理关系的，不享受价格扣除优惠政策。</w:t>
            </w:r>
          </w:p>
          <w:p w14:paraId="35EABC22">
            <w:pPr>
              <w:pStyle w:val="8"/>
              <w:adjustRightInd w:val="0"/>
              <w:snapToGrid w:val="0"/>
              <w:spacing w:line="400" w:lineRule="exact"/>
              <w:rPr>
                <w:rFonts w:hint="eastAsia" w:hAnsi="宋体" w:cs="宋体"/>
                <w:szCs w:val="24"/>
                <w:highlight w:val="none"/>
              </w:rPr>
            </w:pPr>
            <w:r>
              <w:rPr>
                <w:rFonts w:hint="eastAsia" w:hAnsi="宋体" w:cs="宋体"/>
                <w:szCs w:val="24"/>
                <w:highlight w:val="none"/>
                <w:lang w:val="en-US" w:eastAsia="zh-CN"/>
              </w:rPr>
              <w:t>大中型企业与小微企业组成联合体且小微企业的合同份额占到合同总金额30%以上的价格扣除比例为4%（需提供合同份额分配情况说明）。</w:t>
            </w:r>
          </w:p>
        </w:tc>
      </w:tr>
      <w:tr w14:paraId="62AD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95" w:type="dxa"/>
            <w:vMerge w:val="restart"/>
            <w:noWrap w:val="0"/>
            <w:vAlign w:val="center"/>
          </w:tcPr>
          <w:p w14:paraId="567BEE41">
            <w:pPr>
              <w:tabs>
                <w:tab w:val="left" w:pos="5220"/>
                <w:tab w:val="left" w:pos="5400"/>
                <w:tab w:val="left" w:pos="5580"/>
              </w:tabs>
              <w:adjustRightInd w:val="0"/>
              <w:spacing w:line="400" w:lineRule="exact"/>
              <w:rPr>
                <w:rFonts w:ascii="宋体" w:hAnsi="宋体" w:cs="宋体"/>
                <w:highlight w:val="none"/>
              </w:rPr>
            </w:pPr>
            <w:r>
              <w:rPr>
                <w:rFonts w:hint="eastAsia" w:ascii="宋体" w:hAnsi="宋体" w:cs="宋体"/>
                <w:highlight w:val="none"/>
              </w:rPr>
              <w:t>2</w:t>
            </w:r>
          </w:p>
        </w:tc>
        <w:tc>
          <w:tcPr>
            <w:tcW w:w="1044" w:type="dxa"/>
            <w:vMerge w:val="restart"/>
            <w:noWrap w:val="0"/>
            <w:vAlign w:val="center"/>
          </w:tcPr>
          <w:p w14:paraId="5993AA18">
            <w:pPr>
              <w:tabs>
                <w:tab w:val="left" w:pos="5400"/>
              </w:tabs>
              <w:adjustRightInd w:val="0"/>
              <w:spacing w:line="400" w:lineRule="exact"/>
              <w:jc w:val="center"/>
              <w:rPr>
                <w:rFonts w:ascii="宋体" w:hAnsi="宋体" w:cs="宋体"/>
                <w:highlight w:val="none"/>
              </w:rPr>
            </w:pPr>
            <w:r>
              <w:rPr>
                <w:rFonts w:hint="eastAsia" w:ascii="宋体" w:hAnsi="宋体" w:cs="宋体"/>
                <w:highlight w:val="none"/>
              </w:rPr>
              <w:t>商务分（70分）</w:t>
            </w:r>
          </w:p>
        </w:tc>
        <w:tc>
          <w:tcPr>
            <w:tcW w:w="1725" w:type="dxa"/>
            <w:noWrap w:val="0"/>
            <w:vAlign w:val="center"/>
          </w:tcPr>
          <w:p w14:paraId="3E7F6AD4">
            <w:pPr>
              <w:widowControl/>
              <w:spacing w:line="400" w:lineRule="exact"/>
              <w:jc w:val="center"/>
              <w:rPr>
                <w:rFonts w:ascii="宋体" w:hAnsi="宋体" w:cs="宋体"/>
                <w:highlight w:val="none"/>
              </w:rPr>
            </w:pPr>
            <w:r>
              <w:rPr>
                <w:rFonts w:hint="eastAsia" w:ascii="宋体" w:hAnsi="宋体" w:cs="宋体"/>
                <w:highlight w:val="none"/>
              </w:rPr>
              <w:t>项目负责人</w:t>
            </w:r>
          </w:p>
          <w:p w14:paraId="7DC4D7EB">
            <w:pPr>
              <w:widowControl/>
              <w:spacing w:line="400" w:lineRule="exact"/>
              <w:jc w:val="center"/>
              <w:rPr>
                <w:rFonts w:ascii="宋体" w:hAnsi="宋体" w:cs="宋体"/>
                <w:highlight w:val="none"/>
              </w:rPr>
            </w:pPr>
            <w:r>
              <w:rPr>
                <w:rFonts w:hint="eastAsia" w:ascii="宋体" w:hAnsi="宋体" w:cs="宋体"/>
                <w:highlight w:val="none"/>
              </w:rPr>
              <w:t>（20分）</w:t>
            </w:r>
          </w:p>
        </w:tc>
        <w:tc>
          <w:tcPr>
            <w:tcW w:w="5683" w:type="dxa"/>
            <w:noWrap w:val="0"/>
            <w:vAlign w:val="center"/>
          </w:tcPr>
          <w:p w14:paraId="217C0E03">
            <w:pPr>
              <w:rPr>
                <w:highlight w:val="none"/>
              </w:rPr>
            </w:pPr>
            <w:r>
              <w:rPr>
                <w:rFonts w:hint="eastAsia"/>
                <w:highlight w:val="none"/>
              </w:rPr>
              <w:t>a.具有副高级及以上职称的得10分；</w:t>
            </w:r>
          </w:p>
          <w:p w14:paraId="6BEFC3A2">
            <w:pPr>
              <w:rPr>
                <w:highlight w:val="none"/>
              </w:rPr>
            </w:pPr>
            <w:r>
              <w:rPr>
                <w:rFonts w:hint="eastAsia"/>
                <w:highlight w:val="none"/>
              </w:rPr>
              <w:t>b.近五年内（2020年1月至今）作为项目负责人每承担过1项交通运输与能源融合或绿色交通类项目业绩（课题）的，每个加2分，最高得10分;</w:t>
            </w:r>
          </w:p>
        </w:tc>
      </w:tr>
      <w:tr w14:paraId="0A27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495" w:type="dxa"/>
            <w:vMerge w:val="continue"/>
            <w:noWrap w:val="0"/>
            <w:vAlign w:val="center"/>
          </w:tcPr>
          <w:p w14:paraId="2DD3FBAA">
            <w:pPr>
              <w:tabs>
                <w:tab w:val="left" w:pos="5220"/>
                <w:tab w:val="left" w:pos="5400"/>
                <w:tab w:val="left" w:pos="5580"/>
              </w:tabs>
              <w:adjustRightInd w:val="0"/>
              <w:spacing w:line="400" w:lineRule="exact"/>
              <w:rPr>
                <w:rFonts w:ascii="宋体" w:hAnsi="宋体" w:cs="宋体"/>
                <w:highlight w:val="none"/>
              </w:rPr>
            </w:pPr>
          </w:p>
        </w:tc>
        <w:tc>
          <w:tcPr>
            <w:tcW w:w="1044" w:type="dxa"/>
            <w:vMerge w:val="continue"/>
            <w:noWrap w:val="0"/>
            <w:vAlign w:val="center"/>
          </w:tcPr>
          <w:p w14:paraId="304230CE">
            <w:pPr>
              <w:tabs>
                <w:tab w:val="left" w:pos="5220"/>
                <w:tab w:val="left" w:pos="5400"/>
                <w:tab w:val="left" w:pos="5580"/>
              </w:tabs>
              <w:adjustRightInd w:val="0"/>
              <w:spacing w:line="400" w:lineRule="exact"/>
              <w:rPr>
                <w:rFonts w:ascii="宋体" w:hAnsi="宋体" w:cs="宋体"/>
                <w:highlight w:val="none"/>
              </w:rPr>
            </w:pPr>
          </w:p>
        </w:tc>
        <w:tc>
          <w:tcPr>
            <w:tcW w:w="1725" w:type="dxa"/>
            <w:noWrap w:val="0"/>
            <w:vAlign w:val="top"/>
          </w:tcPr>
          <w:p w14:paraId="15E729ED">
            <w:pPr>
              <w:widowControl/>
              <w:spacing w:line="400" w:lineRule="exact"/>
              <w:rPr>
                <w:rFonts w:ascii="宋体" w:hAnsi="宋体" w:cs="宋体"/>
                <w:highlight w:val="none"/>
              </w:rPr>
            </w:pPr>
          </w:p>
          <w:p w14:paraId="09D14667">
            <w:pPr>
              <w:widowControl/>
              <w:spacing w:line="400" w:lineRule="exact"/>
              <w:jc w:val="center"/>
              <w:rPr>
                <w:rFonts w:ascii="宋体" w:hAnsi="宋体" w:cs="宋体"/>
                <w:highlight w:val="none"/>
              </w:rPr>
            </w:pPr>
            <w:r>
              <w:rPr>
                <w:rFonts w:hint="eastAsia" w:ascii="宋体" w:hAnsi="宋体" w:cs="宋体"/>
                <w:highlight w:val="none"/>
              </w:rPr>
              <w:t>项目团队</w:t>
            </w:r>
          </w:p>
          <w:p w14:paraId="5FAE5CD6">
            <w:pPr>
              <w:widowControl/>
              <w:spacing w:line="400" w:lineRule="exact"/>
              <w:jc w:val="center"/>
              <w:rPr>
                <w:rFonts w:ascii="宋体" w:hAnsi="宋体" w:cs="宋体"/>
                <w:highlight w:val="none"/>
              </w:rPr>
            </w:pPr>
            <w:r>
              <w:rPr>
                <w:rFonts w:hint="eastAsia" w:ascii="宋体" w:hAnsi="宋体" w:cs="宋体"/>
                <w:highlight w:val="none"/>
              </w:rPr>
              <w:t>（25分）</w:t>
            </w:r>
          </w:p>
        </w:tc>
        <w:tc>
          <w:tcPr>
            <w:tcW w:w="5683" w:type="dxa"/>
            <w:noWrap w:val="0"/>
            <w:vAlign w:val="top"/>
          </w:tcPr>
          <w:p w14:paraId="268254EF">
            <w:pPr>
              <w:widowControl/>
              <w:spacing w:line="400" w:lineRule="exact"/>
              <w:rPr>
                <w:rFonts w:ascii="宋体" w:hAnsi="宋体" w:cs="宋体"/>
                <w:highlight w:val="none"/>
              </w:rPr>
            </w:pPr>
            <w:r>
              <w:rPr>
                <w:rFonts w:hint="eastAsia" w:ascii="宋体" w:hAnsi="宋体" w:cs="宋体"/>
                <w:highlight w:val="none"/>
              </w:rPr>
              <w:t>a.项目组人员配备相关专业人数≥10人的得13分，≥6人的得8分，＜2人的得3分；</w:t>
            </w:r>
          </w:p>
          <w:p w14:paraId="0370D200">
            <w:pPr>
              <w:widowControl/>
              <w:spacing w:line="400" w:lineRule="exact"/>
              <w:rPr>
                <w:rFonts w:ascii="宋体" w:hAnsi="宋体" w:cs="宋体"/>
                <w:highlight w:val="none"/>
              </w:rPr>
            </w:pPr>
            <w:r>
              <w:rPr>
                <w:rFonts w:hint="eastAsia" w:ascii="宋体" w:hAnsi="宋体" w:cs="宋体"/>
                <w:highlight w:val="none"/>
              </w:rPr>
              <w:t>b.项目组人员配备每有一个副高级及以上职称加2分，最多得12分。</w:t>
            </w:r>
          </w:p>
        </w:tc>
      </w:tr>
      <w:tr w14:paraId="055B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95" w:type="dxa"/>
            <w:vMerge w:val="continue"/>
            <w:noWrap w:val="0"/>
            <w:vAlign w:val="center"/>
          </w:tcPr>
          <w:p w14:paraId="235D1CFA">
            <w:pPr>
              <w:tabs>
                <w:tab w:val="left" w:pos="5220"/>
                <w:tab w:val="left" w:pos="5400"/>
                <w:tab w:val="left" w:pos="5580"/>
              </w:tabs>
              <w:adjustRightInd w:val="0"/>
              <w:spacing w:line="400" w:lineRule="exact"/>
              <w:rPr>
                <w:rFonts w:ascii="宋体" w:hAnsi="宋体" w:cs="宋体"/>
                <w:highlight w:val="none"/>
              </w:rPr>
            </w:pPr>
          </w:p>
        </w:tc>
        <w:tc>
          <w:tcPr>
            <w:tcW w:w="1044" w:type="dxa"/>
            <w:vMerge w:val="continue"/>
            <w:noWrap w:val="0"/>
            <w:vAlign w:val="center"/>
          </w:tcPr>
          <w:p w14:paraId="6EB1819E">
            <w:pPr>
              <w:tabs>
                <w:tab w:val="left" w:pos="5220"/>
                <w:tab w:val="left" w:pos="5400"/>
                <w:tab w:val="left" w:pos="5580"/>
              </w:tabs>
              <w:adjustRightInd w:val="0"/>
              <w:spacing w:line="400" w:lineRule="exact"/>
              <w:rPr>
                <w:rFonts w:ascii="宋体" w:hAnsi="宋体" w:cs="宋体"/>
                <w:highlight w:val="none"/>
              </w:rPr>
            </w:pPr>
          </w:p>
        </w:tc>
        <w:tc>
          <w:tcPr>
            <w:tcW w:w="1725" w:type="dxa"/>
            <w:noWrap w:val="0"/>
            <w:vAlign w:val="top"/>
          </w:tcPr>
          <w:p w14:paraId="2CE3D8F8">
            <w:pPr>
              <w:widowControl/>
              <w:spacing w:line="400" w:lineRule="exact"/>
              <w:rPr>
                <w:rFonts w:ascii="宋体" w:hAnsi="宋体" w:cs="宋体"/>
                <w:highlight w:val="none"/>
              </w:rPr>
            </w:pPr>
          </w:p>
          <w:p w14:paraId="65F00A34">
            <w:pPr>
              <w:widowControl/>
              <w:spacing w:line="400" w:lineRule="exact"/>
              <w:jc w:val="center"/>
              <w:rPr>
                <w:rFonts w:ascii="宋体" w:hAnsi="宋体" w:cs="宋体"/>
                <w:highlight w:val="none"/>
              </w:rPr>
            </w:pPr>
            <w:r>
              <w:rPr>
                <w:rFonts w:hint="eastAsia" w:ascii="宋体" w:hAnsi="宋体" w:cs="宋体"/>
                <w:highlight w:val="none"/>
              </w:rPr>
              <w:t>业绩</w:t>
            </w:r>
          </w:p>
          <w:p w14:paraId="4632D50B">
            <w:pPr>
              <w:pStyle w:val="5"/>
              <w:ind w:left="0" w:leftChars="0" w:firstLine="210" w:firstLineChars="100"/>
              <w:rPr>
                <w:highlight w:val="none"/>
              </w:rPr>
            </w:pPr>
            <w:r>
              <w:rPr>
                <w:rFonts w:hint="eastAsia" w:ascii="宋体" w:hAnsi="宋体" w:cs="宋体"/>
                <w:highlight w:val="none"/>
              </w:rPr>
              <w:t>（25分）</w:t>
            </w:r>
          </w:p>
        </w:tc>
        <w:tc>
          <w:tcPr>
            <w:tcW w:w="5683" w:type="dxa"/>
            <w:noWrap w:val="0"/>
            <w:vAlign w:val="top"/>
          </w:tcPr>
          <w:p w14:paraId="06C20770">
            <w:pPr>
              <w:widowControl/>
              <w:spacing w:line="400" w:lineRule="exact"/>
              <w:jc w:val="left"/>
              <w:rPr>
                <w:rFonts w:ascii="宋体" w:hAnsi="宋体" w:cs="宋体"/>
                <w:highlight w:val="none"/>
              </w:rPr>
            </w:pPr>
            <w:r>
              <w:rPr>
                <w:rFonts w:hint="eastAsia" w:ascii="宋体" w:hAnsi="宋体" w:cs="宋体"/>
                <w:highlight w:val="none"/>
              </w:rPr>
              <w:t>a.近五年内（</w:t>
            </w:r>
            <w:r>
              <w:rPr>
                <w:rFonts w:hint="eastAsia"/>
                <w:highlight w:val="none"/>
              </w:rPr>
              <w:t>2020</w:t>
            </w:r>
            <w:r>
              <w:rPr>
                <w:rFonts w:hint="eastAsia" w:ascii="宋体" w:hAnsi="宋体" w:cs="宋体"/>
                <w:highlight w:val="none"/>
              </w:rPr>
              <w:t>年1月至今）每承担过1项交通运输与能源融合类</w:t>
            </w:r>
            <w:r>
              <w:rPr>
                <w:rFonts w:hint="eastAsia"/>
                <w:highlight w:val="none"/>
              </w:rPr>
              <w:t>项目业绩（课题）</w:t>
            </w:r>
            <w:r>
              <w:rPr>
                <w:rFonts w:hint="eastAsia" w:ascii="宋体" w:hAnsi="宋体" w:cs="宋体"/>
                <w:highlight w:val="none"/>
              </w:rPr>
              <w:t>的，每项加3分，最高得18分；</w:t>
            </w:r>
          </w:p>
          <w:p w14:paraId="5ABBEC72">
            <w:pPr>
              <w:widowControl/>
              <w:spacing w:line="400" w:lineRule="exact"/>
              <w:jc w:val="left"/>
              <w:rPr>
                <w:rFonts w:ascii="宋体" w:hAnsi="宋体" w:cs="宋体"/>
                <w:highlight w:val="none"/>
              </w:rPr>
            </w:pPr>
            <w:r>
              <w:rPr>
                <w:rFonts w:hint="eastAsia" w:ascii="宋体" w:hAnsi="宋体" w:cs="宋体"/>
                <w:highlight w:val="none"/>
              </w:rPr>
              <w:t>b.近五年内（</w:t>
            </w:r>
            <w:r>
              <w:rPr>
                <w:rFonts w:hint="eastAsia"/>
                <w:highlight w:val="none"/>
              </w:rPr>
              <w:t>2020</w:t>
            </w:r>
            <w:r>
              <w:rPr>
                <w:rFonts w:hint="eastAsia" w:ascii="宋体" w:hAnsi="宋体" w:cs="宋体"/>
                <w:highlight w:val="none"/>
              </w:rPr>
              <w:t>年1月至今）每承担过1项绿色交通</w:t>
            </w:r>
            <w:r>
              <w:rPr>
                <w:rFonts w:hint="eastAsia"/>
                <w:highlight w:val="none"/>
              </w:rPr>
              <w:t>项目业绩（课题）</w:t>
            </w:r>
            <w:r>
              <w:rPr>
                <w:rFonts w:hint="eastAsia" w:ascii="宋体" w:hAnsi="宋体" w:cs="宋体"/>
                <w:highlight w:val="none"/>
              </w:rPr>
              <w:t>的，每项加1分，最高得7分；</w:t>
            </w:r>
          </w:p>
        </w:tc>
      </w:tr>
      <w:tr w14:paraId="7306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947" w:type="dxa"/>
            <w:gridSpan w:val="4"/>
            <w:noWrap w:val="0"/>
            <w:vAlign w:val="center"/>
          </w:tcPr>
          <w:p w14:paraId="0AD5740F">
            <w:pPr>
              <w:spacing w:line="360" w:lineRule="exact"/>
              <w:jc w:val="left"/>
              <w:rPr>
                <w:rFonts w:hint="eastAsia" w:ascii="宋体" w:hAnsi="宋体" w:cs="仿宋_GB2312"/>
                <w:b/>
                <w:bCs/>
                <w:szCs w:val="21"/>
                <w:highlight w:val="none"/>
              </w:rPr>
            </w:pPr>
            <w:r>
              <w:rPr>
                <w:rFonts w:hint="eastAsia" w:ascii="宋体" w:hAnsi="宋体" w:cs="仿宋_GB2312"/>
                <w:b/>
                <w:bCs/>
                <w:szCs w:val="21"/>
                <w:highlight w:val="none"/>
              </w:rPr>
              <w:t>备注：</w:t>
            </w:r>
          </w:p>
          <w:p w14:paraId="2C3C275B">
            <w:pPr>
              <w:spacing w:line="360" w:lineRule="exact"/>
              <w:jc w:val="left"/>
              <w:rPr>
                <w:rFonts w:hint="eastAsia" w:ascii="宋体" w:hAnsi="宋体" w:cs="仿宋_GB2312"/>
                <w:b/>
                <w:bCs/>
                <w:szCs w:val="21"/>
                <w:highlight w:val="none"/>
              </w:rPr>
            </w:pPr>
            <w:r>
              <w:rPr>
                <w:rFonts w:hint="eastAsia" w:ascii="宋体" w:hAnsi="宋体" w:cs="仿宋_GB2312"/>
                <w:b/>
                <w:bCs/>
                <w:szCs w:val="21"/>
                <w:highlight w:val="none"/>
              </w:rPr>
              <w:t>1.项目负责人业绩和企业业绩证明材料需提供中标通知书或合同复印件或业主证明材料；</w:t>
            </w:r>
          </w:p>
          <w:p w14:paraId="6F41F481">
            <w:pPr>
              <w:spacing w:line="360" w:lineRule="exact"/>
              <w:jc w:val="left"/>
              <w:rPr>
                <w:rFonts w:hint="eastAsia" w:ascii="宋体" w:hAnsi="宋体" w:cs="仿宋_GB2312"/>
                <w:b/>
                <w:bCs/>
                <w:szCs w:val="21"/>
                <w:highlight w:val="none"/>
              </w:rPr>
            </w:pPr>
            <w:r>
              <w:rPr>
                <w:rFonts w:hint="eastAsia" w:ascii="宋体" w:hAnsi="宋体" w:cs="仿宋_GB2312"/>
                <w:b/>
                <w:bCs/>
                <w:szCs w:val="21"/>
                <w:highlight w:val="none"/>
              </w:rPr>
              <w:t>2.项目负责人及团队人员需按要求提供资质证书、职称证、身份证、社保等证明材料；</w:t>
            </w:r>
          </w:p>
          <w:p w14:paraId="03CA45CB">
            <w:pPr>
              <w:spacing w:line="360" w:lineRule="exact"/>
              <w:jc w:val="left"/>
              <w:rPr>
                <w:rFonts w:ascii="宋体" w:hAnsi="宋体" w:cs="仿宋_GB2312"/>
                <w:b/>
                <w:bCs/>
                <w:szCs w:val="21"/>
                <w:highlight w:val="none"/>
              </w:rPr>
            </w:pPr>
            <w:r>
              <w:rPr>
                <w:rFonts w:hint="eastAsia" w:ascii="宋体" w:hAnsi="宋体" w:cs="仿宋_GB2312"/>
                <w:b/>
                <w:bCs/>
                <w:szCs w:val="21"/>
                <w:highlight w:val="none"/>
              </w:rPr>
              <w:t>3.</w:t>
            </w:r>
            <w:r>
              <w:rPr>
                <w:rFonts w:hint="eastAsia" w:ascii="宋体" w:hAnsi="宋体" w:cs="仿宋_GB2312"/>
                <w:b/>
                <w:bCs/>
                <w:color w:val="000000"/>
                <w:szCs w:val="21"/>
                <w:highlight w:val="none"/>
              </w:rPr>
              <w:t>联合体投标时，以联合体各成员业绩汇总为准。</w:t>
            </w:r>
          </w:p>
          <w:p w14:paraId="004A8A6D">
            <w:pPr>
              <w:widowControl/>
              <w:spacing w:line="400" w:lineRule="exact"/>
              <w:rPr>
                <w:rFonts w:hint="eastAsia" w:ascii="宋体" w:hAnsi="宋体" w:cs="宋体"/>
                <w:highlight w:val="none"/>
              </w:rPr>
            </w:pPr>
            <w:r>
              <w:rPr>
                <w:rFonts w:hint="eastAsia" w:ascii="宋体" w:hAnsi="宋体" w:cs="仿宋_GB2312"/>
                <w:b/>
                <w:bCs/>
                <w:szCs w:val="21"/>
                <w:highlight w:val="none"/>
              </w:rPr>
              <w:t>上述所有要求提供的证明材料，证明材料可为扫描件或复印件（证明文件应能反映出业绩要求的各项指标，且应清晰可辨），均须加盖供应商单位公章。</w:t>
            </w:r>
          </w:p>
        </w:tc>
      </w:tr>
      <w:tr w14:paraId="522A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947" w:type="dxa"/>
            <w:gridSpan w:val="4"/>
            <w:noWrap w:val="0"/>
            <w:vAlign w:val="center"/>
          </w:tcPr>
          <w:p w14:paraId="632BBB98">
            <w:pPr>
              <w:widowControl/>
              <w:spacing w:line="400" w:lineRule="exact"/>
              <w:rPr>
                <w:rFonts w:ascii="宋体" w:hAnsi="宋体" w:cs="仿宋_GB2312"/>
                <w:b/>
                <w:bCs/>
                <w:szCs w:val="21"/>
                <w:highlight w:val="none"/>
              </w:rPr>
            </w:pPr>
          </w:p>
        </w:tc>
      </w:tr>
      <w:tr w14:paraId="56F6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95" w:type="dxa"/>
            <w:vMerge w:val="restart"/>
            <w:noWrap w:val="0"/>
            <w:vAlign w:val="center"/>
          </w:tcPr>
          <w:p w14:paraId="520C8C1F">
            <w:pPr>
              <w:tabs>
                <w:tab w:val="left" w:pos="5220"/>
                <w:tab w:val="left" w:pos="5400"/>
                <w:tab w:val="left" w:pos="5580"/>
              </w:tabs>
              <w:adjustRightInd w:val="0"/>
              <w:spacing w:line="400" w:lineRule="exact"/>
              <w:rPr>
                <w:rFonts w:hint="eastAsia" w:ascii="宋体" w:hAnsi="宋体" w:cs="宋体"/>
                <w:highlight w:val="none"/>
              </w:rPr>
            </w:pPr>
            <w:r>
              <w:rPr>
                <w:rFonts w:hint="eastAsia" w:ascii="宋体" w:hAnsi="宋体" w:cs="宋体"/>
                <w:highlight w:val="none"/>
              </w:rPr>
              <w:t>3</w:t>
            </w:r>
          </w:p>
        </w:tc>
        <w:tc>
          <w:tcPr>
            <w:tcW w:w="1044" w:type="dxa"/>
            <w:vMerge w:val="restart"/>
            <w:noWrap w:val="0"/>
            <w:vAlign w:val="center"/>
          </w:tcPr>
          <w:p w14:paraId="4817CB08">
            <w:pPr>
              <w:tabs>
                <w:tab w:val="left" w:pos="5220"/>
                <w:tab w:val="left" w:pos="5400"/>
                <w:tab w:val="left" w:pos="5580"/>
              </w:tabs>
              <w:adjustRightInd w:val="0"/>
              <w:spacing w:line="400" w:lineRule="exact"/>
              <w:rPr>
                <w:rFonts w:ascii="宋体" w:hAnsi="宋体" w:cs="宋体"/>
                <w:highlight w:val="none"/>
              </w:rPr>
            </w:pPr>
            <w:r>
              <w:rPr>
                <w:rFonts w:hint="eastAsia" w:ascii="宋体" w:hAnsi="宋体" w:cs="仿宋_GB2312"/>
                <w:szCs w:val="21"/>
                <w:highlight w:val="none"/>
              </w:rPr>
              <w:t>技术分（15分）</w:t>
            </w:r>
          </w:p>
        </w:tc>
        <w:tc>
          <w:tcPr>
            <w:tcW w:w="1725" w:type="dxa"/>
            <w:noWrap w:val="0"/>
            <w:vAlign w:val="center"/>
          </w:tcPr>
          <w:p w14:paraId="2D2D50FF">
            <w:pPr>
              <w:widowControl/>
              <w:spacing w:line="400" w:lineRule="exact"/>
              <w:rPr>
                <w:rFonts w:hint="eastAsia" w:ascii="宋体" w:hAnsi="宋体" w:cs="宋体"/>
                <w:szCs w:val="21"/>
                <w:highlight w:val="none"/>
              </w:rPr>
            </w:pPr>
            <w:r>
              <w:rPr>
                <w:rFonts w:hint="eastAsia" w:ascii="宋体" w:hAnsi="宋体" w:cs="宋体"/>
                <w:szCs w:val="21"/>
                <w:highlight w:val="none"/>
              </w:rPr>
              <w:t>发展现状与前景研究（5分）</w:t>
            </w:r>
          </w:p>
        </w:tc>
        <w:tc>
          <w:tcPr>
            <w:tcW w:w="5683" w:type="dxa"/>
            <w:noWrap w:val="0"/>
            <w:vAlign w:val="center"/>
          </w:tcPr>
          <w:p w14:paraId="571005E3">
            <w:pPr>
              <w:widowControl/>
              <w:spacing w:line="360" w:lineRule="exact"/>
              <w:rPr>
                <w:rFonts w:hint="eastAsia" w:ascii="宋体" w:hAnsi="宋体" w:cs="宋体"/>
                <w:szCs w:val="21"/>
                <w:highlight w:val="none"/>
              </w:rPr>
            </w:pPr>
            <w:r>
              <w:rPr>
                <w:rFonts w:hint="eastAsia" w:ascii="宋体" w:hAnsi="宋体" w:cs="宋体"/>
                <w:szCs w:val="21"/>
                <w:highlight w:val="none"/>
              </w:rPr>
              <w:t>在深入评估“电动贵州”发展情况的基础上，系统总结交通运输与能源融合发展成效，并深入分析存在的问题及薄弱环节。从国家层面、行业层面、省层面分析贵州省交通运输与能源融合的总体要求，对贵州省面临的形势要求进行系统分析。</w:t>
            </w:r>
          </w:p>
          <w:p w14:paraId="51AE1EB0">
            <w:pPr>
              <w:widowControl/>
              <w:spacing w:line="400" w:lineRule="exact"/>
              <w:rPr>
                <w:rFonts w:hint="eastAsia" w:ascii="宋体" w:hAnsi="宋体" w:cs="宋体"/>
                <w:highlight w:val="none"/>
              </w:rPr>
            </w:pPr>
            <w:r>
              <w:rPr>
                <w:rFonts w:hint="eastAsia" w:ascii="宋体" w:hAnsi="宋体" w:cs="宋体"/>
                <w:highlight w:val="none"/>
              </w:rPr>
              <w:t>1.对贵州省交通运输与能源融合发展情况和前景分析详尽科学的，得4-5分；</w:t>
            </w:r>
          </w:p>
          <w:p w14:paraId="2D071A36">
            <w:pPr>
              <w:widowControl/>
              <w:spacing w:line="400" w:lineRule="exact"/>
              <w:rPr>
                <w:rFonts w:hint="eastAsia" w:ascii="宋体" w:hAnsi="宋体" w:cs="宋体"/>
                <w:highlight w:val="none"/>
              </w:rPr>
            </w:pPr>
            <w:r>
              <w:rPr>
                <w:rFonts w:hint="eastAsia" w:ascii="宋体" w:hAnsi="宋体" w:cs="宋体"/>
                <w:highlight w:val="none"/>
              </w:rPr>
              <w:t>2.分析完整且比较全面的，得2-4分；</w:t>
            </w:r>
          </w:p>
          <w:p w14:paraId="478A6C1C">
            <w:pPr>
              <w:widowControl/>
              <w:spacing w:line="400" w:lineRule="exact"/>
              <w:rPr>
                <w:rFonts w:hint="eastAsia" w:ascii="宋体" w:hAnsi="宋体" w:cs="宋体"/>
                <w:highlight w:val="none"/>
              </w:rPr>
            </w:pPr>
            <w:r>
              <w:rPr>
                <w:rFonts w:hint="eastAsia" w:ascii="宋体" w:hAnsi="宋体" w:cs="宋体"/>
                <w:highlight w:val="none"/>
              </w:rPr>
              <w:t>3.分析简要但不够全面的，得0-2分。</w:t>
            </w:r>
          </w:p>
          <w:p w14:paraId="20BE84E8">
            <w:pPr>
              <w:widowControl/>
              <w:spacing w:line="400" w:lineRule="exact"/>
              <w:rPr>
                <w:rFonts w:hint="eastAsia" w:ascii="宋体" w:hAnsi="宋体" w:cs="宋体"/>
                <w:b/>
                <w:bCs/>
                <w:szCs w:val="21"/>
                <w:highlight w:val="none"/>
              </w:rPr>
            </w:pPr>
            <w:r>
              <w:rPr>
                <w:rFonts w:hint="eastAsia" w:ascii="宋体" w:hAnsi="宋体" w:cs="仿宋_GB2312"/>
                <w:b/>
                <w:bCs/>
                <w:szCs w:val="21"/>
                <w:highlight w:val="none"/>
              </w:rPr>
              <w:t>注：不提供不得分。</w:t>
            </w:r>
          </w:p>
        </w:tc>
      </w:tr>
      <w:tr w14:paraId="1C34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95" w:type="dxa"/>
            <w:vMerge w:val="continue"/>
            <w:noWrap w:val="0"/>
            <w:vAlign w:val="center"/>
          </w:tcPr>
          <w:p w14:paraId="4B2C07D5">
            <w:pPr>
              <w:tabs>
                <w:tab w:val="left" w:pos="5220"/>
                <w:tab w:val="left" w:pos="5400"/>
                <w:tab w:val="left" w:pos="5580"/>
              </w:tabs>
              <w:adjustRightInd w:val="0"/>
              <w:spacing w:line="400" w:lineRule="exact"/>
              <w:rPr>
                <w:rFonts w:ascii="宋体" w:hAnsi="宋体" w:cs="宋体"/>
                <w:highlight w:val="none"/>
              </w:rPr>
            </w:pPr>
          </w:p>
        </w:tc>
        <w:tc>
          <w:tcPr>
            <w:tcW w:w="1044" w:type="dxa"/>
            <w:vMerge w:val="continue"/>
            <w:noWrap w:val="0"/>
            <w:vAlign w:val="center"/>
          </w:tcPr>
          <w:p w14:paraId="48275ACF">
            <w:pPr>
              <w:tabs>
                <w:tab w:val="left" w:pos="5220"/>
                <w:tab w:val="left" w:pos="5400"/>
                <w:tab w:val="left" w:pos="5580"/>
              </w:tabs>
              <w:adjustRightInd w:val="0"/>
              <w:spacing w:line="400" w:lineRule="exact"/>
              <w:rPr>
                <w:rFonts w:ascii="宋体" w:hAnsi="宋体" w:cs="宋体"/>
                <w:highlight w:val="none"/>
              </w:rPr>
            </w:pPr>
          </w:p>
        </w:tc>
        <w:tc>
          <w:tcPr>
            <w:tcW w:w="1725" w:type="dxa"/>
            <w:noWrap w:val="0"/>
            <w:vAlign w:val="center"/>
          </w:tcPr>
          <w:p w14:paraId="5BB7304B">
            <w:pPr>
              <w:widowControl/>
              <w:spacing w:line="400" w:lineRule="exact"/>
              <w:rPr>
                <w:rFonts w:hint="eastAsia" w:ascii="宋体" w:hAnsi="宋体" w:cs="宋体"/>
                <w:szCs w:val="21"/>
                <w:highlight w:val="none"/>
              </w:rPr>
            </w:pPr>
            <w:r>
              <w:rPr>
                <w:rFonts w:hint="eastAsia" w:ascii="宋体" w:hAnsi="宋体" w:cs="宋体"/>
                <w:szCs w:val="21"/>
                <w:highlight w:val="none"/>
              </w:rPr>
              <w:t>交通运输与能源融合发展需求与潜力评估（5分）</w:t>
            </w:r>
          </w:p>
        </w:tc>
        <w:tc>
          <w:tcPr>
            <w:tcW w:w="5683" w:type="dxa"/>
            <w:noWrap w:val="0"/>
            <w:vAlign w:val="center"/>
          </w:tcPr>
          <w:p w14:paraId="419236CA">
            <w:pPr>
              <w:widowControl/>
              <w:spacing w:line="360" w:lineRule="exact"/>
              <w:rPr>
                <w:rFonts w:hint="eastAsia" w:ascii="宋体" w:hAnsi="宋体" w:cs="宋体"/>
                <w:szCs w:val="21"/>
                <w:highlight w:val="none"/>
              </w:rPr>
            </w:pPr>
            <w:r>
              <w:rPr>
                <w:rFonts w:hint="eastAsia" w:ascii="宋体" w:hAnsi="宋体" w:cs="宋体"/>
                <w:szCs w:val="21"/>
                <w:highlight w:val="none"/>
              </w:rPr>
              <w:t>根据贵州省交通网现状及规划情况，结合全省新能源分布，开展交通基础设施与能源融合潜力评估与负荷预测。1.做出详尽且科学评估分析的，得4-5分；</w:t>
            </w:r>
          </w:p>
          <w:p w14:paraId="67FC81DF">
            <w:pPr>
              <w:widowControl/>
              <w:spacing w:line="360" w:lineRule="exact"/>
              <w:rPr>
                <w:rFonts w:hint="eastAsia" w:ascii="宋体" w:hAnsi="宋体" w:cs="宋体"/>
                <w:szCs w:val="21"/>
                <w:highlight w:val="none"/>
              </w:rPr>
            </w:pPr>
            <w:r>
              <w:rPr>
                <w:rFonts w:hint="eastAsia" w:ascii="宋体" w:hAnsi="宋体" w:cs="宋体"/>
                <w:szCs w:val="21"/>
                <w:highlight w:val="none"/>
              </w:rPr>
              <w:t>2.分析完整且比较全面的，得2-4分；</w:t>
            </w:r>
          </w:p>
          <w:p w14:paraId="46AEAB55">
            <w:pPr>
              <w:widowControl/>
              <w:spacing w:line="360" w:lineRule="exact"/>
              <w:rPr>
                <w:rFonts w:ascii="宋体" w:hAnsi="宋体" w:cs="宋体"/>
                <w:szCs w:val="21"/>
                <w:highlight w:val="none"/>
              </w:rPr>
            </w:pPr>
            <w:r>
              <w:rPr>
                <w:rFonts w:hint="eastAsia" w:ascii="宋体" w:hAnsi="宋体" w:cs="宋体"/>
                <w:szCs w:val="21"/>
                <w:highlight w:val="none"/>
              </w:rPr>
              <w:t>3.分析简要但基本全面的，得0-2分。</w:t>
            </w:r>
          </w:p>
          <w:p w14:paraId="5BABAE12">
            <w:pPr>
              <w:widowControl/>
              <w:spacing w:line="360" w:lineRule="exact"/>
              <w:rPr>
                <w:rFonts w:hint="eastAsia" w:ascii="宋体" w:hAnsi="宋体" w:cs="宋体"/>
                <w:b/>
                <w:bCs/>
                <w:szCs w:val="21"/>
                <w:highlight w:val="none"/>
              </w:rPr>
            </w:pPr>
            <w:r>
              <w:rPr>
                <w:rFonts w:hint="eastAsia" w:ascii="宋体" w:hAnsi="宋体" w:cs="仿宋_GB2312"/>
                <w:b/>
                <w:bCs/>
                <w:szCs w:val="21"/>
                <w:highlight w:val="none"/>
              </w:rPr>
              <w:t>注：不提供不得分。</w:t>
            </w:r>
          </w:p>
        </w:tc>
      </w:tr>
      <w:tr w14:paraId="274D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95" w:type="dxa"/>
            <w:vMerge w:val="continue"/>
            <w:noWrap w:val="0"/>
            <w:vAlign w:val="center"/>
          </w:tcPr>
          <w:p w14:paraId="08A3851F">
            <w:pPr>
              <w:tabs>
                <w:tab w:val="left" w:pos="5220"/>
                <w:tab w:val="left" w:pos="5400"/>
                <w:tab w:val="left" w:pos="5580"/>
              </w:tabs>
              <w:adjustRightInd w:val="0"/>
              <w:spacing w:line="400" w:lineRule="exact"/>
              <w:rPr>
                <w:rFonts w:ascii="宋体" w:hAnsi="宋体" w:cs="宋体"/>
                <w:highlight w:val="none"/>
              </w:rPr>
            </w:pPr>
          </w:p>
        </w:tc>
        <w:tc>
          <w:tcPr>
            <w:tcW w:w="1044" w:type="dxa"/>
            <w:vMerge w:val="continue"/>
            <w:noWrap w:val="0"/>
            <w:vAlign w:val="center"/>
          </w:tcPr>
          <w:p w14:paraId="5891EAB6">
            <w:pPr>
              <w:tabs>
                <w:tab w:val="left" w:pos="5220"/>
                <w:tab w:val="left" w:pos="5400"/>
                <w:tab w:val="left" w:pos="5580"/>
              </w:tabs>
              <w:adjustRightInd w:val="0"/>
              <w:spacing w:line="400" w:lineRule="exact"/>
              <w:rPr>
                <w:rFonts w:ascii="宋体" w:hAnsi="宋体" w:cs="宋体"/>
                <w:highlight w:val="none"/>
              </w:rPr>
            </w:pPr>
          </w:p>
        </w:tc>
        <w:tc>
          <w:tcPr>
            <w:tcW w:w="1725" w:type="dxa"/>
            <w:noWrap w:val="0"/>
            <w:vAlign w:val="center"/>
          </w:tcPr>
          <w:p w14:paraId="40AD784C">
            <w:pPr>
              <w:widowControl/>
              <w:spacing w:line="400" w:lineRule="exact"/>
              <w:rPr>
                <w:rFonts w:hint="eastAsia" w:ascii="宋体" w:hAnsi="宋体" w:cs="宋体"/>
                <w:szCs w:val="21"/>
                <w:highlight w:val="none"/>
              </w:rPr>
            </w:pPr>
            <w:r>
              <w:rPr>
                <w:rFonts w:hint="eastAsia" w:ascii="宋体" w:hAnsi="宋体" w:cs="宋体"/>
                <w:szCs w:val="21"/>
                <w:highlight w:val="none"/>
              </w:rPr>
              <w:t>发展战略路径及政策研究（5分）</w:t>
            </w:r>
          </w:p>
        </w:tc>
        <w:tc>
          <w:tcPr>
            <w:tcW w:w="5683" w:type="dxa"/>
            <w:noWrap w:val="0"/>
            <w:vAlign w:val="center"/>
          </w:tcPr>
          <w:p w14:paraId="069D1D1C">
            <w:pPr>
              <w:widowControl/>
              <w:spacing w:line="360" w:lineRule="exact"/>
              <w:rPr>
                <w:rFonts w:ascii="宋体" w:hAnsi="宋体" w:cs="宋体"/>
                <w:szCs w:val="21"/>
                <w:highlight w:val="none"/>
              </w:rPr>
            </w:pPr>
            <w:bookmarkStart w:id="8" w:name="OLE_LINK4"/>
            <w:r>
              <w:rPr>
                <w:rFonts w:hint="eastAsia" w:ascii="宋体" w:hAnsi="宋体" w:cs="宋体"/>
                <w:szCs w:val="21"/>
                <w:highlight w:val="none"/>
              </w:rPr>
              <w:t>提出贵州省交通运输与能源融合发展研究的发展战略设计和重点任务。针对交能融合建设项目特点，明确未来相关工作机制、责任主体、保障措施等，提出政策建议。</w:t>
            </w:r>
          </w:p>
          <w:p w14:paraId="77F1BD2D">
            <w:pPr>
              <w:widowControl/>
              <w:spacing w:line="360" w:lineRule="exact"/>
              <w:rPr>
                <w:rFonts w:hint="eastAsia" w:ascii="宋体" w:hAnsi="宋体" w:cs="宋体"/>
                <w:szCs w:val="21"/>
                <w:highlight w:val="none"/>
              </w:rPr>
            </w:pPr>
            <w:r>
              <w:rPr>
                <w:rFonts w:hint="eastAsia" w:ascii="宋体" w:hAnsi="宋体" w:cs="宋体"/>
                <w:szCs w:val="21"/>
                <w:highlight w:val="none"/>
              </w:rPr>
              <w:t>1.发展战略设计及重点任务研究制定科学合理全面的，得4-5分；</w:t>
            </w:r>
          </w:p>
          <w:p w14:paraId="15D03E86">
            <w:pPr>
              <w:widowControl/>
              <w:spacing w:line="360" w:lineRule="exact"/>
              <w:rPr>
                <w:rFonts w:hint="eastAsia" w:ascii="宋体" w:hAnsi="宋体" w:cs="宋体"/>
                <w:szCs w:val="21"/>
                <w:highlight w:val="none"/>
              </w:rPr>
            </w:pPr>
            <w:r>
              <w:rPr>
                <w:rFonts w:hint="eastAsia" w:ascii="宋体" w:hAnsi="宋体" w:cs="宋体"/>
                <w:szCs w:val="21"/>
                <w:highlight w:val="none"/>
              </w:rPr>
              <w:t>2.分析完整且比较全面的，得2-4分；</w:t>
            </w:r>
          </w:p>
          <w:p w14:paraId="2CE931ED">
            <w:pPr>
              <w:widowControl/>
              <w:spacing w:line="360" w:lineRule="exact"/>
              <w:rPr>
                <w:rFonts w:hint="eastAsia" w:ascii="宋体" w:hAnsi="宋体" w:cs="宋体"/>
                <w:szCs w:val="21"/>
                <w:highlight w:val="none"/>
              </w:rPr>
            </w:pPr>
            <w:r>
              <w:rPr>
                <w:rFonts w:hint="eastAsia" w:ascii="宋体" w:hAnsi="宋体" w:cs="宋体"/>
                <w:szCs w:val="21"/>
                <w:highlight w:val="none"/>
              </w:rPr>
              <w:t>3.分析简要但基本全面的，得0-2分。</w:t>
            </w:r>
          </w:p>
          <w:bookmarkEnd w:id="8"/>
          <w:p w14:paraId="4C685AC6">
            <w:pPr>
              <w:widowControl/>
              <w:spacing w:line="360" w:lineRule="exact"/>
              <w:rPr>
                <w:rFonts w:hint="eastAsia" w:ascii="宋体" w:hAnsi="宋体" w:cs="宋体"/>
                <w:b/>
                <w:bCs/>
                <w:szCs w:val="21"/>
                <w:highlight w:val="none"/>
              </w:rPr>
            </w:pPr>
            <w:r>
              <w:rPr>
                <w:rFonts w:hint="eastAsia" w:ascii="宋体" w:hAnsi="宋体" w:cs="宋体"/>
                <w:b/>
                <w:bCs/>
                <w:szCs w:val="21"/>
                <w:highlight w:val="none"/>
              </w:rPr>
              <w:t>注：不提供不得分。</w:t>
            </w:r>
          </w:p>
        </w:tc>
      </w:tr>
    </w:tbl>
    <w:p w14:paraId="4BB6BD1D">
      <w:pPr>
        <w:tabs>
          <w:tab w:val="left" w:pos="720"/>
        </w:tabs>
        <w:rPr>
          <w:rFonts w:hint="eastAsia" w:ascii="宋体" w:hAnsi="宋体" w:cs="宋体"/>
          <w:highlight w:val="none"/>
        </w:rPr>
      </w:pPr>
    </w:p>
    <w:p w14:paraId="7EDBAF0C">
      <w:pPr>
        <w:rPr>
          <w:rFonts w:hint="default"/>
          <w:color w:val="auto"/>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SJ-PK74820000008-Identity-H">
    <w:altName w:val="仿宋_GB2312"/>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56427">
    <w:pPr>
      <w:pStyle w:val="9"/>
      <w:jc w:val="right"/>
    </w:pPr>
  </w:p>
  <w:p w14:paraId="413155EE">
    <w:pPr>
      <w:pStyle w:val="9"/>
      <w:tabs>
        <w:tab w:val="left" w:pos="5704"/>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3D678"/>
    <w:multiLevelType w:val="singleLevel"/>
    <w:tmpl w:val="83D3D678"/>
    <w:lvl w:ilvl="0" w:tentative="0">
      <w:start w:val="3"/>
      <w:numFmt w:val="chineseCounting"/>
      <w:suff w:val="space"/>
      <w:lvlText w:val="第%1章"/>
      <w:lvlJc w:val="left"/>
      <w:rPr>
        <w:rFonts w:hint="eastAsia"/>
      </w:rPr>
    </w:lvl>
  </w:abstractNum>
  <w:abstractNum w:abstractNumId="1">
    <w:nsid w:val="00000007"/>
    <w:multiLevelType w:val="multilevel"/>
    <w:tmpl w:val="00000007"/>
    <w:lvl w:ilvl="0" w:tentative="0">
      <w:start w:val="1"/>
      <w:numFmt w:val="upperRoman"/>
      <w:pStyle w:val="2"/>
      <w:lvlText w:val="第 %1 条"/>
      <w:lvlJc w:val="left"/>
      <w:pPr>
        <w:tabs>
          <w:tab w:val="left" w:pos="1080"/>
        </w:tabs>
      </w:pPr>
      <w:rPr>
        <w:rFonts w:cs="Times New Roman"/>
      </w:rPr>
    </w:lvl>
    <w:lvl w:ilvl="1" w:tentative="0">
      <w:start w:val="1"/>
      <w:numFmt w:val="decimalZero"/>
      <w:isLgl/>
      <w:lvlText w:val="节 %1.%2"/>
      <w:lvlJc w:val="left"/>
      <w:pPr>
        <w:tabs>
          <w:tab w:val="left" w:pos="720"/>
        </w:tabs>
      </w:pPr>
      <w:rPr>
        <w:rFonts w:cs="Times New Roman"/>
      </w:rPr>
    </w:lvl>
    <w:lvl w:ilvl="2" w:tentative="0">
      <w:start w:val="1"/>
      <w:numFmt w:val="lowerLetter"/>
      <w:lvlText w:val="(%3)"/>
      <w:lvlJc w:val="left"/>
      <w:pPr>
        <w:tabs>
          <w:tab w:val="left" w:pos="720"/>
        </w:tabs>
        <w:ind w:left="720" w:hanging="432"/>
      </w:pPr>
      <w:rPr>
        <w:rFonts w:cs="Times New Roman"/>
      </w:rPr>
    </w:lvl>
    <w:lvl w:ilvl="3" w:tentative="0">
      <w:start w:val="1"/>
      <w:numFmt w:val="lowerRoman"/>
      <w:lvlText w:val="(%4)"/>
      <w:lvlJc w:val="right"/>
      <w:pPr>
        <w:tabs>
          <w:tab w:val="left" w:pos="864"/>
        </w:tabs>
        <w:ind w:left="864" w:hanging="144"/>
      </w:pPr>
      <w:rPr>
        <w:rFonts w:cs="Times New Roman"/>
      </w:rPr>
    </w:lvl>
    <w:lvl w:ilvl="4" w:tentative="0">
      <w:start w:val="1"/>
      <w:numFmt w:val="decimal"/>
      <w:lvlText w:val="%5)"/>
      <w:lvlJc w:val="left"/>
      <w:pPr>
        <w:tabs>
          <w:tab w:val="left" w:pos="1008"/>
        </w:tabs>
        <w:ind w:left="1008" w:hanging="432"/>
      </w:pPr>
      <w:rPr>
        <w:rFonts w:cs="Times New Roman"/>
      </w:rPr>
    </w:lvl>
    <w:lvl w:ilvl="5" w:tentative="0">
      <w:start w:val="1"/>
      <w:numFmt w:val="lowerLetter"/>
      <w:lvlText w:val="%6)"/>
      <w:lvlJc w:val="left"/>
      <w:pPr>
        <w:tabs>
          <w:tab w:val="left" w:pos="1152"/>
        </w:tabs>
        <w:ind w:left="1152" w:hanging="432"/>
      </w:pPr>
      <w:rPr>
        <w:rFonts w:cs="Times New Roman"/>
      </w:rPr>
    </w:lvl>
    <w:lvl w:ilvl="6" w:tentative="0">
      <w:start w:val="1"/>
      <w:numFmt w:val="lowerRoman"/>
      <w:lvlText w:val="%7)"/>
      <w:lvlJc w:val="right"/>
      <w:pPr>
        <w:tabs>
          <w:tab w:val="left" w:pos="1296"/>
        </w:tabs>
        <w:ind w:left="1296" w:hanging="288"/>
      </w:pPr>
      <w:rPr>
        <w:rFonts w:cs="Times New Roman"/>
      </w:rPr>
    </w:lvl>
    <w:lvl w:ilvl="7" w:tentative="0">
      <w:start w:val="1"/>
      <w:numFmt w:val="lowerLetter"/>
      <w:lvlText w:val="%8."/>
      <w:lvlJc w:val="left"/>
      <w:pPr>
        <w:tabs>
          <w:tab w:val="left" w:pos="1440"/>
        </w:tabs>
        <w:ind w:left="1440" w:hanging="432"/>
      </w:pPr>
      <w:rPr>
        <w:rFonts w:cs="Times New Roman"/>
      </w:rPr>
    </w:lvl>
    <w:lvl w:ilvl="8" w:tentative="0">
      <w:start w:val="1"/>
      <w:numFmt w:val="lowerRoman"/>
      <w:lvlText w:val="%9."/>
      <w:lvlJc w:val="right"/>
      <w:pPr>
        <w:tabs>
          <w:tab w:val="left" w:pos="1584"/>
        </w:tabs>
        <w:ind w:left="1584" w:hanging="144"/>
      </w:pPr>
      <w:rPr>
        <w:rFonts w:cs="Times New Roman"/>
      </w:rPr>
    </w:lvl>
  </w:abstractNum>
  <w:abstractNum w:abstractNumId="2">
    <w:nsid w:val="2D3044B8"/>
    <w:multiLevelType w:val="singleLevel"/>
    <w:tmpl w:val="2D3044B8"/>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zIzMDU0MDQ4OWVlNDg3N2UxZDljZGUyMDNkMWIifQ=="/>
  </w:docVars>
  <w:rsids>
    <w:rsidRoot w:val="00000000"/>
    <w:rsid w:val="04037933"/>
    <w:rsid w:val="04FA4B16"/>
    <w:rsid w:val="0CDA7794"/>
    <w:rsid w:val="0FE60171"/>
    <w:rsid w:val="0FEF4236"/>
    <w:rsid w:val="10482BD9"/>
    <w:rsid w:val="12110839"/>
    <w:rsid w:val="12D17A0C"/>
    <w:rsid w:val="134055BA"/>
    <w:rsid w:val="17D2722C"/>
    <w:rsid w:val="1B6C60BD"/>
    <w:rsid w:val="1FF95C9E"/>
    <w:rsid w:val="20210699"/>
    <w:rsid w:val="244420F8"/>
    <w:rsid w:val="273D4FE4"/>
    <w:rsid w:val="28E166B9"/>
    <w:rsid w:val="2E160EDF"/>
    <w:rsid w:val="2E954DE4"/>
    <w:rsid w:val="31884A5B"/>
    <w:rsid w:val="32037763"/>
    <w:rsid w:val="36370E76"/>
    <w:rsid w:val="3B42010B"/>
    <w:rsid w:val="3DE83A53"/>
    <w:rsid w:val="3E03620E"/>
    <w:rsid w:val="4436276D"/>
    <w:rsid w:val="46EB0FD2"/>
    <w:rsid w:val="489E3BDE"/>
    <w:rsid w:val="539E41D8"/>
    <w:rsid w:val="5750542B"/>
    <w:rsid w:val="5C7312F5"/>
    <w:rsid w:val="5CF74BA6"/>
    <w:rsid w:val="5D4D2BAA"/>
    <w:rsid w:val="5E9F742E"/>
    <w:rsid w:val="62280AA1"/>
    <w:rsid w:val="630E7EC2"/>
    <w:rsid w:val="64960444"/>
    <w:rsid w:val="688D072E"/>
    <w:rsid w:val="6BAC12E6"/>
    <w:rsid w:val="6BC009EB"/>
    <w:rsid w:val="734129F0"/>
    <w:rsid w:val="74343D24"/>
    <w:rsid w:val="74F6547D"/>
    <w:rsid w:val="7C4D1E27"/>
    <w:rsid w:val="7DE93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numPr>
        <w:ilvl w:val="0"/>
        <w:numId w:val="1"/>
      </w:numPr>
      <w:autoSpaceDE w:val="0"/>
      <w:autoSpaceDN w:val="0"/>
      <w:adjustRightInd w:val="0"/>
      <w:jc w:val="left"/>
      <w:textAlignment w:val="baseline"/>
      <w:outlineLvl w:val="0"/>
    </w:pPr>
    <w:rPr>
      <w:b/>
      <w:bCs/>
      <w:kern w:val="44"/>
      <w:sz w:val="28"/>
      <w:szCs w:val="28"/>
    </w:rPr>
  </w:style>
  <w:style w:type="paragraph" w:styleId="3">
    <w:name w:val="heading 2"/>
    <w:basedOn w:val="1"/>
    <w:next w:val="1"/>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4">
    <w:name w:val="heading 3"/>
    <w:basedOn w:val="1"/>
    <w:next w:val="1"/>
    <w:unhideWhenUsed/>
    <w:qFormat/>
    <w:uiPriority w:val="9"/>
    <w:pPr>
      <w:keepNext/>
      <w:keepLines/>
      <w:tabs>
        <w:tab w:val="left" w:pos="3402"/>
      </w:tabs>
      <w:spacing w:beforeLines="100" w:afterLines="100" w:line="480" w:lineRule="auto"/>
      <w:ind w:firstLine="0" w:firstLineChars="0"/>
      <w:contextualSpacing/>
      <w:jc w:val="center"/>
      <w:outlineLvl w:val="2"/>
    </w:pPr>
    <w:rPr>
      <w:rFonts w:eastAsia="黑体"/>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annotation text"/>
    <w:basedOn w:val="1"/>
    <w:qFormat/>
    <w:uiPriority w:val="99"/>
    <w:pPr>
      <w:jc w:val="left"/>
    </w:pPr>
    <w:rPr>
      <w:kern w:val="0"/>
      <w:sz w:val="24"/>
    </w:rPr>
  </w:style>
  <w:style w:type="paragraph" w:styleId="7">
    <w:name w:val="Body Text"/>
    <w:basedOn w:val="1"/>
    <w:next w:val="1"/>
    <w:semiHidden/>
    <w:unhideWhenUsed/>
    <w:qFormat/>
    <w:uiPriority w:val="99"/>
    <w:pPr>
      <w:spacing w:after="120"/>
    </w:pPr>
    <w:rPr>
      <w:rFonts w:ascii="Calibri" w:hAnsi="Calibri" w:eastAsia="宋体"/>
      <w:szCs w:val="22"/>
    </w:r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kern w:val="0"/>
      <w:sz w:val="18"/>
      <w:szCs w:val="18"/>
    </w:rPr>
  </w:style>
  <w:style w:type="character" w:styleId="12">
    <w:name w:val="Strong"/>
    <w:basedOn w:val="11"/>
    <w:qFormat/>
    <w:uiPriority w:val="22"/>
    <w:rPr>
      <w:rFonts w:eastAsia="黑体"/>
      <w:bCs/>
    </w:rPr>
  </w:style>
  <w:style w:type="character" w:styleId="13">
    <w:name w:val="Hyperlink"/>
    <w:basedOn w:val="11"/>
    <w:unhideWhenUsed/>
    <w:qFormat/>
    <w:uiPriority w:val="99"/>
    <w:rPr>
      <w:color w:val="0000FF"/>
      <w:u w:val="single"/>
    </w:rPr>
  </w:style>
  <w:style w:type="paragraph" w:styleId="14">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
    <w:name w:val="目录标题"/>
    <w:basedOn w:val="2"/>
    <w:next w:val="1"/>
    <w:qFormat/>
    <w:uiPriority w:val="39"/>
    <w:pPr>
      <w:keepLines/>
      <w:widowControl/>
      <w:numPr>
        <w:ilvl w:val="0"/>
        <w:numId w:val="0"/>
      </w:numPr>
      <w:autoSpaceDE/>
      <w:autoSpaceDN/>
      <w:adjustRightInd/>
      <w:spacing w:before="240" w:beforeLines="0" w:line="259" w:lineRule="auto"/>
      <w:textAlignment w:val="auto"/>
      <w:outlineLvl w:val="9"/>
    </w:pPr>
    <w:rPr>
      <w:rFonts w:ascii="Calibri Light" w:hAnsi="Calibri Light"/>
      <w:b w:val="0"/>
      <w:color w:val="2E74B5"/>
      <w:sz w:val="32"/>
      <w:szCs w:val="32"/>
    </w:rPr>
  </w:style>
  <w:style w:type="paragraph" w:customStyle="1" w:styleId="16">
    <w:name w:val="彩色列表 - 强调文字颜色 11"/>
    <w:basedOn w:val="1"/>
    <w:qFormat/>
    <w:uiPriority w:val="34"/>
    <w:pPr>
      <w:ind w:firstLine="420" w:firstLineChars="200"/>
    </w:pPr>
    <w:rPr>
      <w:rFonts w:ascii="宋体" w:hAnsi="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235</Words>
  <Characters>262</Characters>
  <Lines>0</Lines>
  <Paragraphs>0</Paragraphs>
  <TotalTime>1</TotalTime>
  <ScaleCrop>false</ScaleCrop>
  <LinksUpToDate>false</LinksUpToDate>
  <CharactersWithSpaces>281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2021-03-29T02:48:00Z</dcterms:created>
  <dc:creator>xiaolong</dc:creator>
  <cp:lastModifiedBy>zsy</cp:lastModifiedBy>
  <dcterms:modified xsi:type="dcterms:W3CDTF">2025-07-16T04:08:44Z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commondata">
    <vt:lpwstr>eyJoZGlkIjoiZDE4MzIzMDU0MDQ4OWVlNDg3N2UxZDljZGUyMDNkMWIifQ==</vt:lpwstr>
  </property>
  <property fmtid="{D5CDD505-2E9C-101B-9397-08002B2CF9AE}" pid="4" name="ICV">
    <vt:lpwstr>6ABC441B942F43DBB424289A3CAAED97</vt:lpwstr>
  </property>
  <property fmtid="{D5CDD505-2E9C-101B-9397-08002B2CF9AE}" pid="5" name="KSOTemplateDocerSaveRecord">
    <vt:lpwstr>eyJoZGlkIjoiZWQzNzNhMzVmN2I3NTUwNjNhZTViZmIzNDhmNmY0OGMiLCJ1c2VySWQiOiI0NzgwOTA3ODYifQ==</vt:lpwstr>
  </property>
</Properties>
</file>