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1AFF7">
      <w:pPr>
        <w:pStyle w:val="4"/>
        <w:snapToGrid w:val="0"/>
        <w:spacing w:line="360" w:lineRule="auto"/>
        <w:jc w:val="center"/>
        <w:rPr>
          <w:rFonts w:hint="default" w:eastAsia="宋体" w:cs="宋体"/>
          <w:b/>
          <w:bCs/>
          <w:sz w:val="40"/>
          <w:szCs w:val="40"/>
          <w:lang w:val="en-US" w:eastAsia="zh-CN"/>
        </w:rPr>
      </w:pPr>
      <w:r>
        <w:rPr>
          <w:rFonts w:hint="eastAsia" w:cs="宋体"/>
          <w:b/>
          <w:bCs/>
          <w:sz w:val="40"/>
          <w:szCs w:val="40"/>
          <w:lang w:val="en-US" w:eastAsia="zh-CN"/>
        </w:rPr>
        <w:t>需求公示附件</w:t>
      </w:r>
    </w:p>
    <w:tbl>
      <w:tblPr>
        <w:tblStyle w:val="8"/>
        <w:tblW w:w="0" w:type="auto"/>
        <w:tblInd w:w="-1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527"/>
        <w:gridCol w:w="6803"/>
      </w:tblGrid>
      <w:tr w14:paraId="19B0ABB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527" w:type="dxa"/>
            <w:noWrap w:val="0"/>
            <w:vAlign w:val="center"/>
          </w:tcPr>
          <w:p w14:paraId="6C469FB0">
            <w:pPr>
              <w:pStyle w:val="4"/>
              <w:snapToGrid w:val="0"/>
              <w:spacing w:line="360" w:lineRule="auto"/>
              <w:jc w:val="center"/>
              <w:rPr>
                <w:rFonts w:hint="eastAsia" w:cs="宋体"/>
                <w:sz w:val="24"/>
                <w:szCs w:val="24"/>
              </w:rPr>
            </w:pPr>
            <w:r>
              <w:rPr>
                <w:rFonts w:hint="eastAsia" w:cs="宋体"/>
                <w:sz w:val="24"/>
                <w:szCs w:val="24"/>
              </w:rPr>
              <w:t>投标保证金</w:t>
            </w:r>
          </w:p>
        </w:tc>
        <w:tc>
          <w:tcPr>
            <w:tcW w:w="6803" w:type="dxa"/>
            <w:noWrap w:val="0"/>
            <w:vAlign w:val="center"/>
          </w:tcPr>
          <w:p w14:paraId="500B7557">
            <w:pPr>
              <w:pStyle w:val="4"/>
              <w:snapToGrid w:val="0"/>
              <w:spacing w:line="360" w:lineRule="auto"/>
              <w:ind w:left="240" w:hanging="240" w:hangingChars="100"/>
              <w:jc w:val="both"/>
              <w:rPr>
                <w:rFonts w:hint="eastAsia" w:cs="宋体"/>
                <w:sz w:val="24"/>
                <w:szCs w:val="24"/>
              </w:rPr>
            </w:pPr>
            <w:r>
              <w:rPr>
                <w:rFonts w:hint="eastAsia" w:cs="宋体"/>
                <w:sz w:val="24"/>
                <w:szCs w:val="24"/>
              </w:rPr>
              <w:t>（1）投标保证金形式：投标人可以使用下列形式之一提交投标保证金：</w:t>
            </w:r>
          </w:p>
          <w:p w14:paraId="1A55386F">
            <w:pPr>
              <w:pStyle w:val="4"/>
              <w:snapToGrid w:val="0"/>
              <w:spacing w:line="360" w:lineRule="auto"/>
              <w:ind w:left="-73" w:leftChars="-22" w:hanging="2"/>
              <w:jc w:val="both"/>
              <w:rPr>
                <w:rFonts w:hint="eastAsia" w:cs="宋体"/>
                <w:sz w:val="24"/>
                <w:szCs w:val="24"/>
              </w:rPr>
            </w:pPr>
            <w:r>
              <w:rPr>
                <w:rFonts w:hint="eastAsia" w:cs="宋体"/>
                <w:sz w:val="24"/>
                <w:szCs w:val="24"/>
              </w:rPr>
              <w:t>银行转账、保证保险、银行保函、合法担保机构出具的担保。</w:t>
            </w:r>
            <w:bookmarkStart w:id="28" w:name="_GoBack"/>
            <w:bookmarkEnd w:id="28"/>
          </w:p>
          <w:p w14:paraId="0625C375">
            <w:pPr>
              <w:pStyle w:val="4"/>
              <w:snapToGrid w:val="0"/>
              <w:spacing w:line="360" w:lineRule="auto"/>
              <w:ind w:hanging="2"/>
              <w:jc w:val="both"/>
              <w:rPr>
                <w:rFonts w:hint="eastAsia" w:cs="宋体"/>
                <w:sz w:val="24"/>
                <w:szCs w:val="24"/>
              </w:rPr>
            </w:pPr>
            <w:r>
              <w:rPr>
                <w:rFonts w:hint="eastAsia" w:cs="宋体"/>
                <w:sz w:val="24"/>
                <w:szCs w:val="24"/>
              </w:rPr>
              <w:t>（2）投标保证金以保函或担保等形式提交的：投标人可通过贵州省公共资源交易金融服务平台在线办理电子保函/担保/保险等凭证。</w:t>
            </w:r>
          </w:p>
          <w:p w14:paraId="7C61AAAB">
            <w:pPr>
              <w:pStyle w:val="4"/>
              <w:snapToGrid w:val="0"/>
              <w:spacing w:line="360" w:lineRule="auto"/>
              <w:ind w:left="63" w:leftChars="18" w:hanging="2"/>
              <w:jc w:val="both"/>
              <w:rPr>
                <w:rFonts w:hint="eastAsia" w:cs="宋体"/>
                <w:sz w:val="24"/>
                <w:szCs w:val="24"/>
              </w:rPr>
            </w:pPr>
            <w:r>
              <w:rPr>
                <w:rFonts w:hint="eastAsia" w:cs="宋体"/>
                <w:sz w:val="24"/>
                <w:szCs w:val="24"/>
              </w:rPr>
              <w:t>注：①其内容应载有招标人名称、投标单位名称、项目名称、保证金金额、有效期，且其有效期应不小于投标有效期；</w:t>
            </w:r>
          </w:p>
          <w:p w14:paraId="4405FD09">
            <w:pPr>
              <w:pStyle w:val="4"/>
              <w:snapToGrid w:val="0"/>
              <w:spacing w:line="360" w:lineRule="auto"/>
              <w:ind w:left="63" w:leftChars="18" w:hanging="2"/>
              <w:jc w:val="both"/>
              <w:rPr>
                <w:rFonts w:hint="eastAsia" w:cs="宋体"/>
                <w:sz w:val="24"/>
                <w:szCs w:val="24"/>
              </w:rPr>
            </w:pPr>
            <w:r>
              <w:rPr>
                <w:rFonts w:hint="eastAsia" w:cs="宋体"/>
                <w:sz w:val="24"/>
                <w:szCs w:val="24"/>
              </w:rPr>
              <w:t>②应在响应文件中提交投标保函/担保/保险等凭证复印件或扫描件加盖公章。</w:t>
            </w:r>
          </w:p>
          <w:p w14:paraId="56D7C212">
            <w:pPr>
              <w:pStyle w:val="4"/>
              <w:snapToGrid w:val="0"/>
              <w:spacing w:line="360" w:lineRule="auto"/>
              <w:ind w:left="240" w:hanging="240" w:hangingChars="100"/>
              <w:jc w:val="both"/>
              <w:rPr>
                <w:rFonts w:hint="eastAsia" w:cs="宋体"/>
                <w:sz w:val="24"/>
                <w:szCs w:val="24"/>
              </w:rPr>
            </w:pPr>
            <w:r>
              <w:rPr>
                <w:rFonts w:hint="eastAsia" w:cs="宋体"/>
                <w:sz w:val="24"/>
                <w:szCs w:val="24"/>
              </w:rPr>
              <w:t>投标保证金的金额：</w:t>
            </w:r>
            <w:r>
              <w:rPr>
                <w:rFonts w:hint="eastAsia" w:cs="宋体"/>
                <w:sz w:val="24"/>
                <w:szCs w:val="20"/>
                <w:u w:val="single"/>
                <w:lang w:val="en-US" w:eastAsia="zh-CN"/>
              </w:rPr>
              <w:t>5000</w:t>
            </w:r>
            <w:r>
              <w:rPr>
                <w:rFonts w:hint="eastAsia" w:cs="宋体"/>
                <w:sz w:val="24"/>
                <w:szCs w:val="20"/>
                <w:u w:val="single"/>
              </w:rPr>
              <w:t>元</w:t>
            </w:r>
          </w:p>
          <w:p w14:paraId="3D92359D">
            <w:pPr>
              <w:pStyle w:val="4"/>
              <w:snapToGrid w:val="0"/>
              <w:spacing w:line="360" w:lineRule="auto"/>
              <w:ind w:left="240" w:hanging="240" w:hangingChars="100"/>
              <w:jc w:val="both"/>
              <w:rPr>
                <w:rFonts w:hint="eastAsia" w:cs="宋体"/>
                <w:sz w:val="24"/>
                <w:szCs w:val="24"/>
              </w:rPr>
            </w:pPr>
            <w:r>
              <w:rPr>
                <w:rFonts w:hint="eastAsia" w:cs="宋体"/>
                <w:sz w:val="24"/>
                <w:szCs w:val="24"/>
              </w:rPr>
              <w:t>递交地点：贵州省公共资源交易中心</w:t>
            </w:r>
          </w:p>
          <w:p w14:paraId="2F59DE63">
            <w:pPr>
              <w:pStyle w:val="4"/>
              <w:snapToGrid w:val="0"/>
              <w:spacing w:line="360" w:lineRule="auto"/>
              <w:ind w:left="240" w:hanging="240" w:hangingChars="100"/>
              <w:jc w:val="both"/>
              <w:rPr>
                <w:rFonts w:hint="eastAsia" w:cs="宋体"/>
                <w:sz w:val="24"/>
                <w:szCs w:val="24"/>
              </w:rPr>
            </w:pPr>
            <w:r>
              <w:rPr>
                <w:rFonts w:hint="eastAsia" w:cs="宋体"/>
                <w:sz w:val="24"/>
                <w:szCs w:val="24"/>
              </w:rPr>
              <w:t>投标保证金递交截止时间：同投标截止时间</w:t>
            </w:r>
          </w:p>
          <w:p w14:paraId="46F90928">
            <w:pPr>
              <w:pStyle w:val="4"/>
              <w:snapToGrid w:val="0"/>
              <w:spacing w:line="360" w:lineRule="auto"/>
              <w:ind w:left="240" w:hanging="240" w:hangingChars="100"/>
              <w:jc w:val="both"/>
              <w:rPr>
                <w:rFonts w:hint="eastAsia" w:cs="宋体"/>
                <w:sz w:val="24"/>
                <w:szCs w:val="24"/>
              </w:rPr>
            </w:pPr>
            <w:r>
              <w:rPr>
                <w:rFonts w:hint="eastAsia" w:cs="宋体"/>
                <w:sz w:val="24"/>
                <w:szCs w:val="24"/>
              </w:rPr>
              <w:t>户 名：贵州省公共资源交易中心；</w:t>
            </w:r>
          </w:p>
          <w:p w14:paraId="1B11E29A">
            <w:pPr>
              <w:pStyle w:val="4"/>
              <w:snapToGrid w:val="0"/>
              <w:spacing w:line="360" w:lineRule="auto"/>
              <w:ind w:left="240" w:hanging="240" w:hangingChars="100"/>
              <w:jc w:val="both"/>
              <w:rPr>
                <w:rFonts w:hint="eastAsia" w:cs="宋体"/>
                <w:sz w:val="24"/>
                <w:szCs w:val="24"/>
              </w:rPr>
            </w:pPr>
            <w:r>
              <w:rPr>
                <w:rFonts w:hint="eastAsia" w:cs="宋体"/>
                <w:sz w:val="24"/>
                <w:szCs w:val="24"/>
              </w:rPr>
              <w:t>开户行：贵州银行股份有限公司贵阳展览馆支行；</w:t>
            </w:r>
          </w:p>
          <w:p w14:paraId="24F51426">
            <w:pPr>
              <w:pStyle w:val="4"/>
              <w:snapToGrid w:val="0"/>
              <w:spacing w:line="360" w:lineRule="auto"/>
              <w:ind w:left="240" w:hanging="240" w:hangingChars="100"/>
              <w:jc w:val="both"/>
              <w:rPr>
                <w:rFonts w:hint="eastAsia" w:cs="宋体"/>
                <w:sz w:val="24"/>
                <w:szCs w:val="24"/>
              </w:rPr>
            </w:pPr>
            <w:r>
              <w:rPr>
                <w:rFonts w:hint="eastAsia" w:cs="宋体"/>
                <w:sz w:val="24"/>
                <w:szCs w:val="24"/>
              </w:rPr>
              <w:t>账 号：0109001400000182-0002</w:t>
            </w:r>
          </w:p>
          <w:p w14:paraId="661AB687">
            <w:pPr>
              <w:pStyle w:val="4"/>
              <w:snapToGrid w:val="0"/>
              <w:spacing w:line="360" w:lineRule="auto"/>
              <w:ind w:hanging="2"/>
              <w:jc w:val="both"/>
              <w:rPr>
                <w:rFonts w:hint="eastAsia" w:cs="宋体"/>
                <w:sz w:val="24"/>
                <w:szCs w:val="24"/>
              </w:rPr>
            </w:pPr>
            <w:r>
              <w:rPr>
                <w:rFonts w:hint="eastAsia" w:cs="宋体"/>
                <w:sz w:val="24"/>
                <w:szCs w:val="24"/>
              </w:rPr>
              <w:t>投标保证金的缴纳与退还程序按全国公共资源交易平台（贵州省.省中心）的要求的程序执行。全国公共资源交易平台（贵州省.省中心）的网址为：</w:t>
            </w:r>
            <w:r>
              <w:rPr>
                <w:rFonts w:hint="eastAsia" w:cs="宋体"/>
                <w:sz w:val="24"/>
                <w:szCs w:val="24"/>
              </w:rPr>
              <w:fldChar w:fldCharType="begin"/>
            </w:r>
            <w:r>
              <w:rPr>
                <w:rFonts w:hint="eastAsia" w:cs="宋体"/>
                <w:sz w:val="24"/>
                <w:szCs w:val="24"/>
              </w:rPr>
              <w:instrText xml:space="preserve"> HYPERLINK "http://ggzy.guizhou.gov.cn。" </w:instrText>
            </w:r>
            <w:r>
              <w:rPr>
                <w:rFonts w:hint="eastAsia" w:cs="宋体"/>
                <w:sz w:val="24"/>
                <w:szCs w:val="24"/>
              </w:rPr>
              <w:fldChar w:fldCharType="separate"/>
            </w:r>
            <w:r>
              <w:rPr>
                <w:rStyle w:val="10"/>
                <w:rFonts w:hint="eastAsia" w:cs="宋体"/>
                <w:sz w:val="24"/>
                <w:szCs w:val="24"/>
              </w:rPr>
              <w:t>http://ggzy.guizhou.gov.cn。</w:t>
            </w:r>
            <w:r>
              <w:rPr>
                <w:rFonts w:hint="eastAsia" w:cs="宋体"/>
                <w:sz w:val="24"/>
                <w:szCs w:val="24"/>
              </w:rPr>
              <w:fldChar w:fldCharType="end"/>
            </w:r>
          </w:p>
          <w:p w14:paraId="27EE19FF">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 xml:space="preserve">（特别提示：贵州省公共资源交易系统 2020 试运行版以银行转账方式交纳的投标保证，须由投标人在投标截止时间前自行在系统内与参与投标项目进行绑定。未予绑定的，将视为未交纳投标保证金，不能参加投标） </w:t>
            </w:r>
          </w:p>
          <w:p w14:paraId="313112BC">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投标保证金以银行保函形式提交的，银行保函须由一家在中华人民共和国境内注册和营业的银行总行或其省、直辖市、市级分行出具，其有效期应当不小于投标有效期。银行保函内容应载有投标人名称、项目名称、保证金金额、保函有效期。</w:t>
            </w:r>
          </w:p>
          <w:p w14:paraId="7E8B885D">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 xml:space="preserve">银行保函能够通过互联网且无需任何授权即可在相应银行的官方网站验证真伪，并在保函上写明网址，否则视为未按规定提交投标保证金，资格审查不合格。 </w:t>
            </w:r>
          </w:p>
          <w:p w14:paraId="119CAEB0">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若投标保证金以银行保函形式提交的，应在投标文件中提交投标保证金银行保函复印件，开标时还须单独提交银行保函原件（单独提交的银行保函原件无须密封）。投标保证金以保证保险形式提交的，投标保证保险凭证须由一家在中华人民共和国境内注册和营业的保险机构出具，其有效期应当不小于投标有效期。保证保险保单能够通过互联网且无需任何授权即可在相应保险机构的官方网站验证真伪，并在保函上写明网址。通过贵州省公共资源交易金融服务平台开具的电子保证保险保单可直接在线验证真伪。</w:t>
            </w:r>
          </w:p>
          <w:p w14:paraId="1716865F">
            <w:pPr>
              <w:pStyle w:val="4"/>
              <w:snapToGrid w:val="0"/>
              <w:spacing w:line="360" w:lineRule="auto"/>
              <w:ind w:hanging="2"/>
              <w:jc w:val="both"/>
              <w:rPr>
                <w:rFonts w:hint="eastAsia" w:ascii="宋体" w:hAnsi="Times New Roman" w:eastAsia="宋体" w:cs="宋体"/>
                <w:sz w:val="24"/>
                <w:szCs w:val="24"/>
                <w:lang w:val="en-US" w:eastAsia="zh-CN"/>
              </w:rPr>
            </w:pPr>
            <w:r>
              <w:rPr>
                <w:rFonts w:hint="eastAsia" w:ascii="宋体" w:hAnsi="Times New Roman" w:eastAsia="宋体" w:cs="宋体"/>
                <w:sz w:val="24"/>
                <w:szCs w:val="24"/>
                <w:lang w:val="en-US" w:eastAsia="zh-CN"/>
              </w:rPr>
              <w:t>若投标保证金以保证保险形式提交的，应在投标文件中提交投标保证保险凭证复印件。</w:t>
            </w:r>
          </w:p>
          <w:p w14:paraId="2BEF8BA3">
            <w:pPr>
              <w:pStyle w:val="4"/>
              <w:snapToGrid w:val="0"/>
              <w:spacing w:line="360" w:lineRule="auto"/>
              <w:ind w:hanging="2"/>
              <w:jc w:val="both"/>
              <w:rPr>
                <w:rFonts w:hint="eastAsia" w:ascii="宋体" w:hAnsi="Times New Roman" w:eastAsia="宋体" w:cs="宋体"/>
                <w:sz w:val="24"/>
                <w:szCs w:val="24"/>
              </w:rPr>
            </w:pPr>
            <w:r>
              <w:rPr>
                <w:rFonts w:hint="eastAsia" w:ascii="宋体" w:hAnsi="Times New Roman" w:eastAsia="宋体" w:cs="宋体"/>
                <w:sz w:val="24"/>
                <w:szCs w:val="24"/>
                <w:lang w:val="en-US" w:eastAsia="zh-CN"/>
              </w:rPr>
              <w:t>递交及办理投标保证金截止时间为：详见招标文件。</w:t>
            </w:r>
          </w:p>
          <w:p w14:paraId="469B38F4">
            <w:pPr>
              <w:pStyle w:val="4"/>
              <w:snapToGrid w:val="0"/>
              <w:spacing w:line="360" w:lineRule="auto"/>
              <w:ind w:hanging="2"/>
              <w:jc w:val="both"/>
              <w:rPr>
                <w:rFonts w:hint="eastAsia"/>
              </w:rPr>
            </w:pPr>
            <w:r>
              <w:rPr>
                <w:rFonts w:hint="eastAsia" w:ascii="宋体" w:hAnsi="Times New Roman" w:eastAsia="宋体" w:cs="宋体"/>
                <w:sz w:val="24"/>
                <w:szCs w:val="24"/>
                <w:lang w:val="en-US" w:eastAsia="zh-CN"/>
              </w:rPr>
              <w:t>投标保证金以保函或担保等方式缴纳的：①投标人通过贵州省公共资源交易综合金融服务平台在线办理的电子保函：包含银行保函、保证保险、担保保函等（注：其内容应载有招标人名称、投标单位名称、项目名称、标段名称、保证金金额、有效期，且其有效期应不小于投标有效期），可直接在交易系统中确认，并将下载打印的电子保函按招标文件规定密封，在递交投标文件时一并提交给招标人，不再验证真伪；②对贵州省公共资源交易综合金融服务平台以外办理的投标保函（含纸质保函），原件应按招标文件的规定密封并在递交投标文件时一并提交给招标人，招标人在开标现场对其进行真伪验证，通过官网查询验证未通过的，视为未按规定缴纳投标保证金。</w:t>
            </w:r>
          </w:p>
        </w:tc>
      </w:tr>
      <w:tr w14:paraId="1B04A4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527" w:type="dxa"/>
            <w:noWrap w:val="0"/>
            <w:vAlign w:val="center"/>
          </w:tcPr>
          <w:p w14:paraId="156EE073">
            <w:pPr>
              <w:pStyle w:val="4"/>
              <w:snapToGrid w:val="0"/>
              <w:spacing w:line="360" w:lineRule="auto"/>
              <w:jc w:val="both"/>
              <w:rPr>
                <w:rFonts w:hint="eastAsia" w:cs="宋体"/>
                <w:sz w:val="24"/>
                <w:szCs w:val="24"/>
              </w:rPr>
            </w:pPr>
            <w:r>
              <w:rPr>
                <w:rFonts w:hint="eastAsia" w:cs="宋体"/>
                <w:sz w:val="24"/>
                <w:szCs w:val="24"/>
              </w:rPr>
              <w:t>投标报价</w:t>
            </w:r>
          </w:p>
        </w:tc>
        <w:tc>
          <w:tcPr>
            <w:tcW w:w="6803" w:type="dxa"/>
            <w:noWrap w:val="0"/>
            <w:vAlign w:val="center"/>
          </w:tcPr>
          <w:p w14:paraId="7E502E42">
            <w:pPr>
              <w:pStyle w:val="4"/>
              <w:snapToGrid w:val="0"/>
              <w:spacing w:line="360" w:lineRule="auto"/>
              <w:ind w:hanging="2"/>
              <w:jc w:val="both"/>
              <w:rPr>
                <w:rFonts w:hint="eastAsia" w:cs="宋体"/>
                <w:sz w:val="24"/>
                <w:szCs w:val="24"/>
                <w:lang w:val="en-US" w:eastAsia="zh-CN"/>
              </w:rPr>
            </w:pPr>
            <w:bookmarkStart w:id="0" w:name="OLE_LINK1"/>
            <w:r>
              <w:rPr>
                <w:rFonts w:hint="eastAsia" w:cs="宋体"/>
                <w:sz w:val="24"/>
                <w:szCs w:val="24"/>
                <w:lang w:val="en-US" w:eastAsia="zh-CN"/>
              </w:rPr>
              <w:t>投标报价（含税）包括：货物、施工、装修、检测费、验收费用、各种税费等直至达到使用要求和采购人付款条件所发生的一切费用。</w:t>
            </w:r>
          </w:p>
          <w:p w14:paraId="69A67D3A">
            <w:pPr>
              <w:pStyle w:val="4"/>
              <w:snapToGrid w:val="0"/>
              <w:spacing w:line="360" w:lineRule="auto"/>
              <w:ind w:hanging="2"/>
              <w:jc w:val="both"/>
              <w:rPr>
                <w:rFonts w:hint="eastAsia" w:cs="宋体"/>
                <w:sz w:val="24"/>
                <w:szCs w:val="24"/>
                <w:lang w:val="en-US" w:eastAsia="zh-CN"/>
              </w:rPr>
            </w:pPr>
            <w:r>
              <w:rPr>
                <w:rFonts w:hint="eastAsia" w:cs="宋体"/>
                <w:sz w:val="24"/>
                <w:szCs w:val="24"/>
                <w:lang w:val="en-US" w:eastAsia="zh-CN"/>
              </w:rPr>
              <w:t>（1）投标人应按采购人提供的工程量清单填报价格，没有填报的，采购人将认为该项目的价款已包括在工程量清单其他项目中。投标人在工程量清单（措施项目除外）中多报的项目发包人将不予接受，并将被视为重大偏差，按无效标处理。</w:t>
            </w:r>
          </w:p>
          <w:p w14:paraId="0E58EBDC">
            <w:pPr>
              <w:pStyle w:val="4"/>
              <w:snapToGrid w:val="0"/>
              <w:spacing w:line="360" w:lineRule="auto"/>
              <w:ind w:hanging="2"/>
              <w:jc w:val="both"/>
              <w:rPr>
                <w:rFonts w:hint="eastAsia" w:cs="宋体"/>
                <w:sz w:val="24"/>
                <w:szCs w:val="24"/>
                <w:lang w:val="en-US" w:eastAsia="zh-CN"/>
              </w:rPr>
            </w:pPr>
            <w:r>
              <w:rPr>
                <w:rFonts w:hint="eastAsia" w:cs="宋体"/>
                <w:sz w:val="24"/>
                <w:szCs w:val="24"/>
                <w:lang w:val="en-US" w:eastAsia="zh-CN"/>
              </w:rPr>
              <w:t xml:space="preserve">（2）投标人填写的项目编码、项目名称、项目特征、计量单位、工程量必须与采购人提供的一致，不一致的按无效标处理（明显文字错误，以及因工程量导入时致小数点后数字产生偏差的除外）。 </w:t>
            </w:r>
          </w:p>
          <w:p w14:paraId="2EE829A2">
            <w:pPr>
              <w:pStyle w:val="4"/>
              <w:snapToGrid w:val="0"/>
              <w:spacing w:line="360" w:lineRule="auto"/>
              <w:ind w:hanging="2"/>
              <w:jc w:val="both"/>
              <w:rPr>
                <w:rFonts w:hint="eastAsia" w:cs="宋体"/>
                <w:sz w:val="24"/>
                <w:szCs w:val="24"/>
              </w:rPr>
            </w:pPr>
            <w:r>
              <w:rPr>
                <w:rFonts w:hint="eastAsia" w:cs="宋体"/>
                <w:sz w:val="24"/>
                <w:szCs w:val="24"/>
                <w:lang w:val="en-US" w:eastAsia="zh-CN"/>
              </w:rPr>
              <w:t>（3）采购人在工程量清单中所列出的价格（包括暂列金额、暂估价等），投标人不得修改。否则，将被认定为无效标。</w:t>
            </w:r>
          </w:p>
          <w:p w14:paraId="6AF9C26F">
            <w:pPr>
              <w:pStyle w:val="4"/>
              <w:snapToGrid w:val="0"/>
              <w:spacing w:line="360" w:lineRule="auto"/>
              <w:ind w:hanging="2"/>
              <w:jc w:val="both"/>
              <w:rPr>
                <w:rFonts w:hint="eastAsia" w:cs="宋体"/>
                <w:sz w:val="24"/>
                <w:szCs w:val="24"/>
              </w:rPr>
            </w:pPr>
            <w:r>
              <w:rPr>
                <w:rFonts w:hint="eastAsia" w:cs="宋体"/>
                <w:sz w:val="24"/>
                <w:szCs w:val="24"/>
              </w:rPr>
              <w:t>（</w:t>
            </w:r>
            <w:r>
              <w:rPr>
                <w:rFonts w:hint="eastAsia" w:cs="宋体"/>
                <w:sz w:val="24"/>
                <w:szCs w:val="24"/>
                <w:lang w:val="en-US" w:eastAsia="zh-CN"/>
              </w:rPr>
              <w:t>4</w:t>
            </w:r>
            <w:r>
              <w:rPr>
                <w:rFonts w:hint="eastAsia" w:cs="宋体"/>
                <w:sz w:val="24"/>
                <w:szCs w:val="24"/>
              </w:rPr>
              <w:t>）投标货币：人民币报价。</w:t>
            </w:r>
            <w:bookmarkEnd w:id="0"/>
          </w:p>
        </w:tc>
      </w:tr>
      <w:tr w14:paraId="2C85AD1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575" w:hRule="atLeast"/>
        </w:trPr>
        <w:tc>
          <w:tcPr>
            <w:tcW w:w="1527" w:type="dxa"/>
            <w:tcBorders>
              <w:bottom w:val="double" w:color="auto" w:sz="4" w:space="0"/>
            </w:tcBorders>
            <w:noWrap w:val="0"/>
            <w:vAlign w:val="center"/>
          </w:tcPr>
          <w:p w14:paraId="0A779DEF">
            <w:pPr>
              <w:snapToGrid w:val="0"/>
              <w:spacing w:line="360" w:lineRule="auto"/>
              <w:jc w:val="both"/>
              <w:rPr>
                <w:sz w:val="24"/>
                <w:szCs w:val="24"/>
              </w:rPr>
            </w:pPr>
            <w:r>
              <w:rPr>
                <w:sz w:val="24"/>
                <w:szCs w:val="24"/>
              </w:rPr>
              <w:t>投标人要求澄清招标文件的截止时间</w:t>
            </w:r>
          </w:p>
        </w:tc>
        <w:tc>
          <w:tcPr>
            <w:tcW w:w="6803" w:type="dxa"/>
            <w:tcBorders>
              <w:bottom w:val="double" w:color="auto" w:sz="4" w:space="0"/>
            </w:tcBorders>
            <w:noWrap w:val="0"/>
            <w:vAlign w:val="center"/>
          </w:tcPr>
          <w:p w14:paraId="27CF7AA7">
            <w:pPr>
              <w:numPr>
                <w:ilvl w:val="0"/>
                <w:numId w:val="0"/>
              </w:numPr>
              <w:snapToGrid w:val="0"/>
              <w:spacing w:line="360" w:lineRule="auto"/>
              <w:ind w:right="113" w:rightChars="0"/>
              <w:jc w:val="both"/>
              <w:rPr>
                <w:rFonts w:hint="eastAsia" w:hAnsi="Times New Roman" w:eastAsia="宋体" w:cs="Times New Roman"/>
                <w:sz w:val="24"/>
                <w:szCs w:val="24"/>
              </w:rPr>
            </w:pPr>
            <w:r>
              <w:rPr>
                <w:rFonts w:hint="eastAsia" w:hAnsi="Times New Roman" w:eastAsia="宋体" w:cs="Times New Roman"/>
                <w:sz w:val="24"/>
                <w:szCs w:val="24"/>
                <w:lang w:val="en-US" w:eastAsia="zh-CN"/>
              </w:rPr>
              <w:t>1.</w:t>
            </w:r>
            <w:r>
              <w:rPr>
                <w:rFonts w:hint="eastAsia" w:hAnsi="Times New Roman" w:eastAsia="宋体" w:cs="Times New Roman"/>
                <w:sz w:val="24"/>
                <w:szCs w:val="24"/>
              </w:rPr>
              <w:t>递交响应文件截止之日5天前</w:t>
            </w:r>
          </w:p>
          <w:p w14:paraId="52CC9FA3">
            <w:pPr>
              <w:numPr>
                <w:ilvl w:val="0"/>
                <w:numId w:val="0"/>
              </w:numPr>
              <w:snapToGrid w:val="0"/>
              <w:spacing w:line="360" w:lineRule="auto"/>
              <w:ind w:right="113" w:rightChars="0"/>
              <w:jc w:val="both"/>
              <w:rPr>
                <w:rFonts w:hint="eastAsia"/>
                <w:sz w:val="24"/>
                <w:szCs w:val="24"/>
              </w:rPr>
            </w:pPr>
            <w:r>
              <w:rPr>
                <w:rFonts w:hint="eastAsia" w:hAnsi="Times New Roman" w:eastAsia="宋体" w:cs="Times New Roman"/>
                <w:sz w:val="24"/>
                <w:szCs w:val="24"/>
                <w:lang w:val="en-US" w:eastAsia="zh-CN"/>
              </w:rPr>
              <w:t>2.投标人有义务自行在贵州省公共资源交易中心网站（</w:t>
            </w:r>
            <w:r>
              <w:rPr>
                <w:rFonts w:hint="default" w:hAnsi="Times New Roman" w:eastAsia="宋体" w:cs="Times New Roman"/>
                <w:sz w:val="24"/>
                <w:szCs w:val="24"/>
                <w:lang w:val="en-US" w:eastAsia="zh-CN"/>
              </w:rPr>
              <w:t>http://www.ggzy.guizhou.gov.cn</w:t>
            </w:r>
            <w:r>
              <w:rPr>
                <w:rFonts w:hint="eastAsia" w:hAnsi="Times New Roman" w:eastAsia="宋体" w:cs="Times New Roman"/>
                <w:sz w:val="24"/>
                <w:szCs w:val="24"/>
                <w:lang w:val="en-US" w:eastAsia="zh-CN"/>
              </w:rPr>
              <w:t>）下载，无需要书面确认。</w:t>
            </w:r>
          </w:p>
        </w:tc>
      </w:tr>
      <w:tr w14:paraId="719767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48FECC9E">
            <w:pPr>
              <w:snapToGrid w:val="0"/>
              <w:spacing w:line="360" w:lineRule="auto"/>
              <w:jc w:val="both"/>
              <w:rPr>
                <w:sz w:val="24"/>
                <w:szCs w:val="24"/>
              </w:rPr>
            </w:pPr>
            <w:r>
              <w:rPr>
                <w:sz w:val="24"/>
                <w:szCs w:val="24"/>
              </w:rPr>
              <w:t>投标有效期</w:t>
            </w:r>
          </w:p>
        </w:tc>
        <w:tc>
          <w:tcPr>
            <w:tcW w:w="6803" w:type="dxa"/>
            <w:tcBorders>
              <w:bottom w:val="double" w:color="auto" w:sz="4" w:space="0"/>
            </w:tcBorders>
            <w:noWrap w:val="0"/>
            <w:vAlign w:val="center"/>
          </w:tcPr>
          <w:p w14:paraId="5F2FACD5">
            <w:pPr>
              <w:snapToGrid w:val="0"/>
              <w:spacing w:line="360" w:lineRule="auto"/>
              <w:ind w:right="113"/>
              <w:jc w:val="both"/>
              <w:rPr>
                <w:sz w:val="24"/>
                <w:szCs w:val="24"/>
              </w:rPr>
            </w:pPr>
            <w:r>
              <w:rPr>
                <w:rFonts w:hint="eastAsia"/>
                <w:sz w:val="24"/>
                <w:szCs w:val="24"/>
              </w:rPr>
              <w:t>自投标人提交响应文件截止之日起计算</w:t>
            </w:r>
            <w:r>
              <w:rPr>
                <w:rFonts w:hint="eastAsia"/>
                <w:sz w:val="24"/>
                <w:szCs w:val="24"/>
                <w:u w:val="single"/>
              </w:rPr>
              <w:t>90</w:t>
            </w:r>
            <w:r>
              <w:rPr>
                <w:rFonts w:hint="eastAsia"/>
                <w:sz w:val="24"/>
                <w:szCs w:val="24"/>
              </w:rPr>
              <w:t>日历天</w:t>
            </w:r>
          </w:p>
        </w:tc>
      </w:tr>
      <w:tr w14:paraId="3F6C1B2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77E51FE6">
            <w:pPr>
              <w:snapToGrid w:val="0"/>
              <w:spacing w:line="360" w:lineRule="auto"/>
              <w:jc w:val="both"/>
              <w:rPr>
                <w:sz w:val="24"/>
                <w:szCs w:val="24"/>
              </w:rPr>
            </w:pPr>
            <w:r>
              <w:rPr>
                <w:rFonts w:hint="eastAsia"/>
                <w:sz w:val="24"/>
                <w:szCs w:val="24"/>
              </w:rPr>
              <w:t>响应文件份数</w:t>
            </w:r>
          </w:p>
        </w:tc>
        <w:tc>
          <w:tcPr>
            <w:tcW w:w="6803" w:type="dxa"/>
            <w:tcBorders>
              <w:bottom w:val="double" w:color="auto" w:sz="4" w:space="0"/>
            </w:tcBorders>
            <w:noWrap w:val="0"/>
            <w:vAlign w:val="center"/>
          </w:tcPr>
          <w:p w14:paraId="5362ED6D">
            <w:pPr>
              <w:snapToGrid w:val="0"/>
              <w:spacing w:line="360" w:lineRule="auto"/>
              <w:ind w:right="113"/>
              <w:jc w:val="both"/>
              <w:rPr>
                <w:sz w:val="24"/>
                <w:szCs w:val="24"/>
              </w:rPr>
            </w:pPr>
            <w:r>
              <w:rPr>
                <w:rFonts w:hint="eastAsia"/>
                <w:sz w:val="24"/>
                <w:szCs w:val="24"/>
              </w:rPr>
              <w:t>本项目采用电子评标，中标供应商于中标后提交 2 份纸质文件至采购人（不分正副本）。</w:t>
            </w:r>
          </w:p>
        </w:tc>
      </w:tr>
      <w:tr w14:paraId="48DE411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0F5A3BE6">
            <w:pPr>
              <w:snapToGrid w:val="0"/>
              <w:spacing w:line="360" w:lineRule="auto"/>
              <w:jc w:val="both"/>
              <w:rPr>
                <w:sz w:val="24"/>
                <w:szCs w:val="24"/>
              </w:rPr>
            </w:pPr>
            <w:r>
              <w:rPr>
                <w:rFonts w:hint="eastAsia"/>
                <w:sz w:val="24"/>
                <w:szCs w:val="24"/>
              </w:rPr>
              <w:t>递交响应文件地点</w:t>
            </w:r>
          </w:p>
        </w:tc>
        <w:tc>
          <w:tcPr>
            <w:tcW w:w="6803" w:type="dxa"/>
            <w:tcBorders>
              <w:bottom w:val="double" w:color="auto" w:sz="4" w:space="0"/>
            </w:tcBorders>
            <w:noWrap w:val="0"/>
            <w:vAlign w:val="center"/>
          </w:tcPr>
          <w:p w14:paraId="43937E61">
            <w:pPr>
              <w:widowControl/>
              <w:rPr>
                <w:rFonts w:hint="eastAsia"/>
                <w:sz w:val="24"/>
                <w:szCs w:val="24"/>
              </w:rPr>
            </w:pPr>
            <w:r>
              <w:rPr>
                <w:rFonts w:hint="eastAsia"/>
                <w:sz w:val="24"/>
                <w:szCs w:val="24"/>
              </w:rPr>
              <w:t>本项目为电子招标，投标供应商须在递交投标文件截止时间前完整的将加密电子投标文件（.GPT 格式）上传到全国公共资源交易平台（贵州省）（网址: ggzy.guizhou.gov.cn），投标截止时间前未完成投标文件传输的，视为撤回投标文件。投标截止时间后，贵州省公共资源交易平台不再接收投标文件。</w:t>
            </w:r>
          </w:p>
          <w:p w14:paraId="7E8D4F29">
            <w:pPr>
              <w:widowControl/>
              <w:rPr>
                <w:rFonts w:hint="eastAsia"/>
                <w:sz w:val="24"/>
                <w:szCs w:val="24"/>
              </w:rPr>
            </w:pPr>
            <w:r>
              <w:rPr>
                <w:rFonts w:hint="eastAsia"/>
                <w:sz w:val="24"/>
                <w:szCs w:val="24"/>
              </w:rPr>
              <w:t>投标响应文件的补充、修改和撤回</w:t>
            </w:r>
          </w:p>
          <w:p w14:paraId="6DD0F42F">
            <w:pPr>
              <w:widowControl/>
              <w:rPr>
                <w:rFonts w:hint="eastAsia"/>
                <w:sz w:val="24"/>
                <w:szCs w:val="24"/>
              </w:rPr>
            </w:pPr>
            <w:r>
              <w:rPr>
                <w:rFonts w:hint="eastAsia"/>
                <w:sz w:val="24"/>
                <w:szCs w:val="24"/>
              </w:rPr>
              <w:t>（1）投标供应商在提交投标响应文件后，在投标截止时间前可对其投标文件进行补充、修改或撤回。</w:t>
            </w:r>
          </w:p>
          <w:p w14:paraId="13534C4C">
            <w:pPr>
              <w:widowControl/>
              <w:rPr>
                <w:rFonts w:hint="eastAsia"/>
                <w:sz w:val="24"/>
                <w:szCs w:val="24"/>
              </w:rPr>
            </w:pPr>
            <w:r>
              <w:rPr>
                <w:rFonts w:hint="eastAsia"/>
                <w:sz w:val="24"/>
                <w:szCs w:val="24"/>
              </w:rPr>
              <w:t>（2）投标文件撤回必须在投标截止时间前以贵州省公共资源交易中心平台规定为准。</w:t>
            </w:r>
          </w:p>
          <w:p w14:paraId="57A30240">
            <w:pPr>
              <w:widowControl/>
              <w:rPr>
                <w:rFonts w:hint="eastAsia"/>
                <w:sz w:val="24"/>
                <w:szCs w:val="24"/>
              </w:rPr>
            </w:pPr>
            <w:r>
              <w:rPr>
                <w:rFonts w:hint="eastAsia"/>
                <w:sz w:val="24"/>
                <w:szCs w:val="24"/>
              </w:rPr>
              <w:t>（3）投标截止时间以后不得补充、修改或撤回投标文件。</w:t>
            </w:r>
          </w:p>
        </w:tc>
      </w:tr>
      <w:tr w14:paraId="375689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35" w:hRule="atLeast"/>
        </w:trPr>
        <w:tc>
          <w:tcPr>
            <w:tcW w:w="1527" w:type="dxa"/>
            <w:tcBorders>
              <w:bottom w:val="double" w:color="auto" w:sz="4" w:space="0"/>
            </w:tcBorders>
            <w:noWrap w:val="0"/>
            <w:vAlign w:val="center"/>
          </w:tcPr>
          <w:p w14:paraId="031E1C53">
            <w:pPr>
              <w:widowControl/>
              <w:rPr>
                <w:rFonts w:hint="eastAsia" w:hAnsi="宋体" w:cs="宋体"/>
                <w:sz w:val="24"/>
                <w:szCs w:val="24"/>
                <w:lang w:bidi="ar"/>
              </w:rPr>
            </w:pPr>
            <w:r>
              <w:rPr>
                <w:rFonts w:hint="eastAsia" w:hAnsi="宋体" w:cs="宋体"/>
                <w:sz w:val="24"/>
                <w:szCs w:val="24"/>
                <w:lang w:bidi="ar"/>
              </w:rPr>
              <w:t>投标截止时间</w:t>
            </w:r>
          </w:p>
        </w:tc>
        <w:tc>
          <w:tcPr>
            <w:tcW w:w="6803" w:type="dxa"/>
            <w:tcBorders>
              <w:bottom w:val="double" w:color="auto" w:sz="4" w:space="0"/>
            </w:tcBorders>
            <w:noWrap w:val="0"/>
            <w:vAlign w:val="center"/>
          </w:tcPr>
          <w:p w14:paraId="71665078">
            <w:pPr>
              <w:widowControl/>
              <w:rPr>
                <w:rFonts w:hint="eastAsia" w:hAnsi="宋体" w:cs="宋体"/>
                <w:sz w:val="24"/>
                <w:szCs w:val="24"/>
                <w:lang w:bidi="ar"/>
              </w:rPr>
            </w:pPr>
            <w:r>
              <w:rPr>
                <w:rFonts w:hint="eastAsia" w:hAnsi="宋体" w:cs="宋体"/>
                <w:sz w:val="24"/>
                <w:szCs w:val="24"/>
                <w:lang w:bidi="ar"/>
              </w:rPr>
              <w:t>同公告载明时间为准（如有更正，以更正公告为准）</w:t>
            </w:r>
          </w:p>
        </w:tc>
      </w:tr>
      <w:tr w14:paraId="3738FD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45578E98">
            <w:pPr>
              <w:snapToGrid w:val="0"/>
              <w:spacing w:line="360" w:lineRule="auto"/>
              <w:jc w:val="both"/>
              <w:rPr>
                <w:rFonts w:hint="eastAsia"/>
                <w:sz w:val="24"/>
                <w:szCs w:val="24"/>
              </w:rPr>
            </w:pPr>
            <w:r>
              <w:rPr>
                <w:rFonts w:hint="eastAsia"/>
                <w:sz w:val="24"/>
                <w:szCs w:val="24"/>
              </w:rPr>
              <w:t>是否退还响应文件</w:t>
            </w:r>
          </w:p>
        </w:tc>
        <w:tc>
          <w:tcPr>
            <w:tcW w:w="6803" w:type="dxa"/>
            <w:tcBorders>
              <w:bottom w:val="double" w:color="auto" w:sz="4" w:space="0"/>
            </w:tcBorders>
            <w:noWrap w:val="0"/>
            <w:vAlign w:val="center"/>
          </w:tcPr>
          <w:p w14:paraId="2DCB9794">
            <w:pPr>
              <w:snapToGrid w:val="0"/>
              <w:spacing w:line="360" w:lineRule="auto"/>
              <w:ind w:right="113"/>
              <w:jc w:val="both"/>
              <w:rPr>
                <w:sz w:val="24"/>
                <w:szCs w:val="24"/>
              </w:rPr>
            </w:pPr>
            <w:r>
              <w:rPr>
                <w:rFonts w:hint="eastAsia"/>
                <w:sz w:val="24"/>
                <w:szCs w:val="24"/>
              </w:rPr>
              <w:t>否</w:t>
            </w:r>
          </w:p>
        </w:tc>
      </w:tr>
      <w:tr w14:paraId="32BBC46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646" w:hRule="atLeast"/>
        </w:trPr>
        <w:tc>
          <w:tcPr>
            <w:tcW w:w="1527" w:type="dxa"/>
            <w:tcBorders>
              <w:bottom w:val="double" w:color="auto" w:sz="4" w:space="0"/>
            </w:tcBorders>
            <w:noWrap w:val="0"/>
            <w:vAlign w:val="center"/>
          </w:tcPr>
          <w:p w14:paraId="3DBF0F8C">
            <w:pPr>
              <w:snapToGrid w:val="0"/>
              <w:spacing w:line="360" w:lineRule="auto"/>
              <w:jc w:val="both"/>
              <w:rPr>
                <w:sz w:val="24"/>
                <w:szCs w:val="24"/>
              </w:rPr>
            </w:pPr>
            <w:r>
              <w:rPr>
                <w:rFonts w:hint="eastAsia"/>
                <w:sz w:val="24"/>
                <w:szCs w:val="24"/>
              </w:rPr>
              <w:t>开标时间</w:t>
            </w:r>
          </w:p>
        </w:tc>
        <w:tc>
          <w:tcPr>
            <w:tcW w:w="6803" w:type="dxa"/>
            <w:tcBorders>
              <w:bottom w:val="double" w:color="auto" w:sz="4" w:space="0"/>
            </w:tcBorders>
            <w:noWrap w:val="0"/>
            <w:vAlign w:val="center"/>
          </w:tcPr>
          <w:p w14:paraId="6407D2B3">
            <w:pPr>
              <w:snapToGrid w:val="0"/>
              <w:spacing w:line="360" w:lineRule="auto"/>
              <w:ind w:right="113"/>
              <w:jc w:val="both"/>
              <w:rPr>
                <w:sz w:val="24"/>
                <w:szCs w:val="24"/>
              </w:rPr>
            </w:pPr>
            <w:r>
              <w:rPr>
                <w:rFonts w:hint="eastAsia"/>
                <w:sz w:val="24"/>
                <w:szCs w:val="24"/>
              </w:rPr>
              <w:t>开标时间：同</w:t>
            </w:r>
            <w:r>
              <w:rPr>
                <w:sz w:val="24"/>
                <w:szCs w:val="24"/>
              </w:rPr>
              <w:t>投标</w:t>
            </w:r>
            <w:r>
              <w:rPr>
                <w:rFonts w:hint="eastAsia"/>
                <w:sz w:val="24"/>
                <w:szCs w:val="24"/>
              </w:rPr>
              <w:t>截止</w:t>
            </w:r>
            <w:r>
              <w:rPr>
                <w:sz w:val="24"/>
                <w:szCs w:val="24"/>
              </w:rPr>
              <w:t>时间</w:t>
            </w:r>
          </w:p>
        </w:tc>
      </w:tr>
      <w:tr w14:paraId="0E61418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6" w:hRule="atLeast"/>
        </w:trPr>
        <w:tc>
          <w:tcPr>
            <w:tcW w:w="1527" w:type="dxa"/>
            <w:noWrap w:val="0"/>
            <w:vAlign w:val="center"/>
          </w:tcPr>
          <w:p w14:paraId="1FE26C9F">
            <w:pPr>
              <w:pStyle w:val="4"/>
              <w:snapToGrid w:val="0"/>
              <w:spacing w:line="360" w:lineRule="auto"/>
              <w:jc w:val="both"/>
              <w:rPr>
                <w:rFonts w:hint="eastAsia" w:cs="宋体"/>
                <w:sz w:val="24"/>
                <w:szCs w:val="24"/>
              </w:rPr>
            </w:pPr>
            <w:r>
              <w:rPr>
                <w:rFonts w:hint="eastAsia" w:cs="宋体"/>
                <w:sz w:val="24"/>
                <w:szCs w:val="24"/>
              </w:rPr>
              <w:t>备     注</w:t>
            </w:r>
          </w:p>
        </w:tc>
        <w:tc>
          <w:tcPr>
            <w:tcW w:w="6803" w:type="dxa"/>
            <w:noWrap w:val="0"/>
            <w:vAlign w:val="center"/>
          </w:tcPr>
          <w:p w14:paraId="743B0E48">
            <w:pPr>
              <w:pStyle w:val="11"/>
              <w:keepNext w:val="0"/>
              <w:keepLines w:val="0"/>
              <w:pageBreakBefore w:val="0"/>
              <w:kinsoku/>
              <w:wordWrap/>
              <w:overflowPunct/>
              <w:topLinePunct w:val="0"/>
              <w:bidi w:val="0"/>
              <w:snapToGrid w:val="0"/>
              <w:spacing w:line="440" w:lineRule="exact"/>
              <w:textAlignment w:val="auto"/>
              <w:rPr>
                <w:rFonts w:hint="eastAsia" w:ascii="宋体" w:hAnsi="宋体" w:eastAsia="宋体" w:cs="宋体"/>
                <w:color w:val="auto"/>
                <w:kern w:val="2"/>
                <w:sz w:val="24"/>
                <w:szCs w:val="24"/>
                <w:highlight w:val="none"/>
              </w:rPr>
            </w:pPr>
            <w:r>
              <w:rPr>
                <w:rFonts w:hint="eastAsia" w:cs="宋体"/>
                <w:sz w:val="24"/>
                <w:szCs w:val="24"/>
                <w:lang w:val="en-US" w:eastAsia="zh-CN"/>
              </w:rPr>
              <w:t>1、</w:t>
            </w:r>
            <w:r>
              <w:rPr>
                <w:rFonts w:hint="eastAsia" w:ascii="宋体" w:hAnsi="宋体" w:eastAsia="宋体" w:cs="宋体"/>
                <w:color w:val="auto"/>
                <w:kern w:val="2"/>
                <w:sz w:val="24"/>
                <w:szCs w:val="24"/>
                <w:highlight w:val="none"/>
              </w:rPr>
              <w:t>（1）本项目采购标的对应的中小企业划分标准所属行业为</w:t>
            </w:r>
            <w:r>
              <w:rPr>
                <w:rFonts w:hint="eastAsia" w:ascii="宋体" w:hAnsi="宋体" w:eastAsia="宋体" w:cs="宋体"/>
                <w:color w:val="auto"/>
                <w:kern w:val="2"/>
                <w:sz w:val="24"/>
                <w:szCs w:val="24"/>
                <w:highlight w:val="none"/>
                <w:u w:val="single"/>
                <w:lang w:val="en-US" w:eastAsia="zh-CN"/>
              </w:rPr>
              <w:t xml:space="preserve"> 建筑业</w:t>
            </w:r>
            <w:r>
              <w:rPr>
                <w:rFonts w:hint="eastAsia" w:ascii="宋体" w:hAnsi="宋体" w:eastAsia="宋体" w:cs="宋体"/>
                <w:color w:val="auto"/>
                <w:kern w:val="2"/>
                <w:sz w:val="24"/>
                <w:szCs w:val="24"/>
                <w:highlight w:val="none"/>
                <w:u w:val="single"/>
              </w:rPr>
              <w:t>（按工信部的300号文进行划分）。</w:t>
            </w:r>
          </w:p>
          <w:p w14:paraId="5C7D41E1">
            <w:pPr>
              <w:pStyle w:val="4"/>
              <w:snapToGrid w:val="0"/>
              <w:spacing w:line="360" w:lineRule="auto"/>
              <w:jc w:val="both"/>
              <w:rPr>
                <w:rFonts w:hint="eastAsia" w:cs="宋体"/>
                <w:sz w:val="24"/>
                <w:szCs w:val="24"/>
                <w:lang w:val="en-US" w:eastAsia="zh-CN"/>
              </w:rPr>
            </w:pPr>
            <w:r>
              <w:rPr>
                <w:rFonts w:hint="eastAsia" w:ascii="宋体" w:hAnsi="宋体" w:eastAsia="宋体" w:cs="宋体"/>
                <w:color w:val="auto"/>
                <w:sz w:val="24"/>
                <w:szCs w:val="24"/>
                <w:highlight w:val="none"/>
              </w:rPr>
              <w:t>（2）属于小微企业（按“中小企业划分标准所属行业”）、残疾人福利性企业、监狱企业产品的，须按本项目采购文件要求的格式模板提交《中小企业声明函》《残疾人福利性单位声明函》或省级以上监狱管理局、戒毒管理局（含新疆生产建设兵团）出具的证明其属于监狱企业的文件。</w:t>
            </w:r>
          </w:p>
          <w:p w14:paraId="1E515672">
            <w:pPr>
              <w:pStyle w:val="4"/>
              <w:snapToGrid w:val="0"/>
              <w:spacing w:line="360" w:lineRule="auto"/>
              <w:jc w:val="both"/>
              <w:rPr>
                <w:rFonts w:hint="eastAsia" w:cs="宋体"/>
                <w:sz w:val="24"/>
                <w:szCs w:val="24"/>
              </w:rPr>
            </w:pPr>
            <w:r>
              <w:rPr>
                <w:rFonts w:hint="eastAsia" w:cs="宋体"/>
                <w:sz w:val="24"/>
                <w:szCs w:val="24"/>
                <w:lang w:val="en-US" w:eastAsia="zh-CN"/>
              </w:rPr>
              <w:t>2、</w:t>
            </w:r>
            <w:r>
              <w:rPr>
                <w:rFonts w:hint="eastAsia" w:cs="宋体"/>
                <w:sz w:val="24"/>
                <w:szCs w:val="24"/>
              </w:rPr>
              <w:t>如响应文件中有英文或其它语种时，请翻译成简体中文。</w:t>
            </w:r>
          </w:p>
        </w:tc>
      </w:tr>
      <w:tr w14:paraId="4ACB56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7" w:hRule="atLeast"/>
        </w:trPr>
        <w:tc>
          <w:tcPr>
            <w:tcW w:w="1527" w:type="dxa"/>
            <w:noWrap w:val="0"/>
            <w:vAlign w:val="center"/>
          </w:tcPr>
          <w:p w14:paraId="0E15D2D9">
            <w:pPr>
              <w:pStyle w:val="4"/>
              <w:snapToGrid w:val="0"/>
              <w:spacing w:line="360" w:lineRule="auto"/>
              <w:jc w:val="both"/>
              <w:rPr>
                <w:rFonts w:hint="eastAsia" w:cs="宋体"/>
                <w:sz w:val="24"/>
                <w:szCs w:val="24"/>
              </w:rPr>
            </w:pPr>
            <w:r>
              <w:rPr>
                <w:rFonts w:hint="eastAsia" w:cs="宋体"/>
                <w:sz w:val="24"/>
                <w:szCs w:val="24"/>
              </w:rPr>
              <w:t>代理服务费</w:t>
            </w:r>
          </w:p>
        </w:tc>
        <w:tc>
          <w:tcPr>
            <w:tcW w:w="6803" w:type="dxa"/>
            <w:noWrap w:val="0"/>
            <w:vAlign w:val="center"/>
          </w:tcPr>
          <w:p w14:paraId="371E4191">
            <w:pPr>
              <w:snapToGrid w:val="0"/>
              <w:spacing w:line="360" w:lineRule="auto"/>
              <w:jc w:val="both"/>
              <w:rPr>
                <w:rFonts w:hint="eastAsia" w:cs="宋体"/>
                <w:sz w:val="24"/>
                <w:szCs w:val="24"/>
                <w:lang w:eastAsia="zh-CN"/>
              </w:rPr>
            </w:pPr>
            <w:r>
              <w:rPr>
                <w:rFonts w:hint="eastAsia" w:cs="宋体"/>
                <w:sz w:val="24"/>
                <w:szCs w:val="24"/>
                <w:lang w:eastAsia="zh-CN"/>
              </w:rPr>
              <w:t>招标代理服务费：本项目招标代理服务费由中标人支付，《贵州省关于降低部分建设项目收费标准规范收费行为等有关问题的通知》黔价房[2011]69号文规定的收费标准下浮25%向中标供应商收取代理服务费。</w:t>
            </w:r>
          </w:p>
          <w:p w14:paraId="3A0F4BD7">
            <w:pPr>
              <w:snapToGrid w:val="0"/>
              <w:spacing w:line="360" w:lineRule="auto"/>
              <w:jc w:val="both"/>
              <w:rPr>
                <w:rFonts w:hint="eastAsia" w:cs="宋体"/>
                <w:sz w:val="24"/>
                <w:szCs w:val="24"/>
                <w:lang w:eastAsia="zh-CN"/>
              </w:rPr>
            </w:pPr>
            <w:r>
              <w:rPr>
                <w:rFonts w:hint="eastAsia" w:cs="宋体"/>
                <w:sz w:val="24"/>
                <w:szCs w:val="24"/>
                <w:lang w:eastAsia="zh-CN"/>
              </w:rPr>
              <w:t>结 算 帐 户</w:t>
            </w:r>
          </w:p>
          <w:p w14:paraId="5BA11E91">
            <w:pPr>
              <w:snapToGrid w:val="0"/>
              <w:spacing w:line="360" w:lineRule="auto"/>
              <w:jc w:val="both"/>
              <w:rPr>
                <w:rFonts w:hint="eastAsia" w:cs="宋体"/>
                <w:sz w:val="24"/>
                <w:szCs w:val="24"/>
                <w:lang w:val="en-US" w:eastAsia="zh-CN"/>
              </w:rPr>
            </w:pPr>
            <w:r>
              <w:rPr>
                <w:rFonts w:hint="eastAsia" w:cs="宋体"/>
                <w:sz w:val="24"/>
                <w:szCs w:val="24"/>
                <w:lang w:val="en-US" w:eastAsia="zh-CN"/>
              </w:rPr>
              <w:t xml:space="preserve">开户名称：贵州业盛工程项目管理有限公司  </w:t>
            </w:r>
          </w:p>
          <w:p w14:paraId="51882CA2">
            <w:pPr>
              <w:snapToGrid w:val="0"/>
              <w:spacing w:line="360" w:lineRule="auto"/>
              <w:jc w:val="both"/>
              <w:rPr>
                <w:rFonts w:hint="eastAsia" w:cs="宋体"/>
                <w:sz w:val="24"/>
                <w:szCs w:val="24"/>
                <w:lang w:val="en-US" w:eastAsia="zh-CN"/>
              </w:rPr>
            </w:pPr>
            <w:r>
              <w:rPr>
                <w:rFonts w:hint="eastAsia" w:cs="宋体"/>
                <w:sz w:val="24"/>
                <w:szCs w:val="24"/>
                <w:lang w:val="en-US" w:eastAsia="zh-CN"/>
              </w:rPr>
              <w:t>开户银行：贵阳银行股份有限公司瑞金支行</w:t>
            </w:r>
          </w:p>
          <w:p w14:paraId="0747F633">
            <w:pPr>
              <w:snapToGrid w:val="0"/>
              <w:spacing w:line="360" w:lineRule="auto"/>
              <w:jc w:val="both"/>
              <w:rPr>
                <w:rFonts w:hint="eastAsia" w:cs="宋体"/>
                <w:sz w:val="24"/>
                <w:szCs w:val="24"/>
              </w:rPr>
            </w:pPr>
            <w:r>
              <w:rPr>
                <w:rFonts w:hint="eastAsia" w:cs="宋体"/>
                <w:sz w:val="24"/>
                <w:szCs w:val="24"/>
                <w:lang w:val="en-US" w:eastAsia="zh-CN"/>
              </w:rPr>
              <w:t xml:space="preserve">银行账号：10260120030000179 </w:t>
            </w:r>
          </w:p>
        </w:tc>
      </w:tr>
      <w:tr w14:paraId="538B7B3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97" w:hRule="atLeast"/>
        </w:trPr>
        <w:tc>
          <w:tcPr>
            <w:tcW w:w="1527" w:type="dxa"/>
            <w:noWrap w:val="0"/>
            <w:vAlign w:val="center"/>
          </w:tcPr>
          <w:p w14:paraId="110E7CDF">
            <w:pPr>
              <w:pStyle w:val="4"/>
              <w:snapToGrid w:val="0"/>
              <w:spacing w:line="360" w:lineRule="auto"/>
              <w:jc w:val="both"/>
              <w:rPr>
                <w:rFonts w:hint="eastAsia" w:eastAsia="宋体" w:cs="宋体"/>
                <w:sz w:val="24"/>
                <w:szCs w:val="24"/>
                <w:lang w:eastAsia="zh-CN"/>
              </w:rPr>
            </w:pPr>
            <w:bookmarkStart w:id="1" w:name="_Toc184785920"/>
            <w:bookmarkStart w:id="2" w:name="_Toc109132643"/>
            <w:r>
              <w:rPr>
                <w:rFonts w:hint="eastAsia" w:ascii="宋体" w:hAnsi="Times New Roman" w:eastAsia="宋体" w:cs="宋体"/>
                <w:sz w:val="24"/>
                <w:szCs w:val="24"/>
                <w:lang w:eastAsia="zh-CN"/>
              </w:rPr>
              <w:t>解释权</w:t>
            </w:r>
          </w:p>
        </w:tc>
        <w:tc>
          <w:tcPr>
            <w:tcW w:w="6803" w:type="dxa"/>
            <w:noWrap w:val="0"/>
            <w:vAlign w:val="center"/>
          </w:tcPr>
          <w:p w14:paraId="39A24719">
            <w:pPr>
              <w:snapToGrid w:val="0"/>
              <w:spacing w:line="360" w:lineRule="auto"/>
              <w:jc w:val="both"/>
              <w:rPr>
                <w:rFonts w:hint="eastAsia" w:cs="宋体"/>
                <w:sz w:val="24"/>
                <w:szCs w:val="24"/>
                <w:lang w:val="en-US" w:eastAsia="zh-CN"/>
              </w:rPr>
            </w:pPr>
            <w:r>
              <w:rPr>
                <w:rFonts w:hint="eastAsia" w:cs="宋体"/>
                <w:sz w:val="24"/>
                <w:szCs w:val="24"/>
                <w:lang w:val="en-US" w:eastAsia="zh-CN"/>
              </w:rPr>
              <w:t>构成本磋商文件的各个组成文件应互为解释，互为说明； 如有不明确或不一致，构成合同文件组成内容的；除招标文件中有特别规定外，按招标公告、投标人须知、评标办法、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75965EA0">
      <w:pPr>
        <w:pStyle w:val="2"/>
        <w:snapToGrid w:val="0"/>
        <w:spacing w:line="360" w:lineRule="auto"/>
        <w:jc w:val="center"/>
        <w:rPr>
          <w:rFonts w:hint="eastAsia"/>
          <w:color w:val="auto"/>
          <w:sz w:val="32"/>
          <w:szCs w:val="32"/>
        </w:rPr>
      </w:pPr>
      <w:r>
        <w:rPr>
          <w:rFonts w:hint="eastAsia"/>
          <w:color w:val="auto"/>
          <w:sz w:val="32"/>
          <w:szCs w:val="32"/>
        </w:rPr>
        <w:br w:type="page"/>
      </w:r>
      <w:r>
        <w:rPr>
          <w:rFonts w:hint="eastAsia"/>
          <w:color w:val="auto"/>
          <w:sz w:val="32"/>
          <w:szCs w:val="32"/>
        </w:rPr>
        <w:t>第三部分  竞争性磋商须知</w:t>
      </w:r>
      <w:bookmarkEnd w:id="1"/>
      <w:bookmarkEnd w:id="2"/>
    </w:p>
    <w:p w14:paraId="6D421741">
      <w:pPr>
        <w:pStyle w:val="12"/>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bookmarkStart w:id="3" w:name="_Toc189469149"/>
      <w:bookmarkStart w:id="4" w:name="_Toc184785921"/>
      <w:r>
        <w:rPr>
          <w:rFonts w:hint="eastAsia"/>
          <w:b/>
          <w:sz w:val="24"/>
          <w:szCs w:val="24"/>
        </w:rPr>
        <w:t>一、说明</w:t>
      </w:r>
      <w:bookmarkEnd w:id="3"/>
      <w:bookmarkEnd w:id="4"/>
    </w:p>
    <w:p w14:paraId="180B3D17">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 xml:space="preserve">  </w:t>
      </w:r>
      <w:r>
        <w:rPr>
          <w:rFonts w:hint="eastAsia"/>
          <w:sz w:val="24"/>
          <w:szCs w:val="24"/>
        </w:rPr>
        <w:t>合格的投标人（供应商）</w:t>
      </w:r>
    </w:p>
    <w:p w14:paraId="1370E908">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 xml:space="preserve">.1 </w:t>
      </w:r>
      <w:r>
        <w:rPr>
          <w:rFonts w:hint="eastAsia"/>
          <w:sz w:val="24"/>
          <w:szCs w:val="24"/>
        </w:rPr>
        <w:t>投标人（供应商）符合“竞争性磋商公告”中投标人资格要求及竞争性磋商文件规定的其它要求。</w:t>
      </w:r>
    </w:p>
    <w:p w14:paraId="6D06F5C0">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 xml:space="preserve">.2 </w:t>
      </w:r>
      <w:r>
        <w:rPr>
          <w:rFonts w:hint="eastAsia"/>
          <w:sz w:val="24"/>
          <w:szCs w:val="24"/>
        </w:rPr>
        <w:t>中华人民共和国境内注册的，具有独立法人资格的供应商。</w:t>
      </w:r>
    </w:p>
    <w:p w14:paraId="197B4366">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sz w:val="24"/>
          <w:szCs w:val="24"/>
        </w:rPr>
      </w:pPr>
      <w:r>
        <w:rPr>
          <w:sz w:val="24"/>
          <w:szCs w:val="24"/>
        </w:rPr>
        <w:t>1.</w:t>
      </w:r>
      <w:r>
        <w:rPr>
          <w:rFonts w:hint="eastAsia"/>
          <w:sz w:val="24"/>
          <w:szCs w:val="24"/>
        </w:rPr>
        <w:t>1</w:t>
      </w:r>
      <w:r>
        <w:rPr>
          <w:sz w:val="24"/>
          <w:szCs w:val="24"/>
        </w:rPr>
        <w:t>.</w:t>
      </w:r>
      <w:r>
        <w:rPr>
          <w:rFonts w:hint="eastAsia"/>
          <w:sz w:val="24"/>
          <w:szCs w:val="24"/>
        </w:rPr>
        <w:t>3</w:t>
      </w:r>
      <w:r>
        <w:rPr>
          <w:sz w:val="24"/>
          <w:szCs w:val="24"/>
        </w:rPr>
        <w:t xml:space="preserve"> </w:t>
      </w:r>
      <w:r>
        <w:rPr>
          <w:rFonts w:hint="eastAsia"/>
          <w:sz w:val="24"/>
          <w:szCs w:val="24"/>
        </w:rPr>
        <w:t>本项目不接受联合投标。</w:t>
      </w:r>
    </w:p>
    <w:p w14:paraId="71874ADA">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w:t>
      </w:r>
      <w:r>
        <w:rPr>
          <w:rFonts w:hint="eastAsia"/>
          <w:sz w:val="24"/>
          <w:szCs w:val="24"/>
        </w:rPr>
        <w:t>4</w:t>
      </w:r>
      <w:r>
        <w:rPr>
          <w:sz w:val="24"/>
          <w:szCs w:val="24"/>
        </w:rPr>
        <w:t xml:space="preserve"> </w:t>
      </w:r>
      <w:r>
        <w:rPr>
          <w:rFonts w:hint="eastAsia"/>
          <w:sz w:val="24"/>
          <w:szCs w:val="24"/>
        </w:rPr>
        <w:t>采购人有权对投标人进行资格审查。</w:t>
      </w:r>
    </w:p>
    <w:p w14:paraId="13D3A588">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w:t>
      </w:r>
      <w:r>
        <w:rPr>
          <w:rFonts w:hint="eastAsia"/>
          <w:sz w:val="24"/>
          <w:szCs w:val="24"/>
        </w:rPr>
        <w:t>5</w:t>
      </w:r>
      <w:r>
        <w:rPr>
          <w:sz w:val="24"/>
          <w:szCs w:val="24"/>
        </w:rPr>
        <w:t xml:space="preserve"> </w:t>
      </w:r>
      <w:r>
        <w:rPr>
          <w:rFonts w:hint="eastAsia"/>
          <w:sz w:val="24"/>
          <w:szCs w:val="24"/>
        </w:rPr>
        <w:t>投标人不得直接或间接地与采购人或其附属机构有任何关联。</w:t>
      </w:r>
    </w:p>
    <w:p w14:paraId="748D9C5D">
      <w:pPr>
        <w:pStyle w:val="12"/>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1.</w:t>
      </w:r>
      <w:r>
        <w:rPr>
          <w:rFonts w:hint="eastAsia"/>
          <w:sz w:val="24"/>
          <w:szCs w:val="24"/>
        </w:rPr>
        <w:t>1</w:t>
      </w:r>
      <w:r>
        <w:rPr>
          <w:sz w:val="24"/>
          <w:szCs w:val="24"/>
        </w:rPr>
        <w:t>.</w:t>
      </w:r>
      <w:r>
        <w:rPr>
          <w:rFonts w:hint="eastAsia"/>
          <w:sz w:val="24"/>
          <w:szCs w:val="24"/>
        </w:rPr>
        <w:t>6</w:t>
      </w:r>
      <w:r>
        <w:rPr>
          <w:sz w:val="24"/>
          <w:szCs w:val="24"/>
        </w:rPr>
        <w:t xml:space="preserve"> </w:t>
      </w:r>
      <w:r>
        <w:rPr>
          <w:rFonts w:hint="eastAsia"/>
          <w:sz w:val="24"/>
          <w:szCs w:val="24"/>
        </w:rPr>
        <w:t>只有在法律上和财务上独立、合法运作并独立于采购人和采购代理机构且符合投标人资格要求的供应商才能参加投标。</w:t>
      </w:r>
    </w:p>
    <w:p w14:paraId="6B0A839B">
      <w:pPr>
        <w:pStyle w:val="12"/>
        <w:keepNext w:val="0"/>
        <w:keepLines w:val="0"/>
        <w:pageBreakBefore w:val="0"/>
        <w:kinsoku/>
        <w:wordWrap/>
        <w:overflowPunct/>
        <w:topLinePunct w:val="0"/>
        <w:bidi w:val="0"/>
        <w:adjustRightInd w:val="0"/>
        <w:snapToGrid w:val="0"/>
        <w:spacing w:line="440" w:lineRule="exact"/>
        <w:textAlignment w:val="baseline"/>
        <w:rPr>
          <w:rFonts w:hint="eastAsia"/>
          <w:sz w:val="24"/>
          <w:szCs w:val="24"/>
        </w:rPr>
      </w:pPr>
      <w:bookmarkStart w:id="5" w:name="_Toc168419109"/>
      <w:bookmarkStart w:id="6" w:name="_Toc189469150"/>
      <w:bookmarkStart w:id="7" w:name="_Toc184785922"/>
    </w:p>
    <w:p w14:paraId="2D198CE6">
      <w:pPr>
        <w:pStyle w:val="12"/>
        <w:keepNext w:val="0"/>
        <w:keepLines w:val="0"/>
        <w:pageBreakBefore w:val="0"/>
        <w:kinsoku/>
        <w:wordWrap/>
        <w:overflowPunct/>
        <w:topLinePunct w:val="0"/>
        <w:bidi w:val="0"/>
        <w:adjustRightInd w:val="0"/>
        <w:snapToGrid w:val="0"/>
        <w:spacing w:line="440" w:lineRule="exact"/>
        <w:textAlignment w:val="baseline"/>
        <w:rPr>
          <w:rFonts w:hint="eastAsia" w:cs="宋体"/>
          <w:sz w:val="24"/>
          <w:szCs w:val="24"/>
        </w:rPr>
      </w:pPr>
      <w:r>
        <w:rPr>
          <w:rFonts w:hint="eastAsia"/>
          <w:b/>
          <w:sz w:val="24"/>
          <w:szCs w:val="24"/>
        </w:rPr>
        <w:t>二、竞争性磋商文件</w:t>
      </w:r>
      <w:bookmarkEnd w:id="5"/>
      <w:bookmarkEnd w:id="6"/>
      <w:bookmarkEnd w:id="7"/>
    </w:p>
    <w:p w14:paraId="1A2E64C9">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2.</w:t>
      </w:r>
      <w:r>
        <w:rPr>
          <w:rFonts w:hint="eastAsia"/>
          <w:sz w:val="24"/>
          <w:szCs w:val="24"/>
        </w:rPr>
        <w:t>1</w:t>
      </w:r>
      <w:r>
        <w:rPr>
          <w:sz w:val="24"/>
          <w:szCs w:val="24"/>
        </w:rPr>
        <w:t xml:space="preserve"> </w:t>
      </w:r>
      <w:r>
        <w:rPr>
          <w:rFonts w:hint="eastAsia"/>
          <w:sz w:val="24"/>
          <w:szCs w:val="24"/>
        </w:rPr>
        <w:t>竞争性磋商文件的澄清</w:t>
      </w:r>
    </w:p>
    <w:p w14:paraId="76E26BAF">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2.</w:t>
      </w:r>
      <w:r>
        <w:rPr>
          <w:rFonts w:hint="eastAsia"/>
          <w:sz w:val="24"/>
          <w:szCs w:val="24"/>
        </w:rPr>
        <w:t>1</w:t>
      </w:r>
      <w:r>
        <w:rPr>
          <w:sz w:val="24"/>
          <w:szCs w:val="24"/>
        </w:rPr>
        <w:t xml:space="preserve">.1 </w:t>
      </w:r>
      <w:r>
        <w:rPr>
          <w:rFonts w:hint="eastAsia"/>
          <w:sz w:val="24"/>
          <w:szCs w:val="24"/>
        </w:rPr>
        <w:t>投标人对竞争性磋商文件如有疑点要求澄清，须在响应文件提交的截止时间3日前以书面、传真形式通知采购代理机构，采购代理机构将以书面、传真做出答复，逾期不接受。</w:t>
      </w:r>
    </w:p>
    <w:p w14:paraId="3C763DD9">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2.</w:t>
      </w:r>
      <w:r>
        <w:rPr>
          <w:rFonts w:hint="eastAsia"/>
          <w:sz w:val="24"/>
          <w:szCs w:val="24"/>
        </w:rPr>
        <w:t>1</w:t>
      </w:r>
      <w:r>
        <w:rPr>
          <w:sz w:val="24"/>
          <w:szCs w:val="24"/>
        </w:rPr>
        <w:t xml:space="preserve">.2 </w:t>
      </w:r>
      <w:r>
        <w:rPr>
          <w:rFonts w:hint="eastAsia"/>
          <w:sz w:val="24"/>
          <w:szCs w:val="24"/>
        </w:rPr>
        <w:t>竞争性磋商文件的修改</w:t>
      </w:r>
    </w:p>
    <w:p w14:paraId="02566F18">
      <w:pPr>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cs="宋体"/>
          <w:snapToGrid w:val="0"/>
          <w:sz w:val="24"/>
          <w:szCs w:val="24"/>
        </w:rPr>
      </w:pPr>
      <w:r>
        <w:rPr>
          <w:rFonts w:hint="eastAsia" w:cs="宋体"/>
          <w:snapToGrid w:val="0"/>
          <w:sz w:val="24"/>
          <w:szCs w:val="24"/>
        </w:rPr>
        <w:t>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cs="宋体"/>
          <w:snapToGrid w:val="0"/>
          <w:sz w:val="24"/>
          <w:szCs w:val="24"/>
        </w:rPr>
        <w:t>5</w:t>
      </w:r>
      <w:r>
        <w:rPr>
          <w:rFonts w:hint="eastAsia" w:cs="宋体"/>
          <w:snapToGrid w:val="0"/>
          <w:sz w:val="24"/>
          <w:szCs w:val="24"/>
        </w:rPr>
        <w:t>日前，以书面形式通知所有获取磋商文件的投标人；不足</w:t>
      </w:r>
      <w:r>
        <w:rPr>
          <w:rFonts w:cs="宋体"/>
          <w:snapToGrid w:val="0"/>
          <w:sz w:val="24"/>
          <w:szCs w:val="24"/>
        </w:rPr>
        <w:t>5</w:t>
      </w:r>
      <w:r>
        <w:rPr>
          <w:rFonts w:hint="eastAsia" w:cs="宋体"/>
          <w:snapToGrid w:val="0"/>
          <w:sz w:val="24"/>
          <w:szCs w:val="24"/>
        </w:rPr>
        <w:t>日的，采购人、采购代理机构应当顺延提交首次响应文件截止时间。</w:t>
      </w:r>
    </w:p>
    <w:p w14:paraId="5EB94DDF">
      <w:pPr>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hAnsi="Times New Roman" w:eastAsia="宋体" w:cs="宋体"/>
          <w:snapToGrid w:val="0"/>
          <w:sz w:val="24"/>
          <w:szCs w:val="24"/>
        </w:rPr>
      </w:pPr>
      <w:r>
        <w:rPr>
          <w:rFonts w:hint="eastAsia" w:hAnsi="Times New Roman" w:eastAsia="宋体" w:cs="宋体"/>
          <w:snapToGrid w:val="0"/>
          <w:sz w:val="24"/>
          <w:szCs w:val="24"/>
          <w:lang w:val="en-US" w:eastAsia="zh-CN"/>
        </w:rPr>
        <w:t>2.2 投标人有义务自行在贵州省公共资源交易中心网站（</w:t>
      </w:r>
      <w:r>
        <w:rPr>
          <w:rFonts w:hint="default" w:hAnsi="Times New Roman" w:eastAsia="宋体" w:cs="宋体"/>
          <w:snapToGrid w:val="0"/>
          <w:sz w:val="24"/>
          <w:szCs w:val="24"/>
          <w:lang w:val="en-US" w:eastAsia="zh-CN"/>
        </w:rPr>
        <w:t>http://www.ggzy.guizhou.gov.cn</w:t>
      </w:r>
      <w:r>
        <w:rPr>
          <w:rFonts w:hint="eastAsia" w:hAnsi="Times New Roman" w:eastAsia="宋体" w:cs="宋体"/>
          <w:snapToGrid w:val="0"/>
          <w:sz w:val="24"/>
          <w:szCs w:val="24"/>
          <w:lang w:val="en-US" w:eastAsia="zh-CN"/>
        </w:rPr>
        <w:t>）下载，无需要书面确认。</w:t>
      </w:r>
    </w:p>
    <w:p w14:paraId="1DA4A72F">
      <w:pPr>
        <w:keepNext w:val="0"/>
        <w:keepLines w:val="0"/>
        <w:pageBreakBefore w:val="0"/>
        <w:kinsoku/>
        <w:wordWrap/>
        <w:overflowPunct/>
        <w:topLinePunct w:val="0"/>
        <w:bidi w:val="0"/>
        <w:adjustRightInd w:val="0"/>
        <w:snapToGrid w:val="0"/>
        <w:spacing w:line="440" w:lineRule="exact"/>
        <w:jc w:val="both"/>
        <w:textAlignment w:val="baseline"/>
        <w:rPr>
          <w:rFonts w:hint="eastAsia"/>
          <w:b/>
          <w:sz w:val="24"/>
          <w:szCs w:val="24"/>
        </w:rPr>
      </w:pPr>
      <w:bookmarkStart w:id="8" w:name="_Toc184785923"/>
      <w:bookmarkStart w:id="9" w:name="_Toc189469151"/>
    </w:p>
    <w:p w14:paraId="4FE04A9B">
      <w:pPr>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r>
        <w:rPr>
          <w:rFonts w:hint="eastAsia"/>
          <w:b/>
          <w:sz w:val="24"/>
          <w:szCs w:val="24"/>
        </w:rPr>
        <w:t>三、响应文件编制说明</w:t>
      </w:r>
      <w:bookmarkEnd w:id="8"/>
      <w:bookmarkEnd w:id="9"/>
    </w:p>
    <w:p w14:paraId="5FA73D50">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b/>
          <w:sz w:val="24"/>
          <w:szCs w:val="24"/>
        </w:rPr>
      </w:pPr>
      <w:r>
        <w:rPr>
          <w:b/>
          <w:sz w:val="24"/>
          <w:szCs w:val="24"/>
        </w:rPr>
        <w:t xml:space="preserve">3.1  </w:t>
      </w:r>
      <w:r>
        <w:rPr>
          <w:rFonts w:hint="eastAsia"/>
          <w:b/>
          <w:sz w:val="24"/>
          <w:szCs w:val="24"/>
        </w:rPr>
        <w:t>投标的语言及计量标准</w:t>
      </w:r>
    </w:p>
    <w:p w14:paraId="647FAF6F">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3.1.1</w:t>
      </w:r>
      <w:r>
        <w:rPr>
          <w:rFonts w:hint="eastAsia"/>
          <w:sz w:val="24"/>
          <w:szCs w:val="24"/>
        </w:rPr>
        <w:t xml:space="preserve"> 投标人提交的响应文件以及投标人与</w:t>
      </w:r>
      <w:r>
        <w:rPr>
          <w:rFonts w:hint="eastAsia" w:cs="宋体"/>
          <w:sz w:val="24"/>
          <w:szCs w:val="24"/>
        </w:rPr>
        <w:t>采购</w:t>
      </w:r>
      <w:r>
        <w:rPr>
          <w:rFonts w:hint="eastAsia"/>
          <w:sz w:val="24"/>
          <w:szCs w:val="24"/>
        </w:rPr>
        <w:t>代理机构和</w:t>
      </w:r>
      <w:r>
        <w:rPr>
          <w:rFonts w:hint="eastAsia" w:cs="宋体"/>
          <w:sz w:val="24"/>
          <w:szCs w:val="24"/>
        </w:rPr>
        <w:t>采购人</w:t>
      </w:r>
      <w:r>
        <w:rPr>
          <w:rFonts w:hint="eastAsia"/>
          <w:sz w:val="24"/>
          <w:szCs w:val="24"/>
        </w:rPr>
        <w:t>就有关投标的所有来往函电均应使用简体中文书写。对于任何非简体中文的资料，都应提供简体中文翻译本，在解释时以简体中文翻译本为准。</w:t>
      </w:r>
    </w:p>
    <w:p w14:paraId="15EFFAB6">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bCs/>
          <w:sz w:val="24"/>
          <w:szCs w:val="24"/>
        </w:rPr>
      </w:pPr>
      <w:r>
        <w:rPr>
          <w:b/>
          <w:bCs/>
          <w:sz w:val="24"/>
          <w:szCs w:val="24"/>
        </w:rPr>
        <w:t xml:space="preserve">3.2  </w:t>
      </w:r>
      <w:r>
        <w:rPr>
          <w:rFonts w:hint="eastAsia"/>
          <w:b/>
          <w:bCs/>
          <w:sz w:val="24"/>
          <w:szCs w:val="24"/>
        </w:rPr>
        <w:t>响应文件构成</w:t>
      </w:r>
    </w:p>
    <w:p w14:paraId="3589FE3D">
      <w:pPr>
        <w:keepNext w:val="0"/>
        <w:keepLines w:val="0"/>
        <w:pageBreakBefore w:val="0"/>
        <w:kinsoku/>
        <w:wordWrap/>
        <w:overflowPunct/>
        <w:topLinePunct w:val="0"/>
        <w:bidi w:val="0"/>
        <w:adjustRightInd w:val="0"/>
        <w:spacing w:line="440" w:lineRule="exact"/>
        <w:ind w:firstLine="482" w:firstLineChars="201"/>
        <w:textAlignment w:val="baseline"/>
        <w:rPr>
          <w:rFonts w:hint="eastAsia" w:cs="宋体"/>
          <w:sz w:val="24"/>
          <w:szCs w:val="24"/>
        </w:rPr>
      </w:pPr>
      <w:r>
        <w:rPr>
          <w:rFonts w:hint="eastAsia"/>
          <w:sz w:val="24"/>
          <w:szCs w:val="24"/>
        </w:rPr>
        <w:t xml:space="preserve">3.2.1 </w:t>
      </w:r>
      <w:r>
        <w:rPr>
          <w:sz w:val="24"/>
          <w:szCs w:val="24"/>
        </w:rPr>
        <w:t>投标人应认真阅读</w:t>
      </w:r>
      <w:r>
        <w:rPr>
          <w:rFonts w:hint="eastAsia"/>
          <w:sz w:val="24"/>
          <w:szCs w:val="24"/>
        </w:rPr>
        <w:t>竞争性磋商文件</w:t>
      </w:r>
      <w:r>
        <w:rPr>
          <w:sz w:val="24"/>
          <w:szCs w:val="24"/>
        </w:rPr>
        <w:t>的所有内容，按</w:t>
      </w:r>
      <w:r>
        <w:rPr>
          <w:rFonts w:hint="eastAsia"/>
          <w:sz w:val="24"/>
          <w:szCs w:val="24"/>
        </w:rPr>
        <w:t>竞争性磋商文件</w:t>
      </w:r>
      <w:r>
        <w:rPr>
          <w:sz w:val="24"/>
          <w:szCs w:val="24"/>
        </w:rPr>
        <w:t>的要求提供投标</w:t>
      </w:r>
      <w:r>
        <w:rPr>
          <w:rFonts w:hint="eastAsia"/>
          <w:sz w:val="24"/>
          <w:szCs w:val="24"/>
        </w:rPr>
        <w:t>资料</w:t>
      </w:r>
      <w:r>
        <w:rPr>
          <w:sz w:val="24"/>
          <w:szCs w:val="24"/>
        </w:rPr>
        <w:t>，</w:t>
      </w:r>
      <w:r>
        <w:rPr>
          <w:bCs/>
          <w:sz w:val="24"/>
          <w:szCs w:val="24"/>
        </w:rPr>
        <w:t>并保证提供的全部资料的真实性，以使其投标对</w:t>
      </w:r>
      <w:r>
        <w:rPr>
          <w:rFonts w:hint="eastAsia"/>
          <w:bCs/>
          <w:sz w:val="24"/>
          <w:szCs w:val="24"/>
        </w:rPr>
        <w:t>竞争性磋商文件</w:t>
      </w:r>
      <w:r>
        <w:rPr>
          <w:bCs/>
          <w:sz w:val="24"/>
          <w:szCs w:val="24"/>
        </w:rPr>
        <w:t>作出实质性响应，否则，其投标将被拒绝</w:t>
      </w:r>
      <w:r>
        <w:rPr>
          <w:rFonts w:hint="eastAsia"/>
          <w:bCs/>
          <w:sz w:val="24"/>
          <w:szCs w:val="24"/>
        </w:rPr>
        <w:t>，并扣除其保证金，通报在中国政府采购网，取消其三年内投标资格</w:t>
      </w:r>
      <w:r>
        <w:rPr>
          <w:bCs/>
          <w:sz w:val="24"/>
          <w:szCs w:val="24"/>
        </w:rPr>
        <w:t>。</w:t>
      </w:r>
      <w:r>
        <w:rPr>
          <w:rFonts w:hint="eastAsia"/>
          <w:bCs/>
          <w:sz w:val="24"/>
          <w:szCs w:val="24"/>
        </w:rPr>
        <w:t>成交供应商须承诺：</w:t>
      </w:r>
      <w:r>
        <w:rPr>
          <w:rFonts w:hint="eastAsia"/>
          <w:sz w:val="24"/>
          <w:szCs w:val="24"/>
        </w:rPr>
        <w:t>签订合同前，成交供应商须提供响应文件中所有原件交采购人验证，如采购人发现成交供应商提供虚假材料，则取消成交供应商资格并上报监督单位予以行政处罚，没收其投标保证金，通报在中国政府采购网，取消其三年内投标资格</w:t>
      </w:r>
      <w:r>
        <w:rPr>
          <w:sz w:val="24"/>
          <w:szCs w:val="24"/>
        </w:rPr>
        <w:t>。</w:t>
      </w:r>
      <w:r>
        <w:rPr>
          <w:rFonts w:hint="eastAsia"/>
          <w:sz w:val="24"/>
          <w:szCs w:val="24"/>
        </w:rPr>
        <w:t>并决定成交供应商是否按中标候选人顺延或重新采购。</w:t>
      </w:r>
    </w:p>
    <w:p w14:paraId="0754E134">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 xml:space="preserve">3.2.2 </w:t>
      </w:r>
      <w:r>
        <w:rPr>
          <w:sz w:val="24"/>
          <w:szCs w:val="24"/>
        </w:rPr>
        <w:t>投标的语言</w:t>
      </w:r>
      <w:r>
        <w:rPr>
          <w:rFonts w:hint="eastAsia"/>
          <w:sz w:val="24"/>
          <w:szCs w:val="24"/>
        </w:rPr>
        <w:t>：</w:t>
      </w:r>
      <w:r>
        <w:rPr>
          <w:sz w:val="24"/>
          <w:szCs w:val="24"/>
        </w:rPr>
        <w:t>投标人提交的</w:t>
      </w:r>
      <w:r>
        <w:rPr>
          <w:rFonts w:hint="eastAsia"/>
          <w:sz w:val="24"/>
          <w:szCs w:val="24"/>
        </w:rPr>
        <w:t>响应文件</w:t>
      </w:r>
      <w:r>
        <w:rPr>
          <w:sz w:val="24"/>
          <w:szCs w:val="24"/>
        </w:rPr>
        <w:t>以及投标人与采购机构就有关投标的所有来往函电均应以中文书写。</w:t>
      </w:r>
    </w:p>
    <w:p w14:paraId="19901E48">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 xml:space="preserve">3.2.3 </w:t>
      </w:r>
      <w:r>
        <w:rPr>
          <w:sz w:val="24"/>
          <w:szCs w:val="24"/>
        </w:rPr>
        <w:t>投标人应按</w:t>
      </w:r>
      <w:r>
        <w:rPr>
          <w:rFonts w:hint="eastAsia"/>
          <w:sz w:val="24"/>
          <w:szCs w:val="24"/>
        </w:rPr>
        <w:t>竞争性磋商文件</w:t>
      </w:r>
      <w:r>
        <w:rPr>
          <w:sz w:val="24"/>
          <w:szCs w:val="24"/>
        </w:rPr>
        <w:t>第</w:t>
      </w:r>
      <w:r>
        <w:rPr>
          <w:rFonts w:hint="eastAsia"/>
          <w:sz w:val="24"/>
          <w:szCs w:val="24"/>
        </w:rPr>
        <w:t>七部分</w:t>
      </w:r>
      <w:r>
        <w:rPr>
          <w:sz w:val="24"/>
          <w:szCs w:val="24"/>
        </w:rPr>
        <w:t>提供的格式编写其</w:t>
      </w:r>
      <w:r>
        <w:rPr>
          <w:rFonts w:hint="eastAsia"/>
          <w:sz w:val="24"/>
          <w:szCs w:val="24"/>
        </w:rPr>
        <w:t>响应</w:t>
      </w:r>
      <w:r>
        <w:rPr>
          <w:sz w:val="24"/>
          <w:szCs w:val="24"/>
        </w:rPr>
        <w:t>文件，投标人不得缺少任何</w:t>
      </w:r>
      <w:r>
        <w:rPr>
          <w:rFonts w:hint="eastAsia"/>
          <w:sz w:val="24"/>
          <w:szCs w:val="24"/>
        </w:rPr>
        <w:t>竞争性磋商文件</w:t>
      </w:r>
      <w:r>
        <w:rPr>
          <w:sz w:val="24"/>
          <w:szCs w:val="24"/>
        </w:rPr>
        <w:t>要求填写的表格或提交的资料</w:t>
      </w:r>
      <w:r>
        <w:rPr>
          <w:rFonts w:hint="eastAsia"/>
          <w:sz w:val="24"/>
          <w:szCs w:val="24"/>
        </w:rPr>
        <w:t>，并按要求签字和盖章</w:t>
      </w:r>
      <w:r>
        <w:rPr>
          <w:sz w:val="24"/>
          <w:szCs w:val="24"/>
        </w:rPr>
        <w:t>。</w:t>
      </w:r>
    </w:p>
    <w:p w14:paraId="529E0EF0">
      <w:pPr>
        <w:keepNext w:val="0"/>
        <w:keepLines w:val="0"/>
        <w:pageBreakBefore w:val="0"/>
        <w:kinsoku/>
        <w:wordWrap/>
        <w:overflowPunct/>
        <w:topLinePunct w:val="0"/>
        <w:bidi w:val="0"/>
        <w:adjustRightInd w:val="0"/>
        <w:snapToGrid w:val="0"/>
        <w:spacing w:line="440" w:lineRule="exact"/>
        <w:ind w:left="476" w:leftChars="140" w:firstLine="0" w:firstLineChars="0"/>
        <w:jc w:val="both"/>
        <w:textAlignment w:val="baseline"/>
        <w:rPr>
          <w:rFonts w:hint="eastAsia"/>
          <w:sz w:val="24"/>
          <w:szCs w:val="24"/>
        </w:rPr>
      </w:pPr>
      <w:r>
        <w:rPr>
          <w:rFonts w:hint="eastAsia"/>
          <w:sz w:val="24"/>
          <w:szCs w:val="24"/>
        </w:rPr>
        <w:t xml:space="preserve">3.2.4 </w:t>
      </w:r>
      <w:r>
        <w:rPr>
          <w:sz w:val="24"/>
          <w:szCs w:val="24"/>
        </w:rPr>
        <w:t>投标人应将</w:t>
      </w:r>
      <w:r>
        <w:rPr>
          <w:rFonts w:hint="eastAsia"/>
          <w:sz w:val="24"/>
          <w:szCs w:val="24"/>
        </w:rPr>
        <w:t>响应</w:t>
      </w:r>
      <w:r>
        <w:rPr>
          <w:sz w:val="24"/>
          <w:szCs w:val="24"/>
        </w:rPr>
        <w:t>文件按顺序编排、并应编制目录、逐页标注连续页码</w:t>
      </w:r>
      <w:r>
        <w:rPr>
          <w:rFonts w:hint="eastAsia"/>
          <w:sz w:val="24"/>
          <w:szCs w:val="24"/>
          <w:lang w:eastAsia="zh-CN"/>
        </w:rPr>
        <w:t>。</w:t>
      </w:r>
      <w:r>
        <w:rPr>
          <w:rFonts w:hint="eastAsia"/>
          <w:sz w:val="24"/>
          <w:szCs w:val="24"/>
        </w:rPr>
        <w:t>3.2.5 本项目报价包括：</w:t>
      </w:r>
      <w:r>
        <w:rPr>
          <w:rFonts w:hint="eastAsia" w:cs="宋体"/>
          <w:sz w:val="24"/>
          <w:szCs w:val="24"/>
        </w:rPr>
        <w:t>招标代理服务费</w:t>
      </w:r>
      <w:r>
        <w:rPr>
          <w:rFonts w:cs="宋体"/>
          <w:sz w:val="24"/>
          <w:szCs w:val="24"/>
        </w:rPr>
        <w:t>及完成该项目所需全部费用</w:t>
      </w:r>
      <w:r>
        <w:rPr>
          <w:rFonts w:hint="eastAsia"/>
          <w:sz w:val="24"/>
          <w:szCs w:val="24"/>
        </w:rPr>
        <w:t>。</w:t>
      </w:r>
    </w:p>
    <w:p w14:paraId="1073E781">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 xml:space="preserve">3.2.6 </w:t>
      </w:r>
      <w:r>
        <w:rPr>
          <w:sz w:val="24"/>
          <w:szCs w:val="24"/>
        </w:rPr>
        <w:t>投标人提供的服务一律用人民币报价。</w:t>
      </w:r>
    </w:p>
    <w:p w14:paraId="3368AC6A">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3.2.7 响应文件份数：本项目采用电子评标，中标供应商于中标后提交 2 份纸质文件至采购人（不分正副本）。</w:t>
      </w:r>
    </w:p>
    <w:p w14:paraId="6725F2B8">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 xml:space="preserve">3.2.8 </w:t>
      </w:r>
      <w:r>
        <w:rPr>
          <w:sz w:val="24"/>
          <w:szCs w:val="24"/>
        </w:rPr>
        <w:t>任何行间插字、涂改或增删，必须由投标</w:t>
      </w:r>
      <w:r>
        <w:rPr>
          <w:rFonts w:hint="eastAsia"/>
          <w:sz w:val="24"/>
          <w:szCs w:val="24"/>
        </w:rPr>
        <w:t>授权代表或法定代表人</w:t>
      </w:r>
      <w:r>
        <w:rPr>
          <w:sz w:val="24"/>
          <w:szCs w:val="24"/>
        </w:rPr>
        <w:t>签字才有效。</w:t>
      </w:r>
    </w:p>
    <w:p w14:paraId="0EA1F6C9">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 xml:space="preserve">3.3 </w:t>
      </w:r>
      <w:r>
        <w:rPr>
          <w:rFonts w:hint="eastAsia"/>
          <w:b/>
          <w:sz w:val="24"/>
          <w:szCs w:val="24"/>
        </w:rPr>
        <w:t>响应文件格式</w:t>
      </w:r>
    </w:p>
    <w:p w14:paraId="08B728B5">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 xml:space="preserve">3.3.1 </w:t>
      </w:r>
      <w:r>
        <w:rPr>
          <w:rFonts w:hint="eastAsia"/>
          <w:sz w:val="24"/>
          <w:szCs w:val="24"/>
        </w:rPr>
        <w:t>投标人应按竞争性磋商文件附件中提供的“响应文件格式”填写。</w:t>
      </w:r>
    </w:p>
    <w:p w14:paraId="7B69B6FC">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 xml:space="preserve">3.4 </w:t>
      </w:r>
      <w:r>
        <w:rPr>
          <w:rFonts w:hint="eastAsia"/>
          <w:b/>
          <w:sz w:val="24"/>
          <w:szCs w:val="24"/>
        </w:rPr>
        <w:t>投标报价和货币</w:t>
      </w:r>
    </w:p>
    <w:p w14:paraId="6AC34A3D">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 xml:space="preserve">3.4.1 </w:t>
      </w:r>
      <w:r>
        <w:rPr>
          <w:rFonts w:hint="eastAsia"/>
          <w:sz w:val="24"/>
          <w:szCs w:val="24"/>
        </w:rPr>
        <w:t>在投标有效期和合同有效期内，投标人对投标服务的报价，应固定不变。投标报价应按“竞争性磋商相关资料明细表”的要求报价，以人民币为结算单位。</w:t>
      </w:r>
    </w:p>
    <w:p w14:paraId="01DE6C6D">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sz w:val="24"/>
          <w:szCs w:val="24"/>
        </w:rPr>
        <w:t xml:space="preserve">3.4.2 </w:t>
      </w:r>
      <w:r>
        <w:rPr>
          <w:rFonts w:hint="eastAsia"/>
          <w:sz w:val="24"/>
          <w:szCs w:val="24"/>
        </w:rPr>
        <w:t>投标的有关服务的报价应包括要向中华人民共和国政府缴纳的税收。</w:t>
      </w:r>
    </w:p>
    <w:p w14:paraId="09554C8A">
      <w:pPr>
        <w:keepNext w:val="0"/>
        <w:keepLines w:val="0"/>
        <w:pageBreakBefore w:val="0"/>
        <w:kinsoku/>
        <w:wordWrap/>
        <w:overflowPunct/>
        <w:topLinePunct w:val="0"/>
        <w:autoSpaceDE/>
        <w:autoSpaceDN/>
        <w:bidi w:val="0"/>
        <w:adjustRightInd w:val="0"/>
        <w:snapToGrid w:val="0"/>
        <w:spacing w:line="440" w:lineRule="exact"/>
        <w:ind w:firstLine="482" w:firstLineChars="201"/>
        <w:jc w:val="both"/>
        <w:textAlignment w:val="baseline"/>
        <w:rPr>
          <w:sz w:val="24"/>
          <w:szCs w:val="24"/>
        </w:rPr>
      </w:pPr>
      <w:r>
        <w:rPr>
          <w:sz w:val="24"/>
          <w:szCs w:val="24"/>
        </w:rPr>
        <w:t xml:space="preserve">3.4.3 </w:t>
      </w:r>
      <w:r>
        <w:rPr>
          <w:rFonts w:hint="eastAsia"/>
          <w:sz w:val="24"/>
          <w:szCs w:val="24"/>
        </w:rPr>
        <w:t>对于非标准的投标，还应填报报价明细表（报价明细表格式由投标人自行设计）。</w:t>
      </w:r>
    </w:p>
    <w:p w14:paraId="7C09F201">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 </w:t>
      </w:r>
      <w:r>
        <w:rPr>
          <w:rFonts w:hint="eastAsia"/>
          <w:sz w:val="24"/>
          <w:szCs w:val="24"/>
        </w:rPr>
        <w:t>投标报价编制原则：</w:t>
      </w:r>
    </w:p>
    <w:p w14:paraId="1C3A7FFF">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3.4.4.1 </w:t>
      </w:r>
      <w:r>
        <w:rPr>
          <w:rFonts w:hint="eastAsia"/>
          <w:sz w:val="24"/>
          <w:szCs w:val="24"/>
        </w:rPr>
        <w:t>按市场价取费；</w:t>
      </w:r>
    </w:p>
    <w:p w14:paraId="5675FA48">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3.4.4.2 </w:t>
      </w:r>
      <w:r>
        <w:rPr>
          <w:rFonts w:hint="eastAsia"/>
          <w:sz w:val="24"/>
          <w:szCs w:val="24"/>
        </w:rPr>
        <w:t>报价中应包括</w:t>
      </w:r>
      <w:r>
        <w:rPr>
          <w:rFonts w:hint="eastAsia" w:cs="宋体"/>
          <w:sz w:val="24"/>
          <w:szCs w:val="24"/>
        </w:rPr>
        <w:t>招标代理费</w:t>
      </w:r>
      <w:r>
        <w:rPr>
          <w:rFonts w:cs="宋体"/>
          <w:sz w:val="24"/>
          <w:szCs w:val="24"/>
        </w:rPr>
        <w:t>及完成该项目所需全部费用</w:t>
      </w:r>
      <w:r>
        <w:rPr>
          <w:rFonts w:hint="eastAsia"/>
          <w:sz w:val="24"/>
          <w:szCs w:val="24"/>
        </w:rPr>
        <w:t>；</w:t>
      </w:r>
    </w:p>
    <w:p w14:paraId="59C474F8">
      <w:pPr>
        <w:keepNext w:val="0"/>
        <w:keepLines w:val="0"/>
        <w:pageBreakBefore w:val="0"/>
        <w:tabs>
          <w:tab w:val="left" w:pos="1620"/>
        </w:tabs>
        <w:kinsoku/>
        <w:wordWrap/>
        <w:overflowPunct/>
        <w:topLinePunct w:val="0"/>
        <w:bidi w:val="0"/>
        <w:adjustRightInd w:val="0"/>
        <w:snapToGrid w:val="0"/>
        <w:spacing w:line="440" w:lineRule="exact"/>
        <w:ind w:firstLine="482" w:firstLineChars="201"/>
        <w:textAlignment w:val="baseline"/>
        <w:rPr>
          <w:sz w:val="24"/>
          <w:szCs w:val="24"/>
        </w:rPr>
      </w:pPr>
      <w:r>
        <w:rPr>
          <w:sz w:val="24"/>
          <w:szCs w:val="24"/>
        </w:rPr>
        <w:t xml:space="preserve">3.4.4.3 </w:t>
      </w:r>
      <w:r>
        <w:rPr>
          <w:rFonts w:hint="eastAsia"/>
          <w:sz w:val="24"/>
          <w:szCs w:val="24"/>
        </w:rPr>
        <w:t>各投标人应按采购人提供的服务需求，计算项目实施工作量和报价，若由于投标人原因漏项、漏算、错算等造成报价失误，采购人将认为这些项目费用已包含在总价中，一旦成交后不得要求另行调整增加，并不得以此为由影响服务质量。</w:t>
      </w:r>
    </w:p>
    <w:p w14:paraId="47BCABD7">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b/>
          <w:sz w:val="24"/>
          <w:szCs w:val="24"/>
        </w:rPr>
      </w:pPr>
      <w:r>
        <w:rPr>
          <w:rFonts w:hint="eastAsia"/>
          <w:b/>
          <w:sz w:val="24"/>
          <w:szCs w:val="24"/>
        </w:rPr>
        <w:t>3.5 投标保证金</w:t>
      </w:r>
    </w:p>
    <w:p w14:paraId="06298ACE">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3.5.1 投标保证金的交纳方式及缴纳时间以采购文件规定为准。</w:t>
      </w:r>
    </w:p>
    <w:p w14:paraId="4944144D">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3.5.2 下列任何情况发生时，投标保证金将不予退还：</w:t>
      </w:r>
    </w:p>
    <w:p w14:paraId="42EE69EF">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3.5.2.1 投标人在采购文件中规定的投标有效期内撤回其投标的；</w:t>
      </w:r>
    </w:p>
    <w:p w14:paraId="2AB3AA20">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3.5.2.2 成交供应商在规定期限内未能根据相关规定签订合同的；</w:t>
      </w:r>
    </w:p>
    <w:p w14:paraId="4E2119B0">
      <w:pPr>
        <w:keepNext w:val="0"/>
        <w:keepLines w:val="0"/>
        <w:pageBreakBefore w:val="0"/>
        <w:kinsoku/>
        <w:wordWrap/>
        <w:overflowPunct/>
        <w:topLinePunct w:val="0"/>
        <w:bidi w:val="0"/>
        <w:adjustRightInd w:val="0"/>
        <w:snapToGrid w:val="0"/>
        <w:spacing w:line="440" w:lineRule="exact"/>
        <w:ind w:firstLine="482" w:firstLineChars="201"/>
        <w:textAlignment w:val="baseline"/>
        <w:rPr>
          <w:sz w:val="24"/>
          <w:szCs w:val="24"/>
        </w:rPr>
      </w:pPr>
      <w:r>
        <w:rPr>
          <w:rFonts w:hint="eastAsia"/>
          <w:sz w:val="24"/>
          <w:szCs w:val="24"/>
        </w:rPr>
        <w:t>3.5.3 若发生质疑或投诉，与质疑或投诉有关的投标人的投标保证金有效期将延长，待质疑、投诉处理完毕之后予以办理。</w:t>
      </w:r>
    </w:p>
    <w:p w14:paraId="4562538F">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3.5.4 未中标（未成交）供应商的保证金应当在中标通知书（成交通知书）发出后5个工作日内退还，中标供应商（成交供应商）的保证金应当在采购合同签订后5个工作日内退还。</w:t>
      </w:r>
    </w:p>
    <w:p w14:paraId="6748B298">
      <w:pPr>
        <w:keepNext w:val="0"/>
        <w:keepLines w:val="0"/>
        <w:pageBreakBefore w:val="0"/>
        <w:kinsoku/>
        <w:wordWrap/>
        <w:overflowPunct/>
        <w:topLinePunct w:val="0"/>
        <w:bidi w:val="0"/>
        <w:adjustRightInd w:val="0"/>
        <w:snapToGrid w:val="0"/>
        <w:spacing w:line="440" w:lineRule="exact"/>
        <w:ind w:firstLine="484" w:firstLineChars="201"/>
        <w:textAlignment w:val="baseline"/>
        <w:rPr>
          <w:rFonts w:hint="eastAsia"/>
          <w:b/>
          <w:sz w:val="24"/>
          <w:szCs w:val="24"/>
        </w:rPr>
      </w:pPr>
      <w:r>
        <w:rPr>
          <w:b/>
          <w:sz w:val="24"/>
          <w:szCs w:val="24"/>
        </w:rPr>
        <w:t>3.</w:t>
      </w:r>
      <w:r>
        <w:rPr>
          <w:rFonts w:hint="eastAsia"/>
          <w:b/>
          <w:sz w:val="24"/>
          <w:szCs w:val="24"/>
        </w:rPr>
        <w:t>6</w:t>
      </w:r>
      <w:r>
        <w:rPr>
          <w:b/>
          <w:sz w:val="24"/>
          <w:szCs w:val="24"/>
        </w:rPr>
        <w:t xml:space="preserve"> </w:t>
      </w:r>
      <w:r>
        <w:rPr>
          <w:rFonts w:hint="eastAsia"/>
          <w:b/>
          <w:sz w:val="24"/>
          <w:szCs w:val="24"/>
        </w:rPr>
        <w:t>投标有效期</w:t>
      </w:r>
    </w:p>
    <w:p w14:paraId="3F1DC18B">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3.6.1 自投标人提交响应文件截止之日起计算90日历天。</w:t>
      </w:r>
    </w:p>
    <w:p w14:paraId="594A9A61">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3.6.2 特殊情况下，在原</w:t>
      </w:r>
      <w:r>
        <w:rPr>
          <w:rFonts w:hint="eastAsia" w:cs="宋体"/>
          <w:snapToGrid w:val="0"/>
          <w:sz w:val="24"/>
          <w:szCs w:val="24"/>
        </w:rPr>
        <w:t>响应文件递交的截止时间</w:t>
      </w:r>
      <w:r>
        <w:rPr>
          <w:rFonts w:hint="eastAsia"/>
          <w:sz w:val="24"/>
          <w:szCs w:val="24"/>
        </w:rPr>
        <w:t>之前，采购代理机构可要求投标人同意延长投标有效期。</w:t>
      </w:r>
    </w:p>
    <w:p w14:paraId="4901A59D">
      <w:pPr>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bookmarkStart w:id="10" w:name="_Toc184785924"/>
      <w:bookmarkStart w:id="11" w:name="_Toc189469152"/>
    </w:p>
    <w:p w14:paraId="61555D06">
      <w:pPr>
        <w:keepNext w:val="0"/>
        <w:keepLines w:val="0"/>
        <w:pageBreakBefore w:val="0"/>
        <w:kinsoku/>
        <w:wordWrap/>
        <w:overflowPunct/>
        <w:topLinePunct w:val="0"/>
        <w:bidi w:val="0"/>
        <w:adjustRightInd w:val="0"/>
        <w:snapToGrid w:val="0"/>
        <w:spacing w:line="440" w:lineRule="exact"/>
        <w:textAlignment w:val="baseline"/>
        <w:rPr>
          <w:rFonts w:hint="eastAsia"/>
          <w:b/>
          <w:sz w:val="24"/>
          <w:szCs w:val="24"/>
        </w:rPr>
      </w:pPr>
      <w:r>
        <w:rPr>
          <w:rFonts w:hint="eastAsia"/>
          <w:b/>
          <w:sz w:val="24"/>
          <w:szCs w:val="24"/>
        </w:rPr>
        <w:t>四、响应文件的递交</w:t>
      </w:r>
      <w:bookmarkEnd w:id="10"/>
      <w:bookmarkEnd w:id="11"/>
    </w:p>
    <w:p w14:paraId="45E69EF5">
      <w:pPr>
        <w:keepNext w:val="0"/>
        <w:keepLines w:val="0"/>
        <w:pageBreakBefore w:val="0"/>
        <w:kinsoku/>
        <w:wordWrap/>
        <w:overflowPunct/>
        <w:topLinePunct w:val="0"/>
        <w:bidi w:val="0"/>
        <w:adjustRightInd w:val="0"/>
        <w:snapToGrid w:val="0"/>
        <w:spacing w:line="440" w:lineRule="exact"/>
        <w:ind w:firstLine="484" w:firstLineChars="201"/>
        <w:textAlignment w:val="baseline"/>
        <w:rPr>
          <w:b/>
          <w:bCs/>
          <w:sz w:val="24"/>
          <w:szCs w:val="24"/>
        </w:rPr>
      </w:pPr>
      <w:r>
        <w:rPr>
          <w:rFonts w:hint="eastAsia"/>
          <w:b/>
          <w:bCs/>
          <w:sz w:val="24"/>
          <w:szCs w:val="24"/>
        </w:rPr>
        <w:t>4.1  递交时间</w:t>
      </w:r>
    </w:p>
    <w:p w14:paraId="2F87821D">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递交文件截止时间（北京时间）：以本项目公告时间为准（逾期递交的响应</w:t>
      </w:r>
    </w:p>
    <w:p w14:paraId="05903135">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文件恕不接受）。</w:t>
      </w:r>
    </w:p>
    <w:p w14:paraId="069B086A">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本项目为电子招标，投标人须在递交投标文件截止时间前完整的将加密电子</w:t>
      </w:r>
    </w:p>
    <w:p w14:paraId="178ACA87">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投标文件（.GPT 格式）上传到全国公共资源交易平台（贵州省）（网址：</w:t>
      </w:r>
    </w:p>
    <w:p w14:paraId="7291AFF1">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ggzy.guizhou.gov.cn ），投标截止时间前未完成投标文件传输的，视为撤回投</w:t>
      </w:r>
    </w:p>
    <w:p w14:paraId="7557C239">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标文件。投标截止时间后，贵州省公共资源交易平台不再接收投标文件。</w:t>
      </w:r>
    </w:p>
    <w:p w14:paraId="68FD7FB7">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rFonts w:hint="eastAsia"/>
          <w:b/>
          <w:sz w:val="24"/>
          <w:szCs w:val="24"/>
        </w:rPr>
        <w:t>4.2 响应文件的修改与撤回</w:t>
      </w:r>
    </w:p>
    <w:p w14:paraId="7B312E4A">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both"/>
        <w:textAlignment w:val="baseline"/>
        <w:rPr>
          <w:rFonts w:hint="eastAsia"/>
          <w:sz w:val="24"/>
          <w:szCs w:val="24"/>
        </w:rPr>
      </w:pPr>
      <w:r>
        <w:rPr>
          <w:rFonts w:hint="eastAsia"/>
          <w:sz w:val="24"/>
          <w:szCs w:val="24"/>
        </w:rPr>
        <w:t>4.</w:t>
      </w:r>
      <w:r>
        <w:rPr>
          <w:rFonts w:hint="eastAsia"/>
          <w:sz w:val="24"/>
          <w:szCs w:val="24"/>
          <w:lang w:val="en-US" w:eastAsia="zh-CN"/>
        </w:rPr>
        <w:t>2</w:t>
      </w:r>
      <w:r>
        <w:rPr>
          <w:rFonts w:hint="eastAsia"/>
          <w:sz w:val="24"/>
          <w:szCs w:val="24"/>
        </w:rPr>
        <w:t>.1 供应商在提交竞标响应文件后，在竞标截止时间前可对其响应文件进行补</w:t>
      </w:r>
    </w:p>
    <w:p w14:paraId="2E50EEFD">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jc w:val="both"/>
        <w:textAlignment w:val="baseline"/>
        <w:rPr>
          <w:sz w:val="24"/>
          <w:szCs w:val="24"/>
        </w:rPr>
      </w:pPr>
      <w:r>
        <w:rPr>
          <w:rFonts w:hint="eastAsia"/>
          <w:sz w:val="24"/>
          <w:szCs w:val="24"/>
        </w:rPr>
        <w:t>充、修改或撤回。</w:t>
      </w:r>
    </w:p>
    <w:p w14:paraId="270A189C">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4.</w:t>
      </w:r>
      <w:r>
        <w:rPr>
          <w:rFonts w:hint="eastAsia"/>
          <w:sz w:val="24"/>
          <w:szCs w:val="24"/>
          <w:lang w:val="en-US" w:eastAsia="zh-CN"/>
        </w:rPr>
        <w:t>2</w:t>
      </w:r>
      <w:r>
        <w:rPr>
          <w:rFonts w:hint="eastAsia"/>
          <w:sz w:val="24"/>
          <w:szCs w:val="24"/>
        </w:rPr>
        <w:t>.2 在投标截止期之后，投标人不得对其投标做任何修改。</w:t>
      </w:r>
    </w:p>
    <w:p w14:paraId="65AE227F">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rFonts w:hint="eastAsia"/>
          <w:sz w:val="24"/>
          <w:szCs w:val="24"/>
        </w:rPr>
        <w:t>4.</w:t>
      </w:r>
      <w:r>
        <w:rPr>
          <w:rFonts w:hint="eastAsia"/>
          <w:sz w:val="24"/>
          <w:szCs w:val="24"/>
          <w:lang w:val="en-US" w:eastAsia="zh-CN"/>
        </w:rPr>
        <w:t>2</w:t>
      </w:r>
      <w:r>
        <w:rPr>
          <w:rFonts w:hint="eastAsia"/>
          <w:sz w:val="24"/>
          <w:szCs w:val="24"/>
        </w:rPr>
        <w:t>.3 从投标截止期至投标人在投标书格式中确定的投标有效期之间的这段时间内，投标人不得撤回其投标。</w:t>
      </w:r>
    </w:p>
    <w:p w14:paraId="6C6732D6">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eastAsia="宋体"/>
          <w:sz w:val="24"/>
          <w:szCs w:val="24"/>
          <w:lang w:val="en-US" w:eastAsia="zh-CN"/>
        </w:rPr>
      </w:pPr>
      <w:r>
        <w:rPr>
          <w:rFonts w:hint="eastAsia"/>
          <w:sz w:val="24"/>
          <w:szCs w:val="24"/>
          <w:lang w:val="en-US" w:eastAsia="zh-CN"/>
        </w:rPr>
        <w:t xml:space="preserve">4.3  </w:t>
      </w:r>
      <w:r>
        <w:rPr>
          <w:rFonts w:hint="eastAsia" w:hAnsi="Times New Roman" w:eastAsia="宋体" w:cs="Times New Roman"/>
          <w:sz w:val="24"/>
          <w:szCs w:val="24"/>
          <w:lang w:val="en-US" w:eastAsia="zh-CN"/>
        </w:rPr>
        <w:t>请供应商提交投标文件前仔细阅读附件“</w:t>
      </w:r>
      <w:r>
        <w:rPr>
          <w:rFonts w:hint="eastAsia" w:hAnsi="Times New Roman" w:eastAsia="宋体" w:cs="Times New Roman"/>
          <w:b/>
          <w:bCs/>
          <w:sz w:val="28"/>
          <w:szCs w:val="28"/>
          <w:lang w:val="en-US" w:eastAsia="zh-CN"/>
        </w:rPr>
        <w:t>非公开招标电子招标不见面开标须知</w:t>
      </w:r>
      <w:r>
        <w:rPr>
          <w:rFonts w:hint="eastAsia" w:hAnsi="Times New Roman" w:eastAsia="宋体" w:cs="Times New Roman"/>
          <w:sz w:val="24"/>
          <w:szCs w:val="24"/>
          <w:lang w:val="en-US" w:eastAsia="zh-CN"/>
        </w:rPr>
        <w:t>”</w:t>
      </w:r>
    </w:p>
    <w:p w14:paraId="23D0A7D6">
      <w:pPr>
        <w:keepNext w:val="0"/>
        <w:keepLines w:val="0"/>
        <w:pageBreakBefore w:val="0"/>
        <w:kinsoku/>
        <w:wordWrap/>
        <w:overflowPunct/>
        <w:topLinePunct w:val="0"/>
        <w:bidi w:val="0"/>
        <w:adjustRightInd w:val="0"/>
        <w:snapToGrid w:val="0"/>
        <w:spacing w:line="440" w:lineRule="exact"/>
        <w:jc w:val="both"/>
        <w:textAlignment w:val="baseline"/>
        <w:rPr>
          <w:rFonts w:hint="eastAsia"/>
          <w:sz w:val="24"/>
          <w:szCs w:val="24"/>
        </w:rPr>
      </w:pPr>
    </w:p>
    <w:p w14:paraId="4B295F6A">
      <w:pPr>
        <w:keepNext w:val="0"/>
        <w:keepLines w:val="0"/>
        <w:pageBreakBefore w:val="0"/>
        <w:kinsoku/>
        <w:wordWrap/>
        <w:overflowPunct/>
        <w:topLinePunct w:val="0"/>
        <w:bidi w:val="0"/>
        <w:adjustRightInd w:val="0"/>
        <w:snapToGrid w:val="0"/>
        <w:spacing w:line="440" w:lineRule="exact"/>
        <w:textAlignment w:val="baseline"/>
        <w:rPr>
          <w:b/>
          <w:sz w:val="24"/>
          <w:szCs w:val="24"/>
        </w:rPr>
      </w:pPr>
      <w:bookmarkStart w:id="12" w:name="_Toc184785925"/>
      <w:bookmarkStart w:id="13" w:name="_Toc189469153"/>
      <w:r>
        <w:rPr>
          <w:rFonts w:hint="eastAsia"/>
          <w:b/>
          <w:sz w:val="24"/>
          <w:szCs w:val="24"/>
        </w:rPr>
        <w:t>五、</w:t>
      </w:r>
      <w:bookmarkEnd w:id="12"/>
      <w:bookmarkEnd w:id="13"/>
      <w:r>
        <w:rPr>
          <w:rFonts w:hint="eastAsia"/>
          <w:b/>
          <w:sz w:val="24"/>
          <w:szCs w:val="24"/>
        </w:rPr>
        <w:t>评审程序和评审方法</w:t>
      </w:r>
    </w:p>
    <w:p w14:paraId="7E0DAEE0">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5.</w:t>
      </w:r>
      <w:r>
        <w:rPr>
          <w:rFonts w:hint="eastAsia"/>
          <w:b/>
          <w:sz w:val="24"/>
          <w:szCs w:val="24"/>
        </w:rPr>
        <w:t>1</w:t>
      </w:r>
      <w:r>
        <w:rPr>
          <w:b/>
          <w:sz w:val="24"/>
          <w:szCs w:val="24"/>
        </w:rPr>
        <w:t xml:space="preserve"> </w:t>
      </w:r>
      <w:r>
        <w:rPr>
          <w:rFonts w:hint="eastAsia"/>
          <w:b/>
          <w:sz w:val="24"/>
          <w:szCs w:val="24"/>
        </w:rPr>
        <w:t>磋商小组</w:t>
      </w:r>
    </w:p>
    <w:p w14:paraId="4236CC8F">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sz w:val="24"/>
          <w:szCs w:val="24"/>
        </w:rPr>
      </w:pPr>
      <w:r>
        <w:rPr>
          <w:rFonts w:hint="eastAsia"/>
          <w:sz w:val="24"/>
          <w:szCs w:val="24"/>
        </w:rPr>
        <w:t>由贵州省综合评标专家库专家及采购人代表3人或以上单数组成。</w:t>
      </w:r>
    </w:p>
    <w:p w14:paraId="788D1D04">
      <w:pPr>
        <w:pStyle w:val="3"/>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5.</w:t>
      </w:r>
      <w:r>
        <w:rPr>
          <w:rFonts w:hint="eastAsia"/>
          <w:b/>
          <w:sz w:val="24"/>
          <w:szCs w:val="24"/>
        </w:rPr>
        <w:t>2</w:t>
      </w:r>
      <w:r>
        <w:rPr>
          <w:b/>
          <w:sz w:val="24"/>
          <w:szCs w:val="24"/>
        </w:rPr>
        <w:t xml:space="preserve"> </w:t>
      </w:r>
      <w:r>
        <w:rPr>
          <w:rFonts w:hint="eastAsia"/>
          <w:b/>
          <w:sz w:val="24"/>
          <w:szCs w:val="24"/>
        </w:rPr>
        <w:t>响应文件的澄清</w:t>
      </w:r>
    </w:p>
    <w:p w14:paraId="7797F09B">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cs="宋体"/>
          <w:snapToGrid w:val="0"/>
          <w:sz w:val="24"/>
          <w:szCs w:val="24"/>
        </w:rPr>
      </w:pPr>
      <w:r>
        <w:rPr>
          <w:rFonts w:hint="eastAsia" w:cs="宋体"/>
          <w:snapToGrid w:val="0"/>
          <w:sz w:val="24"/>
          <w:szCs w:val="24"/>
        </w:rPr>
        <w:t>5.2.1 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14:paraId="636F6456">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cs="宋体"/>
          <w:snapToGrid w:val="0"/>
          <w:sz w:val="24"/>
          <w:szCs w:val="24"/>
        </w:rPr>
      </w:pPr>
      <w:r>
        <w:rPr>
          <w:rFonts w:hint="eastAsia" w:cs="宋体"/>
          <w:snapToGrid w:val="0"/>
          <w:sz w:val="24"/>
          <w:szCs w:val="24"/>
        </w:rPr>
        <w:t>5.2.2 磋商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14:paraId="3D724DD4">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b/>
          <w:bCs/>
          <w:sz w:val="24"/>
          <w:szCs w:val="24"/>
        </w:rPr>
      </w:pPr>
      <w:r>
        <w:rPr>
          <w:b/>
          <w:bCs/>
          <w:sz w:val="24"/>
          <w:szCs w:val="24"/>
        </w:rPr>
        <w:t>5.</w:t>
      </w:r>
      <w:r>
        <w:rPr>
          <w:rFonts w:hint="eastAsia"/>
          <w:b/>
          <w:bCs/>
          <w:sz w:val="24"/>
          <w:szCs w:val="24"/>
        </w:rPr>
        <w:t>3</w:t>
      </w:r>
      <w:r>
        <w:rPr>
          <w:b/>
          <w:bCs/>
          <w:sz w:val="24"/>
          <w:szCs w:val="24"/>
        </w:rPr>
        <w:t xml:space="preserve"> </w:t>
      </w:r>
      <w:r>
        <w:rPr>
          <w:rFonts w:hint="eastAsia"/>
          <w:b/>
          <w:bCs/>
          <w:sz w:val="24"/>
          <w:szCs w:val="24"/>
        </w:rPr>
        <w:t>响应文件的初审</w:t>
      </w:r>
    </w:p>
    <w:p w14:paraId="17CAA959">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sz w:val="24"/>
          <w:szCs w:val="24"/>
        </w:rPr>
      </w:pPr>
      <w:r>
        <w:rPr>
          <w:sz w:val="24"/>
          <w:szCs w:val="24"/>
        </w:rPr>
        <w:t>5.</w:t>
      </w:r>
      <w:r>
        <w:rPr>
          <w:rFonts w:hint="eastAsia"/>
          <w:sz w:val="24"/>
          <w:szCs w:val="24"/>
        </w:rPr>
        <w:t>3</w:t>
      </w:r>
      <w:r>
        <w:rPr>
          <w:sz w:val="24"/>
          <w:szCs w:val="24"/>
        </w:rPr>
        <w:t>.</w:t>
      </w:r>
      <w:r>
        <w:rPr>
          <w:rFonts w:hint="eastAsia"/>
          <w:sz w:val="24"/>
          <w:szCs w:val="24"/>
        </w:rPr>
        <w:t>1</w:t>
      </w:r>
      <w:r>
        <w:rPr>
          <w:sz w:val="24"/>
          <w:szCs w:val="24"/>
        </w:rPr>
        <w:t xml:space="preserve"> </w:t>
      </w:r>
      <w:r>
        <w:rPr>
          <w:rFonts w:hint="eastAsia"/>
          <w:sz w:val="24"/>
          <w:szCs w:val="24"/>
        </w:rPr>
        <w:t>磋商小组将要审查每份响应文件是否实质上响应了竞争性磋商文件的要求，磋商小组决定投标的响应性只根据响应文件本身的内容，而不寻求外部的证据。若通过初步审查（资格审查及符合性审查的有效供应商不足三家，作废标处理）</w:t>
      </w:r>
    </w:p>
    <w:p w14:paraId="507C225E">
      <w:pPr>
        <w:keepNext w:val="0"/>
        <w:keepLines w:val="0"/>
        <w:pageBreakBefore w:val="0"/>
        <w:tabs>
          <w:tab w:val="left" w:pos="510"/>
        </w:tabs>
        <w:kinsoku/>
        <w:wordWrap/>
        <w:overflowPunct/>
        <w:topLinePunct w:val="0"/>
        <w:bidi w:val="0"/>
        <w:adjustRightInd w:val="0"/>
        <w:snapToGrid w:val="0"/>
        <w:spacing w:line="440" w:lineRule="exact"/>
        <w:ind w:firstLine="484" w:firstLineChars="201"/>
        <w:jc w:val="both"/>
        <w:textAlignment w:val="baseline"/>
        <w:rPr>
          <w:b/>
          <w:sz w:val="24"/>
          <w:szCs w:val="24"/>
        </w:rPr>
      </w:pPr>
      <w:r>
        <w:rPr>
          <w:b/>
          <w:sz w:val="24"/>
          <w:szCs w:val="24"/>
        </w:rPr>
        <w:t>5.</w:t>
      </w:r>
      <w:r>
        <w:rPr>
          <w:rFonts w:hint="eastAsia"/>
          <w:b/>
          <w:sz w:val="24"/>
          <w:szCs w:val="24"/>
        </w:rPr>
        <w:t>4</w:t>
      </w:r>
      <w:r>
        <w:rPr>
          <w:b/>
          <w:sz w:val="24"/>
          <w:szCs w:val="24"/>
        </w:rPr>
        <w:t xml:space="preserve"> </w:t>
      </w:r>
      <w:r>
        <w:rPr>
          <w:rFonts w:hint="eastAsia"/>
          <w:b/>
          <w:sz w:val="24"/>
          <w:szCs w:val="24"/>
        </w:rPr>
        <w:t>评审方法</w:t>
      </w:r>
    </w:p>
    <w:p w14:paraId="19CC53E4">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cs="宋体"/>
          <w:b/>
          <w:snapToGrid w:val="0"/>
          <w:sz w:val="24"/>
          <w:szCs w:val="24"/>
        </w:rPr>
      </w:pPr>
      <w:r>
        <w:rPr>
          <w:rFonts w:hint="eastAsia" w:cs="宋体"/>
          <w:b/>
          <w:snapToGrid w:val="0"/>
          <w:sz w:val="24"/>
          <w:szCs w:val="24"/>
        </w:rPr>
        <w:t>5.4.1 磋商过程</w:t>
      </w:r>
    </w:p>
    <w:p w14:paraId="794CD49E">
      <w:pPr>
        <w:keepNext w:val="0"/>
        <w:keepLines w:val="0"/>
        <w:pageBreakBefore w:val="0"/>
        <w:kinsoku/>
        <w:wordWrap/>
        <w:overflowPunct/>
        <w:topLinePunct w:val="0"/>
        <w:bidi w:val="0"/>
        <w:adjustRightInd w:val="0"/>
        <w:snapToGrid w:val="0"/>
        <w:spacing w:line="440" w:lineRule="exact"/>
        <w:ind w:firstLine="482" w:firstLineChars="201"/>
        <w:jc w:val="both"/>
        <w:textAlignment w:val="baseline"/>
        <w:rPr>
          <w:rFonts w:hint="eastAsia" w:cs="宋体"/>
          <w:snapToGrid w:val="0"/>
          <w:sz w:val="24"/>
          <w:szCs w:val="24"/>
        </w:rPr>
      </w:pPr>
      <w:r>
        <w:rPr>
          <w:rFonts w:hint="eastAsia" w:cs="宋体"/>
          <w:snapToGrid w:val="0"/>
          <w:sz w:val="24"/>
          <w:szCs w:val="24"/>
        </w:rPr>
        <w:t>5.4.1.1 磋商小组所有成员应当集中与单一投标人分别进行磋商，并给予所有参加磋商的投标人平等的磋商机会。</w:t>
      </w:r>
    </w:p>
    <w:p w14:paraId="35F3DA18">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cs="宋体"/>
          <w:snapToGrid w:val="0"/>
          <w:sz w:val="24"/>
          <w:szCs w:val="24"/>
        </w:rPr>
      </w:pPr>
      <w:r>
        <w:rPr>
          <w:rFonts w:hint="eastAsia" w:cs="宋体"/>
          <w:snapToGrid w:val="0"/>
          <w:sz w:val="24"/>
          <w:szCs w:val="24"/>
        </w:rPr>
        <w:t>5.4.1.2 在磋商过程中，磋商小组可以根据磋商文件和磋商情况实质性变动采购需求中的服务要求以及合同草案条款，但不得变动磋商文件中的其他内容。对磋商文件作出的实质性变动是磋商文件的有效组成部分，磋商小组应当及时以书面形式同时通知所有参加磋商的投标人。投标人应当按照磋商文件的变动情况和磋商小组的要求重新提交响应文件，并由其法定代表人或授权代表签字。</w:t>
      </w:r>
    </w:p>
    <w:p w14:paraId="282418DD">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cs="宋体"/>
          <w:snapToGrid w:val="0"/>
          <w:sz w:val="24"/>
          <w:szCs w:val="24"/>
        </w:rPr>
      </w:pPr>
      <w:r>
        <w:rPr>
          <w:rFonts w:hint="eastAsia" w:cs="宋体"/>
          <w:snapToGrid w:val="0"/>
          <w:sz w:val="24"/>
          <w:szCs w:val="24"/>
        </w:rPr>
        <w:t>5.4.1.3 最后一轮磋商结束后，所有实质性响应的投标人须提交最后（二次）报价（以书面形式确认，并由磋商投标人授权代表签署）。</w:t>
      </w:r>
    </w:p>
    <w:p w14:paraId="3AFC75E2">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cs="宋体"/>
          <w:snapToGrid w:val="0"/>
          <w:sz w:val="24"/>
          <w:szCs w:val="24"/>
        </w:rPr>
      </w:pPr>
      <w:r>
        <w:rPr>
          <w:rFonts w:hint="eastAsia" w:cs="宋体"/>
          <w:snapToGrid w:val="0"/>
          <w:sz w:val="24"/>
          <w:szCs w:val="24"/>
        </w:rPr>
        <w:t>5.4.1.4 被磋商小组认定为未实质性响应磋商文件的响应文件，投标人不再进入下一轮磋商报价。</w:t>
      </w:r>
    </w:p>
    <w:p w14:paraId="4191985D">
      <w:pPr>
        <w:keepNext w:val="0"/>
        <w:keepLines w:val="0"/>
        <w:pageBreakBefore w:val="0"/>
        <w:widowControl/>
        <w:kinsoku/>
        <w:wordWrap/>
        <w:overflowPunct/>
        <w:topLinePunct w:val="0"/>
        <w:bidi w:val="0"/>
        <w:adjustRightInd w:val="0"/>
        <w:snapToGrid w:val="0"/>
        <w:spacing w:line="440" w:lineRule="exact"/>
        <w:ind w:firstLine="482" w:firstLineChars="201"/>
        <w:textAlignment w:val="baseline"/>
        <w:rPr>
          <w:rFonts w:hint="eastAsia"/>
          <w:b/>
          <w:sz w:val="24"/>
          <w:szCs w:val="24"/>
        </w:rPr>
      </w:pPr>
      <w:r>
        <w:rPr>
          <w:rFonts w:hint="eastAsia"/>
          <w:snapToGrid w:val="0"/>
          <w:sz w:val="24"/>
          <w:szCs w:val="24"/>
        </w:rPr>
        <w:t>5.5.1.5 经磋商确定</w:t>
      </w:r>
      <w:r>
        <w:rPr>
          <w:rFonts w:hint="eastAsia"/>
          <w:bCs/>
          <w:snapToGrid w:val="0"/>
          <w:sz w:val="24"/>
          <w:szCs w:val="24"/>
        </w:rPr>
        <w:t>最终采购需求和提交最后（二次）报价的投标人后，由磋商小组采用综合评分法对的投标人的响应文件和最后报价进行综合评分。</w:t>
      </w:r>
    </w:p>
    <w:p w14:paraId="71809788">
      <w:pPr>
        <w:keepNext w:val="0"/>
        <w:keepLines w:val="0"/>
        <w:pageBreakBefore w:val="0"/>
        <w:kinsoku/>
        <w:wordWrap/>
        <w:overflowPunct/>
        <w:topLinePunct w:val="0"/>
        <w:bidi w:val="0"/>
        <w:adjustRightInd w:val="0"/>
        <w:snapToGrid w:val="0"/>
        <w:spacing w:line="440" w:lineRule="exact"/>
        <w:ind w:firstLine="484" w:firstLineChars="201"/>
        <w:jc w:val="both"/>
        <w:textAlignment w:val="baseline"/>
        <w:rPr>
          <w:rFonts w:hint="eastAsia"/>
          <w:b/>
          <w:sz w:val="24"/>
          <w:szCs w:val="24"/>
        </w:rPr>
      </w:pPr>
      <w:r>
        <w:rPr>
          <w:rFonts w:hint="eastAsia"/>
          <w:b/>
          <w:sz w:val="24"/>
          <w:szCs w:val="24"/>
        </w:rPr>
        <w:t>5.4.2 确定成交供应商</w:t>
      </w:r>
    </w:p>
    <w:p w14:paraId="06EE1C08">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5.4.2.1 磋商结束后，采购人在磋商小组推荐的成交候选人排名中，确定最终成交供应商。</w:t>
      </w:r>
    </w:p>
    <w:p w14:paraId="67476CFE">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5.4.2.2 采购代理机构将</w:t>
      </w:r>
      <w:r>
        <w:rPr>
          <w:sz w:val="24"/>
          <w:szCs w:val="24"/>
        </w:rPr>
        <w:t>在</w:t>
      </w:r>
      <w:r>
        <w:rPr>
          <w:rFonts w:hint="eastAsia"/>
          <w:sz w:val="24"/>
          <w:szCs w:val="24"/>
        </w:rPr>
        <w:t>磋商公告发布的媒体上</w:t>
      </w:r>
      <w:r>
        <w:rPr>
          <w:sz w:val="24"/>
          <w:szCs w:val="24"/>
        </w:rPr>
        <w:t>公示</w:t>
      </w:r>
      <w:r>
        <w:rPr>
          <w:rFonts w:hint="eastAsia"/>
          <w:sz w:val="24"/>
          <w:szCs w:val="24"/>
        </w:rPr>
        <w:t>成交</w:t>
      </w:r>
      <w:r>
        <w:rPr>
          <w:sz w:val="24"/>
          <w:szCs w:val="24"/>
        </w:rPr>
        <w:t>结果。</w:t>
      </w:r>
    </w:p>
    <w:p w14:paraId="1B35D7A3">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5.4.2.3 确定服务后，采购代理机构将以书面形式向供应商发出《成交通知书》，《成交通知书》一经发出即发生法律效力。</w:t>
      </w:r>
    </w:p>
    <w:p w14:paraId="1AD58FF8">
      <w:pPr>
        <w:keepNext w:val="0"/>
        <w:keepLines w:val="0"/>
        <w:pageBreakBefore w:val="0"/>
        <w:kinsoku/>
        <w:wordWrap/>
        <w:overflowPunct/>
        <w:topLinePunct w:val="0"/>
        <w:bidi w:val="0"/>
        <w:adjustRightInd w:val="0"/>
        <w:snapToGrid w:val="0"/>
        <w:spacing w:line="440" w:lineRule="exact"/>
        <w:ind w:firstLine="482" w:firstLineChars="201"/>
        <w:textAlignment w:val="baseline"/>
        <w:rPr>
          <w:rFonts w:hint="eastAsia"/>
          <w:sz w:val="24"/>
          <w:szCs w:val="24"/>
        </w:rPr>
      </w:pPr>
      <w:r>
        <w:rPr>
          <w:rFonts w:hint="eastAsia"/>
          <w:sz w:val="24"/>
          <w:szCs w:val="24"/>
        </w:rPr>
        <w:t>5.4.2.4《磋商文件》、《磋商文件》澄清文件、《响应文件》、《响应文件》澄清文件和《成交通知书》将作为签订合同的依据。</w:t>
      </w:r>
      <w:bookmarkStart w:id="14" w:name="_Toc184785926"/>
      <w:bookmarkStart w:id="15" w:name="_Toc189469154"/>
    </w:p>
    <w:p w14:paraId="44C3ABBD">
      <w:pPr>
        <w:keepNext w:val="0"/>
        <w:keepLines w:val="0"/>
        <w:pageBreakBefore w:val="0"/>
        <w:kinsoku/>
        <w:wordWrap/>
        <w:overflowPunct/>
        <w:topLinePunct w:val="0"/>
        <w:bidi w:val="0"/>
        <w:adjustRightInd w:val="0"/>
        <w:snapToGrid w:val="0"/>
        <w:spacing w:line="440" w:lineRule="exact"/>
        <w:textAlignment w:val="baseline"/>
        <w:rPr>
          <w:rFonts w:hint="eastAsia"/>
          <w:sz w:val="24"/>
          <w:szCs w:val="24"/>
        </w:rPr>
      </w:pPr>
    </w:p>
    <w:p w14:paraId="66E6C2A9">
      <w:pPr>
        <w:keepNext w:val="0"/>
        <w:keepLines w:val="0"/>
        <w:pageBreakBefore w:val="0"/>
        <w:kinsoku/>
        <w:wordWrap/>
        <w:overflowPunct/>
        <w:topLinePunct w:val="0"/>
        <w:bidi w:val="0"/>
        <w:adjustRightInd w:val="0"/>
        <w:snapToGrid w:val="0"/>
        <w:spacing w:line="440" w:lineRule="exact"/>
        <w:textAlignment w:val="baseline"/>
        <w:rPr>
          <w:rFonts w:hint="eastAsia"/>
          <w:sz w:val="24"/>
          <w:szCs w:val="24"/>
        </w:rPr>
      </w:pPr>
      <w:r>
        <w:rPr>
          <w:rFonts w:hint="eastAsia"/>
          <w:b/>
          <w:sz w:val="24"/>
          <w:szCs w:val="24"/>
        </w:rPr>
        <w:t>六、磋商纪律、原则</w:t>
      </w:r>
      <w:bookmarkEnd w:id="14"/>
      <w:bookmarkEnd w:id="15"/>
    </w:p>
    <w:p w14:paraId="4E46582A">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6.1 </w:t>
      </w:r>
      <w:r>
        <w:rPr>
          <w:rFonts w:hint="eastAsia"/>
          <w:sz w:val="24"/>
          <w:szCs w:val="24"/>
        </w:rPr>
        <w:t>评审工作应严格遵守《中华人民共和国政府采购法》及有关政策、法令，保护采购单位、投标人的合法权益，做到公正、公开、公平，遵循竞争、择优的原则。</w:t>
      </w:r>
    </w:p>
    <w:p w14:paraId="6F04EDE0">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6.2 </w:t>
      </w:r>
      <w:r>
        <w:rPr>
          <w:rFonts w:hint="eastAsia"/>
          <w:sz w:val="24"/>
          <w:szCs w:val="24"/>
        </w:rPr>
        <w:t>评审工作由磋商小组进行，磋商小组由专家和采购人的代表组成，采购人参加现场人数不得超过</w:t>
      </w:r>
      <w:r>
        <w:rPr>
          <w:sz w:val="24"/>
          <w:szCs w:val="24"/>
        </w:rPr>
        <w:t>3</w:t>
      </w:r>
      <w:r>
        <w:rPr>
          <w:rFonts w:hint="eastAsia"/>
          <w:sz w:val="24"/>
          <w:szCs w:val="24"/>
        </w:rPr>
        <w:t>人。</w:t>
      </w:r>
    </w:p>
    <w:p w14:paraId="0EC5ECC6">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6.3 </w:t>
      </w:r>
      <w:r>
        <w:rPr>
          <w:rFonts w:hint="eastAsia"/>
          <w:sz w:val="24"/>
          <w:szCs w:val="24"/>
        </w:rPr>
        <w:t>评委及有关人员应严格遵循国家的有关法律、法令、公正廉洁，不徇私情，应当客观、公正地履行职务、遵守职业道德。</w:t>
      </w:r>
    </w:p>
    <w:p w14:paraId="273879D0">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6.5 </w:t>
      </w:r>
      <w:r>
        <w:rPr>
          <w:rFonts w:hint="eastAsia"/>
          <w:sz w:val="24"/>
          <w:szCs w:val="24"/>
        </w:rPr>
        <w:t>磋商期间，评委和有关工作人员必须严格遵守磋商工作纪律和保密的规定，不得以任何形式，将磋商情况和投标情况透露给与投标有关的单位和个人；如有违反，将按照有关法律、法规的规定进行处理。</w:t>
      </w:r>
    </w:p>
    <w:p w14:paraId="286749A5">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6.6 </w:t>
      </w:r>
      <w:r>
        <w:rPr>
          <w:rFonts w:hint="eastAsia"/>
          <w:sz w:val="24"/>
          <w:szCs w:val="24"/>
        </w:rPr>
        <w:t>从磋商之日起，至《成交通知书》发出之日止，任何投标人不得与评委、采购单位及有关工作人员私下接触或联系。投标人企图影响评审的任何活动或采用不正当手段骗取成交的</w:t>
      </w:r>
      <w:r>
        <w:rPr>
          <w:sz w:val="24"/>
          <w:szCs w:val="24"/>
        </w:rPr>
        <w:t>，</w:t>
      </w:r>
      <w:r>
        <w:rPr>
          <w:rFonts w:hint="eastAsia"/>
          <w:sz w:val="24"/>
          <w:szCs w:val="24"/>
        </w:rPr>
        <w:t>成交无效</w:t>
      </w:r>
      <w:r>
        <w:rPr>
          <w:sz w:val="24"/>
          <w:szCs w:val="24"/>
        </w:rPr>
        <w:t>，</w:t>
      </w:r>
      <w:r>
        <w:rPr>
          <w:rFonts w:hint="eastAsia"/>
          <w:sz w:val="24"/>
          <w:szCs w:val="24"/>
        </w:rPr>
        <w:t>并将依照《中华人民共和国政府采购法》及有关法规进行处理。</w:t>
      </w:r>
    </w:p>
    <w:p w14:paraId="077D37D4">
      <w:pPr>
        <w:keepNext w:val="0"/>
        <w:keepLines w:val="0"/>
        <w:pageBreakBefore w:val="0"/>
        <w:kinsoku/>
        <w:wordWrap/>
        <w:overflowPunct/>
        <w:topLinePunct w:val="0"/>
        <w:bidi w:val="0"/>
        <w:adjustRightInd w:val="0"/>
        <w:snapToGrid w:val="0"/>
        <w:spacing w:line="440" w:lineRule="exact"/>
        <w:ind w:right="-170" w:rightChars="-50" w:firstLine="484" w:firstLineChars="202"/>
        <w:textAlignment w:val="baseline"/>
        <w:rPr>
          <w:sz w:val="24"/>
          <w:szCs w:val="24"/>
        </w:rPr>
      </w:pPr>
      <w:r>
        <w:rPr>
          <w:sz w:val="24"/>
          <w:szCs w:val="24"/>
        </w:rPr>
        <w:t xml:space="preserve">6.7 </w:t>
      </w:r>
      <w:r>
        <w:rPr>
          <w:rFonts w:hint="eastAsia"/>
          <w:sz w:val="24"/>
          <w:szCs w:val="24"/>
        </w:rPr>
        <w:t>评审的依据是竞争性磋商文件的规定和要求，以及响应文件和磋商小组审核的响应文件的补充资料，而不是其他任何资料。</w:t>
      </w:r>
    </w:p>
    <w:p w14:paraId="2EDAB6D1">
      <w:pPr>
        <w:keepNext w:val="0"/>
        <w:keepLines w:val="0"/>
        <w:pageBreakBefore w:val="0"/>
        <w:kinsoku/>
        <w:wordWrap/>
        <w:overflowPunct/>
        <w:topLinePunct w:val="0"/>
        <w:bidi w:val="0"/>
        <w:adjustRightInd w:val="0"/>
        <w:snapToGrid w:val="0"/>
        <w:spacing w:line="440" w:lineRule="exact"/>
        <w:ind w:firstLine="484" w:firstLineChars="202"/>
        <w:textAlignment w:val="baseline"/>
        <w:rPr>
          <w:rFonts w:hint="eastAsia"/>
          <w:sz w:val="24"/>
          <w:szCs w:val="24"/>
        </w:rPr>
      </w:pPr>
      <w:r>
        <w:rPr>
          <w:sz w:val="24"/>
          <w:szCs w:val="24"/>
        </w:rPr>
        <w:t xml:space="preserve">6.8 </w:t>
      </w:r>
      <w:r>
        <w:rPr>
          <w:rFonts w:hint="eastAsia"/>
          <w:sz w:val="24"/>
          <w:szCs w:val="24"/>
        </w:rPr>
        <w:t>磋商小组有权要求投标人对响应文件中不明确的地方作出解释和澄清，并用书面方式予以确认。澄清后满足要求的，按有效标接收。</w:t>
      </w:r>
    </w:p>
    <w:p w14:paraId="084D14BC">
      <w:pPr>
        <w:keepNext w:val="0"/>
        <w:keepLines w:val="0"/>
        <w:pageBreakBefore w:val="0"/>
        <w:kinsoku/>
        <w:wordWrap/>
        <w:overflowPunct/>
        <w:topLinePunct w:val="0"/>
        <w:bidi w:val="0"/>
        <w:adjustRightInd w:val="0"/>
        <w:snapToGrid w:val="0"/>
        <w:spacing w:line="440" w:lineRule="exact"/>
        <w:ind w:firstLine="484" w:firstLineChars="202"/>
        <w:textAlignment w:val="baseline"/>
        <w:rPr>
          <w:sz w:val="24"/>
          <w:szCs w:val="24"/>
        </w:rPr>
      </w:pPr>
      <w:r>
        <w:rPr>
          <w:sz w:val="24"/>
          <w:szCs w:val="24"/>
        </w:rPr>
        <w:t xml:space="preserve">6.9 </w:t>
      </w:r>
      <w:r>
        <w:rPr>
          <w:rFonts w:hint="eastAsia"/>
          <w:sz w:val="24"/>
          <w:szCs w:val="24"/>
        </w:rPr>
        <w:t>磋商小组按照《中华人民共和国政府采购法》及相关规定，依据竞争性磋商文件的规定和要求，就响应文件提供的资格、资质、资信证明文件，以及有关资料，对投标人的资格进行确认后，并按照竞争性磋商文件中规定的评审办法进行评议。</w:t>
      </w:r>
    </w:p>
    <w:p w14:paraId="53A7CAB2">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sz w:val="24"/>
          <w:szCs w:val="24"/>
        </w:rPr>
        <w:t xml:space="preserve">6.10 </w:t>
      </w:r>
      <w:r>
        <w:rPr>
          <w:rFonts w:hint="eastAsia"/>
          <w:sz w:val="24"/>
          <w:szCs w:val="24"/>
        </w:rPr>
        <w:t>评委对评审结果共同负责，并在《评审报告》上签名确认。</w:t>
      </w:r>
    </w:p>
    <w:p w14:paraId="0DCF198B">
      <w:pPr>
        <w:keepNext w:val="0"/>
        <w:keepLines w:val="0"/>
        <w:pageBreakBefore w:val="0"/>
        <w:kinsoku/>
        <w:wordWrap/>
        <w:overflowPunct/>
        <w:topLinePunct w:val="0"/>
        <w:bidi w:val="0"/>
        <w:adjustRightInd w:val="0"/>
        <w:snapToGrid w:val="0"/>
        <w:spacing w:line="440" w:lineRule="exact"/>
        <w:jc w:val="both"/>
        <w:textAlignment w:val="baseline"/>
        <w:rPr>
          <w:rFonts w:hint="eastAsia"/>
          <w:sz w:val="24"/>
          <w:szCs w:val="24"/>
        </w:rPr>
      </w:pPr>
    </w:p>
    <w:p w14:paraId="5102EA65">
      <w:pPr>
        <w:keepNext w:val="0"/>
        <w:keepLines w:val="0"/>
        <w:pageBreakBefore w:val="0"/>
        <w:kinsoku/>
        <w:wordWrap/>
        <w:overflowPunct/>
        <w:topLinePunct w:val="0"/>
        <w:bidi w:val="0"/>
        <w:adjustRightInd w:val="0"/>
        <w:snapToGrid w:val="0"/>
        <w:spacing w:line="440" w:lineRule="exact"/>
        <w:jc w:val="both"/>
        <w:textAlignment w:val="baseline"/>
        <w:rPr>
          <w:sz w:val="24"/>
          <w:szCs w:val="24"/>
        </w:rPr>
      </w:pPr>
      <w:r>
        <w:rPr>
          <w:rFonts w:hint="eastAsia"/>
          <w:b/>
          <w:sz w:val="24"/>
          <w:szCs w:val="24"/>
        </w:rPr>
        <w:t>七、合同的授予</w:t>
      </w:r>
    </w:p>
    <w:p w14:paraId="5AA0DE9F">
      <w:pPr>
        <w:keepNext w:val="0"/>
        <w:keepLines w:val="0"/>
        <w:pageBreakBefore w:val="0"/>
        <w:kinsoku/>
        <w:wordWrap/>
        <w:overflowPunct/>
        <w:topLinePunct w:val="0"/>
        <w:bidi w:val="0"/>
        <w:adjustRightInd w:val="0"/>
        <w:snapToGrid w:val="0"/>
        <w:spacing w:line="440" w:lineRule="exact"/>
        <w:jc w:val="both"/>
        <w:textAlignment w:val="baseline"/>
        <w:rPr>
          <w:rFonts w:hint="eastAsia"/>
          <w:b/>
          <w:bCs/>
          <w:sz w:val="24"/>
          <w:szCs w:val="24"/>
        </w:rPr>
      </w:pPr>
      <w:r>
        <w:rPr>
          <w:rFonts w:hint="eastAsia"/>
          <w:b/>
          <w:bCs/>
          <w:sz w:val="24"/>
          <w:szCs w:val="24"/>
        </w:rPr>
        <w:t>7.1 质疑</w:t>
      </w:r>
    </w:p>
    <w:p w14:paraId="4C1D0935">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sz w:val="24"/>
          <w:szCs w:val="24"/>
        </w:rPr>
        <w:t xml:space="preserve">7.1.1 </w:t>
      </w:r>
      <w:r>
        <w:rPr>
          <w:sz w:val="24"/>
          <w:szCs w:val="24"/>
        </w:rPr>
        <w:t>对本项目</w:t>
      </w:r>
      <w:r>
        <w:rPr>
          <w:rFonts w:hint="eastAsia"/>
          <w:sz w:val="24"/>
          <w:szCs w:val="24"/>
        </w:rPr>
        <w:t>成交结果存在</w:t>
      </w:r>
      <w:r>
        <w:rPr>
          <w:sz w:val="24"/>
          <w:szCs w:val="24"/>
        </w:rPr>
        <w:t>质疑的投标人</w:t>
      </w:r>
      <w:r>
        <w:rPr>
          <w:rFonts w:hint="eastAsia"/>
          <w:sz w:val="24"/>
          <w:szCs w:val="24"/>
        </w:rPr>
        <w:t>，可以在法定质疑</w:t>
      </w:r>
      <w:r>
        <w:rPr>
          <w:sz w:val="24"/>
          <w:szCs w:val="24"/>
        </w:rPr>
        <w:t>期内</w:t>
      </w:r>
      <w:r>
        <w:rPr>
          <w:rFonts w:hint="eastAsia"/>
          <w:sz w:val="24"/>
          <w:szCs w:val="24"/>
        </w:rPr>
        <w:t>一次性提出针对同一采购程序环节的质疑，采用书面原件形式列举具体理由，同时提交有效证据</w:t>
      </w:r>
      <w:r>
        <w:rPr>
          <w:sz w:val="24"/>
          <w:szCs w:val="24"/>
        </w:rPr>
        <w:t>向</w:t>
      </w:r>
      <w:r>
        <w:rPr>
          <w:rFonts w:hint="eastAsia"/>
          <w:sz w:val="24"/>
          <w:szCs w:val="24"/>
        </w:rPr>
        <w:t>采购代理机构</w:t>
      </w:r>
      <w:r>
        <w:rPr>
          <w:sz w:val="24"/>
          <w:szCs w:val="24"/>
        </w:rPr>
        <w:t>提出质疑。</w:t>
      </w:r>
      <w:r>
        <w:rPr>
          <w:rFonts w:hint="eastAsia"/>
          <w:sz w:val="24"/>
          <w:szCs w:val="24"/>
        </w:rPr>
        <w:t>报名截止之日起7个工作日内，投标人对竞争性磋商文件没有提出质疑的，将被视为完全认同竞争性磋商文件。</w:t>
      </w:r>
    </w:p>
    <w:p w14:paraId="51A4A6D8">
      <w:pPr>
        <w:pStyle w:val="3"/>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sz w:val="24"/>
          <w:szCs w:val="24"/>
        </w:rPr>
        <w:t>7.1.2 投标人行使质疑权时，</w:t>
      </w:r>
      <w:r>
        <w:rPr>
          <w:rFonts w:hint="eastAsia"/>
          <w:b/>
          <w:sz w:val="24"/>
          <w:szCs w:val="24"/>
        </w:rPr>
        <w:t>须坚持“谁质疑谁举证”，遵守“实事求是”和“谨慎性”原则，承担使用虚假材料或恶意方式质疑的法律责任</w:t>
      </w:r>
      <w:r>
        <w:rPr>
          <w:rFonts w:hint="eastAsia"/>
          <w:sz w:val="24"/>
          <w:szCs w:val="24"/>
        </w:rPr>
        <w:t>，采购人将遵循“谁过错谁负担”的原则，在过错方缴纳相关调查论证费用后，再予以退还投标保证金。</w:t>
      </w:r>
    </w:p>
    <w:p w14:paraId="52AB6266">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sz w:val="24"/>
          <w:szCs w:val="24"/>
        </w:rPr>
        <w:t>7.1.3 无论是质疑或被质疑，投标人均须主动配合采购代理机构或采购人寻找相关证据，并承诺同意延长投标保证金及投标样品（若有）的退还时间。对于采购代理机构要求补充的证据材料，投标人不能无故推脱或者不予配合，否则，采购代理机构有权不退还其投标保证金。</w:t>
      </w:r>
    </w:p>
    <w:p w14:paraId="2071F3A1">
      <w:pPr>
        <w:keepNext w:val="0"/>
        <w:keepLines w:val="0"/>
        <w:pageBreakBefore w:val="0"/>
        <w:kinsoku/>
        <w:wordWrap/>
        <w:overflowPunct/>
        <w:topLinePunct w:val="0"/>
        <w:bidi w:val="0"/>
        <w:adjustRightInd w:val="0"/>
        <w:snapToGrid w:val="0"/>
        <w:spacing w:line="440" w:lineRule="exact"/>
        <w:ind w:firstLine="487" w:firstLineChars="202"/>
        <w:jc w:val="both"/>
        <w:textAlignment w:val="baseline"/>
        <w:rPr>
          <w:rFonts w:hint="eastAsia"/>
          <w:sz w:val="24"/>
          <w:szCs w:val="24"/>
        </w:rPr>
      </w:pPr>
      <w:r>
        <w:rPr>
          <w:rFonts w:hint="eastAsia"/>
          <w:b/>
          <w:bCs/>
          <w:sz w:val="24"/>
          <w:szCs w:val="24"/>
        </w:rPr>
        <w:t>7.2  追加磋商服务数量的权力</w:t>
      </w:r>
    </w:p>
    <w:p w14:paraId="080F3DDB">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sz w:val="24"/>
          <w:szCs w:val="24"/>
        </w:rPr>
      </w:pPr>
      <w:r>
        <w:rPr>
          <w:rFonts w:hint="eastAsia"/>
          <w:bCs/>
          <w:sz w:val="24"/>
          <w:szCs w:val="24"/>
        </w:rPr>
        <w:t>7.2.1 政府采购合同履行中，采购人需追加与合同标的相同的货物、工程或者服务的，在不改变合同其他条款的前提下，可以与投标人协商签订补充合同，但所有补充合同的采购金额不得超过原合同采购金额的百分之十。</w:t>
      </w:r>
    </w:p>
    <w:p w14:paraId="1BAA0122">
      <w:pPr>
        <w:keepNext w:val="0"/>
        <w:keepLines w:val="0"/>
        <w:pageBreakBefore w:val="0"/>
        <w:kinsoku/>
        <w:wordWrap/>
        <w:overflowPunct/>
        <w:topLinePunct w:val="0"/>
        <w:bidi w:val="0"/>
        <w:adjustRightInd w:val="0"/>
        <w:snapToGrid w:val="0"/>
        <w:spacing w:line="440" w:lineRule="exact"/>
        <w:ind w:firstLine="487" w:firstLineChars="202"/>
        <w:jc w:val="both"/>
        <w:textAlignment w:val="baseline"/>
        <w:rPr>
          <w:rFonts w:hint="eastAsia"/>
          <w:b/>
          <w:bCs/>
          <w:sz w:val="24"/>
          <w:szCs w:val="24"/>
        </w:rPr>
      </w:pPr>
      <w:r>
        <w:rPr>
          <w:rFonts w:hint="eastAsia"/>
          <w:b/>
          <w:bCs/>
          <w:sz w:val="24"/>
          <w:szCs w:val="24"/>
        </w:rPr>
        <w:t>7.3 签订合同</w:t>
      </w:r>
    </w:p>
    <w:p w14:paraId="7D056512">
      <w:pPr>
        <w:keepNext w:val="0"/>
        <w:keepLines w:val="0"/>
        <w:pageBreakBefore w:val="0"/>
        <w:kinsoku/>
        <w:wordWrap/>
        <w:overflowPunct/>
        <w:topLinePunct w:val="0"/>
        <w:bidi w:val="0"/>
        <w:adjustRightInd w:val="0"/>
        <w:snapToGrid w:val="0"/>
        <w:spacing w:line="440" w:lineRule="exact"/>
        <w:ind w:firstLine="484" w:firstLineChars="202"/>
        <w:jc w:val="both"/>
        <w:textAlignment w:val="baseline"/>
        <w:rPr>
          <w:rFonts w:hint="eastAsia"/>
          <w:bCs/>
          <w:sz w:val="24"/>
          <w:szCs w:val="24"/>
        </w:rPr>
      </w:pPr>
      <w:r>
        <w:rPr>
          <w:rFonts w:hint="eastAsia"/>
          <w:bCs/>
          <w:sz w:val="24"/>
          <w:szCs w:val="24"/>
        </w:rPr>
        <w:t>7.3.1 成交供应商自收到成交通知书之日起三十日内未能</w:t>
      </w:r>
      <w:r>
        <w:rPr>
          <w:rFonts w:hint="eastAsia"/>
          <w:sz w:val="24"/>
          <w:szCs w:val="24"/>
        </w:rPr>
        <w:t>按竞争性磋商文件要求</w:t>
      </w:r>
      <w:r>
        <w:rPr>
          <w:rFonts w:hint="eastAsia"/>
          <w:bCs/>
          <w:sz w:val="24"/>
          <w:szCs w:val="24"/>
        </w:rPr>
        <w:t>与采购人签订政府采购合同，逾期将视为自动放弃成交资格，采购人将自主选择顺延下一成交候选人为成交人或重新采购。</w:t>
      </w:r>
    </w:p>
    <w:p w14:paraId="6C809B7A">
      <w:pPr>
        <w:snapToGrid w:val="0"/>
        <w:spacing w:line="360" w:lineRule="auto"/>
        <w:jc w:val="both"/>
        <w:rPr>
          <w:rFonts w:hint="eastAsia"/>
          <w:bCs/>
          <w:sz w:val="24"/>
          <w:szCs w:val="24"/>
        </w:rPr>
      </w:pPr>
    </w:p>
    <w:p w14:paraId="09AC2DBA">
      <w:pPr>
        <w:snapToGrid w:val="0"/>
        <w:spacing w:line="360" w:lineRule="auto"/>
        <w:jc w:val="both"/>
        <w:rPr>
          <w:rFonts w:hint="eastAsia"/>
          <w:bCs/>
          <w:sz w:val="24"/>
          <w:szCs w:val="24"/>
        </w:rPr>
      </w:pPr>
    </w:p>
    <w:p w14:paraId="73B2C7EB">
      <w:pPr>
        <w:snapToGrid w:val="0"/>
        <w:spacing w:line="360" w:lineRule="auto"/>
        <w:jc w:val="both"/>
        <w:rPr>
          <w:rFonts w:hint="eastAsia"/>
          <w:bCs/>
          <w:sz w:val="24"/>
          <w:szCs w:val="24"/>
        </w:rPr>
      </w:pPr>
    </w:p>
    <w:p w14:paraId="4154DCA5">
      <w:pPr>
        <w:pStyle w:val="13"/>
        <w:tabs>
          <w:tab w:val="left" w:pos="4680"/>
        </w:tabs>
        <w:snapToGrid w:val="0"/>
        <w:spacing w:after="0" w:afterLines="0" w:line="360" w:lineRule="auto"/>
        <w:rPr>
          <w:rFonts w:hint="eastAsia"/>
          <w:color w:val="FF0000"/>
          <w:sz w:val="32"/>
          <w:szCs w:val="32"/>
        </w:rPr>
      </w:pPr>
      <w:bookmarkStart w:id="16" w:name="_Toc109132644"/>
      <w:r>
        <w:rPr>
          <w:rFonts w:hint="eastAsia"/>
          <w:sz w:val="32"/>
          <w:szCs w:val="32"/>
        </w:rPr>
        <w:br w:type="page"/>
      </w:r>
      <w:r>
        <w:rPr>
          <w:rFonts w:hint="eastAsia"/>
          <w:sz w:val="32"/>
          <w:szCs w:val="32"/>
        </w:rPr>
        <w:t>第四部分  采购需求</w:t>
      </w:r>
      <w:bookmarkEnd w:id="16"/>
      <w:bookmarkStart w:id="17" w:name="_Toc12349691"/>
      <w:bookmarkStart w:id="18" w:name="_Hlk12523168"/>
      <w:bookmarkStart w:id="19" w:name="_Toc130115382"/>
    </w:p>
    <w:bookmarkEnd w:id="17"/>
    <w:p w14:paraId="500FDC25">
      <w:pPr>
        <w:spacing w:line="360" w:lineRule="auto"/>
        <w:jc w:val="center"/>
        <w:rPr>
          <w:rFonts w:hint="eastAsia" w:cs="Arial"/>
          <w:b/>
          <w:sz w:val="24"/>
          <w:szCs w:val="24"/>
          <w:shd w:val="clear" w:color="auto" w:fill="FFFFFF"/>
        </w:rPr>
      </w:pPr>
      <w:bookmarkStart w:id="20" w:name="_Toc80693074"/>
      <w:r>
        <w:rPr>
          <w:rFonts w:hint="eastAsia" w:cs="Arial"/>
          <w:b/>
          <w:sz w:val="24"/>
          <w:szCs w:val="24"/>
          <w:shd w:val="clear" w:color="auto" w:fill="FFFFFF"/>
        </w:rPr>
        <w:t>第一节</w:t>
      </w:r>
      <w:bookmarkEnd w:id="20"/>
      <w:r>
        <w:rPr>
          <w:rFonts w:hint="eastAsia" w:cs="Arial"/>
          <w:b/>
          <w:sz w:val="24"/>
          <w:szCs w:val="24"/>
          <w:shd w:val="clear" w:color="auto" w:fill="FFFFFF"/>
        </w:rPr>
        <w:t xml:space="preserve"> </w:t>
      </w:r>
      <w:bookmarkEnd w:id="18"/>
      <w:bookmarkEnd w:id="19"/>
      <w:r>
        <w:rPr>
          <w:rFonts w:hint="eastAsia" w:cs="Arial"/>
          <w:b/>
          <w:sz w:val="24"/>
          <w:szCs w:val="24"/>
          <w:shd w:val="clear" w:color="auto" w:fill="FFFFFF"/>
        </w:rPr>
        <w:t>商务要求</w:t>
      </w:r>
    </w:p>
    <w:p w14:paraId="0024518F">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一、工期及建设地点</w:t>
      </w:r>
    </w:p>
    <w:p w14:paraId="35B05B8D">
      <w:pPr>
        <w:spacing w:line="360" w:lineRule="auto"/>
        <w:ind w:firstLine="484" w:firstLineChars="202"/>
        <w:jc w:val="both"/>
        <w:rPr>
          <w:rFonts w:cs="Arial"/>
          <w:bCs/>
          <w:sz w:val="24"/>
          <w:szCs w:val="24"/>
          <w:shd w:val="clear" w:color="auto" w:fill="FFFFFF"/>
        </w:rPr>
      </w:pPr>
      <w:r>
        <w:rPr>
          <w:rFonts w:hint="eastAsia" w:cs="Arial"/>
          <w:bCs/>
          <w:sz w:val="24"/>
          <w:szCs w:val="24"/>
          <w:shd w:val="clear" w:color="auto" w:fill="FFFFFF"/>
          <w:lang w:val="en-US" w:eastAsia="zh-CN"/>
        </w:rPr>
        <w:t>1.</w:t>
      </w:r>
      <w:r>
        <w:rPr>
          <w:rFonts w:cs="Arial"/>
          <w:bCs/>
          <w:sz w:val="24"/>
          <w:szCs w:val="24"/>
          <w:shd w:val="clear" w:color="auto" w:fill="FFFFFF"/>
        </w:rPr>
        <w:t>工期：</w:t>
      </w:r>
      <w:r>
        <w:rPr>
          <w:rFonts w:hint="eastAsia" w:cs="Arial"/>
          <w:bCs/>
          <w:sz w:val="24"/>
          <w:szCs w:val="24"/>
          <w:shd w:val="clear" w:color="auto" w:fill="FFFFFF"/>
          <w:lang w:eastAsia="zh-CN"/>
        </w:rPr>
        <w:t>90日历天</w:t>
      </w:r>
      <w:r>
        <w:rPr>
          <w:rFonts w:cs="Arial"/>
          <w:bCs/>
          <w:sz w:val="24"/>
          <w:szCs w:val="24"/>
          <w:shd w:val="clear" w:color="auto" w:fill="FFFFFF"/>
        </w:rPr>
        <w:t>。</w:t>
      </w:r>
    </w:p>
    <w:p w14:paraId="1C4D724C">
      <w:pPr>
        <w:spacing w:line="360" w:lineRule="auto"/>
        <w:ind w:firstLine="484" w:firstLineChars="202"/>
        <w:jc w:val="both"/>
        <w:rPr>
          <w:rFonts w:cs="Arial"/>
          <w:bCs/>
          <w:sz w:val="24"/>
          <w:szCs w:val="24"/>
          <w:shd w:val="clear" w:color="auto" w:fill="FFFFFF"/>
        </w:rPr>
      </w:pPr>
      <w:r>
        <w:rPr>
          <w:rFonts w:hint="eastAsia" w:cs="Arial"/>
          <w:bCs/>
          <w:sz w:val="24"/>
          <w:szCs w:val="24"/>
          <w:shd w:val="clear" w:color="auto" w:fill="FFFFFF"/>
          <w:lang w:val="en-US" w:eastAsia="zh-CN"/>
        </w:rPr>
        <w:t>2.</w:t>
      </w:r>
      <w:r>
        <w:rPr>
          <w:rFonts w:cs="Arial"/>
          <w:bCs/>
          <w:sz w:val="24"/>
          <w:szCs w:val="24"/>
          <w:shd w:val="clear" w:color="auto" w:fill="FFFFFF"/>
        </w:rPr>
        <w:t>建设地点：采购指定地点。</w:t>
      </w:r>
    </w:p>
    <w:p w14:paraId="1B96A8CB">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val="en-US" w:eastAsia="zh-CN"/>
        </w:rPr>
        <w:t>3</w:t>
      </w:r>
      <w:r>
        <w:rPr>
          <w:rFonts w:hint="eastAsia" w:ascii="宋体" w:hAnsi="宋体" w:eastAsia="宋体" w:cs="宋体"/>
          <w:color w:val="auto"/>
          <w:kern w:val="2"/>
          <w:sz w:val="24"/>
          <w:szCs w:val="24"/>
          <w:highlight w:val="none"/>
          <w:lang w:val="en-US" w:eastAsia="zh-CN" w:bidi="ar-SA"/>
        </w:rPr>
        <w:t>.</w:t>
      </w:r>
      <w:r>
        <w:rPr>
          <w:rFonts w:hint="eastAsia" w:eastAsia="宋体"/>
          <w:color w:val="auto"/>
          <w:kern w:val="0"/>
          <w:sz w:val="24"/>
          <w:szCs w:val="24"/>
          <w:highlight w:val="none"/>
          <w:lang w:val="en-US" w:eastAsia="zh-CN"/>
        </w:rPr>
        <w:t>工程保修期及</w:t>
      </w:r>
      <w:r>
        <w:rPr>
          <w:rFonts w:hint="eastAsia" w:eastAsia="宋体"/>
          <w:color w:val="auto"/>
          <w:kern w:val="0"/>
          <w:sz w:val="24"/>
          <w:szCs w:val="24"/>
          <w:highlight w:val="none"/>
        </w:rPr>
        <w:t>缺陷责任期</w:t>
      </w:r>
    </w:p>
    <w:p w14:paraId="4DA4E680">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val="en-US" w:eastAsia="zh-CN"/>
        </w:rPr>
        <w:t>（1）工程保修期：①有防水要求的卫生间、房间和外墙面的防渗为5年；②装修工程为2年；③电气管线、给排水管道、设备安装工程为2年；④其余工程及设施设备按中华人民共和国国务院279号《建筑工程质量管理条例》执行。</w:t>
      </w:r>
    </w:p>
    <w:p w14:paraId="1F6894C7">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eastAsia="zh-CN"/>
        </w:rPr>
        <w:t>（</w:t>
      </w:r>
      <w:r>
        <w:rPr>
          <w:rFonts w:hint="eastAsia" w:eastAsia="宋体"/>
          <w:color w:val="auto"/>
          <w:kern w:val="0"/>
          <w:sz w:val="24"/>
          <w:szCs w:val="24"/>
          <w:highlight w:val="none"/>
          <w:lang w:val="en-US" w:eastAsia="zh-CN"/>
        </w:rPr>
        <w:t>2</w:t>
      </w:r>
      <w:r>
        <w:rPr>
          <w:rFonts w:hint="eastAsia" w:eastAsia="宋体"/>
          <w:color w:val="auto"/>
          <w:kern w:val="0"/>
          <w:sz w:val="24"/>
          <w:szCs w:val="24"/>
          <w:highlight w:val="none"/>
          <w:lang w:eastAsia="zh-CN"/>
        </w:rPr>
        <w:t>）</w:t>
      </w:r>
      <w:r>
        <w:rPr>
          <w:rFonts w:hint="eastAsia" w:eastAsia="宋体"/>
          <w:color w:val="auto"/>
          <w:kern w:val="0"/>
          <w:sz w:val="24"/>
          <w:szCs w:val="24"/>
          <w:highlight w:val="none"/>
        </w:rPr>
        <w:t>缺陷责任期：</w:t>
      </w:r>
      <w:r>
        <w:rPr>
          <w:rFonts w:hint="eastAsia" w:eastAsia="宋体"/>
          <w:color w:val="auto"/>
          <w:kern w:val="0"/>
          <w:sz w:val="24"/>
          <w:szCs w:val="24"/>
          <w:highlight w:val="none"/>
          <w:lang w:val="en-US" w:eastAsia="zh-CN"/>
        </w:rPr>
        <w:t>本项目的缺陷责任期为 2 年，自竣工验收合格之日起计算。</w:t>
      </w:r>
    </w:p>
    <w:p w14:paraId="3A22ADEB">
      <w:pPr>
        <w:tabs>
          <w:tab w:val="left" w:pos="3060"/>
        </w:tabs>
        <w:spacing w:line="480" w:lineRule="exact"/>
        <w:ind w:firstLine="480" w:firstLineChars="200"/>
        <w:rPr>
          <w:rFonts w:hint="eastAsia" w:eastAsia="宋体"/>
          <w:color w:val="auto"/>
          <w:kern w:val="0"/>
          <w:sz w:val="24"/>
          <w:szCs w:val="24"/>
          <w:highlight w:val="none"/>
          <w:lang w:val="en-US" w:eastAsia="zh-CN"/>
        </w:rPr>
      </w:pPr>
      <w:r>
        <w:rPr>
          <w:rFonts w:hint="eastAsia" w:eastAsia="宋体"/>
          <w:color w:val="auto"/>
          <w:kern w:val="0"/>
          <w:sz w:val="24"/>
          <w:szCs w:val="24"/>
          <w:highlight w:val="none"/>
          <w:lang w:val="en-US" w:eastAsia="zh-CN"/>
        </w:rPr>
        <w:t>在缺陷责任期内，已交付的工程由于中标人的材料、设备或工艺不符合质量标准要求所产生的缺陷，修补费用由中标人承担。由于中标人原因造成某项缺陷或损坏使某项工程或工程设备不能按原定目标使用而需要再次检查、检验和修复的，采购人有权要求中标人相应延长缺陷责任期，相应部分的缺陷责任期自再次检查、检验和修复合格之日起计算2年。</w:t>
      </w:r>
    </w:p>
    <w:p w14:paraId="4A238C6D">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二、验收标准及规范</w:t>
      </w:r>
    </w:p>
    <w:p w14:paraId="27B61E5E">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成交供应商在竣工后应向采购人提交竣工验收申请和竣工报告，提请采购人进行竣工验收，采购人在收到成交供应商送交的竣工报告十日内，组织有关部门进行全面验收，并出具验收报告。验收应符合符合国家、行业及地方现行相关法律法规、规范及技术标准，工程质量满足国家及行业现行标准。验收完成后，结算送采购人采购人委托的第三方审计单位审定。</w:t>
      </w:r>
    </w:p>
    <w:p w14:paraId="753C9F65">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2.采购人在验收中，如发现有与合同规定不符的，应在3天内向成交供应商提出书面意见，不签发验收单。成交供应商在接到采购人书面意见后，应在 2 天内予以整改完毕。</w:t>
      </w:r>
    </w:p>
    <w:p w14:paraId="1A496483">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3.验收标准：达到国家、行业及地方现行相关法律法规、规范及技术标准及采购人有关质量技术要求。</w:t>
      </w:r>
    </w:p>
    <w:p w14:paraId="1A210021">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4.验收不合格承包人须重新整改直至验收通过为止。</w:t>
      </w:r>
    </w:p>
    <w:p w14:paraId="2300BF0C">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5.若验收过程中需要邀请第三方检测机构进行检测的，费用由承包人承担。</w:t>
      </w:r>
    </w:p>
    <w:p w14:paraId="1E981EEF">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6.采购人根据项目实际需要，可委托招标代理机构邀请相关行业专家，参加本项目的验收。成交供应商须为验收提供必需的一切条件及相关费用。</w:t>
      </w:r>
    </w:p>
    <w:p w14:paraId="09212731">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三、付款方式</w:t>
      </w:r>
    </w:p>
    <w:p w14:paraId="7C07C4E8">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1.履约保证金：中标单位在签订合同前,必须以银行汇票、电汇凭据、银行进帐单、支票、非现金等形式向采购方交纳中标金额</w:t>
      </w:r>
      <w:r>
        <w:rPr>
          <w:rFonts w:hint="eastAsia" w:cs="Arial"/>
          <w:bCs/>
          <w:sz w:val="24"/>
          <w:szCs w:val="24"/>
          <w:shd w:val="clear" w:color="auto" w:fill="FFFFFF"/>
        </w:rPr>
        <w:t xml:space="preserve"> </w:t>
      </w:r>
      <w:r>
        <w:rPr>
          <w:rFonts w:cs="Arial"/>
          <w:bCs/>
          <w:sz w:val="24"/>
          <w:szCs w:val="24"/>
          <w:shd w:val="clear" w:color="auto" w:fill="FFFFFF"/>
        </w:rPr>
        <w:t>5</w:t>
      </w:r>
      <w:r>
        <w:rPr>
          <w:rFonts w:hint="eastAsia" w:cs="Arial"/>
          <w:bCs/>
          <w:sz w:val="24"/>
          <w:szCs w:val="24"/>
          <w:shd w:val="clear" w:color="auto" w:fill="FFFFFF"/>
        </w:rPr>
        <w:t xml:space="preserve"> </w:t>
      </w:r>
      <w:r>
        <w:rPr>
          <w:rFonts w:cs="Arial"/>
          <w:bCs/>
          <w:sz w:val="24"/>
          <w:szCs w:val="24"/>
          <w:shd w:val="clear" w:color="auto" w:fill="FFFFFF"/>
        </w:rPr>
        <w:t>%的履约保证金；签订合同后，若中标方不按双方签订合同规定履约，则没收其全部履约保证金，履约保证金不足以赔偿损失的，按实际损失金额赔偿。项目验收合格后，采购方在7个工作日内将履约保证金一次性无息支付给中标单位。</w:t>
      </w:r>
    </w:p>
    <w:p w14:paraId="3704CA05">
      <w:pPr>
        <w:spacing w:line="360" w:lineRule="auto"/>
        <w:ind w:firstLine="484" w:firstLineChars="202"/>
        <w:jc w:val="both"/>
        <w:rPr>
          <w:rFonts w:hint="eastAsia" w:cs="Arial"/>
          <w:bCs/>
          <w:color w:val="000000"/>
          <w:sz w:val="24"/>
          <w:szCs w:val="24"/>
          <w:shd w:val="clear" w:color="auto" w:fill="FFFFFF"/>
        </w:rPr>
      </w:pPr>
      <w:r>
        <w:rPr>
          <w:rFonts w:cs="Arial"/>
          <w:bCs/>
          <w:color w:val="000000"/>
          <w:sz w:val="24"/>
          <w:szCs w:val="24"/>
          <w:shd w:val="clear" w:color="auto" w:fill="FFFFFF"/>
        </w:rPr>
        <w:t>2.合同计价结算方式：</w:t>
      </w:r>
      <w:r>
        <w:rPr>
          <w:rFonts w:cs="Arial"/>
          <w:bCs/>
          <w:color w:val="000000"/>
          <w:sz w:val="24"/>
          <w:szCs w:val="24"/>
          <w:shd w:val="clear" w:color="auto" w:fill="FFFFFF"/>
        </w:rPr>
        <w:tab/>
      </w:r>
    </w:p>
    <w:p w14:paraId="2B4826B1">
      <w:pPr>
        <w:spacing w:line="360" w:lineRule="auto"/>
        <w:ind w:firstLine="484" w:firstLineChars="202"/>
        <w:jc w:val="both"/>
        <w:rPr>
          <w:rFonts w:cs="Arial"/>
          <w:bCs/>
          <w:color w:val="000000"/>
          <w:sz w:val="24"/>
          <w:szCs w:val="24"/>
          <w:u w:val="none"/>
          <w:shd w:val="clear" w:color="auto" w:fill="FFFFFF"/>
        </w:rPr>
      </w:pPr>
      <w:r>
        <w:rPr>
          <w:rFonts w:hint="eastAsia"/>
          <w:b w:val="0"/>
          <w:bCs w:val="0"/>
          <w:sz w:val="24"/>
          <w:u w:val="none"/>
        </w:rPr>
        <w:t>发包人向承包人预付工程款</w:t>
      </w:r>
      <w:r>
        <w:rPr>
          <w:rFonts w:hint="eastAsia"/>
          <w:b w:val="0"/>
          <w:bCs w:val="0"/>
          <w:sz w:val="24"/>
          <w:u w:val="none"/>
          <w:lang w:eastAsia="zh-CN"/>
        </w:rPr>
        <w:t>的</w:t>
      </w:r>
      <w:r>
        <w:rPr>
          <w:rFonts w:hint="eastAsia"/>
          <w:b w:val="0"/>
          <w:bCs w:val="0"/>
          <w:sz w:val="24"/>
          <w:u w:val="none"/>
        </w:rPr>
        <w:t>金额占合同价款总额的比例:20%</w:t>
      </w:r>
      <w:r>
        <w:rPr>
          <w:rFonts w:hint="eastAsia"/>
          <w:b w:val="0"/>
          <w:bCs w:val="0"/>
          <w:sz w:val="24"/>
          <w:u w:val="none"/>
          <w:lang w:eastAsia="zh-CN"/>
        </w:rPr>
        <w:t>，</w:t>
      </w:r>
      <w:r>
        <w:rPr>
          <w:rFonts w:hint="eastAsia"/>
          <w:b w:val="0"/>
          <w:bCs w:val="0"/>
          <w:sz w:val="24"/>
          <w:u w:val="none"/>
        </w:rPr>
        <w:t>工程全部完工后，通过学校竣工验收后支付</w:t>
      </w:r>
      <w:r>
        <w:rPr>
          <w:rFonts w:hint="eastAsia"/>
          <w:b w:val="0"/>
          <w:bCs w:val="0"/>
          <w:sz w:val="24"/>
          <w:u w:val="none"/>
          <w:lang w:eastAsia="zh-CN"/>
        </w:rPr>
        <w:t>至</w:t>
      </w:r>
      <w:r>
        <w:rPr>
          <w:rFonts w:hint="eastAsia"/>
          <w:b w:val="0"/>
          <w:bCs w:val="0"/>
          <w:sz w:val="24"/>
          <w:u w:val="none"/>
        </w:rPr>
        <w:t>合同价款的80%，工程完成结算审定后支付至结算价款的97%，预留结算审定价款的3%作为工程质保金。</w:t>
      </w:r>
      <w:r>
        <w:rPr>
          <w:rFonts w:cs="Arial"/>
          <w:bCs/>
          <w:color w:val="000000"/>
          <w:sz w:val="24"/>
          <w:szCs w:val="24"/>
          <w:u w:val="none"/>
          <w:shd w:val="clear" w:color="auto" w:fill="FFFFFF"/>
        </w:rPr>
        <w:t>。</w:t>
      </w:r>
    </w:p>
    <w:p w14:paraId="67B9B6C6">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四、工程变更</w:t>
      </w:r>
    </w:p>
    <w:p w14:paraId="79A25A4C">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施工中因非成交供应商原因造成现场变更需变更施工内容的，成交供应商应及时通知采购人相关部门，按程序办理预算追加手续后方可施工；因设计变更增加的项目，按立项备案程序办理完手续后方可施工；若成交供应商擅自组织施工，一切责任及损失由成交供应商自行承担。</w:t>
      </w:r>
    </w:p>
    <w:p w14:paraId="53161F6B">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2.成交供应商须按施工图纸、招标项目工程量清单进行施工，若确需施工或增加工程项目，按照有关程序报批完毕后方可实施。谁要求增加工程量或工程项目，谁负责。采购人不承担未批准而增加的工程量或工程项目。</w:t>
      </w:r>
    </w:p>
    <w:p w14:paraId="2E87039D">
      <w:pPr>
        <w:spacing w:line="360" w:lineRule="auto"/>
        <w:ind w:firstLine="484" w:firstLineChars="202"/>
        <w:jc w:val="both"/>
        <w:rPr>
          <w:rFonts w:cs="Arial"/>
          <w:bCs/>
          <w:sz w:val="24"/>
          <w:szCs w:val="24"/>
          <w:shd w:val="clear" w:color="auto" w:fill="FFFFFF"/>
        </w:rPr>
      </w:pPr>
    </w:p>
    <w:p w14:paraId="07D88304">
      <w:pPr>
        <w:spacing w:line="360" w:lineRule="auto"/>
        <w:ind w:firstLine="487" w:firstLineChars="202"/>
        <w:jc w:val="both"/>
        <w:rPr>
          <w:rFonts w:cs="Arial"/>
          <w:b/>
          <w:sz w:val="24"/>
          <w:szCs w:val="24"/>
          <w:shd w:val="clear" w:color="auto" w:fill="FFFFFF"/>
        </w:rPr>
      </w:pPr>
      <w:r>
        <w:rPr>
          <w:rFonts w:cs="Arial"/>
          <w:b/>
          <w:sz w:val="24"/>
          <w:szCs w:val="24"/>
          <w:shd w:val="clear" w:color="auto" w:fill="FFFFFF"/>
        </w:rPr>
        <w:t>五、投标有效期</w:t>
      </w:r>
    </w:p>
    <w:p w14:paraId="5464B208">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投标日期截止时间止90天内。</w:t>
      </w:r>
    </w:p>
    <w:p w14:paraId="691BF263">
      <w:pPr>
        <w:spacing w:line="360" w:lineRule="auto"/>
        <w:ind w:firstLine="487" w:firstLineChars="202"/>
        <w:jc w:val="both"/>
        <w:rPr>
          <w:rFonts w:hint="eastAsia" w:cs="Arial"/>
          <w:b/>
          <w:sz w:val="24"/>
          <w:szCs w:val="24"/>
          <w:shd w:val="clear" w:color="auto" w:fill="FFFFFF"/>
        </w:rPr>
      </w:pPr>
      <w:r>
        <w:rPr>
          <w:rFonts w:hint="eastAsia" w:cs="Arial"/>
          <w:b/>
          <w:sz w:val="24"/>
          <w:szCs w:val="24"/>
          <w:shd w:val="clear" w:color="auto" w:fill="FFFFFF"/>
        </w:rPr>
        <w:t>六、</w:t>
      </w:r>
      <w:bookmarkStart w:id="21" w:name="_Toc21792"/>
      <w:r>
        <w:rPr>
          <w:rFonts w:hint="eastAsia" w:cs="Arial"/>
          <w:b/>
          <w:sz w:val="24"/>
          <w:szCs w:val="24"/>
          <w:shd w:val="clear" w:color="auto" w:fill="FFFFFF"/>
        </w:rPr>
        <w:t>现场踏勘</w:t>
      </w:r>
      <w:bookmarkEnd w:id="21"/>
    </w:p>
    <w:p w14:paraId="1383B2EA">
      <w:pPr>
        <w:spacing w:line="360" w:lineRule="auto"/>
        <w:ind w:firstLine="484" w:firstLineChars="202"/>
        <w:jc w:val="both"/>
        <w:rPr>
          <w:rFonts w:hint="eastAsia" w:cs="Arial"/>
          <w:bCs/>
          <w:sz w:val="24"/>
          <w:szCs w:val="24"/>
          <w:shd w:val="clear" w:color="auto" w:fill="FFFFFF"/>
        </w:rPr>
      </w:pPr>
      <w:r>
        <w:rPr>
          <w:rFonts w:hint="eastAsia" w:cs="Arial"/>
          <w:bCs/>
          <w:sz w:val="24"/>
          <w:szCs w:val="24"/>
          <w:shd w:val="clear" w:color="auto" w:fill="FFFFFF"/>
        </w:rPr>
        <w:t xml:space="preserve">    该项目不强制现场踏勘，供应商可自行选择是否前往现场踏勘。</w:t>
      </w:r>
    </w:p>
    <w:p w14:paraId="049DC2D8">
      <w:pPr>
        <w:spacing w:line="360" w:lineRule="auto"/>
        <w:ind w:firstLine="484" w:firstLineChars="202"/>
        <w:jc w:val="both"/>
        <w:rPr>
          <w:rFonts w:hint="eastAsia" w:cs="Arial"/>
          <w:bCs/>
          <w:sz w:val="24"/>
          <w:szCs w:val="24"/>
          <w:shd w:val="clear" w:color="auto" w:fill="FFFFFF"/>
        </w:rPr>
      </w:pPr>
      <w:r>
        <w:rPr>
          <w:rFonts w:hint="eastAsia" w:cs="Arial"/>
          <w:bCs/>
          <w:sz w:val="24"/>
          <w:szCs w:val="24"/>
          <w:shd w:val="clear" w:color="auto" w:fill="FFFFFF"/>
        </w:rPr>
        <w:t>踏勘时间：投标截止时间前一天</w:t>
      </w:r>
    </w:p>
    <w:p w14:paraId="637C561B">
      <w:pPr>
        <w:spacing w:line="360" w:lineRule="auto"/>
        <w:ind w:firstLine="487" w:firstLineChars="202"/>
        <w:jc w:val="both"/>
        <w:rPr>
          <w:rFonts w:cs="Arial"/>
          <w:b/>
          <w:sz w:val="24"/>
          <w:szCs w:val="24"/>
          <w:shd w:val="clear" w:color="auto" w:fill="FFFFFF"/>
        </w:rPr>
      </w:pPr>
      <w:r>
        <w:rPr>
          <w:rFonts w:hint="eastAsia" w:cs="Arial"/>
          <w:b/>
          <w:sz w:val="24"/>
          <w:szCs w:val="24"/>
          <w:shd w:val="clear" w:color="auto" w:fill="FFFFFF"/>
        </w:rPr>
        <w:t>七、</w:t>
      </w:r>
      <w:r>
        <w:rPr>
          <w:rFonts w:cs="Arial"/>
          <w:b/>
          <w:sz w:val="24"/>
          <w:szCs w:val="24"/>
          <w:shd w:val="clear" w:color="auto" w:fill="FFFFFF"/>
        </w:rPr>
        <w:t>其他要求</w:t>
      </w:r>
    </w:p>
    <w:p w14:paraId="13F8488C">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1.售后要求：在</w:t>
      </w:r>
      <w:r>
        <w:rPr>
          <w:rFonts w:hint="eastAsia" w:cs="Arial"/>
          <w:bCs/>
          <w:sz w:val="24"/>
          <w:szCs w:val="24"/>
          <w:shd w:val="clear" w:color="auto" w:fill="FFFFFF"/>
          <w:lang w:eastAsia="zh-CN"/>
        </w:rPr>
        <w:t>工程保修期及缺陷责任期</w:t>
      </w:r>
      <w:r>
        <w:rPr>
          <w:rFonts w:cs="Arial"/>
          <w:bCs/>
          <w:sz w:val="24"/>
          <w:szCs w:val="24"/>
          <w:shd w:val="clear" w:color="auto" w:fill="FFFFFF"/>
        </w:rPr>
        <w:t>内提供免费维修服务</w:t>
      </w:r>
      <w:r>
        <w:rPr>
          <w:rFonts w:hint="eastAsia" w:cs="Arial"/>
          <w:bCs/>
          <w:sz w:val="24"/>
          <w:szCs w:val="24"/>
          <w:shd w:val="clear" w:color="auto" w:fill="FFFFFF"/>
          <w:lang w:eastAsia="zh-CN"/>
        </w:rPr>
        <w:t>工程保修期及缺陷责任期</w:t>
      </w:r>
      <w:r>
        <w:rPr>
          <w:rFonts w:cs="Arial"/>
          <w:bCs/>
          <w:sz w:val="24"/>
          <w:szCs w:val="24"/>
          <w:shd w:val="clear" w:color="auto" w:fill="FFFFFF"/>
        </w:rPr>
        <w:t>结束后，采购人支付维修所发生的材料及人工费用。</w:t>
      </w:r>
    </w:p>
    <w:p w14:paraId="2C413699">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2.培训要求：工程完工后，中标方应积极配合使用方完成场地交付工作。</w:t>
      </w:r>
    </w:p>
    <w:p w14:paraId="29646EA7">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3.应急响应时间（如需）:</w:t>
      </w:r>
      <w:r>
        <w:rPr>
          <w:rFonts w:hint="eastAsia" w:cs="Arial"/>
          <w:bCs/>
          <w:sz w:val="24"/>
          <w:szCs w:val="24"/>
          <w:shd w:val="clear" w:color="auto" w:fill="FFFFFF"/>
          <w:lang w:eastAsia="zh-CN"/>
        </w:rPr>
        <w:t>工程保修期及缺陷责任期</w:t>
      </w:r>
      <w:r>
        <w:rPr>
          <w:rFonts w:cs="Arial"/>
          <w:bCs/>
          <w:sz w:val="24"/>
          <w:szCs w:val="24"/>
          <w:shd w:val="clear" w:color="auto" w:fill="FFFFFF"/>
        </w:rPr>
        <w:t>内提供免费上门服务，在接到使用方报修电话后0.5小时内予以相应，24小时内现场解决问题。若0.5小时内不予以相应，使用方将自行采取必要的措施，由此产生的风险和费用由中标方承担。</w:t>
      </w:r>
    </w:p>
    <w:p w14:paraId="2ABCF9B1">
      <w:pPr>
        <w:spacing w:line="360" w:lineRule="auto"/>
        <w:ind w:firstLine="484" w:firstLineChars="202"/>
        <w:jc w:val="both"/>
        <w:rPr>
          <w:rFonts w:cs="Arial"/>
          <w:bCs/>
          <w:sz w:val="24"/>
          <w:szCs w:val="24"/>
          <w:shd w:val="clear" w:color="auto" w:fill="FFFFFF"/>
        </w:rPr>
      </w:pPr>
      <w:r>
        <w:rPr>
          <w:rFonts w:cs="Arial"/>
          <w:bCs/>
          <w:sz w:val="24"/>
          <w:szCs w:val="24"/>
          <w:shd w:val="clear" w:color="auto" w:fill="FFFFFF"/>
        </w:rPr>
        <w:t>4.其它未尽事宜双方合同中约定。</w:t>
      </w:r>
    </w:p>
    <w:p w14:paraId="035D09B0">
      <w:pPr>
        <w:spacing w:line="360" w:lineRule="auto"/>
        <w:ind w:firstLine="487" w:firstLineChars="202"/>
        <w:jc w:val="both"/>
        <w:rPr>
          <w:rFonts w:hint="eastAsia" w:cs="Arial"/>
          <w:b/>
          <w:sz w:val="24"/>
          <w:szCs w:val="24"/>
          <w:shd w:val="clear" w:color="auto" w:fill="FFFFFF"/>
        </w:rPr>
        <w:sectPr>
          <w:footerReference r:id="rId3" w:type="default"/>
          <w:pgSz w:w="11907" w:h="16840"/>
          <w:pgMar w:top="1531" w:right="1531" w:bottom="1417" w:left="1531" w:header="1270" w:footer="992" w:gutter="0"/>
          <w:pgNumType w:fmt="numberInDash" w:start="1"/>
          <w:cols w:space="720" w:num="1"/>
          <w:docGrid w:type="lines" w:linePitch="462" w:charSpace="0"/>
        </w:sectPr>
      </w:pPr>
    </w:p>
    <w:p w14:paraId="37D5C37A">
      <w:pPr>
        <w:pStyle w:val="13"/>
        <w:numPr>
          <w:ilvl w:val="0"/>
          <w:numId w:val="1"/>
        </w:numPr>
        <w:tabs>
          <w:tab w:val="left" w:pos="4680"/>
        </w:tabs>
        <w:snapToGrid w:val="0"/>
        <w:spacing w:after="0" w:afterLines="0" w:line="360" w:lineRule="auto"/>
        <w:rPr>
          <w:rFonts w:hint="eastAsia" w:hAnsi="Calibri" w:cs="Arial"/>
          <w:sz w:val="30"/>
          <w:szCs w:val="30"/>
          <w:shd w:val="clear" w:color="auto" w:fill="FFFFFF"/>
        </w:rPr>
      </w:pPr>
      <w:r>
        <w:rPr>
          <w:rFonts w:hint="eastAsia" w:hAnsi="Calibri" w:cs="Arial"/>
          <w:sz w:val="30"/>
          <w:szCs w:val="30"/>
          <w:shd w:val="clear" w:color="auto" w:fill="FFFFFF"/>
          <w:lang w:eastAsia="zh-CN"/>
        </w:rPr>
        <w:t>工程量清单</w:t>
      </w:r>
    </w:p>
    <w:p w14:paraId="691D7852">
      <w:pPr>
        <w:pStyle w:val="13"/>
        <w:tabs>
          <w:tab w:val="left" w:pos="4680"/>
        </w:tabs>
        <w:snapToGrid w:val="0"/>
        <w:spacing w:after="0" w:afterLines="0" w:line="360" w:lineRule="auto"/>
        <w:jc w:val="both"/>
        <w:rPr>
          <w:rFonts w:hAnsi="Calibri" w:cs="Arial"/>
          <w:sz w:val="30"/>
          <w:szCs w:val="30"/>
          <w:shd w:val="clear" w:color="auto" w:fill="FFFFFF"/>
        </w:rPr>
      </w:pPr>
    </w:p>
    <w:p w14:paraId="68782C77">
      <w:pPr>
        <w:widowControl/>
        <w:jc w:val="center"/>
        <w:textAlignment w:val="top"/>
        <w:rPr>
          <w:rFonts w:hint="eastAsia" w:hAnsi="Calibri" w:eastAsia="宋体" w:cs="Arial"/>
          <w:sz w:val="30"/>
          <w:szCs w:val="30"/>
          <w:shd w:val="clear" w:color="auto" w:fill="FFFFFF"/>
          <w:lang w:eastAsia="zh-CN"/>
        </w:rPr>
      </w:pPr>
      <w:r>
        <w:rPr>
          <w:rFonts w:hint="eastAsia" w:hAnsi="Calibri" w:cs="Arial"/>
          <w:sz w:val="30"/>
          <w:szCs w:val="30"/>
          <w:shd w:val="clear" w:color="auto" w:fill="FFFFFF"/>
          <w:lang w:eastAsia="zh-CN"/>
        </w:rPr>
        <w:t>另册</w:t>
      </w:r>
    </w:p>
    <w:p w14:paraId="151B4014">
      <w:pPr>
        <w:widowControl/>
        <w:textAlignment w:val="top"/>
        <w:rPr>
          <w:rFonts w:hint="eastAsia" w:hAnsi="Calibri" w:cs="Arial"/>
          <w:sz w:val="30"/>
          <w:szCs w:val="30"/>
          <w:shd w:val="clear" w:color="auto" w:fill="FFFFFF"/>
        </w:rPr>
      </w:pPr>
    </w:p>
    <w:p w14:paraId="401A7433">
      <w:pPr>
        <w:pStyle w:val="13"/>
        <w:tabs>
          <w:tab w:val="left" w:pos="4680"/>
        </w:tabs>
        <w:snapToGrid w:val="0"/>
        <w:spacing w:after="0" w:afterLines="0" w:line="360" w:lineRule="auto"/>
        <w:jc w:val="both"/>
        <w:rPr>
          <w:rFonts w:hint="eastAsia" w:hAnsi="Calibri" w:cs="Arial"/>
          <w:sz w:val="30"/>
          <w:szCs w:val="30"/>
          <w:shd w:val="clear" w:color="auto" w:fill="FFFFFF"/>
        </w:rPr>
      </w:pPr>
    </w:p>
    <w:p w14:paraId="704B6E42">
      <w:pPr>
        <w:pStyle w:val="13"/>
        <w:tabs>
          <w:tab w:val="left" w:pos="4680"/>
        </w:tabs>
        <w:snapToGrid w:val="0"/>
        <w:spacing w:after="0" w:afterLines="0" w:line="360" w:lineRule="auto"/>
        <w:jc w:val="both"/>
        <w:rPr>
          <w:rFonts w:hint="eastAsia" w:hAnsi="Calibri" w:cs="Arial"/>
          <w:sz w:val="30"/>
          <w:szCs w:val="30"/>
          <w:shd w:val="clear" w:color="auto" w:fill="FFFFFF"/>
        </w:rPr>
        <w:sectPr>
          <w:footerReference r:id="rId4" w:type="default"/>
          <w:pgSz w:w="11906" w:h="16838"/>
          <w:pgMar w:top="1440" w:right="1800" w:bottom="1440" w:left="1800" w:header="851" w:footer="992" w:gutter="0"/>
          <w:cols w:space="720" w:num="1"/>
          <w:docGrid w:type="lines" w:linePitch="312" w:charSpace="0"/>
        </w:sectPr>
      </w:pPr>
    </w:p>
    <w:p w14:paraId="1200045F">
      <w:pPr>
        <w:pStyle w:val="2"/>
        <w:snapToGrid w:val="0"/>
        <w:spacing w:line="360" w:lineRule="auto"/>
        <w:jc w:val="center"/>
        <w:rPr>
          <w:rFonts w:hint="eastAsia"/>
          <w:color w:val="auto"/>
          <w:szCs w:val="24"/>
        </w:rPr>
      </w:pPr>
      <w:bookmarkStart w:id="22" w:name="_Toc184785927"/>
      <w:bookmarkStart w:id="23" w:name="_Toc109132645"/>
      <w:r>
        <w:rPr>
          <w:rFonts w:hint="eastAsia" w:hAnsi="Calibri" w:cs="Arial"/>
          <w:color w:val="auto"/>
          <w:sz w:val="30"/>
          <w:szCs w:val="30"/>
          <w:shd w:val="clear" w:color="auto" w:fill="FFFFFF"/>
        </w:rPr>
        <w:t xml:space="preserve">第五部分  </w:t>
      </w:r>
      <w:bookmarkEnd w:id="22"/>
      <w:r>
        <w:rPr>
          <w:rFonts w:hint="eastAsia" w:hAnsi="Calibri" w:cs="Arial"/>
          <w:color w:val="auto"/>
          <w:sz w:val="30"/>
          <w:szCs w:val="30"/>
          <w:shd w:val="clear" w:color="auto" w:fill="FFFFFF"/>
        </w:rPr>
        <w:t>评审标准</w:t>
      </w:r>
      <w:bookmarkEnd w:id="23"/>
    </w:p>
    <w:p w14:paraId="5B0F4FFB">
      <w:pPr>
        <w:snapToGrid w:val="0"/>
        <w:spacing w:line="360" w:lineRule="auto"/>
        <w:ind w:firstLine="482" w:firstLineChars="200"/>
        <w:rPr>
          <w:rFonts w:hint="eastAsia"/>
          <w:b/>
          <w:sz w:val="24"/>
          <w:szCs w:val="24"/>
        </w:rPr>
      </w:pPr>
      <w:r>
        <w:rPr>
          <w:rFonts w:hint="eastAsia"/>
          <w:b/>
          <w:sz w:val="24"/>
          <w:szCs w:val="24"/>
        </w:rPr>
        <w:t>一、本次评标采用综合评分法</w:t>
      </w:r>
    </w:p>
    <w:p w14:paraId="79C7F2DD">
      <w:pPr>
        <w:snapToGrid w:val="0"/>
        <w:spacing w:line="360" w:lineRule="auto"/>
        <w:ind w:firstLine="480" w:firstLineChars="200"/>
        <w:rPr>
          <w:rFonts w:hint="eastAsia"/>
          <w:sz w:val="24"/>
          <w:szCs w:val="24"/>
        </w:rPr>
      </w:pPr>
      <w:r>
        <w:rPr>
          <w:rFonts w:hint="eastAsia"/>
          <w:sz w:val="24"/>
          <w:szCs w:val="24"/>
        </w:rPr>
        <w:t>是指响应文件满足招标文件全部实质性要求，且按照评审因素的量化指标评审得分最高的供应商为中标候选人的评标方法。</w:t>
      </w:r>
    </w:p>
    <w:p w14:paraId="7EE52B55">
      <w:pPr>
        <w:snapToGrid w:val="0"/>
        <w:spacing w:line="360" w:lineRule="auto"/>
        <w:ind w:firstLine="480" w:firstLineChars="200"/>
        <w:rPr>
          <w:rFonts w:hint="eastAsia"/>
          <w:b/>
          <w:sz w:val="24"/>
          <w:szCs w:val="24"/>
        </w:rPr>
      </w:pPr>
      <w:r>
        <w:rPr>
          <w:rFonts w:hint="eastAsia"/>
          <w:sz w:val="24"/>
          <w:szCs w:val="24"/>
        </w:rPr>
        <w:t>评分的主要因素分为价格因素、技术因素和商务因素。评分因素详见评分表。评标分值保留至两位小数。评标时，评标专家依照评分表对每个有效供应商的响应文件进行独立评审、打分。</w:t>
      </w:r>
    </w:p>
    <w:p w14:paraId="39142E67">
      <w:pPr>
        <w:snapToGrid w:val="0"/>
        <w:spacing w:line="360" w:lineRule="auto"/>
        <w:ind w:firstLine="482" w:firstLineChars="200"/>
        <w:rPr>
          <w:rFonts w:hint="eastAsia"/>
          <w:b/>
          <w:sz w:val="24"/>
          <w:szCs w:val="24"/>
        </w:rPr>
      </w:pPr>
      <w:r>
        <w:rPr>
          <w:rFonts w:hint="eastAsia"/>
          <w:b/>
          <w:sz w:val="24"/>
          <w:szCs w:val="24"/>
        </w:rPr>
        <w:t>二、评标标准：评标形式（采用以下具体步骤）</w:t>
      </w:r>
    </w:p>
    <w:p w14:paraId="2D2D5083">
      <w:pPr>
        <w:snapToGrid w:val="0"/>
        <w:spacing w:line="360" w:lineRule="auto"/>
        <w:ind w:firstLine="480" w:firstLineChars="200"/>
        <w:rPr>
          <w:rFonts w:hint="eastAsia"/>
          <w:sz w:val="24"/>
          <w:szCs w:val="24"/>
        </w:rPr>
      </w:pPr>
      <w:r>
        <w:rPr>
          <w:rFonts w:hint="eastAsia"/>
          <w:sz w:val="24"/>
          <w:szCs w:val="24"/>
        </w:rPr>
        <w:t>第一步：由本项目评标委员会对各响应文件进行资格审查和符合性审查，符合的进入下一步评审阶段，不符合的其投标作为无效标。</w:t>
      </w:r>
    </w:p>
    <w:p w14:paraId="69D782F0">
      <w:pPr>
        <w:snapToGrid w:val="0"/>
        <w:spacing w:line="360" w:lineRule="auto"/>
        <w:ind w:firstLine="480" w:firstLineChars="200"/>
        <w:rPr>
          <w:rFonts w:hint="eastAsia"/>
          <w:sz w:val="24"/>
          <w:szCs w:val="24"/>
        </w:rPr>
      </w:pPr>
      <w:r>
        <w:rPr>
          <w:rFonts w:hint="eastAsia"/>
          <w:sz w:val="24"/>
          <w:szCs w:val="24"/>
        </w:rPr>
        <w:t>第二步：确定中标候选人（按评分细则对入围供应商给相应的评分，并计算其总得分，按各项评标因素计算各有效投标供应商的最终得分，以评分从高到低的顺序推荐前3名供应商作为中标候选人）。</w:t>
      </w:r>
    </w:p>
    <w:p w14:paraId="5852DA93">
      <w:pPr>
        <w:snapToGrid w:val="0"/>
        <w:spacing w:line="360" w:lineRule="auto"/>
        <w:ind w:firstLine="480" w:firstLineChars="200"/>
        <w:rPr>
          <w:rFonts w:hint="eastAsia"/>
          <w:sz w:val="24"/>
          <w:szCs w:val="24"/>
        </w:rPr>
      </w:pPr>
    </w:p>
    <w:p w14:paraId="7041E13E">
      <w:pPr>
        <w:snapToGrid w:val="0"/>
        <w:spacing w:line="360" w:lineRule="auto"/>
        <w:ind w:firstLine="472" w:firstLineChars="196"/>
        <w:rPr>
          <w:rFonts w:hint="eastAsia"/>
          <w:b/>
          <w:bCs/>
          <w:sz w:val="24"/>
          <w:szCs w:val="24"/>
        </w:rPr>
      </w:pPr>
      <w:r>
        <w:rPr>
          <w:rFonts w:hint="eastAsia"/>
          <w:b/>
          <w:bCs/>
          <w:sz w:val="24"/>
          <w:szCs w:val="24"/>
        </w:rPr>
        <w:t>三、资格性审查</w:t>
      </w:r>
    </w:p>
    <w:tbl>
      <w:tblPr>
        <w:tblStyle w:val="8"/>
        <w:tblW w:w="0" w:type="auto"/>
        <w:jc w:val="center"/>
        <w:tblLayout w:type="fixed"/>
        <w:tblCellMar>
          <w:top w:w="0" w:type="dxa"/>
          <w:left w:w="108" w:type="dxa"/>
          <w:bottom w:w="0" w:type="dxa"/>
          <w:right w:w="108" w:type="dxa"/>
        </w:tblCellMar>
      </w:tblPr>
      <w:tblGrid>
        <w:gridCol w:w="534"/>
        <w:gridCol w:w="1207"/>
        <w:gridCol w:w="6685"/>
      </w:tblGrid>
      <w:tr w14:paraId="0DF8C4E4">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3DAD36">
            <w:pPr>
              <w:widowControl/>
              <w:spacing w:line="360" w:lineRule="auto"/>
              <w:jc w:val="center"/>
              <w:rPr>
                <w:rFonts w:hint="eastAsia" w:hAnsi="宋体" w:cs="宋体"/>
                <w:b/>
                <w:bCs/>
                <w:sz w:val="22"/>
                <w:szCs w:val="22"/>
              </w:rPr>
            </w:pPr>
            <w:r>
              <w:rPr>
                <w:rFonts w:hint="eastAsia" w:hAnsi="宋体" w:cs="宋体"/>
                <w:b/>
                <w:bCs/>
                <w:sz w:val="22"/>
                <w:szCs w:val="22"/>
              </w:rPr>
              <w:t>序号</w:t>
            </w:r>
          </w:p>
        </w:tc>
        <w:tc>
          <w:tcPr>
            <w:tcW w:w="1207" w:type="dxa"/>
            <w:tcBorders>
              <w:top w:val="single" w:color="auto" w:sz="4" w:space="0"/>
              <w:left w:val="nil"/>
              <w:right w:val="single" w:color="auto" w:sz="4" w:space="0"/>
            </w:tcBorders>
            <w:shd w:val="clear" w:color="auto" w:fill="FFFFFF"/>
            <w:noWrap w:val="0"/>
            <w:vAlign w:val="center"/>
          </w:tcPr>
          <w:p w14:paraId="64B6AE64">
            <w:pPr>
              <w:widowControl/>
              <w:spacing w:line="360" w:lineRule="auto"/>
              <w:jc w:val="center"/>
              <w:rPr>
                <w:rFonts w:hint="eastAsia" w:hAnsi="宋体" w:cs="宋体"/>
                <w:b/>
                <w:bCs/>
                <w:sz w:val="22"/>
                <w:szCs w:val="22"/>
              </w:rPr>
            </w:pPr>
            <w:r>
              <w:rPr>
                <w:rFonts w:hint="eastAsia" w:hAnsi="宋体" w:cs="宋体"/>
                <w:b/>
                <w:bCs/>
                <w:sz w:val="22"/>
                <w:szCs w:val="22"/>
              </w:rPr>
              <w:t>审查类别</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16CF316E">
            <w:pPr>
              <w:snapToGrid w:val="0"/>
              <w:spacing w:line="360" w:lineRule="auto"/>
              <w:jc w:val="center"/>
              <w:rPr>
                <w:rFonts w:hint="eastAsia" w:hAnsi="宋体" w:cs="宋体"/>
                <w:b/>
                <w:bCs/>
                <w:sz w:val="22"/>
                <w:szCs w:val="22"/>
              </w:rPr>
            </w:pPr>
            <w:r>
              <w:rPr>
                <w:rFonts w:hint="eastAsia" w:hAnsi="宋体" w:cs="宋体"/>
                <w:b/>
                <w:bCs/>
                <w:sz w:val="22"/>
                <w:szCs w:val="22"/>
              </w:rPr>
              <w:t>审查标准</w:t>
            </w:r>
          </w:p>
        </w:tc>
      </w:tr>
      <w:tr w14:paraId="21E529DD">
        <w:tblPrEx>
          <w:tblCellMar>
            <w:top w:w="0" w:type="dxa"/>
            <w:left w:w="108" w:type="dxa"/>
            <w:bottom w:w="0" w:type="dxa"/>
            <w:right w:w="108" w:type="dxa"/>
          </w:tblCellMar>
        </w:tblPrEx>
        <w:trPr>
          <w:trHeight w:val="359"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2B5D52">
            <w:pPr>
              <w:widowControl/>
              <w:spacing w:line="360" w:lineRule="auto"/>
              <w:jc w:val="center"/>
              <w:rPr>
                <w:rFonts w:hint="eastAsia" w:hAnsi="宋体" w:cs="宋体"/>
                <w:sz w:val="22"/>
                <w:szCs w:val="22"/>
              </w:rPr>
            </w:pPr>
            <w:r>
              <w:rPr>
                <w:rFonts w:hint="eastAsia" w:hAnsi="宋体" w:cs="宋体"/>
                <w:sz w:val="22"/>
                <w:szCs w:val="22"/>
              </w:rPr>
              <w:t>1</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095867B4">
            <w:pPr>
              <w:widowControl/>
              <w:spacing w:line="360" w:lineRule="auto"/>
              <w:jc w:val="center"/>
              <w:rPr>
                <w:rFonts w:hint="default" w:hAnsi="宋体" w:eastAsia="宋体" w:cs="宋体"/>
                <w:sz w:val="22"/>
                <w:szCs w:val="22"/>
                <w:lang w:val="en-US" w:eastAsia="zh-CN"/>
              </w:rPr>
            </w:pPr>
            <w:r>
              <w:rPr>
                <w:rFonts w:hint="eastAsia" w:hAnsi="宋体" w:cs="宋体"/>
                <w:sz w:val="22"/>
                <w:szCs w:val="22"/>
                <w:lang w:val="en-US" w:eastAsia="zh-CN"/>
              </w:rPr>
              <w:t>最高投标限价</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39BFBE71">
            <w:pPr>
              <w:snapToGrid w:val="0"/>
              <w:spacing w:line="360" w:lineRule="auto"/>
              <w:rPr>
                <w:rFonts w:hint="eastAsia" w:hAnsi="宋体" w:cs="宋体"/>
                <w:sz w:val="22"/>
                <w:szCs w:val="22"/>
              </w:rPr>
            </w:pPr>
            <w:r>
              <w:rPr>
                <w:rFonts w:hint="eastAsia" w:hAnsi="宋体" w:cs="宋体"/>
                <w:bCs/>
                <w:sz w:val="22"/>
                <w:szCs w:val="22"/>
              </w:rPr>
              <w:t>投标函未超过最高投标限价，且只有一个报价。</w:t>
            </w:r>
          </w:p>
        </w:tc>
      </w:tr>
      <w:tr w14:paraId="51249B5F">
        <w:tblPrEx>
          <w:tblCellMar>
            <w:top w:w="0" w:type="dxa"/>
            <w:left w:w="108" w:type="dxa"/>
            <w:bottom w:w="0" w:type="dxa"/>
            <w:right w:w="108" w:type="dxa"/>
          </w:tblCellMar>
        </w:tblPrEx>
        <w:trPr>
          <w:trHeight w:val="309"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B672F7">
            <w:pPr>
              <w:widowControl/>
              <w:spacing w:line="360" w:lineRule="auto"/>
              <w:jc w:val="center"/>
              <w:rPr>
                <w:rFonts w:hint="eastAsia" w:hAnsi="宋体" w:cs="宋体"/>
                <w:sz w:val="22"/>
                <w:szCs w:val="22"/>
              </w:rPr>
            </w:pPr>
            <w:r>
              <w:rPr>
                <w:rFonts w:hint="eastAsia" w:hAnsi="宋体" w:cs="宋体"/>
                <w:sz w:val="22"/>
                <w:szCs w:val="22"/>
              </w:rPr>
              <w:t>2</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79DAB437">
            <w:pPr>
              <w:widowControl/>
              <w:spacing w:line="360" w:lineRule="auto"/>
              <w:rPr>
                <w:rFonts w:hint="eastAsia" w:hAnsi="宋体" w:cs="宋体"/>
                <w:sz w:val="22"/>
                <w:szCs w:val="22"/>
              </w:rPr>
            </w:pPr>
            <w:r>
              <w:rPr>
                <w:rFonts w:hint="eastAsia" w:hAnsi="宋体" w:cs="宋体"/>
                <w:bCs/>
                <w:sz w:val="22"/>
                <w:szCs w:val="22"/>
              </w:rPr>
              <w:t>法定代表人授权书</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2522086E">
            <w:pPr>
              <w:widowControl/>
              <w:spacing w:line="360" w:lineRule="auto"/>
              <w:rPr>
                <w:rFonts w:hint="eastAsia" w:hAnsi="宋体" w:cs="宋体"/>
                <w:sz w:val="22"/>
                <w:szCs w:val="22"/>
              </w:rPr>
            </w:pPr>
            <w:r>
              <w:rPr>
                <w:rFonts w:hint="eastAsia" w:hAnsi="宋体" w:cs="宋体"/>
                <w:bCs/>
                <w:sz w:val="22"/>
                <w:szCs w:val="22"/>
              </w:rPr>
              <w:t>具备有效的法定代表人授权书</w:t>
            </w:r>
          </w:p>
        </w:tc>
      </w:tr>
      <w:tr w14:paraId="5B4A9938">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998148">
            <w:pPr>
              <w:widowControl/>
              <w:spacing w:line="360" w:lineRule="auto"/>
              <w:jc w:val="center"/>
              <w:rPr>
                <w:rFonts w:hint="eastAsia" w:hAnsi="宋体" w:cs="宋体"/>
                <w:sz w:val="22"/>
                <w:szCs w:val="22"/>
              </w:rPr>
            </w:pPr>
            <w:r>
              <w:rPr>
                <w:rFonts w:hint="eastAsia" w:hAnsi="宋体" w:cs="宋体"/>
                <w:sz w:val="22"/>
                <w:szCs w:val="22"/>
              </w:rPr>
              <w:t>3</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212AC54D">
            <w:pPr>
              <w:widowControl/>
              <w:spacing w:line="360" w:lineRule="auto"/>
              <w:rPr>
                <w:rFonts w:hint="eastAsia" w:hAnsi="宋体" w:cs="宋体"/>
                <w:sz w:val="22"/>
                <w:szCs w:val="22"/>
              </w:rPr>
            </w:pPr>
            <w:r>
              <w:rPr>
                <w:rFonts w:hint="eastAsia" w:hAnsi="宋体" w:cs="宋体"/>
                <w:sz w:val="22"/>
                <w:szCs w:val="22"/>
              </w:rPr>
              <w:t>营业执照</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3665B562">
            <w:pPr>
              <w:widowControl/>
              <w:spacing w:line="360" w:lineRule="auto"/>
              <w:rPr>
                <w:rFonts w:hint="eastAsia" w:hAnsi="宋体" w:cs="宋体"/>
                <w:bCs/>
                <w:sz w:val="22"/>
                <w:szCs w:val="22"/>
              </w:rPr>
            </w:pPr>
            <w:r>
              <w:rPr>
                <w:rFonts w:hint="eastAsia" w:hAnsi="宋体" w:cs="宋体"/>
                <w:bCs/>
                <w:sz w:val="22"/>
                <w:szCs w:val="22"/>
              </w:rPr>
              <w:t>法人或者其他组织的营业执照等证明文件（有效的工商营业执照副本、组织机构代码证副本和税务登记证副本，或多证合一的营业执照），自然人的身份证明；</w:t>
            </w:r>
          </w:p>
          <w:p w14:paraId="0DDE7DC4">
            <w:pPr>
              <w:widowControl/>
              <w:spacing w:line="360" w:lineRule="auto"/>
              <w:rPr>
                <w:rFonts w:hint="eastAsia" w:hAnsi="宋体" w:cs="宋体"/>
                <w:bCs/>
                <w:sz w:val="22"/>
                <w:szCs w:val="22"/>
              </w:rPr>
            </w:pPr>
            <w:r>
              <w:rPr>
                <w:rFonts w:hint="eastAsia" w:hAnsi="宋体" w:cs="宋体"/>
                <w:bCs/>
                <w:sz w:val="22"/>
                <w:szCs w:val="22"/>
              </w:rPr>
              <w:t>备注：复印件或扫描件加盖公章</w:t>
            </w:r>
          </w:p>
        </w:tc>
      </w:tr>
      <w:tr w14:paraId="6A204B9E">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2B357F">
            <w:pPr>
              <w:widowControl/>
              <w:spacing w:line="360" w:lineRule="auto"/>
              <w:jc w:val="center"/>
              <w:rPr>
                <w:rFonts w:hint="eastAsia" w:hAnsi="宋体" w:cs="宋体"/>
                <w:sz w:val="22"/>
                <w:szCs w:val="22"/>
              </w:rPr>
            </w:pPr>
            <w:r>
              <w:rPr>
                <w:rFonts w:hint="eastAsia" w:hAnsi="宋体" w:cs="宋体"/>
                <w:sz w:val="22"/>
                <w:szCs w:val="22"/>
              </w:rPr>
              <w:t>4</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0625D244">
            <w:pPr>
              <w:widowControl/>
              <w:spacing w:line="360" w:lineRule="auto"/>
              <w:rPr>
                <w:rFonts w:hint="eastAsia" w:hAnsi="宋体" w:cs="宋体"/>
                <w:sz w:val="22"/>
                <w:szCs w:val="22"/>
              </w:rPr>
            </w:pPr>
            <w:r>
              <w:rPr>
                <w:rFonts w:hint="eastAsia" w:hAnsi="宋体" w:cs="宋体"/>
                <w:bCs/>
                <w:sz w:val="22"/>
                <w:szCs w:val="22"/>
              </w:rPr>
              <w:t>财务报告</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361435B1">
            <w:pPr>
              <w:widowControl/>
              <w:snapToGrid w:val="0"/>
              <w:spacing w:line="480" w:lineRule="exact"/>
              <w:rPr>
                <w:rFonts w:hint="eastAsia" w:hAnsi="宋体" w:eastAsia="宋体" w:cs="宋体"/>
                <w:bCs/>
                <w:sz w:val="22"/>
                <w:szCs w:val="22"/>
                <w:lang w:eastAsia="zh-CN"/>
              </w:rPr>
            </w:pPr>
            <w:r>
              <w:rPr>
                <w:rFonts w:hint="eastAsia" w:hAnsi="宋体" w:cs="宋体"/>
                <w:bCs/>
                <w:sz w:val="22"/>
                <w:szCs w:val="22"/>
                <w:lang w:eastAsia="zh-CN"/>
              </w:rPr>
              <w:t>供应商是法人的，应提供完整的经审计的2024年度财务报告，附会计师事务所的营业执照及执业证书（或提供2025年基本开户银行近三个月内出具的资信证明）</w:t>
            </w:r>
          </w:p>
        </w:tc>
      </w:tr>
      <w:tr w14:paraId="1D1892DA">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DEFF2B">
            <w:pPr>
              <w:widowControl/>
              <w:spacing w:line="360" w:lineRule="auto"/>
              <w:jc w:val="center"/>
              <w:rPr>
                <w:rFonts w:hint="eastAsia" w:hAnsi="宋体" w:eastAsia="宋体" w:cs="宋体"/>
                <w:sz w:val="22"/>
                <w:szCs w:val="22"/>
                <w:lang w:val="en-US" w:eastAsia="zh-CN"/>
              </w:rPr>
            </w:pPr>
            <w:r>
              <w:rPr>
                <w:rFonts w:hint="eastAsia" w:hAnsi="宋体" w:cs="宋体"/>
                <w:sz w:val="22"/>
                <w:szCs w:val="22"/>
                <w:lang w:val="en-US" w:eastAsia="zh-CN"/>
              </w:rPr>
              <w:t>5</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7013746C">
            <w:pPr>
              <w:widowControl/>
              <w:spacing w:line="360" w:lineRule="auto"/>
              <w:rPr>
                <w:rFonts w:hint="eastAsia" w:hAnsi="宋体" w:cs="宋体"/>
                <w:sz w:val="22"/>
                <w:szCs w:val="22"/>
              </w:rPr>
            </w:pPr>
            <w:r>
              <w:rPr>
                <w:rFonts w:hint="eastAsia" w:hAnsi="宋体" w:cs="宋体"/>
                <w:sz w:val="22"/>
                <w:szCs w:val="22"/>
              </w:rPr>
              <w:t>缴纳税收和社会保障资金的相关材料</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38B731ED">
            <w:pPr>
              <w:snapToGrid w:val="0"/>
              <w:spacing w:line="360" w:lineRule="auto"/>
              <w:rPr>
                <w:rFonts w:hint="eastAsia" w:hAnsi="宋体" w:cs="宋体"/>
                <w:bCs/>
                <w:sz w:val="22"/>
                <w:szCs w:val="22"/>
              </w:rPr>
            </w:pPr>
            <w:r>
              <w:rPr>
                <w:rFonts w:hint="eastAsia" w:hAnsi="宋体" w:cs="宋体"/>
                <w:sz w:val="22"/>
                <w:szCs w:val="22"/>
              </w:rPr>
              <w:t>依法缴纳税收和社会保障资金的相关材料（</w:t>
            </w:r>
            <w:r>
              <w:rPr>
                <w:rFonts w:hint="eastAsia" w:hAnsi="宋体" w:cs="宋体"/>
                <w:sz w:val="22"/>
                <w:szCs w:val="22"/>
                <w:lang w:eastAsia="zh-CN"/>
              </w:rPr>
              <w:t>2025年1月至今任意3个月的纳税证明和社保缴纳证明；依法免税或不需要缴纳社保的，须</w:t>
            </w:r>
            <w:r>
              <w:rPr>
                <w:rFonts w:hint="eastAsia" w:hAnsi="宋体" w:cs="宋体"/>
                <w:sz w:val="22"/>
                <w:szCs w:val="22"/>
              </w:rPr>
              <w:t>提供有效的证明材料）</w:t>
            </w:r>
          </w:p>
          <w:p w14:paraId="2270D818">
            <w:pPr>
              <w:snapToGrid w:val="0"/>
              <w:spacing w:line="360" w:lineRule="auto"/>
              <w:rPr>
                <w:rFonts w:hint="eastAsia" w:hAnsi="宋体" w:cs="宋体"/>
                <w:bCs/>
                <w:sz w:val="22"/>
                <w:szCs w:val="22"/>
              </w:rPr>
            </w:pPr>
            <w:r>
              <w:rPr>
                <w:rFonts w:hint="eastAsia" w:hAnsi="宋体" w:cs="宋体"/>
                <w:bCs/>
                <w:sz w:val="22"/>
                <w:szCs w:val="22"/>
              </w:rPr>
              <w:t>备注：复印件或扫描件加盖公章</w:t>
            </w:r>
          </w:p>
        </w:tc>
      </w:tr>
      <w:tr w14:paraId="465E48F2">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0D58E0">
            <w:pPr>
              <w:widowControl/>
              <w:spacing w:line="360" w:lineRule="auto"/>
              <w:jc w:val="center"/>
              <w:rPr>
                <w:rFonts w:hint="eastAsia" w:hAnsi="宋体" w:eastAsia="宋体" w:cs="宋体"/>
                <w:sz w:val="22"/>
                <w:szCs w:val="22"/>
                <w:lang w:eastAsia="zh-CN"/>
              </w:rPr>
            </w:pPr>
            <w:r>
              <w:rPr>
                <w:rFonts w:hint="eastAsia" w:hAnsi="宋体" w:cs="宋体"/>
                <w:sz w:val="22"/>
                <w:szCs w:val="22"/>
                <w:lang w:val="en-US" w:eastAsia="zh-CN"/>
              </w:rPr>
              <w:t>6</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2F58F7E2">
            <w:pPr>
              <w:widowControl/>
              <w:spacing w:line="360" w:lineRule="auto"/>
              <w:rPr>
                <w:rFonts w:hint="eastAsia" w:hAnsi="宋体" w:cs="宋体"/>
                <w:sz w:val="22"/>
                <w:szCs w:val="22"/>
              </w:rPr>
            </w:pPr>
            <w:r>
              <w:rPr>
                <w:rFonts w:hint="eastAsia" w:hAnsi="宋体" w:cs="宋体"/>
                <w:sz w:val="22"/>
                <w:szCs w:val="22"/>
              </w:rPr>
              <w:t>履约能力</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44B47F2B">
            <w:pPr>
              <w:snapToGrid w:val="0"/>
              <w:spacing w:line="360" w:lineRule="auto"/>
              <w:rPr>
                <w:rFonts w:hint="eastAsia" w:hAnsi="宋体" w:cs="宋体"/>
                <w:bCs/>
                <w:sz w:val="22"/>
                <w:szCs w:val="22"/>
              </w:rPr>
            </w:pPr>
            <w:r>
              <w:rPr>
                <w:rFonts w:hint="eastAsia" w:hAnsi="宋体" w:cs="宋体"/>
                <w:bCs/>
                <w:sz w:val="22"/>
                <w:szCs w:val="22"/>
              </w:rPr>
              <w:t>具备履行合同所必需的设备和专业技术能力的证明材料；（自行承诺）</w:t>
            </w:r>
          </w:p>
        </w:tc>
      </w:tr>
      <w:tr w14:paraId="4EAF944A">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4E9483">
            <w:pPr>
              <w:widowControl/>
              <w:spacing w:line="360" w:lineRule="auto"/>
              <w:jc w:val="center"/>
              <w:rPr>
                <w:rFonts w:hint="eastAsia" w:hAnsi="宋体" w:eastAsia="宋体" w:cs="宋体"/>
                <w:sz w:val="22"/>
                <w:szCs w:val="22"/>
                <w:lang w:eastAsia="zh-CN"/>
              </w:rPr>
            </w:pPr>
            <w:r>
              <w:rPr>
                <w:rFonts w:hint="eastAsia" w:hAnsi="宋体" w:cs="宋体"/>
                <w:sz w:val="22"/>
                <w:szCs w:val="22"/>
                <w:lang w:val="en-US" w:eastAsia="zh-CN"/>
              </w:rPr>
              <w:t>7</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3B1772D8">
            <w:pPr>
              <w:widowControl/>
              <w:spacing w:line="360" w:lineRule="auto"/>
              <w:rPr>
                <w:rFonts w:hint="eastAsia" w:hAnsi="宋体" w:cs="宋体"/>
                <w:sz w:val="22"/>
                <w:szCs w:val="22"/>
              </w:rPr>
            </w:pPr>
            <w:r>
              <w:rPr>
                <w:rFonts w:hint="eastAsia" w:hAnsi="宋体" w:cs="宋体"/>
                <w:bCs/>
                <w:sz w:val="22"/>
                <w:szCs w:val="22"/>
                <w:lang w:val="en-US" w:eastAsia="zh-CN"/>
              </w:rPr>
              <w:t>无</w:t>
            </w:r>
            <w:r>
              <w:rPr>
                <w:rFonts w:hint="eastAsia" w:hAnsi="宋体" w:cs="宋体"/>
                <w:bCs/>
                <w:sz w:val="22"/>
                <w:szCs w:val="22"/>
              </w:rPr>
              <w:t>重大违法记录声明</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58D917A2">
            <w:pPr>
              <w:snapToGrid w:val="0"/>
              <w:spacing w:line="360" w:lineRule="auto"/>
              <w:rPr>
                <w:rFonts w:hint="eastAsia" w:hAnsi="宋体" w:cs="宋体"/>
                <w:bCs/>
                <w:sz w:val="22"/>
                <w:szCs w:val="22"/>
              </w:rPr>
            </w:pPr>
            <w:r>
              <w:rPr>
                <w:rFonts w:hint="eastAsia" w:hAnsi="宋体" w:cs="宋体"/>
                <w:bCs/>
                <w:sz w:val="22"/>
                <w:szCs w:val="22"/>
              </w:rPr>
              <w:t>参加政府采购活动前3年内在经营活动中没有重大违法记录的书面声明；（自行声明）</w:t>
            </w:r>
          </w:p>
        </w:tc>
      </w:tr>
      <w:tr w14:paraId="2F2659A5">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A05576">
            <w:pPr>
              <w:widowControl/>
              <w:spacing w:line="360" w:lineRule="auto"/>
              <w:jc w:val="center"/>
              <w:rPr>
                <w:rFonts w:hint="eastAsia" w:hAnsi="宋体" w:eastAsia="宋体" w:cs="宋体"/>
                <w:sz w:val="22"/>
                <w:szCs w:val="22"/>
                <w:lang w:eastAsia="zh-CN"/>
              </w:rPr>
            </w:pPr>
            <w:r>
              <w:rPr>
                <w:rFonts w:hint="eastAsia" w:hAnsi="宋体" w:cs="宋体"/>
                <w:sz w:val="22"/>
                <w:szCs w:val="22"/>
                <w:lang w:val="en-US" w:eastAsia="zh-CN"/>
              </w:rPr>
              <w:t>8</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300ADFFE">
            <w:pPr>
              <w:widowControl/>
              <w:spacing w:line="360" w:lineRule="auto"/>
              <w:rPr>
                <w:rFonts w:hint="eastAsia" w:hAnsi="宋体" w:cs="宋体"/>
                <w:sz w:val="22"/>
                <w:szCs w:val="22"/>
              </w:rPr>
            </w:pPr>
            <w:r>
              <w:rPr>
                <w:rFonts w:hint="eastAsia" w:hAnsi="宋体" w:cs="宋体"/>
                <w:bCs/>
                <w:sz w:val="22"/>
                <w:szCs w:val="22"/>
              </w:rPr>
              <w:t>非联合体承诺函</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6655D214">
            <w:pPr>
              <w:snapToGrid w:val="0"/>
              <w:spacing w:line="360" w:lineRule="auto"/>
              <w:rPr>
                <w:rFonts w:hint="eastAsia" w:hAnsi="宋体" w:cs="宋体"/>
                <w:bCs/>
                <w:sz w:val="22"/>
                <w:szCs w:val="22"/>
              </w:rPr>
            </w:pPr>
            <w:r>
              <w:rPr>
                <w:rFonts w:hint="eastAsia" w:hAnsi="宋体" w:cs="宋体"/>
                <w:bCs/>
                <w:sz w:val="22"/>
                <w:szCs w:val="22"/>
              </w:rPr>
              <w:t>本项目不接受联合体投标；（自行提供非联合体承诺函）</w:t>
            </w:r>
          </w:p>
        </w:tc>
      </w:tr>
      <w:tr w14:paraId="1BA24F76">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A0B885">
            <w:pPr>
              <w:widowControl/>
              <w:spacing w:line="360" w:lineRule="auto"/>
              <w:jc w:val="center"/>
              <w:rPr>
                <w:rFonts w:hint="eastAsia" w:hAnsi="宋体" w:cs="宋体"/>
                <w:sz w:val="22"/>
                <w:szCs w:val="22"/>
              </w:rPr>
            </w:pPr>
            <w:r>
              <w:rPr>
                <w:rFonts w:hint="eastAsia" w:hAnsi="宋体" w:cs="宋体"/>
                <w:sz w:val="22"/>
                <w:szCs w:val="22"/>
                <w:lang w:val="en-US" w:eastAsia="zh-CN"/>
              </w:rPr>
              <w:t>9</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7259DB17">
            <w:pPr>
              <w:widowControl/>
              <w:spacing w:line="360" w:lineRule="auto"/>
              <w:rPr>
                <w:rFonts w:hint="default" w:hAnsi="宋体" w:eastAsia="宋体" w:cs="宋体"/>
                <w:sz w:val="22"/>
                <w:szCs w:val="22"/>
                <w:lang w:val="en-US" w:eastAsia="zh-CN"/>
              </w:rPr>
            </w:pPr>
            <w:r>
              <w:rPr>
                <w:rFonts w:hint="eastAsia" w:hAnsi="宋体" w:cs="宋体"/>
                <w:sz w:val="22"/>
                <w:szCs w:val="22"/>
                <w:lang w:val="en-US" w:eastAsia="zh-CN"/>
              </w:rPr>
              <w:t>失信名单查询</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55635E0A">
            <w:pPr>
              <w:pStyle w:val="7"/>
              <w:ind w:firstLine="442" w:firstLineChars="201"/>
              <w:rPr>
                <w:rFonts w:hint="eastAsia" w:hAnsi="宋体"/>
                <w:sz w:val="22"/>
                <w:szCs w:val="22"/>
              </w:rPr>
            </w:pPr>
            <w:r>
              <w:rPr>
                <w:rFonts w:hint="eastAsia" w:hAnsi="宋体"/>
                <w:sz w:val="22"/>
                <w:szCs w:val="22"/>
              </w:rPr>
              <w:t>法律、行政法规规定的其他条件：根据《财政部关于在政府采购活动中查询及使用信用记录有关问题的通知》（财库〔2016〕125 号）规定，供应商须自行承诺：在“信用中国 ”网站（www.creditchina.gov.cn）、中国政府采购网（www.ccgp.gov.cn）等渠道查询中未被列入失信被执行人名单、重大税收违法案件当事人名单、政府采购严重违法失信行为记录名单中，如被列入失信被执行人、重大税收违法案件当事人名单、 政府采购严重违法失信行为记录名单中的供应商取消其投标资格，并承担由此造成的一切法律责任及后果；</w:t>
            </w:r>
          </w:p>
        </w:tc>
      </w:tr>
      <w:tr w14:paraId="0870EDB4">
        <w:tblPrEx>
          <w:tblCellMar>
            <w:top w:w="0" w:type="dxa"/>
            <w:left w:w="108" w:type="dxa"/>
            <w:bottom w:w="0" w:type="dxa"/>
            <w:right w:w="108" w:type="dxa"/>
          </w:tblCellMar>
        </w:tblPrEx>
        <w:trPr>
          <w:trHeight w:val="642"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01E28D">
            <w:pPr>
              <w:widowControl/>
              <w:spacing w:line="360" w:lineRule="auto"/>
              <w:jc w:val="center"/>
              <w:rPr>
                <w:rFonts w:hint="default" w:hAnsi="宋体" w:eastAsia="宋体" w:cs="宋体"/>
                <w:sz w:val="22"/>
                <w:szCs w:val="22"/>
                <w:lang w:val="en-US" w:eastAsia="zh-CN"/>
              </w:rPr>
            </w:pPr>
            <w:r>
              <w:rPr>
                <w:rFonts w:hint="eastAsia" w:hAnsi="宋体" w:cs="宋体"/>
                <w:sz w:val="22"/>
                <w:szCs w:val="22"/>
                <w:lang w:val="en-US" w:eastAsia="zh-CN"/>
              </w:rPr>
              <w:t>10</w:t>
            </w:r>
          </w:p>
        </w:tc>
        <w:tc>
          <w:tcPr>
            <w:tcW w:w="1207" w:type="dxa"/>
            <w:tcBorders>
              <w:top w:val="single" w:color="auto" w:sz="4" w:space="0"/>
              <w:left w:val="nil"/>
              <w:bottom w:val="single" w:color="auto" w:sz="4" w:space="0"/>
              <w:right w:val="single" w:color="auto" w:sz="4" w:space="0"/>
            </w:tcBorders>
            <w:shd w:val="clear" w:color="auto" w:fill="FFFFFF"/>
            <w:noWrap w:val="0"/>
            <w:vAlign w:val="center"/>
          </w:tcPr>
          <w:p w14:paraId="5E66C282">
            <w:pPr>
              <w:widowControl/>
              <w:spacing w:line="360" w:lineRule="auto"/>
              <w:rPr>
                <w:rFonts w:hint="eastAsia" w:hAnsi="宋体" w:cs="宋体"/>
                <w:sz w:val="22"/>
                <w:szCs w:val="22"/>
              </w:rPr>
            </w:pPr>
            <w:r>
              <w:rPr>
                <w:rFonts w:hint="eastAsia" w:hAnsi="宋体"/>
                <w:sz w:val="22"/>
                <w:szCs w:val="22"/>
              </w:rPr>
              <w:t>中小企业声明函</w:t>
            </w:r>
          </w:p>
        </w:tc>
        <w:tc>
          <w:tcPr>
            <w:tcW w:w="6685" w:type="dxa"/>
            <w:tcBorders>
              <w:top w:val="single" w:color="auto" w:sz="4" w:space="0"/>
              <w:left w:val="nil"/>
              <w:bottom w:val="single" w:color="auto" w:sz="4" w:space="0"/>
              <w:right w:val="single" w:color="auto" w:sz="4" w:space="0"/>
            </w:tcBorders>
            <w:shd w:val="clear" w:color="auto" w:fill="FFFFFF"/>
            <w:noWrap w:val="0"/>
            <w:vAlign w:val="center"/>
          </w:tcPr>
          <w:p w14:paraId="3CE26A43">
            <w:pPr>
              <w:pStyle w:val="7"/>
              <w:adjustRightInd w:val="0"/>
              <w:snapToGrid w:val="0"/>
              <w:spacing w:before="0" w:beforeAutospacing="0" w:after="0" w:afterAutospacing="0" w:line="480" w:lineRule="exact"/>
              <w:ind w:firstLine="220" w:firstLineChars="100"/>
              <w:jc w:val="both"/>
              <w:rPr>
                <w:rFonts w:hint="eastAsia" w:hAnsi="宋体" w:eastAsia="宋体"/>
                <w:bCs/>
                <w:sz w:val="22"/>
                <w:szCs w:val="22"/>
                <w:shd w:val="clear" w:color="auto" w:fill="FFFFFF"/>
                <w:lang w:eastAsia="zh-CN"/>
              </w:rPr>
            </w:pPr>
            <w:r>
              <w:rPr>
                <w:rFonts w:hint="eastAsia" w:hAnsi="宋体"/>
                <w:sz w:val="22"/>
                <w:szCs w:val="22"/>
                <w:lang w:eastAsia="zh-CN"/>
              </w:rPr>
              <w:t>符合本项目要求，真实有效。</w:t>
            </w:r>
          </w:p>
        </w:tc>
      </w:tr>
      <w:tr w14:paraId="7394C452">
        <w:tblPrEx>
          <w:tblCellMar>
            <w:top w:w="0" w:type="dxa"/>
            <w:left w:w="108" w:type="dxa"/>
            <w:bottom w:w="0" w:type="dxa"/>
            <w:right w:w="108" w:type="dxa"/>
          </w:tblCellMar>
        </w:tblPrEx>
        <w:trPr>
          <w:trHeight w:val="975"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35A6B">
            <w:pPr>
              <w:widowControl/>
              <w:spacing w:line="360" w:lineRule="auto"/>
              <w:jc w:val="center"/>
              <w:rPr>
                <w:rFonts w:hint="eastAsia" w:hAnsi="宋体" w:eastAsia="宋体" w:cs="宋体"/>
                <w:sz w:val="22"/>
                <w:szCs w:val="22"/>
                <w:lang w:eastAsia="zh-CN"/>
              </w:rPr>
            </w:pPr>
            <w:r>
              <w:rPr>
                <w:rFonts w:hint="eastAsia" w:hAnsi="宋体" w:cs="宋体"/>
                <w:sz w:val="22"/>
                <w:szCs w:val="22"/>
              </w:rPr>
              <w:t>1</w:t>
            </w:r>
            <w:r>
              <w:rPr>
                <w:rFonts w:hint="eastAsia" w:hAnsi="宋体" w:cs="宋体"/>
                <w:sz w:val="22"/>
                <w:szCs w:val="22"/>
                <w:lang w:val="en-US" w:eastAsia="zh-CN"/>
              </w:rPr>
              <w:t>1</w:t>
            </w:r>
          </w:p>
        </w:tc>
        <w:tc>
          <w:tcPr>
            <w:tcW w:w="1207" w:type="dxa"/>
            <w:tcBorders>
              <w:top w:val="single" w:color="auto" w:sz="4" w:space="0"/>
              <w:bottom w:val="single" w:color="auto" w:sz="4" w:space="0"/>
              <w:right w:val="single" w:color="auto" w:sz="4" w:space="0"/>
            </w:tcBorders>
            <w:shd w:val="clear" w:color="auto" w:fill="auto"/>
            <w:noWrap w:val="0"/>
            <w:vAlign w:val="center"/>
          </w:tcPr>
          <w:p w14:paraId="079944A7">
            <w:pPr>
              <w:widowControl/>
              <w:spacing w:line="360" w:lineRule="auto"/>
              <w:jc w:val="center"/>
              <w:rPr>
                <w:rFonts w:hint="eastAsia" w:hAnsi="宋体" w:cs="宋体"/>
                <w:sz w:val="22"/>
                <w:szCs w:val="22"/>
              </w:rPr>
            </w:pPr>
            <w:r>
              <w:rPr>
                <w:rFonts w:hint="eastAsia" w:hAnsi="宋体" w:cs="宋体"/>
                <w:sz w:val="22"/>
                <w:szCs w:val="22"/>
              </w:rPr>
              <w:t>特殊性资格审查</w:t>
            </w:r>
          </w:p>
        </w:tc>
        <w:tc>
          <w:tcPr>
            <w:tcW w:w="66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0518A4">
            <w:pPr>
              <w:pStyle w:val="7"/>
              <w:adjustRightInd w:val="0"/>
              <w:snapToGrid w:val="0"/>
              <w:spacing w:before="0" w:beforeAutospacing="0" w:after="0" w:afterAutospacing="0" w:line="480" w:lineRule="exact"/>
              <w:jc w:val="both"/>
              <w:rPr>
                <w:rFonts w:hint="eastAsia" w:hAnsi="宋体"/>
                <w:sz w:val="22"/>
                <w:szCs w:val="22"/>
              </w:rPr>
            </w:pPr>
            <w:r>
              <w:rPr>
                <w:rFonts w:hint="eastAsia" w:ascii="宋体" w:hAnsi="宋体" w:cs="宋体"/>
                <w:color w:val="auto"/>
                <w:kern w:val="0"/>
                <w:sz w:val="24"/>
                <w:szCs w:val="20"/>
                <w:highlight w:val="none"/>
                <w:lang w:val="en-US" w:eastAsia="zh-CN"/>
              </w:rPr>
              <w:t>投标人</w:t>
            </w:r>
            <w:r>
              <w:rPr>
                <w:rFonts w:hint="eastAsia" w:ascii="宋体" w:hAnsi="宋体" w:eastAsia="宋体" w:cs="宋体"/>
                <w:color w:val="auto"/>
                <w:kern w:val="0"/>
                <w:sz w:val="24"/>
                <w:szCs w:val="20"/>
                <w:highlight w:val="none"/>
              </w:rPr>
              <w:t>须具备</w:t>
            </w:r>
            <w:r>
              <w:rPr>
                <w:rFonts w:hint="eastAsia" w:ascii="宋体" w:hAnsi="宋体" w:eastAsia="宋体" w:cs="宋体"/>
                <w:color w:val="auto"/>
                <w:kern w:val="0"/>
                <w:sz w:val="24"/>
                <w:szCs w:val="20"/>
                <w:highlight w:val="none"/>
                <w:lang w:eastAsia="zh-CN"/>
              </w:rPr>
              <w:t>建设行政主管部门核发的有效的建筑装修装饰工程专业承包二级及以上或</w:t>
            </w:r>
            <w:r>
              <w:rPr>
                <w:rFonts w:hint="eastAsia" w:ascii="宋体" w:hAnsi="宋体" w:eastAsia="宋体" w:cs="宋体"/>
                <w:color w:val="auto"/>
                <w:kern w:val="0"/>
                <w:sz w:val="24"/>
                <w:szCs w:val="20"/>
                <w:highlight w:val="none"/>
                <w:lang w:val="en-US" w:eastAsia="zh-CN"/>
              </w:rPr>
              <w:t>建筑工程施工总承包二级及以上</w:t>
            </w:r>
            <w:r>
              <w:rPr>
                <w:rFonts w:hint="eastAsia" w:ascii="宋体" w:hAnsi="宋体" w:eastAsia="宋体" w:cs="宋体"/>
                <w:color w:val="auto"/>
                <w:kern w:val="0"/>
                <w:sz w:val="24"/>
                <w:szCs w:val="20"/>
                <w:highlight w:val="none"/>
                <w:lang w:eastAsia="zh-CN"/>
              </w:rPr>
              <w:t>资质</w:t>
            </w:r>
            <w:r>
              <w:rPr>
                <w:rFonts w:hint="eastAsia" w:ascii="宋体" w:hAnsi="宋体" w:eastAsia="宋体" w:cs="宋体"/>
                <w:color w:val="auto"/>
                <w:kern w:val="0"/>
                <w:sz w:val="24"/>
                <w:szCs w:val="20"/>
                <w:highlight w:val="none"/>
              </w:rPr>
              <w:t>，并具备有效的安全生产许可证</w:t>
            </w:r>
            <w:r>
              <w:rPr>
                <w:rFonts w:hint="eastAsia" w:ascii="宋体" w:hAnsi="宋体" w:eastAsia="宋体" w:cs="宋体"/>
                <w:color w:val="auto"/>
                <w:kern w:val="0"/>
                <w:sz w:val="24"/>
                <w:szCs w:val="20"/>
                <w:highlight w:val="none"/>
                <w:lang w:eastAsia="zh-CN"/>
              </w:rPr>
              <w:t>；</w:t>
            </w:r>
            <w:r>
              <w:rPr>
                <w:rFonts w:hint="eastAsia" w:ascii="宋体" w:hAnsi="宋体" w:eastAsia="宋体" w:cs="宋体"/>
                <w:color w:val="auto"/>
                <w:kern w:val="0"/>
                <w:sz w:val="24"/>
                <w:szCs w:val="20"/>
                <w:highlight w:val="none"/>
                <w:lang w:val="en-US" w:eastAsia="zh-CN"/>
              </w:rPr>
              <w:t>项目负责人（项目经理）须具备建筑工程专业二级及以上注册建造师，且在</w:t>
            </w:r>
            <w:r>
              <w:rPr>
                <w:rFonts w:hint="eastAsia" w:ascii="宋体" w:hAnsi="宋体" w:cs="宋体"/>
                <w:color w:val="auto"/>
                <w:kern w:val="0"/>
                <w:sz w:val="24"/>
                <w:szCs w:val="20"/>
                <w:highlight w:val="none"/>
                <w:lang w:val="en-US" w:eastAsia="zh-CN"/>
              </w:rPr>
              <w:t>投标人</w:t>
            </w:r>
            <w:r>
              <w:rPr>
                <w:rFonts w:hint="eastAsia" w:ascii="宋体" w:hAnsi="宋体" w:eastAsia="宋体" w:cs="宋体"/>
                <w:color w:val="auto"/>
                <w:kern w:val="0"/>
                <w:sz w:val="24"/>
                <w:szCs w:val="20"/>
                <w:highlight w:val="none"/>
                <w:lang w:val="en-US" w:eastAsia="zh-CN"/>
              </w:rPr>
              <w:t>本单位有效注册，并具备有效的安全生产考核合格证书( B</w:t>
            </w:r>
            <w:r>
              <w:rPr>
                <w:rFonts w:hint="eastAsia" w:ascii="宋体" w:hAnsi="宋体" w:cs="宋体"/>
                <w:color w:val="auto"/>
                <w:kern w:val="0"/>
                <w:sz w:val="24"/>
                <w:szCs w:val="20"/>
                <w:highlight w:val="none"/>
                <w:lang w:val="en-US" w:eastAsia="zh-CN"/>
              </w:rPr>
              <w:t>证</w:t>
            </w:r>
            <w:r>
              <w:rPr>
                <w:rFonts w:hint="eastAsia" w:ascii="宋体" w:hAnsi="宋体" w:eastAsia="宋体" w:cs="宋体"/>
                <w:color w:val="auto"/>
                <w:kern w:val="0"/>
                <w:sz w:val="24"/>
                <w:szCs w:val="20"/>
                <w:highlight w:val="none"/>
                <w:lang w:val="en-US" w:eastAsia="zh-CN"/>
              </w:rPr>
              <w:t xml:space="preserve">) ，且未担任其他在建建设工程的项目负责人(项目经理)(自行承诺，格式自拟） </w:t>
            </w:r>
            <w:r>
              <w:rPr>
                <w:rFonts w:hint="eastAsia" w:ascii="宋体" w:hAnsi="宋体" w:eastAsia="宋体" w:cs="宋体"/>
                <w:color w:val="auto"/>
                <w:kern w:val="0"/>
                <w:sz w:val="24"/>
                <w:szCs w:val="20"/>
                <w:highlight w:val="none"/>
              </w:rPr>
              <w:t>。</w:t>
            </w:r>
            <w:r>
              <w:rPr>
                <w:rFonts w:hint="eastAsia" w:hAnsi="宋体"/>
                <w:sz w:val="22"/>
                <w:szCs w:val="22"/>
                <w:shd w:val="clear" w:color="auto" w:fill="FFFFFF"/>
              </w:rPr>
              <w:t>（复印件加盖公章）。</w:t>
            </w:r>
          </w:p>
        </w:tc>
      </w:tr>
    </w:tbl>
    <w:p w14:paraId="4BDF016D">
      <w:pPr>
        <w:snapToGrid w:val="0"/>
        <w:spacing w:line="360" w:lineRule="auto"/>
        <w:rPr>
          <w:rFonts w:hint="eastAsia"/>
          <w:b/>
          <w:sz w:val="24"/>
          <w:szCs w:val="24"/>
        </w:rPr>
      </w:pPr>
    </w:p>
    <w:p w14:paraId="0B391DC3">
      <w:pPr>
        <w:snapToGrid w:val="0"/>
        <w:spacing w:line="360" w:lineRule="auto"/>
        <w:ind w:firstLine="472" w:firstLineChars="196"/>
        <w:rPr>
          <w:rFonts w:hint="eastAsia"/>
          <w:b/>
          <w:sz w:val="24"/>
          <w:szCs w:val="24"/>
        </w:rPr>
      </w:pPr>
      <w:r>
        <w:rPr>
          <w:rFonts w:hint="eastAsia"/>
          <w:b/>
          <w:sz w:val="24"/>
          <w:szCs w:val="24"/>
        </w:rPr>
        <w:t>四、符合性审查表</w:t>
      </w:r>
    </w:p>
    <w:tbl>
      <w:tblPr>
        <w:tblStyle w:val="8"/>
        <w:tblW w:w="0" w:type="auto"/>
        <w:jc w:val="center"/>
        <w:tblLayout w:type="fixed"/>
        <w:tblCellMar>
          <w:top w:w="0" w:type="dxa"/>
          <w:left w:w="108" w:type="dxa"/>
          <w:bottom w:w="0" w:type="dxa"/>
          <w:right w:w="108" w:type="dxa"/>
        </w:tblCellMar>
      </w:tblPr>
      <w:tblGrid>
        <w:gridCol w:w="549"/>
        <w:gridCol w:w="1367"/>
        <w:gridCol w:w="6387"/>
      </w:tblGrid>
      <w:tr w14:paraId="36F4236F">
        <w:tblPrEx>
          <w:tblCellMar>
            <w:top w:w="0" w:type="dxa"/>
            <w:left w:w="108" w:type="dxa"/>
            <w:bottom w:w="0" w:type="dxa"/>
            <w:right w:w="108" w:type="dxa"/>
          </w:tblCellMar>
        </w:tblPrEx>
        <w:trPr>
          <w:trHeight w:val="284"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7514DB">
            <w:pPr>
              <w:widowControl/>
              <w:spacing w:line="360" w:lineRule="auto"/>
              <w:jc w:val="center"/>
              <w:rPr>
                <w:rFonts w:hAnsi="宋体"/>
                <w:sz w:val="22"/>
                <w:szCs w:val="22"/>
              </w:rPr>
            </w:pPr>
            <w:r>
              <w:rPr>
                <w:rFonts w:hint="eastAsia" w:hAnsi="宋体" w:cs="宋体"/>
                <w:b/>
                <w:bCs/>
                <w:sz w:val="22"/>
                <w:szCs w:val="22"/>
              </w:rPr>
              <w:t>序号</w:t>
            </w:r>
          </w:p>
        </w:tc>
        <w:tc>
          <w:tcPr>
            <w:tcW w:w="1367" w:type="dxa"/>
            <w:tcBorders>
              <w:top w:val="single" w:color="auto" w:sz="4" w:space="0"/>
              <w:left w:val="nil"/>
              <w:bottom w:val="single" w:color="auto" w:sz="4" w:space="0"/>
              <w:right w:val="single" w:color="auto" w:sz="4" w:space="0"/>
            </w:tcBorders>
            <w:shd w:val="clear" w:color="auto" w:fill="FFFFFF"/>
            <w:noWrap w:val="0"/>
            <w:vAlign w:val="center"/>
          </w:tcPr>
          <w:p w14:paraId="0D89514E">
            <w:pPr>
              <w:widowControl/>
              <w:spacing w:line="360" w:lineRule="auto"/>
              <w:jc w:val="center"/>
              <w:rPr>
                <w:rFonts w:hAnsi="宋体"/>
                <w:sz w:val="22"/>
                <w:szCs w:val="22"/>
              </w:rPr>
            </w:pPr>
            <w:r>
              <w:rPr>
                <w:rFonts w:hint="eastAsia" w:hAnsi="宋体" w:cs="宋体"/>
                <w:b/>
                <w:bCs/>
                <w:sz w:val="22"/>
                <w:szCs w:val="22"/>
              </w:rPr>
              <w:t>审查类别</w:t>
            </w:r>
          </w:p>
        </w:tc>
        <w:tc>
          <w:tcPr>
            <w:tcW w:w="6387" w:type="dxa"/>
            <w:tcBorders>
              <w:top w:val="single" w:color="auto" w:sz="4" w:space="0"/>
              <w:left w:val="nil"/>
              <w:bottom w:val="single" w:color="auto" w:sz="4" w:space="0"/>
              <w:right w:val="single" w:color="auto" w:sz="4" w:space="0"/>
            </w:tcBorders>
            <w:shd w:val="clear" w:color="auto" w:fill="FFFFFF"/>
            <w:noWrap w:val="0"/>
            <w:vAlign w:val="center"/>
          </w:tcPr>
          <w:p w14:paraId="7F454180">
            <w:pPr>
              <w:snapToGrid w:val="0"/>
              <w:spacing w:line="360" w:lineRule="auto"/>
              <w:jc w:val="center"/>
              <w:rPr>
                <w:rFonts w:hint="eastAsia" w:hAnsi="宋体"/>
                <w:sz w:val="22"/>
                <w:szCs w:val="22"/>
              </w:rPr>
            </w:pPr>
            <w:r>
              <w:rPr>
                <w:rFonts w:hint="eastAsia" w:hAnsi="宋体" w:cs="宋体"/>
                <w:b/>
                <w:bCs/>
                <w:sz w:val="22"/>
                <w:szCs w:val="22"/>
              </w:rPr>
              <w:t>审查标准</w:t>
            </w:r>
          </w:p>
        </w:tc>
      </w:tr>
      <w:tr w14:paraId="35759B3B">
        <w:tblPrEx>
          <w:tblCellMar>
            <w:top w:w="0" w:type="dxa"/>
            <w:left w:w="108" w:type="dxa"/>
            <w:bottom w:w="0" w:type="dxa"/>
            <w:right w:w="108" w:type="dxa"/>
          </w:tblCellMar>
        </w:tblPrEx>
        <w:trPr>
          <w:trHeight w:val="368"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A8B344">
            <w:pPr>
              <w:widowControl/>
              <w:spacing w:line="360" w:lineRule="auto"/>
              <w:jc w:val="center"/>
              <w:rPr>
                <w:rFonts w:hint="eastAsia" w:hAnsi="宋体"/>
                <w:sz w:val="22"/>
                <w:szCs w:val="22"/>
              </w:rPr>
            </w:pPr>
            <w:r>
              <w:rPr>
                <w:rFonts w:hint="eastAsia" w:hAnsi="宋体"/>
                <w:sz w:val="22"/>
                <w:szCs w:val="22"/>
              </w:rPr>
              <w:t>1</w:t>
            </w:r>
          </w:p>
        </w:tc>
        <w:tc>
          <w:tcPr>
            <w:tcW w:w="1367" w:type="dxa"/>
            <w:tcBorders>
              <w:top w:val="single" w:color="auto" w:sz="4" w:space="0"/>
              <w:left w:val="nil"/>
              <w:bottom w:val="single" w:color="auto" w:sz="4" w:space="0"/>
              <w:right w:val="single" w:color="auto" w:sz="4" w:space="0"/>
            </w:tcBorders>
            <w:shd w:val="clear" w:color="auto" w:fill="FFFFFF"/>
            <w:noWrap w:val="0"/>
            <w:vAlign w:val="center"/>
          </w:tcPr>
          <w:p w14:paraId="0E259407">
            <w:pPr>
              <w:widowControl/>
              <w:spacing w:line="360" w:lineRule="auto"/>
              <w:rPr>
                <w:rFonts w:hint="eastAsia" w:hAnsi="宋体"/>
                <w:sz w:val="22"/>
                <w:szCs w:val="22"/>
              </w:rPr>
            </w:pPr>
            <w:r>
              <w:rPr>
                <w:rFonts w:hint="eastAsia" w:hAnsi="宋体"/>
                <w:sz w:val="22"/>
                <w:szCs w:val="22"/>
              </w:rPr>
              <w:t>技术符合性</w:t>
            </w:r>
          </w:p>
        </w:tc>
        <w:tc>
          <w:tcPr>
            <w:tcW w:w="6387" w:type="dxa"/>
            <w:tcBorders>
              <w:top w:val="single" w:color="auto" w:sz="4" w:space="0"/>
              <w:left w:val="nil"/>
              <w:bottom w:val="single" w:color="auto" w:sz="4" w:space="0"/>
              <w:right w:val="single" w:color="auto" w:sz="4" w:space="0"/>
            </w:tcBorders>
            <w:shd w:val="clear" w:color="auto" w:fill="FFFFFF"/>
            <w:noWrap w:val="0"/>
            <w:vAlign w:val="center"/>
          </w:tcPr>
          <w:p w14:paraId="51D5B0A2">
            <w:pPr>
              <w:widowControl/>
              <w:spacing w:line="360" w:lineRule="auto"/>
              <w:rPr>
                <w:rFonts w:hint="eastAsia" w:hAnsi="宋体"/>
                <w:sz w:val="22"/>
                <w:szCs w:val="22"/>
              </w:rPr>
            </w:pPr>
            <w:r>
              <w:rPr>
                <w:rFonts w:hint="eastAsia" w:hAnsi="宋体"/>
                <w:sz w:val="22"/>
                <w:szCs w:val="22"/>
              </w:rPr>
              <w:t>是否满足</w:t>
            </w:r>
            <w:r>
              <w:rPr>
                <w:rFonts w:hint="eastAsia" w:hAnsi="宋体"/>
                <w:sz w:val="22"/>
                <w:szCs w:val="22"/>
                <w:lang w:eastAsia="zh-CN"/>
              </w:rPr>
              <w:t>工程量清单</w:t>
            </w:r>
            <w:r>
              <w:rPr>
                <w:rFonts w:hint="eastAsia" w:hAnsi="宋体"/>
                <w:sz w:val="22"/>
                <w:szCs w:val="22"/>
              </w:rPr>
              <w:t>要求内容</w:t>
            </w:r>
          </w:p>
        </w:tc>
      </w:tr>
      <w:tr w14:paraId="781D8E51">
        <w:tblPrEx>
          <w:tblCellMar>
            <w:top w:w="0" w:type="dxa"/>
            <w:left w:w="108" w:type="dxa"/>
            <w:bottom w:w="0" w:type="dxa"/>
            <w:right w:w="108" w:type="dxa"/>
          </w:tblCellMar>
        </w:tblPrEx>
        <w:trPr>
          <w:trHeight w:val="683"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9E5A17">
            <w:pPr>
              <w:widowControl/>
              <w:spacing w:line="360" w:lineRule="auto"/>
              <w:jc w:val="center"/>
              <w:rPr>
                <w:rFonts w:hAnsi="宋体"/>
                <w:sz w:val="22"/>
                <w:szCs w:val="22"/>
              </w:rPr>
            </w:pPr>
            <w:r>
              <w:rPr>
                <w:rFonts w:hint="eastAsia" w:hAnsi="宋体"/>
                <w:sz w:val="22"/>
                <w:szCs w:val="22"/>
              </w:rPr>
              <w:t>2</w:t>
            </w:r>
          </w:p>
        </w:tc>
        <w:tc>
          <w:tcPr>
            <w:tcW w:w="1367" w:type="dxa"/>
            <w:tcBorders>
              <w:top w:val="single" w:color="auto" w:sz="4" w:space="0"/>
              <w:right w:val="single" w:color="auto" w:sz="4" w:space="0"/>
            </w:tcBorders>
            <w:shd w:val="clear" w:color="auto" w:fill="auto"/>
            <w:noWrap w:val="0"/>
            <w:vAlign w:val="center"/>
          </w:tcPr>
          <w:p w14:paraId="4D9D0E3B">
            <w:pPr>
              <w:widowControl/>
              <w:spacing w:line="360" w:lineRule="auto"/>
              <w:rPr>
                <w:rFonts w:hAnsi="宋体"/>
                <w:sz w:val="22"/>
                <w:szCs w:val="22"/>
              </w:rPr>
            </w:pPr>
            <w:r>
              <w:rPr>
                <w:rFonts w:hint="eastAsia" w:hAnsi="宋体"/>
                <w:sz w:val="22"/>
                <w:szCs w:val="22"/>
              </w:rPr>
              <w:t>商务符合性</w:t>
            </w:r>
          </w:p>
        </w:tc>
        <w:tc>
          <w:tcPr>
            <w:tcW w:w="63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D6ABEC">
            <w:pPr>
              <w:widowControl/>
              <w:spacing w:line="360" w:lineRule="auto"/>
              <w:rPr>
                <w:rFonts w:hAnsi="宋体"/>
                <w:sz w:val="22"/>
                <w:szCs w:val="22"/>
              </w:rPr>
            </w:pPr>
            <w:r>
              <w:rPr>
                <w:rFonts w:hint="eastAsia" w:hAnsi="宋体"/>
                <w:sz w:val="22"/>
                <w:szCs w:val="22"/>
              </w:rPr>
              <w:t>商务条款是否满足</w:t>
            </w:r>
          </w:p>
        </w:tc>
      </w:tr>
      <w:tr w14:paraId="726EEF75">
        <w:tblPrEx>
          <w:tblCellMar>
            <w:top w:w="0" w:type="dxa"/>
            <w:left w:w="108" w:type="dxa"/>
            <w:bottom w:w="0" w:type="dxa"/>
            <w:right w:w="108" w:type="dxa"/>
          </w:tblCellMar>
        </w:tblPrEx>
        <w:trPr>
          <w:trHeight w:val="896" w:hRule="atLeast"/>
          <w:jc w:val="center"/>
        </w:trPr>
        <w:tc>
          <w:tcPr>
            <w:tcW w:w="5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CB201">
            <w:pPr>
              <w:widowControl/>
              <w:spacing w:line="360" w:lineRule="auto"/>
              <w:jc w:val="center"/>
              <w:rPr>
                <w:rFonts w:hAnsi="宋体"/>
                <w:sz w:val="22"/>
                <w:szCs w:val="22"/>
              </w:rPr>
            </w:pPr>
            <w:r>
              <w:rPr>
                <w:rFonts w:hint="eastAsia" w:hAnsi="宋体"/>
                <w:sz w:val="22"/>
                <w:szCs w:val="22"/>
              </w:rPr>
              <w:t>3</w:t>
            </w:r>
          </w:p>
        </w:tc>
        <w:tc>
          <w:tcPr>
            <w:tcW w:w="1367" w:type="dxa"/>
            <w:tcBorders>
              <w:top w:val="single" w:color="auto" w:sz="4" w:space="0"/>
              <w:left w:val="nil"/>
              <w:bottom w:val="single" w:color="auto" w:sz="4" w:space="0"/>
              <w:right w:val="single" w:color="auto" w:sz="4" w:space="0"/>
            </w:tcBorders>
            <w:shd w:val="clear" w:color="auto" w:fill="auto"/>
            <w:noWrap w:val="0"/>
            <w:vAlign w:val="center"/>
          </w:tcPr>
          <w:p w14:paraId="3C2773F8">
            <w:pPr>
              <w:widowControl/>
              <w:spacing w:line="360" w:lineRule="auto"/>
              <w:rPr>
                <w:rFonts w:hAnsi="宋体"/>
                <w:sz w:val="22"/>
                <w:szCs w:val="22"/>
              </w:rPr>
            </w:pPr>
            <w:r>
              <w:rPr>
                <w:rFonts w:hint="eastAsia" w:hAnsi="宋体"/>
                <w:sz w:val="22"/>
                <w:szCs w:val="22"/>
              </w:rPr>
              <w:t>无效标审查</w:t>
            </w:r>
          </w:p>
        </w:tc>
        <w:tc>
          <w:tcPr>
            <w:tcW w:w="6387" w:type="dxa"/>
            <w:tcBorders>
              <w:top w:val="single" w:color="auto" w:sz="4" w:space="0"/>
              <w:left w:val="nil"/>
              <w:bottom w:val="single" w:color="auto" w:sz="4" w:space="0"/>
              <w:right w:val="single" w:color="auto" w:sz="4" w:space="0"/>
            </w:tcBorders>
            <w:shd w:val="clear" w:color="auto" w:fill="FFFFFF"/>
            <w:noWrap w:val="0"/>
            <w:vAlign w:val="center"/>
          </w:tcPr>
          <w:p w14:paraId="38F96F7E">
            <w:pPr>
              <w:widowControl/>
              <w:spacing w:line="360" w:lineRule="auto"/>
              <w:rPr>
                <w:rFonts w:hAnsi="宋体"/>
                <w:sz w:val="22"/>
                <w:szCs w:val="22"/>
              </w:rPr>
            </w:pPr>
            <w:r>
              <w:rPr>
                <w:rFonts w:hint="eastAsia" w:hAnsi="宋体"/>
                <w:sz w:val="22"/>
                <w:szCs w:val="22"/>
              </w:rPr>
              <w:t>按磋商文件“第五部分  七、无效标条款”规定，审查是否通过。</w:t>
            </w:r>
          </w:p>
        </w:tc>
      </w:tr>
      <w:tr w14:paraId="077D37C8">
        <w:tblPrEx>
          <w:tblCellMar>
            <w:top w:w="0" w:type="dxa"/>
            <w:left w:w="108" w:type="dxa"/>
            <w:bottom w:w="0" w:type="dxa"/>
            <w:right w:w="108" w:type="dxa"/>
          </w:tblCellMar>
        </w:tblPrEx>
        <w:trPr>
          <w:trHeight w:val="550" w:hRule="atLeast"/>
          <w:jc w:val="center"/>
        </w:trPr>
        <w:tc>
          <w:tcPr>
            <w:tcW w:w="8303" w:type="dxa"/>
            <w:gridSpan w:val="3"/>
            <w:tcBorders>
              <w:top w:val="nil"/>
              <w:left w:val="single" w:color="auto" w:sz="4" w:space="0"/>
              <w:bottom w:val="single" w:color="auto" w:sz="4" w:space="0"/>
              <w:right w:val="single" w:color="auto" w:sz="4" w:space="0"/>
            </w:tcBorders>
            <w:shd w:val="clear" w:color="auto" w:fill="FFFFFF"/>
            <w:noWrap w:val="0"/>
            <w:vAlign w:val="center"/>
          </w:tcPr>
          <w:p w14:paraId="11FD02DC">
            <w:pPr>
              <w:widowControl/>
              <w:spacing w:line="360" w:lineRule="auto"/>
              <w:jc w:val="center"/>
              <w:rPr>
                <w:rFonts w:hAnsi="宋体"/>
                <w:b/>
                <w:bCs/>
                <w:sz w:val="22"/>
                <w:szCs w:val="22"/>
              </w:rPr>
            </w:pPr>
            <w:r>
              <w:rPr>
                <w:rFonts w:hint="eastAsia" w:hAnsi="宋体"/>
                <w:b/>
                <w:bCs/>
                <w:sz w:val="22"/>
                <w:szCs w:val="22"/>
              </w:rPr>
              <w:t>初步审查结论（通过或不通过）</w:t>
            </w:r>
          </w:p>
        </w:tc>
      </w:tr>
    </w:tbl>
    <w:p w14:paraId="21D1486D">
      <w:pPr>
        <w:snapToGrid w:val="0"/>
        <w:spacing w:line="360" w:lineRule="auto"/>
        <w:rPr>
          <w:rFonts w:hint="eastAsia"/>
          <w:b/>
          <w:sz w:val="24"/>
          <w:szCs w:val="24"/>
        </w:rPr>
        <w:sectPr>
          <w:pgSz w:w="11906" w:h="16838"/>
          <w:pgMar w:top="1440" w:right="1800" w:bottom="1440" w:left="1800" w:header="851" w:footer="992" w:gutter="0"/>
          <w:cols w:space="720" w:num="1"/>
          <w:docGrid w:type="lines" w:linePitch="312" w:charSpace="0"/>
        </w:sectPr>
      </w:pPr>
    </w:p>
    <w:p w14:paraId="63948575">
      <w:pPr>
        <w:numPr>
          <w:ilvl w:val="0"/>
          <w:numId w:val="2"/>
        </w:numPr>
        <w:snapToGrid w:val="0"/>
        <w:spacing w:line="360" w:lineRule="auto"/>
        <w:ind w:firstLine="482" w:firstLineChars="200"/>
        <w:rPr>
          <w:rFonts w:hint="eastAsia" w:cs="宋体"/>
          <w:b/>
          <w:bCs/>
          <w:snapToGrid w:val="0"/>
          <w:sz w:val="24"/>
          <w:szCs w:val="24"/>
        </w:rPr>
      </w:pPr>
      <w:r>
        <w:rPr>
          <w:rFonts w:hint="eastAsia" w:cs="宋体"/>
          <w:b/>
          <w:bCs/>
          <w:snapToGrid w:val="0"/>
          <w:sz w:val="24"/>
          <w:szCs w:val="24"/>
        </w:rPr>
        <w:t>评分细则</w:t>
      </w:r>
    </w:p>
    <w:tbl>
      <w:tblPr>
        <w:tblStyle w:val="8"/>
        <w:tblW w:w="8343" w:type="dxa"/>
        <w:jc w:val="center"/>
        <w:tblLayout w:type="fixed"/>
        <w:tblCellMar>
          <w:top w:w="0" w:type="dxa"/>
          <w:left w:w="108" w:type="dxa"/>
          <w:bottom w:w="0" w:type="dxa"/>
          <w:right w:w="108" w:type="dxa"/>
        </w:tblCellMar>
      </w:tblPr>
      <w:tblGrid>
        <w:gridCol w:w="1197"/>
        <w:gridCol w:w="1503"/>
        <w:gridCol w:w="4769"/>
        <w:gridCol w:w="874"/>
      </w:tblGrid>
      <w:tr w14:paraId="5CD901F5">
        <w:tblPrEx>
          <w:tblCellMar>
            <w:top w:w="0" w:type="dxa"/>
            <w:left w:w="108" w:type="dxa"/>
            <w:bottom w:w="0" w:type="dxa"/>
            <w:right w:w="108" w:type="dxa"/>
          </w:tblCellMar>
        </w:tblPrEx>
        <w:trPr>
          <w:trHeight w:val="699" w:hRule="atLeast"/>
          <w:jc w:val="center"/>
        </w:trPr>
        <w:tc>
          <w:tcPr>
            <w:tcW w:w="11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9015D4">
            <w:pPr>
              <w:rPr>
                <w:rFonts w:hint="eastAsia" w:hAnsi="宋体" w:cs="宋体"/>
                <w:b/>
                <w:bCs/>
                <w:sz w:val="21"/>
                <w:szCs w:val="21"/>
              </w:rPr>
            </w:pPr>
            <w:r>
              <w:rPr>
                <w:rFonts w:hint="eastAsia" w:hAnsi="宋体" w:cs="宋体"/>
                <w:b/>
                <w:sz w:val="21"/>
                <w:szCs w:val="21"/>
              </w:rPr>
              <w:t>评审项目</w:t>
            </w:r>
          </w:p>
        </w:tc>
        <w:tc>
          <w:tcPr>
            <w:tcW w:w="627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A19BC0">
            <w:pPr>
              <w:jc w:val="center"/>
              <w:rPr>
                <w:rFonts w:hint="eastAsia" w:hAnsi="宋体" w:cs="宋体"/>
                <w:b/>
                <w:bCs/>
                <w:sz w:val="21"/>
                <w:szCs w:val="21"/>
              </w:rPr>
            </w:pPr>
            <w:r>
              <w:rPr>
                <w:rFonts w:hint="eastAsia" w:hAnsi="宋体" w:cs="宋体"/>
                <w:b/>
                <w:sz w:val="21"/>
                <w:szCs w:val="21"/>
              </w:rPr>
              <w:t>评  分  标  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CC053E">
            <w:pPr>
              <w:widowControl/>
              <w:spacing w:line="440" w:lineRule="exact"/>
              <w:jc w:val="both"/>
              <w:rPr>
                <w:rFonts w:hint="eastAsia" w:hAnsi="宋体" w:cs="宋体"/>
                <w:b/>
                <w:bCs/>
                <w:sz w:val="21"/>
                <w:szCs w:val="21"/>
              </w:rPr>
            </w:pPr>
            <w:r>
              <w:rPr>
                <w:rFonts w:hint="eastAsia" w:hAnsi="宋体" w:cs="宋体"/>
                <w:b/>
                <w:sz w:val="21"/>
                <w:szCs w:val="21"/>
              </w:rPr>
              <w:t>分值</w:t>
            </w:r>
          </w:p>
        </w:tc>
      </w:tr>
      <w:tr w14:paraId="0F108161">
        <w:tblPrEx>
          <w:tblCellMar>
            <w:top w:w="0" w:type="dxa"/>
            <w:left w:w="108" w:type="dxa"/>
            <w:bottom w:w="0" w:type="dxa"/>
            <w:right w:w="108" w:type="dxa"/>
          </w:tblCellMar>
        </w:tblPrEx>
        <w:trPr>
          <w:trHeight w:val="729" w:hRule="atLeast"/>
          <w:jc w:val="center"/>
        </w:trPr>
        <w:tc>
          <w:tcPr>
            <w:tcW w:w="119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75B959">
            <w:pPr>
              <w:widowControl/>
              <w:snapToGrid w:val="0"/>
              <w:jc w:val="center"/>
              <w:rPr>
                <w:rFonts w:hint="eastAsia" w:hAnsi="宋体" w:cs="宋体"/>
                <w:b/>
                <w:sz w:val="21"/>
                <w:szCs w:val="21"/>
              </w:rPr>
            </w:pPr>
            <w:r>
              <w:rPr>
                <w:rFonts w:hint="eastAsia" w:hAnsi="宋体" w:cs="宋体"/>
                <w:b/>
                <w:sz w:val="21"/>
                <w:szCs w:val="21"/>
              </w:rPr>
              <w:t>报价分</w:t>
            </w:r>
          </w:p>
          <w:p w14:paraId="58B71F93">
            <w:pPr>
              <w:widowControl/>
              <w:snapToGrid w:val="0"/>
              <w:jc w:val="center"/>
              <w:rPr>
                <w:rFonts w:hint="eastAsia" w:hAnsi="宋体" w:cs="宋体"/>
                <w:b/>
                <w:sz w:val="21"/>
                <w:szCs w:val="21"/>
              </w:rPr>
            </w:pPr>
            <w:r>
              <w:rPr>
                <w:rFonts w:hint="eastAsia" w:hAnsi="宋体" w:cs="宋体"/>
                <w:b/>
                <w:sz w:val="21"/>
                <w:szCs w:val="21"/>
              </w:rPr>
              <w:t>（3</w:t>
            </w:r>
            <w:r>
              <w:rPr>
                <w:rFonts w:hint="eastAsia" w:hAnsi="宋体" w:cs="宋体"/>
                <w:b/>
                <w:sz w:val="21"/>
                <w:szCs w:val="21"/>
                <w:lang w:val="en-US" w:eastAsia="zh-CN"/>
              </w:rPr>
              <w:t>0</w:t>
            </w:r>
            <w:r>
              <w:rPr>
                <w:rFonts w:hint="eastAsia" w:hAnsi="宋体" w:cs="宋体"/>
                <w:b/>
                <w:sz w:val="21"/>
                <w:szCs w:val="21"/>
              </w:rPr>
              <w:t>分）</w:t>
            </w:r>
          </w:p>
        </w:tc>
        <w:tc>
          <w:tcPr>
            <w:tcW w:w="627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808879">
            <w:pPr>
              <w:widowControl/>
              <w:spacing w:line="440" w:lineRule="exact"/>
              <w:rPr>
                <w:rFonts w:hint="eastAsia" w:hAnsi="宋体" w:cs="宋体"/>
                <w:sz w:val="21"/>
                <w:szCs w:val="21"/>
                <w:lang w:eastAsia="zh-CN"/>
              </w:rPr>
            </w:pPr>
            <w:r>
              <w:rPr>
                <w:rFonts w:hint="eastAsia" w:hAnsi="宋体" w:cs="宋体"/>
                <w:sz w:val="21"/>
                <w:szCs w:val="21"/>
                <w:lang w:eastAsia="zh-CN"/>
              </w:rPr>
              <w:t>评标基准价计算公式：J=(B1+B2+…+ Bn )÷n</w:t>
            </w:r>
          </w:p>
          <w:p w14:paraId="2B3D5482">
            <w:pPr>
              <w:widowControl/>
              <w:spacing w:line="440" w:lineRule="exact"/>
              <w:rPr>
                <w:rFonts w:hint="eastAsia" w:hAnsi="宋体" w:cs="宋体"/>
                <w:sz w:val="21"/>
                <w:szCs w:val="21"/>
                <w:lang w:eastAsia="zh-CN"/>
              </w:rPr>
            </w:pPr>
            <w:r>
              <w:rPr>
                <w:rFonts w:hint="eastAsia" w:hAnsi="宋体" w:cs="宋体"/>
                <w:sz w:val="21"/>
                <w:szCs w:val="21"/>
                <w:lang w:eastAsia="zh-CN"/>
              </w:rPr>
              <w:t>B1 B2……Bn为n个有效投标总价，当有效投标总价个数n＞3且n≤9时，J为去掉一个最高和一个最低总价后的算术平均值；当有效投标总价个数n＞9时，J为去掉二个最高和一个最低总价后的算术平均值；当有效投标总价个数n</w:t>
            </w:r>
            <w:r>
              <w:rPr>
                <w:rFonts w:hint="eastAsia" w:hAnsi="宋体" w:cs="宋体"/>
                <w:sz w:val="21"/>
                <w:szCs w:val="21"/>
                <w:lang w:val="en-US" w:eastAsia="zh-CN"/>
              </w:rPr>
              <w:t>=</w:t>
            </w:r>
            <w:r>
              <w:rPr>
                <w:rFonts w:hint="eastAsia" w:hAnsi="宋体" w:cs="宋体"/>
                <w:sz w:val="21"/>
                <w:szCs w:val="21"/>
                <w:lang w:eastAsia="zh-CN"/>
              </w:rPr>
              <w:t xml:space="preserve">3时，J为全部有效投标总价的算术平均值。 </w:t>
            </w:r>
          </w:p>
          <w:p w14:paraId="5F7CEF9B">
            <w:pPr>
              <w:widowControl/>
              <w:spacing w:line="440" w:lineRule="exact"/>
              <w:rPr>
                <w:rFonts w:hint="eastAsia" w:hAnsi="宋体" w:cs="宋体"/>
                <w:sz w:val="21"/>
                <w:szCs w:val="21"/>
                <w:lang w:eastAsia="zh-CN"/>
              </w:rPr>
            </w:pPr>
            <w:r>
              <w:rPr>
                <w:rFonts w:hint="eastAsia" w:hAnsi="宋体" w:cs="宋体"/>
                <w:sz w:val="21"/>
                <w:szCs w:val="21"/>
                <w:lang w:eastAsia="zh-CN"/>
              </w:rPr>
              <w:t xml:space="preserve">②偏差率计算公式 </w:t>
            </w:r>
          </w:p>
          <w:p w14:paraId="41325CD5">
            <w:pPr>
              <w:widowControl/>
              <w:spacing w:line="440" w:lineRule="exact"/>
              <w:rPr>
                <w:rFonts w:hint="eastAsia" w:hAnsi="宋体" w:cs="宋体"/>
                <w:sz w:val="21"/>
                <w:szCs w:val="21"/>
                <w:lang w:eastAsia="zh-CN"/>
              </w:rPr>
            </w:pPr>
            <w:r>
              <w:rPr>
                <w:rFonts w:hint="eastAsia" w:hAnsi="宋体" w:cs="宋体"/>
                <w:sz w:val="21"/>
                <w:szCs w:val="21"/>
                <w:lang w:eastAsia="zh-CN"/>
              </w:rPr>
              <w:t>P=│Bn -J│÷J×100%</w:t>
            </w:r>
          </w:p>
          <w:p w14:paraId="1617087C">
            <w:pPr>
              <w:widowControl/>
              <w:spacing w:line="440" w:lineRule="exact"/>
              <w:rPr>
                <w:rFonts w:hint="eastAsia" w:hAnsi="宋体" w:cs="宋体"/>
                <w:sz w:val="21"/>
                <w:szCs w:val="21"/>
                <w:lang w:eastAsia="zh-CN"/>
              </w:rPr>
            </w:pPr>
            <w:r>
              <w:rPr>
                <w:rFonts w:hint="eastAsia" w:hAnsi="宋体" w:cs="宋体"/>
                <w:sz w:val="21"/>
                <w:szCs w:val="21"/>
                <w:lang w:eastAsia="zh-CN"/>
              </w:rPr>
              <w:t>Bn–--第n个有效投标总价</w:t>
            </w:r>
          </w:p>
          <w:p w14:paraId="2105B96F">
            <w:pPr>
              <w:widowControl/>
              <w:spacing w:line="440" w:lineRule="exact"/>
              <w:rPr>
                <w:rFonts w:hint="eastAsia" w:hAnsi="宋体" w:cs="宋体"/>
                <w:sz w:val="21"/>
                <w:szCs w:val="21"/>
                <w:lang w:eastAsia="zh-CN"/>
              </w:rPr>
            </w:pPr>
            <w:r>
              <w:rPr>
                <w:rFonts w:hint="eastAsia" w:hAnsi="宋体" w:cs="宋体"/>
                <w:sz w:val="21"/>
                <w:szCs w:val="21"/>
                <w:lang w:eastAsia="zh-CN"/>
              </w:rPr>
              <w:t>J–--评标基准价</w:t>
            </w:r>
          </w:p>
          <w:p w14:paraId="5859DDD0">
            <w:pPr>
              <w:widowControl/>
              <w:spacing w:line="440" w:lineRule="exact"/>
              <w:rPr>
                <w:rFonts w:hint="eastAsia" w:hAnsi="宋体" w:cs="宋体"/>
                <w:sz w:val="21"/>
                <w:szCs w:val="21"/>
                <w:lang w:eastAsia="zh-CN"/>
              </w:rPr>
            </w:pPr>
            <w:r>
              <w:rPr>
                <w:rFonts w:hint="eastAsia" w:hAnsi="宋体" w:cs="宋体"/>
                <w:sz w:val="21"/>
                <w:szCs w:val="21"/>
                <w:lang w:eastAsia="zh-CN"/>
              </w:rPr>
              <w:t>③投标总价得分计算公式：Ⅰ=</w:t>
            </w:r>
            <w:r>
              <w:rPr>
                <w:rFonts w:hint="eastAsia" w:hAnsi="宋体" w:cs="宋体"/>
                <w:sz w:val="21"/>
                <w:szCs w:val="21"/>
                <w:lang w:val="en-US" w:eastAsia="zh-CN"/>
              </w:rPr>
              <w:t>30</w:t>
            </w:r>
            <w:r>
              <w:rPr>
                <w:rFonts w:hint="eastAsia" w:hAnsi="宋体" w:cs="宋体"/>
                <w:sz w:val="21"/>
                <w:szCs w:val="21"/>
                <w:lang w:eastAsia="zh-CN"/>
              </w:rPr>
              <w:t>－P×K×100</w:t>
            </w:r>
          </w:p>
          <w:p w14:paraId="4098D0E3">
            <w:pPr>
              <w:widowControl/>
              <w:spacing w:line="440" w:lineRule="exact"/>
              <w:rPr>
                <w:rFonts w:hint="eastAsia" w:hAnsi="宋体" w:cs="宋体"/>
                <w:sz w:val="21"/>
                <w:szCs w:val="21"/>
                <w:lang w:eastAsia="zh-CN"/>
              </w:rPr>
            </w:pPr>
            <w:r>
              <w:rPr>
                <w:rFonts w:hint="eastAsia" w:hAnsi="宋体" w:cs="宋体"/>
                <w:sz w:val="21"/>
                <w:szCs w:val="21"/>
                <w:lang w:eastAsia="zh-CN"/>
              </w:rPr>
              <w:t>Ⅰ–--投标总价得分（Ⅰ≥0）</w:t>
            </w:r>
          </w:p>
          <w:p w14:paraId="4900FDD1">
            <w:pPr>
              <w:widowControl/>
              <w:spacing w:line="440" w:lineRule="exact"/>
              <w:rPr>
                <w:rFonts w:hint="eastAsia" w:hAnsi="宋体" w:cs="宋体"/>
                <w:sz w:val="21"/>
                <w:szCs w:val="21"/>
                <w:lang w:eastAsia="zh-CN"/>
              </w:rPr>
            </w:pPr>
            <w:r>
              <w:rPr>
                <w:rFonts w:hint="eastAsia" w:hAnsi="宋体" w:cs="宋体"/>
                <w:sz w:val="21"/>
                <w:szCs w:val="21"/>
                <w:lang w:eastAsia="zh-CN"/>
              </w:rPr>
              <w:t>P--–偏差率</w:t>
            </w:r>
          </w:p>
          <w:p w14:paraId="68672CF0">
            <w:pPr>
              <w:widowControl/>
              <w:spacing w:line="440" w:lineRule="exact"/>
              <w:rPr>
                <w:rFonts w:hint="eastAsia" w:hAnsi="宋体" w:cs="宋体"/>
                <w:sz w:val="21"/>
                <w:szCs w:val="21"/>
                <w:lang w:eastAsia="zh-CN"/>
              </w:rPr>
            </w:pPr>
            <w:r>
              <w:rPr>
                <w:rFonts w:hint="eastAsia" w:hAnsi="宋体" w:cs="宋体"/>
                <w:sz w:val="21"/>
                <w:szCs w:val="21"/>
                <w:lang w:eastAsia="zh-CN"/>
              </w:rPr>
              <w:t>K–--扣分系数：Bn大于J时，K取</w:t>
            </w:r>
            <w:r>
              <w:rPr>
                <w:rFonts w:hint="eastAsia" w:hAnsi="宋体" w:cs="宋体"/>
                <w:sz w:val="21"/>
                <w:szCs w:val="21"/>
                <w:lang w:val="en-US" w:eastAsia="zh-CN"/>
              </w:rPr>
              <w:t>2</w:t>
            </w:r>
            <w:r>
              <w:rPr>
                <w:rFonts w:hint="eastAsia" w:hAnsi="宋体" w:cs="宋体"/>
                <w:sz w:val="21"/>
                <w:szCs w:val="21"/>
                <w:lang w:eastAsia="zh-CN"/>
              </w:rPr>
              <w:t>；Bn小于J时，K取</w:t>
            </w:r>
            <w:r>
              <w:rPr>
                <w:rFonts w:hint="eastAsia" w:hAnsi="宋体" w:cs="宋体"/>
                <w:sz w:val="21"/>
                <w:szCs w:val="21"/>
                <w:lang w:val="en-US" w:eastAsia="zh-CN"/>
              </w:rPr>
              <w:t>1</w:t>
            </w:r>
            <w:r>
              <w:rPr>
                <w:rFonts w:hint="eastAsia" w:hAnsi="宋体" w:cs="宋体"/>
                <w:sz w:val="21"/>
                <w:szCs w:val="21"/>
                <w:lang w:eastAsia="zh-CN"/>
              </w:rPr>
              <w:t>；Bn等于J时，K取0。</w:t>
            </w:r>
          </w:p>
          <w:p w14:paraId="04044B1E">
            <w:pPr>
              <w:widowControl/>
              <w:spacing w:line="440" w:lineRule="exact"/>
              <w:rPr>
                <w:rFonts w:hint="eastAsia" w:hAnsi="宋体" w:cs="宋体"/>
                <w:sz w:val="21"/>
                <w:szCs w:val="21"/>
              </w:rPr>
            </w:pPr>
            <w:r>
              <w:rPr>
                <w:rFonts w:hint="eastAsia" w:hAnsi="宋体" w:cs="宋体"/>
                <w:sz w:val="21"/>
                <w:szCs w:val="21"/>
              </w:rPr>
              <w:t>备注：</w:t>
            </w:r>
          </w:p>
          <w:p w14:paraId="2D6D1C56">
            <w:pPr>
              <w:widowControl/>
              <w:spacing w:line="440" w:lineRule="exact"/>
              <w:rPr>
                <w:rFonts w:hint="eastAsia" w:hAnsi="宋体" w:cs="宋体"/>
                <w:sz w:val="21"/>
                <w:szCs w:val="21"/>
              </w:rPr>
            </w:pPr>
            <w:r>
              <w:rPr>
                <w:rFonts w:hint="eastAsia" w:hAnsi="宋体" w:cs="宋体"/>
                <w:sz w:val="21"/>
                <w:szCs w:val="21"/>
              </w:rPr>
              <w:t>磋商小组认为供应商的报价明显低于其他通过资格审查供应商的报价，有可能影响</w:t>
            </w:r>
            <w:r>
              <w:rPr>
                <w:rFonts w:hint="eastAsia" w:hAnsi="宋体" w:cs="宋体"/>
                <w:sz w:val="21"/>
                <w:szCs w:val="21"/>
                <w:lang w:eastAsia="zh-CN"/>
              </w:rPr>
              <w:t>工程</w:t>
            </w:r>
            <w:r>
              <w:rPr>
                <w:rFonts w:hint="eastAsia" w:hAnsi="宋体" w:cs="宋体"/>
                <w:sz w:val="21"/>
                <w:szCs w:val="21"/>
              </w:rPr>
              <w:t>质量或者不能诚信履约的，应当要求其在磋商小组规定的合理时间内提供书面说明，必要时提交相关证明材料【成本价格分析及近一年内所投</w:t>
            </w:r>
            <w:r>
              <w:rPr>
                <w:rFonts w:hint="eastAsia" w:hAnsi="宋体" w:cs="宋体"/>
                <w:sz w:val="21"/>
                <w:szCs w:val="21"/>
                <w:lang w:eastAsia="zh-CN"/>
              </w:rPr>
              <w:t>项目</w:t>
            </w:r>
            <w:r>
              <w:rPr>
                <w:rFonts w:hint="eastAsia" w:hAnsi="宋体" w:cs="宋体"/>
                <w:sz w:val="21"/>
                <w:szCs w:val="21"/>
              </w:rPr>
              <w:t>签订的合同（原件）】；供应商不能证明其报价合理性的，磋商小组有权将其作为无效投标处理。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326EE0">
            <w:pPr>
              <w:rPr>
                <w:rFonts w:hint="eastAsia" w:hAnsi="宋体" w:cs="宋体"/>
                <w:sz w:val="21"/>
                <w:szCs w:val="21"/>
              </w:rPr>
            </w:pPr>
            <w:r>
              <w:rPr>
                <w:rFonts w:hint="eastAsia" w:hAnsi="宋体" w:cs="宋体"/>
                <w:sz w:val="21"/>
                <w:szCs w:val="21"/>
              </w:rPr>
              <w:t>0-3</w:t>
            </w:r>
            <w:r>
              <w:rPr>
                <w:rFonts w:hint="eastAsia" w:hAnsi="宋体" w:cs="宋体"/>
                <w:sz w:val="21"/>
                <w:szCs w:val="21"/>
                <w:lang w:val="en-US" w:eastAsia="zh-CN"/>
              </w:rPr>
              <w:t>0</w:t>
            </w:r>
            <w:r>
              <w:rPr>
                <w:rFonts w:hint="eastAsia" w:hAnsi="宋体" w:cs="宋体"/>
                <w:sz w:val="21"/>
                <w:szCs w:val="21"/>
              </w:rPr>
              <w:t>分</w:t>
            </w:r>
          </w:p>
        </w:tc>
      </w:tr>
      <w:tr w14:paraId="0D169DBB">
        <w:tblPrEx>
          <w:tblCellMar>
            <w:top w:w="0" w:type="dxa"/>
            <w:left w:w="108" w:type="dxa"/>
            <w:bottom w:w="0" w:type="dxa"/>
            <w:right w:w="108" w:type="dxa"/>
          </w:tblCellMar>
        </w:tblPrEx>
        <w:trPr>
          <w:cantSplit/>
          <w:trHeight w:val="708" w:hRule="atLeast"/>
          <w:jc w:val="center"/>
        </w:trPr>
        <w:tc>
          <w:tcPr>
            <w:tcW w:w="1197" w:type="dxa"/>
            <w:vMerge w:val="restart"/>
            <w:tcBorders>
              <w:top w:val="single" w:color="auto" w:sz="4" w:space="0"/>
              <w:left w:val="single" w:color="auto" w:sz="4" w:space="0"/>
              <w:right w:val="single" w:color="auto" w:sz="4" w:space="0"/>
            </w:tcBorders>
            <w:shd w:val="clear" w:color="000000" w:fill="FFFFFF"/>
            <w:noWrap w:val="0"/>
            <w:vAlign w:val="center"/>
          </w:tcPr>
          <w:p w14:paraId="77077247">
            <w:pPr>
              <w:widowControl/>
              <w:snapToGrid w:val="0"/>
              <w:jc w:val="center"/>
              <w:rPr>
                <w:rFonts w:hint="eastAsia" w:hAnsi="宋体" w:cs="宋体"/>
                <w:b/>
                <w:sz w:val="21"/>
                <w:szCs w:val="21"/>
              </w:rPr>
            </w:pPr>
            <w:r>
              <w:rPr>
                <w:rFonts w:hint="eastAsia" w:hAnsi="宋体" w:cs="宋体"/>
                <w:b/>
                <w:sz w:val="21"/>
                <w:szCs w:val="21"/>
              </w:rPr>
              <w:t>技术分</w:t>
            </w:r>
          </w:p>
          <w:p w14:paraId="657736AD">
            <w:pPr>
              <w:widowControl/>
              <w:snapToGrid w:val="0"/>
              <w:jc w:val="center"/>
              <w:rPr>
                <w:rFonts w:hint="eastAsia" w:hAnsi="宋体" w:cs="宋体"/>
                <w:b/>
                <w:sz w:val="21"/>
                <w:szCs w:val="21"/>
              </w:rPr>
            </w:pPr>
            <w:r>
              <w:rPr>
                <w:rFonts w:hint="eastAsia" w:hAnsi="宋体" w:cs="宋体"/>
                <w:b/>
                <w:sz w:val="21"/>
                <w:szCs w:val="21"/>
              </w:rPr>
              <w:t>（</w:t>
            </w:r>
            <w:r>
              <w:rPr>
                <w:rFonts w:hint="eastAsia" w:hAnsi="宋体" w:cs="宋体"/>
                <w:b/>
                <w:sz w:val="21"/>
                <w:szCs w:val="21"/>
                <w:lang w:val="en-US" w:eastAsia="zh-CN"/>
              </w:rPr>
              <w:t>3</w:t>
            </w:r>
            <w:r>
              <w:rPr>
                <w:rFonts w:hint="eastAsia" w:hAnsi="宋体" w:cs="宋体"/>
                <w:b/>
                <w:sz w:val="21"/>
                <w:szCs w:val="21"/>
              </w:rPr>
              <w:t>0分）</w:t>
            </w: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F482A8">
            <w:pPr>
              <w:pStyle w:val="14"/>
              <w:rPr>
                <w:rFonts w:hint="eastAsia" w:hAnsi="宋体" w:cs="宋体"/>
                <w:sz w:val="21"/>
                <w:szCs w:val="21"/>
              </w:rPr>
            </w:pPr>
            <w:r>
              <w:rPr>
                <w:color w:val="000000"/>
                <w:sz w:val="21"/>
                <w:szCs w:val="21"/>
                <w:lang w:eastAsia="zh-CN"/>
              </w:rPr>
              <w:t>施工方案与技术措施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3C6CAA5D">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49768D">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1C0312A2">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560AC870">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ED9F6B4">
            <w:pPr>
              <w:pStyle w:val="14"/>
              <w:rPr>
                <w:rFonts w:hint="eastAsia" w:hAnsi="宋体" w:cs="宋体"/>
                <w:sz w:val="21"/>
                <w:szCs w:val="21"/>
                <w:lang w:val="en-US" w:eastAsia="zh-CN"/>
              </w:rPr>
            </w:pPr>
            <w:r>
              <w:rPr>
                <w:color w:val="000000"/>
                <w:sz w:val="21"/>
                <w:szCs w:val="21"/>
              </w:rPr>
              <w:t>质量保证措施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33148EB">
            <w:pPr>
              <w:pStyle w:val="14"/>
              <w:spacing w:before="47" w:line="271" w:lineRule="auto"/>
              <w:ind w:right="-3" w:rightChars="0"/>
              <w:jc w:val="lef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3178C4">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11E446C1">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1DA35320">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92DE7B">
            <w:pPr>
              <w:pStyle w:val="14"/>
              <w:rPr>
                <w:rFonts w:hint="eastAsia" w:hAnsi="宋体" w:cs="宋体"/>
                <w:sz w:val="21"/>
                <w:szCs w:val="21"/>
                <w:lang w:val="en-US" w:eastAsia="zh-CN"/>
              </w:rPr>
            </w:pPr>
            <w:r>
              <w:rPr>
                <w:color w:val="000000"/>
                <w:sz w:val="21"/>
                <w:szCs w:val="21"/>
                <w:lang w:eastAsia="zh-CN"/>
              </w:rPr>
              <w:t>施工总进度（包括施工进度计划横道图、网络图）及保证措施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54ACB522">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30452C">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6C64AA08">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3B43585B">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33F30A">
            <w:pPr>
              <w:pStyle w:val="14"/>
              <w:rPr>
                <w:rFonts w:hint="eastAsia" w:hAnsi="宋体" w:cs="宋体"/>
                <w:sz w:val="21"/>
                <w:szCs w:val="21"/>
                <w:lang w:val="en-US" w:eastAsia="zh-CN"/>
              </w:rPr>
            </w:pPr>
            <w:r>
              <w:rPr>
                <w:color w:val="000000"/>
                <w:sz w:val="21"/>
                <w:szCs w:val="21"/>
              </w:rPr>
              <w:t>施工安全措施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4A84D25A">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9BC601">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1D39CA0C">
        <w:tblPrEx>
          <w:tblCellMar>
            <w:top w:w="0" w:type="dxa"/>
            <w:left w:w="108" w:type="dxa"/>
            <w:bottom w:w="0" w:type="dxa"/>
            <w:right w:w="108" w:type="dxa"/>
          </w:tblCellMar>
        </w:tblPrEx>
        <w:trPr>
          <w:cantSplit/>
          <w:trHeight w:val="708"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091B081F">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C00410">
            <w:pPr>
              <w:pStyle w:val="14"/>
              <w:rPr>
                <w:rFonts w:hint="eastAsia" w:hAnsi="宋体" w:cs="宋体"/>
                <w:sz w:val="21"/>
                <w:szCs w:val="21"/>
                <w:lang w:val="en-US" w:eastAsia="zh-CN"/>
              </w:rPr>
            </w:pPr>
            <w:r>
              <w:rPr>
                <w:color w:val="000000"/>
                <w:sz w:val="21"/>
                <w:szCs w:val="21"/>
              </w:rPr>
              <w:t>文明施工措施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10D39DD2">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B47A80">
            <w:pPr>
              <w:pStyle w:val="15"/>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15FF5FA5">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7C7E5E6E">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73721F">
            <w:pPr>
              <w:pStyle w:val="14"/>
              <w:rPr>
                <w:rFonts w:hint="eastAsia" w:hAnsi="宋体" w:cs="宋体"/>
                <w:sz w:val="21"/>
                <w:szCs w:val="21"/>
              </w:rPr>
            </w:pPr>
            <w:r>
              <w:rPr>
                <w:color w:val="000000"/>
                <w:sz w:val="21"/>
                <w:szCs w:val="21"/>
                <w:lang w:eastAsia="zh-CN"/>
              </w:rPr>
              <w:t>施工场地治安保卫管理</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1565736A">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D4A1C7">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1B9E376F">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04F4CDE7">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9423F7">
            <w:pPr>
              <w:pStyle w:val="14"/>
              <w:rPr>
                <w:rFonts w:hint="eastAsia" w:hAnsi="宋体" w:cs="宋体"/>
                <w:sz w:val="21"/>
                <w:szCs w:val="21"/>
              </w:rPr>
            </w:pPr>
            <w:r>
              <w:rPr>
                <w:color w:val="000000"/>
                <w:sz w:val="21"/>
                <w:szCs w:val="21"/>
              </w:rPr>
              <w:t>施工环保措施</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30CB26F2">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40BBE3">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134C1ABF">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1256B67D">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94BA13">
            <w:pPr>
              <w:pStyle w:val="14"/>
              <w:rPr>
                <w:rFonts w:hint="eastAsia" w:hAnsi="宋体" w:cs="宋体"/>
                <w:sz w:val="21"/>
                <w:szCs w:val="21"/>
              </w:rPr>
            </w:pPr>
            <w:r>
              <w:rPr>
                <w:color w:val="000000"/>
                <w:sz w:val="21"/>
                <w:szCs w:val="21"/>
                <w:lang w:eastAsia="zh-CN"/>
              </w:rPr>
              <w:t>施工现场总平面布置图</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1ED51767">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F8AB7A">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30B8F7B2">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6722402D">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A64279">
            <w:pPr>
              <w:pStyle w:val="14"/>
              <w:rPr>
                <w:rFonts w:hint="eastAsia" w:hAnsi="宋体" w:cs="宋体"/>
                <w:sz w:val="21"/>
                <w:szCs w:val="21"/>
              </w:rPr>
            </w:pPr>
            <w:r>
              <w:rPr>
                <w:color w:val="000000"/>
                <w:sz w:val="21"/>
                <w:szCs w:val="21"/>
              </w:rPr>
              <w:t>现场组织管理机构</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62C51EB1">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F602AF">
            <w:pPr>
              <w:pStyle w:val="15"/>
              <w:jc w:val="center"/>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14:paraId="3779075F">
        <w:tblPrEx>
          <w:tblCellMar>
            <w:top w:w="0" w:type="dxa"/>
            <w:left w:w="108" w:type="dxa"/>
            <w:bottom w:w="0" w:type="dxa"/>
            <w:right w:w="108" w:type="dxa"/>
          </w:tblCellMar>
        </w:tblPrEx>
        <w:trPr>
          <w:cantSplit/>
          <w:trHeight w:val="494"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3046F951">
            <w:pPr>
              <w:widowControl/>
              <w:snapToGrid w:val="0"/>
              <w:jc w:val="center"/>
              <w:rPr>
                <w:rFonts w:hint="eastAsia" w:hAnsi="宋体" w:cs="宋体"/>
                <w:b/>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DAE3A0">
            <w:pPr>
              <w:pStyle w:val="14"/>
              <w:rPr>
                <w:rFonts w:hint="eastAsia" w:hAnsi="宋体" w:cs="宋体"/>
                <w:sz w:val="21"/>
                <w:szCs w:val="21"/>
              </w:rPr>
            </w:pPr>
            <w:r>
              <w:rPr>
                <w:color w:val="000000"/>
                <w:sz w:val="21"/>
                <w:szCs w:val="21"/>
                <w:lang w:eastAsia="zh-CN"/>
              </w:rPr>
              <w:t>与发包人、监理及设计单位的配合</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7E967B28">
            <w:pPr>
              <w:spacing w:line="400" w:lineRule="exact"/>
              <w:rPr>
                <w:rFonts w:hint="eastAsia" w:hAnsi="宋体" w:cs="宋体"/>
                <w:sz w:val="21"/>
                <w:szCs w:val="21"/>
              </w:rPr>
            </w:pPr>
            <w:r>
              <w:rPr>
                <w:rFonts w:hint="eastAsia"/>
                <w:color w:val="000000"/>
                <w:sz w:val="21"/>
                <w:szCs w:val="21"/>
                <w:lang w:eastAsia="zh-CN"/>
              </w:rPr>
              <w:t>按是否具有合理性、可靠性、针对性等评为好得</w:t>
            </w:r>
            <w:r>
              <w:rPr>
                <w:rFonts w:hint="eastAsia"/>
                <w:color w:val="000000"/>
                <w:sz w:val="21"/>
                <w:szCs w:val="21"/>
                <w:lang w:val="en-US" w:eastAsia="zh-CN"/>
              </w:rPr>
              <w:t>3</w:t>
            </w:r>
            <w:r>
              <w:rPr>
                <w:rFonts w:hint="eastAsia"/>
                <w:color w:val="000000"/>
                <w:sz w:val="21"/>
                <w:szCs w:val="21"/>
                <w:lang w:eastAsia="zh-CN"/>
              </w:rPr>
              <w:t>-</w:t>
            </w:r>
            <w:r>
              <w:rPr>
                <w:rFonts w:hint="eastAsia"/>
                <w:color w:val="000000"/>
                <w:sz w:val="21"/>
                <w:szCs w:val="21"/>
                <w:lang w:val="en-US" w:eastAsia="zh-CN"/>
              </w:rPr>
              <w:t>2</w:t>
            </w:r>
            <w:r>
              <w:rPr>
                <w:rFonts w:hint="eastAsia"/>
                <w:color w:val="000000"/>
                <w:sz w:val="21"/>
                <w:szCs w:val="21"/>
                <w:lang w:eastAsia="zh-CN"/>
              </w:rPr>
              <w:t>分、一般得</w:t>
            </w:r>
            <w:r>
              <w:rPr>
                <w:rFonts w:hint="eastAsia"/>
                <w:color w:val="000000"/>
                <w:sz w:val="21"/>
                <w:szCs w:val="21"/>
                <w:lang w:val="en-US" w:eastAsia="zh-CN"/>
              </w:rPr>
              <w:t>2</w:t>
            </w:r>
            <w:r>
              <w:rPr>
                <w:rFonts w:hint="eastAsia"/>
                <w:color w:val="000000"/>
                <w:sz w:val="21"/>
                <w:szCs w:val="21"/>
                <w:lang w:eastAsia="zh-CN"/>
              </w:rPr>
              <w:t>-1分，差得1-0分，缺项不得分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5765DE">
            <w:pPr>
              <w:jc w:val="cente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3</w:t>
            </w:r>
            <w:r>
              <w:rPr>
                <w:rFonts w:hint="eastAsia" w:hAnsi="宋体" w:cs="宋体"/>
                <w:sz w:val="21"/>
                <w:szCs w:val="21"/>
              </w:rPr>
              <w:t>分</w:t>
            </w:r>
          </w:p>
        </w:tc>
      </w:tr>
      <w:tr w14:paraId="1A95645C">
        <w:tblPrEx>
          <w:tblCellMar>
            <w:top w:w="0" w:type="dxa"/>
            <w:left w:w="108" w:type="dxa"/>
            <w:bottom w:w="0" w:type="dxa"/>
            <w:right w:w="108" w:type="dxa"/>
          </w:tblCellMar>
        </w:tblPrEx>
        <w:trPr>
          <w:cantSplit/>
          <w:trHeight w:val="800" w:hRule="atLeast"/>
          <w:jc w:val="center"/>
        </w:trPr>
        <w:tc>
          <w:tcPr>
            <w:tcW w:w="1197" w:type="dxa"/>
            <w:vMerge w:val="restart"/>
            <w:tcBorders>
              <w:top w:val="single" w:color="auto" w:sz="4" w:space="0"/>
              <w:left w:val="single" w:color="auto" w:sz="4" w:space="0"/>
              <w:right w:val="single" w:color="auto" w:sz="4" w:space="0"/>
            </w:tcBorders>
            <w:shd w:val="clear" w:color="000000" w:fill="FFFFFF"/>
            <w:noWrap w:val="0"/>
            <w:vAlign w:val="center"/>
          </w:tcPr>
          <w:p w14:paraId="618DD099">
            <w:pPr>
              <w:widowControl/>
              <w:snapToGrid w:val="0"/>
              <w:jc w:val="center"/>
              <w:rPr>
                <w:rFonts w:hint="eastAsia" w:hAnsi="宋体" w:cs="宋体"/>
                <w:b/>
                <w:sz w:val="21"/>
                <w:szCs w:val="21"/>
              </w:rPr>
            </w:pPr>
            <w:r>
              <w:rPr>
                <w:rFonts w:hint="eastAsia" w:hAnsi="宋体" w:cs="宋体"/>
                <w:b/>
                <w:sz w:val="21"/>
                <w:szCs w:val="21"/>
              </w:rPr>
              <w:t>商务分</w:t>
            </w:r>
          </w:p>
          <w:p w14:paraId="3A4ED658">
            <w:pPr>
              <w:widowControl/>
              <w:snapToGrid w:val="0"/>
              <w:jc w:val="center"/>
              <w:rPr>
                <w:rFonts w:hint="eastAsia" w:hAnsi="宋体" w:cs="宋体"/>
                <w:b/>
                <w:sz w:val="21"/>
                <w:szCs w:val="21"/>
              </w:rPr>
            </w:pPr>
            <w:r>
              <w:rPr>
                <w:rFonts w:hint="eastAsia" w:hAnsi="宋体" w:cs="宋体"/>
                <w:b/>
                <w:sz w:val="21"/>
                <w:szCs w:val="21"/>
              </w:rPr>
              <w:t>（</w:t>
            </w:r>
            <w:r>
              <w:rPr>
                <w:rFonts w:hint="eastAsia" w:hAnsi="宋体" w:cs="宋体"/>
                <w:b/>
                <w:sz w:val="21"/>
                <w:szCs w:val="21"/>
                <w:lang w:val="en-US" w:eastAsia="zh-CN"/>
              </w:rPr>
              <w:t>40</w:t>
            </w:r>
            <w:r>
              <w:rPr>
                <w:rFonts w:hint="eastAsia" w:hAnsi="宋体" w:cs="宋体"/>
                <w:b/>
                <w:sz w:val="21"/>
                <w:szCs w:val="21"/>
              </w:rPr>
              <w:t>分）</w:t>
            </w:r>
          </w:p>
        </w:tc>
        <w:tc>
          <w:tcPr>
            <w:tcW w:w="1503" w:type="dxa"/>
            <w:tcBorders>
              <w:top w:val="single" w:color="auto" w:sz="4" w:space="0"/>
              <w:left w:val="single" w:color="auto" w:sz="4" w:space="0"/>
              <w:right w:val="single" w:color="auto" w:sz="4" w:space="0"/>
            </w:tcBorders>
            <w:shd w:val="clear" w:color="000000" w:fill="FFFFFF"/>
            <w:noWrap w:val="0"/>
            <w:vAlign w:val="top"/>
          </w:tcPr>
          <w:p w14:paraId="0B7615E6">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技术负责人职称</w:t>
            </w:r>
          </w:p>
        </w:tc>
        <w:tc>
          <w:tcPr>
            <w:tcW w:w="4769" w:type="dxa"/>
            <w:tcBorders>
              <w:top w:val="single" w:color="auto" w:sz="4" w:space="0"/>
              <w:left w:val="single" w:color="auto" w:sz="4" w:space="0"/>
              <w:right w:val="single" w:color="auto" w:sz="4" w:space="0"/>
            </w:tcBorders>
            <w:shd w:val="clear" w:color="000000" w:fill="FFFFFF"/>
            <w:noWrap w:val="0"/>
            <w:vAlign w:val="top"/>
          </w:tcPr>
          <w:p w14:paraId="366E3622">
            <w:pPr>
              <w:spacing w:line="400" w:lineRule="exact"/>
              <w:rPr>
                <w:rFonts w:hint="default" w:ascii="宋体" w:hAnsi="Times New Roman" w:eastAsia="宋体" w:cs="Times New Roman"/>
                <w:color w:val="000000"/>
                <w:sz w:val="21"/>
                <w:szCs w:val="21"/>
                <w:lang w:val="en-US" w:eastAsia="zh-CN"/>
              </w:rPr>
            </w:pPr>
            <w:r>
              <w:rPr>
                <w:rFonts w:hint="eastAsia" w:ascii="宋体" w:hAnsi="Times New Roman" w:eastAsia="宋体" w:cs="Times New Roman"/>
                <w:color w:val="000000"/>
                <w:sz w:val="21"/>
                <w:szCs w:val="21"/>
                <w:lang w:eastAsia="zh-CN"/>
              </w:rPr>
              <w:t>提供技术负责人具有</w:t>
            </w:r>
            <w:r>
              <w:rPr>
                <w:rFonts w:hint="eastAsia" w:ascii="宋体" w:hAnsi="Times New Roman" w:eastAsia="宋体" w:cs="Times New Roman"/>
                <w:color w:val="000000"/>
                <w:sz w:val="21"/>
                <w:szCs w:val="21"/>
                <w:lang w:val="en-US" w:eastAsia="zh-CN"/>
              </w:rPr>
              <w:t>建筑类相关专业中级职称的得3分；高</w:t>
            </w:r>
            <w:r>
              <w:rPr>
                <w:rFonts w:hint="eastAsia" w:ascii="宋体" w:hAnsi="Times New Roman" w:eastAsia="宋体" w:cs="Times New Roman"/>
                <w:color w:val="000000"/>
                <w:sz w:val="21"/>
                <w:szCs w:val="21"/>
                <w:lang w:eastAsia="zh-CN"/>
              </w:rPr>
              <w:t>级职称的得</w:t>
            </w:r>
            <w:r>
              <w:rPr>
                <w:rFonts w:hint="eastAsia" w:ascii="宋体" w:hAnsi="Times New Roman" w:eastAsia="宋体" w:cs="Times New Roman"/>
                <w:color w:val="000000"/>
                <w:sz w:val="21"/>
                <w:szCs w:val="21"/>
                <w:lang w:val="en-US" w:eastAsia="zh-CN"/>
              </w:rPr>
              <w:t>5</w:t>
            </w:r>
            <w:r>
              <w:rPr>
                <w:rFonts w:hint="eastAsia" w:ascii="宋体" w:hAnsi="Times New Roman" w:eastAsia="宋体" w:cs="Times New Roman"/>
                <w:color w:val="000000"/>
                <w:sz w:val="21"/>
                <w:szCs w:val="21"/>
                <w:lang w:eastAsia="zh-CN"/>
              </w:rPr>
              <w:t>分，不提供的不得分。本项满分</w:t>
            </w:r>
            <w:r>
              <w:rPr>
                <w:rFonts w:hint="eastAsia" w:ascii="宋体" w:hAnsi="Times New Roman" w:eastAsia="宋体" w:cs="Times New Roman"/>
                <w:color w:val="000000"/>
                <w:sz w:val="21"/>
                <w:szCs w:val="21"/>
                <w:lang w:val="en-US" w:eastAsia="zh-CN"/>
              </w:rPr>
              <w:t>5分。</w:t>
            </w:r>
            <w:r>
              <w:rPr>
                <w:rFonts w:hint="eastAsia" w:ascii="宋体" w:hAnsi="Times New Roman" w:eastAsia="宋体" w:cs="Times New Roman"/>
                <w:color w:val="000000"/>
                <w:sz w:val="21"/>
                <w:szCs w:val="21"/>
                <w:lang w:eastAsia="zh-CN"/>
              </w:rPr>
              <w:t>注：须提供相关证件复印件及投标单位为其在202</w:t>
            </w:r>
            <w:r>
              <w:rPr>
                <w:rFonts w:hint="eastAsia" w:ascii="宋体" w:hAnsi="Times New Roman" w:eastAsia="宋体" w:cs="Times New Roman"/>
                <w:color w:val="000000"/>
                <w:sz w:val="21"/>
                <w:szCs w:val="21"/>
                <w:lang w:val="en-US" w:eastAsia="zh-CN"/>
              </w:rPr>
              <w:t>5</w:t>
            </w:r>
            <w:r>
              <w:rPr>
                <w:rFonts w:hint="eastAsia" w:ascii="宋体" w:hAnsi="Times New Roman" w:eastAsia="宋体" w:cs="Times New Roman"/>
                <w:color w:val="000000"/>
                <w:sz w:val="21"/>
                <w:szCs w:val="21"/>
                <w:lang w:eastAsia="zh-CN"/>
              </w:rPr>
              <w:t>年以来任意连续</w:t>
            </w:r>
            <w:r>
              <w:rPr>
                <w:rFonts w:hint="eastAsia" w:ascii="宋体" w:hAnsi="Times New Roman" w:eastAsia="宋体" w:cs="Times New Roman"/>
                <w:color w:val="000000"/>
                <w:sz w:val="21"/>
                <w:szCs w:val="21"/>
                <w:lang w:val="en-US" w:eastAsia="zh-CN"/>
              </w:rPr>
              <w:t>3</w:t>
            </w:r>
            <w:r>
              <w:rPr>
                <w:rFonts w:hint="eastAsia" w:ascii="宋体" w:hAnsi="Times New Roman" w:eastAsia="宋体" w:cs="Times New Roman"/>
                <w:color w:val="000000"/>
                <w:sz w:val="21"/>
                <w:szCs w:val="21"/>
                <w:lang w:eastAsia="zh-CN"/>
              </w:rPr>
              <w:t>个月缴纳社保的证明材料。</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4F9CF5">
            <w:pP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5</w:t>
            </w:r>
            <w:r>
              <w:rPr>
                <w:rFonts w:hint="eastAsia" w:hAnsi="宋体" w:cs="宋体"/>
                <w:sz w:val="21"/>
                <w:szCs w:val="21"/>
              </w:rPr>
              <w:t>分</w:t>
            </w:r>
          </w:p>
        </w:tc>
      </w:tr>
      <w:tr w14:paraId="1C1FA696">
        <w:tblPrEx>
          <w:tblCellMar>
            <w:top w:w="0" w:type="dxa"/>
            <w:left w:w="108" w:type="dxa"/>
            <w:bottom w:w="0" w:type="dxa"/>
            <w:right w:w="108" w:type="dxa"/>
          </w:tblCellMar>
        </w:tblPrEx>
        <w:trPr>
          <w:cantSplit/>
          <w:trHeight w:val="301"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5644CE09">
            <w:pPr>
              <w:widowControl/>
              <w:snapToGrid w:val="0"/>
              <w:ind w:firstLine="480"/>
              <w:jc w:val="center"/>
              <w:rPr>
                <w:rFonts w:hint="eastAsia" w:hAnsi="宋体" w:cs="宋体"/>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6D582487">
            <w:pPr>
              <w:spacing w:line="400" w:lineRule="exact"/>
              <w:rPr>
                <w:rFonts w:hint="eastAsia" w:ascii="宋体" w:hAnsi="Times New Roman" w:eastAsia="宋体" w:cs="Times New Roman"/>
                <w:color w:val="000000"/>
                <w:sz w:val="21"/>
                <w:szCs w:val="21"/>
                <w:lang w:eastAsia="zh-CN"/>
              </w:rPr>
            </w:pPr>
          </w:p>
          <w:p w14:paraId="00D13DD9">
            <w:pPr>
              <w:spacing w:line="400" w:lineRule="exact"/>
              <w:rPr>
                <w:rFonts w:hint="eastAsia" w:ascii="宋体" w:hAnsi="Times New Roman" w:eastAsia="宋体" w:cs="Times New Roman"/>
                <w:color w:val="000000"/>
                <w:sz w:val="21"/>
                <w:szCs w:val="21"/>
                <w:lang w:eastAsia="zh-CN"/>
              </w:rPr>
            </w:pPr>
          </w:p>
          <w:p w14:paraId="28FF4275">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主要管理人员</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4981FE39">
            <w:pPr>
              <w:numPr>
                <w:ilvl w:val="0"/>
                <w:numId w:val="3"/>
              </w:num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提供主要管理人员：施工员、质检（量）员、安全员、材料员、资料员应出具岗位证</w:t>
            </w:r>
            <w:r>
              <w:rPr>
                <w:rFonts w:hint="eastAsia" w:ascii="宋体" w:hAnsi="Times New Roman" w:eastAsia="宋体" w:cs="Times New Roman"/>
                <w:color w:val="000000"/>
                <w:sz w:val="21"/>
                <w:szCs w:val="21"/>
                <w:lang w:val="en-US" w:eastAsia="zh-CN"/>
              </w:rPr>
              <w:t>或投标单位任职文件</w:t>
            </w:r>
            <w:r>
              <w:rPr>
                <w:rFonts w:hint="eastAsia" w:ascii="宋体" w:hAnsi="Times New Roman" w:eastAsia="宋体" w:cs="Times New Roman"/>
                <w:color w:val="000000"/>
                <w:sz w:val="21"/>
                <w:szCs w:val="21"/>
                <w:lang w:eastAsia="zh-CN"/>
              </w:rPr>
              <w:t>，安全员还应出具安全生产考核合格证（C类）。证件齐全的得</w:t>
            </w:r>
            <w:r>
              <w:rPr>
                <w:rFonts w:hint="eastAsia" w:ascii="宋体" w:hAnsi="Times New Roman" w:eastAsia="宋体" w:cs="Times New Roman"/>
                <w:color w:val="000000"/>
                <w:sz w:val="21"/>
                <w:szCs w:val="21"/>
                <w:lang w:val="en-US" w:eastAsia="zh-CN"/>
              </w:rPr>
              <w:t>6</w:t>
            </w:r>
            <w:r>
              <w:rPr>
                <w:rFonts w:hint="eastAsia" w:ascii="宋体" w:hAnsi="Times New Roman" w:eastAsia="宋体" w:cs="Times New Roman"/>
                <w:color w:val="000000"/>
                <w:sz w:val="21"/>
                <w:szCs w:val="21"/>
                <w:lang w:eastAsia="zh-CN"/>
              </w:rPr>
              <w:t>分；</w:t>
            </w:r>
          </w:p>
          <w:p w14:paraId="690B6EE9">
            <w:pPr>
              <w:numPr>
                <w:ilvl w:val="0"/>
                <w:numId w:val="3"/>
              </w:num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val="en-US" w:eastAsia="zh-CN"/>
              </w:rPr>
              <w:t>以上主要管理人员中具有建筑类相关专业中级及以上职称的，有1个得1分，满分为4分。</w:t>
            </w:r>
            <w:r>
              <w:rPr>
                <w:rFonts w:hint="eastAsia" w:ascii="宋体" w:hAnsi="Times New Roman" w:eastAsia="宋体" w:cs="Times New Roman"/>
                <w:color w:val="000000"/>
                <w:sz w:val="21"/>
                <w:szCs w:val="21"/>
                <w:lang w:eastAsia="zh-CN"/>
              </w:rPr>
              <w:t>提供不全或没有提供的得0分。</w:t>
            </w:r>
          </w:p>
          <w:p w14:paraId="72FF29A9">
            <w:pPr>
              <w:numPr>
                <w:ilvl w:val="0"/>
                <w:numId w:val="0"/>
              </w:num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注：须提供相关证件复印件及投标单位为以上人员在202</w:t>
            </w:r>
            <w:r>
              <w:rPr>
                <w:rFonts w:hint="eastAsia" w:ascii="宋体" w:hAnsi="Times New Roman" w:eastAsia="宋体" w:cs="Times New Roman"/>
                <w:color w:val="000000"/>
                <w:sz w:val="21"/>
                <w:szCs w:val="21"/>
                <w:lang w:val="en-US" w:eastAsia="zh-CN"/>
              </w:rPr>
              <w:t>5</w:t>
            </w:r>
            <w:r>
              <w:rPr>
                <w:rFonts w:hint="eastAsia" w:ascii="宋体" w:hAnsi="Times New Roman" w:eastAsia="宋体" w:cs="Times New Roman"/>
                <w:color w:val="000000"/>
                <w:sz w:val="21"/>
                <w:szCs w:val="21"/>
                <w:lang w:eastAsia="zh-CN"/>
              </w:rPr>
              <w:t>年以来任意连续</w:t>
            </w:r>
            <w:r>
              <w:rPr>
                <w:rFonts w:hint="eastAsia" w:ascii="宋体" w:hAnsi="Times New Roman" w:eastAsia="宋体" w:cs="Times New Roman"/>
                <w:color w:val="000000"/>
                <w:sz w:val="21"/>
                <w:szCs w:val="21"/>
                <w:lang w:val="en-US" w:eastAsia="zh-CN"/>
              </w:rPr>
              <w:t>3</w:t>
            </w:r>
            <w:r>
              <w:rPr>
                <w:rFonts w:hint="eastAsia" w:ascii="宋体" w:hAnsi="Times New Roman" w:eastAsia="宋体" w:cs="Times New Roman"/>
                <w:color w:val="000000"/>
                <w:sz w:val="21"/>
                <w:szCs w:val="21"/>
                <w:lang w:eastAsia="zh-CN"/>
              </w:rPr>
              <w:t>个月缴纳社保的证明材料。</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E196A6">
            <w:pP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10</w:t>
            </w:r>
            <w:r>
              <w:rPr>
                <w:rFonts w:hint="eastAsia" w:hAnsi="宋体" w:cs="宋体"/>
                <w:sz w:val="21"/>
                <w:szCs w:val="21"/>
              </w:rPr>
              <w:t>分</w:t>
            </w:r>
          </w:p>
        </w:tc>
      </w:tr>
      <w:tr w14:paraId="20A72B19">
        <w:tblPrEx>
          <w:tblCellMar>
            <w:top w:w="0" w:type="dxa"/>
            <w:left w:w="108" w:type="dxa"/>
            <w:bottom w:w="0" w:type="dxa"/>
            <w:right w:w="108" w:type="dxa"/>
          </w:tblCellMar>
        </w:tblPrEx>
        <w:trPr>
          <w:cantSplit/>
          <w:trHeight w:val="301" w:hRule="atLeast"/>
          <w:jc w:val="center"/>
        </w:trPr>
        <w:tc>
          <w:tcPr>
            <w:tcW w:w="1197" w:type="dxa"/>
            <w:vMerge w:val="continue"/>
            <w:tcBorders>
              <w:left w:val="single" w:color="auto" w:sz="4" w:space="0"/>
              <w:right w:val="single" w:color="auto" w:sz="4" w:space="0"/>
            </w:tcBorders>
            <w:shd w:val="clear" w:color="000000" w:fill="FFFFFF"/>
            <w:noWrap w:val="0"/>
            <w:vAlign w:val="center"/>
          </w:tcPr>
          <w:p w14:paraId="1B179AF4">
            <w:pPr>
              <w:widowControl/>
              <w:snapToGrid w:val="0"/>
              <w:ind w:firstLine="480"/>
              <w:jc w:val="center"/>
              <w:rPr>
                <w:rFonts w:hint="eastAsia" w:hAnsi="宋体" w:cs="宋体"/>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2D4457A0">
            <w:pPr>
              <w:spacing w:line="400" w:lineRule="exact"/>
              <w:rPr>
                <w:rFonts w:hint="eastAsia" w:ascii="宋体" w:hAnsi="Times New Roman" w:eastAsia="宋体" w:cs="Times New Roman"/>
                <w:color w:val="000000"/>
                <w:sz w:val="21"/>
                <w:szCs w:val="21"/>
                <w:lang w:eastAsia="zh-CN"/>
              </w:rPr>
            </w:pPr>
          </w:p>
          <w:p w14:paraId="0680D0B1">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企业业绩</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2D2A6D54">
            <w:pPr>
              <w:spacing w:line="400" w:lineRule="exact"/>
              <w:rPr>
                <w:rFonts w:hint="default" w:ascii="宋体" w:hAnsi="Times New Roman" w:eastAsia="宋体" w:cs="Times New Roman"/>
                <w:color w:val="000000"/>
                <w:sz w:val="21"/>
                <w:szCs w:val="21"/>
                <w:lang w:val="en-US" w:eastAsia="zh-CN"/>
              </w:rPr>
            </w:pPr>
            <w:r>
              <w:rPr>
                <w:rFonts w:hint="eastAsia" w:ascii="宋体" w:hAnsi="Times New Roman" w:eastAsia="宋体" w:cs="Times New Roman"/>
                <w:color w:val="000000"/>
                <w:sz w:val="21"/>
                <w:szCs w:val="21"/>
                <w:lang w:eastAsia="zh-CN"/>
              </w:rPr>
              <w:t>近三年</w:t>
            </w:r>
            <w:r>
              <w:rPr>
                <w:rFonts w:hint="eastAsia" w:ascii="宋体" w:hAnsi="Times New Roman" w:eastAsia="宋体" w:cs="Times New Roman"/>
                <w:color w:val="000000"/>
                <w:sz w:val="21"/>
                <w:szCs w:val="21"/>
                <w:lang w:val="en-US" w:eastAsia="zh-CN"/>
              </w:rPr>
              <w:t>(2022年7月1日-今）</w:t>
            </w:r>
            <w:r>
              <w:rPr>
                <w:rFonts w:hint="eastAsia" w:ascii="宋体" w:hAnsi="Times New Roman" w:eastAsia="宋体" w:cs="Times New Roman"/>
                <w:color w:val="000000"/>
                <w:sz w:val="21"/>
                <w:szCs w:val="21"/>
                <w:lang w:eastAsia="zh-CN"/>
              </w:rPr>
              <w:t>企业类似业绩，</w:t>
            </w:r>
            <w:r>
              <w:rPr>
                <w:rFonts w:hint="eastAsia" w:ascii="宋体" w:hAnsi="Times New Roman" w:eastAsia="宋体" w:cs="Times New Roman"/>
                <w:color w:val="000000"/>
                <w:sz w:val="21"/>
                <w:szCs w:val="21"/>
                <w:lang w:val="en-US" w:eastAsia="zh-CN"/>
              </w:rPr>
              <w:t>提供中标通知书和合同协议书复印件加盖公章，</w:t>
            </w:r>
            <w:r>
              <w:rPr>
                <w:rFonts w:hint="eastAsia" w:ascii="宋体" w:hAnsi="Times New Roman" w:eastAsia="宋体" w:cs="Times New Roman"/>
                <w:color w:val="000000"/>
                <w:sz w:val="21"/>
                <w:szCs w:val="21"/>
                <w:lang w:eastAsia="zh-CN"/>
              </w:rPr>
              <w:t>提供一个得</w:t>
            </w:r>
            <w:r>
              <w:rPr>
                <w:rFonts w:hint="eastAsia" w:ascii="宋体" w:hAnsi="Times New Roman" w:eastAsia="宋体" w:cs="Times New Roman"/>
                <w:color w:val="000000"/>
                <w:sz w:val="21"/>
                <w:szCs w:val="21"/>
                <w:lang w:val="en-US" w:eastAsia="zh-CN"/>
              </w:rPr>
              <w:t>4</w:t>
            </w:r>
            <w:r>
              <w:rPr>
                <w:rFonts w:hint="eastAsia" w:ascii="宋体" w:hAnsi="Times New Roman" w:eastAsia="宋体" w:cs="Times New Roman"/>
                <w:color w:val="000000"/>
                <w:sz w:val="21"/>
                <w:szCs w:val="21"/>
                <w:lang w:eastAsia="zh-CN"/>
              </w:rPr>
              <w:t>分，不提供得0分，满分</w:t>
            </w:r>
            <w:r>
              <w:rPr>
                <w:rFonts w:hint="eastAsia" w:ascii="宋体" w:hAnsi="Times New Roman" w:eastAsia="宋体" w:cs="Times New Roman"/>
                <w:color w:val="000000"/>
                <w:sz w:val="21"/>
                <w:szCs w:val="21"/>
                <w:lang w:val="en-US" w:eastAsia="zh-CN"/>
              </w:rPr>
              <w:t>16</w:t>
            </w:r>
            <w:r>
              <w:rPr>
                <w:rFonts w:hint="eastAsia" w:ascii="宋体" w:hAnsi="Times New Roman" w:eastAsia="宋体" w:cs="Times New Roman"/>
                <w:color w:val="000000"/>
                <w:sz w:val="21"/>
                <w:szCs w:val="21"/>
                <w:lang w:eastAsia="zh-CN"/>
              </w:rPr>
              <w:t>分。类似业绩指建安费用</w:t>
            </w:r>
            <w:r>
              <w:rPr>
                <w:rFonts w:hint="eastAsia" w:ascii="宋体" w:hAnsi="Times New Roman" w:eastAsia="宋体" w:cs="Times New Roman"/>
                <w:color w:val="000000"/>
                <w:sz w:val="21"/>
                <w:szCs w:val="21"/>
                <w:lang w:val="en-US" w:eastAsia="zh-CN"/>
              </w:rPr>
              <w:t>80万以上的装修、改造工程类业绩。</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01D3A6">
            <w:pPr>
              <w:rPr>
                <w:rFonts w:hint="default" w:hAnsi="宋体" w:eastAsia="宋体" w:cs="宋体"/>
                <w:sz w:val="21"/>
                <w:szCs w:val="21"/>
                <w:lang w:val="en-US" w:eastAsia="zh-CN"/>
              </w:rPr>
            </w:pPr>
            <w:r>
              <w:rPr>
                <w:rFonts w:hint="eastAsia" w:hAnsi="宋体" w:cs="宋体"/>
                <w:sz w:val="21"/>
                <w:szCs w:val="21"/>
                <w:lang w:val="en-US" w:eastAsia="zh-CN"/>
              </w:rPr>
              <w:t>0-16分</w:t>
            </w:r>
          </w:p>
        </w:tc>
      </w:tr>
      <w:tr w14:paraId="519EE245">
        <w:tblPrEx>
          <w:tblCellMar>
            <w:top w:w="0" w:type="dxa"/>
            <w:left w:w="108" w:type="dxa"/>
            <w:bottom w:w="0" w:type="dxa"/>
            <w:right w:w="108" w:type="dxa"/>
          </w:tblCellMar>
        </w:tblPrEx>
        <w:trPr>
          <w:cantSplit/>
          <w:trHeight w:val="301" w:hRule="atLeast"/>
          <w:jc w:val="center"/>
        </w:trPr>
        <w:tc>
          <w:tcPr>
            <w:tcW w:w="1197" w:type="dxa"/>
            <w:vMerge w:val="continue"/>
            <w:tcBorders>
              <w:left w:val="single" w:color="auto" w:sz="4" w:space="0"/>
              <w:bottom w:val="single" w:color="auto" w:sz="4" w:space="0"/>
              <w:right w:val="single" w:color="auto" w:sz="4" w:space="0"/>
            </w:tcBorders>
            <w:shd w:val="clear" w:color="000000" w:fill="FFFFFF"/>
            <w:noWrap w:val="0"/>
            <w:vAlign w:val="center"/>
          </w:tcPr>
          <w:p w14:paraId="7831A25B">
            <w:pPr>
              <w:widowControl/>
              <w:snapToGrid w:val="0"/>
              <w:ind w:firstLine="480"/>
              <w:rPr>
                <w:rFonts w:hint="eastAsia" w:hAnsi="宋体" w:cs="宋体"/>
                <w:sz w:val="21"/>
                <w:szCs w:val="21"/>
              </w:rPr>
            </w:pPr>
          </w:p>
        </w:tc>
        <w:tc>
          <w:tcPr>
            <w:tcW w:w="150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EA1F13">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val="en-US" w:eastAsia="zh-CN"/>
              </w:rPr>
              <w:t>体系认证</w:t>
            </w:r>
          </w:p>
        </w:tc>
        <w:tc>
          <w:tcPr>
            <w:tcW w:w="4769"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42149005">
            <w:pPr>
              <w:spacing w:line="400" w:lineRule="exact"/>
              <w:rPr>
                <w:rFonts w:hint="eastAsia" w:ascii="宋体" w:hAnsi="Times New Roman" w:eastAsia="宋体" w:cs="Times New Roman"/>
                <w:color w:val="000000"/>
                <w:sz w:val="21"/>
                <w:szCs w:val="21"/>
                <w:lang w:eastAsia="zh-CN"/>
              </w:rPr>
            </w:pPr>
            <w:r>
              <w:rPr>
                <w:rFonts w:hint="eastAsia" w:ascii="宋体" w:hAnsi="Times New Roman" w:eastAsia="宋体" w:cs="Times New Roman"/>
                <w:color w:val="000000"/>
                <w:sz w:val="21"/>
                <w:szCs w:val="21"/>
                <w:lang w:eastAsia="zh-CN"/>
              </w:rPr>
              <w:t>提供有效的质量管理体系认证证书、环境管理体系认证证书、职业健康安全管理体系认证证书，提供齐全的得</w:t>
            </w:r>
            <w:r>
              <w:rPr>
                <w:rFonts w:hint="eastAsia" w:ascii="宋体" w:hAnsi="Times New Roman" w:eastAsia="宋体" w:cs="Times New Roman"/>
                <w:color w:val="000000"/>
                <w:sz w:val="21"/>
                <w:szCs w:val="21"/>
                <w:lang w:val="en-US" w:eastAsia="zh-CN"/>
              </w:rPr>
              <w:t>9</w:t>
            </w:r>
            <w:r>
              <w:rPr>
                <w:rFonts w:hint="eastAsia" w:ascii="宋体" w:hAnsi="Times New Roman" w:eastAsia="宋体" w:cs="Times New Roman"/>
                <w:color w:val="000000"/>
                <w:sz w:val="21"/>
                <w:szCs w:val="21"/>
                <w:lang w:eastAsia="zh-CN"/>
              </w:rPr>
              <w:t>分，提供不全或没有提供的得0分。</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2B7B3C">
            <w:pPr>
              <w:rPr>
                <w:rFonts w:hint="eastAsia" w:hAnsi="宋体" w:cs="宋体"/>
                <w:sz w:val="21"/>
                <w:szCs w:val="21"/>
              </w:rPr>
            </w:pPr>
            <w:r>
              <w:rPr>
                <w:rFonts w:hint="eastAsia" w:hAnsi="宋体" w:cs="宋体"/>
                <w:sz w:val="21"/>
                <w:szCs w:val="21"/>
              </w:rPr>
              <w:t>0-</w:t>
            </w:r>
            <w:r>
              <w:rPr>
                <w:rFonts w:hint="eastAsia" w:hAnsi="宋体" w:cs="宋体"/>
                <w:sz w:val="21"/>
                <w:szCs w:val="21"/>
                <w:lang w:val="en-US" w:eastAsia="zh-CN"/>
              </w:rPr>
              <w:t>9</w:t>
            </w:r>
            <w:r>
              <w:rPr>
                <w:rFonts w:hint="eastAsia" w:hAnsi="宋体" w:cs="宋体"/>
                <w:sz w:val="21"/>
                <w:szCs w:val="21"/>
              </w:rPr>
              <w:t>分</w:t>
            </w:r>
          </w:p>
        </w:tc>
      </w:tr>
      <w:tr w14:paraId="49430D74">
        <w:tblPrEx>
          <w:tblCellMar>
            <w:top w:w="0" w:type="dxa"/>
            <w:left w:w="108" w:type="dxa"/>
            <w:bottom w:w="0" w:type="dxa"/>
            <w:right w:w="108" w:type="dxa"/>
          </w:tblCellMar>
        </w:tblPrEx>
        <w:trPr>
          <w:trHeight w:val="518" w:hRule="atLeast"/>
          <w:jc w:val="center"/>
        </w:trPr>
        <w:tc>
          <w:tcPr>
            <w:tcW w:w="746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8D30E9">
            <w:pPr>
              <w:jc w:val="center"/>
              <w:rPr>
                <w:rFonts w:hint="eastAsia" w:hAnsi="宋体" w:cs="宋体"/>
                <w:sz w:val="21"/>
                <w:szCs w:val="21"/>
              </w:rPr>
            </w:pPr>
            <w:r>
              <w:rPr>
                <w:rFonts w:hint="eastAsia" w:hAnsi="宋体" w:cs="宋体"/>
                <w:sz w:val="21"/>
                <w:szCs w:val="21"/>
              </w:rPr>
              <w:t>得分合计</w:t>
            </w:r>
          </w:p>
        </w:tc>
        <w:tc>
          <w:tcPr>
            <w:tcW w:w="8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76FD84">
            <w:pPr>
              <w:rPr>
                <w:rFonts w:hint="eastAsia" w:hAnsi="宋体" w:cs="宋体"/>
                <w:sz w:val="21"/>
                <w:szCs w:val="21"/>
              </w:rPr>
            </w:pPr>
            <w:r>
              <w:rPr>
                <w:rFonts w:hint="eastAsia" w:hAnsi="宋体" w:cs="宋体"/>
                <w:sz w:val="21"/>
                <w:szCs w:val="21"/>
              </w:rPr>
              <w:t>100分</w:t>
            </w:r>
          </w:p>
        </w:tc>
      </w:tr>
    </w:tbl>
    <w:p w14:paraId="140CC047">
      <w:pPr>
        <w:snapToGrid w:val="0"/>
        <w:spacing w:line="360" w:lineRule="auto"/>
        <w:rPr>
          <w:rFonts w:hint="eastAsia" w:cs="宋体"/>
          <w:b/>
          <w:bCs/>
          <w:snapToGrid w:val="0"/>
          <w:sz w:val="24"/>
          <w:szCs w:val="24"/>
        </w:rPr>
        <w:sectPr>
          <w:pgSz w:w="11906" w:h="16838"/>
          <w:pgMar w:top="1440" w:right="1800" w:bottom="1440" w:left="1800" w:header="851" w:footer="992" w:gutter="0"/>
          <w:cols w:space="720" w:num="1"/>
          <w:docGrid w:type="lines" w:linePitch="312" w:charSpace="0"/>
        </w:sectPr>
      </w:pPr>
    </w:p>
    <w:p w14:paraId="6C0AF049">
      <w:pPr>
        <w:spacing w:line="360" w:lineRule="auto"/>
        <w:ind w:firstLine="484" w:firstLineChars="202"/>
        <w:rPr>
          <w:rFonts w:hint="eastAsia" w:hAnsi="宋体" w:cs="宋体"/>
          <w:sz w:val="24"/>
          <w:szCs w:val="24"/>
        </w:rPr>
      </w:pPr>
      <w:r>
        <w:rPr>
          <w:rFonts w:hint="eastAsia" w:hAnsi="宋体" w:cs="宋体"/>
          <w:sz w:val="24"/>
          <w:szCs w:val="24"/>
        </w:rPr>
        <w:t>1、价格分的计算</w:t>
      </w:r>
    </w:p>
    <w:p w14:paraId="37A2F7EE">
      <w:pPr>
        <w:snapToGrid w:val="0"/>
        <w:spacing w:line="360" w:lineRule="auto"/>
        <w:ind w:firstLine="484" w:firstLineChars="202"/>
        <w:rPr>
          <w:rFonts w:hint="eastAsia" w:hAnsi="宋体" w:cs="宋体"/>
          <w:sz w:val="24"/>
          <w:szCs w:val="24"/>
          <w:lang w:eastAsia="zh-CN"/>
        </w:rPr>
      </w:pPr>
      <w:r>
        <w:rPr>
          <w:rFonts w:hint="eastAsia" w:hAnsi="宋体" w:cs="宋体"/>
          <w:sz w:val="24"/>
          <w:szCs w:val="24"/>
          <w:lang w:eastAsia="zh-CN"/>
        </w:rPr>
        <w:t>详见“五、评分细则”</w:t>
      </w:r>
    </w:p>
    <w:p w14:paraId="2CE6271F">
      <w:pPr>
        <w:snapToGrid w:val="0"/>
        <w:spacing w:line="360" w:lineRule="auto"/>
        <w:ind w:firstLine="484" w:firstLineChars="202"/>
        <w:rPr>
          <w:rFonts w:hint="eastAsia" w:hAnsi="宋体" w:eastAsia="宋体" w:cs="宋体"/>
          <w:sz w:val="24"/>
          <w:szCs w:val="24"/>
          <w:lang w:eastAsia="zh-CN"/>
        </w:rPr>
      </w:pPr>
      <w:r>
        <w:rPr>
          <w:rFonts w:hint="eastAsia" w:hAnsi="宋体" w:cs="宋体"/>
          <w:sz w:val="24"/>
          <w:szCs w:val="24"/>
        </w:rPr>
        <w:t>2、</w:t>
      </w:r>
      <w:r>
        <w:rPr>
          <w:rFonts w:hint="eastAsia" w:hAnsi="宋体" w:cs="宋体"/>
          <w:sz w:val="24"/>
          <w:szCs w:val="24"/>
          <w:lang w:eastAsia="zh-CN"/>
        </w:rPr>
        <w:t>政策扶持</w:t>
      </w:r>
    </w:p>
    <w:p w14:paraId="6689E89C">
      <w:pPr>
        <w:snapToGrid w:val="0"/>
        <w:spacing w:line="360" w:lineRule="auto"/>
        <w:ind w:firstLine="722" w:firstLineChars="301"/>
        <w:rPr>
          <w:rFonts w:hint="eastAsia" w:hAnsi="宋体" w:cs="宋体"/>
          <w:sz w:val="24"/>
          <w:szCs w:val="24"/>
        </w:rPr>
      </w:pPr>
      <w:r>
        <w:rPr>
          <w:rFonts w:hint="eastAsia" w:hAnsi="宋体" w:cs="宋体"/>
          <w:sz w:val="24"/>
          <w:szCs w:val="24"/>
          <w:lang w:val="en-US" w:eastAsia="zh-CN"/>
        </w:rPr>
        <w:t>（1）本项目</w:t>
      </w:r>
      <w:r>
        <w:rPr>
          <w:rFonts w:hint="eastAsia" w:hAnsi="宋体" w:cs="宋体"/>
          <w:sz w:val="24"/>
          <w:szCs w:val="24"/>
          <w:u w:val="single"/>
          <w:lang w:val="en-US" w:eastAsia="zh-CN"/>
        </w:rPr>
        <w:t xml:space="preserve"> 专门 </w:t>
      </w:r>
      <w:r>
        <w:rPr>
          <w:rFonts w:hint="eastAsia" w:hAnsi="宋体" w:cs="宋体"/>
          <w:sz w:val="24"/>
          <w:szCs w:val="24"/>
          <w:lang w:val="en-US" w:eastAsia="zh-CN"/>
        </w:rPr>
        <w:t xml:space="preserve">面向中小微企业采购。 </w:t>
      </w:r>
    </w:p>
    <w:p w14:paraId="3236D51E">
      <w:pPr>
        <w:snapToGrid w:val="0"/>
        <w:spacing w:line="360" w:lineRule="auto"/>
        <w:ind w:firstLine="720" w:firstLineChars="300"/>
        <w:rPr>
          <w:rFonts w:hint="eastAsia" w:hAnsi="宋体" w:cs="宋体"/>
          <w:sz w:val="24"/>
          <w:szCs w:val="24"/>
        </w:rPr>
      </w:pPr>
      <w:r>
        <w:rPr>
          <w:rFonts w:hint="eastAsia" w:hAnsi="宋体" w:cs="宋体"/>
          <w:sz w:val="24"/>
          <w:szCs w:val="24"/>
          <w:lang w:val="en-US" w:eastAsia="zh-CN"/>
        </w:rPr>
        <w:t>（2）专门面向中小企业采购的项目或者采购包，不再执行价格评审优惠的扶持政策。</w:t>
      </w:r>
    </w:p>
    <w:p w14:paraId="29032F3F">
      <w:pPr>
        <w:snapToGrid w:val="0"/>
        <w:spacing w:line="360" w:lineRule="auto"/>
        <w:ind w:firstLine="722" w:firstLineChars="301"/>
        <w:rPr>
          <w:rFonts w:hint="eastAsia" w:hAnsi="宋体" w:cs="宋体"/>
          <w:sz w:val="24"/>
          <w:szCs w:val="24"/>
        </w:rPr>
      </w:pPr>
      <w:r>
        <w:rPr>
          <w:rFonts w:hint="eastAsia" w:hAnsi="宋体" w:cs="宋体"/>
          <w:sz w:val="24"/>
          <w:szCs w:val="24"/>
          <w:lang w:val="en-US" w:eastAsia="zh-CN"/>
        </w:rPr>
        <w:t>（3）本项目采购标的对应的中小企业划分标准所属行业为</w:t>
      </w:r>
      <w:r>
        <w:rPr>
          <w:rFonts w:hint="eastAsia" w:hAnsi="宋体" w:cs="宋体"/>
          <w:sz w:val="24"/>
          <w:szCs w:val="24"/>
          <w:u w:val="single"/>
          <w:lang w:val="en-US" w:eastAsia="zh-CN"/>
        </w:rPr>
        <w:t xml:space="preserve"> 建筑业 </w:t>
      </w:r>
      <w:r>
        <w:rPr>
          <w:rFonts w:hint="eastAsia" w:hAnsi="宋体" w:cs="宋体"/>
          <w:sz w:val="24"/>
          <w:szCs w:val="24"/>
          <w:lang w:val="en-US" w:eastAsia="zh-CN"/>
        </w:rPr>
        <w:t xml:space="preserve">。 </w:t>
      </w:r>
    </w:p>
    <w:p w14:paraId="3A0C6203">
      <w:pPr>
        <w:snapToGrid w:val="0"/>
        <w:spacing w:line="360" w:lineRule="auto"/>
        <w:ind w:firstLine="722" w:firstLineChars="301"/>
        <w:rPr>
          <w:rFonts w:hint="eastAsia" w:hAnsi="宋体" w:cs="宋体"/>
          <w:sz w:val="24"/>
          <w:szCs w:val="24"/>
          <w:lang w:val="en-US" w:eastAsia="zh-CN"/>
        </w:rPr>
      </w:pPr>
      <w:r>
        <w:rPr>
          <w:rFonts w:hint="eastAsia" w:hAnsi="宋体" w:cs="宋体"/>
          <w:sz w:val="24"/>
          <w:szCs w:val="24"/>
          <w:lang w:val="en-US" w:eastAsia="zh-CN"/>
        </w:rPr>
        <w:t>（4）监狱企业、残疾人福利性单位视同小型、微型企业。投标供应商须提供《中小企业声明函》或《残疾人福利性单位声明函》或省级以上监狱管理局、戒毒管理局（含新疆生产建设兵团）出具的证明其属于监狱企业的文件。（属于哪种企业即提供哪种声明函）</w:t>
      </w:r>
    </w:p>
    <w:p w14:paraId="0D307DCF">
      <w:pPr>
        <w:snapToGrid w:val="0"/>
        <w:spacing w:line="360" w:lineRule="auto"/>
        <w:ind w:firstLine="484" w:firstLineChars="202"/>
        <w:rPr>
          <w:rFonts w:hint="eastAsia" w:hAnsi="宋体" w:cs="宋体"/>
          <w:sz w:val="24"/>
          <w:szCs w:val="24"/>
        </w:rPr>
      </w:pPr>
      <w:r>
        <w:rPr>
          <w:rFonts w:hint="eastAsia" w:hAnsi="宋体" w:cs="宋体"/>
          <w:sz w:val="24"/>
          <w:szCs w:val="24"/>
        </w:rPr>
        <w:t>3、评标总得分计算方法：</w:t>
      </w:r>
    </w:p>
    <w:p w14:paraId="4C70C89E">
      <w:pPr>
        <w:spacing w:line="360" w:lineRule="auto"/>
        <w:ind w:firstLine="484" w:firstLineChars="202"/>
        <w:rPr>
          <w:rFonts w:hint="default" w:hAnsi="宋体" w:eastAsia="宋体" w:cs="宋体"/>
          <w:sz w:val="24"/>
          <w:szCs w:val="24"/>
          <w:lang w:val="en-US" w:eastAsia="zh-CN"/>
        </w:rPr>
      </w:pPr>
      <w:r>
        <w:rPr>
          <w:rFonts w:hint="eastAsia" w:hAnsi="宋体" w:cs="宋体"/>
          <w:sz w:val="24"/>
          <w:szCs w:val="24"/>
        </w:rPr>
        <w:t>评标总得分＝</w:t>
      </w:r>
      <w:r>
        <w:rPr>
          <w:rFonts w:hint="eastAsia" w:hAnsi="宋体" w:cs="宋体"/>
          <w:sz w:val="24"/>
          <w:szCs w:val="24"/>
          <w:lang w:eastAsia="zh-CN"/>
        </w:rPr>
        <w:t>报价分</w:t>
      </w:r>
      <w:r>
        <w:rPr>
          <w:rFonts w:hint="eastAsia" w:hAnsi="宋体" w:cs="宋体"/>
          <w:sz w:val="24"/>
          <w:szCs w:val="24"/>
          <w:lang w:val="en-US" w:eastAsia="zh-CN"/>
        </w:rPr>
        <w:t>+技术分+商务分</w:t>
      </w:r>
    </w:p>
    <w:p w14:paraId="1A0980A9">
      <w:pPr>
        <w:snapToGrid w:val="0"/>
        <w:spacing w:line="360" w:lineRule="auto"/>
        <w:ind w:firstLine="484" w:firstLineChars="202"/>
        <w:rPr>
          <w:rFonts w:hint="eastAsia" w:hAnsi="宋体" w:cs="宋体"/>
          <w:sz w:val="24"/>
          <w:szCs w:val="24"/>
        </w:rPr>
      </w:pPr>
      <w:r>
        <w:rPr>
          <w:rFonts w:hint="eastAsia" w:hAnsi="宋体" w:cs="宋体"/>
          <w:sz w:val="24"/>
          <w:szCs w:val="24"/>
        </w:rPr>
        <w:t>注：以上打分计算最终得分保留小数两位。</w:t>
      </w:r>
    </w:p>
    <w:p w14:paraId="2CD39FA6">
      <w:pPr>
        <w:snapToGrid w:val="0"/>
        <w:spacing w:line="360" w:lineRule="auto"/>
        <w:ind w:firstLine="484" w:firstLineChars="202"/>
        <w:rPr>
          <w:rFonts w:hint="eastAsia" w:hAnsi="宋体" w:cs="宋体"/>
          <w:sz w:val="24"/>
          <w:szCs w:val="24"/>
        </w:rPr>
      </w:pPr>
      <w:r>
        <w:rPr>
          <w:rFonts w:hint="eastAsia" w:hAnsi="宋体" w:cs="宋体"/>
          <w:sz w:val="24"/>
          <w:szCs w:val="24"/>
        </w:rPr>
        <w:t>4、排序原则：采用综合评分法的，评标结果按评审后得分由高到低顺序排列。得分相同的，按投标报价由低到高顺序排列。得分且投标报价相同的并列。响应文件满足竞争性磋商文件全部实质性要求，且按照评审因素的量化指标评审得分最高的投标供应商为排名第一的中标候选人。</w:t>
      </w:r>
    </w:p>
    <w:p w14:paraId="447B5F86">
      <w:pPr>
        <w:snapToGrid w:val="0"/>
        <w:spacing w:line="360" w:lineRule="auto"/>
        <w:ind w:firstLine="487" w:firstLineChars="202"/>
        <w:rPr>
          <w:rFonts w:hint="eastAsia" w:cs="宋体"/>
          <w:b/>
          <w:snapToGrid w:val="0"/>
          <w:sz w:val="24"/>
          <w:szCs w:val="24"/>
        </w:rPr>
      </w:pPr>
      <w:bookmarkStart w:id="24" w:name="_Toc407182671"/>
      <w:bookmarkStart w:id="25" w:name="_Toc37837934"/>
      <w:r>
        <w:rPr>
          <w:rFonts w:hint="eastAsia" w:cs="宋体"/>
          <w:b/>
          <w:snapToGrid w:val="0"/>
          <w:sz w:val="24"/>
          <w:szCs w:val="24"/>
        </w:rPr>
        <w:t>六、废标条款</w:t>
      </w:r>
      <w:bookmarkEnd w:id="24"/>
      <w:bookmarkEnd w:id="25"/>
    </w:p>
    <w:p w14:paraId="169DF94B">
      <w:pPr>
        <w:spacing w:line="360" w:lineRule="auto"/>
        <w:ind w:firstLine="484" w:firstLineChars="202"/>
        <w:rPr>
          <w:rFonts w:hint="eastAsia" w:cs="宋体"/>
          <w:sz w:val="24"/>
          <w:szCs w:val="24"/>
        </w:rPr>
      </w:pPr>
      <w:r>
        <w:rPr>
          <w:rFonts w:hint="eastAsia" w:cs="宋体"/>
          <w:sz w:val="24"/>
          <w:szCs w:val="24"/>
        </w:rPr>
        <w:t>出现下列情形之一的，本项目/品目作废标处理,项目/品目评审终止：</w:t>
      </w:r>
    </w:p>
    <w:p w14:paraId="626556BA">
      <w:pPr>
        <w:spacing w:line="360" w:lineRule="auto"/>
        <w:ind w:firstLine="484" w:firstLineChars="202"/>
        <w:rPr>
          <w:rFonts w:hint="eastAsia" w:cs="宋体"/>
          <w:sz w:val="24"/>
          <w:szCs w:val="24"/>
        </w:rPr>
      </w:pPr>
      <w:r>
        <w:rPr>
          <w:rFonts w:hint="eastAsia" w:cs="宋体"/>
          <w:sz w:val="24"/>
          <w:szCs w:val="24"/>
        </w:rPr>
        <w:t>1.符合专业条件的或对采购文件作实质响应的供应商不足三家的，作废标处理。</w:t>
      </w:r>
    </w:p>
    <w:p w14:paraId="73B6D1CD">
      <w:pPr>
        <w:spacing w:line="360" w:lineRule="auto"/>
        <w:ind w:firstLine="484" w:firstLineChars="202"/>
        <w:rPr>
          <w:rFonts w:hint="eastAsia" w:cs="宋体"/>
          <w:sz w:val="24"/>
          <w:szCs w:val="24"/>
        </w:rPr>
      </w:pPr>
      <w:r>
        <w:rPr>
          <w:rFonts w:hint="eastAsia" w:cs="宋体"/>
          <w:sz w:val="24"/>
          <w:szCs w:val="24"/>
        </w:rPr>
        <w:t>2.出现影响采购公正的违法、违规行为的；</w:t>
      </w:r>
    </w:p>
    <w:p w14:paraId="1E4AFFE6">
      <w:pPr>
        <w:spacing w:line="360" w:lineRule="auto"/>
        <w:ind w:firstLine="484" w:firstLineChars="202"/>
        <w:rPr>
          <w:rFonts w:hint="eastAsia" w:cs="宋体"/>
          <w:sz w:val="24"/>
          <w:szCs w:val="24"/>
        </w:rPr>
      </w:pPr>
      <w:r>
        <w:rPr>
          <w:rFonts w:hint="eastAsia" w:cs="宋体"/>
          <w:sz w:val="24"/>
          <w:szCs w:val="24"/>
        </w:rPr>
        <w:t>3.供应商报价均超过了采购预算，采购人不能支付的；</w:t>
      </w:r>
    </w:p>
    <w:p w14:paraId="256EAC9A">
      <w:pPr>
        <w:spacing w:line="360" w:lineRule="auto"/>
        <w:ind w:firstLine="484" w:firstLineChars="202"/>
        <w:rPr>
          <w:rFonts w:hint="eastAsia" w:cs="宋体"/>
          <w:sz w:val="24"/>
          <w:szCs w:val="24"/>
        </w:rPr>
      </w:pPr>
      <w:r>
        <w:rPr>
          <w:rFonts w:hint="eastAsia" w:cs="宋体"/>
          <w:sz w:val="24"/>
          <w:szCs w:val="24"/>
        </w:rPr>
        <w:t>4.因重大变故，采购任务取消的；</w:t>
      </w:r>
    </w:p>
    <w:p w14:paraId="6226B4ED">
      <w:pPr>
        <w:spacing w:line="360" w:lineRule="auto"/>
        <w:ind w:firstLine="484" w:firstLineChars="202"/>
        <w:rPr>
          <w:rFonts w:hint="eastAsia" w:cs="宋体"/>
          <w:sz w:val="24"/>
          <w:szCs w:val="24"/>
        </w:rPr>
      </w:pPr>
      <w:r>
        <w:rPr>
          <w:rFonts w:hint="eastAsia" w:cs="宋体"/>
          <w:sz w:val="24"/>
          <w:szCs w:val="24"/>
        </w:rPr>
        <w:t>5.法律法规规定的其他情形。</w:t>
      </w:r>
    </w:p>
    <w:p w14:paraId="6DE484E9">
      <w:pPr>
        <w:snapToGrid w:val="0"/>
        <w:spacing w:line="360" w:lineRule="auto"/>
        <w:ind w:firstLine="487" w:firstLineChars="202"/>
        <w:rPr>
          <w:rFonts w:hint="eastAsia" w:cs="宋体"/>
          <w:b/>
          <w:snapToGrid w:val="0"/>
          <w:sz w:val="24"/>
          <w:szCs w:val="24"/>
        </w:rPr>
      </w:pPr>
      <w:bookmarkStart w:id="26" w:name="_Toc37837935"/>
      <w:bookmarkStart w:id="27" w:name="_Toc407182672"/>
      <w:r>
        <w:rPr>
          <w:rFonts w:hint="eastAsia" w:cs="宋体"/>
          <w:b/>
          <w:snapToGrid w:val="0"/>
          <w:sz w:val="24"/>
          <w:szCs w:val="24"/>
        </w:rPr>
        <w:t>七、无效标条款</w:t>
      </w:r>
      <w:bookmarkEnd w:id="26"/>
      <w:bookmarkEnd w:id="27"/>
    </w:p>
    <w:p w14:paraId="6DCAB47F">
      <w:pPr>
        <w:spacing w:line="360" w:lineRule="auto"/>
        <w:ind w:firstLine="484" w:firstLineChars="202"/>
        <w:rPr>
          <w:rFonts w:hint="eastAsia" w:cs="宋体"/>
          <w:sz w:val="24"/>
          <w:szCs w:val="24"/>
        </w:rPr>
      </w:pPr>
      <w:r>
        <w:rPr>
          <w:rFonts w:hint="eastAsia" w:cs="宋体"/>
          <w:sz w:val="24"/>
          <w:szCs w:val="24"/>
        </w:rPr>
        <w:t>出现下列情形之一的，供应商递交的响应文件作无效投标处理，该供应商的响应文件不参与评审，且不计算入投标供应商家数：</w:t>
      </w:r>
    </w:p>
    <w:p w14:paraId="0D869BF3">
      <w:pPr>
        <w:spacing w:line="360" w:lineRule="auto"/>
        <w:ind w:firstLine="484" w:firstLineChars="202"/>
        <w:rPr>
          <w:rFonts w:hint="eastAsia" w:cs="宋体"/>
          <w:sz w:val="24"/>
          <w:szCs w:val="24"/>
        </w:rPr>
      </w:pPr>
      <w:r>
        <w:rPr>
          <w:rFonts w:hint="eastAsia" w:cs="宋体"/>
          <w:sz w:val="24"/>
          <w:szCs w:val="24"/>
        </w:rPr>
        <w:t>1.递交的响应文件不完整或未按采购文件要求盖公章及签字的；</w:t>
      </w:r>
    </w:p>
    <w:p w14:paraId="7DF5B3FE">
      <w:pPr>
        <w:spacing w:line="360" w:lineRule="auto"/>
        <w:ind w:firstLine="484" w:firstLineChars="202"/>
        <w:rPr>
          <w:rFonts w:hint="eastAsia" w:cs="宋体"/>
          <w:sz w:val="24"/>
          <w:szCs w:val="24"/>
        </w:rPr>
      </w:pPr>
      <w:r>
        <w:rPr>
          <w:rFonts w:hint="eastAsia" w:cs="宋体"/>
          <w:sz w:val="24"/>
          <w:szCs w:val="24"/>
        </w:rPr>
        <w:t>2.供应商不符合国家及采购文件规定的资格条件的；</w:t>
      </w:r>
    </w:p>
    <w:p w14:paraId="01AE29D2">
      <w:pPr>
        <w:spacing w:line="360" w:lineRule="auto"/>
        <w:ind w:firstLine="484" w:firstLineChars="202"/>
        <w:rPr>
          <w:rFonts w:hint="eastAsia" w:cs="宋体"/>
          <w:sz w:val="24"/>
          <w:szCs w:val="24"/>
        </w:rPr>
      </w:pPr>
      <w:r>
        <w:rPr>
          <w:rFonts w:hint="eastAsia" w:cs="宋体"/>
          <w:sz w:val="24"/>
          <w:szCs w:val="24"/>
        </w:rPr>
        <w:t>3.投标报价经评审委员会认定低于成本价的；</w:t>
      </w:r>
    </w:p>
    <w:p w14:paraId="4D2CAF11">
      <w:pPr>
        <w:spacing w:line="360" w:lineRule="auto"/>
        <w:ind w:firstLine="484" w:firstLineChars="202"/>
        <w:rPr>
          <w:rFonts w:hint="eastAsia" w:cs="宋体"/>
          <w:sz w:val="24"/>
          <w:szCs w:val="24"/>
        </w:rPr>
      </w:pPr>
      <w:r>
        <w:rPr>
          <w:rFonts w:hint="eastAsia" w:cs="宋体"/>
          <w:sz w:val="24"/>
          <w:szCs w:val="24"/>
        </w:rPr>
        <w:t>4.投标报价高于采购文件载明的财政预算控制价的；</w:t>
      </w:r>
    </w:p>
    <w:p w14:paraId="029EE2CD">
      <w:pPr>
        <w:spacing w:line="360" w:lineRule="auto"/>
        <w:ind w:firstLine="484" w:firstLineChars="202"/>
        <w:rPr>
          <w:rFonts w:hint="eastAsia" w:cs="宋体"/>
          <w:sz w:val="24"/>
          <w:szCs w:val="24"/>
        </w:rPr>
      </w:pPr>
      <w:r>
        <w:rPr>
          <w:rFonts w:hint="eastAsia" w:cs="宋体"/>
          <w:sz w:val="24"/>
          <w:szCs w:val="24"/>
        </w:rPr>
        <w:t>5.响应文件未对采购文件的实质性要求、条件及承诺作出响应的；</w:t>
      </w:r>
    </w:p>
    <w:p w14:paraId="78F31D97">
      <w:pPr>
        <w:spacing w:line="360" w:lineRule="auto"/>
        <w:ind w:firstLine="484" w:firstLineChars="202"/>
        <w:rPr>
          <w:rFonts w:hint="eastAsia" w:cs="宋体"/>
          <w:sz w:val="24"/>
          <w:szCs w:val="24"/>
        </w:rPr>
      </w:pPr>
      <w:r>
        <w:rPr>
          <w:rFonts w:hint="eastAsia" w:cs="宋体"/>
          <w:sz w:val="24"/>
          <w:szCs w:val="24"/>
        </w:rPr>
        <w:t>6.供应商有串通投标、弄虚作假、行贿等违法行为的；</w:t>
      </w:r>
    </w:p>
    <w:p w14:paraId="3665802A">
      <w:pPr>
        <w:spacing w:line="360" w:lineRule="auto"/>
        <w:ind w:firstLine="484" w:firstLineChars="202"/>
        <w:rPr>
          <w:rFonts w:cs="宋体"/>
          <w:sz w:val="24"/>
          <w:szCs w:val="24"/>
        </w:rPr>
      </w:pPr>
      <w:r>
        <w:rPr>
          <w:rFonts w:hint="eastAsia" w:cs="宋体"/>
          <w:sz w:val="24"/>
          <w:szCs w:val="24"/>
        </w:rPr>
        <w:t>7.</w:t>
      </w:r>
      <w:r>
        <w:rPr>
          <w:rFonts w:cs="宋体"/>
          <w:sz w:val="24"/>
          <w:szCs w:val="24"/>
        </w:rPr>
        <w:t>有下列情形之一的，视为投标人串通投标，其投标无效：</w:t>
      </w:r>
    </w:p>
    <w:p w14:paraId="1FB8A2CB">
      <w:pPr>
        <w:spacing w:line="360" w:lineRule="auto"/>
        <w:ind w:firstLine="484" w:firstLineChars="202"/>
        <w:rPr>
          <w:rFonts w:cs="宋体"/>
          <w:sz w:val="24"/>
          <w:szCs w:val="24"/>
        </w:rPr>
      </w:pPr>
      <w:r>
        <w:rPr>
          <w:rFonts w:hint="eastAsia" w:cs="宋体"/>
          <w:sz w:val="24"/>
          <w:szCs w:val="24"/>
        </w:rPr>
        <w:t>①</w:t>
      </w:r>
      <w:r>
        <w:rPr>
          <w:rFonts w:cs="宋体"/>
          <w:sz w:val="24"/>
          <w:szCs w:val="24"/>
        </w:rPr>
        <w:t>不同投标人的</w:t>
      </w:r>
      <w:r>
        <w:rPr>
          <w:rFonts w:hint="eastAsia" w:cs="宋体"/>
          <w:sz w:val="24"/>
          <w:szCs w:val="24"/>
        </w:rPr>
        <w:t>响应文件</w:t>
      </w:r>
      <w:r>
        <w:rPr>
          <w:rFonts w:cs="宋体"/>
          <w:sz w:val="24"/>
          <w:szCs w:val="24"/>
        </w:rPr>
        <w:t>由同一单位或者个人编制；</w:t>
      </w:r>
    </w:p>
    <w:p w14:paraId="55843174">
      <w:pPr>
        <w:spacing w:line="360" w:lineRule="auto"/>
        <w:ind w:firstLine="484" w:firstLineChars="202"/>
        <w:rPr>
          <w:rFonts w:cs="宋体"/>
          <w:sz w:val="24"/>
          <w:szCs w:val="24"/>
        </w:rPr>
      </w:pPr>
      <w:r>
        <w:rPr>
          <w:rFonts w:hint="eastAsia" w:cs="宋体"/>
          <w:sz w:val="24"/>
          <w:szCs w:val="24"/>
        </w:rPr>
        <w:t>②</w:t>
      </w:r>
      <w:r>
        <w:rPr>
          <w:rFonts w:cs="宋体"/>
          <w:sz w:val="24"/>
          <w:szCs w:val="24"/>
        </w:rPr>
        <w:t>不同投标人委托同一单位或者个人办理投标事宜；</w:t>
      </w:r>
    </w:p>
    <w:p w14:paraId="5D544ECA">
      <w:pPr>
        <w:spacing w:line="360" w:lineRule="auto"/>
        <w:ind w:firstLine="484" w:firstLineChars="202"/>
        <w:rPr>
          <w:rFonts w:cs="宋体"/>
          <w:sz w:val="24"/>
          <w:szCs w:val="24"/>
        </w:rPr>
      </w:pPr>
      <w:r>
        <w:rPr>
          <w:rFonts w:hint="eastAsia" w:cs="宋体"/>
          <w:sz w:val="24"/>
          <w:szCs w:val="24"/>
        </w:rPr>
        <w:t>③</w:t>
      </w:r>
      <w:r>
        <w:rPr>
          <w:rFonts w:cs="宋体"/>
          <w:sz w:val="24"/>
          <w:szCs w:val="24"/>
        </w:rPr>
        <w:t>不同投标人的</w:t>
      </w:r>
      <w:r>
        <w:rPr>
          <w:rFonts w:hint="eastAsia" w:cs="宋体"/>
          <w:sz w:val="24"/>
          <w:szCs w:val="24"/>
        </w:rPr>
        <w:t>响应文件</w:t>
      </w:r>
      <w:r>
        <w:rPr>
          <w:rFonts w:cs="宋体"/>
          <w:sz w:val="24"/>
          <w:szCs w:val="24"/>
        </w:rPr>
        <w:t>载明的项目管理成员或者联系人员为同一人；</w:t>
      </w:r>
    </w:p>
    <w:p w14:paraId="66FEAF8D">
      <w:pPr>
        <w:spacing w:line="360" w:lineRule="auto"/>
        <w:ind w:firstLine="484" w:firstLineChars="202"/>
        <w:rPr>
          <w:rFonts w:cs="宋体"/>
          <w:sz w:val="24"/>
          <w:szCs w:val="24"/>
        </w:rPr>
      </w:pPr>
      <w:r>
        <w:rPr>
          <w:rFonts w:hint="eastAsia" w:cs="宋体"/>
          <w:sz w:val="24"/>
          <w:szCs w:val="24"/>
        </w:rPr>
        <w:t>④</w:t>
      </w:r>
      <w:r>
        <w:rPr>
          <w:rFonts w:cs="宋体"/>
          <w:sz w:val="24"/>
          <w:szCs w:val="24"/>
        </w:rPr>
        <w:t>不同投标人的</w:t>
      </w:r>
      <w:r>
        <w:rPr>
          <w:rFonts w:hint="eastAsia" w:cs="宋体"/>
          <w:sz w:val="24"/>
          <w:szCs w:val="24"/>
        </w:rPr>
        <w:t>响应文件</w:t>
      </w:r>
      <w:r>
        <w:rPr>
          <w:rFonts w:cs="宋体"/>
          <w:sz w:val="24"/>
          <w:szCs w:val="24"/>
        </w:rPr>
        <w:t>异常一致或者报价呈规律性差异；</w:t>
      </w:r>
    </w:p>
    <w:p w14:paraId="0FC602DF">
      <w:pPr>
        <w:spacing w:line="360" w:lineRule="auto"/>
        <w:ind w:firstLine="484" w:firstLineChars="202"/>
        <w:rPr>
          <w:rFonts w:cs="宋体"/>
          <w:sz w:val="24"/>
          <w:szCs w:val="24"/>
        </w:rPr>
      </w:pPr>
      <w:r>
        <w:rPr>
          <w:rFonts w:hint="eastAsia" w:cs="宋体"/>
          <w:sz w:val="24"/>
          <w:szCs w:val="24"/>
        </w:rPr>
        <w:t>⑤</w:t>
      </w:r>
      <w:r>
        <w:rPr>
          <w:rFonts w:cs="宋体"/>
          <w:sz w:val="24"/>
          <w:szCs w:val="24"/>
        </w:rPr>
        <w:t>不同投标人的</w:t>
      </w:r>
      <w:r>
        <w:rPr>
          <w:rFonts w:hint="eastAsia" w:cs="宋体"/>
          <w:sz w:val="24"/>
          <w:szCs w:val="24"/>
        </w:rPr>
        <w:t>响应文件</w:t>
      </w:r>
      <w:r>
        <w:rPr>
          <w:rFonts w:cs="宋体"/>
          <w:sz w:val="24"/>
          <w:szCs w:val="24"/>
        </w:rPr>
        <w:t>相互混装；</w:t>
      </w:r>
    </w:p>
    <w:p w14:paraId="0ECBBA87">
      <w:pPr>
        <w:spacing w:line="360" w:lineRule="auto"/>
        <w:ind w:firstLine="484" w:firstLineChars="202"/>
        <w:rPr>
          <w:rFonts w:cs="宋体"/>
          <w:sz w:val="24"/>
          <w:szCs w:val="24"/>
        </w:rPr>
      </w:pPr>
      <w:r>
        <w:rPr>
          <w:rFonts w:hint="eastAsia" w:cs="宋体"/>
          <w:sz w:val="24"/>
          <w:szCs w:val="24"/>
        </w:rPr>
        <w:t>⑥</w:t>
      </w:r>
      <w:r>
        <w:rPr>
          <w:rFonts w:cs="宋体"/>
          <w:sz w:val="24"/>
          <w:szCs w:val="24"/>
        </w:rPr>
        <w:t>不同投标人的投标保证金从同一单位或者个人的账户转出。</w:t>
      </w:r>
    </w:p>
    <w:p w14:paraId="23005546">
      <w:pPr>
        <w:spacing w:line="360" w:lineRule="auto"/>
        <w:ind w:firstLine="484" w:firstLineChars="202"/>
        <w:rPr>
          <w:rFonts w:hint="eastAsia" w:cs="宋体"/>
          <w:sz w:val="24"/>
          <w:szCs w:val="24"/>
        </w:rPr>
      </w:pPr>
      <w:r>
        <w:rPr>
          <w:rFonts w:hint="eastAsia" w:cs="宋体"/>
          <w:sz w:val="24"/>
          <w:szCs w:val="24"/>
        </w:rPr>
        <w:t>8.未交纳投标保证金的；</w:t>
      </w:r>
    </w:p>
    <w:p w14:paraId="7618174C">
      <w:pPr>
        <w:spacing w:line="360" w:lineRule="auto"/>
        <w:ind w:firstLine="484" w:firstLineChars="202"/>
        <w:rPr>
          <w:rFonts w:hint="eastAsia" w:cs="宋体"/>
          <w:sz w:val="24"/>
          <w:szCs w:val="24"/>
        </w:rPr>
      </w:pPr>
      <w:r>
        <w:rPr>
          <w:rFonts w:hint="eastAsia" w:cs="宋体"/>
          <w:sz w:val="24"/>
          <w:szCs w:val="24"/>
        </w:rPr>
        <w:t>9.投标有效期不满足采购文件要求的；</w:t>
      </w:r>
    </w:p>
    <w:p w14:paraId="6A2D1C34">
      <w:pPr>
        <w:spacing w:line="360" w:lineRule="auto"/>
        <w:ind w:firstLine="484" w:firstLineChars="202"/>
        <w:rPr>
          <w:rFonts w:hint="eastAsia" w:cs="宋体"/>
          <w:sz w:val="24"/>
          <w:szCs w:val="24"/>
        </w:rPr>
      </w:pPr>
      <w:r>
        <w:rPr>
          <w:rFonts w:hint="eastAsia" w:cs="宋体"/>
          <w:sz w:val="24"/>
          <w:szCs w:val="24"/>
        </w:rPr>
        <w:t>10.单位负责人为同一人或者存在直接控股、管理关系的不同供应商，不得参加同一合同项下的政府采购活动；</w:t>
      </w:r>
    </w:p>
    <w:p w14:paraId="06EAF4E0">
      <w:pPr>
        <w:spacing w:line="360" w:lineRule="auto"/>
        <w:ind w:firstLine="484" w:firstLineChars="202"/>
        <w:rPr>
          <w:rFonts w:hint="eastAsia" w:cs="宋体"/>
          <w:sz w:val="24"/>
          <w:szCs w:val="24"/>
        </w:rPr>
      </w:pPr>
      <w:r>
        <w:rPr>
          <w:rFonts w:hint="eastAsia" w:cs="宋体"/>
          <w:sz w:val="24"/>
          <w:szCs w:val="24"/>
        </w:rPr>
        <w:t>11.为本项目提供整体设计、规范编制或者项目管理、监理、检测等服务的供应商参加本采购项目的。</w:t>
      </w:r>
    </w:p>
    <w:p w14:paraId="5E923AD3">
      <w:pPr>
        <w:snapToGrid w:val="0"/>
        <w:spacing w:line="360" w:lineRule="auto"/>
        <w:ind w:firstLine="484" w:firstLineChars="202"/>
        <w:rPr>
          <w:rFonts w:hint="eastAsia" w:cs="宋体"/>
          <w:sz w:val="24"/>
          <w:szCs w:val="24"/>
        </w:rPr>
      </w:pPr>
      <w:r>
        <w:rPr>
          <w:rFonts w:hint="eastAsia" w:cs="宋体"/>
          <w:sz w:val="24"/>
          <w:szCs w:val="24"/>
        </w:rPr>
        <w:t>12.违反政府采购法律法规,足以导致响应文件无效的情形。</w:t>
      </w:r>
    </w:p>
    <w:p w14:paraId="6040BD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C9A18">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4C74BD">
                          <w:pPr>
                            <w:pStyle w:val="6"/>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5B4C74BD">
                    <w:pPr>
                      <w:pStyle w:val="6"/>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6C36">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C4180B">
                          <w:pPr>
                            <w:pStyle w:val="6"/>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0DC4180B">
                    <w:pPr>
                      <w:pStyle w:val="6"/>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BC42D"/>
    <w:multiLevelType w:val="singleLevel"/>
    <w:tmpl w:val="578BC42D"/>
    <w:lvl w:ilvl="0" w:tentative="0">
      <w:start w:val="1"/>
      <w:numFmt w:val="decimal"/>
      <w:suff w:val="nothing"/>
      <w:lvlText w:val="%1、"/>
      <w:lvlJc w:val="left"/>
    </w:lvl>
  </w:abstractNum>
  <w:abstractNum w:abstractNumId="1">
    <w:nsid w:val="65A2A8DF"/>
    <w:multiLevelType w:val="singleLevel"/>
    <w:tmpl w:val="65A2A8DF"/>
    <w:lvl w:ilvl="0" w:tentative="0">
      <w:start w:val="2"/>
      <w:numFmt w:val="chineseCounting"/>
      <w:suff w:val="space"/>
      <w:lvlText w:val="第%1节"/>
      <w:lvlJc w:val="left"/>
      <w:rPr>
        <w:rFonts w:hint="eastAsia"/>
      </w:rPr>
    </w:lvl>
  </w:abstractNum>
  <w:abstractNum w:abstractNumId="2">
    <w:nsid w:val="6DFC3441"/>
    <w:multiLevelType w:val="singleLevel"/>
    <w:tmpl w:val="6DFC3441"/>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B77EC"/>
    <w:rsid w:val="5BBB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2">
    <w:name w:val="heading 1"/>
    <w:basedOn w:val="1"/>
    <w:next w:val="1"/>
    <w:qFormat/>
    <w:uiPriority w:val="0"/>
    <w:pPr>
      <w:keepNext/>
      <w:widowControl w:val="0"/>
      <w:outlineLvl w:val="0"/>
    </w:pPr>
    <w:rPr>
      <w:b/>
      <w:color w:val="000000"/>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Plain Text"/>
    <w:basedOn w:val="1"/>
    <w:next w:val="1"/>
    <w:qFormat/>
    <w:uiPriority w:val="0"/>
    <w:rPr>
      <w:rFonts w:cs="Courier New"/>
      <w:szCs w:val="21"/>
      <w:lang w:bidi="ar-SA"/>
    </w:rPr>
  </w:style>
  <w:style w:type="paragraph" w:styleId="5">
    <w:name w:val="Body Text Indent 2"/>
    <w:basedOn w:val="1"/>
    <w:qFormat/>
    <w:uiPriority w:val="0"/>
    <w:pPr>
      <w:autoSpaceDE/>
      <w:autoSpaceDN/>
      <w:adjustRightInd/>
      <w:spacing w:line="360" w:lineRule="auto"/>
      <w:ind w:firstLine="720"/>
      <w:jc w:val="both"/>
      <w:textAlignment w:val="auto"/>
    </w:pPr>
    <w:rPr>
      <w:kern w:val="2"/>
      <w:sz w:val="28"/>
    </w:rPr>
  </w:style>
  <w:style w:type="paragraph" w:styleId="6">
    <w:name w:val="footer"/>
    <w:basedOn w:val="1"/>
    <w:uiPriority w:val="0"/>
    <w:pPr>
      <w:tabs>
        <w:tab w:val="center" w:pos="4153"/>
        <w:tab w:val="right" w:pos="8306"/>
      </w:tabs>
      <w:adjustRightInd w:val="0"/>
      <w:snapToGrid w:val="0"/>
    </w:pPr>
    <w:rPr>
      <w:sz w:val="18"/>
    </w:rPr>
  </w:style>
  <w:style w:type="paragraph" w:styleId="7">
    <w:name w:val="Normal (Web)"/>
    <w:basedOn w:val="1"/>
    <w:qFormat/>
    <w:uiPriority w:val="0"/>
    <w:pPr>
      <w:widowControl/>
      <w:autoSpaceDE/>
      <w:autoSpaceDN/>
      <w:adjustRightInd/>
      <w:spacing w:before="100" w:beforeAutospacing="1" w:after="100" w:afterAutospacing="1"/>
      <w:textAlignment w:val="auto"/>
    </w:pPr>
    <w:rPr>
      <w:rFonts w:cs="宋体"/>
      <w:sz w:val="24"/>
      <w:szCs w:val="24"/>
      <w:lang w:bidi="ar-SA"/>
    </w:rPr>
  </w:style>
  <w:style w:type="character" w:styleId="10">
    <w:name w:val="Hyperlink"/>
    <w:qFormat/>
    <w:uiPriority w:val="99"/>
    <w:rPr>
      <w:color w:val="0000FF"/>
      <w:u w:val="single"/>
    </w:rPr>
  </w:style>
  <w:style w:type="paragraph" w:customStyle="1" w:styleId="11">
    <w:name w:val="Default"/>
    <w:next w:val="5"/>
    <w:qFormat/>
    <w:uiPriority w:val="0"/>
    <w:rPr>
      <w:rFonts w:ascii="Times New Roman" w:hAnsi="Times New Roman" w:eastAsia="楷体" w:cs="Times New Roman"/>
      <w:sz w:val="24"/>
      <w:szCs w:val="22"/>
      <w:lang w:val="en-US" w:eastAsia="zh-CN" w:bidi="ar-SA"/>
    </w:rPr>
  </w:style>
  <w:style w:type="paragraph" w:customStyle="1" w:styleId="12">
    <w:name w:val="Plain Text"/>
    <w:basedOn w:val="1"/>
    <w:uiPriority w:val="0"/>
    <w:rPr>
      <w:sz w:val="21"/>
    </w:rPr>
  </w:style>
  <w:style w:type="paragraph" w:customStyle="1" w:styleId="13">
    <w:name w:val="标题 + 小二"/>
    <w:basedOn w:val="1"/>
    <w:qFormat/>
    <w:uiPriority w:val="0"/>
    <w:pPr>
      <w:spacing w:after="50" w:afterLines="50" w:line="700" w:lineRule="exact"/>
      <w:jc w:val="center"/>
      <w:outlineLvl w:val="0"/>
    </w:pPr>
    <w:rPr>
      <w:b/>
      <w:sz w:val="36"/>
      <w:szCs w:val="36"/>
    </w:rPr>
  </w:style>
  <w:style w:type="paragraph" w:customStyle="1" w:styleId="14">
    <w:name w:val="Table Paragraph"/>
    <w:basedOn w:val="1"/>
    <w:qFormat/>
    <w:uiPriority w:val="1"/>
    <w:pPr>
      <w:adjustRightInd/>
      <w:textAlignment w:val="auto"/>
    </w:pPr>
    <w:rPr>
      <w:rFonts w:hAnsi="宋体" w:cs="宋体"/>
      <w:sz w:val="22"/>
      <w:szCs w:val="22"/>
      <w:lang w:val="zh-CN" w:bidi="zh-CN"/>
    </w:rPr>
  </w:style>
  <w:style w:type="paragraph" w:customStyle="1" w:styleId="15">
    <w:name w:val="列出段落31"/>
    <w:basedOn w:val="1"/>
    <w:qFormat/>
    <w:uiPriority w:val="0"/>
    <w:rPr>
      <w:rFonts w:asci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2025-07-29T08:47:00Z</dcterms:created>
  <dc:creator>言</dc:creator>
  <cp:lastModifiedBy>言</cp:lastModifiedBy>
  <dcterms:modified xsi:type="dcterms:W3CDTF">2025-07-29T08:48:06Z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A3C673AC607845999CE9411460911FB7_11</vt:lpwstr>
  </property>
  <property fmtid="{D5CDD505-2E9C-101B-9397-08002B2CF9AE}" pid="4" name="KSOTemplateDocerSaveRecord">
    <vt:lpwstr>eyJoZGlkIjoiYzJmYjQ1N2U0ZTAyZDgwMTU4NDQ0NjhjMzc2NDAyOWQiLCJ1c2VySWQiOiIyOTU4MjU1MTgifQ==</vt:lpwstr>
  </property>
</Properties>
</file>