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7C9F8">
      <w:pPr>
        <w:snapToGrid w:val="0"/>
        <w:spacing w:before="120" w:beforeLines="50" w:line="360" w:lineRule="auto"/>
        <w:rPr>
          <w:rFonts w:hint="eastAsia" w:cs="宋体"/>
          <w:b/>
          <w:sz w:val="24"/>
          <w:szCs w:val="24"/>
          <w:highlight w:val="none"/>
        </w:rPr>
      </w:pPr>
      <w:r>
        <w:rPr>
          <w:rFonts w:hint="eastAsia" w:cs="宋体"/>
          <w:b/>
          <w:sz w:val="24"/>
          <w:szCs w:val="24"/>
          <w:highlight w:val="none"/>
        </w:rPr>
        <w:t>供应商资格审查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427"/>
        <w:gridCol w:w="567"/>
        <w:gridCol w:w="567"/>
        <w:gridCol w:w="567"/>
      </w:tblGrid>
      <w:tr w14:paraId="54D0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4C5CDBF8">
            <w:pPr>
              <w:spacing w:line="440" w:lineRule="exact"/>
              <w:jc w:val="center"/>
              <w:rPr>
                <w:rFonts w:hint="eastAsia" w:cs="宋体"/>
                <w:sz w:val="21"/>
                <w:szCs w:val="21"/>
                <w:highlight w:val="none"/>
              </w:rPr>
            </w:pPr>
            <w:r>
              <w:rPr>
                <w:rFonts w:hint="eastAsia" w:cs="宋体"/>
                <w:sz w:val="21"/>
                <w:szCs w:val="21"/>
                <w:highlight w:val="none"/>
              </w:rPr>
              <w:t>序号</w:t>
            </w:r>
          </w:p>
        </w:tc>
        <w:tc>
          <w:tcPr>
            <w:tcW w:w="6427" w:type="dxa"/>
            <w:tcBorders>
              <w:tl2br w:val="single" w:color="auto" w:sz="4" w:space="0"/>
            </w:tcBorders>
            <w:noWrap w:val="0"/>
            <w:vAlign w:val="top"/>
          </w:tcPr>
          <w:p w14:paraId="30F2ACD9">
            <w:pPr>
              <w:spacing w:line="440" w:lineRule="exact"/>
              <w:rPr>
                <w:rFonts w:hint="eastAsia" w:cs="宋体"/>
                <w:sz w:val="21"/>
                <w:szCs w:val="21"/>
                <w:highlight w:val="none"/>
              </w:rPr>
            </w:pPr>
            <w:r>
              <w:rPr>
                <w:rFonts w:hint="eastAsia" w:cs="宋体"/>
                <w:sz w:val="21"/>
                <w:szCs w:val="21"/>
                <w:highlight w:val="none"/>
              </w:rPr>
              <w:t xml:space="preserve">                                               供应商名称</w:t>
            </w:r>
          </w:p>
          <w:p w14:paraId="65D33B3D">
            <w:pPr>
              <w:spacing w:line="440" w:lineRule="exact"/>
              <w:rPr>
                <w:rFonts w:hint="eastAsia" w:cs="宋体"/>
                <w:sz w:val="21"/>
                <w:szCs w:val="21"/>
                <w:highlight w:val="none"/>
              </w:rPr>
            </w:pPr>
            <w:r>
              <w:rPr>
                <w:rFonts w:hint="eastAsia" w:cs="宋体"/>
                <w:sz w:val="21"/>
                <w:szCs w:val="21"/>
                <w:highlight w:val="none"/>
              </w:rPr>
              <w:t>资格审查内容</w:t>
            </w:r>
          </w:p>
        </w:tc>
        <w:tc>
          <w:tcPr>
            <w:tcW w:w="567" w:type="dxa"/>
            <w:noWrap w:val="0"/>
            <w:vAlign w:val="center"/>
          </w:tcPr>
          <w:p w14:paraId="58A1E5B0">
            <w:pPr>
              <w:spacing w:line="440" w:lineRule="exact"/>
              <w:jc w:val="center"/>
              <w:rPr>
                <w:rFonts w:hint="eastAsia" w:cs="宋体"/>
                <w:sz w:val="21"/>
                <w:szCs w:val="21"/>
                <w:highlight w:val="none"/>
              </w:rPr>
            </w:pPr>
            <w:r>
              <w:rPr>
                <w:rFonts w:hint="eastAsia" w:cs="宋体"/>
                <w:sz w:val="21"/>
                <w:szCs w:val="21"/>
                <w:highlight w:val="none"/>
              </w:rPr>
              <w:t>A-1</w:t>
            </w:r>
          </w:p>
        </w:tc>
        <w:tc>
          <w:tcPr>
            <w:tcW w:w="567" w:type="dxa"/>
            <w:noWrap w:val="0"/>
            <w:vAlign w:val="center"/>
          </w:tcPr>
          <w:p w14:paraId="64C8411A">
            <w:pPr>
              <w:spacing w:line="440" w:lineRule="exact"/>
              <w:jc w:val="center"/>
              <w:rPr>
                <w:rFonts w:hint="eastAsia" w:cs="宋体"/>
                <w:sz w:val="21"/>
                <w:szCs w:val="21"/>
                <w:highlight w:val="none"/>
              </w:rPr>
            </w:pPr>
            <w:r>
              <w:rPr>
                <w:rFonts w:hint="eastAsia" w:cs="宋体"/>
                <w:sz w:val="21"/>
                <w:szCs w:val="21"/>
                <w:highlight w:val="none"/>
              </w:rPr>
              <w:t>A-2</w:t>
            </w:r>
          </w:p>
        </w:tc>
        <w:tc>
          <w:tcPr>
            <w:tcW w:w="567" w:type="dxa"/>
            <w:noWrap w:val="0"/>
            <w:vAlign w:val="center"/>
          </w:tcPr>
          <w:p w14:paraId="418D04E5">
            <w:pPr>
              <w:spacing w:line="440" w:lineRule="exact"/>
              <w:jc w:val="center"/>
              <w:rPr>
                <w:rFonts w:hint="eastAsia" w:cs="宋体"/>
                <w:sz w:val="21"/>
                <w:szCs w:val="21"/>
                <w:highlight w:val="none"/>
              </w:rPr>
            </w:pPr>
            <w:r>
              <w:rPr>
                <w:rFonts w:hint="eastAsia" w:cs="宋体"/>
                <w:sz w:val="21"/>
                <w:szCs w:val="21"/>
                <w:highlight w:val="none"/>
              </w:rPr>
              <w:t>…</w:t>
            </w:r>
          </w:p>
        </w:tc>
      </w:tr>
      <w:tr w14:paraId="130A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607A7897">
            <w:pPr>
              <w:spacing w:line="440" w:lineRule="exact"/>
              <w:jc w:val="center"/>
              <w:rPr>
                <w:rFonts w:hint="eastAsia" w:cs="宋体"/>
                <w:sz w:val="21"/>
                <w:szCs w:val="21"/>
                <w:highlight w:val="none"/>
              </w:rPr>
            </w:pPr>
            <w:r>
              <w:rPr>
                <w:rFonts w:hint="eastAsia" w:cs="宋体"/>
                <w:sz w:val="21"/>
                <w:szCs w:val="21"/>
                <w:highlight w:val="none"/>
              </w:rPr>
              <w:t>1</w:t>
            </w:r>
          </w:p>
        </w:tc>
        <w:tc>
          <w:tcPr>
            <w:tcW w:w="6427" w:type="dxa"/>
            <w:noWrap w:val="0"/>
            <w:vAlign w:val="top"/>
          </w:tcPr>
          <w:p w14:paraId="17A99DF0">
            <w:pPr>
              <w:spacing w:line="440" w:lineRule="exact"/>
              <w:jc w:val="both"/>
              <w:rPr>
                <w:rFonts w:hint="eastAsia" w:cs="宋体"/>
                <w:sz w:val="21"/>
                <w:szCs w:val="21"/>
                <w:highlight w:val="none"/>
              </w:rPr>
            </w:pPr>
            <w:r>
              <w:rPr>
                <w:rFonts w:hint="eastAsia" w:cs="宋体"/>
                <w:sz w:val="21"/>
                <w:szCs w:val="21"/>
                <w:highlight w:val="none"/>
              </w:rPr>
              <w:t>法人或者其他组织的营业执照等证明文件，自然人的身份证明；</w:t>
            </w:r>
            <w:r>
              <w:rPr>
                <w:rFonts w:hint="eastAsia" w:cs="宋体"/>
                <w:b/>
                <w:bCs/>
                <w:sz w:val="21"/>
                <w:szCs w:val="21"/>
                <w:highlight w:val="none"/>
              </w:rPr>
              <w:t>【复印件加盖投标单位公章】</w:t>
            </w:r>
          </w:p>
        </w:tc>
        <w:tc>
          <w:tcPr>
            <w:tcW w:w="567" w:type="dxa"/>
            <w:noWrap w:val="0"/>
            <w:vAlign w:val="top"/>
          </w:tcPr>
          <w:p w14:paraId="45841002">
            <w:pPr>
              <w:spacing w:line="440" w:lineRule="exact"/>
              <w:rPr>
                <w:rFonts w:hint="eastAsia" w:cs="宋体"/>
                <w:sz w:val="21"/>
                <w:szCs w:val="21"/>
                <w:highlight w:val="none"/>
              </w:rPr>
            </w:pPr>
          </w:p>
        </w:tc>
        <w:tc>
          <w:tcPr>
            <w:tcW w:w="567" w:type="dxa"/>
            <w:noWrap w:val="0"/>
            <w:vAlign w:val="top"/>
          </w:tcPr>
          <w:p w14:paraId="46D93EF4">
            <w:pPr>
              <w:spacing w:line="440" w:lineRule="exact"/>
              <w:rPr>
                <w:rFonts w:hint="eastAsia" w:cs="宋体"/>
                <w:sz w:val="21"/>
                <w:szCs w:val="21"/>
                <w:highlight w:val="none"/>
              </w:rPr>
            </w:pPr>
          </w:p>
        </w:tc>
        <w:tc>
          <w:tcPr>
            <w:tcW w:w="567" w:type="dxa"/>
            <w:noWrap w:val="0"/>
            <w:vAlign w:val="top"/>
          </w:tcPr>
          <w:p w14:paraId="1EBF67F3">
            <w:pPr>
              <w:spacing w:line="440" w:lineRule="exact"/>
              <w:rPr>
                <w:rFonts w:hint="eastAsia" w:cs="宋体"/>
                <w:sz w:val="21"/>
                <w:szCs w:val="21"/>
                <w:highlight w:val="none"/>
              </w:rPr>
            </w:pPr>
          </w:p>
        </w:tc>
      </w:tr>
      <w:tr w14:paraId="6373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0FB401E0">
            <w:pPr>
              <w:spacing w:line="440" w:lineRule="exact"/>
              <w:jc w:val="center"/>
              <w:rPr>
                <w:rFonts w:hint="eastAsia" w:cs="宋体"/>
                <w:sz w:val="21"/>
                <w:szCs w:val="21"/>
                <w:highlight w:val="none"/>
              </w:rPr>
            </w:pPr>
            <w:r>
              <w:rPr>
                <w:rFonts w:hint="eastAsia" w:cs="宋体"/>
                <w:sz w:val="21"/>
                <w:szCs w:val="21"/>
                <w:highlight w:val="none"/>
              </w:rPr>
              <w:t>2</w:t>
            </w:r>
          </w:p>
        </w:tc>
        <w:tc>
          <w:tcPr>
            <w:tcW w:w="6427" w:type="dxa"/>
            <w:noWrap w:val="0"/>
            <w:vAlign w:val="top"/>
          </w:tcPr>
          <w:p w14:paraId="1E3CD271">
            <w:pPr>
              <w:spacing w:line="440" w:lineRule="exact"/>
              <w:jc w:val="both"/>
              <w:rPr>
                <w:rFonts w:hint="eastAsia" w:cs="宋体"/>
                <w:sz w:val="21"/>
                <w:szCs w:val="21"/>
                <w:highlight w:val="none"/>
              </w:rPr>
            </w:pPr>
            <w:r>
              <w:rPr>
                <w:rFonts w:hint="eastAsia" w:cs="宋体"/>
                <w:sz w:val="21"/>
                <w:szCs w:val="21"/>
                <w:highlight w:val="none"/>
              </w:rPr>
              <w:t>财务状况报告（经合法审计机构出具的2023或2024年度财务审计报告，或银行出具的有效的资信证明）；</w:t>
            </w:r>
            <w:r>
              <w:rPr>
                <w:rFonts w:hint="eastAsia" w:cs="宋体"/>
                <w:b/>
                <w:bCs/>
                <w:sz w:val="21"/>
                <w:szCs w:val="21"/>
                <w:highlight w:val="none"/>
              </w:rPr>
              <w:t>【复印件加盖投标单位公章】</w:t>
            </w:r>
          </w:p>
        </w:tc>
        <w:tc>
          <w:tcPr>
            <w:tcW w:w="567" w:type="dxa"/>
            <w:noWrap w:val="0"/>
            <w:vAlign w:val="top"/>
          </w:tcPr>
          <w:p w14:paraId="4A795A39">
            <w:pPr>
              <w:spacing w:line="440" w:lineRule="exact"/>
              <w:rPr>
                <w:rFonts w:hint="eastAsia" w:cs="宋体"/>
                <w:sz w:val="21"/>
                <w:szCs w:val="21"/>
                <w:highlight w:val="none"/>
              </w:rPr>
            </w:pPr>
          </w:p>
        </w:tc>
        <w:tc>
          <w:tcPr>
            <w:tcW w:w="567" w:type="dxa"/>
            <w:noWrap w:val="0"/>
            <w:vAlign w:val="top"/>
          </w:tcPr>
          <w:p w14:paraId="53F48F95">
            <w:pPr>
              <w:spacing w:line="440" w:lineRule="exact"/>
              <w:rPr>
                <w:rFonts w:hint="eastAsia" w:cs="宋体"/>
                <w:sz w:val="21"/>
                <w:szCs w:val="21"/>
                <w:highlight w:val="none"/>
              </w:rPr>
            </w:pPr>
          </w:p>
        </w:tc>
        <w:tc>
          <w:tcPr>
            <w:tcW w:w="567" w:type="dxa"/>
            <w:noWrap w:val="0"/>
            <w:vAlign w:val="top"/>
          </w:tcPr>
          <w:p w14:paraId="03D7DAD2">
            <w:pPr>
              <w:spacing w:line="440" w:lineRule="exact"/>
              <w:rPr>
                <w:rFonts w:hint="eastAsia" w:cs="宋体"/>
                <w:sz w:val="21"/>
                <w:szCs w:val="21"/>
                <w:highlight w:val="none"/>
              </w:rPr>
            </w:pPr>
          </w:p>
        </w:tc>
      </w:tr>
      <w:tr w14:paraId="7811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3EC0FE9E">
            <w:pPr>
              <w:spacing w:line="440" w:lineRule="exact"/>
              <w:jc w:val="center"/>
              <w:rPr>
                <w:rFonts w:hint="eastAsia" w:cs="宋体"/>
                <w:sz w:val="21"/>
                <w:szCs w:val="21"/>
                <w:highlight w:val="none"/>
              </w:rPr>
            </w:pPr>
            <w:r>
              <w:rPr>
                <w:rFonts w:hint="eastAsia" w:cs="宋体"/>
                <w:sz w:val="21"/>
                <w:szCs w:val="21"/>
                <w:highlight w:val="none"/>
              </w:rPr>
              <w:t>3</w:t>
            </w:r>
          </w:p>
        </w:tc>
        <w:tc>
          <w:tcPr>
            <w:tcW w:w="6427" w:type="dxa"/>
            <w:noWrap w:val="0"/>
            <w:vAlign w:val="top"/>
          </w:tcPr>
          <w:p w14:paraId="36F01732">
            <w:pPr>
              <w:spacing w:line="440" w:lineRule="exact"/>
              <w:jc w:val="both"/>
              <w:rPr>
                <w:rFonts w:hint="eastAsia" w:cs="宋体"/>
                <w:sz w:val="21"/>
                <w:szCs w:val="21"/>
                <w:highlight w:val="none"/>
              </w:rPr>
            </w:pPr>
            <w:r>
              <w:rPr>
                <w:rFonts w:hint="eastAsia" w:cs="宋体"/>
                <w:sz w:val="21"/>
                <w:szCs w:val="21"/>
                <w:highlight w:val="none"/>
              </w:rPr>
              <w:t>依法缴纳税收（2024年</w:t>
            </w:r>
            <w:r>
              <w:rPr>
                <w:rFonts w:hint="eastAsia" w:cs="宋体"/>
                <w:sz w:val="21"/>
                <w:szCs w:val="21"/>
                <w:highlight w:val="none"/>
                <w:lang w:val="en-US" w:eastAsia="zh-CN"/>
              </w:rPr>
              <w:t>7月</w:t>
            </w:r>
            <w:r>
              <w:rPr>
                <w:rFonts w:hint="eastAsia" w:cs="宋体"/>
                <w:sz w:val="21"/>
                <w:szCs w:val="21"/>
                <w:highlight w:val="none"/>
              </w:rPr>
              <w:t>至今任意3个月的纳税证明）和社会保障资金（2024年</w:t>
            </w:r>
            <w:r>
              <w:rPr>
                <w:rFonts w:hint="eastAsia" w:cs="宋体"/>
                <w:sz w:val="21"/>
                <w:szCs w:val="21"/>
                <w:highlight w:val="none"/>
                <w:lang w:val="en-US" w:eastAsia="zh-CN"/>
              </w:rPr>
              <w:t>7月</w:t>
            </w:r>
            <w:r>
              <w:rPr>
                <w:rFonts w:hint="eastAsia" w:cs="宋体"/>
                <w:sz w:val="21"/>
                <w:szCs w:val="21"/>
                <w:highlight w:val="none"/>
              </w:rPr>
              <w:t>至今任意3个月的社保缴纳证明）的相关材料，纳税零申报供应商应当按照以下任意一种方式提供相应证明文件：①税务大厅零申报报表且加盖受理章；②网络申报完成截图。依法免税或不需要缴纳社保的供应商，应提供税务机关出具的依法免税的证明文件或社会保险基金管理部门出具的不需要缴纳社会保障资金的证明文件。新成立的供应商按实际的缴纳情况提交相关证明；</w:t>
            </w:r>
            <w:r>
              <w:rPr>
                <w:rFonts w:hint="eastAsia" w:cs="宋体"/>
                <w:b/>
                <w:bCs/>
                <w:sz w:val="21"/>
                <w:szCs w:val="21"/>
                <w:highlight w:val="none"/>
              </w:rPr>
              <w:t>【复印件加盖投标单位公章】</w:t>
            </w:r>
          </w:p>
        </w:tc>
        <w:tc>
          <w:tcPr>
            <w:tcW w:w="567" w:type="dxa"/>
            <w:noWrap w:val="0"/>
            <w:vAlign w:val="top"/>
          </w:tcPr>
          <w:p w14:paraId="52E59B2A">
            <w:pPr>
              <w:spacing w:line="440" w:lineRule="exact"/>
              <w:rPr>
                <w:rFonts w:hint="eastAsia" w:cs="宋体"/>
                <w:sz w:val="21"/>
                <w:szCs w:val="21"/>
                <w:highlight w:val="none"/>
              </w:rPr>
            </w:pPr>
          </w:p>
        </w:tc>
        <w:tc>
          <w:tcPr>
            <w:tcW w:w="567" w:type="dxa"/>
            <w:noWrap w:val="0"/>
            <w:vAlign w:val="top"/>
          </w:tcPr>
          <w:p w14:paraId="2159BA00">
            <w:pPr>
              <w:spacing w:line="440" w:lineRule="exact"/>
              <w:rPr>
                <w:rFonts w:hint="eastAsia" w:cs="宋体"/>
                <w:sz w:val="21"/>
                <w:szCs w:val="21"/>
                <w:highlight w:val="none"/>
              </w:rPr>
            </w:pPr>
          </w:p>
        </w:tc>
        <w:tc>
          <w:tcPr>
            <w:tcW w:w="567" w:type="dxa"/>
            <w:noWrap w:val="0"/>
            <w:vAlign w:val="top"/>
          </w:tcPr>
          <w:p w14:paraId="49532DF0">
            <w:pPr>
              <w:spacing w:line="440" w:lineRule="exact"/>
              <w:rPr>
                <w:rFonts w:hint="eastAsia" w:cs="宋体"/>
                <w:sz w:val="21"/>
                <w:szCs w:val="21"/>
                <w:highlight w:val="none"/>
              </w:rPr>
            </w:pPr>
          </w:p>
        </w:tc>
      </w:tr>
      <w:tr w14:paraId="59D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636A5689">
            <w:pPr>
              <w:spacing w:line="440" w:lineRule="exact"/>
              <w:jc w:val="center"/>
              <w:rPr>
                <w:rFonts w:hint="eastAsia" w:cs="宋体"/>
                <w:sz w:val="21"/>
                <w:szCs w:val="21"/>
                <w:highlight w:val="none"/>
              </w:rPr>
            </w:pPr>
            <w:r>
              <w:rPr>
                <w:rFonts w:hint="eastAsia" w:cs="宋体"/>
                <w:sz w:val="21"/>
                <w:szCs w:val="21"/>
                <w:highlight w:val="none"/>
              </w:rPr>
              <w:t>4</w:t>
            </w:r>
          </w:p>
        </w:tc>
        <w:tc>
          <w:tcPr>
            <w:tcW w:w="6427" w:type="dxa"/>
            <w:noWrap w:val="0"/>
            <w:vAlign w:val="top"/>
          </w:tcPr>
          <w:p w14:paraId="6A1122EC">
            <w:pPr>
              <w:spacing w:line="440" w:lineRule="exact"/>
              <w:jc w:val="both"/>
              <w:rPr>
                <w:rFonts w:hint="eastAsia" w:cs="宋体"/>
                <w:sz w:val="21"/>
                <w:szCs w:val="21"/>
                <w:highlight w:val="none"/>
              </w:rPr>
            </w:pPr>
            <w:r>
              <w:rPr>
                <w:rFonts w:hint="eastAsia" w:cs="宋体"/>
                <w:sz w:val="21"/>
                <w:szCs w:val="21"/>
                <w:highlight w:val="none"/>
              </w:rPr>
              <w:t>具备履行合同所必需的设备和专业技术能力的证明材料；【</w:t>
            </w:r>
            <w:r>
              <w:rPr>
                <w:rFonts w:hint="eastAsia" w:cs="宋体"/>
                <w:b/>
                <w:bCs/>
                <w:sz w:val="21"/>
                <w:szCs w:val="21"/>
                <w:highlight w:val="none"/>
              </w:rPr>
              <w:t>自行承诺，加盖公章】</w:t>
            </w:r>
          </w:p>
        </w:tc>
        <w:tc>
          <w:tcPr>
            <w:tcW w:w="567" w:type="dxa"/>
            <w:noWrap w:val="0"/>
            <w:vAlign w:val="top"/>
          </w:tcPr>
          <w:p w14:paraId="116C9B67">
            <w:pPr>
              <w:spacing w:line="440" w:lineRule="exact"/>
              <w:rPr>
                <w:rFonts w:hint="eastAsia" w:cs="宋体"/>
                <w:sz w:val="21"/>
                <w:szCs w:val="21"/>
                <w:highlight w:val="none"/>
              </w:rPr>
            </w:pPr>
          </w:p>
        </w:tc>
        <w:tc>
          <w:tcPr>
            <w:tcW w:w="567" w:type="dxa"/>
            <w:noWrap w:val="0"/>
            <w:vAlign w:val="top"/>
          </w:tcPr>
          <w:p w14:paraId="2ECABF7D">
            <w:pPr>
              <w:spacing w:line="440" w:lineRule="exact"/>
              <w:rPr>
                <w:rFonts w:hint="eastAsia" w:cs="宋体"/>
                <w:sz w:val="21"/>
                <w:szCs w:val="21"/>
                <w:highlight w:val="none"/>
              </w:rPr>
            </w:pPr>
          </w:p>
        </w:tc>
        <w:tc>
          <w:tcPr>
            <w:tcW w:w="567" w:type="dxa"/>
            <w:noWrap w:val="0"/>
            <w:vAlign w:val="top"/>
          </w:tcPr>
          <w:p w14:paraId="194E66DC">
            <w:pPr>
              <w:spacing w:line="440" w:lineRule="exact"/>
              <w:rPr>
                <w:rFonts w:hint="eastAsia" w:cs="宋体"/>
                <w:sz w:val="21"/>
                <w:szCs w:val="21"/>
                <w:highlight w:val="none"/>
              </w:rPr>
            </w:pPr>
          </w:p>
        </w:tc>
      </w:tr>
      <w:tr w14:paraId="0276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51486053">
            <w:pPr>
              <w:spacing w:line="440" w:lineRule="exact"/>
              <w:jc w:val="center"/>
              <w:rPr>
                <w:rFonts w:hint="eastAsia" w:cs="宋体"/>
                <w:sz w:val="21"/>
                <w:szCs w:val="21"/>
                <w:highlight w:val="none"/>
              </w:rPr>
            </w:pPr>
            <w:r>
              <w:rPr>
                <w:rFonts w:hint="eastAsia" w:cs="宋体"/>
                <w:sz w:val="21"/>
                <w:szCs w:val="21"/>
                <w:highlight w:val="none"/>
              </w:rPr>
              <w:t>5</w:t>
            </w:r>
          </w:p>
        </w:tc>
        <w:tc>
          <w:tcPr>
            <w:tcW w:w="6427" w:type="dxa"/>
            <w:noWrap w:val="0"/>
            <w:vAlign w:val="top"/>
          </w:tcPr>
          <w:p w14:paraId="54894CDB">
            <w:pPr>
              <w:spacing w:line="440" w:lineRule="exact"/>
              <w:jc w:val="both"/>
              <w:rPr>
                <w:rFonts w:hint="eastAsia" w:cs="宋体"/>
                <w:sz w:val="21"/>
                <w:szCs w:val="21"/>
                <w:highlight w:val="none"/>
              </w:rPr>
            </w:pPr>
            <w:r>
              <w:rPr>
                <w:rFonts w:hint="eastAsia" w:cs="宋体"/>
                <w:sz w:val="21"/>
                <w:szCs w:val="21"/>
                <w:highlight w:val="none"/>
              </w:rPr>
              <w:t>参加政府采购活动前3年内在经营活动中没有重大违法记录的书面声明；</w:t>
            </w:r>
            <w:r>
              <w:rPr>
                <w:rFonts w:hint="eastAsia" w:cs="宋体"/>
                <w:b/>
                <w:bCs/>
                <w:sz w:val="21"/>
                <w:szCs w:val="21"/>
                <w:highlight w:val="none"/>
              </w:rPr>
              <w:t>【自行声明，加盖公章】</w:t>
            </w:r>
          </w:p>
        </w:tc>
        <w:tc>
          <w:tcPr>
            <w:tcW w:w="567" w:type="dxa"/>
            <w:noWrap w:val="0"/>
            <w:vAlign w:val="top"/>
          </w:tcPr>
          <w:p w14:paraId="6E58DE80">
            <w:pPr>
              <w:spacing w:line="440" w:lineRule="exact"/>
              <w:rPr>
                <w:rFonts w:hint="eastAsia" w:cs="宋体"/>
                <w:sz w:val="21"/>
                <w:szCs w:val="21"/>
                <w:highlight w:val="none"/>
              </w:rPr>
            </w:pPr>
          </w:p>
        </w:tc>
        <w:tc>
          <w:tcPr>
            <w:tcW w:w="567" w:type="dxa"/>
            <w:noWrap w:val="0"/>
            <w:vAlign w:val="top"/>
          </w:tcPr>
          <w:p w14:paraId="08DDEBA2">
            <w:pPr>
              <w:spacing w:line="440" w:lineRule="exact"/>
              <w:rPr>
                <w:rFonts w:hint="eastAsia" w:cs="宋体"/>
                <w:sz w:val="21"/>
                <w:szCs w:val="21"/>
                <w:highlight w:val="none"/>
              </w:rPr>
            </w:pPr>
          </w:p>
        </w:tc>
        <w:tc>
          <w:tcPr>
            <w:tcW w:w="567" w:type="dxa"/>
            <w:noWrap w:val="0"/>
            <w:vAlign w:val="top"/>
          </w:tcPr>
          <w:p w14:paraId="5098EDCE">
            <w:pPr>
              <w:spacing w:line="440" w:lineRule="exact"/>
              <w:rPr>
                <w:rFonts w:hint="eastAsia" w:cs="宋体"/>
                <w:sz w:val="21"/>
                <w:szCs w:val="21"/>
                <w:highlight w:val="none"/>
              </w:rPr>
            </w:pPr>
          </w:p>
        </w:tc>
      </w:tr>
      <w:tr w14:paraId="6D56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7CDFF496">
            <w:pPr>
              <w:spacing w:line="440" w:lineRule="exact"/>
              <w:jc w:val="center"/>
              <w:rPr>
                <w:rFonts w:hint="eastAsia" w:cs="宋体"/>
                <w:sz w:val="21"/>
                <w:szCs w:val="21"/>
                <w:highlight w:val="none"/>
              </w:rPr>
            </w:pPr>
            <w:r>
              <w:rPr>
                <w:rFonts w:hint="eastAsia" w:cs="宋体"/>
                <w:sz w:val="21"/>
                <w:szCs w:val="21"/>
                <w:highlight w:val="none"/>
              </w:rPr>
              <w:t>6</w:t>
            </w:r>
          </w:p>
        </w:tc>
        <w:tc>
          <w:tcPr>
            <w:tcW w:w="6427" w:type="dxa"/>
            <w:noWrap w:val="0"/>
            <w:vAlign w:val="top"/>
          </w:tcPr>
          <w:p w14:paraId="42E1E350">
            <w:pPr>
              <w:wordWrap w:val="0"/>
              <w:spacing w:line="440" w:lineRule="exact"/>
              <w:jc w:val="both"/>
              <w:rPr>
                <w:rFonts w:hint="eastAsia" w:cs="宋体"/>
                <w:sz w:val="21"/>
                <w:szCs w:val="21"/>
                <w:highlight w:val="none"/>
              </w:rPr>
            </w:pPr>
            <w:r>
              <w:rPr>
                <w:rFonts w:hint="eastAsia" w:cs="宋体"/>
                <w:sz w:val="21"/>
                <w:szCs w:val="21"/>
                <w:highlight w:val="none"/>
              </w:rPr>
              <w:t>根据《财政部关于在政府采购活动中查询及使用信用记录有关问题的通知》（财库〔2016〕125号）规定，供应商的信用记录作为本项目资格审查的重要依据。供应商须承诺：在“信用中国”网站（www.creditchina.gov.cn）、中国政府采购网（www.ccgp.gov.cn）等渠道中查询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r>
              <w:rPr>
                <w:rFonts w:hint="eastAsia" w:cs="宋体"/>
                <w:b/>
                <w:bCs/>
                <w:sz w:val="21"/>
                <w:szCs w:val="21"/>
                <w:highlight w:val="none"/>
              </w:rPr>
              <w:t>【自行承诺，加盖公章】</w:t>
            </w:r>
          </w:p>
        </w:tc>
        <w:tc>
          <w:tcPr>
            <w:tcW w:w="567" w:type="dxa"/>
            <w:noWrap w:val="0"/>
            <w:vAlign w:val="top"/>
          </w:tcPr>
          <w:p w14:paraId="3226C5F9">
            <w:pPr>
              <w:spacing w:line="440" w:lineRule="exact"/>
              <w:rPr>
                <w:rFonts w:hint="eastAsia" w:cs="宋体"/>
                <w:sz w:val="21"/>
                <w:szCs w:val="21"/>
                <w:highlight w:val="none"/>
              </w:rPr>
            </w:pPr>
          </w:p>
        </w:tc>
        <w:tc>
          <w:tcPr>
            <w:tcW w:w="567" w:type="dxa"/>
            <w:noWrap w:val="0"/>
            <w:vAlign w:val="top"/>
          </w:tcPr>
          <w:p w14:paraId="7C521A36">
            <w:pPr>
              <w:spacing w:line="440" w:lineRule="exact"/>
              <w:rPr>
                <w:rFonts w:hint="eastAsia" w:cs="宋体"/>
                <w:sz w:val="21"/>
                <w:szCs w:val="21"/>
                <w:highlight w:val="none"/>
              </w:rPr>
            </w:pPr>
          </w:p>
        </w:tc>
        <w:tc>
          <w:tcPr>
            <w:tcW w:w="567" w:type="dxa"/>
            <w:noWrap w:val="0"/>
            <w:vAlign w:val="top"/>
          </w:tcPr>
          <w:p w14:paraId="0980C204">
            <w:pPr>
              <w:spacing w:line="440" w:lineRule="exact"/>
              <w:rPr>
                <w:rFonts w:hint="eastAsia" w:cs="宋体"/>
                <w:sz w:val="21"/>
                <w:szCs w:val="21"/>
                <w:highlight w:val="none"/>
              </w:rPr>
            </w:pPr>
          </w:p>
        </w:tc>
      </w:tr>
      <w:tr w14:paraId="0971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2B1D8484">
            <w:pPr>
              <w:keepNext w:val="0"/>
              <w:keepLines w:val="0"/>
              <w:pageBreakBefore w:val="0"/>
              <w:kinsoku/>
              <w:wordWrap/>
              <w:overflowPunct/>
              <w:topLinePunct w:val="0"/>
              <w:autoSpaceDE w:val="0"/>
              <w:autoSpaceDN w:val="0"/>
              <w:bidi w:val="0"/>
              <w:adjustRightInd w:val="0"/>
              <w:snapToGrid w:val="0"/>
              <w:spacing w:line="440" w:lineRule="exact"/>
              <w:jc w:val="center"/>
              <w:textAlignment w:val="baseline"/>
              <w:rPr>
                <w:rFonts w:hint="eastAsia" w:cs="宋体"/>
                <w:sz w:val="21"/>
                <w:szCs w:val="21"/>
                <w:highlight w:val="none"/>
              </w:rPr>
            </w:pPr>
            <w:r>
              <w:rPr>
                <w:rFonts w:hint="eastAsia" w:cs="宋体"/>
                <w:sz w:val="21"/>
                <w:szCs w:val="21"/>
                <w:highlight w:val="none"/>
                <w:lang w:val="en-US" w:eastAsia="zh-CN"/>
              </w:rPr>
              <w:t>7</w:t>
            </w:r>
          </w:p>
        </w:tc>
        <w:tc>
          <w:tcPr>
            <w:tcW w:w="6427" w:type="dxa"/>
            <w:noWrap w:val="0"/>
            <w:vAlign w:val="top"/>
          </w:tcPr>
          <w:p w14:paraId="0F902977">
            <w:pPr>
              <w:spacing w:line="440" w:lineRule="exact"/>
              <w:jc w:val="both"/>
              <w:rPr>
                <w:rFonts w:hint="eastAsia" w:cs="宋体"/>
                <w:sz w:val="21"/>
                <w:szCs w:val="21"/>
                <w:highlight w:val="none"/>
              </w:rPr>
            </w:pPr>
            <w:r>
              <w:rPr>
                <w:rFonts w:hint="eastAsia"/>
                <w:sz w:val="21"/>
                <w:szCs w:val="21"/>
                <w:highlight w:val="none"/>
              </w:rPr>
              <w:t>供应商具有建筑工程施工总承包三级及以上资质</w:t>
            </w:r>
            <w:r>
              <w:rPr>
                <w:rFonts w:hint="eastAsia"/>
                <w:sz w:val="21"/>
                <w:szCs w:val="21"/>
                <w:highlight w:val="none"/>
                <w:lang w:eastAsia="zh-CN"/>
              </w:rPr>
              <w:t>。</w:t>
            </w:r>
            <w:r>
              <w:rPr>
                <w:rFonts w:hint="eastAsia" w:cs="宋体"/>
                <w:sz w:val="21"/>
                <w:szCs w:val="21"/>
                <w:highlight w:val="none"/>
              </w:rPr>
              <w:t>【</w:t>
            </w:r>
            <w:r>
              <w:rPr>
                <w:rFonts w:hint="eastAsia" w:cs="宋体"/>
                <w:b/>
                <w:bCs/>
                <w:sz w:val="21"/>
                <w:szCs w:val="21"/>
                <w:highlight w:val="none"/>
              </w:rPr>
              <w:t>复印件</w:t>
            </w:r>
            <w:r>
              <w:rPr>
                <w:rFonts w:hint="eastAsia" w:cs="宋体"/>
                <w:b/>
                <w:bCs/>
                <w:sz w:val="21"/>
                <w:szCs w:val="21"/>
                <w:highlight w:val="none"/>
                <w:lang w:val="en-US" w:eastAsia="zh-CN"/>
              </w:rPr>
              <w:t>或扫描件</w:t>
            </w:r>
            <w:r>
              <w:rPr>
                <w:rFonts w:hint="eastAsia" w:cs="宋体"/>
                <w:b/>
                <w:bCs/>
                <w:sz w:val="21"/>
                <w:szCs w:val="21"/>
                <w:highlight w:val="none"/>
              </w:rPr>
              <w:t>加盖</w:t>
            </w:r>
            <w:r>
              <w:rPr>
                <w:rFonts w:hint="eastAsia" w:cs="宋体"/>
                <w:b/>
                <w:bCs/>
                <w:sz w:val="21"/>
                <w:szCs w:val="21"/>
                <w:highlight w:val="none"/>
                <w:lang w:eastAsia="zh-CN"/>
              </w:rPr>
              <w:t>供应商</w:t>
            </w:r>
            <w:r>
              <w:rPr>
                <w:rFonts w:hint="eastAsia" w:cs="宋体"/>
                <w:b/>
                <w:bCs/>
                <w:sz w:val="21"/>
                <w:szCs w:val="21"/>
                <w:highlight w:val="none"/>
              </w:rPr>
              <w:t>公章】</w:t>
            </w:r>
          </w:p>
        </w:tc>
        <w:tc>
          <w:tcPr>
            <w:tcW w:w="567" w:type="dxa"/>
            <w:noWrap w:val="0"/>
            <w:vAlign w:val="top"/>
          </w:tcPr>
          <w:p w14:paraId="4E9C9998">
            <w:pPr>
              <w:spacing w:line="440" w:lineRule="exact"/>
              <w:rPr>
                <w:rFonts w:hint="eastAsia" w:cs="宋体"/>
                <w:sz w:val="21"/>
                <w:szCs w:val="21"/>
                <w:highlight w:val="none"/>
              </w:rPr>
            </w:pPr>
          </w:p>
        </w:tc>
        <w:tc>
          <w:tcPr>
            <w:tcW w:w="567" w:type="dxa"/>
            <w:noWrap w:val="0"/>
            <w:vAlign w:val="top"/>
          </w:tcPr>
          <w:p w14:paraId="6CF6EEFA">
            <w:pPr>
              <w:spacing w:line="440" w:lineRule="exact"/>
              <w:rPr>
                <w:rFonts w:hint="eastAsia" w:cs="宋体"/>
                <w:sz w:val="21"/>
                <w:szCs w:val="21"/>
                <w:highlight w:val="none"/>
              </w:rPr>
            </w:pPr>
          </w:p>
        </w:tc>
        <w:tc>
          <w:tcPr>
            <w:tcW w:w="567" w:type="dxa"/>
            <w:noWrap w:val="0"/>
            <w:vAlign w:val="top"/>
          </w:tcPr>
          <w:p w14:paraId="39B52D41">
            <w:pPr>
              <w:spacing w:line="440" w:lineRule="exact"/>
              <w:rPr>
                <w:rFonts w:hint="eastAsia" w:cs="宋体"/>
                <w:sz w:val="21"/>
                <w:szCs w:val="21"/>
                <w:highlight w:val="none"/>
              </w:rPr>
            </w:pPr>
          </w:p>
        </w:tc>
      </w:tr>
      <w:tr w14:paraId="411C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495B9C99">
            <w:pPr>
              <w:keepNext w:val="0"/>
              <w:keepLines w:val="0"/>
              <w:pageBreakBefore w:val="0"/>
              <w:kinsoku/>
              <w:wordWrap/>
              <w:overflowPunct/>
              <w:topLinePunct w:val="0"/>
              <w:autoSpaceDE w:val="0"/>
              <w:autoSpaceDN w:val="0"/>
              <w:bidi w:val="0"/>
              <w:adjustRightInd w:val="0"/>
              <w:snapToGrid w:val="0"/>
              <w:spacing w:line="440" w:lineRule="exact"/>
              <w:jc w:val="center"/>
              <w:textAlignment w:val="baseline"/>
              <w:rPr>
                <w:rFonts w:hint="eastAsia" w:cs="宋体"/>
                <w:sz w:val="21"/>
                <w:szCs w:val="21"/>
                <w:highlight w:val="none"/>
              </w:rPr>
            </w:pPr>
            <w:r>
              <w:rPr>
                <w:rFonts w:hint="eastAsia" w:cs="宋体"/>
                <w:sz w:val="21"/>
                <w:szCs w:val="21"/>
                <w:highlight w:val="none"/>
                <w:lang w:val="en-US" w:eastAsia="zh-CN"/>
              </w:rPr>
              <w:t>8</w:t>
            </w:r>
          </w:p>
        </w:tc>
        <w:tc>
          <w:tcPr>
            <w:tcW w:w="6427" w:type="dxa"/>
            <w:noWrap w:val="0"/>
            <w:vAlign w:val="top"/>
          </w:tcPr>
          <w:p w14:paraId="20CB2E37">
            <w:pPr>
              <w:spacing w:line="440" w:lineRule="exact"/>
              <w:jc w:val="both"/>
              <w:rPr>
                <w:rFonts w:hint="eastAsia" w:cs="宋体"/>
                <w:sz w:val="21"/>
                <w:szCs w:val="21"/>
                <w:highlight w:val="none"/>
              </w:rPr>
            </w:pPr>
            <w:r>
              <w:rPr>
                <w:rFonts w:hint="eastAsia"/>
                <w:sz w:val="21"/>
                <w:szCs w:val="21"/>
                <w:highlight w:val="none"/>
              </w:rPr>
              <w:t>供应商具有有效的安全生产许可证；</w:t>
            </w:r>
            <w:r>
              <w:rPr>
                <w:rFonts w:hint="eastAsia" w:cs="宋体"/>
                <w:sz w:val="21"/>
                <w:szCs w:val="21"/>
                <w:highlight w:val="none"/>
              </w:rPr>
              <w:t>【</w:t>
            </w:r>
            <w:r>
              <w:rPr>
                <w:rFonts w:hint="eastAsia" w:cs="宋体"/>
                <w:b/>
                <w:bCs/>
                <w:sz w:val="21"/>
                <w:szCs w:val="21"/>
                <w:highlight w:val="none"/>
              </w:rPr>
              <w:t>复印件</w:t>
            </w:r>
            <w:r>
              <w:rPr>
                <w:rFonts w:hint="eastAsia" w:cs="宋体"/>
                <w:b/>
                <w:bCs/>
                <w:sz w:val="21"/>
                <w:szCs w:val="21"/>
                <w:highlight w:val="none"/>
                <w:lang w:val="en-US" w:eastAsia="zh-CN"/>
              </w:rPr>
              <w:t>或扫描件</w:t>
            </w:r>
            <w:r>
              <w:rPr>
                <w:rFonts w:hint="eastAsia" w:cs="宋体"/>
                <w:b/>
                <w:bCs/>
                <w:sz w:val="21"/>
                <w:szCs w:val="21"/>
                <w:highlight w:val="none"/>
              </w:rPr>
              <w:t>加盖</w:t>
            </w:r>
            <w:r>
              <w:rPr>
                <w:rFonts w:hint="eastAsia" w:cs="宋体"/>
                <w:b/>
                <w:bCs/>
                <w:sz w:val="21"/>
                <w:szCs w:val="21"/>
                <w:highlight w:val="none"/>
                <w:lang w:eastAsia="zh-CN"/>
              </w:rPr>
              <w:t>供应商</w:t>
            </w:r>
            <w:r>
              <w:rPr>
                <w:rFonts w:hint="eastAsia" w:cs="宋体"/>
                <w:b/>
                <w:bCs/>
                <w:sz w:val="21"/>
                <w:szCs w:val="21"/>
                <w:highlight w:val="none"/>
              </w:rPr>
              <w:t>公章】</w:t>
            </w:r>
          </w:p>
        </w:tc>
        <w:tc>
          <w:tcPr>
            <w:tcW w:w="567" w:type="dxa"/>
            <w:noWrap w:val="0"/>
            <w:vAlign w:val="top"/>
          </w:tcPr>
          <w:p w14:paraId="6918435F">
            <w:pPr>
              <w:spacing w:line="440" w:lineRule="exact"/>
              <w:rPr>
                <w:rFonts w:hint="eastAsia" w:cs="宋体"/>
                <w:sz w:val="21"/>
                <w:szCs w:val="21"/>
                <w:highlight w:val="none"/>
              </w:rPr>
            </w:pPr>
          </w:p>
        </w:tc>
        <w:tc>
          <w:tcPr>
            <w:tcW w:w="567" w:type="dxa"/>
            <w:noWrap w:val="0"/>
            <w:vAlign w:val="top"/>
          </w:tcPr>
          <w:p w14:paraId="68B54B21">
            <w:pPr>
              <w:spacing w:line="440" w:lineRule="exact"/>
              <w:rPr>
                <w:rFonts w:hint="eastAsia" w:cs="宋体"/>
                <w:sz w:val="21"/>
                <w:szCs w:val="21"/>
                <w:highlight w:val="none"/>
              </w:rPr>
            </w:pPr>
          </w:p>
        </w:tc>
        <w:tc>
          <w:tcPr>
            <w:tcW w:w="567" w:type="dxa"/>
            <w:noWrap w:val="0"/>
            <w:vAlign w:val="top"/>
          </w:tcPr>
          <w:p w14:paraId="1C053572">
            <w:pPr>
              <w:spacing w:line="440" w:lineRule="exact"/>
              <w:rPr>
                <w:rFonts w:hint="eastAsia" w:cs="宋体"/>
                <w:sz w:val="21"/>
                <w:szCs w:val="21"/>
                <w:highlight w:val="none"/>
              </w:rPr>
            </w:pPr>
          </w:p>
        </w:tc>
      </w:tr>
      <w:tr w14:paraId="5193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5A725F43">
            <w:pPr>
              <w:keepNext w:val="0"/>
              <w:keepLines w:val="0"/>
              <w:pageBreakBefore w:val="0"/>
              <w:kinsoku/>
              <w:wordWrap/>
              <w:overflowPunct/>
              <w:topLinePunct w:val="0"/>
              <w:autoSpaceDE w:val="0"/>
              <w:autoSpaceDN w:val="0"/>
              <w:bidi w:val="0"/>
              <w:adjustRightInd w:val="0"/>
              <w:snapToGrid w:val="0"/>
              <w:spacing w:line="440" w:lineRule="exact"/>
              <w:jc w:val="center"/>
              <w:textAlignment w:val="baseline"/>
              <w:rPr>
                <w:rFonts w:hint="eastAsia" w:cs="宋体"/>
                <w:sz w:val="21"/>
                <w:szCs w:val="21"/>
                <w:highlight w:val="none"/>
              </w:rPr>
            </w:pPr>
            <w:r>
              <w:rPr>
                <w:rFonts w:hint="eastAsia" w:cs="宋体"/>
                <w:sz w:val="21"/>
                <w:szCs w:val="21"/>
                <w:highlight w:val="none"/>
                <w:lang w:val="en-US" w:eastAsia="zh-CN"/>
              </w:rPr>
              <w:t>9</w:t>
            </w:r>
          </w:p>
        </w:tc>
        <w:tc>
          <w:tcPr>
            <w:tcW w:w="6427" w:type="dxa"/>
            <w:noWrap w:val="0"/>
            <w:vAlign w:val="top"/>
          </w:tcPr>
          <w:p w14:paraId="5B436628">
            <w:pPr>
              <w:spacing w:line="440" w:lineRule="exact"/>
              <w:jc w:val="both"/>
              <w:rPr>
                <w:rFonts w:hint="eastAsia" w:cs="宋体"/>
                <w:sz w:val="21"/>
                <w:szCs w:val="21"/>
                <w:highlight w:val="none"/>
              </w:rPr>
            </w:pPr>
            <w:r>
              <w:rPr>
                <w:rFonts w:hint="eastAsia"/>
                <w:sz w:val="21"/>
                <w:szCs w:val="21"/>
                <w:highlight w:val="none"/>
              </w:rPr>
              <w:t>供应商在人员、设备、资金等方面具备相应的施工能力，其中拟派的项目经理须具备建筑工程（专业）二级及以上注册建造师执业资格，具备有效的安全生产考核合格（B证）证书且未担任其他在建建设工程项目的项目经理。</w:t>
            </w:r>
            <w:r>
              <w:rPr>
                <w:rFonts w:hint="eastAsia"/>
                <w:b/>
                <w:bCs/>
                <w:sz w:val="21"/>
                <w:szCs w:val="21"/>
                <w:highlight w:val="none"/>
              </w:rPr>
              <w:t>【</w:t>
            </w:r>
            <w:r>
              <w:rPr>
                <w:rFonts w:hint="eastAsia"/>
                <w:b/>
                <w:bCs/>
                <w:sz w:val="21"/>
                <w:szCs w:val="21"/>
                <w:highlight w:val="none"/>
                <w:lang w:val="en-US" w:eastAsia="zh-CN"/>
              </w:rPr>
              <w:t>提供</w:t>
            </w:r>
            <w:r>
              <w:rPr>
                <w:rFonts w:hint="eastAsia"/>
                <w:b/>
                <w:bCs/>
                <w:sz w:val="21"/>
                <w:szCs w:val="21"/>
                <w:highlight w:val="none"/>
              </w:rPr>
              <w:t>项目经理有效的电子注册证书、有效的安全生产考核合格证、未担任其他在建建设工程项目的项目经理的书面承诺</w:t>
            </w:r>
            <w:r>
              <w:rPr>
                <w:rFonts w:hint="eastAsia"/>
                <w:b/>
                <w:bCs/>
                <w:sz w:val="21"/>
                <w:szCs w:val="21"/>
                <w:highlight w:val="none"/>
                <w:lang w:eastAsia="zh-CN"/>
              </w:rPr>
              <w:t>，</w:t>
            </w:r>
            <w:r>
              <w:rPr>
                <w:rFonts w:hint="eastAsia"/>
                <w:b/>
                <w:bCs/>
                <w:sz w:val="21"/>
                <w:szCs w:val="21"/>
                <w:highlight w:val="none"/>
                <w:lang w:val="en-US" w:eastAsia="zh-CN"/>
              </w:rPr>
              <w:t>证明材料均需加盖供应商公章</w:t>
            </w:r>
            <w:r>
              <w:rPr>
                <w:rFonts w:hint="eastAsia"/>
                <w:b/>
                <w:bCs/>
                <w:sz w:val="21"/>
                <w:szCs w:val="21"/>
                <w:highlight w:val="none"/>
              </w:rPr>
              <w:t>】</w:t>
            </w:r>
          </w:p>
        </w:tc>
        <w:tc>
          <w:tcPr>
            <w:tcW w:w="567" w:type="dxa"/>
            <w:noWrap w:val="0"/>
            <w:vAlign w:val="top"/>
          </w:tcPr>
          <w:p w14:paraId="247F0B25">
            <w:pPr>
              <w:spacing w:line="440" w:lineRule="exact"/>
              <w:rPr>
                <w:rFonts w:hint="eastAsia" w:cs="宋体"/>
                <w:sz w:val="21"/>
                <w:szCs w:val="21"/>
                <w:highlight w:val="none"/>
              </w:rPr>
            </w:pPr>
          </w:p>
        </w:tc>
        <w:tc>
          <w:tcPr>
            <w:tcW w:w="567" w:type="dxa"/>
            <w:noWrap w:val="0"/>
            <w:vAlign w:val="top"/>
          </w:tcPr>
          <w:p w14:paraId="01E8D9BE">
            <w:pPr>
              <w:spacing w:line="440" w:lineRule="exact"/>
              <w:rPr>
                <w:rFonts w:hint="eastAsia" w:cs="宋体"/>
                <w:sz w:val="21"/>
                <w:szCs w:val="21"/>
                <w:highlight w:val="none"/>
              </w:rPr>
            </w:pPr>
          </w:p>
        </w:tc>
        <w:tc>
          <w:tcPr>
            <w:tcW w:w="567" w:type="dxa"/>
            <w:noWrap w:val="0"/>
            <w:vAlign w:val="top"/>
          </w:tcPr>
          <w:p w14:paraId="4EB6641C">
            <w:pPr>
              <w:spacing w:line="440" w:lineRule="exact"/>
              <w:rPr>
                <w:rFonts w:hint="eastAsia" w:cs="宋体"/>
                <w:sz w:val="21"/>
                <w:szCs w:val="21"/>
                <w:highlight w:val="none"/>
              </w:rPr>
            </w:pPr>
          </w:p>
        </w:tc>
      </w:tr>
      <w:tr w14:paraId="37FE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6BC54447">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baseline"/>
              <w:rPr>
                <w:rFonts w:hint="eastAsia" w:cs="宋体"/>
                <w:sz w:val="21"/>
                <w:szCs w:val="21"/>
                <w:highlight w:val="none"/>
              </w:rPr>
            </w:pPr>
            <w:r>
              <w:rPr>
                <w:rFonts w:hint="eastAsia" w:eastAsia="宋体" w:cs="宋体"/>
                <w:sz w:val="21"/>
                <w:szCs w:val="21"/>
                <w:highlight w:val="none"/>
                <w:lang w:val="en-US" w:eastAsia="zh-CN"/>
              </w:rPr>
              <w:t>10</w:t>
            </w:r>
          </w:p>
        </w:tc>
        <w:tc>
          <w:tcPr>
            <w:tcW w:w="6427" w:type="dxa"/>
            <w:noWrap w:val="0"/>
            <w:vAlign w:val="top"/>
          </w:tcPr>
          <w:p w14:paraId="2DD5498F">
            <w:pPr>
              <w:keepNext w:val="0"/>
              <w:keepLines w:val="0"/>
              <w:pageBreakBefore w:val="0"/>
              <w:widowControl w:val="0"/>
              <w:kinsoku/>
              <w:wordWrap/>
              <w:overflowPunct/>
              <w:topLinePunct w:val="0"/>
              <w:autoSpaceDE w:val="0"/>
              <w:autoSpaceDN w:val="0"/>
              <w:bidi w:val="0"/>
              <w:adjustRightInd w:val="0"/>
              <w:snapToGrid w:val="0"/>
              <w:spacing w:line="440" w:lineRule="exact"/>
              <w:jc w:val="both"/>
              <w:textAlignment w:val="baseline"/>
              <w:rPr>
                <w:rFonts w:hint="eastAsia" w:eastAsia="宋体" w:cs="宋体"/>
                <w:sz w:val="21"/>
                <w:szCs w:val="21"/>
                <w:highlight w:val="none"/>
                <w:lang w:val="en-US" w:eastAsia="zh-CN"/>
              </w:rPr>
            </w:pPr>
            <w:r>
              <w:rPr>
                <w:rFonts w:hint="eastAsia" w:eastAsia="宋体" w:cs="宋体"/>
                <w:sz w:val="21"/>
                <w:szCs w:val="21"/>
                <w:highlight w:val="none"/>
                <w:lang w:eastAsia="zh-CN"/>
              </w:rPr>
              <w:t>本项目专门面向中小企业</w:t>
            </w:r>
            <w:r>
              <w:rPr>
                <w:rFonts w:hint="eastAsia" w:ascii="宋体" w:hAnsi="宋体" w:eastAsia="宋体" w:cs="宋体"/>
                <w:sz w:val="21"/>
                <w:szCs w:val="21"/>
                <w:highlight w:val="none"/>
              </w:rPr>
              <w:t>（含监狱企业、残疾人福利性单位）采购，非</w:t>
            </w:r>
            <w:r>
              <w:rPr>
                <w:rFonts w:hint="eastAsia" w:eastAsia="宋体" w:cs="宋体"/>
                <w:sz w:val="21"/>
                <w:szCs w:val="21"/>
                <w:highlight w:val="none"/>
                <w:lang w:val="en-US" w:eastAsia="zh-CN"/>
              </w:rPr>
              <w:t>中小</w:t>
            </w:r>
            <w:r>
              <w:rPr>
                <w:rFonts w:hint="eastAsia" w:ascii="宋体" w:hAnsi="宋体" w:eastAsia="宋体" w:cs="宋体"/>
                <w:sz w:val="21"/>
                <w:szCs w:val="21"/>
                <w:highlight w:val="none"/>
              </w:rPr>
              <w:t>企业参加投标将被拒绝；</w:t>
            </w:r>
            <w:r>
              <w:rPr>
                <w:rFonts w:hint="eastAsia" w:ascii="宋体" w:hAnsi="宋体" w:eastAsia="宋体" w:cs="宋体"/>
                <w:b/>
                <w:bCs/>
                <w:sz w:val="21"/>
                <w:szCs w:val="21"/>
                <w:highlight w:val="none"/>
              </w:rPr>
              <w:t>【提供中小企业声明函，或残疾人福利性单位声明函，或省级以上监狱管理局、戒毒管理局(含新疆生产建设兵团)出具的属于监狱企业的证明文件】</w:t>
            </w:r>
          </w:p>
        </w:tc>
        <w:tc>
          <w:tcPr>
            <w:tcW w:w="567" w:type="dxa"/>
            <w:noWrap w:val="0"/>
            <w:vAlign w:val="top"/>
          </w:tcPr>
          <w:p w14:paraId="7519CE84">
            <w:pPr>
              <w:spacing w:line="440" w:lineRule="exact"/>
              <w:rPr>
                <w:rFonts w:hint="eastAsia" w:cs="宋体"/>
                <w:sz w:val="21"/>
                <w:szCs w:val="21"/>
                <w:highlight w:val="none"/>
              </w:rPr>
            </w:pPr>
          </w:p>
        </w:tc>
        <w:tc>
          <w:tcPr>
            <w:tcW w:w="567" w:type="dxa"/>
            <w:noWrap w:val="0"/>
            <w:vAlign w:val="top"/>
          </w:tcPr>
          <w:p w14:paraId="323E3968">
            <w:pPr>
              <w:spacing w:line="440" w:lineRule="exact"/>
              <w:rPr>
                <w:rFonts w:hint="eastAsia" w:cs="宋体"/>
                <w:sz w:val="21"/>
                <w:szCs w:val="21"/>
                <w:highlight w:val="none"/>
              </w:rPr>
            </w:pPr>
          </w:p>
        </w:tc>
        <w:tc>
          <w:tcPr>
            <w:tcW w:w="567" w:type="dxa"/>
            <w:noWrap w:val="0"/>
            <w:vAlign w:val="top"/>
          </w:tcPr>
          <w:p w14:paraId="7C5ABB14">
            <w:pPr>
              <w:spacing w:line="440" w:lineRule="exact"/>
              <w:rPr>
                <w:rFonts w:hint="eastAsia" w:cs="宋体"/>
                <w:sz w:val="21"/>
                <w:szCs w:val="21"/>
                <w:highlight w:val="none"/>
              </w:rPr>
            </w:pPr>
          </w:p>
        </w:tc>
      </w:tr>
      <w:tr w14:paraId="3206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274C2BD4">
            <w:pPr>
              <w:keepNext w:val="0"/>
              <w:keepLines w:val="0"/>
              <w:pageBreakBefore w:val="0"/>
              <w:kinsoku/>
              <w:wordWrap/>
              <w:overflowPunct/>
              <w:topLinePunct w:val="0"/>
              <w:autoSpaceDE w:val="0"/>
              <w:autoSpaceDN w:val="0"/>
              <w:bidi w:val="0"/>
              <w:adjustRightInd w:val="0"/>
              <w:snapToGrid w:val="0"/>
              <w:spacing w:line="440" w:lineRule="exact"/>
              <w:jc w:val="center"/>
              <w:textAlignment w:val="baseline"/>
              <w:rPr>
                <w:rFonts w:cs="宋体"/>
                <w:sz w:val="21"/>
                <w:szCs w:val="21"/>
                <w:highlight w:val="none"/>
              </w:rPr>
            </w:pPr>
            <w:r>
              <w:rPr>
                <w:rFonts w:hint="eastAsia" w:eastAsia="宋体" w:cs="宋体"/>
                <w:sz w:val="21"/>
                <w:szCs w:val="21"/>
                <w:highlight w:val="none"/>
                <w:lang w:val="en-US" w:eastAsia="zh-CN"/>
              </w:rPr>
              <w:t>11</w:t>
            </w:r>
          </w:p>
        </w:tc>
        <w:tc>
          <w:tcPr>
            <w:tcW w:w="6427" w:type="dxa"/>
            <w:noWrap w:val="0"/>
            <w:vAlign w:val="top"/>
          </w:tcPr>
          <w:p w14:paraId="5EE37B44">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cs="宋体"/>
                <w:sz w:val="21"/>
                <w:szCs w:val="21"/>
                <w:highlight w:val="none"/>
              </w:rPr>
            </w:pPr>
            <w:r>
              <w:rPr>
                <w:rFonts w:hint="eastAsia" w:cs="宋体"/>
                <w:sz w:val="21"/>
                <w:szCs w:val="21"/>
                <w:highlight w:val="none"/>
              </w:rPr>
              <w:t>符合法律法规及磋商文件规定的其他要求。</w:t>
            </w:r>
          </w:p>
        </w:tc>
        <w:tc>
          <w:tcPr>
            <w:tcW w:w="567" w:type="dxa"/>
            <w:noWrap w:val="0"/>
            <w:vAlign w:val="top"/>
          </w:tcPr>
          <w:p w14:paraId="0D9991F0">
            <w:pPr>
              <w:spacing w:line="440" w:lineRule="exact"/>
              <w:rPr>
                <w:rFonts w:hint="eastAsia" w:cs="宋体"/>
                <w:sz w:val="21"/>
                <w:szCs w:val="21"/>
                <w:highlight w:val="none"/>
              </w:rPr>
            </w:pPr>
          </w:p>
        </w:tc>
        <w:tc>
          <w:tcPr>
            <w:tcW w:w="567" w:type="dxa"/>
            <w:noWrap w:val="0"/>
            <w:vAlign w:val="top"/>
          </w:tcPr>
          <w:p w14:paraId="5D6EFD54">
            <w:pPr>
              <w:spacing w:line="440" w:lineRule="exact"/>
              <w:rPr>
                <w:rFonts w:hint="eastAsia" w:cs="宋体"/>
                <w:sz w:val="21"/>
                <w:szCs w:val="21"/>
                <w:highlight w:val="none"/>
              </w:rPr>
            </w:pPr>
          </w:p>
        </w:tc>
        <w:tc>
          <w:tcPr>
            <w:tcW w:w="567" w:type="dxa"/>
            <w:noWrap w:val="0"/>
            <w:vAlign w:val="top"/>
          </w:tcPr>
          <w:p w14:paraId="615415C2">
            <w:pPr>
              <w:spacing w:line="440" w:lineRule="exact"/>
              <w:rPr>
                <w:rFonts w:hint="eastAsia" w:cs="宋体"/>
                <w:sz w:val="21"/>
                <w:szCs w:val="21"/>
                <w:highlight w:val="none"/>
              </w:rPr>
            </w:pPr>
          </w:p>
        </w:tc>
      </w:tr>
      <w:tr w14:paraId="0BAB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51B3B082">
            <w:pPr>
              <w:snapToGrid w:val="0"/>
              <w:spacing w:line="440" w:lineRule="exact"/>
              <w:jc w:val="center"/>
              <w:rPr>
                <w:rFonts w:hint="default" w:eastAsia="宋体" w:cs="宋体"/>
                <w:sz w:val="21"/>
                <w:szCs w:val="21"/>
                <w:highlight w:val="none"/>
                <w:lang w:val="en-US" w:eastAsia="zh-CN"/>
              </w:rPr>
            </w:pPr>
            <w:r>
              <w:rPr>
                <w:rFonts w:hint="eastAsia" w:cs="宋体"/>
                <w:sz w:val="21"/>
                <w:szCs w:val="21"/>
                <w:highlight w:val="none"/>
                <w:lang w:val="en-US" w:eastAsia="zh-CN"/>
              </w:rPr>
              <w:t>12</w:t>
            </w:r>
          </w:p>
        </w:tc>
        <w:tc>
          <w:tcPr>
            <w:tcW w:w="6427" w:type="dxa"/>
            <w:noWrap w:val="0"/>
            <w:vAlign w:val="top"/>
          </w:tcPr>
          <w:p w14:paraId="4B0CC140">
            <w:pPr>
              <w:snapToGrid w:val="0"/>
              <w:spacing w:line="440" w:lineRule="exact"/>
              <w:jc w:val="center"/>
              <w:rPr>
                <w:rFonts w:hint="eastAsia" w:cs="宋体"/>
                <w:sz w:val="21"/>
                <w:szCs w:val="21"/>
                <w:highlight w:val="none"/>
              </w:rPr>
            </w:pPr>
            <w:r>
              <w:rPr>
                <w:rFonts w:hint="eastAsia" w:cs="宋体"/>
                <w:sz w:val="21"/>
                <w:szCs w:val="21"/>
                <w:highlight w:val="none"/>
              </w:rPr>
              <w:t>结   论</w:t>
            </w:r>
          </w:p>
        </w:tc>
        <w:tc>
          <w:tcPr>
            <w:tcW w:w="567" w:type="dxa"/>
            <w:noWrap w:val="0"/>
            <w:vAlign w:val="top"/>
          </w:tcPr>
          <w:p w14:paraId="2039C296">
            <w:pPr>
              <w:spacing w:line="440" w:lineRule="exact"/>
              <w:rPr>
                <w:rFonts w:hint="eastAsia" w:cs="宋体"/>
                <w:sz w:val="21"/>
                <w:szCs w:val="21"/>
                <w:highlight w:val="none"/>
              </w:rPr>
            </w:pPr>
          </w:p>
        </w:tc>
        <w:tc>
          <w:tcPr>
            <w:tcW w:w="567" w:type="dxa"/>
            <w:noWrap w:val="0"/>
            <w:vAlign w:val="top"/>
          </w:tcPr>
          <w:p w14:paraId="4C40E636">
            <w:pPr>
              <w:spacing w:line="440" w:lineRule="exact"/>
              <w:rPr>
                <w:rFonts w:hint="eastAsia" w:cs="宋体"/>
                <w:sz w:val="21"/>
                <w:szCs w:val="21"/>
                <w:highlight w:val="none"/>
              </w:rPr>
            </w:pPr>
          </w:p>
        </w:tc>
        <w:tc>
          <w:tcPr>
            <w:tcW w:w="567" w:type="dxa"/>
            <w:noWrap w:val="0"/>
            <w:vAlign w:val="top"/>
          </w:tcPr>
          <w:p w14:paraId="16A4513E">
            <w:pPr>
              <w:spacing w:line="440" w:lineRule="exact"/>
              <w:rPr>
                <w:rFonts w:hint="eastAsia" w:cs="宋体"/>
                <w:sz w:val="21"/>
                <w:szCs w:val="21"/>
                <w:highlight w:val="none"/>
              </w:rPr>
            </w:pPr>
          </w:p>
        </w:tc>
      </w:tr>
    </w:tbl>
    <w:p w14:paraId="14B618E8">
      <w:pPr>
        <w:snapToGrid w:val="0"/>
        <w:spacing w:before="240" w:beforeLines="100" w:line="360" w:lineRule="auto"/>
        <w:rPr>
          <w:rFonts w:hint="eastAsia" w:cs="宋体"/>
          <w:b/>
          <w:bCs/>
          <w:sz w:val="24"/>
          <w:szCs w:val="24"/>
          <w:highlight w:val="none"/>
        </w:rPr>
      </w:pPr>
      <w:r>
        <w:rPr>
          <w:rFonts w:hint="eastAsia" w:cs="宋体"/>
          <w:b/>
          <w:sz w:val="24"/>
          <w:szCs w:val="24"/>
          <w:highlight w:val="none"/>
        </w:rPr>
        <w:t>供应商符合</w:t>
      </w:r>
      <w:r>
        <w:rPr>
          <w:rFonts w:hint="eastAsia" w:cs="宋体"/>
          <w:b/>
          <w:bCs/>
          <w:sz w:val="24"/>
          <w:szCs w:val="24"/>
          <w:highlight w:val="none"/>
        </w:rPr>
        <w:t>性审查</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4507"/>
        <w:gridCol w:w="567"/>
        <w:gridCol w:w="567"/>
        <w:gridCol w:w="567"/>
        <w:gridCol w:w="709"/>
      </w:tblGrid>
      <w:tr w14:paraId="1FBB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1270E51A">
            <w:pPr>
              <w:spacing w:line="440" w:lineRule="exact"/>
              <w:jc w:val="center"/>
              <w:rPr>
                <w:rFonts w:hint="eastAsia" w:cs="宋体"/>
                <w:sz w:val="21"/>
                <w:szCs w:val="21"/>
                <w:highlight w:val="none"/>
              </w:rPr>
            </w:pPr>
            <w:r>
              <w:rPr>
                <w:rFonts w:hint="eastAsia" w:cs="宋体"/>
                <w:sz w:val="21"/>
                <w:szCs w:val="21"/>
                <w:highlight w:val="none"/>
              </w:rPr>
              <w:t>序号</w:t>
            </w:r>
          </w:p>
        </w:tc>
        <w:tc>
          <w:tcPr>
            <w:tcW w:w="5812" w:type="dxa"/>
            <w:gridSpan w:val="2"/>
            <w:tcBorders>
              <w:tl2br w:val="single" w:color="auto" w:sz="4" w:space="0"/>
            </w:tcBorders>
            <w:noWrap w:val="0"/>
            <w:vAlign w:val="top"/>
          </w:tcPr>
          <w:p w14:paraId="7E6E8286">
            <w:pPr>
              <w:spacing w:line="440" w:lineRule="exact"/>
              <w:rPr>
                <w:rFonts w:hint="eastAsia" w:cs="宋体"/>
                <w:sz w:val="21"/>
                <w:szCs w:val="21"/>
                <w:highlight w:val="none"/>
              </w:rPr>
            </w:pPr>
            <w:r>
              <w:rPr>
                <w:rFonts w:hint="eastAsia" w:cs="宋体"/>
                <w:sz w:val="21"/>
                <w:szCs w:val="21"/>
                <w:highlight w:val="none"/>
              </w:rPr>
              <w:t xml:space="preserve">                                         供应商名称</w:t>
            </w:r>
          </w:p>
          <w:p w14:paraId="34C70CB4">
            <w:pPr>
              <w:spacing w:line="440" w:lineRule="exact"/>
              <w:rPr>
                <w:rFonts w:hint="eastAsia" w:cs="宋体"/>
                <w:sz w:val="21"/>
                <w:szCs w:val="21"/>
                <w:highlight w:val="none"/>
              </w:rPr>
            </w:pPr>
            <w:r>
              <w:rPr>
                <w:rFonts w:hint="eastAsia" w:cs="宋体"/>
                <w:sz w:val="21"/>
                <w:szCs w:val="21"/>
                <w:highlight w:val="none"/>
              </w:rPr>
              <w:t>符合性审查内容</w:t>
            </w:r>
          </w:p>
        </w:tc>
        <w:tc>
          <w:tcPr>
            <w:tcW w:w="567" w:type="dxa"/>
            <w:noWrap w:val="0"/>
            <w:vAlign w:val="center"/>
          </w:tcPr>
          <w:p w14:paraId="0FCB6E6B">
            <w:pPr>
              <w:spacing w:line="440" w:lineRule="exact"/>
              <w:jc w:val="center"/>
              <w:rPr>
                <w:rFonts w:hint="eastAsia" w:cs="宋体"/>
                <w:sz w:val="21"/>
                <w:szCs w:val="21"/>
                <w:highlight w:val="none"/>
              </w:rPr>
            </w:pPr>
            <w:r>
              <w:rPr>
                <w:rFonts w:hint="eastAsia" w:cs="宋体"/>
                <w:sz w:val="21"/>
                <w:szCs w:val="21"/>
                <w:highlight w:val="none"/>
              </w:rPr>
              <w:t>A-1</w:t>
            </w:r>
          </w:p>
        </w:tc>
        <w:tc>
          <w:tcPr>
            <w:tcW w:w="567" w:type="dxa"/>
            <w:noWrap w:val="0"/>
            <w:vAlign w:val="center"/>
          </w:tcPr>
          <w:p w14:paraId="55B9F080">
            <w:pPr>
              <w:spacing w:line="440" w:lineRule="exact"/>
              <w:jc w:val="center"/>
              <w:rPr>
                <w:rFonts w:hint="eastAsia" w:cs="宋体"/>
                <w:sz w:val="21"/>
                <w:szCs w:val="21"/>
                <w:highlight w:val="none"/>
              </w:rPr>
            </w:pPr>
            <w:r>
              <w:rPr>
                <w:rFonts w:hint="eastAsia" w:cs="宋体"/>
                <w:sz w:val="21"/>
                <w:szCs w:val="21"/>
                <w:highlight w:val="none"/>
              </w:rPr>
              <w:t>A-2</w:t>
            </w:r>
          </w:p>
        </w:tc>
        <w:tc>
          <w:tcPr>
            <w:tcW w:w="567" w:type="dxa"/>
            <w:noWrap w:val="0"/>
            <w:vAlign w:val="center"/>
          </w:tcPr>
          <w:p w14:paraId="074C7628">
            <w:pPr>
              <w:spacing w:line="440" w:lineRule="exact"/>
              <w:jc w:val="center"/>
              <w:rPr>
                <w:rFonts w:hint="eastAsia" w:cs="宋体"/>
                <w:sz w:val="21"/>
                <w:szCs w:val="21"/>
                <w:highlight w:val="none"/>
              </w:rPr>
            </w:pPr>
            <w:r>
              <w:rPr>
                <w:rFonts w:hint="eastAsia" w:cs="宋体"/>
                <w:sz w:val="21"/>
                <w:szCs w:val="21"/>
                <w:highlight w:val="none"/>
              </w:rPr>
              <w:t>A-3</w:t>
            </w:r>
          </w:p>
        </w:tc>
        <w:tc>
          <w:tcPr>
            <w:tcW w:w="709" w:type="dxa"/>
            <w:noWrap w:val="0"/>
            <w:vAlign w:val="center"/>
          </w:tcPr>
          <w:p w14:paraId="0086929A">
            <w:pPr>
              <w:spacing w:line="440" w:lineRule="exact"/>
              <w:jc w:val="center"/>
              <w:rPr>
                <w:rFonts w:hint="eastAsia" w:cs="宋体"/>
                <w:sz w:val="21"/>
                <w:szCs w:val="21"/>
                <w:highlight w:val="none"/>
              </w:rPr>
            </w:pPr>
            <w:r>
              <w:rPr>
                <w:rFonts w:hint="eastAsia" w:cs="宋体"/>
                <w:sz w:val="21"/>
                <w:szCs w:val="21"/>
                <w:highlight w:val="none"/>
              </w:rPr>
              <w:t>……</w:t>
            </w:r>
          </w:p>
        </w:tc>
      </w:tr>
      <w:tr w14:paraId="3D12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center"/>
          </w:tcPr>
          <w:p w14:paraId="27E93BA0">
            <w:pPr>
              <w:spacing w:line="440" w:lineRule="exact"/>
              <w:jc w:val="center"/>
              <w:rPr>
                <w:rFonts w:hint="eastAsia" w:cs="宋体"/>
                <w:sz w:val="21"/>
                <w:szCs w:val="21"/>
                <w:highlight w:val="none"/>
              </w:rPr>
            </w:pPr>
            <w:r>
              <w:rPr>
                <w:rFonts w:hint="eastAsia" w:cs="宋体"/>
                <w:sz w:val="21"/>
                <w:szCs w:val="21"/>
                <w:highlight w:val="none"/>
              </w:rPr>
              <w:t>1</w:t>
            </w:r>
          </w:p>
        </w:tc>
        <w:tc>
          <w:tcPr>
            <w:tcW w:w="1305" w:type="dxa"/>
            <w:noWrap w:val="0"/>
            <w:vAlign w:val="center"/>
          </w:tcPr>
          <w:p w14:paraId="01C60DB1">
            <w:pPr>
              <w:pStyle w:val="6"/>
              <w:widowControl w:val="0"/>
              <w:autoSpaceDE w:val="0"/>
              <w:autoSpaceDN w:val="0"/>
              <w:adjustRightInd w:val="0"/>
              <w:spacing w:before="0" w:beforeAutospacing="0" w:after="0" w:afterAutospacing="0" w:line="440" w:lineRule="exact"/>
              <w:jc w:val="center"/>
              <w:rPr>
                <w:rFonts w:hint="eastAsia" w:ascii="宋体"/>
                <w:color w:val="000000"/>
                <w:sz w:val="21"/>
                <w:szCs w:val="21"/>
                <w:highlight w:val="none"/>
              </w:rPr>
            </w:pPr>
            <w:r>
              <w:rPr>
                <w:rFonts w:hint="eastAsia" w:ascii="宋体"/>
                <w:sz w:val="21"/>
                <w:szCs w:val="21"/>
                <w:highlight w:val="none"/>
              </w:rPr>
              <w:t>商务符合性</w:t>
            </w:r>
          </w:p>
        </w:tc>
        <w:tc>
          <w:tcPr>
            <w:tcW w:w="4507" w:type="dxa"/>
            <w:noWrap w:val="0"/>
            <w:vAlign w:val="top"/>
          </w:tcPr>
          <w:p w14:paraId="0E1479C3">
            <w:pPr>
              <w:pStyle w:val="6"/>
              <w:widowControl w:val="0"/>
              <w:autoSpaceDE w:val="0"/>
              <w:autoSpaceDN w:val="0"/>
              <w:adjustRightInd w:val="0"/>
              <w:spacing w:before="0" w:beforeAutospacing="0" w:after="0" w:afterAutospacing="0" w:line="440" w:lineRule="exact"/>
              <w:rPr>
                <w:rFonts w:hint="eastAsia" w:ascii="宋体"/>
                <w:sz w:val="21"/>
                <w:szCs w:val="21"/>
                <w:highlight w:val="none"/>
              </w:rPr>
            </w:pPr>
            <w:r>
              <w:rPr>
                <w:rFonts w:hint="eastAsia" w:ascii="宋体" w:hAnsi="宋体" w:eastAsia="宋体" w:cs="宋体"/>
                <w:sz w:val="21"/>
                <w:szCs w:val="21"/>
                <w:highlight w:val="none"/>
              </w:rPr>
              <w:t>是否全部满足</w:t>
            </w:r>
            <w:r>
              <w:rPr>
                <w:rFonts w:hint="eastAsia" w:ascii="宋体" w:hAnsi="宋体" w:eastAsia="宋体" w:cs="宋体"/>
                <w:b/>
                <w:bCs/>
                <w:sz w:val="21"/>
                <w:szCs w:val="21"/>
                <w:highlight w:val="none"/>
              </w:rPr>
              <w:t>“第六部分 商务要求”</w:t>
            </w:r>
            <w:r>
              <w:rPr>
                <w:rFonts w:hint="eastAsia" w:ascii="宋体" w:hAnsi="宋体" w:eastAsia="宋体" w:cs="宋体"/>
                <w:b w:val="0"/>
                <w:bCs w:val="0"/>
                <w:sz w:val="21"/>
                <w:szCs w:val="21"/>
                <w:highlight w:val="none"/>
                <w:lang w:val="en-US" w:eastAsia="zh-CN"/>
              </w:rPr>
              <w:t>的所有要求</w:t>
            </w:r>
          </w:p>
        </w:tc>
        <w:tc>
          <w:tcPr>
            <w:tcW w:w="567" w:type="dxa"/>
            <w:noWrap w:val="0"/>
            <w:vAlign w:val="top"/>
          </w:tcPr>
          <w:p w14:paraId="1791127C">
            <w:pPr>
              <w:spacing w:line="440" w:lineRule="exact"/>
              <w:rPr>
                <w:rFonts w:hint="eastAsia" w:cs="宋体"/>
                <w:sz w:val="21"/>
                <w:szCs w:val="21"/>
                <w:highlight w:val="none"/>
              </w:rPr>
            </w:pPr>
          </w:p>
        </w:tc>
        <w:tc>
          <w:tcPr>
            <w:tcW w:w="567" w:type="dxa"/>
            <w:noWrap w:val="0"/>
            <w:vAlign w:val="top"/>
          </w:tcPr>
          <w:p w14:paraId="3203F73B">
            <w:pPr>
              <w:spacing w:line="440" w:lineRule="exact"/>
              <w:rPr>
                <w:rFonts w:hint="eastAsia" w:cs="宋体"/>
                <w:sz w:val="21"/>
                <w:szCs w:val="21"/>
                <w:highlight w:val="none"/>
              </w:rPr>
            </w:pPr>
          </w:p>
        </w:tc>
        <w:tc>
          <w:tcPr>
            <w:tcW w:w="567" w:type="dxa"/>
            <w:noWrap w:val="0"/>
            <w:vAlign w:val="top"/>
          </w:tcPr>
          <w:p w14:paraId="43A718F3">
            <w:pPr>
              <w:spacing w:line="440" w:lineRule="exact"/>
              <w:rPr>
                <w:rFonts w:hint="eastAsia" w:cs="宋体"/>
                <w:sz w:val="21"/>
                <w:szCs w:val="21"/>
                <w:highlight w:val="none"/>
              </w:rPr>
            </w:pPr>
          </w:p>
        </w:tc>
        <w:tc>
          <w:tcPr>
            <w:tcW w:w="709" w:type="dxa"/>
            <w:noWrap w:val="0"/>
            <w:vAlign w:val="top"/>
          </w:tcPr>
          <w:p w14:paraId="12FF0059">
            <w:pPr>
              <w:spacing w:line="440" w:lineRule="exact"/>
              <w:rPr>
                <w:rFonts w:hint="eastAsia" w:cs="宋体"/>
                <w:sz w:val="21"/>
                <w:szCs w:val="21"/>
                <w:highlight w:val="none"/>
              </w:rPr>
            </w:pPr>
          </w:p>
        </w:tc>
      </w:tr>
      <w:tr w14:paraId="1A9D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41B1AA6">
            <w:pPr>
              <w:spacing w:line="440" w:lineRule="exact"/>
              <w:jc w:val="center"/>
              <w:rPr>
                <w:rFonts w:hint="eastAsia" w:cs="宋体"/>
                <w:sz w:val="21"/>
                <w:szCs w:val="21"/>
                <w:highlight w:val="none"/>
              </w:rPr>
            </w:pPr>
            <w:r>
              <w:rPr>
                <w:rFonts w:hint="eastAsia" w:cs="宋体"/>
                <w:sz w:val="21"/>
                <w:szCs w:val="21"/>
                <w:highlight w:val="none"/>
              </w:rPr>
              <w:t>2</w:t>
            </w:r>
          </w:p>
        </w:tc>
        <w:tc>
          <w:tcPr>
            <w:tcW w:w="1305" w:type="dxa"/>
            <w:noWrap w:val="0"/>
            <w:vAlign w:val="top"/>
          </w:tcPr>
          <w:p w14:paraId="26A62510">
            <w:pPr>
              <w:pStyle w:val="6"/>
              <w:widowControl w:val="0"/>
              <w:autoSpaceDE w:val="0"/>
              <w:autoSpaceDN w:val="0"/>
              <w:adjustRightInd w:val="0"/>
              <w:spacing w:before="0" w:beforeAutospacing="0" w:after="0" w:afterAutospacing="0" w:line="440" w:lineRule="exact"/>
              <w:jc w:val="center"/>
              <w:rPr>
                <w:rFonts w:hint="eastAsia" w:ascii="宋体"/>
                <w:sz w:val="21"/>
                <w:szCs w:val="21"/>
                <w:highlight w:val="none"/>
              </w:rPr>
            </w:pPr>
            <w:r>
              <w:rPr>
                <w:rFonts w:hint="eastAsia" w:ascii="宋体"/>
                <w:sz w:val="21"/>
                <w:szCs w:val="21"/>
                <w:highlight w:val="none"/>
              </w:rPr>
              <w:t>技术符合性</w:t>
            </w:r>
          </w:p>
        </w:tc>
        <w:tc>
          <w:tcPr>
            <w:tcW w:w="4507" w:type="dxa"/>
            <w:noWrap w:val="0"/>
            <w:vAlign w:val="top"/>
          </w:tcPr>
          <w:p w14:paraId="7E316E6A">
            <w:pPr>
              <w:pStyle w:val="6"/>
              <w:widowControl w:val="0"/>
              <w:autoSpaceDE w:val="0"/>
              <w:autoSpaceDN w:val="0"/>
              <w:adjustRightInd w:val="0"/>
              <w:spacing w:before="0" w:beforeAutospacing="0" w:after="0" w:afterAutospacing="0" w:line="440" w:lineRule="exact"/>
              <w:rPr>
                <w:rFonts w:hint="eastAsia" w:ascii="宋体"/>
                <w:sz w:val="21"/>
                <w:szCs w:val="21"/>
                <w:highlight w:val="none"/>
              </w:rPr>
            </w:pPr>
            <w:r>
              <w:rPr>
                <w:rFonts w:hint="eastAsia" w:ascii="宋体" w:hAnsi="宋体" w:eastAsia="宋体" w:cs="宋体"/>
                <w:sz w:val="21"/>
                <w:szCs w:val="21"/>
                <w:highlight w:val="none"/>
              </w:rPr>
              <w:t>是否全部满足</w:t>
            </w:r>
            <w:r>
              <w:rPr>
                <w:rFonts w:hint="eastAsia" w:ascii="宋体" w:hAnsi="宋体" w:eastAsia="宋体" w:cs="宋体"/>
                <w:b/>
                <w:bCs/>
                <w:sz w:val="21"/>
                <w:szCs w:val="21"/>
                <w:highlight w:val="none"/>
              </w:rPr>
              <w:t xml:space="preserve">“第五部分 </w:t>
            </w:r>
            <w:r>
              <w:rPr>
                <w:rFonts w:hint="eastAsia" w:ascii="宋体" w:hAnsi="宋体" w:eastAsia="宋体" w:cs="宋体"/>
                <w:b/>
                <w:bCs/>
                <w:sz w:val="21"/>
                <w:szCs w:val="21"/>
                <w:highlight w:val="none"/>
                <w:lang w:eastAsia="zh-CN"/>
              </w:rPr>
              <w:t>采购要求</w:t>
            </w:r>
            <w:r>
              <w:rPr>
                <w:rFonts w:hint="eastAsia" w:ascii="宋体" w:hAnsi="宋体" w:eastAsia="宋体" w:cs="宋体"/>
                <w:b/>
                <w:bCs/>
                <w:sz w:val="21"/>
                <w:szCs w:val="21"/>
                <w:highlight w:val="none"/>
              </w:rPr>
              <w:t>”</w:t>
            </w:r>
            <w:r>
              <w:rPr>
                <w:rFonts w:hint="eastAsia" w:ascii="宋体" w:hAnsi="宋体" w:eastAsia="宋体" w:cs="宋体"/>
                <w:b w:val="0"/>
                <w:bCs w:val="0"/>
                <w:sz w:val="21"/>
                <w:szCs w:val="21"/>
                <w:highlight w:val="none"/>
                <w:lang w:val="en-US" w:eastAsia="zh-CN"/>
              </w:rPr>
              <w:t>的所有要求</w:t>
            </w:r>
          </w:p>
        </w:tc>
        <w:tc>
          <w:tcPr>
            <w:tcW w:w="567" w:type="dxa"/>
            <w:noWrap w:val="0"/>
            <w:vAlign w:val="top"/>
          </w:tcPr>
          <w:p w14:paraId="4EC81A82">
            <w:pPr>
              <w:spacing w:line="440" w:lineRule="exact"/>
              <w:rPr>
                <w:rFonts w:hint="eastAsia" w:cs="宋体"/>
                <w:sz w:val="21"/>
                <w:szCs w:val="21"/>
                <w:highlight w:val="none"/>
              </w:rPr>
            </w:pPr>
          </w:p>
        </w:tc>
        <w:tc>
          <w:tcPr>
            <w:tcW w:w="567" w:type="dxa"/>
            <w:noWrap w:val="0"/>
            <w:vAlign w:val="top"/>
          </w:tcPr>
          <w:p w14:paraId="0DE71731">
            <w:pPr>
              <w:spacing w:line="440" w:lineRule="exact"/>
              <w:rPr>
                <w:rFonts w:hint="eastAsia" w:cs="宋体"/>
                <w:sz w:val="21"/>
                <w:szCs w:val="21"/>
                <w:highlight w:val="none"/>
              </w:rPr>
            </w:pPr>
          </w:p>
        </w:tc>
        <w:tc>
          <w:tcPr>
            <w:tcW w:w="567" w:type="dxa"/>
            <w:noWrap w:val="0"/>
            <w:vAlign w:val="top"/>
          </w:tcPr>
          <w:p w14:paraId="50067B12">
            <w:pPr>
              <w:spacing w:line="440" w:lineRule="exact"/>
              <w:rPr>
                <w:rFonts w:hint="eastAsia" w:cs="宋体"/>
                <w:sz w:val="21"/>
                <w:szCs w:val="21"/>
                <w:highlight w:val="none"/>
              </w:rPr>
            </w:pPr>
          </w:p>
        </w:tc>
        <w:tc>
          <w:tcPr>
            <w:tcW w:w="709" w:type="dxa"/>
            <w:noWrap w:val="0"/>
            <w:vAlign w:val="top"/>
          </w:tcPr>
          <w:p w14:paraId="4BF47BA1">
            <w:pPr>
              <w:spacing w:line="440" w:lineRule="exact"/>
              <w:rPr>
                <w:rFonts w:hint="eastAsia" w:cs="宋体"/>
                <w:sz w:val="21"/>
                <w:szCs w:val="21"/>
                <w:highlight w:val="none"/>
              </w:rPr>
            </w:pPr>
          </w:p>
        </w:tc>
      </w:tr>
      <w:tr w14:paraId="1C03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86E1616">
            <w:pPr>
              <w:spacing w:line="440" w:lineRule="exact"/>
              <w:jc w:val="center"/>
              <w:rPr>
                <w:rFonts w:hint="eastAsia" w:eastAsia="宋体" w:cs="宋体"/>
                <w:sz w:val="21"/>
                <w:szCs w:val="21"/>
                <w:highlight w:val="none"/>
                <w:lang w:eastAsia="zh-CN"/>
              </w:rPr>
            </w:pPr>
            <w:r>
              <w:rPr>
                <w:rFonts w:hint="default" w:cs="宋体"/>
                <w:sz w:val="21"/>
                <w:szCs w:val="21"/>
                <w:highlight w:val="none"/>
                <w:lang w:val="en-US"/>
              </w:rPr>
              <w:t>3</w:t>
            </w:r>
          </w:p>
        </w:tc>
        <w:tc>
          <w:tcPr>
            <w:tcW w:w="1305" w:type="dxa"/>
            <w:noWrap w:val="0"/>
            <w:vAlign w:val="center"/>
          </w:tcPr>
          <w:p w14:paraId="0901EB4E">
            <w:pPr>
              <w:pStyle w:val="6"/>
              <w:widowControl w:val="0"/>
              <w:autoSpaceDE w:val="0"/>
              <w:autoSpaceDN w:val="0"/>
              <w:adjustRightInd w:val="0"/>
              <w:spacing w:before="0" w:beforeAutospacing="0" w:after="0" w:afterAutospacing="0" w:line="440" w:lineRule="exact"/>
              <w:jc w:val="center"/>
              <w:rPr>
                <w:rFonts w:hint="eastAsia" w:ascii="宋体"/>
                <w:sz w:val="21"/>
                <w:szCs w:val="21"/>
                <w:highlight w:val="none"/>
              </w:rPr>
            </w:pPr>
            <w:r>
              <w:rPr>
                <w:rFonts w:hint="eastAsia" w:ascii="宋体"/>
                <w:sz w:val="21"/>
                <w:szCs w:val="21"/>
                <w:highlight w:val="none"/>
              </w:rPr>
              <w:t>无效标审查</w:t>
            </w:r>
          </w:p>
        </w:tc>
        <w:tc>
          <w:tcPr>
            <w:tcW w:w="4507" w:type="dxa"/>
            <w:noWrap w:val="0"/>
            <w:vAlign w:val="top"/>
          </w:tcPr>
          <w:p w14:paraId="1455D1F3">
            <w:pPr>
              <w:pStyle w:val="6"/>
              <w:widowControl w:val="0"/>
              <w:autoSpaceDE w:val="0"/>
              <w:autoSpaceDN w:val="0"/>
              <w:adjustRightInd w:val="0"/>
              <w:spacing w:before="0" w:beforeAutospacing="0" w:after="0" w:afterAutospacing="0" w:line="440" w:lineRule="exact"/>
              <w:rPr>
                <w:rFonts w:hint="eastAsia" w:ascii="宋体"/>
                <w:sz w:val="21"/>
                <w:szCs w:val="21"/>
                <w:highlight w:val="none"/>
              </w:rPr>
            </w:pPr>
            <w:r>
              <w:rPr>
                <w:rFonts w:hint="eastAsia" w:ascii="宋体"/>
                <w:sz w:val="21"/>
                <w:szCs w:val="21"/>
                <w:highlight w:val="none"/>
              </w:rPr>
              <w:t>按本项目磋商文件无效标条款规定，审查是否通过。</w:t>
            </w:r>
          </w:p>
        </w:tc>
        <w:tc>
          <w:tcPr>
            <w:tcW w:w="567" w:type="dxa"/>
            <w:noWrap w:val="0"/>
            <w:vAlign w:val="top"/>
          </w:tcPr>
          <w:p w14:paraId="5DE6DFBE">
            <w:pPr>
              <w:spacing w:line="440" w:lineRule="exact"/>
              <w:rPr>
                <w:rFonts w:hint="eastAsia" w:cs="宋体"/>
                <w:sz w:val="21"/>
                <w:szCs w:val="21"/>
                <w:highlight w:val="none"/>
              </w:rPr>
            </w:pPr>
          </w:p>
        </w:tc>
        <w:tc>
          <w:tcPr>
            <w:tcW w:w="567" w:type="dxa"/>
            <w:noWrap w:val="0"/>
            <w:vAlign w:val="top"/>
          </w:tcPr>
          <w:p w14:paraId="02AE8A4F">
            <w:pPr>
              <w:spacing w:line="440" w:lineRule="exact"/>
              <w:rPr>
                <w:rFonts w:hint="eastAsia" w:cs="宋体"/>
                <w:sz w:val="21"/>
                <w:szCs w:val="21"/>
                <w:highlight w:val="none"/>
              </w:rPr>
            </w:pPr>
          </w:p>
        </w:tc>
        <w:tc>
          <w:tcPr>
            <w:tcW w:w="567" w:type="dxa"/>
            <w:noWrap w:val="0"/>
            <w:vAlign w:val="top"/>
          </w:tcPr>
          <w:p w14:paraId="664EB638">
            <w:pPr>
              <w:spacing w:line="440" w:lineRule="exact"/>
              <w:rPr>
                <w:rFonts w:hint="eastAsia" w:cs="宋体"/>
                <w:sz w:val="21"/>
                <w:szCs w:val="21"/>
                <w:highlight w:val="none"/>
              </w:rPr>
            </w:pPr>
          </w:p>
        </w:tc>
        <w:tc>
          <w:tcPr>
            <w:tcW w:w="709" w:type="dxa"/>
            <w:noWrap w:val="0"/>
            <w:vAlign w:val="top"/>
          </w:tcPr>
          <w:p w14:paraId="031E2635">
            <w:pPr>
              <w:spacing w:line="440" w:lineRule="exact"/>
              <w:rPr>
                <w:rFonts w:hint="eastAsia" w:cs="宋体"/>
                <w:sz w:val="21"/>
                <w:szCs w:val="21"/>
                <w:highlight w:val="none"/>
              </w:rPr>
            </w:pPr>
          </w:p>
        </w:tc>
      </w:tr>
      <w:tr w14:paraId="3FE4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FB2A06E">
            <w:pPr>
              <w:spacing w:line="440" w:lineRule="exact"/>
              <w:jc w:val="center"/>
              <w:rPr>
                <w:rFonts w:hint="eastAsia" w:eastAsia="宋体" w:cs="宋体"/>
                <w:sz w:val="21"/>
                <w:szCs w:val="21"/>
                <w:highlight w:val="none"/>
                <w:lang w:eastAsia="zh-CN"/>
              </w:rPr>
            </w:pPr>
            <w:r>
              <w:rPr>
                <w:rFonts w:hint="default" w:cs="宋体"/>
                <w:sz w:val="21"/>
                <w:szCs w:val="21"/>
                <w:highlight w:val="none"/>
                <w:lang w:val="en-US"/>
              </w:rPr>
              <w:t>4</w:t>
            </w:r>
          </w:p>
        </w:tc>
        <w:tc>
          <w:tcPr>
            <w:tcW w:w="5812" w:type="dxa"/>
            <w:gridSpan w:val="2"/>
            <w:noWrap w:val="0"/>
            <w:vAlign w:val="top"/>
          </w:tcPr>
          <w:p w14:paraId="386912D7">
            <w:pPr>
              <w:spacing w:line="440" w:lineRule="exact"/>
              <w:jc w:val="center"/>
              <w:rPr>
                <w:rFonts w:hint="eastAsia" w:cs="宋体"/>
                <w:sz w:val="21"/>
                <w:szCs w:val="21"/>
                <w:highlight w:val="none"/>
              </w:rPr>
            </w:pPr>
            <w:r>
              <w:rPr>
                <w:rFonts w:hint="eastAsia" w:cs="宋体"/>
                <w:sz w:val="21"/>
                <w:szCs w:val="21"/>
                <w:highlight w:val="none"/>
              </w:rPr>
              <w:t>结论（通过或不通过）</w:t>
            </w:r>
          </w:p>
        </w:tc>
        <w:tc>
          <w:tcPr>
            <w:tcW w:w="567" w:type="dxa"/>
            <w:noWrap w:val="0"/>
            <w:vAlign w:val="top"/>
          </w:tcPr>
          <w:p w14:paraId="634FBB73">
            <w:pPr>
              <w:spacing w:line="440" w:lineRule="exact"/>
              <w:rPr>
                <w:rFonts w:hint="eastAsia" w:cs="宋体"/>
                <w:sz w:val="21"/>
                <w:szCs w:val="21"/>
                <w:highlight w:val="none"/>
              </w:rPr>
            </w:pPr>
          </w:p>
        </w:tc>
        <w:tc>
          <w:tcPr>
            <w:tcW w:w="567" w:type="dxa"/>
            <w:noWrap w:val="0"/>
            <w:vAlign w:val="top"/>
          </w:tcPr>
          <w:p w14:paraId="76B91BBD">
            <w:pPr>
              <w:spacing w:line="440" w:lineRule="exact"/>
              <w:rPr>
                <w:rFonts w:hint="eastAsia" w:cs="宋体"/>
                <w:sz w:val="21"/>
                <w:szCs w:val="21"/>
                <w:highlight w:val="none"/>
              </w:rPr>
            </w:pPr>
          </w:p>
        </w:tc>
        <w:tc>
          <w:tcPr>
            <w:tcW w:w="567" w:type="dxa"/>
            <w:noWrap w:val="0"/>
            <w:vAlign w:val="top"/>
          </w:tcPr>
          <w:p w14:paraId="2F456E3C">
            <w:pPr>
              <w:spacing w:line="440" w:lineRule="exact"/>
              <w:rPr>
                <w:rFonts w:hint="eastAsia" w:cs="宋体"/>
                <w:sz w:val="21"/>
                <w:szCs w:val="21"/>
                <w:highlight w:val="none"/>
              </w:rPr>
            </w:pPr>
          </w:p>
        </w:tc>
        <w:tc>
          <w:tcPr>
            <w:tcW w:w="709" w:type="dxa"/>
            <w:noWrap w:val="0"/>
            <w:vAlign w:val="top"/>
          </w:tcPr>
          <w:p w14:paraId="57C80B68">
            <w:pPr>
              <w:spacing w:line="440" w:lineRule="exact"/>
              <w:rPr>
                <w:rFonts w:hint="eastAsia" w:cs="宋体"/>
                <w:sz w:val="21"/>
                <w:szCs w:val="21"/>
                <w:highlight w:val="none"/>
              </w:rPr>
            </w:pPr>
          </w:p>
        </w:tc>
      </w:tr>
    </w:tbl>
    <w:p w14:paraId="606297E1">
      <w:pPr>
        <w:snapToGrid w:val="0"/>
        <w:spacing w:after="120" w:afterLines="50" w:line="500" w:lineRule="exact"/>
        <w:rPr>
          <w:rFonts w:hint="eastAsia" w:cs="宋体"/>
          <w:b/>
          <w:bCs/>
          <w:sz w:val="24"/>
          <w:szCs w:val="24"/>
          <w:highlight w:val="none"/>
        </w:rPr>
      </w:pPr>
      <w:r>
        <w:rPr>
          <w:rFonts w:hint="eastAsia" w:cs="宋体"/>
          <w:b/>
          <w:bCs/>
          <w:sz w:val="24"/>
          <w:szCs w:val="24"/>
          <w:highlight w:val="none"/>
        </w:rPr>
        <w:t>评标标准</w:t>
      </w:r>
    </w:p>
    <w:p w14:paraId="754D4C98">
      <w:pPr>
        <w:snapToGrid w:val="0"/>
        <w:spacing w:line="360" w:lineRule="auto"/>
        <w:ind w:firstLine="480" w:firstLineChars="200"/>
        <w:rPr>
          <w:rFonts w:hint="eastAsia" w:cs="宋体"/>
          <w:snapToGrid w:val="0"/>
          <w:sz w:val="24"/>
          <w:szCs w:val="24"/>
          <w:highlight w:val="none"/>
        </w:rPr>
      </w:pPr>
      <w:r>
        <w:rPr>
          <w:rFonts w:hint="eastAsia" w:cs="宋体"/>
          <w:snapToGrid w:val="0"/>
          <w:sz w:val="24"/>
          <w:szCs w:val="24"/>
          <w:highlight w:val="none"/>
        </w:rPr>
        <w:t>本次磋商采用</w:t>
      </w:r>
      <w:r>
        <w:rPr>
          <w:rFonts w:hint="eastAsia" w:cs="宋体"/>
          <w:b/>
          <w:snapToGrid w:val="0"/>
          <w:sz w:val="24"/>
          <w:szCs w:val="24"/>
          <w:highlight w:val="none"/>
        </w:rPr>
        <w:t>综合评分法</w:t>
      </w:r>
      <w:r>
        <w:rPr>
          <w:rFonts w:hint="eastAsia" w:cs="宋体"/>
          <w:snapToGrid w:val="0"/>
          <w:sz w:val="24"/>
          <w:szCs w:val="24"/>
          <w:highlight w:val="none"/>
        </w:rPr>
        <w:t>。</w:t>
      </w:r>
    </w:p>
    <w:p w14:paraId="410DF812">
      <w:pPr>
        <w:snapToGrid w:val="0"/>
        <w:spacing w:line="360" w:lineRule="auto"/>
        <w:ind w:firstLine="480" w:firstLineChars="200"/>
        <w:rPr>
          <w:rFonts w:hint="eastAsia" w:cs="宋体"/>
          <w:snapToGrid w:val="0"/>
          <w:sz w:val="24"/>
          <w:szCs w:val="24"/>
          <w:highlight w:val="none"/>
        </w:rPr>
      </w:pPr>
      <w:r>
        <w:rPr>
          <w:rFonts w:hint="eastAsia" w:cs="宋体"/>
          <w:snapToGrid w:val="0"/>
          <w:sz w:val="24"/>
          <w:szCs w:val="24"/>
          <w:highlight w:val="none"/>
        </w:rPr>
        <w:t>本项目评审因素包括：</w:t>
      </w:r>
      <w:r>
        <w:rPr>
          <w:rFonts w:hint="eastAsia" w:cs="宋体"/>
          <w:sz w:val="24"/>
          <w:highlight w:val="none"/>
        </w:rPr>
        <w:t>价格因素、商务因素和技术因素。评分因素详见评分明细表，评标分值保留至两位小数。评审时，磋商小组依照评分表对每个有效供应商的响应文件进行独立评审、打分。</w:t>
      </w:r>
    </w:p>
    <w:p w14:paraId="43C99172">
      <w:pPr>
        <w:spacing w:line="360" w:lineRule="auto"/>
        <w:ind w:firstLine="482" w:firstLineChars="200"/>
        <w:rPr>
          <w:rFonts w:hint="eastAsia" w:cs="宋体"/>
          <w:b/>
          <w:sz w:val="24"/>
          <w:szCs w:val="24"/>
          <w:highlight w:val="none"/>
        </w:rPr>
      </w:pPr>
      <w:r>
        <w:rPr>
          <w:rFonts w:hint="eastAsia" w:cs="宋体"/>
          <w:b/>
          <w:sz w:val="24"/>
          <w:szCs w:val="24"/>
          <w:highlight w:val="none"/>
        </w:rPr>
        <w:t>评分标准涉及到需提供的资料、文件等必须是真实有效的，弄虚作假者一经查实其投标将做无效投标处理，同时该投标供应商相关违法行为将提交到</w:t>
      </w:r>
      <w:r>
        <w:rPr>
          <w:rFonts w:hint="eastAsia" w:cs="宋体"/>
          <w:b/>
          <w:sz w:val="24"/>
          <w:szCs w:val="24"/>
          <w:highlight w:val="none"/>
          <w:lang w:eastAsia="zh-CN"/>
        </w:rPr>
        <w:t>贵州省疾病预防控制中心</w:t>
      </w:r>
      <w:r>
        <w:rPr>
          <w:rFonts w:hint="eastAsia" w:cs="宋体"/>
          <w:b/>
          <w:sz w:val="24"/>
          <w:szCs w:val="24"/>
          <w:highlight w:val="none"/>
        </w:rPr>
        <w:t>监督管理部门处理。</w:t>
      </w:r>
    </w:p>
    <w:p w14:paraId="7129392E">
      <w:pPr>
        <w:spacing w:line="360" w:lineRule="auto"/>
        <w:ind w:firstLine="482" w:firstLineChars="200"/>
        <w:rPr>
          <w:rFonts w:hint="eastAsia" w:cs="宋体"/>
          <w:b/>
          <w:sz w:val="24"/>
          <w:highlight w:val="none"/>
        </w:rPr>
      </w:pPr>
    </w:p>
    <w:p w14:paraId="3E66E320">
      <w:pPr>
        <w:spacing w:line="360" w:lineRule="auto"/>
        <w:rPr>
          <w:rFonts w:hint="eastAsia" w:cs="宋体"/>
          <w:b/>
          <w:sz w:val="24"/>
          <w:highlight w:val="none"/>
        </w:rPr>
      </w:pPr>
      <w:r>
        <w:rPr>
          <w:rFonts w:hint="eastAsia" w:cs="宋体"/>
          <w:b/>
          <w:sz w:val="24"/>
          <w:highlight w:val="none"/>
        </w:rPr>
        <w:t>评分细则：</w:t>
      </w:r>
    </w:p>
    <w:tbl>
      <w:tblPr>
        <w:tblStyle w:val="7"/>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13"/>
        <w:gridCol w:w="762"/>
      </w:tblGrid>
      <w:tr w14:paraId="0172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14:paraId="1DB72963">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评审项</w:t>
            </w:r>
          </w:p>
        </w:tc>
        <w:tc>
          <w:tcPr>
            <w:tcW w:w="7113" w:type="dxa"/>
            <w:noWrap w:val="0"/>
            <w:vAlign w:val="center"/>
          </w:tcPr>
          <w:p w14:paraId="01D18771">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  分  标  准</w:t>
            </w:r>
          </w:p>
        </w:tc>
        <w:tc>
          <w:tcPr>
            <w:tcW w:w="762" w:type="dxa"/>
            <w:noWrap w:val="0"/>
            <w:vAlign w:val="center"/>
          </w:tcPr>
          <w:p w14:paraId="032BE43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分值</w:t>
            </w:r>
          </w:p>
        </w:tc>
      </w:tr>
      <w:tr w14:paraId="5AB2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noWrap w:val="0"/>
            <w:vAlign w:val="center"/>
          </w:tcPr>
          <w:p w14:paraId="30485D1C">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报价分</w:t>
            </w:r>
          </w:p>
          <w:p w14:paraId="24037947">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lang w:val="en-US" w:eastAsia="zh-CN"/>
              </w:rPr>
              <w:t>(30</w:t>
            </w:r>
            <w:r>
              <w:rPr>
                <w:rFonts w:hint="eastAsia" w:ascii="宋体" w:hAnsi="宋体" w:eastAsia="宋体" w:cs="宋体"/>
                <w:b/>
                <w:color w:val="auto"/>
                <w:kern w:val="2"/>
                <w:sz w:val="24"/>
                <w:szCs w:val="24"/>
                <w:highlight w:val="none"/>
              </w:rPr>
              <w:t>分)</w:t>
            </w:r>
          </w:p>
        </w:tc>
        <w:tc>
          <w:tcPr>
            <w:tcW w:w="7113" w:type="dxa"/>
            <w:noWrap w:val="0"/>
            <w:vAlign w:val="center"/>
          </w:tcPr>
          <w:p w14:paraId="20A45B5E">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default" w:ascii="宋体" w:hAnsi="宋体" w:eastAsia="宋体" w:cs="宋体"/>
                <w:spacing w:val="0"/>
                <w:kern w:val="0"/>
                <w:sz w:val="24"/>
                <w:szCs w:val="24"/>
                <w:highlight w:val="none"/>
                <w:lang w:val="en-US" w:eastAsia="zh-CN"/>
              </w:rPr>
            </w:pPr>
            <w:r>
              <w:rPr>
                <w:rFonts w:hint="eastAsia" w:ascii="宋体" w:hAnsi="宋体" w:eastAsia="宋体" w:cs="宋体"/>
                <w:spacing w:val="0"/>
                <w:kern w:val="0"/>
                <w:sz w:val="24"/>
                <w:szCs w:val="24"/>
                <w:highlight w:val="none"/>
                <w:lang w:val="en-US" w:eastAsia="zh-CN"/>
              </w:rPr>
              <w:t>磋商</w:t>
            </w:r>
            <w:r>
              <w:rPr>
                <w:rFonts w:hint="eastAsia" w:ascii="宋体" w:hAnsi="宋体" w:eastAsia="宋体" w:cs="宋体"/>
                <w:spacing w:val="0"/>
                <w:kern w:val="0"/>
                <w:sz w:val="24"/>
                <w:szCs w:val="24"/>
                <w:highlight w:val="none"/>
              </w:rPr>
              <w:t>报价得分=（</w:t>
            </w:r>
            <w:r>
              <w:rPr>
                <w:rFonts w:hint="eastAsia" w:ascii="宋体" w:hAnsi="宋体" w:eastAsia="宋体" w:cs="宋体"/>
                <w:spacing w:val="0"/>
                <w:kern w:val="0"/>
                <w:sz w:val="24"/>
                <w:szCs w:val="24"/>
                <w:highlight w:val="none"/>
                <w:lang w:val="en-US" w:eastAsia="zh-CN"/>
              </w:rPr>
              <w:t>磋商</w:t>
            </w:r>
            <w:r>
              <w:rPr>
                <w:rFonts w:hint="eastAsia" w:ascii="宋体" w:hAnsi="宋体" w:eastAsia="宋体" w:cs="宋体"/>
                <w:spacing w:val="0"/>
                <w:kern w:val="0"/>
                <w:sz w:val="24"/>
                <w:szCs w:val="24"/>
                <w:highlight w:val="none"/>
              </w:rPr>
              <w:t>基准价/</w:t>
            </w:r>
            <w:r>
              <w:rPr>
                <w:rFonts w:hint="eastAsia" w:ascii="宋体" w:hAnsi="宋体" w:eastAsia="宋体" w:cs="宋体"/>
                <w:spacing w:val="0"/>
                <w:kern w:val="0"/>
                <w:sz w:val="24"/>
                <w:szCs w:val="24"/>
                <w:highlight w:val="none"/>
                <w:lang w:val="en-US" w:eastAsia="zh-CN"/>
              </w:rPr>
              <w:t>最后磋商</w:t>
            </w:r>
            <w:r>
              <w:rPr>
                <w:rFonts w:hint="eastAsia" w:ascii="宋体" w:hAnsi="宋体" w:eastAsia="宋体" w:cs="宋体"/>
                <w:spacing w:val="0"/>
                <w:kern w:val="0"/>
                <w:sz w:val="24"/>
                <w:szCs w:val="24"/>
                <w:highlight w:val="none"/>
              </w:rPr>
              <w:t>报价）×</w:t>
            </w:r>
            <w:r>
              <w:rPr>
                <w:rFonts w:hint="eastAsia" w:ascii="宋体" w:hAnsi="宋体" w:eastAsia="宋体" w:cs="宋体"/>
                <w:spacing w:val="0"/>
                <w:kern w:val="0"/>
                <w:sz w:val="24"/>
                <w:szCs w:val="24"/>
                <w:highlight w:val="none"/>
                <w:lang w:val="en-US" w:eastAsia="zh-CN"/>
              </w:rPr>
              <w:t>30</w:t>
            </w:r>
          </w:p>
          <w:p w14:paraId="04BDC1C1">
            <w:pPr>
              <w:keepNext w:val="0"/>
              <w:keepLines w:val="0"/>
              <w:pageBreakBefore w:val="0"/>
              <w:widowControl/>
              <w:kinsoku/>
              <w:wordWrap/>
              <w:overflowPunct/>
              <w:topLinePunct w:val="0"/>
              <w:autoSpaceDE w:val="0"/>
              <w:autoSpaceDN w:val="0"/>
              <w:bidi w:val="0"/>
              <w:adjustRightInd w:val="0"/>
              <w:snapToGrid w:val="0"/>
              <w:spacing w:line="440" w:lineRule="exact"/>
              <w:ind w:left="538" w:hanging="538"/>
              <w:jc w:val="both"/>
              <w:textAlignment w:val="baseline"/>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注：</w:t>
            </w:r>
          </w:p>
          <w:p w14:paraId="4A713B20">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both"/>
              <w:textAlignment w:val="baseline"/>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1.</w:t>
            </w:r>
            <w:r>
              <w:rPr>
                <w:rFonts w:hint="eastAsia" w:ascii="宋体" w:hAnsi="宋体" w:eastAsia="宋体" w:cs="宋体"/>
                <w:spacing w:val="0"/>
                <w:kern w:val="0"/>
                <w:sz w:val="24"/>
                <w:szCs w:val="24"/>
                <w:highlight w:val="none"/>
                <w:lang w:val="en-US" w:eastAsia="zh-CN"/>
              </w:rPr>
              <w:t>磋商</w:t>
            </w:r>
            <w:r>
              <w:rPr>
                <w:rFonts w:hint="eastAsia" w:ascii="宋体" w:hAnsi="宋体" w:eastAsia="宋体" w:cs="宋体"/>
                <w:spacing w:val="0"/>
                <w:kern w:val="0"/>
                <w:sz w:val="24"/>
                <w:szCs w:val="24"/>
                <w:highlight w:val="none"/>
              </w:rPr>
              <w:t>基准价指满足磋商文件要求且</w:t>
            </w:r>
            <w:r>
              <w:rPr>
                <w:rFonts w:hint="eastAsia" w:ascii="宋体" w:hAnsi="宋体" w:eastAsia="宋体" w:cs="宋体"/>
                <w:spacing w:val="0"/>
                <w:kern w:val="0"/>
                <w:sz w:val="24"/>
                <w:szCs w:val="24"/>
                <w:highlight w:val="none"/>
                <w:lang w:val="en-US" w:eastAsia="zh-CN"/>
              </w:rPr>
              <w:t>响应</w:t>
            </w:r>
            <w:r>
              <w:rPr>
                <w:rFonts w:hint="eastAsia" w:ascii="宋体" w:hAnsi="宋体" w:eastAsia="宋体" w:cs="宋体"/>
                <w:spacing w:val="0"/>
                <w:kern w:val="0"/>
                <w:sz w:val="24"/>
                <w:szCs w:val="24"/>
                <w:highlight w:val="none"/>
              </w:rPr>
              <w:t>报价最低的最后报价，</w:t>
            </w:r>
            <w:r>
              <w:rPr>
                <w:rFonts w:hint="eastAsia" w:ascii="宋体" w:hAnsi="宋体" w:eastAsia="宋体" w:cs="宋体"/>
                <w:spacing w:val="0"/>
                <w:kern w:val="0"/>
                <w:sz w:val="24"/>
                <w:szCs w:val="24"/>
                <w:highlight w:val="none"/>
                <w:lang w:val="en-US" w:eastAsia="zh-CN"/>
              </w:rPr>
              <w:t>最后磋商</w:t>
            </w:r>
            <w:r>
              <w:rPr>
                <w:rFonts w:hint="eastAsia" w:ascii="宋体" w:hAnsi="宋体" w:eastAsia="宋体" w:cs="宋体"/>
                <w:spacing w:val="0"/>
                <w:kern w:val="0"/>
                <w:sz w:val="24"/>
                <w:szCs w:val="24"/>
                <w:highlight w:val="none"/>
              </w:rPr>
              <w:t>报价指满足磋商文件要求的各</w:t>
            </w:r>
            <w:r>
              <w:rPr>
                <w:rFonts w:hint="eastAsia" w:ascii="宋体" w:hAnsi="宋体" w:eastAsia="宋体" w:cs="宋体"/>
                <w:spacing w:val="0"/>
                <w:kern w:val="0"/>
                <w:sz w:val="24"/>
                <w:szCs w:val="24"/>
                <w:highlight w:val="none"/>
                <w:lang w:val="en-US" w:eastAsia="zh-CN"/>
              </w:rPr>
              <w:t>投标单位</w:t>
            </w:r>
            <w:r>
              <w:rPr>
                <w:rFonts w:hint="eastAsia" w:ascii="宋体" w:hAnsi="宋体" w:eastAsia="宋体" w:cs="宋体"/>
                <w:spacing w:val="0"/>
                <w:kern w:val="0"/>
                <w:sz w:val="24"/>
                <w:szCs w:val="24"/>
                <w:highlight w:val="none"/>
              </w:rPr>
              <w:t>的最后报价。</w:t>
            </w:r>
          </w:p>
          <w:p w14:paraId="32E94B06">
            <w:pPr>
              <w:keepNext w:val="0"/>
              <w:keepLines w:val="0"/>
              <w:pageBreakBefore w:val="0"/>
              <w:widowControl/>
              <w:kinsoku/>
              <w:wordWrap/>
              <w:overflowPunct/>
              <w:topLinePunct w:val="0"/>
              <w:autoSpaceDE/>
              <w:autoSpaceDN/>
              <w:bidi w:val="0"/>
              <w:adjustRightInd w:val="0"/>
              <w:snapToGrid w:val="0"/>
              <w:spacing w:line="440" w:lineRule="exact"/>
              <w:ind w:left="236" w:hanging="240" w:hangingChars="100"/>
              <w:jc w:val="both"/>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2.本项目专门面向</w:t>
            </w:r>
            <w:r>
              <w:rPr>
                <w:rFonts w:hint="eastAsia" w:ascii="宋体" w:hAnsi="宋体" w:eastAsia="宋体" w:cs="宋体"/>
                <w:spacing w:val="0"/>
                <w:kern w:val="0"/>
                <w:sz w:val="24"/>
                <w:szCs w:val="24"/>
                <w:highlight w:val="none"/>
                <w:lang w:val="en-US" w:eastAsia="zh-CN"/>
              </w:rPr>
              <w:t>中小</w:t>
            </w:r>
            <w:r>
              <w:rPr>
                <w:rFonts w:hint="eastAsia" w:ascii="宋体" w:hAnsi="宋体" w:eastAsia="宋体" w:cs="宋体"/>
                <w:spacing w:val="0"/>
                <w:kern w:val="0"/>
                <w:sz w:val="24"/>
                <w:szCs w:val="24"/>
                <w:highlight w:val="none"/>
              </w:rPr>
              <w:t>企业(含监狱企业、残疾人福利性单位)采购，供应商的报价不再进行价格扣除。</w:t>
            </w:r>
          </w:p>
          <w:p w14:paraId="7FC7101C">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spacing w:val="0"/>
                <w:kern w:val="0"/>
                <w:sz w:val="24"/>
                <w:szCs w:val="20"/>
                <w:highlight w:val="none"/>
              </w:rPr>
              <w:t>3.磋商</w:t>
            </w:r>
            <w:r>
              <w:rPr>
                <w:rFonts w:hint="eastAsia" w:ascii="宋体" w:hAnsi="宋体" w:eastAsia="宋体" w:cs="宋体"/>
                <w:spacing w:val="0"/>
                <w:kern w:val="0"/>
                <w:sz w:val="24"/>
                <w:szCs w:val="24"/>
                <w:highlight w:val="none"/>
              </w:rPr>
              <w:t>小组</w:t>
            </w:r>
            <w:r>
              <w:rPr>
                <w:rFonts w:hint="eastAsia" w:ascii="宋体" w:hAnsi="宋体" w:eastAsia="宋体" w:cs="宋体"/>
                <w:spacing w:val="0"/>
                <w:kern w:val="0"/>
                <w:sz w:val="24"/>
                <w:szCs w:val="20"/>
                <w:highlight w:val="none"/>
              </w:rPr>
              <w:t>认为供应商的报价明显低于其他通过资格审查</w:t>
            </w:r>
            <w:r>
              <w:rPr>
                <w:rFonts w:hint="eastAsia" w:ascii="宋体" w:hAnsi="宋体" w:eastAsia="宋体" w:cs="宋体"/>
                <w:spacing w:val="0"/>
                <w:kern w:val="0"/>
                <w:sz w:val="24"/>
                <w:szCs w:val="20"/>
                <w:highlight w:val="none"/>
                <w:lang w:eastAsia="zh-CN"/>
              </w:rPr>
              <w:t>、</w:t>
            </w:r>
            <w:r>
              <w:rPr>
                <w:rFonts w:hint="eastAsia" w:ascii="宋体" w:hAnsi="宋体" w:eastAsia="宋体" w:cs="宋体"/>
                <w:spacing w:val="0"/>
                <w:kern w:val="0"/>
                <w:sz w:val="24"/>
                <w:szCs w:val="20"/>
                <w:highlight w:val="none"/>
                <w:lang w:val="en-US" w:eastAsia="zh-CN"/>
              </w:rPr>
              <w:t>符合性审查的</w:t>
            </w:r>
            <w:r>
              <w:rPr>
                <w:rFonts w:hint="eastAsia" w:ascii="宋体" w:hAnsi="宋体" w:eastAsia="宋体" w:cs="宋体"/>
                <w:spacing w:val="0"/>
                <w:kern w:val="0"/>
                <w:sz w:val="24"/>
                <w:szCs w:val="20"/>
                <w:highlight w:val="none"/>
              </w:rPr>
              <w:t>供应商的报价，有可能影响工程质量或者不能诚信履约的，应当要求其在磋商现场合理的时间内提供书面说明，必要时提交相关证明材料；供应商不能证明其报价合理性的，磋商小组应当将其作为无效标处理。</w:t>
            </w:r>
          </w:p>
        </w:tc>
        <w:tc>
          <w:tcPr>
            <w:tcW w:w="762" w:type="dxa"/>
            <w:noWrap w:val="0"/>
            <w:vAlign w:val="center"/>
          </w:tcPr>
          <w:p w14:paraId="7EADAD28">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center"/>
              <w:textAlignment w:val="baseline"/>
              <w:rPr>
                <w:rFonts w:hint="eastAsia" w:ascii="宋体" w:hAnsi="宋体" w:eastAsia="宋体" w:cs="宋体"/>
                <w:spacing w:val="0"/>
                <w:kern w:val="0"/>
                <w:sz w:val="24"/>
                <w:szCs w:val="20"/>
                <w:highlight w:val="none"/>
              </w:rPr>
            </w:pP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分</w:t>
            </w:r>
          </w:p>
        </w:tc>
      </w:tr>
      <w:tr w14:paraId="4686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restart"/>
            <w:noWrap w:val="0"/>
            <w:vAlign w:val="center"/>
          </w:tcPr>
          <w:p w14:paraId="1E2D9FDB">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技术分</w:t>
            </w:r>
          </w:p>
          <w:p w14:paraId="72E0AA3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40</w:t>
            </w:r>
            <w:r>
              <w:rPr>
                <w:rFonts w:hint="eastAsia" w:ascii="宋体" w:hAnsi="宋体" w:eastAsia="宋体" w:cs="宋体"/>
                <w:b/>
                <w:color w:val="auto"/>
                <w:kern w:val="2"/>
                <w:sz w:val="24"/>
                <w:szCs w:val="24"/>
                <w:highlight w:val="none"/>
              </w:rPr>
              <w:t>分)</w:t>
            </w:r>
          </w:p>
        </w:tc>
        <w:tc>
          <w:tcPr>
            <w:tcW w:w="7113" w:type="dxa"/>
            <w:noWrap w:val="0"/>
            <w:vAlign w:val="center"/>
          </w:tcPr>
          <w:p w14:paraId="28570C6C">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rPr>
              <w:t>施工方案与技术措施</w:t>
            </w:r>
            <w:r>
              <w:rPr>
                <w:rFonts w:hint="eastAsia" w:ascii="宋体" w:hAnsi="宋体" w:eastAsia="宋体" w:cs="Times New Roman"/>
                <w:b/>
                <w:kern w:val="0"/>
                <w:sz w:val="24"/>
                <w:szCs w:val="24"/>
                <w:highlight w:val="none"/>
                <w:lang w:eastAsia="zh-CN"/>
              </w:rPr>
              <w:t>：</w:t>
            </w:r>
          </w:p>
          <w:p w14:paraId="5C24DA05">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磋商小组根据供应商提供的方案与措施的合理可行性、技术完备性进行评分：</w:t>
            </w:r>
          </w:p>
          <w:p w14:paraId="48363650">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ascii="宋体" w:hAnsi="宋体" w:eastAsia="宋体" w:cs="宋体"/>
                <w:b w:val="0"/>
                <w:bCs w:val="0"/>
                <w:kern w:val="0"/>
                <w:sz w:val="24"/>
                <w:szCs w:val="24"/>
                <w:highlight w:val="none"/>
              </w:rPr>
            </w:pPr>
            <w:r>
              <w:rPr>
                <w:rFonts w:hint="eastAsia" w:ascii="宋体" w:hAnsi="宋体" w:eastAsia="宋体" w:cs="宋体"/>
                <w:kern w:val="0"/>
                <w:sz w:val="24"/>
                <w:szCs w:val="24"/>
                <w:highlight w:val="none"/>
              </w:rPr>
              <w:t>1.方案与措施内容详细具体、内容完整清晰，针对性强、专业性高、可操作性强、科学合理、目标清</w:t>
            </w:r>
            <w:r>
              <w:rPr>
                <w:rFonts w:hint="eastAsia" w:ascii="宋体" w:hAnsi="宋体" w:eastAsia="宋体" w:cs="宋体"/>
                <w:b w:val="0"/>
                <w:bCs w:val="0"/>
                <w:kern w:val="0"/>
                <w:sz w:val="24"/>
                <w:szCs w:val="24"/>
                <w:highlight w:val="none"/>
              </w:rPr>
              <w:t>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1AB20BAB">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2.方案与措施内容比较详细具体、内容基本完整，具有一定针对性、措施比较详细具体、具有可操作性、目标比较明确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51CE1D66">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.方案与措施内容不具体、内容不完整、不专业、不具有针对性、可操作性不强、目标不明确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分；</w:t>
            </w:r>
          </w:p>
          <w:p w14:paraId="529C0122">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.未提供不得分。</w:t>
            </w:r>
          </w:p>
        </w:tc>
        <w:tc>
          <w:tcPr>
            <w:tcW w:w="762" w:type="dxa"/>
            <w:noWrap w:val="0"/>
            <w:vAlign w:val="center"/>
          </w:tcPr>
          <w:p w14:paraId="30CC2959">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0B6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6B24E603">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3C1B70D4">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rPr>
              <w:t>质量保证措施</w:t>
            </w:r>
            <w:r>
              <w:rPr>
                <w:rFonts w:hint="eastAsia" w:ascii="宋体" w:hAnsi="宋体" w:eastAsia="宋体" w:cs="Times New Roman"/>
                <w:b/>
                <w:kern w:val="0"/>
                <w:sz w:val="24"/>
                <w:szCs w:val="24"/>
                <w:highlight w:val="none"/>
                <w:lang w:eastAsia="zh-CN"/>
              </w:rPr>
              <w:t>：</w:t>
            </w:r>
          </w:p>
          <w:p w14:paraId="5E03180E">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包含但不限于质量保证的方法、技术设备、管理制度等，磋商小组根据供应商提供的措施的合理可行性进行评分：</w:t>
            </w:r>
          </w:p>
          <w:p w14:paraId="191FF175">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1.措施内容详细具体、内容完整清晰，针对性强、专业性高、可操作性强、科学合理、目标清晰明确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21F90ABA">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2.措施内容比较详细具体、内容基本完整，具有一定针对性、措施比较详细具体、具有可操作性、目标比较明确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5150A932">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3.措施内容不具体、内容不完整、不专业、不具有针对性、可操作性不强、目标不明确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得1分；</w:t>
            </w:r>
          </w:p>
          <w:p w14:paraId="4775147A">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bCs/>
                <w:color w:val="auto"/>
                <w:kern w:val="0"/>
                <w:sz w:val="24"/>
                <w:szCs w:val="24"/>
                <w:highlight w:val="none"/>
              </w:rPr>
            </w:pPr>
            <w:r>
              <w:rPr>
                <w:rFonts w:hint="eastAsia" w:ascii="宋体" w:hAnsi="宋体" w:eastAsia="宋体" w:cs="宋体"/>
                <w:kern w:val="0"/>
                <w:sz w:val="24"/>
                <w:szCs w:val="24"/>
                <w:highlight w:val="none"/>
              </w:rPr>
              <w:t>4.未提供不得分。</w:t>
            </w:r>
          </w:p>
        </w:tc>
        <w:tc>
          <w:tcPr>
            <w:tcW w:w="762" w:type="dxa"/>
            <w:noWrap w:val="0"/>
            <w:vAlign w:val="center"/>
          </w:tcPr>
          <w:p w14:paraId="22473FE5">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bCs/>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78A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756B3CE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2C1A66D3">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rPr>
              <w:t>施工总进度及保证措施</w:t>
            </w:r>
            <w:r>
              <w:rPr>
                <w:rFonts w:hint="eastAsia" w:ascii="宋体" w:hAnsi="宋体" w:eastAsia="宋体" w:cs="Times New Roman"/>
                <w:b/>
                <w:kern w:val="0"/>
                <w:sz w:val="24"/>
                <w:szCs w:val="24"/>
                <w:highlight w:val="none"/>
                <w:lang w:eastAsia="zh-CN"/>
              </w:rPr>
              <w:t>：</w:t>
            </w:r>
          </w:p>
          <w:p w14:paraId="6BBC0D2E">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包含但不限于施工进度计划横道图或网络图等，进度控制的方法、管理制度、保证措等，磋商小组根据供应商提供的措施的合理可行性进行评分：</w:t>
            </w:r>
          </w:p>
          <w:p w14:paraId="08BE7A2E">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1.措施内容详细具体、内容完整清晰，针对性强、专业性高、可操作性强、科学合理、目标清晰明确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7D50B085">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2.措施内容比较详细具体、内容基本完整，具有一定针对性、措施比较详细具体、具有可操作性、目标比较明确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076B4CDF">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3.措施内容不具体、内容不完整、不专业、不具有针对性、可操作性不强、目标不明确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得1分；</w:t>
            </w:r>
          </w:p>
          <w:p w14:paraId="63E0E89D">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4.未提供不得分。</w:t>
            </w:r>
          </w:p>
        </w:tc>
        <w:tc>
          <w:tcPr>
            <w:tcW w:w="762" w:type="dxa"/>
            <w:noWrap w:val="0"/>
            <w:vAlign w:val="center"/>
          </w:tcPr>
          <w:p w14:paraId="4758BA48">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52D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638772A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52E3DF86">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rPr>
              <w:t>施工安全措施</w:t>
            </w:r>
            <w:r>
              <w:rPr>
                <w:rFonts w:hint="eastAsia" w:ascii="宋体" w:hAnsi="宋体" w:eastAsia="宋体" w:cs="Times New Roman"/>
                <w:b/>
                <w:kern w:val="0"/>
                <w:sz w:val="24"/>
                <w:szCs w:val="24"/>
                <w:highlight w:val="none"/>
                <w:lang w:eastAsia="zh-CN"/>
              </w:rPr>
              <w:t>：</w:t>
            </w:r>
          </w:p>
          <w:p w14:paraId="68CCB6AA">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包含但不限于安全控制的方法、管理制度等，</w:t>
            </w:r>
            <w:r>
              <w:rPr>
                <w:rFonts w:hint="eastAsia" w:ascii="宋体" w:hAnsi="宋体" w:eastAsia="宋体" w:cs="宋体"/>
                <w:kern w:val="0"/>
                <w:sz w:val="24"/>
                <w:szCs w:val="24"/>
                <w:highlight w:val="none"/>
                <w:lang w:val="en-US" w:eastAsia="zh-CN"/>
              </w:rPr>
              <w:t>同时应体现加固工序的施工安全措施方案，</w:t>
            </w:r>
            <w:r>
              <w:rPr>
                <w:rFonts w:hint="eastAsia" w:ascii="宋体" w:hAnsi="宋体" w:eastAsia="宋体" w:cs="宋体"/>
                <w:kern w:val="0"/>
                <w:sz w:val="24"/>
                <w:szCs w:val="24"/>
                <w:highlight w:val="none"/>
              </w:rPr>
              <w:t>磋商小组根据供应商提供的措施的合理可行性进行评分：</w:t>
            </w:r>
          </w:p>
          <w:p w14:paraId="4A96649C">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1.措施内容详细具体、内容完整清晰，针对性强、专业性高、可操作性强、科学合理、目标清晰明确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5605AE4C">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2.措施内容比较详细具体、内容基本完整，具有一定针对性、措施比较详细具体、具有可操作性、目标比较明确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44EE4CF0">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3.措施内容不具体、内容不完整、不专业、不具有针对性、可操作性不强、目标不明确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分；</w:t>
            </w:r>
          </w:p>
          <w:p w14:paraId="374C0B82">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val="0"/>
                <w:bCs w:val="0"/>
                <w:kern w:val="0"/>
                <w:sz w:val="24"/>
                <w:szCs w:val="24"/>
                <w:highlight w:val="none"/>
              </w:rPr>
              <w:t>4.未提供不得分。</w:t>
            </w:r>
          </w:p>
        </w:tc>
        <w:tc>
          <w:tcPr>
            <w:tcW w:w="762" w:type="dxa"/>
            <w:noWrap w:val="0"/>
            <w:vAlign w:val="center"/>
          </w:tcPr>
          <w:p w14:paraId="308D3209">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5BB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629C79FD">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5132BBEA">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rPr>
              <w:t>文明施工措施及施工环保措施</w:t>
            </w:r>
            <w:r>
              <w:rPr>
                <w:rFonts w:hint="eastAsia" w:ascii="宋体" w:hAnsi="宋体" w:eastAsia="宋体" w:cs="Times New Roman"/>
                <w:b/>
                <w:kern w:val="0"/>
                <w:sz w:val="24"/>
                <w:szCs w:val="24"/>
                <w:highlight w:val="none"/>
                <w:lang w:eastAsia="zh-CN"/>
              </w:rPr>
              <w:t>：</w:t>
            </w:r>
          </w:p>
          <w:p w14:paraId="0454C63F">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包含但不限于文明施工的方法、管理制度等，磋商小组根据供应商提供的措施的合理可行性进行评分：</w:t>
            </w:r>
          </w:p>
          <w:p w14:paraId="2DA5576A">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1.措施内容详细具体、内容完整清晰，针对性强、专业性高、可操作性强、科学合理、目标清晰明确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7AB9A3A6">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2.措施内容比较详细具体、内容基本完整，具有一定针对性、措施比较详细具体、具有可操作性、目标比较明确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4ACA872D">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3.措施内容不具体、内容不完整、不专业、不具有针对性、可操作性不强、目标不明确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得1分；</w:t>
            </w:r>
          </w:p>
          <w:p w14:paraId="2606AAAB">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rPr>
              <w:t>4.未提供不得分。</w:t>
            </w:r>
          </w:p>
        </w:tc>
        <w:tc>
          <w:tcPr>
            <w:tcW w:w="762" w:type="dxa"/>
            <w:noWrap w:val="0"/>
            <w:vAlign w:val="center"/>
          </w:tcPr>
          <w:p w14:paraId="05F01052">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2918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4B0992E3">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1A817744">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lang w:eastAsia="zh-CN"/>
              </w:rPr>
              <w:t>施工现场总平面布置图：</w:t>
            </w:r>
          </w:p>
          <w:p w14:paraId="3062E2C3">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磋商小组根据供应商提供的平面布置图的合理可行性进行评分：</w:t>
            </w:r>
          </w:p>
          <w:p w14:paraId="11572077">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val="en-US" w:eastAsia="zh-CN"/>
              </w:rPr>
              <w:t>图纸</w:t>
            </w:r>
            <w:r>
              <w:rPr>
                <w:rFonts w:hint="eastAsia" w:ascii="宋体" w:hAnsi="宋体" w:eastAsia="宋体" w:cs="宋体"/>
                <w:b w:val="0"/>
                <w:bCs w:val="0"/>
                <w:kern w:val="0"/>
                <w:sz w:val="24"/>
                <w:szCs w:val="24"/>
                <w:highlight w:val="none"/>
              </w:rPr>
              <w:t>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65267AD7">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w:t>
            </w:r>
            <w:r>
              <w:rPr>
                <w:rFonts w:hint="eastAsia" w:ascii="宋体" w:hAnsi="宋体" w:eastAsia="宋体" w:cs="宋体"/>
                <w:b w:val="0"/>
                <w:bCs w:val="0"/>
                <w:kern w:val="0"/>
                <w:sz w:val="24"/>
                <w:szCs w:val="24"/>
                <w:highlight w:val="none"/>
                <w:lang w:val="en-US" w:eastAsia="zh-CN"/>
              </w:rPr>
              <w:t>图纸</w:t>
            </w:r>
            <w:r>
              <w:rPr>
                <w:rFonts w:hint="eastAsia" w:ascii="宋体" w:hAnsi="宋体" w:eastAsia="宋体" w:cs="宋体"/>
                <w:b w:val="0"/>
                <w:bCs w:val="0"/>
                <w:kern w:val="0"/>
                <w:sz w:val="24"/>
                <w:szCs w:val="24"/>
                <w:highlight w:val="none"/>
              </w:rPr>
              <w:t>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4AA7A8A9">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val="en-US" w:eastAsia="zh-CN"/>
              </w:rPr>
              <w:t>图纸</w:t>
            </w:r>
            <w:r>
              <w:rPr>
                <w:rFonts w:hint="eastAsia" w:ascii="宋体" w:hAnsi="宋体" w:eastAsia="宋体" w:cs="宋体"/>
                <w:b w:val="0"/>
                <w:bCs w:val="0"/>
                <w:kern w:val="0"/>
                <w:sz w:val="24"/>
                <w:szCs w:val="24"/>
                <w:highlight w:val="none"/>
              </w:rPr>
              <w:t>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得1分；</w:t>
            </w:r>
          </w:p>
          <w:p w14:paraId="53D0C6E7">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rPr>
              <w:t>4.未提供不得分。</w:t>
            </w:r>
          </w:p>
        </w:tc>
        <w:tc>
          <w:tcPr>
            <w:tcW w:w="762" w:type="dxa"/>
            <w:noWrap w:val="0"/>
            <w:vAlign w:val="center"/>
          </w:tcPr>
          <w:p w14:paraId="584B9458">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52D6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4F74E979">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7D7CF071">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bCs/>
                <w:kern w:val="0"/>
                <w:sz w:val="24"/>
                <w:szCs w:val="24"/>
                <w:highlight w:val="none"/>
                <w:lang w:eastAsia="zh-CN"/>
              </w:rPr>
            </w:pPr>
            <w:r>
              <w:rPr>
                <w:rFonts w:hint="eastAsia" w:ascii="宋体" w:hAnsi="宋体" w:eastAsia="宋体" w:cs="宋体"/>
                <w:b/>
                <w:bCs/>
                <w:color w:val="000000"/>
                <w:kern w:val="0"/>
                <w:sz w:val="24"/>
                <w:szCs w:val="24"/>
                <w:highlight w:val="none"/>
              </w:rPr>
              <w:t>紧</w:t>
            </w:r>
            <w:r>
              <w:rPr>
                <w:rFonts w:hint="eastAsia" w:ascii="宋体" w:hAnsi="宋体" w:eastAsia="宋体" w:cs="宋体"/>
                <w:b/>
                <w:bCs/>
                <w:color w:val="000000"/>
                <w:spacing w:val="-82"/>
                <w:kern w:val="0"/>
                <w:sz w:val="24"/>
                <w:szCs w:val="24"/>
                <w:highlight w:val="none"/>
              </w:rPr>
              <w:t xml:space="preserve"> </w:t>
            </w:r>
            <w:r>
              <w:rPr>
                <w:rFonts w:hint="eastAsia" w:ascii="宋体" w:hAnsi="宋体" w:eastAsia="宋体" w:cs="宋体"/>
                <w:b/>
                <w:bCs/>
                <w:color w:val="000000"/>
                <w:kern w:val="0"/>
                <w:sz w:val="24"/>
                <w:szCs w:val="24"/>
                <w:highlight w:val="none"/>
              </w:rPr>
              <w:t>急</w:t>
            </w:r>
            <w:r>
              <w:rPr>
                <w:rFonts w:hint="eastAsia" w:ascii="宋体" w:hAnsi="宋体" w:eastAsia="宋体" w:cs="宋体"/>
                <w:b/>
                <w:bCs/>
                <w:color w:val="000000"/>
                <w:spacing w:val="-82"/>
                <w:kern w:val="0"/>
                <w:sz w:val="24"/>
                <w:szCs w:val="24"/>
                <w:highlight w:val="none"/>
              </w:rPr>
              <w:t xml:space="preserve"> </w:t>
            </w:r>
            <w:r>
              <w:rPr>
                <w:rFonts w:hint="eastAsia" w:ascii="宋体" w:hAnsi="宋体" w:eastAsia="宋体" w:cs="宋体"/>
                <w:b/>
                <w:bCs/>
                <w:color w:val="000000"/>
                <w:kern w:val="0"/>
                <w:sz w:val="24"/>
                <w:szCs w:val="24"/>
                <w:highlight w:val="none"/>
              </w:rPr>
              <w:t>情</w:t>
            </w:r>
            <w:r>
              <w:rPr>
                <w:rFonts w:hint="eastAsia" w:ascii="宋体" w:hAnsi="宋体" w:eastAsia="宋体" w:cs="宋体"/>
                <w:b/>
                <w:bCs/>
                <w:color w:val="000000"/>
                <w:spacing w:val="-80"/>
                <w:kern w:val="0"/>
                <w:sz w:val="24"/>
                <w:szCs w:val="24"/>
                <w:highlight w:val="none"/>
              </w:rPr>
              <w:t xml:space="preserve"> </w:t>
            </w:r>
            <w:r>
              <w:rPr>
                <w:rFonts w:hint="eastAsia" w:ascii="宋体" w:hAnsi="宋体" w:eastAsia="宋体" w:cs="宋体"/>
                <w:b/>
                <w:bCs/>
                <w:color w:val="000000"/>
                <w:kern w:val="0"/>
                <w:sz w:val="24"/>
                <w:szCs w:val="24"/>
                <w:highlight w:val="none"/>
              </w:rPr>
              <w:t>况</w:t>
            </w:r>
            <w:r>
              <w:rPr>
                <w:rFonts w:hint="eastAsia" w:ascii="宋体" w:hAnsi="宋体" w:eastAsia="宋体" w:cs="宋体"/>
                <w:b/>
                <w:bCs/>
                <w:color w:val="000000"/>
                <w:spacing w:val="-82"/>
                <w:kern w:val="0"/>
                <w:sz w:val="24"/>
                <w:szCs w:val="24"/>
                <w:highlight w:val="none"/>
              </w:rPr>
              <w:t xml:space="preserve"> </w:t>
            </w:r>
            <w:r>
              <w:rPr>
                <w:rFonts w:hint="eastAsia" w:ascii="宋体" w:hAnsi="宋体" w:eastAsia="宋体" w:cs="宋体"/>
                <w:b/>
                <w:bCs/>
                <w:color w:val="000000"/>
                <w:kern w:val="0"/>
                <w:sz w:val="24"/>
                <w:szCs w:val="24"/>
                <w:highlight w:val="none"/>
              </w:rPr>
              <w:t>的</w:t>
            </w:r>
            <w:r>
              <w:rPr>
                <w:rFonts w:hint="eastAsia" w:ascii="宋体" w:hAnsi="宋体" w:eastAsia="宋体" w:cs="宋体"/>
                <w:b/>
                <w:bCs/>
                <w:color w:val="000000"/>
                <w:spacing w:val="-82"/>
                <w:kern w:val="0"/>
                <w:sz w:val="24"/>
                <w:szCs w:val="24"/>
                <w:highlight w:val="none"/>
              </w:rPr>
              <w:t xml:space="preserve"> </w:t>
            </w:r>
            <w:r>
              <w:rPr>
                <w:rFonts w:hint="eastAsia" w:ascii="宋体" w:hAnsi="宋体" w:eastAsia="宋体" w:cs="宋体"/>
                <w:b/>
                <w:bCs/>
                <w:color w:val="000000"/>
                <w:kern w:val="0"/>
                <w:sz w:val="24"/>
                <w:szCs w:val="24"/>
                <w:highlight w:val="none"/>
              </w:rPr>
              <w:t>处</w:t>
            </w:r>
            <w:r>
              <w:rPr>
                <w:rFonts w:hint="eastAsia" w:ascii="宋体" w:hAnsi="宋体" w:eastAsia="宋体" w:cs="宋体"/>
                <w:b/>
                <w:bCs/>
                <w:color w:val="000000"/>
                <w:spacing w:val="-80"/>
                <w:kern w:val="0"/>
                <w:sz w:val="24"/>
                <w:szCs w:val="24"/>
                <w:highlight w:val="none"/>
              </w:rPr>
              <w:t xml:space="preserve"> </w:t>
            </w:r>
            <w:r>
              <w:rPr>
                <w:rFonts w:hint="eastAsia" w:ascii="宋体" w:hAnsi="宋体" w:eastAsia="宋体" w:cs="宋体"/>
                <w:b/>
                <w:bCs/>
                <w:color w:val="000000"/>
                <w:kern w:val="0"/>
                <w:sz w:val="24"/>
                <w:szCs w:val="24"/>
                <w:highlight w:val="none"/>
              </w:rPr>
              <w:t>理</w:t>
            </w:r>
            <w:r>
              <w:rPr>
                <w:rFonts w:hint="eastAsia" w:ascii="宋体" w:hAnsi="宋体" w:eastAsia="宋体" w:cs="宋体"/>
                <w:b/>
                <w:bCs/>
                <w:color w:val="000000"/>
                <w:spacing w:val="-82"/>
                <w:kern w:val="0"/>
                <w:sz w:val="24"/>
                <w:szCs w:val="24"/>
                <w:highlight w:val="none"/>
              </w:rPr>
              <w:t xml:space="preserve"> </w:t>
            </w:r>
            <w:r>
              <w:rPr>
                <w:rFonts w:hint="eastAsia" w:ascii="宋体" w:hAnsi="宋体" w:eastAsia="宋体" w:cs="宋体"/>
                <w:b/>
                <w:bCs/>
                <w:color w:val="000000"/>
                <w:kern w:val="0"/>
                <w:sz w:val="24"/>
                <w:szCs w:val="24"/>
                <w:highlight w:val="none"/>
              </w:rPr>
              <w:t>措施、预案</w:t>
            </w:r>
            <w:r>
              <w:rPr>
                <w:rFonts w:hint="eastAsia" w:ascii="宋体" w:hAnsi="宋体" w:eastAsia="宋体" w:cs="宋体"/>
                <w:b/>
                <w:bCs/>
                <w:color w:val="000000"/>
                <w:kern w:val="0"/>
                <w:sz w:val="24"/>
                <w:szCs w:val="24"/>
                <w:highlight w:val="none"/>
                <w:lang w:eastAsia="zh-CN"/>
              </w:rPr>
              <w:t>：</w:t>
            </w:r>
          </w:p>
          <w:p w14:paraId="07255A8B">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包含但不限于治安保卫控制的方法、人员安排、管理制度等，磋商小组根据供应商提供的措施的合理可行性进行评分：</w:t>
            </w:r>
          </w:p>
          <w:p w14:paraId="70FE6D59">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1.措施内容详细具体、内容完整清晰，针对性强、专业性高、可操作性强、科学合理、目标清晰明确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7F9D94CF">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2.措施内容比较详细具体、内容基本完整，具有一定针对性、措施比较详细具体、具有可操作性、目标比较明确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5A69F1B2">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3.措施内容不具体、内容不完整、不专业、不具有针对性、可操作性不强、目标不明确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分；</w:t>
            </w:r>
          </w:p>
          <w:p w14:paraId="7913E946">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rPr>
              <w:t>4.未提供不得分。</w:t>
            </w:r>
          </w:p>
        </w:tc>
        <w:tc>
          <w:tcPr>
            <w:tcW w:w="762" w:type="dxa"/>
            <w:noWrap w:val="0"/>
            <w:vAlign w:val="center"/>
          </w:tcPr>
          <w:p w14:paraId="1DD4657A">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665C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518D7F2D">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10C0D9E9">
            <w:pPr>
              <w:keepNext w:val="0"/>
              <w:keepLines w:val="0"/>
              <w:pageBreakBefore w:val="0"/>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Times New Roman"/>
                <w:b/>
                <w:kern w:val="0"/>
                <w:sz w:val="24"/>
                <w:szCs w:val="24"/>
                <w:highlight w:val="none"/>
                <w:lang w:eastAsia="zh-CN"/>
              </w:rPr>
            </w:pPr>
            <w:r>
              <w:rPr>
                <w:rFonts w:hint="eastAsia" w:ascii="宋体" w:hAnsi="宋体" w:eastAsia="宋体" w:cs="Times New Roman"/>
                <w:b/>
                <w:kern w:val="0"/>
                <w:sz w:val="24"/>
                <w:szCs w:val="24"/>
                <w:highlight w:val="none"/>
              </w:rPr>
              <w:t>与采购人、监理及设计单位、</w:t>
            </w:r>
            <w:r>
              <w:rPr>
                <w:rFonts w:hint="eastAsia" w:ascii="宋体" w:hAnsi="宋体" w:eastAsia="宋体" w:cs="Times New Roman"/>
                <w:b/>
                <w:kern w:val="0"/>
                <w:sz w:val="24"/>
                <w:szCs w:val="24"/>
                <w:highlight w:val="none"/>
                <w:lang w:val="en-US" w:eastAsia="zh-CN"/>
              </w:rPr>
              <w:t>跟审单位</w:t>
            </w:r>
            <w:r>
              <w:rPr>
                <w:rFonts w:hint="eastAsia" w:ascii="宋体" w:hAnsi="宋体" w:eastAsia="宋体" w:cs="Times New Roman"/>
                <w:b/>
                <w:kern w:val="0"/>
                <w:sz w:val="24"/>
                <w:szCs w:val="24"/>
                <w:highlight w:val="none"/>
              </w:rPr>
              <w:t>的配合方案</w:t>
            </w:r>
            <w:r>
              <w:rPr>
                <w:rFonts w:hint="eastAsia" w:ascii="宋体" w:hAnsi="宋体" w:eastAsia="宋体" w:cs="Times New Roman"/>
                <w:b/>
                <w:kern w:val="0"/>
                <w:sz w:val="24"/>
                <w:szCs w:val="24"/>
                <w:highlight w:val="none"/>
                <w:lang w:eastAsia="zh-CN"/>
              </w:rPr>
              <w:t>：</w:t>
            </w:r>
          </w:p>
          <w:p w14:paraId="117D275A">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磋商小组根据供应商提供的配合方案的合理可行性进行评分：</w:t>
            </w:r>
          </w:p>
          <w:p w14:paraId="3B7AF285">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val="en-US" w:eastAsia="zh-CN"/>
              </w:rPr>
              <w:t>方案</w:t>
            </w:r>
            <w:r>
              <w:rPr>
                <w:rFonts w:hint="eastAsia" w:ascii="宋体" w:hAnsi="宋体" w:eastAsia="宋体" w:cs="宋体"/>
                <w:b w:val="0"/>
                <w:bCs w:val="0"/>
                <w:kern w:val="0"/>
                <w:sz w:val="24"/>
                <w:szCs w:val="24"/>
                <w:highlight w:val="none"/>
              </w:rPr>
              <w:t>内容详细具体、内容完整清晰，针对性强、专业性高、可操作性强、科学合理、目标清晰明确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分；</w:t>
            </w:r>
          </w:p>
          <w:p w14:paraId="6F5530F4">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w:t>
            </w:r>
            <w:r>
              <w:rPr>
                <w:rFonts w:hint="eastAsia" w:ascii="宋体" w:hAnsi="宋体" w:eastAsia="宋体" w:cs="宋体"/>
                <w:b w:val="0"/>
                <w:bCs w:val="0"/>
                <w:kern w:val="0"/>
                <w:sz w:val="24"/>
                <w:szCs w:val="24"/>
                <w:highlight w:val="none"/>
                <w:lang w:val="en-US" w:eastAsia="zh-CN"/>
              </w:rPr>
              <w:t>方案</w:t>
            </w:r>
            <w:r>
              <w:rPr>
                <w:rFonts w:hint="eastAsia" w:ascii="宋体" w:hAnsi="宋体" w:eastAsia="宋体" w:cs="宋体"/>
                <w:b w:val="0"/>
                <w:bCs w:val="0"/>
                <w:kern w:val="0"/>
                <w:sz w:val="24"/>
                <w:szCs w:val="24"/>
                <w:highlight w:val="none"/>
              </w:rPr>
              <w:t>内容比较详细具体、内容基本完整，具有一定针对性、措施比较详细具体、具有可操作性、目标比较明确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w:t>
            </w:r>
          </w:p>
          <w:p w14:paraId="56EC6613">
            <w:pPr>
              <w:keepNext w:val="0"/>
              <w:keepLines w:val="0"/>
              <w:pageBreakBefore w:val="0"/>
              <w:widowControl/>
              <w:kinsoku/>
              <w:wordWrap/>
              <w:overflowPunct/>
              <w:topLinePunct w:val="0"/>
              <w:autoSpaceDE w:val="0"/>
              <w:autoSpaceDN w:val="0"/>
              <w:bidi w:val="0"/>
              <w:adjustRightInd w:val="0"/>
              <w:snapToGrid w:val="0"/>
              <w:spacing w:line="440" w:lineRule="exact"/>
              <w:ind w:left="240" w:hanging="240" w:hangingChars="100"/>
              <w:jc w:val="left"/>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w:t>
            </w:r>
            <w:r>
              <w:rPr>
                <w:rFonts w:hint="eastAsia" w:ascii="宋体" w:hAnsi="宋体" w:eastAsia="宋体" w:cs="宋体"/>
                <w:b w:val="0"/>
                <w:bCs w:val="0"/>
                <w:kern w:val="0"/>
                <w:sz w:val="24"/>
                <w:szCs w:val="24"/>
                <w:highlight w:val="none"/>
                <w:lang w:val="en-US" w:eastAsia="zh-CN"/>
              </w:rPr>
              <w:t>方案</w:t>
            </w:r>
            <w:r>
              <w:rPr>
                <w:rFonts w:hint="eastAsia" w:ascii="宋体" w:hAnsi="宋体" w:eastAsia="宋体" w:cs="宋体"/>
                <w:b w:val="0"/>
                <w:bCs w:val="0"/>
                <w:kern w:val="0"/>
                <w:sz w:val="24"/>
                <w:szCs w:val="24"/>
                <w:highlight w:val="none"/>
              </w:rPr>
              <w:t>内容不具体、内容不完整、不专业、不具有针对性、可操作性不强、目标不明确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得1分；</w:t>
            </w:r>
          </w:p>
          <w:p w14:paraId="5CD52C1E">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rPr>
              <w:t>4.未提供不得分。</w:t>
            </w:r>
          </w:p>
        </w:tc>
        <w:tc>
          <w:tcPr>
            <w:tcW w:w="762" w:type="dxa"/>
            <w:noWrap w:val="0"/>
            <w:vAlign w:val="center"/>
          </w:tcPr>
          <w:p w14:paraId="20EA06FC">
            <w:pPr>
              <w:keepNext w:val="0"/>
              <w:keepLines w:val="0"/>
              <w:pageBreakBefore w:val="0"/>
              <w:widowControl/>
              <w:kinsoku/>
              <w:wordWrap/>
              <w:overflowPunct/>
              <w:topLinePunct w:val="0"/>
              <w:autoSpaceDE/>
              <w:autoSpaceDN w:val="0"/>
              <w:bidi w:val="0"/>
              <w:adjustRightInd w:val="0"/>
              <w:snapToGrid w:val="0"/>
              <w:spacing w:line="44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r>
      <w:tr w14:paraId="46D7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restart"/>
            <w:noWrap w:val="0"/>
            <w:vAlign w:val="center"/>
          </w:tcPr>
          <w:p w14:paraId="43CAAA3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商务分</w:t>
            </w:r>
          </w:p>
          <w:p w14:paraId="7C4580E6">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30</w:t>
            </w:r>
            <w:r>
              <w:rPr>
                <w:rFonts w:hint="eastAsia" w:ascii="宋体" w:hAnsi="宋体" w:eastAsia="宋体" w:cs="宋体"/>
                <w:b/>
                <w:color w:val="auto"/>
                <w:kern w:val="2"/>
                <w:sz w:val="24"/>
                <w:szCs w:val="24"/>
                <w:highlight w:val="none"/>
              </w:rPr>
              <w:t>分)</w:t>
            </w:r>
          </w:p>
        </w:tc>
        <w:tc>
          <w:tcPr>
            <w:tcW w:w="7113" w:type="dxa"/>
            <w:noWrap w:val="0"/>
            <w:vAlign w:val="center"/>
          </w:tcPr>
          <w:p w14:paraId="2A35D4DB">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color w:val="auto"/>
                <w:spacing w:val="0"/>
                <w:kern w:val="0"/>
                <w:sz w:val="24"/>
                <w:szCs w:val="24"/>
                <w:highlight w:val="none"/>
                <w:lang w:eastAsia="zh-CN"/>
              </w:rPr>
            </w:pPr>
            <w:r>
              <w:rPr>
                <w:rFonts w:hint="eastAsia" w:ascii="宋体" w:hAnsi="宋体" w:eastAsia="宋体" w:cs="宋体"/>
                <w:b/>
                <w:bCs/>
                <w:color w:val="auto"/>
                <w:spacing w:val="0"/>
                <w:kern w:val="0"/>
                <w:sz w:val="24"/>
                <w:szCs w:val="24"/>
                <w:highlight w:val="none"/>
                <w:lang w:eastAsia="zh-CN"/>
              </w:rPr>
              <w:t>业绩：</w:t>
            </w:r>
          </w:p>
          <w:p w14:paraId="5A5B9D81">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color w:val="auto"/>
                <w:spacing w:val="0"/>
                <w:kern w:val="0"/>
                <w:sz w:val="24"/>
                <w:szCs w:val="20"/>
                <w:highlight w:val="none"/>
              </w:rPr>
            </w:pPr>
            <w:r>
              <w:rPr>
                <w:rFonts w:hint="eastAsia" w:ascii="宋体" w:hAnsi="宋体" w:eastAsia="宋体" w:cs="宋体"/>
                <w:bCs/>
                <w:color w:val="auto"/>
                <w:spacing w:val="0"/>
                <w:kern w:val="0"/>
                <w:sz w:val="24"/>
                <w:szCs w:val="20"/>
                <w:highlight w:val="none"/>
              </w:rPr>
              <w:t>供应商202</w:t>
            </w:r>
            <w:r>
              <w:rPr>
                <w:rFonts w:hint="eastAsia" w:ascii="宋体" w:hAnsi="宋体" w:eastAsia="宋体" w:cs="宋体"/>
                <w:bCs/>
                <w:color w:val="auto"/>
                <w:spacing w:val="0"/>
                <w:kern w:val="0"/>
                <w:sz w:val="24"/>
                <w:szCs w:val="20"/>
                <w:highlight w:val="none"/>
                <w:lang w:val="en-US" w:eastAsia="zh-CN"/>
              </w:rPr>
              <w:t>2</w:t>
            </w:r>
            <w:r>
              <w:rPr>
                <w:rFonts w:hint="eastAsia" w:ascii="宋体" w:hAnsi="宋体" w:eastAsia="宋体" w:cs="宋体"/>
                <w:bCs/>
                <w:color w:val="auto"/>
                <w:spacing w:val="0"/>
                <w:kern w:val="0"/>
                <w:sz w:val="24"/>
                <w:szCs w:val="20"/>
                <w:highlight w:val="none"/>
              </w:rPr>
              <w:t>年</w:t>
            </w:r>
            <w:r>
              <w:rPr>
                <w:rFonts w:hint="eastAsia" w:ascii="宋体" w:hAnsi="宋体" w:eastAsia="宋体" w:cs="宋体"/>
                <w:bCs/>
                <w:color w:val="auto"/>
                <w:spacing w:val="0"/>
                <w:kern w:val="0"/>
                <w:sz w:val="24"/>
                <w:szCs w:val="20"/>
                <w:highlight w:val="none"/>
                <w:lang w:val="en-US" w:eastAsia="zh-CN"/>
              </w:rPr>
              <w:t>1</w:t>
            </w:r>
            <w:r>
              <w:rPr>
                <w:rFonts w:hint="eastAsia" w:ascii="宋体" w:hAnsi="宋体" w:eastAsia="宋体" w:cs="宋体"/>
                <w:bCs/>
                <w:color w:val="auto"/>
                <w:spacing w:val="0"/>
                <w:kern w:val="0"/>
                <w:sz w:val="24"/>
                <w:szCs w:val="20"/>
                <w:highlight w:val="none"/>
              </w:rPr>
              <w:t>月1日至今具有同类项目业绩</w:t>
            </w:r>
            <w:r>
              <w:rPr>
                <w:rFonts w:hint="eastAsia" w:ascii="宋体" w:hAnsi="宋体" w:eastAsia="宋体" w:cs="宋体"/>
                <w:bCs/>
                <w:color w:val="auto"/>
                <w:spacing w:val="0"/>
                <w:kern w:val="0"/>
                <w:sz w:val="24"/>
                <w:szCs w:val="20"/>
                <w:highlight w:val="none"/>
                <w:lang w:val="en-US" w:eastAsia="zh-CN"/>
              </w:rPr>
              <w:t>的</w:t>
            </w:r>
            <w:r>
              <w:rPr>
                <w:rFonts w:hint="eastAsia" w:ascii="宋体" w:hAnsi="宋体" w:eastAsia="宋体" w:cs="宋体"/>
                <w:bCs/>
                <w:color w:val="auto"/>
                <w:spacing w:val="0"/>
                <w:kern w:val="0"/>
                <w:sz w:val="24"/>
                <w:szCs w:val="20"/>
                <w:highlight w:val="none"/>
              </w:rPr>
              <w:t>，每提供1个业绩得</w:t>
            </w:r>
            <w:r>
              <w:rPr>
                <w:rFonts w:hint="eastAsia" w:ascii="宋体" w:hAnsi="宋体" w:eastAsia="宋体" w:cs="宋体"/>
                <w:bCs/>
                <w:color w:val="auto"/>
                <w:spacing w:val="0"/>
                <w:kern w:val="0"/>
                <w:sz w:val="24"/>
                <w:szCs w:val="20"/>
                <w:highlight w:val="none"/>
                <w:lang w:val="en-US" w:eastAsia="zh-CN"/>
              </w:rPr>
              <w:t>2.5</w:t>
            </w:r>
            <w:r>
              <w:rPr>
                <w:rFonts w:hint="eastAsia" w:ascii="宋体" w:hAnsi="宋体" w:eastAsia="宋体" w:cs="宋体"/>
                <w:bCs/>
                <w:color w:val="auto"/>
                <w:spacing w:val="0"/>
                <w:kern w:val="0"/>
                <w:sz w:val="24"/>
                <w:szCs w:val="20"/>
                <w:highlight w:val="none"/>
              </w:rPr>
              <w:t>分，满分</w:t>
            </w:r>
            <w:r>
              <w:rPr>
                <w:rFonts w:hint="eastAsia" w:ascii="宋体" w:hAnsi="宋体" w:eastAsia="宋体" w:cs="宋体"/>
                <w:bCs/>
                <w:color w:val="auto"/>
                <w:spacing w:val="0"/>
                <w:kern w:val="0"/>
                <w:sz w:val="24"/>
                <w:szCs w:val="20"/>
                <w:highlight w:val="none"/>
                <w:lang w:val="en-US" w:eastAsia="zh-CN"/>
              </w:rPr>
              <w:t>10</w:t>
            </w:r>
            <w:r>
              <w:rPr>
                <w:rFonts w:hint="eastAsia" w:ascii="宋体" w:hAnsi="宋体" w:eastAsia="宋体" w:cs="宋体"/>
                <w:bCs/>
                <w:color w:val="auto"/>
                <w:spacing w:val="0"/>
                <w:kern w:val="0"/>
                <w:sz w:val="24"/>
                <w:szCs w:val="20"/>
                <w:highlight w:val="none"/>
              </w:rPr>
              <w:t>分。</w:t>
            </w:r>
          </w:p>
          <w:p w14:paraId="0DD6AA04">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color w:val="auto"/>
                <w:spacing w:val="0"/>
                <w:kern w:val="0"/>
                <w:sz w:val="24"/>
                <w:szCs w:val="20"/>
                <w:highlight w:val="none"/>
              </w:rPr>
            </w:pPr>
            <w:r>
              <w:rPr>
                <w:rFonts w:hint="eastAsia" w:ascii="宋体" w:hAnsi="宋体" w:eastAsia="宋体" w:cs="宋体"/>
                <w:bCs/>
                <w:color w:val="auto"/>
                <w:spacing w:val="0"/>
                <w:kern w:val="0"/>
                <w:sz w:val="24"/>
                <w:szCs w:val="20"/>
                <w:highlight w:val="none"/>
              </w:rPr>
              <w:t>注：</w:t>
            </w:r>
          </w:p>
          <w:p w14:paraId="5C10016D">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color w:val="auto"/>
                <w:spacing w:val="0"/>
                <w:kern w:val="0"/>
                <w:sz w:val="24"/>
                <w:szCs w:val="20"/>
                <w:highlight w:val="none"/>
              </w:rPr>
            </w:pPr>
            <w:r>
              <w:rPr>
                <w:rFonts w:hint="eastAsia" w:ascii="宋体" w:hAnsi="宋体" w:eastAsia="宋体" w:cs="宋体"/>
                <w:bCs/>
                <w:color w:val="auto"/>
                <w:spacing w:val="0"/>
                <w:kern w:val="0"/>
                <w:sz w:val="24"/>
                <w:szCs w:val="20"/>
                <w:highlight w:val="none"/>
              </w:rPr>
              <w:t>1.日期以合同签订时间为准。</w:t>
            </w:r>
          </w:p>
          <w:p w14:paraId="49D11A64">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color w:val="auto"/>
                <w:spacing w:val="0"/>
                <w:kern w:val="0"/>
                <w:sz w:val="24"/>
                <w:szCs w:val="20"/>
                <w:highlight w:val="none"/>
              </w:rPr>
            </w:pPr>
            <w:r>
              <w:rPr>
                <w:rFonts w:hint="eastAsia" w:ascii="宋体" w:hAnsi="宋体" w:eastAsia="宋体" w:cs="宋体"/>
                <w:bCs/>
                <w:color w:val="auto"/>
                <w:spacing w:val="0"/>
                <w:kern w:val="0"/>
                <w:sz w:val="24"/>
                <w:szCs w:val="20"/>
                <w:highlight w:val="none"/>
              </w:rPr>
              <w:t>2.同类项目指</w:t>
            </w:r>
            <w:r>
              <w:rPr>
                <w:rFonts w:hint="eastAsia" w:ascii="宋体" w:hAnsi="宋体" w:eastAsia="宋体" w:cs="宋体"/>
                <w:bCs/>
                <w:color w:val="auto"/>
                <w:spacing w:val="0"/>
                <w:kern w:val="0"/>
                <w:sz w:val="24"/>
                <w:szCs w:val="20"/>
                <w:highlight w:val="none"/>
                <w:lang w:val="en-US" w:eastAsia="zh-CN"/>
              </w:rPr>
              <w:t>房屋建筑</w:t>
            </w:r>
            <w:r>
              <w:rPr>
                <w:rFonts w:hint="eastAsia" w:ascii="宋体" w:hAnsi="宋体" w:eastAsia="宋体" w:cs="宋体"/>
                <w:color w:val="auto"/>
                <w:spacing w:val="0"/>
                <w:kern w:val="0"/>
                <w:sz w:val="24"/>
                <w:szCs w:val="24"/>
                <w:highlight w:val="none"/>
                <w:lang w:val="en-US" w:eastAsia="zh-CN"/>
              </w:rPr>
              <w:t>维修改造</w:t>
            </w:r>
            <w:r>
              <w:rPr>
                <w:rFonts w:hint="eastAsia" w:ascii="宋体" w:hAnsi="宋体" w:eastAsia="宋体" w:cs="宋体"/>
                <w:bCs/>
                <w:color w:val="auto"/>
                <w:spacing w:val="0"/>
                <w:kern w:val="0"/>
                <w:sz w:val="24"/>
                <w:szCs w:val="20"/>
                <w:highlight w:val="none"/>
              </w:rPr>
              <w:t>类</w:t>
            </w:r>
            <w:r>
              <w:rPr>
                <w:rFonts w:hint="eastAsia" w:ascii="宋体" w:hAnsi="宋体" w:eastAsia="宋体" w:cs="宋体"/>
                <w:bCs/>
                <w:color w:val="auto"/>
                <w:spacing w:val="0"/>
                <w:kern w:val="0"/>
                <w:sz w:val="24"/>
                <w:szCs w:val="20"/>
                <w:highlight w:val="none"/>
                <w:lang w:val="en-US" w:eastAsia="zh-CN"/>
              </w:rPr>
              <w:t>或装饰装修类</w:t>
            </w:r>
            <w:r>
              <w:rPr>
                <w:rFonts w:hint="eastAsia" w:ascii="宋体" w:hAnsi="宋体" w:eastAsia="宋体" w:cs="宋体"/>
                <w:bCs/>
                <w:color w:val="auto"/>
                <w:spacing w:val="0"/>
                <w:kern w:val="0"/>
                <w:sz w:val="24"/>
                <w:szCs w:val="20"/>
                <w:highlight w:val="none"/>
              </w:rPr>
              <w:t>项目。</w:t>
            </w:r>
          </w:p>
          <w:p w14:paraId="10CC319A">
            <w:pPr>
              <w:keepNext w:val="0"/>
              <w:keepLines w:val="0"/>
              <w:pageBreakBefore w:val="0"/>
              <w:kinsoku/>
              <w:wordWrap/>
              <w:overflowPunct/>
              <w:topLinePunct w:val="0"/>
              <w:autoSpaceDE w:val="0"/>
              <w:autoSpaceDN w:val="0"/>
              <w:bidi w:val="0"/>
              <w:adjustRightInd w:val="0"/>
              <w:snapToGrid w:val="0"/>
              <w:spacing w:line="440" w:lineRule="exact"/>
              <w:ind w:left="240" w:hanging="240" w:hangingChars="1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bCs/>
                <w:color w:val="auto"/>
                <w:spacing w:val="0"/>
                <w:kern w:val="0"/>
                <w:sz w:val="24"/>
                <w:szCs w:val="20"/>
                <w:highlight w:val="none"/>
              </w:rPr>
              <w:t>3.证明材料须</w:t>
            </w:r>
            <w:r>
              <w:rPr>
                <w:rFonts w:hint="eastAsia" w:ascii="宋体" w:hAnsi="宋体" w:eastAsia="宋体" w:cs="宋体"/>
                <w:bCs/>
                <w:color w:val="auto"/>
                <w:spacing w:val="0"/>
                <w:kern w:val="0"/>
                <w:sz w:val="24"/>
                <w:szCs w:val="20"/>
                <w:highlight w:val="none"/>
                <w:lang w:val="en-US" w:eastAsia="zh-CN"/>
              </w:rPr>
              <w:t>同时</w:t>
            </w:r>
            <w:r>
              <w:rPr>
                <w:rFonts w:hint="eastAsia" w:ascii="宋体" w:hAnsi="宋体" w:eastAsia="宋体" w:cs="宋体"/>
                <w:bCs/>
                <w:color w:val="auto"/>
                <w:spacing w:val="0"/>
                <w:kern w:val="0"/>
                <w:sz w:val="24"/>
                <w:szCs w:val="20"/>
                <w:highlight w:val="none"/>
              </w:rPr>
              <w:t>提供</w:t>
            </w:r>
            <w:r>
              <w:rPr>
                <w:rFonts w:hint="eastAsia" w:ascii="宋体" w:hAnsi="宋体" w:eastAsia="宋体" w:cs="宋体"/>
                <w:bCs/>
                <w:color w:val="auto"/>
                <w:spacing w:val="0"/>
                <w:kern w:val="0"/>
                <w:sz w:val="24"/>
                <w:szCs w:val="20"/>
                <w:highlight w:val="none"/>
                <w:lang w:val="en-US" w:eastAsia="zh-CN"/>
              </w:rPr>
              <w:t>(1)</w:t>
            </w:r>
            <w:r>
              <w:rPr>
                <w:rFonts w:hint="eastAsia" w:ascii="宋体" w:hAnsi="宋体" w:eastAsia="宋体" w:cs="宋体"/>
                <w:bCs/>
                <w:color w:val="auto"/>
                <w:spacing w:val="0"/>
                <w:kern w:val="0"/>
                <w:sz w:val="24"/>
                <w:szCs w:val="20"/>
                <w:highlight w:val="none"/>
              </w:rPr>
              <w:t>合同</w:t>
            </w:r>
            <w:r>
              <w:rPr>
                <w:rFonts w:hint="eastAsia" w:ascii="宋体" w:hAnsi="宋体" w:eastAsia="宋体" w:cs="宋体"/>
                <w:bCs/>
                <w:color w:val="auto"/>
                <w:spacing w:val="0"/>
                <w:kern w:val="0"/>
                <w:sz w:val="24"/>
                <w:szCs w:val="20"/>
                <w:highlight w:val="none"/>
                <w:lang w:val="en-US" w:eastAsia="zh-CN"/>
              </w:rPr>
              <w:t>协议书；(2)中标/成交通知书；(3)中标/成交等公告网页截图；提供不全不得分</w:t>
            </w:r>
            <w:r>
              <w:rPr>
                <w:rFonts w:hint="eastAsia" w:ascii="宋体" w:hAnsi="宋体" w:eastAsia="宋体" w:cs="宋体"/>
                <w:bCs/>
                <w:color w:val="auto"/>
                <w:spacing w:val="0"/>
                <w:kern w:val="0"/>
                <w:sz w:val="24"/>
                <w:szCs w:val="20"/>
                <w:highlight w:val="none"/>
              </w:rPr>
              <w:t>。</w:t>
            </w:r>
          </w:p>
        </w:tc>
        <w:tc>
          <w:tcPr>
            <w:tcW w:w="762" w:type="dxa"/>
            <w:noWrap w:val="0"/>
            <w:vAlign w:val="center"/>
          </w:tcPr>
          <w:p w14:paraId="7F1CFBB0">
            <w:pPr>
              <w:keepNext w:val="0"/>
              <w:keepLines w:val="0"/>
              <w:pageBreakBefore w:val="0"/>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0"/>
                <w:kern w:val="0"/>
                <w:sz w:val="24"/>
                <w:szCs w:val="20"/>
                <w:highlight w:val="none"/>
              </w:rPr>
            </w:pPr>
            <w:r>
              <w:rPr>
                <w:rFonts w:hint="eastAsia" w:ascii="宋体" w:hAnsi="宋体" w:eastAsia="宋体" w:cs="宋体"/>
                <w:color w:val="auto"/>
                <w:spacing w:val="0"/>
                <w:kern w:val="0"/>
                <w:sz w:val="24"/>
                <w:szCs w:val="24"/>
                <w:highlight w:val="none"/>
                <w:lang w:val="en-US" w:eastAsia="zh-CN"/>
              </w:rPr>
              <w:t>10</w:t>
            </w:r>
            <w:r>
              <w:rPr>
                <w:rFonts w:hint="eastAsia" w:ascii="宋体" w:hAnsi="宋体" w:eastAsia="宋体" w:cs="宋体"/>
                <w:color w:val="auto"/>
                <w:spacing w:val="0"/>
                <w:kern w:val="0"/>
                <w:sz w:val="24"/>
                <w:szCs w:val="24"/>
                <w:highlight w:val="none"/>
                <w:lang w:eastAsia="zh-CN"/>
              </w:rPr>
              <w:t>分</w:t>
            </w:r>
          </w:p>
        </w:tc>
      </w:tr>
      <w:tr w14:paraId="6372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7F1458D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0583261B">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default"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eastAsia="zh-CN"/>
              </w:rPr>
              <w:t>项目经理职称与业绩：</w:t>
            </w:r>
          </w:p>
          <w:p w14:paraId="45EE358E">
            <w:pPr>
              <w:keepNext w:val="0"/>
              <w:keepLines w:val="0"/>
              <w:pageBreakBefore w:val="0"/>
              <w:kinsoku/>
              <w:wordWrap/>
              <w:overflowPunct/>
              <w:topLinePunct w:val="0"/>
              <w:autoSpaceDE/>
              <w:autoSpaceDN/>
              <w:bidi w:val="0"/>
              <w:adjustRightInd w:val="0"/>
              <w:snapToGrid w:val="0"/>
              <w:spacing w:line="440" w:lineRule="exact"/>
              <w:ind w:left="240" w:hanging="240" w:hangingChars="100"/>
              <w:jc w:val="left"/>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w:t>
            </w:r>
            <w:r>
              <w:rPr>
                <w:rFonts w:hint="eastAsia" w:ascii="宋体" w:hAnsi="宋体" w:eastAsia="宋体" w:cs="宋体"/>
                <w:color w:val="auto"/>
                <w:spacing w:val="0"/>
                <w:kern w:val="0"/>
                <w:sz w:val="24"/>
                <w:szCs w:val="24"/>
                <w:highlight w:val="none"/>
              </w:rPr>
              <w:t>项目经理</w:t>
            </w:r>
            <w:r>
              <w:rPr>
                <w:rFonts w:hint="eastAsia" w:ascii="宋体" w:hAnsi="宋体" w:eastAsia="宋体" w:cs="宋体"/>
                <w:color w:val="auto"/>
                <w:spacing w:val="0"/>
                <w:kern w:val="0"/>
                <w:sz w:val="24"/>
                <w:szCs w:val="24"/>
                <w:highlight w:val="none"/>
                <w:lang w:val="en-US" w:eastAsia="zh-CN"/>
              </w:rPr>
              <w:t>职称</w:t>
            </w:r>
            <w:r>
              <w:rPr>
                <w:rFonts w:hint="eastAsia" w:ascii="宋体" w:hAnsi="宋体" w:eastAsia="宋体" w:cs="宋体"/>
                <w:color w:val="auto"/>
                <w:spacing w:val="0"/>
                <w:kern w:val="0"/>
                <w:sz w:val="24"/>
                <w:szCs w:val="24"/>
                <w:highlight w:val="none"/>
              </w:rPr>
              <w:t>：</w:t>
            </w:r>
          </w:p>
          <w:p w14:paraId="7432AF0D">
            <w:pPr>
              <w:keepNext w:val="0"/>
              <w:keepLines w:val="0"/>
              <w:pageBreakBefore w:val="0"/>
              <w:kinsoku/>
              <w:wordWrap/>
              <w:overflowPunct/>
              <w:topLinePunct w:val="0"/>
              <w:autoSpaceDE/>
              <w:autoSpaceDN/>
              <w:bidi w:val="0"/>
              <w:adjustRightInd w:val="0"/>
              <w:snapToGrid w:val="0"/>
              <w:spacing w:line="440" w:lineRule="exact"/>
              <w:jc w:val="both"/>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具有建筑工程相关专业中级职称得3分，具有建筑工程相关专业高级及以上职称得</w:t>
            </w: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rPr>
              <w:t>分</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lang w:val="en-US" w:eastAsia="zh-CN"/>
              </w:rPr>
              <w:t>本项</w:t>
            </w:r>
            <w:r>
              <w:rPr>
                <w:rFonts w:hint="eastAsia" w:ascii="宋体" w:hAnsi="宋体" w:eastAsia="宋体" w:cs="宋体"/>
                <w:color w:val="auto"/>
                <w:spacing w:val="0"/>
                <w:kern w:val="0"/>
                <w:sz w:val="24"/>
                <w:szCs w:val="24"/>
                <w:highlight w:val="none"/>
                <w:lang w:eastAsia="zh-CN"/>
              </w:rPr>
              <w:t>满分</w:t>
            </w: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lang w:eastAsia="zh-CN"/>
              </w:rPr>
              <w:t>分</w:t>
            </w:r>
            <w:r>
              <w:rPr>
                <w:rFonts w:hint="eastAsia" w:ascii="宋体" w:hAnsi="宋体" w:eastAsia="宋体" w:cs="宋体"/>
                <w:color w:val="auto"/>
                <w:spacing w:val="0"/>
                <w:kern w:val="0"/>
                <w:sz w:val="24"/>
                <w:szCs w:val="24"/>
                <w:highlight w:val="none"/>
              </w:rPr>
              <w:t>。</w:t>
            </w:r>
          </w:p>
          <w:p w14:paraId="253F7101">
            <w:pPr>
              <w:keepNext w:val="0"/>
              <w:keepLines w:val="0"/>
              <w:pageBreakBefore w:val="0"/>
              <w:kinsoku/>
              <w:wordWrap/>
              <w:overflowPunct/>
              <w:topLinePunct w:val="0"/>
              <w:autoSpaceDE/>
              <w:autoSpaceDN/>
              <w:bidi w:val="0"/>
              <w:adjustRightInd w:val="0"/>
              <w:snapToGrid w:val="0"/>
              <w:spacing w:line="440" w:lineRule="exact"/>
              <w:ind w:left="240" w:hanging="240" w:hangingChars="100"/>
              <w:jc w:val="left"/>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项目经理业绩：</w:t>
            </w:r>
          </w:p>
          <w:p w14:paraId="3E5B4695">
            <w:pPr>
              <w:keepNext w:val="0"/>
              <w:keepLines w:val="0"/>
              <w:pageBreakBefore w:val="0"/>
              <w:kinsoku/>
              <w:wordWrap/>
              <w:overflowPunct/>
              <w:topLinePunct w:val="0"/>
              <w:autoSpaceDE/>
              <w:autoSpaceDN/>
              <w:bidi w:val="0"/>
              <w:adjustRightInd w:val="0"/>
              <w:snapToGrid w:val="0"/>
              <w:spacing w:line="440" w:lineRule="exact"/>
              <w:jc w:val="left"/>
              <w:textAlignment w:val="baseline"/>
              <w:rPr>
                <w:rFonts w:hint="default"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每</w:t>
            </w:r>
            <w:r>
              <w:rPr>
                <w:rFonts w:hint="eastAsia" w:ascii="宋体" w:hAnsi="宋体" w:eastAsia="宋体" w:cs="宋体"/>
                <w:color w:val="auto"/>
                <w:spacing w:val="0"/>
                <w:kern w:val="0"/>
                <w:sz w:val="24"/>
                <w:szCs w:val="24"/>
                <w:highlight w:val="none"/>
              </w:rPr>
              <w:t>提供</w:t>
            </w:r>
            <w:r>
              <w:rPr>
                <w:rFonts w:hint="eastAsia" w:ascii="宋体" w:hAnsi="宋体" w:eastAsia="宋体" w:cs="宋体"/>
                <w:color w:val="auto"/>
                <w:spacing w:val="0"/>
                <w:kern w:val="0"/>
                <w:sz w:val="24"/>
                <w:szCs w:val="24"/>
                <w:highlight w:val="none"/>
                <w:lang w:val="en-US" w:eastAsia="zh-CN"/>
              </w:rPr>
              <w:t>1个项目经理</w:t>
            </w:r>
            <w:r>
              <w:rPr>
                <w:rFonts w:hint="eastAsia" w:ascii="宋体" w:hAnsi="宋体" w:eastAsia="宋体" w:cs="宋体"/>
                <w:color w:val="auto"/>
                <w:spacing w:val="0"/>
                <w:kern w:val="0"/>
                <w:sz w:val="24"/>
                <w:szCs w:val="24"/>
                <w:highlight w:val="none"/>
              </w:rPr>
              <w:t>近三年（202</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年</w:t>
            </w:r>
            <w:r>
              <w:rPr>
                <w:rFonts w:hint="eastAsia" w:ascii="宋体" w:hAnsi="宋体" w:eastAsia="宋体" w:cs="宋体"/>
                <w:color w:val="auto"/>
                <w:spacing w:val="0"/>
                <w:kern w:val="0"/>
                <w:sz w:val="24"/>
                <w:szCs w:val="24"/>
                <w:highlight w:val="none"/>
                <w:lang w:val="en-US" w:eastAsia="zh-CN"/>
              </w:rPr>
              <w:t>5</w:t>
            </w:r>
            <w:r>
              <w:rPr>
                <w:rFonts w:hint="eastAsia" w:ascii="宋体" w:hAnsi="宋体" w:eastAsia="宋体" w:cs="宋体"/>
                <w:color w:val="auto"/>
                <w:spacing w:val="0"/>
                <w:kern w:val="0"/>
                <w:sz w:val="24"/>
                <w:szCs w:val="24"/>
                <w:highlight w:val="none"/>
              </w:rPr>
              <w:t>月至今）</w:t>
            </w:r>
            <w:r>
              <w:rPr>
                <w:rFonts w:hint="eastAsia" w:ascii="宋体" w:hAnsi="宋体" w:eastAsia="宋体" w:cs="宋体"/>
                <w:bCs/>
                <w:color w:val="auto"/>
                <w:spacing w:val="0"/>
                <w:kern w:val="0"/>
                <w:sz w:val="24"/>
                <w:szCs w:val="20"/>
                <w:highlight w:val="none"/>
                <w:lang w:val="en-US" w:eastAsia="zh-CN"/>
              </w:rPr>
              <w:t>房屋建筑</w:t>
            </w:r>
            <w:r>
              <w:rPr>
                <w:rFonts w:hint="eastAsia" w:ascii="宋体" w:hAnsi="宋体" w:eastAsia="宋体" w:cs="宋体"/>
                <w:color w:val="auto"/>
                <w:spacing w:val="0"/>
                <w:kern w:val="0"/>
                <w:sz w:val="24"/>
                <w:szCs w:val="24"/>
                <w:highlight w:val="none"/>
                <w:lang w:val="en-US" w:eastAsia="zh-CN"/>
              </w:rPr>
              <w:t>维修改造</w:t>
            </w:r>
            <w:r>
              <w:rPr>
                <w:rFonts w:hint="eastAsia" w:ascii="宋体" w:hAnsi="宋体" w:eastAsia="宋体" w:cs="宋体"/>
                <w:bCs/>
                <w:color w:val="auto"/>
                <w:spacing w:val="0"/>
                <w:kern w:val="0"/>
                <w:sz w:val="24"/>
                <w:szCs w:val="20"/>
                <w:highlight w:val="none"/>
              </w:rPr>
              <w:t>类</w:t>
            </w:r>
            <w:r>
              <w:rPr>
                <w:rFonts w:hint="eastAsia" w:ascii="宋体" w:hAnsi="宋体" w:eastAsia="宋体" w:cs="宋体"/>
                <w:bCs/>
                <w:color w:val="auto"/>
                <w:spacing w:val="0"/>
                <w:kern w:val="0"/>
                <w:sz w:val="24"/>
                <w:szCs w:val="20"/>
                <w:highlight w:val="none"/>
                <w:lang w:val="en-US" w:eastAsia="zh-CN"/>
              </w:rPr>
              <w:t>或装饰装修类</w:t>
            </w:r>
            <w:r>
              <w:rPr>
                <w:rFonts w:hint="eastAsia" w:ascii="宋体" w:hAnsi="宋体" w:eastAsia="宋体" w:cs="宋体"/>
                <w:color w:val="auto"/>
                <w:spacing w:val="0"/>
                <w:kern w:val="0"/>
                <w:sz w:val="24"/>
                <w:szCs w:val="24"/>
                <w:highlight w:val="none"/>
              </w:rPr>
              <w:t>业绩</w:t>
            </w:r>
            <w:r>
              <w:rPr>
                <w:rFonts w:hint="eastAsia" w:ascii="宋体" w:hAnsi="宋体" w:eastAsia="宋体" w:cs="宋体"/>
                <w:color w:val="auto"/>
                <w:spacing w:val="0"/>
                <w:kern w:val="0"/>
                <w:sz w:val="24"/>
                <w:szCs w:val="24"/>
                <w:highlight w:val="none"/>
                <w:lang w:val="en-US" w:eastAsia="zh-CN"/>
              </w:rPr>
              <w:t>得2</w:t>
            </w:r>
            <w:r>
              <w:rPr>
                <w:rFonts w:hint="eastAsia" w:ascii="宋体" w:hAnsi="宋体" w:eastAsia="宋体" w:cs="宋体"/>
                <w:color w:val="auto"/>
                <w:spacing w:val="0"/>
                <w:kern w:val="0"/>
                <w:sz w:val="24"/>
                <w:szCs w:val="24"/>
                <w:highlight w:val="none"/>
              </w:rPr>
              <w:t>分</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lang w:val="en-US" w:eastAsia="zh-CN"/>
              </w:rPr>
              <w:t>本项满分4分。</w:t>
            </w:r>
          </w:p>
          <w:p w14:paraId="1FD9BAB3">
            <w:pPr>
              <w:keepNext w:val="0"/>
              <w:keepLines w:val="0"/>
              <w:pageBreakBefore w:val="0"/>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bCs/>
                <w:color w:val="auto"/>
                <w:spacing w:val="0"/>
                <w:kern w:val="0"/>
                <w:sz w:val="24"/>
                <w:szCs w:val="24"/>
                <w:highlight w:val="none"/>
                <w:lang w:bidi="ar"/>
              </w:rPr>
            </w:pPr>
            <w:r>
              <w:rPr>
                <w:rFonts w:hint="eastAsia" w:ascii="宋体" w:hAnsi="宋体" w:eastAsia="宋体" w:cs="宋体"/>
                <w:bCs/>
                <w:color w:val="auto"/>
                <w:spacing w:val="0"/>
                <w:kern w:val="0"/>
                <w:sz w:val="24"/>
                <w:szCs w:val="24"/>
                <w:highlight w:val="none"/>
                <w:lang w:bidi="ar"/>
              </w:rPr>
              <w:t>注：证明材料须同时提供人员证明材料</w:t>
            </w:r>
            <w:r>
              <w:rPr>
                <w:rFonts w:hint="eastAsia" w:ascii="宋体" w:hAnsi="宋体" w:eastAsia="宋体" w:cs="宋体"/>
                <w:bCs/>
                <w:color w:val="auto"/>
                <w:spacing w:val="0"/>
                <w:kern w:val="0"/>
                <w:sz w:val="24"/>
                <w:szCs w:val="24"/>
                <w:highlight w:val="none"/>
                <w:lang w:val="en-US" w:eastAsia="zh-CN" w:bidi="ar"/>
              </w:rPr>
              <w:t>及业绩</w:t>
            </w:r>
            <w:r>
              <w:rPr>
                <w:rFonts w:hint="eastAsia" w:ascii="宋体" w:hAnsi="宋体" w:eastAsia="宋体" w:cs="宋体"/>
                <w:bCs/>
                <w:color w:val="auto"/>
                <w:spacing w:val="0"/>
                <w:kern w:val="0"/>
                <w:sz w:val="24"/>
                <w:szCs w:val="24"/>
                <w:highlight w:val="none"/>
                <w:lang w:bidi="ar"/>
              </w:rPr>
              <w:t>证明</w:t>
            </w:r>
            <w:r>
              <w:rPr>
                <w:rFonts w:hint="eastAsia" w:ascii="宋体" w:hAnsi="宋体" w:eastAsia="宋体" w:cs="宋体"/>
                <w:bCs/>
                <w:color w:val="auto"/>
                <w:spacing w:val="0"/>
                <w:kern w:val="0"/>
                <w:sz w:val="24"/>
                <w:szCs w:val="24"/>
                <w:highlight w:val="none"/>
                <w:lang w:val="en-US" w:eastAsia="zh-CN" w:bidi="ar"/>
              </w:rPr>
              <w:t>材料，不提供或提供不全不得分</w:t>
            </w:r>
            <w:r>
              <w:rPr>
                <w:rFonts w:hint="eastAsia" w:ascii="宋体" w:hAnsi="宋体" w:eastAsia="宋体" w:cs="宋体"/>
                <w:bCs/>
                <w:color w:val="auto"/>
                <w:spacing w:val="0"/>
                <w:kern w:val="0"/>
                <w:sz w:val="24"/>
                <w:szCs w:val="24"/>
                <w:highlight w:val="none"/>
                <w:lang w:bidi="ar"/>
              </w:rPr>
              <w:t>：</w:t>
            </w:r>
          </w:p>
          <w:p w14:paraId="4EE3A473">
            <w:pPr>
              <w:keepNext w:val="0"/>
              <w:keepLines w:val="0"/>
              <w:pageBreakBefore w:val="0"/>
              <w:numPr>
                <w:ilvl w:val="0"/>
                <w:numId w:val="0"/>
              </w:numPr>
              <w:kinsoku/>
              <w:wordWrap/>
              <w:overflowPunct/>
              <w:topLinePunct w:val="0"/>
              <w:autoSpaceDE/>
              <w:autoSpaceDN/>
              <w:bidi w:val="0"/>
              <w:adjustRightInd w:val="0"/>
              <w:snapToGrid w:val="0"/>
              <w:spacing w:line="440" w:lineRule="exact"/>
              <w:ind w:left="240" w:hanging="240" w:hangingChars="100"/>
              <w:jc w:val="left"/>
              <w:textAlignment w:val="baseline"/>
              <w:rPr>
                <w:rFonts w:hint="eastAsia" w:ascii="宋体" w:hAnsi="宋体" w:eastAsia="宋体" w:cs="宋体"/>
                <w:bCs/>
                <w:color w:val="auto"/>
                <w:spacing w:val="0"/>
                <w:kern w:val="0"/>
                <w:sz w:val="24"/>
                <w:szCs w:val="24"/>
                <w:highlight w:val="none"/>
                <w:lang w:bidi="ar"/>
              </w:rPr>
            </w:pPr>
            <w:r>
              <w:rPr>
                <w:rFonts w:hint="eastAsia" w:ascii="宋体" w:hAnsi="宋体" w:eastAsia="宋体" w:cs="宋体"/>
                <w:bCs/>
                <w:color w:val="auto"/>
                <w:spacing w:val="0"/>
                <w:kern w:val="2"/>
                <w:sz w:val="24"/>
                <w:szCs w:val="24"/>
                <w:highlight w:val="none"/>
                <w:lang w:val="en-US" w:eastAsia="zh-CN" w:bidi="ar"/>
              </w:rPr>
              <w:t>1.</w:t>
            </w:r>
            <w:r>
              <w:rPr>
                <w:rFonts w:hint="eastAsia" w:ascii="宋体" w:hAnsi="宋体" w:eastAsia="宋体" w:cs="宋体"/>
                <w:bCs/>
                <w:color w:val="auto"/>
                <w:spacing w:val="0"/>
                <w:kern w:val="0"/>
                <w:sz w:val="24"/>
                <w:szCs w:val="24"/>
                <w:highlight w:val="none"/>
                <w:lang w:val="en-US" w:eastAsia="zh-CN" w:bidi="ar"/>
              </w:rPr>
              <w:t>人员证明材料：(1)</w:t>
            </w:r>
            <w:r>
              <w:rPr>
                <w:rFonts w:hint="eastAsia" w:ascii="宋体" w:hAnsi="宋体" w:eastAsia="宋体" w:cs="宋体"/>
                <w:bCs/>
                <w:color w:val="auto"/>
                <w:spacing w:val="0"/>
                <w:kern w:val="0"/>
                <w:sz w:val="24"/>
                <w:szCs w:val="24"/>
                <w:highlight w:val="none"/>
                <w:lang w:bidi="ar"/>
              </w:rPr>
              <w:t>身份证；</w:t>
            </w:r>
            <w:r>
              <w:rPr>
                <w:rFonts w:hint="eastAsia" w:ascii="宋体" w:hAnsi="宋体" w:eastAsia="宋体" w:cs="宋体"/>
                <w:bCs/>
                <w:color w:val="auto"/>
                <w:spacing w:val="0"/>
                <w:kern w:val="0"/>
                <w:sz w:val="24"/>
                <w:szCs w:val="24"/>
                <w:highlight w:val="none"/>
                <w:lang w:val="en-US" w:eastAsia="zh-CN" w:bidi="ar"/>
              </w:rPr>
              <w:t>(2)</w:t>
            </w:r>
            <w:r>
              <w:rPr>
                <w:rFonts w:hint="eastAsia" w:ascii="宋体" w:hAnsi="宋体" w:eastAsia="宋体" w:cs="宋体"/>
                <w:bCs/>
                <w:color w:val="auto"/>
                <w:spacing w:val="0"/>
                <w:kern w:val="0"/>
                <w:sz w:val="24"/>
                <w:szCs w:val="24"/>
                <w:highlight w:val="none"/>
                <w:lang w:bidi="ar"/>
              </w:rPr>
              <w:t>相关证书；</w:t>
            </w:r>
            <w:r>
              <w:rPr>
                <w:rFonts w:hint="eastAsia" w:ascii="宋体" w:hAnsi="宋体" w:eastAsia="宋体" w:cs="宋体"/>
                <w:bCs/>
                <w:color w:val="auto"/>
                <w:spacing w:val="0"/>
                <w:kern w:val="0"/>
                <w:sz w:val="24"/>
                <w:szCs w:val="24"/>
                <w:highlight w:val="none"/>
                <w:lang w:val="en-US" w:eastAsia="zh-CN" w:bidi="ar"/>
              </w:rPr>
              <w:t>(3)供应商</w:t>
            </w:r>
            <w:r>
              <w:rPr>
                <w:rFonts w:hint="eastAsia" w:ascii="宋体" w:hAnsi="宋体" w:eastAsia="宋体" w:cs="宋体"/>
                <w:bCs/>
                <w:color w:val="auto"/>
                <w:spacing w:val="0"/>
                <w:kern w:val="0"/>
                <w:sz w:val="24"/>
                <w:szCs w:val="24"/>
                <w:highlight w:val="none"/>
                <w:lang w:bidi="ar"/>
              </w:rPr>
              <w:t>为其缴纳</w:t>
            </w:r>
            <w:r>
              <w:rPr>
                <w:rFonts w:hint="eastAsia" w:ascii="宋体" w:hAnsi="宋体" w:eastAsia="宋体" w:cs="宋体"/>
                <w:bCs/>
                <w:color w:val="auto"/>
                <w:spacing w:val="0"/>
                <w:kern w:val="0"/>
                <w:sz w:val="24"/>
                <w:szCs w:val="24"/>
                <w:highlight w:val="none"/>
                <w:lang w:val="en-US" w:eastAsia="zh-CN" w:bidi="ar"/>
              </w:rPr>
              <w:t>养老保险</w:t>
            </w:r>
            <w:r>
              <w:rPr>
                <w:rFonts w:hint="eastAsia" w:ascii="宋体" w:hAnsi="宋体" w:eastAsia="宋体" w:cs="宋体"/>
                <w:bCs/>
                <w:color w:val="auto"/>
                <w:spacing w:val="0"/>
                <w:kern w:val="0"/>
                <w:sz w:val="24"/>
                <w:szCs w:val="24"/>
                <w:highlight w:val="none"/>
                <w:lang w:bidi="ar"/>
              </w:rPr>
              <w:t>证明（</w:t>
            </w:r>
            <w:r>
              <w:rPr>
                <w:rFonts w:hint="eastAsia" w:ascii="宋体" w:hAnsi="宋体" w:eastAsia="宋体" w:cs="宋体"/>
                <w:bCs/>
                <w:color w:val="auto"/>
                <w:spacing w:val="0"/>
                <w:kern w:val="0"/>
                <w:sz w:val="24"/>
                <w:szCs w:val="24"/>
                <w:highlight w:val="none"/>
                <w:lang w:eastAsia="zh-CN" w:bidi="ar"/>
              </w:rPr>
              <w:t>202</w:t>
            </w:r>
            <w:r>
              <w:rPr>
                <w:rFonts w:hint="eastAsia" w:ascii="宋体" w:hAnsi="宋体" w:eastAsia="宋体" w:cs="宋体"/>
                <w:bCs/>
                <w:color w:val="auto"/>
                <w:spacing w:val="0"/>
                <w:kern w:val="0"/>
                <w:sz w:val="24"/>
                <w:szCs w:val="24"/>
                <w:highlight w:val="none"/>
                <w:lang w:val="en-US" w:eastAsia="zh-CN" w:bidi="ar"/>
              </w:rPr>
              <w:t>5</w:t>
            </w:r>
            <w:r>
              <w:rPr>
                <w:rFonts w:hint="eastAsia" w:ascii="宋体" w:hAnsi="宋体" w:eastAsia="宋体" w:cs="宋体"/>
                <w:bCs/>
                <w:color w:val="auto"/>
                <w:spacing w:val="0"/>
                <w:kern w:val="0"/>
                <w:sz w:val="24"/>
                <w:szCs w:val="24"/>
                <w:highlight w:val="none"/>
                <w:lang w:eastAsia="zh-CN" w:bidi="ar"/>
              </w:rPr>
              <w:t>年至今任意1个月</w:t>
            </w:r>
            <w:r>
              <w:rPr>
                <w:rFonts w:hint="eastAsia" w:ascii="宋体" w:hAnsi="宋体" w:eastAsia="宋体" w:cs="宋体"/>
                <w:bCs/>
                <w:color w:val="auto"/>
                <w:spacing w:val="0"/>
                <w:kern w:val="0"/>
                <w:sz w:val="24"/>
                <w:szCs w:val="24"/>
                <w:highlight w:val="none"/>
                <w:lang w:bidi="ar"/>
              </w:rPr>
              <w:t>）。</w:t>
            </w:r>
          </w:p>
          <w:p w14:paraId="274B7DB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240" w:leftChars="0" w:hanging="240" w:hangingChars="100"/>
              <w:rPr>
                <w:rFonts w:hint="eastAsia" w:ascii="仿宋_GB2312" w:hAnsi="Times New Roman" w:eastAsia="仿宋_GB2312" w:cs="宋体"/>
                <w:b/>
                <w:color w:val="auto"/>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bidi="ar-SA"/>
              </w:rPr>
              <w:t>2.业绩证明材料：项目合同或中标/成交等通知书，证明材料须体现项目经理姓名。</w:t>
            </w:r>
          </w:p>
        </w:tc>
        <w:tc>
          <w:tcPr>
            <w:tcW w:w="762" w:type="dxa"/>
            <w:noWrap w:val="0"/>
            <w:vAlign w:val="center"/>
          </w:tcPr>
          <w:p w14:paraId="027C50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240" w:leftChars="0" w:hanging="240" w:hangingChars="100"/>
              <w:jc w:val="center"/>
              <w:rPr>
                <w:rFonts w:hint="eastAsia" w:ascii="宋体" w:hAnsi="宋体" w:eastAsia="宋体" w:cs="宋体"/>
                <w:color w:val="auto"/>
                <w:spacing w:val="0"/>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bidi="ar-SA"/>
              </w:rPr>
              <w:t>10分</w:t>
            </w:r>
          </w:p>
        </w:tc>
      </w:tr>
      <w:tr w14:paraId="5384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46D1E47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171F89C8">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color w:val="auto"/>
                <w:spacing w:val="0"/>
                <w:kern w:val="0"/>
                <w:sz w:val="24"/>
                <w:szCs w:val="24"/>
                <w:highlight w:val="none"/>
                <w:lang w:eastAsia="zh-CN"/>
              </w:rPr>
            </w:pPr>
            <w:r>
              <w:rPr>
                <w:rFonts w:hint="eastAsia" w:ascii="宋体" w:hAnsi="宋体" w:eastAsia="宋体" w:cs="宋体"/>
                <w:b/>
                <w:bCs/>
                <w:color w:val="auto"/>
                <w:spacing w:val="0"/>
                <w:kern w:val="0"/>
                <w:sz w:val="24"/>
                <w:szCs w:val="24"/>
                <w:highlight w:val="none"/>
                <w:lang w:eastAsia="zh-CN"/>
              </w:rPr>
              <w:t>技术负责人职称：</w:t>
            </w:r>
          </w:p>
          <w:p w14:paraId="229C7BFA">
            <w:pPr>
              <w:keepNext w:val="0"/>
              <w:keepLines w:val="0"/>
              <w:pageBreakBefore w:val="0"/>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具有建筑工程相关专业中级职称得</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lang w:eastAsia="zh-CN"/>
              </w:rPr>
              <w:t>分，具有建筑工程相关专业高级及以上职称得</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eastAsia="zh-CN"/>
              </w:rPr>
              <w:t>分，</w:t>
            </w:r>
            <w:r>
              <w:rPr>
                <w:rFonts w:hint="eastAsia" w:ascii="宋体" w:hAnsi="宋体" w:eastAsia="宋体" w:cs="宋体"/>
                <w:color w:val="auto"/>
                <w:spacing w:val="0"/>
                <w:kern w:val="0"/>
                <w:sz w:val="24"/>
                <w:szCs w:val="24"/>
                <w:highlight w:val="none"/>
                <w:lang w:val="en-US" w:eastAsia="zh-CN"/>
              </w:rPr>
              <w:t>本项</w:t>
            </w:r>
            <w:r>
              <w:rPr>
                <w:rFonts w:hint="eastAsia" w:ascii="宋体" w:hAnsi="宋体" w:eastAsia="宋体" w:cs="宋体"/>
                <w:color w:val="auto"/>
                <w:spacing w:val="0"/>
                <w:kern w:val="0"/>
                <w:sz w:val="24"/>
                <w:szCs w:val="24"/>
                <w:highlight w:val="none"/>
                <w:lang w:eastAsia="zh-CN"/>
              </w:rPr>
              <w:t>满分</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eastAsia="zh-CN"/>
              </w:rPr>
              <w:t>分。</w:t>
            </w:r>
          </w:p>
          <w:p w14:paraId="55371776">
            <w:pPr>
              <w:keepNext w:val="0"/>
              <w:keepLines w:val="0"/>
              <w:pageBreakBefore w:val="0"/>
              <w:numPr>
                <w:ilvl w:val="0"/>
                <w:numId w:val="0"/>
              </w:numPr>
              <w:kinsoku/>
              <w:wordWrap/>
              <w:overflowPunct/>
              <w:topLinePunct w:val="0"/>
              <w:autoSpaceDE/>
              <w:autoSpaceDN/>
              <w:bidi w:val="0"/>
              <w:adjustRightInd w:val="0"/>
              <w:snapToGrid w:val="0"/>
              <w:spacing w:line="440" w:lineRule="exact"/>
              <w:ind w:left="240" w:hanging="240" w:hangingChars="1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Cs/>
                <w:color w:val="auto"/>
                <w:spacing w:val="0"/>
                <w:kern w:val="0"/>
                <w:sz w:val="24"/>
                <w:szCs w:val="24"/>
                <w:highlight w:val="none"/>
                <w:lang w:bidi="ar"/>
              </w:rPr>
              <w:t>注</w:t>
            </w:r>
            <w:r>
              <w:rPr>
                <w:rFonts w:hint="eastAsia" w:ascii="宋体" w:hAnsi="宋体" w:eastAsia="宋体" w:cs="宋体"/>
                <w:bCs/>
                <w:color w:val="auto"/>
                <w:spacing w:val="0"/>
                <w:kern w:val="0"/>
                <w:sz w:val="24"/>
                <w:szCs w:val="24"/>
                <w:highlight w:val="none"/>
                <w:lang w:eastAsia="zh-CN" w:bidi="ar"/>
              </w:rPr>
              <w:t>：</w:t>
            </w:r>
            <w:r>
              <w:rPr>
                <w:rFonts w:hint="eastAsia" w:ascii="宋体" w:hAnsi="宋体" w:eastAsia="宋体" w:cs="宋体"/>
                <w:bCs/>
                <w:color w:val="auto"/>
                <w:spacing w:val="0"/>
                <w:kern w:val="0"/>
                <w:sz w:val="24"/>
                <w:szCs w:val="24"/>
                <w:highlight w:val="none"/>
                <w:lang w:bidi="ar"/>
              </w:rPr>
              <w:t>证明材料须同时提供</w:t>
            </w:r>
            <w:r>
              <w:rPr>
                <w:rFonts w:hint="eastAsia" w:ascii="宋体" w:hAnsi="宋体" w:eastAsia="宋体" w:cs="宋体"/>
                <w:bCs/>
                <w:color w:val="auto"/>
                <w:spacing w:val="0"/>
                <w:kern w:val="0"/>
                <w:sz w:val="24"/>
                <w:szCs w:val="24"/>
                <w:highlight w:val="none"/>
                <w:lang w:val="en-US" w:eastAsia="zh-CN" w:bidi="ar"/>
              </w:rPr>
              <w:t>人员证明材料：(1)</w:t>
            </w:r>
            <w:r>
              <w:rPr>
                <w:rFonts w:hint="eastAsia" w:ascii="宋体" w:hAnsi="宋体" w:eastAsia="宋体" w:cs="宋体"/>
                <w:bCs/>
                <w:color w:val="auto"/>
                <w:spacing w:val="0"/>
                <w:kern w:val="0"/>
                <w:sz w:val="24"/>
                <w:szCs w:val="24"/>
                <w:highlight w:val="none"/>
                <w:lang w:bidi="ar"/>
              </w:rPr>
              <w:t>身份证；</w:t>
            </w:r>
            <w:r>
              <w:rPr>
                <w:rFonts w:hint="eastAsia" w:ascii="宋体" w:hAnsi="宋体" w:eastAsia="宋体" w:cs="宋体"/>
                <w:bCs/>
                <w:color w:val="auto"/>
                <w:spacing w:val="0"/>
                <w:kern w:val="0"/>
                <w:sz w:val="24"/>
                <w:szCs w:val="24"/>
                <w:highlight w:val="none"/>
                <w:lang w:val="en-US" w:eastAsia="zh-CN" w:bidi="ar"/>
              </w:rPr>
              <w:t>(2)</w:t>
            </w:r>
            <w:r>
              <w:rPr>
                <w:rFonts w:hint="eastAsia" w:ascii="宋体" w:hAnsi="宋体" w:eastAsia="宋体" w:cs="宋体"/>
                <w:bCs/>
                <w:color w:val="auto"/>
                <w:spacing w:val="0"/>
                <w:kern w:val="0"/>
                <w:sz w:val="24"/>
                <w:szCs w:val="24"/>
                <w:highlight w:val="none"/>
                <w:lang w:bidi="ar"/>
              </w:rPr>
              <w:t>相关证书；</w:t>
            </w:r>
            <w:r>
              <w:rPr>
                <w:rFonts w:hint="eastAsia" w:ascii="宋体" w:hAnsi="宋体" w:eastAsia="宋体" w:cs="宋体"/>
                <w:bCs/>
                <w:color w:val="auto"/>
                <w:spacing w:val="0"/>
                <w:kern w:val="0"/>
                <w:sz w:val="24"/>
                <w:szCs w:val="24"/>
                <w:highlight w:val="none"/>
                <w:lang w:val="en-US" w:eastAsia="zh-CN" w:bidi="ar"/>
              </w:rPr>
              <w:t>(3)供应商</w:t>
            </w:r>
            <w:r>
              <w:rPr>
                <w:rFonts w:hint="eastAsia" w:ascii="宋体" w:hAnsi="宋体" w:eastAsia="宋体" w:cs="宋体"/>
                <w:bCs/>
                <w:color w:val="auto"/>
                <w:spacing w:val="0"/>
                <w:kern w:val="0"/>
                <w:sz w:val="24"/>
                <w:szCs w:val="24"/>
                <w:highlight w:val="none"/>
                <w:lang w:bidi="ar"/>
              </w:rPr>
              <w:t>为其缴纳</w:t>
            </w:r>
            <w:r>
              <w:rPr>
                <w:rFonts w:hint="eastAsia" w:ascii="宋体" w:hAnsi="宋体" w:eastAsia="宋体" w:cs="宋体"/>
                <w:bCs/>
                <w:color w:val="auto"/>
                <w:spacing w:val="0"/>
                <w:kern w:val="0"/>
                <w:sz w:val="24"/>
                <w:szCs w:val="24"/>
                <w:highlight w:val="none"/>
                <w:lang w:val="en-US" w:eastAsia="zh-CN" w:bidi="ar"/>
              </w:rPr>
              <w:t>养老保险</w:t>
            </w:r>
            <w:r>
              <w:rPr>
                <w:rFonts w:hint="eastAsia" w:ascii="宋体" w:hAnsi="宋体" w:eastAsia="宋体" w:cs="宋体"/>
                <w:bCs/>
                <w:color w:val="auto"/>
                <w:spacing w:val="0"/>
                <w:kern w:val="0"/>
                <w:sz w:val="24"/>
                <w:szCs w:val="24"/>
                <w:highlight w:val="none"/>
                <w:lang w:bidi="ar"/>
              </w:rPr>
              <w:t>证明（</w:t>
            </w:r>
            <w:r>
              <w:rPr>
                <w:rFonts w:hint="eastAsia" w:ascii="宋体" w:hAnsi="宋体" w:eastAsia="宋体" w:cs="宋体"/>
                <w:bCs/>
                <w:color w:val="auto"/>
                <w:spacing w:val="0"/>
                <w:kern w:val="0"/>
                <w:sz w:val="24"/>
                <w:szCs w:val="24"/>
                <w:highlight w:val="none"/>
                <w:lang w:eastAsia="zh-CN" w:bidi="ar"/>
              </w:rPr>
              <w:t>202</w:t>
            </w:r>
            <w:r>
              <w:rPr>
                <w:rFonts w:hint="eastAsia" w:ascii="宋体" w:hAnsi="宋体" w:eastAsia="宋体" w:cs="宋体"/>
                <w:bCs/>
                <w:color w:val="auto"/>
                <w:spacing w:val="0"/>
                <w:kern w:val="0"/>
                <w:sz w:val="24"/>
                <w:szCs w:val="24"/>
                <w:highlight w:val="none"/>
                <w:lang w:val="en-US" w:eastAsia="zh-CN" w:bidi="ar"/>
              </w:rPr>
              <w:t>5</w:t>
            </w:r>
            <w:r>
              <w:rPr>
                <w:rFonts w:hint="eastAsia" w:ascii="宋体" w:hAnsi="宋体" w:eastAsia="宋体" w:cs="宋体"/>
                <w:bCs/>
                <w:color w:val="auto"/>
                <w:spacing w:val="0"/>
                <w:kern w:val="0"/>
                <w:sz w:val="24"/>
                <w:szCs w:val="24"/>
                <w:highlight w:val="none"/>
                <w:lang w:eastAsia="zh-CN" w:bidi="ar"/>
              </w:rPr>
              <w:t>年至今任意1个月</w:t>
            </w:r>
            <w:r>
              <w:rPr>
                <w:rFonts w:hint="eastAsia" w:ascii="宋体" w:hAnsi="宋体" w:eastAsia="宋体" w:cs="宋体"/>
                <w:bCs/>
                <w:color w:val="auto"/>
                <w:spacing w:val="0"/>
                <w:kern w:val="0"/>
                <w:sz w:val="24"/>
                <w:szCs w:val="24"/>
                <w:highlight w:val="none"/>
                <w:lang w:bidi="ar"/>
              </w:rPr>
              <w:t>）。</w:t>
            </w:r>
          </w:p>
        </w:tc>
        <w:tc>
          <w:tcPr>
            <w:tcW w:w="762" w:type="dxa"/>
            <w:noWrap w:val="0"/>
            <w:vAlign w:val="center"/>
          </w:tcPr>
          <w:p w14:paraId="4307B7D8">
            <w:pPr>
              <w:keepNext w:val="0"/>
              <w:keepLines w:val="0"/>
              <w:pageBreakBefore w:val="0"/>
              <w:kinsoku/>
              <w:wordWrap/>
              <w:overflowPunct/>
              <w:topLinePunct w:val="0"/>
              <w:autoSpaceDE/>
              <w:autoSpaceDN/>
              <w:bidi w:val="0"/>
              <w:adjustRightInd w:val="0"/>
              <w:snapToGrid w:val="0"/>
              <w:spacing w:line="440" w:lineRule="exact"/>
              <w:ind w:left="240" w:leftChars="0" w:hanging="240" w:hangingChars="10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lang w:eastAsia="zh-CN"/>
              </w:rPr>
              <w:t>分</w:t>
            </w:r>
          </w:p>
        </w:tc>
      </w:tr>
      <w:tr w14:paraId="7D43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3D4C3960">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p>
        </w:tc>
        <w:tc>
          <w:tcPr>
            <w:tcW w:w="7113" w:type="dxa"/>
            <w:noWrap w:val="0"/>
            <w:vAlign w:val="center"/>
          </w:tcPr>
          <w:p w14:paraId="781F0516">
            <w:pPr>
              <w:keepNext w:val="0"/>
              <w:keepLines w:val="0"/>
              <w:pageBreakBefore w:val="0"/>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其他团队成员：</w:t>
            </w:r>
          </w:p>
          <w:p w14:paraId="42814D36">
            <w:pPr>
              <w:keepNext w:val="0"/>
              <w:keepLines w:val="0"/>
              <w:pageBreakBefore w:val="0"/>
              <w:kinsoku/>
              <w:wordWrap/>
              <w:overflowPunct/>
              <w:topLinePunct w:val="0"/>
              <w:autoSpaceDE/>
              <w:autoSpaceDN/>
              <w:bidi w:val="0"/>
              <w:adjustRightInd w:val="0"/>
              <w:snapToGrid w:val="0"/>
              <w:spacing w:line="440" w:lineRule="exact"/>
              <w:jc w:val="both"/>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kern w:val="0"/>
                <w:sz w:val="24"/>
                <w:szCs w:val="24"/>
                <w:highlight w:val="none"/>
              </w:rPr>
              <w:t>投标单位针对本项目配备施工员、质检（量）员、安全员、资料员、材料员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造价人员</w:t>
            </w:r>
            <w:r>
              <w:rPr>
                <w:rFonts w:hint="eastAsia" w:ascii="宋体" w:hAnsi="宋体" w:eastAsia="宋体" w:cs="宋体"/>
                <w:kern w:val="0"/>
                <w:sz w:val="24"/>
                <w:szCs w:val="24"/>
                <w:highlight w:val="none"/>
              </w:rPr>
              <w:t>各1人，</w:t>
            </w:r>
            <w:r>
              <w:rPr>
                <w:rFonts w:hint="eastAsia" w:ascii="宋体" w:hAnsi="宋体" w:eastAsia="宋体" w:cs="宋体"/>
                <w:kern w:val="0"/>
                <w:sz w:val="24"/>
                <w:szCs w:val="24"/>
                <w:highlight w:val="none"/>
                <w:lang w:val="en-US" w:eastAsia="zh-CN"/>
              </w:rPr>
              <w:t>齐全</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缺项得0分</w:t>
            </w:r>
            <w:r>
              <w:rPr>
                <w:rFonts w:hint="eastAsia" w:ascii="宋体" w:hAnsi="宋体" w:eastAsia="宋体" w:cs="宋体"/>
                <w:color w:val="auto"/>
                <w:spacing w:val="0"/>
                <w:kern w:val="0"/>
                <w:sz w:val="24"/>
                <w:szCs w:val="24"/>
                <w:highlight w:val="none"/>
                <w:lang w:val="en-US" w:eastAsia="zh-CN"/>
              </w:rPr>
              <w:t>。</w:t>
            </w:r>
          </w:p>
          <w:p w14:paraId="650439BB">
            <w:pPr>
              <w:keepNext w:val="0"/>
              <w:keepLines w:val="0"/>
              <w:pageBreakBefore w:val="0"/>
              <w:kinsoku/>
              <w:wordWrap/>
              <w:overflowPunct/>
              <w:topLinePunct w:val="0"/>
              <w:autoSpaceDE/>
              <w:autoSpaceDN/>
              <w:bidi w:val="0"/>
              <w:adjustRightInd w:val="0"/>
              <w:snapToGrid w:val="0"/>
              <w:spacing w:line="440" w:lineRule="exact"/>
              <w:jc w:val="both"/>
              <w:textAlignment w:val="baseline"/>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bCs/>
                <w:color w:val="auto"/>
                <w:spacing w:val="0"/>
                <w:kern w:val="0"/>
                <w:sz w:val="24"/>
                <w:szCs w:val="24"/>
                <w:highlight w:val="none"/>
                <w:lang w:bidi="ar"/>
              </w:rPr>
              <w:t>注</w:t>
            </w:r>
            <w:r>
              <w:rPr>
                <w:rFonts w:hint="eastAsia" w:ascii="宋体" w:hAnsi="宋体" w:eastAsia="宋体" w:cs="宋体"/>
                <w:bCs/>
                <w:color w:val="auto"/>
                <w:spacing w:val="0"/>
                <w:kern w:val="0"/>
                <w:sz w:val="24"/>
                <w:szCs w:val="24"/>
                <w:highlight w:val="none"/>
                <w:lang w:eastAsia="zh-CN" w:bidi="ar"/>
              </w:rPr>
              <w:t>：</w:t>
            </w:r>
            <w:r>
              <w:rPr>
                <w:rFonts w:hint="eastAsia" w:ascii="宋体" w:hAnsi="宋体" w:eastAsia="宋体" w:cs="宋体"/>
                <w:bCs/>
                <w:color w:val="auto"/>
                <w:spacing w:val="0"/>
                <w:kern w:val="0"/>
                <w:sz w:val="24"/>
                <w:szCs w:val="24"/>
                <w:highlight w:val="none"/>
                <w:lang w:bidi="ar"/>
              </w:rPr>
              <w:t>证明材料须同时提供</w:t>
            </w:r>
            <w:r>
              <w:rPr>
                <w:rFonts w:hint="eastAsia" w:ascii="宋体" w:hAnsi="宋体" w:eastAsia="宋体" w:cs="宋体"/>
                <w:bCs/>
                <w:color w:val="auto"/>
                <w:spacing w:val="0"/>
                <w:kern w:val="0"/>
                <w:sz w:val="24"/>
                <w:szCs w:val="24"/>
                <w:highlight w:val="none"/>
                <w:lang w:val="en-US" w:eastAsia="zh-CN" w:bidi="ar"/>
              </w:rPr>
              <w:t>人员证明材料：(1)</w:t>
            </w:r>
            <w:r>
              <w:rPr>
                <w:rFonts w:hint="eastAsia" w:ascii="宋体" w:hAnsi="宋体" w:eastAsia="宋体" w:cs="宋体"/>
                <w:bCs/>
                <w:color w:val="auto"/>
                <w:spacing w:val="0"/>
                <w:kern w:val="0"/>
                <w:sz w:val="24"/>
                <w:szCs w:val="24"/>
                <w:highlight w:val="none"/>
                <w:lang w:bidi="ar"/>
              </w:rPr>
              <w:t>身份证；</w:t>
            </w:r>
            <w:r>
              <w:rPr>
                <w:rFonts w:hint="eastAsia" w:ascii="宋体" w:hAnsi="宋体" w:eastAsia="宋体" w:cs="宋体"/>
                <w:bCs/>
                <w:color w:val="auto"/>
                <w:spacing w:val="0"/>
                <w:kern w:val="0"/>
                <w:sz w:val="24"/>
                <w:szCs w:val="24"/>
                <w:highlight w:val="none"/>
                <w:lang w:val="en-US" w:eastAsia="zh-CN" w:bidi="ar"/>
              </w:rPr>
              <w:t>(2)任职文件或岗位</w:t>
            </w:r>
            <w:r>
              <w:rPr>
                <w:rFonts w:hint="eastAsia" w:ascii="宋体" w:hAnsi="宋体" w:eastAsia="宋体" w:cs="宋体"/>
                <w:bCs/>
                <w:color w:val="auto"/>
                <w:spacing w:val="0"/>
                <w:kern w:val="0"/>
                <w:sz w:val="24"/>
                <w:szCs w:val="24"/>
                <w:highlight w:val="none"/>
                <w:lang w:bidi="ar"/>
              </w:rPr>
              <w:t>证书；</w:t>
            </w:r>
            <w:r>
              <w:rPr>
                <w:rFonts w:hint="eastAsia" w:ascii="宋体" w:hAnsi="宋体" w:eastAsia="宋体" w:cs="宋体"/>
                <w:bCs/>
                <w:color w:val="auto"/>
                <w:spacing w:val="0"/>
                <w:kern w:val="0"/>
                <w:sz w:val="24"/>
                <w:szCs w:val="24"/>
                <w:highlight w:val="none"/>
                <w:lang w:val="en-US" w:eastAsia="zh-CN" w:bidi="ar"/>
              </w:rPr>
              <w:t>(3)供应商</w:t>
            </w:r>
            <w:r>
              <w:rPr>
                <w:rFonts w:hint="eastAsia" w:ascii="宋体" w:hAnsi="宋体" w:eastAsia="宋体" w:cs="宋体"/>
                <w:bCs/>
                <w:color w:val="auto"/>
                <w:spacing w:val="0"/>
                <w:kern w:val="0"/>
                <w:sz w:val="24"/>
                <w:szCs w:val="24"/>
                <w:highlight w:val="none"/>
                <w:lang w:bidi="ar"/>
              </w:rPr>
              <w:t>为其缴纳</w:t>
            </w:r>
            <w:r>
              <w:rPr>
                <w:rFonts w:hint="eastAsia" w:ascii="宋体" w:hAnsi="宋体" w:eastAsia="宋体" w:cs="宋体"/>
                <w:bCs/>
                <w:color w:val="auto"/>
                <w:spacing w:val="0"/>
                <w:kern w:val="0"/>
                <w:sz w:val="24"/>
                <w:szCs w:val="24"/>
                <w:highlight w:val="none"/>
                <w:lang w:val="en-US" w:eastAsia="zh-CN" w:bidi="ar"/>
              </w:rPr>
              <w:t>养老保险</w:t>
            </w:r>
            <w:r>
              <w:rPr>
                <w:rFonts w:hint="eastAsia" w:ascii="宋体" w:hAnsi="宋体" w:eastAsia="宋体" w:cs="宋体"/>
                <w:bCs/>
                <w:color w:val="auto"/>
                <w:spacing w:val="0"/>
                <w:kern w:val="0"/>
                <w:sz w:val="24"/>
                <w:szCs w:val="24"/>
                <w:highlight w:val="none"/>
                <w:lang w:bidi="ar"/>
              </w:rPr>
              <w:t>证明（</w:t>
            </w:r>
            <w:r>
              <w:rPr>
                <w:rFonts w:hint="eastAsia" w:ascii="宋体" w:hAnsi="宋体" w:eastAsia="宋体" w:cs="宋体"/>
                <w:bCs/>
                <w:color w:val="auto"/>
                <w:spacing w:val="0"/>
                <w:kern w:val="0"/>
                <w:sz w:val="24"/>
                <w:szCs w:val="24"/>
                <w:highlight w:val="none"/>
                <w:lang w:eastAsia="zh-CN" w:bidi="ar"/>
              </w:rPr>
              <w:t>202</w:t>
            </w:r>
            <w:r>
              <w:rPr>
                <w:rFonts w:hint="eastAsia" w:ascii="宋体" w:hAnsi="宋体" w:eastAsia="宋体" w:cs="宋体"/>
                <w:bCs/>
                <w:color w:val="auto"/>
                <w:spacing w:val="0"/>
                <w:kern w:val="0"/>
                <w:sz w:val="24"/>
                <w:szCs w:val="24"/>
                <w:highlight w:val="none"/>
                <w:lang w:val="en-US" w:eastAsia="zh-CN" w:bidi="ar"/>
              </w:rPr>
              <w:t>5</w:t>
            </w:r>
            <w:r>
              <w:rPr>
                <w:rFonts w:hint="eastAsia" w:ascii="宋体" w:hAnsi="宋体" w:eastAsia="宋体" w:cs="宋体"/>
                <w:bCs/>
                <w:color w:val="auto"/>
                <w:spacing w:val="0"/>
                <w:kern w:val="0"/>
                <w:sz w:val="24"/>
                <w:szCs w:val="24"/>
                <w:highlight w:val="none"/>
                <w:lang w:eastAsia="zh-CN" w:bidi="ar"/>
              </w:rPr>
              <w:t>年至今任意1个月</w:t>
            </w:r>
            <w:r>
              <w:rPr>
                <w:rFonts w:hint="eastAsia" w:ascii="宋体" w:hAnsi="宋体" w:eastAsia="宋体" w:cs="宋体"/>
                <w:bCs/>
                <w:color w:val="auto"/>
                <w:spacing w:val="0"/>
                <w:kern w:val="0"/>
                <w:sz w:val="24"/>
                <w:szCs w:val="24"/>
                <w:highlight w:val="none"/>
                <w:lang w:bidi="ar"/>
              </w:rPr>
              <w:t>）。</w:t>
            </w:r>
          </w:p>
        </w:tc>
        <w:tc>
          <w:tcPr>
            <w:tcW w:w="762" w:type="dxa"/>
            <w:noWrap w:val="0"/>
            <w:vAlign w:val="center"/>
          </w:tcPr>
          <w:p w14:paraId="78B4A974">
            <w:pPr>
              <w:keepNext w:val="0"/>
              <w:keepLines w:val="0"/>
              <w:pageBreakBefore w:val="0"/>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rPr>
              <w:t>6分</w:t>
            </w:r>
          </w:p>
        </w:tc>
      </w:tr>
      <w:tr w14:paraId="575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restart"/>
            <w:noWrap w:val="0"/>
            <w:vAlign w:val="center"/>
          </w:tcPr>
          <w:p w14:paraId="4136FC08">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政策性</w:t>
            </w:r>
          </w:p>
          <w:p w14:paraId="5D8C8D67">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加分</w:t>
            </w:r>
          </w:p>
          <w:p w14:paraId="552413D4">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(5分)</w:t>
            </w:r>
          </w:p>
        </w:tc>
        <w:tc>
          <w:tcPr>
            <w:tcW w:w="7113" w:type="dxa"/>
            <w:noWrap w:val="0"/>
            <w:vAlign w:val="center"/>
          </w:tcPr>
          <w:p w14:paraId="2392AA8E">
            <w:pPr>
              <w:keepNext w:val="0"/>
              <w:keepLines w:val="0"/>
              <w:pageBreakBefore w:val="0"/>
              <w:kinsoku/>
              <w:wordWrap/>
              <w:overflowPunct/>
              <w:topLinePunct w:val="0"/>
              <w:autoSpaceDE/>
              <w:autoSpaceDN/>
              <w:bidi w:val="0"/>
              <w:adjustRightInd w:val="0"/>
              <w:snapToGrid w:val="0"/>
              <w:spacing w:line="440" w:lineRule="exact"/>
              <w:ind w:left="480" w:hanging="482" w:hangingChars="200"/>
              <w:jc w:val="both"/>
              <w:textAlignment w:val="baseline"/>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节能、环境标志产品：</w:t>
            </w:r>
          </w:p>
          <w:p w14:paraId="77B8F2EF">
            <w:pPr>
              <w:keepNext w:val="0"/>
              <w:keepLines w:val="0"/>
              <w:pageBreakBefore w:val="0"/>
              <w:widowControl/>
              <w:kinsoku/>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国家市场监管总局确定的认证机构出具的、处于有效期之内的节能产品、环境标志产品认证证书（复印件加盖投标单位公章）。节能产品、环境标志产品认证机构名录附后。</w:t>
            </w:r>
          </w:p>
        </w:tc>
        <w:tc>
          <w:tcPr>
            <w:tcW w:w="762" w:type="dxa"/>
            <w:noWrap w:val="0"/>
            <w:vAlign w:val="center"/>
          </w:tcPr>
          <w:p w14:paraId="42BF3ADD">
            <w:pPr>
              <w:keepNext w:val="0"/>
              <w:keepLines w:val="0"/>
              <w:pageBreakBefore w:val="0"/>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2分</w:t>
            </w:r>
          </w:p>
        </w:tc>
      </w:tr>
      <w:tr w14:paraId="3023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5" w:type="dxa"/>
            <w:vMerge w:val="continue"/>
            <w:noWrap w:val="0"/>
            <w:vAlign w:val="center"/>
          </w:tcPr>
          <w:p w14:paraId="6672429C">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color w:val="auto"/>
                <w:kern w:val="2"/>
                <w:sz w:val="24"/>
                <w:szCs w:val="24"/>
                <w:highlight w:val="none"/>
              </w:rPr>
            </w:pPr>
          </w:p>
        </w:tc>
        <w:tc>
          <w:tcPr>
            <w:tcW w:w="7113" w:type="dxa"/>
            <w:noWrap w:val="0"/>
            <w:vAlign w:val="center"/>
          </w:tcPr>
          <w:p w14:paraId="0562C53A">
            <w:pPr>
              <w:keepNext w:val="0"/>
              <w:keepLines w:val="0"/>
              <w:pageBreakBefore w:val="0"/>
              <w:kinsoku/>
              <w:wordWrap/>
              <w:overflowPunct/>
              <w:topLinePunct w:val="0"/>
              <w:autoSpaceDE/>
              <w:autoSpaceDN/>
              <w:bidi w:val="0"/>
              <w:adjustRightInd w:val="0"/>
              <w:snapToGrid w:val="0"/>
              <w:spacing w:line="440" w:lineRule="exact"/>
              <w:ind w:left="480" w:hanging="482" w:hangingChars="200"/>
              <w:jc w:val="both"/>
              <w:textAlignment w:val="baseline"/>
              <w:rPr>
                <w:rFonts w:hint="eastAsia" w:ascii="宋体" w:hAnsi="宋体" w:eastAsia="宋体" w:cs="宋体"/>
                <w:b/>
                <w:bCs/>
                <w:color w:val="auto"/>
                <w:spacing w:val="0"/>
                <w:kern w:val="0"/>
                <w:sz w:val="24"/>
                <w:szCs w:val="24"/>
                <w:highlight w:val="none"/>
                <w:lang w:val="en-US" w:eastAsia="zh-CN"/>
              </w:rPr>
            </w:pPr>
            <w:r>
              <w:rPr>
                <w:rFonts w:hint="eastAsia" w:ascii="宋体" w:hAnsi="宋体" w:eastAsia="宋体" w:cs="宋体"/>
                <w:b/>
                <w:bCs/>
                <w:color w:val="auto"/>
                <w:spacing w:val="0"/>
                <w:kern w:val="0"/>
                <w:sz w:val="24"/>
                <w:szCs w:val="24"/>
                <w:highlight w:val="none"/>
                <w:lang w:val="en-US" w:eastAsia="zh-CN"/>
              </w:rPr>
              <w:t>少数民族投标主产品：</w:t>
            </w:r>
          </w:p>
          <w:p w14:paraId="7C68FDD0">
            <w:pPr>
              <w:keepNext w:val="0"/>
              <w:keepLines w:val="0"/>
              <w:pageBreakBefore w:val="0"/>
              <w:widowControl/>
              <w:kinsoku/>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对原产地在少数民族自治区和享受少数民族自治待遇的省份的投标主产品(不含附带产品)，享受政策性加分和价格扣除，在总得分基础上加3分。投标主产品按照不得低于本采购项目预算金额50%进行确定。</w:t>
            </w:r>
          </w:p>
          <w:p w14:paraId="3DA16A1B">
            <w:pPr>
              <w:keepNext w:val="0"/>
              <w:keepLines w:val="0"/>
              <w:pageBreakBefore w:val="0"/>
              <w:widowControl/>
              <w:kinsoku/>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①少数民族自治区：内蒙古自治区、新疆维吾尔自治区、宁夏回族自治区、广西壮族自治区、西藏自治区；</w:t>
            </w:r>
          </w:p>
          <w:p w14:paraId="4F331B26">
            <w:pPr>
              <w:keepNext w:val="0"/>
              <w:keepLines w:val="0"/>
              <w:pageBreakBefore w:val="0"/>
              <w:widowControl/>
              <w:kinsoku/>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②享受少数民族自治待遇的省份：青海省、云南省、贵州省。</w:t>
            </w:r>
          </w:p>
        </w:tc>
        <w:tc>
          <w:tcPr>
            <w:tcW w:w="762" w:type="dxa"/>
            <w:noWrap w:val="0"/>
            <w:vAlign w:val="center"/>
          </w:tcPr>
          <w:p w14:paraId="75E07692">
            <w:pPr>
              <w:keepNext w:val="0"/>
              <w:keepLines w:val="0"/>
              <w:pageBreakBefore w:val="0"/>
              <w:kinsoku/>
              <w:wordWrap/>
              <w:overflowPunct/>
              <w:topLinePunct w:val="0"/>
              <w:autoSpaceDE/>
              <w:autoSpaceDN/>
              <w:bidi w:val="0"/>
              <w:adjustRightInd w:val="0"/>
              <w:snapToGrid w:val="0"/>
              <w:spacing w:line="440" w:lineRule="exact"/>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3分</w:t>
            </w:r>
          </w:p>
        </w:tc>
      </w:tr>
    </w:tbl>
    <w:p w14:paraId="72292857">
      <w:pPr>
        <w:snapToGrid w:val="0"/>
        <w:spacing w:line="360" w:lineRule="auto"/>
        <w:ind w:firstLine="482" w:firstLineChars="200"/>
        <w:jc w:val="both"/>
        <w:rPr>
          <w:rFonts w:hint="eastAsia" w:cs="宋体"/>
          <w:b/>
          <w:color w:val="FF0000"/>
          <w:kern w:val="2"/>
          <w:sz w:val="24"/>
          <w:szCs w:val="24"/>
          <w:highlight w:val="none"/>
        </w:rPr>
      </w:pPr>
      <w:r>
        <w:rPr>
          <w:rFonts w:hint="eastAsia" w:ascii="宋体" w:hAnsi="宋体" w:eastAsia="宋体" w:cs="宋体"/>
          <w:b/>
          <w:color w:val="FF0000"/>
          <w:kern w:val="2"/>
          <w:sz w:val="24"/>
          <w:szCs w:val="24"/>
          <w:highlight w:val="none"/>
          <w:lang w:val="zh-CN"/>
        </w:rPr>
        <w:t>注：</w:t>
      </w:r>
      <w:r>
        <w:rPr>
          <w:rFonts w:hint="eastAsia" w:ascii="宋体" w:hAnsi="宋体" w:eastAsia="宋体" w:cs="宋体"/>
          <w:b/>
          <w:color w:val="FF0000"/>
          <w:kern w:val="2"/>
          <w:sz w:val="24"/>
          <w:szCs w:val="24"/>
          <w:highlight w:val="none"/>
          <w:lang w:val="en-US" w:eastAsia="zh-CN"/>
        </w:rPr>
        <w:t>1.</w:t>
      </w:r>
      <w:r>
        <w:rPr>
          <w:rFonts w:hint="eastAsia" w:ascii="宋体" w:hAnsi="宋体" w:eastAsia="宋体" w:cs="宋体"/>
          <w:b/>
          <w:color w:val="FF0000"/>
          <w:kern w:val="2"/>
          <w:sz w:val="24"/>
          <w:szCs w:val="24"/>
          <w:highlight w:val="none"/>
        </w:rPr>
        <w:t>上述</w:t>
      </w:r>
      <w:r>
        <w:rPr>
          <w:rFonts w:hint="eastAsia" w:cs="宋体"/>
          <w:b/>
          <w:color w:val="FF0000"/>
          <w:kern w:val="2"/>
          <w:sz w:val="24"/>
          <w:szCs w:val="24"/>
          <w:highlight w:val="none"/>
        </w:rPr>
        <w:t>评分标准中要求提供的证明材料，未明确要求提供原件的，均提供扫描件或复印件并加盖公章，否则视为未提供；</w:t>
      </w:r>
      <w:r>
        <w:rPr>
          <w:rFonts w:hint="eastAsia" w:cs="宋体"/>
          <w:b/>
          <w:color w:val="FF0000"/>
          <w:sz w:val="24"/>
          <w:highlight w:val="none"/>
        </w:rPr>
        <w:t>要求提供的证明材料，供应商须按要求提供且提供齐全，否则不得分；证明材料不清晰或无法识别的视为未提供。</w:t>
      </w:r>
    </w:p>
    <w:p w14:paraId="220798AA">
      <w:pPr>
        <w:snapToGrid w:val="0"/>
        <w:spacing w:line="360" w:lineRule="auto"/>
        <w:ind w:firstLine="480" w:firstLineChars="200"/>
        <w:jc w:val="both"/>
        <w:rPr>
          <w:rFonts w:hint="eastAsia" w:ascii="宋体" w:hAnsi="宋体" w:eastAsia="宋体" w:cs="宋体"/>
          <w:bCs/>
          <w:kern w:val="2"/>
          <w:sz w:val="24"/>
          <w:szCs w:val="24"/>
          <w:highlight w:val="none"/>
          <w:lang w:val="zh-CN"/>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w:t>
      </w:r>
      <w:r>
        <w:rPr>
          <w:rFonts w:hint="eastAsia" w:ascii="宋体" w:hAnsi="宋体" w:eastAsia="宋体" w:cs="宋体"/>
          <w:bCs/>
          <w:kern w:val="2"/>
          <w:sz w:val="24"/>
          <w:szCs w:val="24"/>
          <w:highlight w:val="none"/>
          <w:lang w:val="zh-CN"/>
        </w:rPr>
        <w:t>上述评分中：</w:t>
      </w:r>
    </w:p>
    <w:p w14:paraId="7A66CC9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2.1 方案/措施详细具体、内容完整清晰，针对性强、专业性高、可操作性强、科学合理、目标清晰明确指：</w:t>
      </w:r>
    </w:p>
    <w:p w14:paraId="29FE4B4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a.提供的方案/措施基于采购需求的全口径，提出具有可行性的现状情况预判；</w:t>
      </w:r>
    </w:p>
    <w:p w14:paraId="234D4E0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b.准确把握方案/措施中的重、难点，分析各类情况可能发生的不可预见性，并尽可能列明多种详细预案；</w:t>
      </w:r>
    </w:p>
    <w:p w14:paraId="381CEC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c.针对不同的需求，能提供个性化的解决方案/措施，可以举例论证；</w:t>
      </w:r>
    </w:p>
    <w:p w14:paraId="648229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d.对于资料、数据等方案/措施的支持材料提供详细、具体，具有一定的论证支持性。</w:t>
      </w:r>
    </w:p>
    <w:p w14:paraId="738A2F4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napToGrid w:val="0"/>
          <w:kern w:val="0"/>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2.2 方案/措施比较详细具体、内容基本完整，具有一定针对性、措施比较详细具体、具有可操作性、目标比较明确指：</w:t>
      </w:r>
    </w:p>
    <w:p w14:paraId="0D833B1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a.方案/措施完整，与采购需求不存在响应缺项；</w:t>
      </w:r>
    </w:p>
    <w:p w14:paraId="0FB88AA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b.对方案/措施分步骤作出论证，展开分析或列明可行的具体解决方案；</w:t>
      </w:r>
    </w:p>
    <w:p w14:paraId="30660A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c.针对不同的需求，能提供较为可行的解决方案；</w:t>
      </w:r>
    </w:p>
    <w:p w14:paraId="68938A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d.提供有资料、数据等方案/措施的支撑材料。</w:t>
      </w:r>
    </w:p>
    <w:p w14:paraId="39E50DE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snapToGrid w:val="0"/>
          <w:kern w:val="0"/>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2.3 方案/措施不具体、内容不完整、不专业、不具有针对性、可操作性不强、目标不明确指：</w:t>
      </w:r>
    </w:p>
    <w:p w14:paraId="27E5FE7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a.方案/措施与采购需求存在明显的响应缺项；</w:t>
      </w:r>
    </w:p>
    <w:p w14:paraId="03943D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kern w:val="0"/>
          <w:sz w:val="24"/>
          <w:szCs w:val="24"/>
          <w:highlight w:val="none"/>
          <w:lang w:val="en-US" w:eastAsia="zh-CN"/>
        </w:rPr>
      </w:pPr>
      <w:r>
        <w:rPr>
          <w:rFonts w:hint="eastAsia" w:ascii="宋体" w:hAnsi="宋体" w:eastAsia="宋体" w:cs="宋体"/>
          <w:snapToGrid w:val="0"/>
          <w:kern w:val="0"/>
          <w:sz w:val="24"/>
          <w:szCs w:val="24"/>
          <w:highlight w:val="none"/>
          <w:lang w:val="en-US" w:eastAsia="zh-CN"/>
        </w:rPr>
        <w:t>b.只对方案/措施作出标题式的简单论证，并未展开分析或列明可行的具体解决方法；</w:t>
      </w:r>
    </w:p>
    <w:p w14:paraId="01F1EC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cs="宋体"/>
          <w:bCs/>
          <w:kern w:val="2"/>
          <w:sz w:val="24"/>
          <w:szCs w:val="24"/>
          <w:highlight w:val="none"/>
          <w:lang w:val="zh-CN"/>
        </w:rPr>
      </w:pPr>
      <w:r>
        <w:rPr>
          <w:rFonts w:hint="eastAsia" w:ascii="宋体" w:hAnsi="宋体" w:eastAsia="宋体" w:cs="宋体"/>
          <w:snapToGrid w:val="0"/>
          <w:kern w:val="0"/>
          <w:sz w:val="24"/>
          <w:szCs w:val="24"/>
          <w:highlight w:val="none"/>
          <w:lang w:val="en-US" w:eastAsia="zh-CN"/>
        </w:rPr>
        <w:t>c.部分资料、数据等的支撑材料提供过于简单。</w:t>
      </w:r>
    </w:p>
    <w:p w14:paraId="456CA464">
      <w:pPr>
        <w:snapToGrid w:val="0"/>
        <w:spacing w:line="360" w:lineRule="auto"/>
        <w:jc w:val="both"/>
        <w:rPr>
          <w:rFonts w:hint="eastAsia" w:cs="宋体"/>
          <w:snapToGrid w:val="0"/>
          <w:sz w:val="24"/>
          <w:szCs w:val="24"/>
          <w:highlight w:val="none"/>
        </w:rPr>
      </w:pPr>
      <w:r>
        <w:rPr>
          <w:rFonts w:hint="eastAsia" w:cs="宋体"/>
          <w:snapToGrid w:val="0"/>
          <w:sz w:val="24"/>
          <w:szCs w:val="24"/>
          <w:highlight w:val="none"/>
        </w:rPr>
        <w:t>（二）价格分的计算：</w:t>
      </w:r>
    </w:p>
    <w:p w14:paraId="5E8D46F1">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1.价格分采用低价优先法计算，即满足采购文件要求的前提下，最低有效投标报价作为磋商基准价，其价格分为满分。其余供应商价格分统一按照下列公式计算：</w:t>
      </w:r>
    </w:p>
    <w:p w14:paraId="3C7990B3">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投标报价得分＝（磋商基准价/最后磋商报价）×报价分</w:t>
      </w:r>
    </w:p>
    <w:p w14:paraId="518DF8D9">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2.评标过程中，不得去掉报价中的最高报价和最低报价。</w:t>
      </w:r>
    </w:p>
    <w:p w14:paraId="3640536E">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3.因落实政府采购政策进行价格调整的，以调整后的价格计算评标基准价和投标报价。</w:t>
      </w:r>
    </w:p>
    <w:p w14:paraId="53C7DC78">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（1）中小企业价格扣除（含监狱企业、残疾人福利性单位），在供应商资格、符合性审查均满足磋商文件的前提下：</w:t>
      </w:r>
    </w:p>
    <w:p w14:paraId="724A6B50">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1）如专门面向中小企业采购，</w:t>
      </w:r>
      <w:r>
        <w:rPr>
          <w:rFonts w:hint="eastAsia" w:cs="宋体"/>
          <w:bCs/>
          <w:sz w:val="24"/>
          <w:szCs w:val="24"/>
          <w:highlight w:val="none"/>
          <w:lang w:eastAsia="zh-CN"/>
        </w:rPr>
        <w:t>供应商</w:t>
      </w:r>
      <w:r>
        <w:rPr>
          <w:rFonts w:hint="eastAsia" w:cs="宋体"/>
          <w:bCs/>
          <w:sz w:val="24"/>
          <w:szCs w:val="24"/>
          <w:highlight w:val="none"/>
        </w:rPr>
        <w:t>报价不享受价格扣除优惠政策。</w:t>
      </w:r>
    </w:p>
    <w:p w14:paraId="4F426462">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2）如非专门面向中小企业采购，则对小型和微型企业、监狱企业、残疾人福利性单位报价给予10%的价格扣除，用扣除后的价格参与评审。价格扣除只针对投标报价未超过财政控制值的供应商有效。残疾人福利性单位属于小型、微型企业的，不重复享受政策。</w:t>
      </w:r>
    </w:p>
    <w:p w14:paraId="7C60A991">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①中小企业价格扣除</w:t>
      </w:r>
    </w:p>
    <w:p w14:paraId="0F6A76CF">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根据</w:t>
      </w:r>
      <w:r>
        <w:rPr>
          <w:rFonts w:hint="eastAsia" w:cs="宋体"/>
          <w:b/>
          <w:sz w:val="24"/>
          <w:szCs w:val="24"/>
          <w:highlight w:val="none"/>
        </w:rPr>
        <w:t>《政府采购促进中小企业发展管理办法》(财库〔2020〕46号）</w:t>
      </w:r>
      <w:r>
        <w:rPr>
          <w:rFonts w:hint="eastAsia" w:cs="宋体"/>
          <w:bCs/>
          <w:sz w:val="24"/>
          <w:szCs w:val="24"/>
          <w:highlight w:val="none"/>
        </w:rPr>
        <w:t>及相关规定，中小企业须提供中小企业声明函且声明函所载内容必须真实，如有虚假，将依法承担相应责任，包括取消中标资格、投标保证金不予退还等。</w:t>
      </w:r>
    </w:p>
    <w:p w14:paraId="46D627CA">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中小企业划分标准依照工业和信息化部、国家统计局、国家发展和改革委员会、财政部联合下发的</w:t>
      </w:r>
      <w:r>
        <w:rPr>
          <w:rFonts w:hint="eastAsia" w:cs="宋体"/>
          <w:b/>
          <w:sz w:val="24"/>
          <w:szCs w:val="24"/>
          <w:highlight w:val="none"/>
        </w:rPr>
        <w:t>《关于印发中小企业划型标准规定的通知》（工信部联企业《2011》300号）</w:t>
      </w:r>
      <w:r>
        <w:rPr>
          <w:rFonts w:hint="eastAsia" w:cs="宋体"/>
          <w:bCs/>
          <w:sz w:val="24"/>
          <w:szCs w:val="24"/>
          <w:highlight w:val="none"/>
        </w:rPr>
        <w:t>执行。</w:t>
      </w:r>
    </w:p>
    <w:p w14:paraId="11A3C8D2">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②监狱企业价格扣除</w:t>
      </w:r>
    </w:p>
    <w:p w14:paraId="6C8F8238">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根据</w:t>
      </w:r>
      <w:r>
        <w:rPr>
          <w:rFonts w:hint="eastAsia" w:cs="宋体"/>
          <w:b/>
          <w:sz w:val="24"/>
          <w:szCs w:val="24"/>
          <w:highlight w:val="none"/>
        </w:rPr>
        <w:t>《财政部司法部关于政府采购支持监狱企业发展有关问题的通知》（财库〔2014〕68号）</w:t>
      </w:r>
      <w:r>
        <w:rPr>
          <w:rFonts w:hint="eastAsia" w:cs="宋体"/>
          <w:bCs/>
          <w:sz w:val="24"/>
          <w:szCs w:val="24"/>
          <w:highlight w:val="none"/>
        </w:rPr>
        <w:t>及相关规定，监狱企业参加政府采购活动时，应当提供由省级以上监狱管理局、戒毒管理局（含新疆生产建设兵团）出具的属于监狱企业的证明文件。</w:t>
      </w:r>
    </w:p>
    <w:p w14:paraId="34277B0F">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③残疾人福利性单位价格扣除</w:t>
      </w:r>
    </w:p>
    <w:p w14:paraId="15788655">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根据</w:t>
      </w:r>
      <w:r>
        <w:rPr>
          <w:rFonts w:hint="eastAsia" w:cs="宋体"/>
          <w:b/>
          <w:sz w:val="24"/>
          <w:szCs w:val="24"/>
          <w:highlight w:val="none"/>
        </w:rPr>
        <w:t>《三部门联合发布关于促进残疾人就业政府采购政策的通知》（</w:t>
      </w:r>
      <w:bookmarkStart w:id="0" w:name="sendNo"/>
      <w:r>
        <w:rPr>
          <w:rFonts w:hint="eastAsia" w:cs="宋体"/>
          <w:b/>
          <w:sz w:val="24"/>
          <w:szCs w:val="24"/>
          <w:highlight w:val="none"/>
        </w:rPr>
        <w:t>财库〔</w:t>
      </w:r>
      <w:bookmarkEnd w:id="0"/>
      <w:r>
        <w:rPr>
          <w:rFonts w:hint="eastAsia" w:cs="宋体"/>
          <w:b/>
          <w:sz w:val="24"/>
          <w:szCs w:val="24"/>
          <w:highlight w:val="none"/>
        </w:rPr>
        <w:t>2017〕141号）</w:t>
      </w:r>
      <w:r>
        <w:rPr>
          <w:rFonts w:hint="eastAsia" w:cs="宋体"/>
          <w:bCs/>
          <w:sz w:val="24"/>
          <w:szCs w:val="24"/>
          <w:highlight w:val="none"/>
        </w:rPr>
        <w:t>及相关规定，符合条件的残疾人福利性单位在参加政府采购活动时，应当提供《残疾人福利性单位声明函》，并对声明的真实性负责。</w:t>
      </w:r>
    </w:p>
    <w:p w14:paraId="04921C62">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（2）货物项目的价格分值占总分值的比重不得低于30%；服务项目的价格分值占总分值的比重不得低于10%。执行国家统一定价标准和采用固定价格采购的项目，其价格不列为评审因素。</w:t>
      </w:r>
    </w:p>
    <w:p w14:paraId="6EDE08DD">
      <w:pPr>
        <w:tabs>
          <w:tab w:val="left" w:pos="0"/>
        </w:tabs>
        <w:snapToGrid w:val="0"/>
        <w:spacing w:line="360" w:lineRule="auto"/>
        <w:jc w:val="both"/>
        <w:rPr>
          <w:rFonts w:hint="eastAsia" w:cs="宋体"/>
          <w:bCs/>
          <w:sz w:val="24"/>
          <w:szCs w:val="24"/>
          <w:highlight w:val="none"/>
        </w:rPr>
      </w:pPr>
      <w:r>
        <w:rPr>
          <w:rFonts w:hint="eastAsia" w:cs="宋体"/>
          <w:bCs/>
          <w:sz w:val="24"/>
          <w:szCs w:val="24"/>
          <w:highlight w:val="none"/>
        </w:rPr>
        <w:t>（三）评标总得分计算方法：</w:t>
      </w:r>
    </w:p>
    <w:p w14:paraId="4338BAC2">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评标总得分＝F1＋F2＋……＋Fn</w:t>
      </w:r>
    </w:p>
    <w:p w14:paraId="1648C218">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F1、F2……Fn分别为各项评审因素的得分；</w:t>
      </w:r>
    </w:p>
    <w:p w14:paraId="3589EF4A">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注：以上打分计算最终得分保留小数两位。</w:t>
      </w:r>
    </w:p>
    <w:p w14:paraId="4850B417">
      <w:pPr>
        <w:tabs>
          <w:tab w:val="left" w:pos="0"/>
        </w:tabs>
        <w:snapToGrid w:val="0"/>
        <w:spacing w:line="360" w:lineRule="auto"/>
        <w:jc w:val="both"/>
        <w:rPr>
          <w:rFonts w:hint="eastAsia" w:cs="宋体"/>
          <w:bCs/>
          <w:sz w:val="24"/>
          <w:szCs w:val="24"/>
          <w:highlight w:val="none"/>
        </w:rPr>
      </w:pPr>
      <w:r>
        <w:rPr>
          <w:rFonts w:hint="eastAsia" w:cs="宋体"/>
          <w:bCs/>
          <w:sz w:val="24"/>
          <w:szCs w:val="24"/>
          <w:highlight w:val="none"/>
        </w:rPr>
        <w:t>（四）排序原则：</w:t>
      </w:r>
    </w:p>
    <w:p w14:paraId="5BB1CEF6">
      <w:pPr>
        <w:tabs>
          <w:tab w:val="left" w:pos="0"/>
        </w:tabs>
        <w:snapToGrid w:val="0"/>
        <w:spacing w:line="360" w:lineRule="auto"/>
        <w:ind w:firstLine="480" w:firstLineChars="200"/>
        <w:jc w:val="both"/>
        <w:rPr>
          <w:rFonts w:hint="eastAsia" w:cs="宋体"/>
          <w:bCs/>
          <w:sz w:val="24"/>
          <w:szCs w:val="24"/>
          <w:highlight w:val="none"/>
        </w:rPr>
      </w:pPr>
      <w:r>
        <w:rPr>
          <w:rFonts w:hint="eastAsia" w:cs="宋体"/>
          <w:bCs/>
          <w:sz w:val="24"/>
          <w:szCs w:val="24"/>
          <w:highlight w:val="none"/>
        </w:rPr>
        <w:t>采用综合评分法的，评审结果按评审后得分由高到低顺序排列。得分相同的，按投标报价由低到高顺序排列；得分且投标报价相同的并列。响应文件满足磋商文件全部实质性要求，且按照评审因素的量化指标评审得分最高的供应商为排名第一的成交候选人。</w:t>
      </w:r>
    </w:p>
    <w:p w14:paraId="379005CF">
      <w:pPr>
        <w:snapToGrid w:val="0"/>
        <w:spacing w:line="360" w:lineRule="auto"/>
        <w:jc w:val="both"/>
        <w:rPr>
          <w:rFonts w:hint="eastAsia" w:cs="宋体"/>
          <w:b/>
          <w:bCs/>
          <w:snapToGrid w:val="0"/>
          <w:sz w:val="24"/>
          <w:szCs w:val="24"/>
          <w:highlight w:val="none"/>
        </w:rPr>
      </w:pPr>
      <w:r>
        <w:rPr>
          <w:rFonts w:hint="eastAsia" w:cs="宋体"/>
          <w:b/>
          <w:bCs/>
          <w:snapToGrid w:val="0"/>
          <w:sz w:val="24"/>
          <w:szCs w:val="24"/>
          <w:highlight w:val="none"/>
        </w:rPr>
        <w:t>五、本评标办法的解释权归采购代理机构。</w:t>
      </w:r>
    </w:p>
    <w:p w14:paraId="651634AF">
      <w:pPr>
        <w:pStyle w:val="3"/>
        <w:spacing w:after="120" w:afterLines="50" w:line="700" w:lineRule="exact"/>
        <w:jc w:val="center"/>
        <w:rPr>
          <w:rFonts w:hint="eastAsia"/>
          <w:sz w:val="24"/>
          <w:szCs w:val="24"/>
          <w:highlight w:val="none"/>
          <w:lang w:val="en-US" w:eastAsia="zh-CN"/>
        </w:rPr>
      </w:pPr>
      <w:r>
        <w:rPr>
          <w:rFonts w:hint="eastAsia" w:hAnsi="宋体" w:cs="宋体"/>
          <w:sz w:val="36"/>
          <w:szCs w:val="36"/>
          <w:highlight w:val="none"/>
        </w:rPr>
        <w:t>商务要求</w:t>
      </w:r>
    </w:p>
    <w:p w14:paraId="5EA13DBD">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1.工期：合同签订90日历日后完成交付，工期为90天（3个月）。</w:t>
      </w:r>
    </w:p>
    <w:p w14:paraId="346B375A">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2.施工地点：贵州省疾病预防控制中心门诊4号楼及门面业务用房。</w:t>
      </w:r>
    </w:p>
    <w:p w14:paraId="2EE787B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付款条件：按维修改造项目进度付款，办理完成施工许可证付30%，工期时间为施工许可证办理完成及监理总监开工令下达之日起3个月，完成门诊4号楼及门面维修改造项目并经过行业主管部门验收合格，支付50%进度款，剩余20%尾款按照省财政厅要求审计通过后支付。</w:t>
      </w:r>
    </w:p>
    <w:p w14:paraId="183CCE9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履约保证金：签订合同前，成交供应商在接到采购人通知后的5个工作日内向采购人指定账户交纳成交金额5%的履约保证金。成交供应商未按时完成施工、未按磋商文件或响应文件承诺的内容进行履约的，采购人有权扣除履约保证金。若出现严重问题，造成损失的，采购人保留对成交供应商的赔偿追索权。项目履约完成且验收合格后，采购人在7个工作日内无息向成交供应商退还履约保证金。</w:t>
      </w:r>
    </w:p>
    <w:p w14:paraId="0F02F27E">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质保事宜：消防改造工程质保期不低于3年，自工程竣工验收合格之日起计算，质保期内供应商需免费提供因施工质量问题导致的消防设施维修、更换服务；屋顶防水工程质保期5年，期间出现渗漏情况，供应商需无偿进行返修；4-6层维修改造工程及临街门面维修改造工程质保期2年，其中包含建筑与装饰工程质保期2年，涵盖墙面开裂、地面空鼓、装饰线条脱落等问题；给排水工程质保期2年，包括管道渗漏、设备故障等。电气设备安装工程质保期2年，如线路短路、设备无法正常运行等情况；通风空调工程质保期 3年，包含设备性能不达标、系统运行故障等；弱电工程质保期2年，涉及网络不通、弱电设备失灵等问题。质保期内，供应商需在接到通知后24小时内响应，48小时内到达现场维修，质保期内维修产生的人工、材料费用均由供应商承担。</w:t>
      </w:r>
    </w:p>
    <w:p w14:paraId="1AA73B9E">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售后服务：配合完成项目验收及审计工作。供应商需在接到维修通知后及时响应，需提供电话售后服务，安排专业技术人员进行巡检，对于消防故障等紧急情况，需在4小时内到达现场进行处理。质保期外，供应商应保证备品备件的持续供应及维修服务，维修费用按照成本价收取，并定期（每半年）对消防系统进行免费巡检，出具巡检报告，提出维护建议。同时，为疾控中心工作人员提供消防设施操作、简单故障排查等培训服务，培训次数不少于2次。</w:t>
      </w:r>
    </w:p>
    <w:p w14:paraId="6D8C60D2">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b w:val="0"/>
          <w:bCs/>
          <w:sz w:val="24"/>
          <w:szCs w:val="24"/>
          <w:highlight w:val="none"/>
        </w:rPr>
      </w:pPr>
      <w:r>
        <w:rPr>
          <w:rFonts w:hint="eastAsia" w:ascii="宋体" w:hAnsi="宋体" w:eastAsia="宋体" w:cs="宋体"/>
          <w:bCs/>
          <w:kern w:val="2"/>
          <w:sz w:val="24"/>
          <w:szCs w:val="24"/>
          <w:highlight w:val="none"/>
          <w:lang w:val="en-US" w:eastAsia="zh-CN"/>
        </w:rPr>
        <w:t>7.</w:t>
      </w:r>
      <w:r>
        <w:rPr>
          <w:rFonts w:hint="eastAsia" w:ascii="宋体" w:hAnsi="宋体" w:eastAsia="宋体" w:cs="宋体"/>
          <w:b w:val="0"/>
          <w:bCs/>
          <w:sz w:val="24"/>
          <w:szCs w:val="24"/>
          <w:highlight w:val="none"/>
        </w:rPr>
        <w:t>其他</w:t>
      </w:r>
      <w:r>
        <w:rPr>
          <w:rFonts w:hint="eastAsia" w:ascii="宋体" w:hAnsi="宋体" w:eastAsia="宋体" w:cs="宋体"/>
          <w:b w:val="0"/>
          <w:bCs/>
          <w:sz w:val="24"/>
          <w:highlight w:val="none"/>
        </w:rPr>
        <w:t>要求</w:t>
      </w:r>
    </w:p>
    <w:p w14:paraId="09C9A852">
      <w:pPr>
        <w:keepNext w:val="0"/>
        <w:keepLines w:val="0"/>
        <w:pageBreakBefore w:val="0"/>
        <w:widowControl w:val="0"/>
        <w:kinsoku/>
        <w:wordWrap/>
        <w:overflowPunct/>
        <w:topLinePunct w:val="0"/>
        <w:bidi w:val="0"/>
        <w:snapToGrid w:val="0"/>
        <w:spacing w:line="360" w:lineRule="auto"/>
        <w:ind w:firstLine="480" w:firstLineChars="200"/>
        <w:jc w:val="both"/>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lang w:val="en-US" w:eastAsia="zh-CN"/>
        </w:rPr>
        <w:t>包装上，所有材料、设备的包装需符合国家相关标准，具备防潮、防震、防锈等保护措施，确保运输过程中不受损坏。供应商负责将货物安全运输至项目现场，运输过程中产生的费用及风险均由供应商承担。供应商需为运输的货物购买足额保险，避免货物在运输途中出现损坏、丢失等情况造成损失。供应商提供的产品、技术等需保证不存在知识产权纠纷，若因知识产权问题给疾控中心带来损失，供应商需承担全部责任。参与项目的所有人员需签订保密协议，对疾控中心内部信息、项目相关资料等进行保密，未经允许不得向第三方泄露。消防工程、防水工程、电气、弱电系统完工后，需委托具有相应资质的第三方检测机构进行检测，检测费用由供应商承担，检测合格后方可进行验收。施工过程中需严格遵守各项安全规定，做好施工现场的安全防护措施，设置明显的安全警示标志，避免发生安全事故。项目将由后勤服务中心对施工全过程进行监理，确保工程质量、进度、安全等符合要求。</w:t>
      </w:r>
    </w:p>
    <w:p w14:paraId="52BA42C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 w:val="0"/>
          <w:bCs/>
          <w:sz w:val="24"/>
          <w:szCs w:val="24"/>
          <w:highlight w:val="none"/>
          <w:lang w:val="en-US" w:eastAsia="zh-CN"/>
        </w:rPr>
        <w:t>8.</w:t>
      </w:r>
      <w:r>
        <w:rPr>
          <w:rFonts w:hint="eastAsia" w:ascii="宋体" w:hAnsi="宋体" w:eastAsia="宋体" w:cs="宋体"/>
          <w:bCs/>
          <w:kern w:val="2"/>
          <w:sz w:val="24"/>
          <w:szCs w:val="24"/>
          <w:highlight w:val="none"/>
          <w:lang w:val="en-US" w:eastAsia="zh-CN"/>
        </w:rPr>
        <w:t>相关承诺</w:t>
      </w:r>
    </w:p>
    <w:p w14:paraId="727B4D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①供应商须承诺：若成交后，未按磋商文件规定或响应文件承诺的工期完工的，按虚假应标处理，不退还其履约保证金，采购人将向财政部门备案,将其纳入政府采购不诚信记录名单；</w:t>
      </w:r>
    </w:p>
    <w:p w14:paraId="42B9FB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②供应商须承诺：若成交后发现虚假应标的情况，供应商将退还所有已付款项，并按相关法律法规规定向采购人支付违约金；</w:t>
      </w:r>
    </w:p>
    <w:p w14:paraId="6A7654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③供应商须承诺：质保期内出现质量问题应无条件返工。若不执行，采购人有权安排其他队伍进场维修，维修费用将从成交供应商质保金内扣除。</w:t>
      </w:r>
    </w:p>
    <w:p w14:paraId="74FD70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④供应商须承诺：不拖欠本项目所雇佣的农民工工资，如出现拖欠农民工工资的情况,自愿接受采购人的处罚，每次处罚按照本项目合同总金额的1%计取。</w:t>
      </w:r>
    </w:p>
    <w:p w14:paraId="295E26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⑤供应商须承诺：实施前必须制定完整的安全保障措施，如发生安全事故，由供应商承担全部安全事故责任；</w:t>
      </w:r>
    </w:p>
    <w:p w14:paraId="34738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⑥供应商须承诺：在施工中严格按照采购人的规定进行施工，垃圾的堆放及清运自行协调解决，不得随意堆放。</w:t>
      </w:r>
    </w:p>
    <w:p w14:paraId="64CFC1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⑦供应商须承诺：工程竣工验收时，施工场地必须清理干净，否则采购人有权拒绝验收。</w:t>
      </w:r>
    </w:p>
    <w:p w14:paraId="2DA98C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⑧供应商须承诺：在施工期间，项目经理、技术负责人、施工员、质量员、安全员不得随意进行更换，如有特殊情况必须进行更换的，须提前取得采购人同意。</w:t>
      </w:r>
    </w:p>
    <w:p w14:paraId="3BBDE4B2">
      <w:pPr>
        <w:keepNext w:val="0"/>
        <w:keepLines w:val="0"/>
        <w:pageBreakBefore w:val="0"/>
        <w:widowControl w:val="0"/>
        <w:kinsoku/>
        <w:wordWrap/>
        <w:overflowPunct/>
        <w:topLinePunct w:val="0"/>
        <w:bidi w:val="0"/>
        <w:snapToGrid w:val="0"/>
        <w:spacing w:line="360" w:lineRule="auto"/>
        <w:ind w:firstLine="480" w:firstLineChars="200"/>
        <w:jc w:val="both"/>
        <w:rPr>
          <w:rFonts w:hint="eastAsia" w:ascii="宋体" w:hAnsi="宋体" w:eastAsia="宋体" w:cs="宋体"/>
          <w:b w:val="0"/>
          <w:bCs/>
          <w:sz w:val="24"/>
          <w:szCs w:val="24"/>
          <w:highlight w:val="none"/>
          <w:lang w:val="en-US" w:eastAsia="zh-CN"/>
        </w:rPr>
      </w:pPr>
      <w:r>
        <w:rPr>
          <w:rFonts w:hint="eastAsia" w:ascii="宋体" w:hAnsi="宋体" w:eastAsia="宋体" w:cs="宋体"/>
          <w:bCs/>
          <w:kern w:val="2"/>
          <w:sz w:val="24"/>
          <w:szCs w:val="24"/>
          <w:highlight w:val="none"/>
          <w:lang w:val="en-US" w:eastAsia="zh-CN"/>
        </w:rPr>
        <w:t>⑨磋商文件未尽事宜，在成交后由双方自行协商。</w:t>
      </w:r>
    </w:p>
    <w:p w14:paraId="42C8FA65">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9.投标有效期</w:t>
      </w:r>
    </w:p>
    <w:p w14:paraId="2C5B0C42">
      <w:pPr>
        <w:keepNext w:val="0"/>
        <w:keepLines w:val="0"/>
        <w:pageBreakBefore w:val="0"/>
        <w:widowControl w:val="0"/>
        <w:kinsoku/>
        <w:wordWrap/>
        <w:overflowPunct/>
        <w:topLinePunct w:val="0"/>
        <w:bidi w:val="0"/>
        <w:snapToGrid w:val="0"/>
        <w:spacing w:line="360" w:lineRule="auto"/>
        <w:ind w:firstLine="480" w:firstLineChars="200"/>
        <w:jc w:val="both"/>
        <w:rPr>
          <w:rFonts w:hint="eastAsia" w:cs="宋体"/>
          <w:sz w:val="24"/>
          <w:szCs w:val="24"/>
          <w:highlight w:val="none"/>
        </w:rPr>
      </w:pPr>
      <w:r>
        <w:rPr>
          <w:rFonts w:hint="eastAsia" w:ascii="宋体" w:hAnsi="宋体" w:eastAsia="宋体" w:cs="宋体"/>
          <w:sz w:val="24"/>
          <w:szCs w:val="24"/>
          <w:highlight w:val="none"/>
        </w:rPr>
        <w:t>本项目投标有效期为磋商之日起90日历天。</w:t>
      </w:r>
    </w:p>
    <w:p w14:paraId="3CE2681E">
      <w:pPr>
        <w:pStyle w:val="3"/>
        <w:spacing w:after="120" w:afterLines="50" w:line="700" w:lineRule="exact"/>
        <w:jc w:val="center"/>
        <w:rPr>
          <w:rFonts w:hint="eastAsia" w:hAnsi="宋体" w:cs="宋体"/>
          <w:bCs/>
          <w:sz w:val="36"/>
          <w:szCs w:val="36"/>
          <w:highlight w:val="none"/>
          <w:lang w:eastAsia="zh-CN"/>
        </w:rPr>
      </w:pPr>
    </w:p>
    <w:p w14:paraId="7FBCC2E0">
      <w:pPr>
        <w:pStyle w:val="3"/>
        <w:spacing w:after="120" w:afterLines="50" w:line="700" w:lineRule="exact"/>
        <w:jc w:val="center"/>
        <w:rPr>
          <w:rFonts w:hint="eastAsia" w:hAnsi="宋体" w:eastAsia="宋体" w:cs="宋体"/>
          <w:b w:val="0"/>
          <w:bCs/>
          <w:sz w:val="30"/>
          <w:szCs w:val="30"/>
          <w:highlight w:val="none"/>
          <w:lang w:eastAsia="zh-CN"/>
        </w:rPr>
      </w:pPr>
      <w:r>
        <w:rPr>
          <w:rFonts w:hint="eastAsia" w:hAnsi="宋体" w:cs="宋体"/>
          <w:bCs/>
          <w:sz w:val="36"/>
          <w:szCs w:val="36"/>
          <w:highlight w:val="none"/>
          <w:lang w:eastAsia="zh-CN"/>
        </w:rPr>
        <w:t>采购要求</w:t>
      </w:r>
    </w:p>
    <w:p w14:paraId="7B87EB37">
      <w:pPr>
        <w:spacing w:line="360" w:lineRule="auto"/>
        <w:jc w:val="both"/>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一、建设内容及规模：</w:t>
      </w:r>
    </w:p>
    <w:p w14:paraId="3A9E04BC">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对省疾控中心4号楼1至6层消防改造及4至6层维修改造及屋顶安装安全防护栏及防水处理，总建筑面积3521.22平方米；对临街门面B1栋一层、B2栋一层维修改造，建筑面积515.46平方米；维修改造总面积4036.68平方米。</w:t>
      </w:r>
    </w:p>
    <w:p w14:paraId="16BE7A7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kern w:val="2"/>
          <w:sz w:val="24"/>
          <w:szCs w:val="24"/>
          <w:highlight w:val="none"/>
          <w:lang w:val="en-US" w:eastAsia="zh-CN"/>
        </w:rPr>
      </w:pPr>
    </w:p>
    <w:p w14:paraId="59F4A9E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二、图纸</w:t>
      </w:r>
    </w:p>
    <w:p w14:paraId="4DE2860B">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kern w:val="2"/>
          <w:sz w:val="24"/>
          <w:szCs w:val="24"/>
          <w:highlight w:val="none"/>
          <w:lang w:val="en-US" w:eastAsia="zh-CN"/>
        </w:rPr>
        <w:t>详见附件</w:t>
      </w:r>
    </w:p>
    <w:p w14:paraId="105A2B8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kern w:val="2"/>
          <w:sz w:val="24"/>
          <w:szCs w:val="24"/>
          <w:highlight w:val="none"/>
          <w:lang w:val="en-US" w:eastAsia="zh-CN"/>
        </w:rPr>
      </w:pPr>
    </w:p>
    <w:p w14:paraId="3C886F1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三、工程量清单</w:t>
      </w:r>
    </w:p>
    <w:p w14:paraId="07DC082D">
      <w:pPr>
        <w:pStyle w:val="2"/>
        <w:ind w:firstLine="480" w:firstLineChars="200"/>
        <w:rPr>
          <w:rFonts w:hint="default"/>
          <w:lang w:val="en-US"/>
        </w:rPr>
      </w:pPr>
      <w:r>
        <w:rPr>
          <w:rFonts w:hint="eastAsia" w:ascii="宋体" w:hAnsi="宋体" w:eastAsia="宋体" w:cs="宋体"/>
          <w:kern w:val="2"/>
          <w:sz w:val="24"/>
          <w:szCs w:val="24"/>
          <w:highlight w:val="none"/>
          <w:lang w:val="en-US" w:eastAsia="zh-CN"/>
        </w:rPr>
        <w:t>详见附件</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67A46"/>
    <w:rsid w:val="01A34304"/>
    <w:rsid w:val="423170C2"/>
    <w:rsid w:val="4D8347FE"/>
    <w:rsid w:val="58C67A46"/>
    <w:rsid w:val="633745AB"/>
    <w:rsid w:val="6A36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宋体" w:eastAsia="宋体" w:cs="Times New Roman"/>
      <w:sz w:val="34"/>
      <w:lang w:val="en-US" w:eastAsia="zh-CN" w:bidi="ar-SA"/>
    </w:rPr>
  </w:style>
  <w:style w:type="paragraph" w:styleId="3">
    <w:name w:val="heading 1"/>
    <w:basedOn w:val="1"/>
    <w:next w:val="1"/>
    <w:qFormat/>
    <w:uiPriority w:val="0"/>
    <w:pPr>
      <w:keepNext/>
      <w:outlineLvl w:val="0"/>
    </w:pPr>
    <w:rPr>
      <w:rFonts w:ascii="宋体" w:hAnsi="Times New Roman" w:eastAsia="宋体" w:cs="Times New Roman"/>
      <w:b/>
      <w:color w:val="000000"/>
      <w:sz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 w:val="28"/>
    </w:rPr>
  </w:style>
  <w:style w:type="paragraph" w:styleId="4">
    <w:name w:val="Plain Text"/>
    <w:basedOn w:val="1"/>
    <w:next w:val="1"/>
    <w:qFormat/>
    <w:uiPriority w:val="0"/>
    <w:rPr>
      <w:rFonts w:ascii="宋体" w:hAnsi="Courier New" w:eastAsia="宋体" w:cs="Courier New"/>
      <w:sz w:val="34"/>
      <w:szCs w:val="21"/>
      <w:lang w:val="en-US" w:eastAsia="zh-CN" w:bidi="ar-SA"/>
    </w:rPr>
  </w:style>
  <w:style w:type="paragraph" w:styleId="5">
    <w:name w:val="index 9"/>
    <w:basedOn w:val="1"/>
    <w:next w:val="1"/>
    <w:qFormat/>
    <w:uiPriority w:val="99"/>
    <w:pPr>
      <w:widowControl w:val="0"/>
      <w:autoSpaceDE w:val="0"/>
      <w:autoSpaceDN w:val="0"/>
      <w:adjustRightInd w:val="0"/>
      <w:ind w:left="3360"/>
      <w:textAlignment w:val="baseline"/>
    </w:pPr>
    <w:rPr>
      <w:rFonts w:ascii="宋体" w:hAnsi="宋体" w:eastAsia="宋体" w:cs="Times New Roman"/>
      <w:sz w:val="34"/>
      <w:lang w:val="en-US" w:eastAsia="zh-CN" w:bidi="ar-SA"/>
    </w:rPr>
  </w:style>
  <w:style w:type="paragraph" w:styleId="6">
    <w:name w:val="Normal (Web)"/>
    <w:basedOn w:val="1"/>
    <w:next w:val="5"/>
    <w:qFormat/>
    <w:uiPriority w:val="0"/>
    <w:pPr>
      <w:widowControl/>
      <w:autoSpaceDE/>
      <w:autoSpaceDN/>
      <w:adjustRightInd/>
      <w:spacing w:before="100" w:beforeLines="0" w:beforeAutospacing="1" w:after="100" w:afterLines="0" w:afterAutospacing="1"/>
      <w:textAlignment w:val="auto"/>
    </w:pPr>
    <w:rPr>
      <w:rFonts w:ascii="Times New Roman" w:hAnsi="宋体" w:eastAsia="宋体" w:cs="宋体"/>
      <w:sz w:val="24"/>
      <w:szCs w:val="24"/>
    </w:rPr>
  </w:style>
  <w:style w:type="paragraph" w:customStyle="1" w:styleId="9">
    <w:name w:val="Date"/>
    <w:basedOn w:val="1"/>
    <w:next w:val="1"/>
    <w:qFormat/>
    <w:uiPriority w:val="0"/>
    <w:pPr>
      <w:jc w:val="both"/>
    </w:pPr>
    <w:rPr>
      <w:rFonts w:ascii="宋体" w:hAnsi="Times New Roman" w:eastAsia="宋体" w:cs="Times New Roman"/>
      <w:sz w:val="3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7919</Words>
  <Characters>8180</Characters>
  <Lines>0</Lines>
  <Paragraphs>0</Paragraphs>
  <TotalTime>0</TotalTime>
  <ScaleCrop>false</ScaleCrop>
  <LinksUpToDate>false</LinksUpToDate>
  <CharactersWithSpaces>8290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2025-07-30T07:37:00Z</dcterms:created>
  <dc:creator>GTD</dc:creator>
  <cp:lastModifiedBy>GTD</cp:lastModifiedBy>
  <dcterms:modified xsi:type="dcterms:W3CDTF">2025-07-30T09:13:30Z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00076E097585407FAF02D1CE7AAA8EEB_11</vt:lpwstr>
  </property>
  <property fmtid="{D5CDD505-2E9C-101B-9397-08002B2CF9AE}" pid="4" name="KSOTemplateDocerSaveRecord">
    <vt:lpwstr>eyJoZGlkIjoiMGEyNzg0NzJiYmJmOWU1ZjYxNWMyMjY4MGE0MzkzMDgiLCJ1c2VySWQiOiIzMDQwMjk5NDQifQ==</vt:lpwstr>
  </property>
</Properties>
</file>