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BEBDF">
      <w:pPr>
        <w:spacing w:before="120" w:beforeLines="50" w:after="120" w:afterLines="50" w:line="360" w:lineRule="auto"/>
        <w:jc w:val="center"/>
        <w:rPr>
          <w:rFonts w:ascii="宋体" w:hAnsi="宋体" w:cs="宋体"/>
          <w:color w:val="auto"/>
          <w:spacing w:val="20"/>
          <w:sz w:val="44"/>
          <w:szCs w:val="44"/>
          <w:highlight w:val="none"/>
        </w:rPr>
      </w:pPr>
    </w:p>
    <w:p w14:paraId="2A334322">
      <w:pPr>
        <w:spacing w:before="120" w:beforeLines="50" w:after="120" w:afterLines="50"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rPr>
        <w:t>后勤服务外包物业管理服务项目</w:t>
      </w:r>
    </w:p>
    <w:p w14:paraId="28C65335">
      <w:pPr>
        <w:spacing w:before="120" w:beforeLines="50" w:after="120" w:afterLines="50" w:line="360" w:lineRule="auto"/>
        <w:jc w:val="center"/>
        <w:rPr>
          <w:rFonts w:ascii="宋体" w:hAnsi="宋体" w:cs="宋体"/>
          <w:color w:val="auto"/>
          <w:spacing w:val="20"/>
          <w:sz w:val="44"/>
          <w:szCs w:val="44"/>
          <w:highlight w:val="none"/>
        </w:rPr>
      </w:pPr>
    </w:p>
    <w:p w14:paraId="5E8FB62D">
      <w:pPr>
        <w:spacing w:before="120" w:beforeLines="50" w:after="120" w:afterLines="50" w:line="360" w:lineRule="auto"/>
        <w:jc w:val="center"/>
        <w:rPr>
          <w:rFonts w:ascii="宋体" w:hAnsi="宋体" w:cs="宋体"/>
          <w:color w:val="auto"/>
          <w:spacing w:val="20"/>
          <w:sz w:val="44"/>
          <w:szCs w:val="44"/>
          <w:highlight w:val="none"/>
        </w:rPr>
      </w:pPr>
    </w:p>
    <w:p w14:paraId="71FD2800">
      <w:pPr>
        <w:spacing w:before="120" w:beforeLines="50" w:after="120" w:afterLines="50" w:line="360" w:lineRule="auto"/>
        <w:jc w:val="center"/>
        <w:rPr>
          <w:rFonts w:ascii="宋体" w:hAnsi="宋体" w:cs="宋体"/>
          <w:color w:val="auto"/>
          <w:spacing w:val="20"/>
          <w:sz w:val="44"/>
          <w:szCs w:val="44"/>
          <w:highlight w:val="none"/>
        </w:rPr>
      </w:pPr>
    </w:p>
    <w:p w14:paraId="006010A0">
      <w:pPr>
        <w:spacing w:before="120" w:beforeLines="50" w:after="120" w:afterLines="50" w:line="360" w:lineRule="auto"/>
        <w:jc w:val="center"/>
        <w:rPr>
          <w:rFonts w:ascii="宋体" w:hAnsi="宋体" w:cs="宋体"/>
          <w:color w:val="auto"/>
          <w:spacing w:val="20"/>
          <w:sz w:val="44"/>
          <w:szCs w:val="44"/>
          <w:highlight w:val="none"/>
        </w:rPr>
      </w:pPr>
    </w:p>
    <w:p w14:paraId="17C203B3">
      <w:pPr>
        <w:spacing w:before="120" w:beforeLines="50" w:after="120" w:afterLines="50"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rPr>
        <w:t>采购文件</w:t>
      </w:r>
    </w:p>
    <w:p w14:paraId="5A029676">
      <w:pPr>
        <w:spacing w:before="120" w:beforeLines="50" w:after="120" w:afterLines="50" w:line="360" w:lineRule="auto"/>
        <w:jc w:val="center"/>
        <w:rPr>
          <w:rFonts w:hint="eastAsia" w:ascii="宋体" w:hAnsi="宋体" w:eastAsia="宋体" w:cs="宋体"/>
          <w:color w:val="auto"/>
          <w:spacing w:val="20"/>
          <w:sz w:val="44"/>
          <w:szCs w:val="44"/>
          <w:highlight w:val="none"/>
          <w:u w:val="single"/>
          <w:lang w:eastAsia="zh-CN"/>
        </w:rPr>
      </w:pPr>
      <w:r>
        <w:rPr>
          <w:rFonts w:hint="eastAsia" w:ascii="宋体" w:hAnsi="宋体" w:cs="宋体"/>
          <w:color w:val="auto"/>
          <w:spacing w:val="20"/>
          <w:sz w:val="36"/>
          <w:szCs w:val="36"/>
          <w:highlight w:val="none"/>
        </w:rPr>
        <w:t>项目编号：HXCG2025-52</w:t>
      </w:r>
      <w:r>
        <w:rPr>
          <w:rFonts w:hint="eastAsia" w:ascii="宋体" w:hAnsi="宋体" w:cs="宋体"/>
          <w:color w:val="auto"/>
          <w:spacing w:val="20"/>
          <w:sz w:val="36"/>
          <w:szCs w:val="36"/>
          <w:highlight w:val="none"/>
          <w:lang w:val="en-US" w:eastAsia="zh-CN"/>
        </w:rPr>
        <w:t xml:space="preserve"> </w:t>
      </w:r>
    </w:p>
    <w:p w14:paraId="582596FA">
      <w:pPr>
        <w:pStyle w:val="10"/>
        <w:spacing w:line="360" w:lineRule="auto"/>
        <w:rPr>
          <w:color w:val="auto"/>
          <w:highlight w:val="none"/>
        </w:rPr>
      </w:pPr>
    </w:p>
    <w:p w14:paraId="789F0D52">
      <w:pPr>
        <w:pStyle w:val="10"/>
        <w:spacing w:line="360" w:lineRule="auto"/>
        <w:rPr>
          <w:color w:val="auto"/>
          <w:highlight w:val="none"/>
        </w:rPr>
      </w:pPr>
    </w:p>
    <w:p w14:paraId="31A200C5">
      <w:pPr>
        <w:pStyle w:val="10"/>
        <w:spacing w:line="360" w:lineRule="auto"/>
        <w:rPr>
          <w:color w:val="auto"/>
          <w:highlight w:val="none"/>
        </w:rPr>
      </w:pPr>
    </w:p>
    <w:p w14:paraId="4B19347C">
      <w:pPr>
        <w:pStyle w:val="10"/>
        <w:spacing w:line="360" w:lineRule="auto"/>
        <w:rPr>
          <w:color w:val="auto"/>
          <w:highlight w:val="none"/>
        </w:rPr>
      </w:pPr>
    </w:p>
    <w:p w14:paraId="75829B86">
      <w:pPr>
        <w:pStyle w:val="10"/>
        <w:spacing w:line="360" w:lineRule="auto"/>
        <w:rPr>
          <w:color w:val="auto"/>
          <w:highlight w:val="none"/>
        </w:rPr>
      </w:pPr>
    </w:p>
    <w:p w14:paraId="6ABC7118">
      <w:pPr>
        <w:pStyle w:val="10"/>
        <w:spacing w:line="360" w:lineRule="auto"/>
        <w:rPr>
          <w:color w:val="auto"/>
          <w:highlight w:val="none"/>
        </w:rPr>
      </w:pPr>
    </w:p>
    <w:p w14:paraId="3BD28E69">
      <w:pPr>
        <w:widowControl/>
        <w:spacing w:line="360" w:lineRule="auto"/>
        <w:jc w:val="left"/>
        <w:rPr>
          <w:rFonts w:ascii="宋体" w:hAnsi="宋体" w:cs="宋体"/>
          <w:bCs/>
          <w:color w:val="auto"/>
          <w:sz w:val="40"/>
          <w:szCs w:val="40"/>
          <w:highlight w:val="none"/>
        </w:rPr>
      </w:pPr>
    </w:p>
    <w:p w14:paraId="7556E3FA">
      <w:pPr>
        <w:widowControl/>
        <w:spacing w:line="36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u w:val="single"/>
        </w:rPr>
        <w:t>中共贵州省委党校</w:t>
      </w:r>
    </w:p>
    <w:p w14:paraId="4C5E45CC">
      <w:pPr>
        <w:widowControl/>
        <w:spacing w:line="360" w:lineRule="auto"/>
        <w:ind w:firstLine="1280" w:firstLineChars="400"/>
        <w:jc w:val="left"/>
        <w:rPr>
          <w:rFonts w:ascii="宋体" w:hAnsi="宋体" w:cs="宋体"/>
          <w:bCs/>
          <w:color w:val="auto"/>
          <w:sz w:val="32"/>
          <w:szCs w:val="32"/>
          <w:highlight w:val="none"/>
        </w:rPr>
      </w:pPr>
    </w:p>
    <w:p w14:paraId="292731CB">
      <w:pPr>
        <w:widowControl/>
        <w:spacing w:line="360" w:lineRule="auto"/>
        <w:ind w:firstLine="1280" w:firstLineChars="400"/>
        <w:jc w:val="left"/>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代理机构：</w:t>
      </w:r>
      <w:r>
        <w:rPr>
          <w:rFonts w:hint="eastAsia" w:ascii="宋体" w:hAnsi="宋体" w:cs="宋体"/>
          <w:bCs/>
          <w:color w:val="auto"/>
          <w:sz w:val="32"/>
          <w:szCs w:val="32"/>
          <w:highlight w:val="none"/>
          <w:u w:val="single"/>
          <w:lang w:val="en-US" w:eastAsia="zh-CN"/>
        </w:rPr>
        <w:t>贵州华信水投工程咨询有限公司</w:t>
      </w:r>
    </w:p>
    <w:p w14:paraId="63CAB818">
      <w:pPr>
        <w:widowControl/>
        <w:spacing w:line="360" w:lineRule="auto"/>
        <w:ind w:firstLine="1280" w:firstLineChars="400"/>
        <w:jc w:val="left"/>
        <w:rPr>
          <w:rFonts w:ascii="宋体" w:hAnsi="宋体" w:cs="宋体"/>
          <w:bCs/>
          <w:color w:val="auto"/>
          <w:sz w:val="32"/>
          <w:szCs w:val="32"/>
          <w:highlight w:val="none"/>
        </w:rPr>
      </w:pPr>
    </w:p>
    <w:p w14:paraId="5AF2EDC1">
      <w:pPr>
        <w:widowControl/>
        <w:shd w:val="clear" w:color="auto" w:fill="FFFFFF"/>
        <w:spacing w:line="360" w:lineRule="auto"/>
        <w:ind w:firstLine="1280" w:firstLineChars="400"/>
        <w:rPr>
          <w:rFonts w:ascii="宋体" w:hAnsi="宋体" w:cs="宋体"/>
          <w:bCs/>
          <w:color w:val="auto"/>
          <w:sz w:val="32"/>
          <w:szCs w:val="32"/>
          <w:highlight w:val="none"/>
        </w:rPr>
        <w:sectPr>
          <w:footerReference r:id="rId3" w:type="default"/>
          <w:pgSz w:w="11905" w:h="16839"/>
          <w:pgMar w:top="820" w:right="1785" w:bottom="1102" w:left="1785" w:header="0" w:footer="938" w:gutter="0"/>
          <w:cols w:space="720" w:num="1"/>
        </w:sectPr>
      </w:pPr>
      <w:r>
        <w:rPr>
          <w:rFonts w:hint="eastAsia" w:ascii="宋体" w:hAnsi="宋体" w:cs="宋体"/>
          <w:bCs/>
          <w:color w:val="auto"/>
          <w:sz w:val="32"/>
          <w:szCs w:val="32"/>
          <w:highlight w:val="none"/>
        </w:rPr>
        <w:t>日期：202</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年0</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28</w:t>
      </w:r>
      <w:r>
        <w:rPr>
          <w:rFonts w:hint="eastAsia" w:ascii="宋体" w:hAnsi="宋体" w:cs="宋体"/>
          <w:bCs/>
          <w:color w:val="auto"/>
          <w:sz w:val="32"/>
          <w:szCs w:val="32"/>
          <w:highlight w:val="none"/>
        </w:rPr>
        <w:t>日</w:t>
      </w:r>
    </w:p>
    <w:p w14:paraId="26FB81D0">
      <w:pPr>
        <w:widowControl/>
        <w:shd w:val="clear" w:color="auto" w:fill="FFFFFF"/>
        <w:spacing w:line="360" w:lineRule="auto"/>
        <w:jc w:val="center"/>
        <w:rPr>
          <w:rFonts w:ascii="微软雅黑" w:hAnsi="微软雅黑" w:cs="宋体"/>
          <w:b/>
          <w:bCs/>
          <w:color w:val="auto"/>
          <w:kern w:val="0"/>
          <w:sz w:val="32"/>
          <w:szCs w:val="22"/>
          <w:highlight w:val="none"/>
        </w:rPr>
      </w:pPr>
      <w:r>
        <w:rPr>
          <w:rFonts w:hint="eastAsia" w:ascii="微软雅黑" w:hAnsi="微软雅黑" w:cs="宋体"/>
          <w:b/>
          <w:bCs/>
          <w:color w:val="auto"/>
          <w:kern w:val="0"/>
          <w:sz w:val="32"/>
          <w:szCs w:val="22"/>
          <w:highlight w:val="none"/>
        </w:rPr>
        <w:t>第一章采购公告</w:t>
      </w:r>
    </w:p>
    <w:p w14:paraId="0D526D56">
      <w:pPr>
        <w:widowControl/>
        <w:wordWrap w:val="0"/>
        <w:spacing w:line="360" w:lineRule="auto"/>
        <w:ind w:firstLine="480"/>
        <w:jc w:val="left"/>
        <w:rPr>
          <w:rFonts w:ascii="Arial" w:hAnsi="Arial" w:cs="Arial"/>
          <w:b/>
          <w:bCs/>
          <w:color w:val="auto"/>
          <w:kern w:val="0"/>
          <w:sz w:val="24"/>
          <w:szCs w:val="18"/>
          <w:highlight w:val="none"/>
        </w:rPr>
      </w:pPr>
      <w:r>
        <w:rPr>
          <w:rFonts w:ascii="Arial" w:hAnsi="Arial" w:cs="Arial"/>
          <w:b/>
          <w:bCs/>
          <w:color w:val="auto"/>
          <w:kern w:val="0"/>
          <w:sz w:val="24"/>
          <w:szCs w:val="18"/>
          <w:highlight w:val="none"/>
        </w:rPr>
        <w:t>项目概况</w:t>
      </w:r>
    </w:p>
    <w:p w14:paraId="15716976">
      <w:pPr>
        <w:widowControl/>
        <w:wordWrap w:val="0"/>
        <w:spacing w:line="360" w:lineRule="auto"/>
        <w:ind w:firstLine="480" w:firstLineChars="200"/>
        <w:jc w:val="left"/>
        <w:rPr>
          <w:rFonts w:ascii="Arial" w:hAnsi="Arial" w:cs="Arial"/>
          <w:color w:val="auto"/>
          <w:kern w:val="0"/>
          <w:sz w:val="24"/>
          <w:szCs w:val="18"/>
          <w:highlight w:val="none"/>
        </w:rPr>
      </w:pPr>
      <w:r>
        <w:rPr>
          <w:rFonts w:hint="eastAsia" w:ascii="Arial" w:hAnsi="Arial" w:cs="Arial"/>
          <w:b/>
          <w:color w:val="auto"/>
          <w:kern w:val="0"/>
          <w:sz w:val="24"/>
          <w:szCs w:val="18"/>
          <w:highlight w:val="none"/>
          <w:u w:val="single"/>
        </w:rPr>
        <w:t>后勤服务外包物业管理服务项目</w:t>
      </w:r>
      <w:r>
        <w:rPr>
          <w:rFonts w:ascii="Arial" w:hAnsi="Arial" w:cs="Arial"/>
          <w:color w:val="auto"/>
          <w:kern w:val="0"/>
          <w:sz w:val="24"/>
          <w:szCs w:val="18"/>
          <w:highlight w:val="none"/>
        </w:rPr>
        <w:t>招标项目的潜在投标人应在贵州省公共资源交易中心网上获取（交易中心网址：</w:t>
      </w:r>
      <w:r>
        <w:rPr>
          <w:color w:val="auto"/>
          <w:highlight w:val="none"/>
        </w:rPr>
        <w:fldChar w:fldCharType="begin"/>
      </w:r>
      <w:r>
        <w:rPr>
          <w:color w:val="auto"/>
          <w:highlight w:val="none"/>
        </w:rPr>
        <w:instrText xml:space="preserve"> HYPERLINK "http://ggzy.guizhou.gov.cn/）获取采购文件。并于2024年04月" </w:instrText>
      </w:r>
      <w:r>
        <w:rPr>
          <w:color w:val="auto"/>
          <w:highlight w:val="none"/>
        </w:rPr>
        <w:fldChar w:fldCharType="separate"/>
      </w:r>
      <w:r>
        <w:rPr>
          <w:rFonts w:ascii="Arial" w:hAnsi="Arial" w:cs="Arial"/>
          <w:color w:val="auto"/>
          <w:kern w:val="0"/>
          <w:sz w:val="24"/>
          <w:szCs w:val="18"/>
          <w:highlight w:val="none"/>
        </w:rPr>
        <w:t>http://ggzy.guizhou.gov.cn/）获取采购文件。</w:t>
      </w:r>
      <w:r>
        <w:rPr>
          <w:rFonts w:hint="eastAsia" w:ascii="Arial" w:hAnsi="Arial" w:cs="Arial"/>
          <w:color w:val="auto"/>
          <w:kern w:val="0"/>
          <w:sz w:val="24"/>
          <w:szCs w:val="18"/>
          <w:highlight w:val="none"/>
        </w:rPr>
        <w:t>并于202</w:t>
      </w:r>
      <w:r>
        <w:rPr>
          <w:rFonts w:hint="eastAsia" w:ascii="Arial" w:hAnsi="Arial" w:cs="Arial"/>
          <w:color w:val="auto"/>
          <w:kern w:val="0"/>
          <w:sz w:val="24"/>
          <w:szCs w:val="18"/>
          <w:highlight w:val="none"/>
          <w:lang w:val="en-US" w:eastAsia="zh-CN"/>
        </w:rPr>
        <w:t>5</w:t>
      </w:r>
      <w:r>
        <w:rPr>
          <w:rFonts w:hint="eastAsia" w:ascii="Arial" w:hAnsi="Arial" w:cs="Arial"/>
          <w:color w:val="auto"/>
          <w:kern w:val="0"/>
          <w:sz w:val="24"/>
          <w:szCs w:val="18"/>
          <w:highlight w:val="none"/>
        </w:rPr>
        <w:t>年07月</w:t>
      </w:r>
      <w:r>
        <w:rPr>
          <w:rFonts w:hint="eastAsia" w:ascii="Arial" w:hAnsi="Arial" w:cs="Arial"/>
          <w:color w:val="auto"/>
          <w:kern w:val="0"/>
          <w:sz w:val="24"/>
          <w:szCs w:val="18"/>
          <w:highlight w:val="none"/>
        </w:rPr>
        <w:fldChar w:fldCharType="end"/>
      </w:r>
      <w:r>
        <w:rPr>
          <w:rFonts w:hint="eastAsia" w:ascii="Arial" w:hAnsi="Arial" w:cs="Arial"/>
          <w:color w:val="auto"/>
          <w:kern w:val="0"/>
          <w:sz w:val="24"/>
          <w:szCs w:val="18"/>
          <w:highlight w:val="none"/>
        </w:rPr>
        <w:t xml:space="preserve">  日  时30分（北京时间）前递交投标文件</w:t>
      </w:r>
    </w:p>
    <w:p w14:paraId="6A86E908">
      <w:pPr>
        <w:widowControl/>
        <w:wordWrap w:val="0"/>
        <w:spacing w:line="360" w:lineRule="auto"/>
        <w:jc w:val="left"/>
        <w:rPr>
          <w:rFonts w:ascii="Arial" w:hAnsi="Arial" w:cs="Arial"/>
          <w:b/>
          <w:bCs/>
          <w:color w:val="auto"/>
          <w:kern w:val="0"/>
          <w:sz w:val="24"/>
          <w:szCs w:val="18"/>
          <w:highlight w:val="none"/>
        </w:rPr>
      </w:pPr>
      <w:r>
        <w:rPr>
          <w:rFonts w:ascii="Arial" w:hAnsi="Arial" w:cs="Arial"/>
          <w:b/>
          <w:bCs/>
          <w:color w:val="auto"/>
          <w:kern w:val="0"/>
          <w:sz w:val="24"/>
          <w:szCs w:val="18"/>
          <w:highlight w:val="none"/>
        </w:rPr>
        <w:t>一、项目基本信息</w:t>
      </w:r>
    </w:p>
    <w:p w14:paraId="316178A1">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项目编号</w:t>
      </w:r>
      <w:r>
        <w:rPr>
          <w:rFonts w:hint="eastAsia" w:ascii="Arial" w:hAnsi="Arial" w:cs="Arial"/>
          <w:color w:val="auto"/>
          <w:kern w:val="0"/>
          <w:sz w:val="24"/>
          <w:szCs w:val="18"/>
          <w:highlight w:val="none"/>
        </w:rPr>
        <w:t>（财政）</w:t>
      </w:r>
      <w:r>
        <w:rPr>
          <w:rFonts w:ascii="Arial" w:hAnsi="Arial" w:cs="Arial"/>
          <w:color w:val="auto"/>
          <w:kern w:val="0"/>
          <w:sz w:val="24"/>
          <w:szCs w:val="18"/>
          <w:highlight w:val="none"/>
        </w:rPr>
        <w:t>：</w:t>
      </w:r>
      <w:r>
        <w:rPr>
          <w:rFonts w:hint="eastAsia" w:ascii="Arial" w:hAnsi="Arial" w:cs="Arial"/>
          <w:color w:val="auto"/>
          <w:kern w:val="0"/>
          <w:sz w:val="24"/>
          <w:szCs w:val="18"/>
          <w:highlight w:val="none"/>
        </w:rPr>
        <w:t>HXCG2025-52</w:t>
      </w:r>
      <w:r>
        <w:rPr>
          <w:rFonts w:hint="eastAsia" w:ascii="Arial" w:hAnsi="Arial" w:cs="Arial"/>
          <w:color w:val="auto"/>
          <w:kern w:val="0"/>
          <w:sz w:val="24"/>
          <w:szCs w:val="18"/>
          <w:highlight w:val="none"/>
          <w:lang w:val="en-US" w:eastAsia="zh-CN"/>
        </w:rPr>
        <w:t xml:space="preserve"> </w:t>
      </w:r>
      <w:r>
        <w:rPr>
          <w:rFonts w:hint="eastAsia" w:ascii="Arial" w:hAnsi="Arial" w:cs="Arial"/>
          <w:color w:val="auto"/>
          <w:kern w:val="0"/>
          <w:sz w:val="24"/>
          <w:szCs w:val="18"/>
          <w:highlight w:val="none"/>
        </w:rPr>
        <w:t xml:space="preserve"> </w:t>
      </w:r>
    </w:p>
    <w:p w14:paraId="22E42EBB">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项目名称：</w:t>
      </w:r>
      <w:r>
        <w:rPr>
          <w:rFonts w:hint="eastAsia" w:ascii="Arial" w:hAnsi="Arial" w:cs="Arial"/>
          <w:color w:val="auto"/>
          <w:kern w:val="0"/>
          <w:sz w:val="24"/>
          <w:szCs w:val="18"/>
          <w:highlight w:val="none"/>
        </w:rPr>
        <w:t xml:space="preserve">后勤服务外包物业管理服务项目 </w:t>
      </w:r>
    </w:p>
    <w:p w14:paraId="580C82D5">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交易项目编号</w:t>
      </w:r>
      <w:r>
        <w:rPr>
          <w:rFonts w:ascii="Arial" w:hAnsi="Arial" w:cs="Arial"/>
          <w:color w:val="auto"/>
          <w:kern w:val="0"/>
          <w:sz w:val="24"/>
          <w:szCs w:val="18"/>
          <w:highlight w:val="none"/>
        </w:rPr>
        <w:t>：</w:t>
      </w:r>
      <w:r>
        <w:rPr>
          <w:rFonts w:hint="eastAsia" w:ascii="Arial" w:hAnsi="Arial" w:cs="Arial"/>
          <w:color w:val="auto"/>
          <w:kern w:val="0"/>
          <w:sz w:val="24"/>
          <w:szCs w:val="18"/>
          <w:highlight w:val="none"/>
        </w:rPr>
        <w:t xml:space="preserve">   </w:t>
      </w:r>
    </w:p>
    <w:p w14:paraId="33098AFB">
      <w:pPr>
        <w:widowControl/>
        <w:wordWrap w:val="0"/>
        <w:spacing w:line="360" w:lineRule="auto"/>
        <w:jc w:val="left"/>
        <w:rPr>
          <w:rFonts w:hint="default" w:ascii="Arial" w:hAnsi="Arial" w:eastAsia="宋体" w:cs="Arial"/>
          <w:color w:val="auto"/>
          <w:kern w:val="0"/>
          <w:sz w:val="24"/>
          <w:szCs w:val="18"/>
          <w:highlight w:val="none"/>
          <w:lang w:val="en-US" w:eastAsia="zh-CN"/>
        </w:rPr>
      </w:pPr>
      <w:r>
        <w:rPr>
          <w:rFonts w:ascii="Arial" w:hAnsi="Arial" w:cs="Arial"/>
          <w:color w:val="auto"/>
          <w:kern w:val="0"/>
          <w:sz w:val="24"/>
          <w:szCs w:val="18"/>
          <w:highlight w:val="none"/>
        </w:rPr>
        <w:t>预算金额</w:t>
      </w:r>
      <w:r>
        <w:rPr>
          <w:rFonts w:hint="eastAsia" w:ascii="Arial" w:hAnsi="Arial" w:cs="Arial"/>
          <w:color w:val="auto"/>
          <w:kern w:val="0"/>
          <w:sz w:val="24"/>
          <w:szCs w:val="18"/>
          <w:highlight w:val="none"/>
        </w:rPr>
        <w:t>（元）</w:t>
      </w:r>
      <w:r>
        <w:rPr>
          <w:rFonts w:ascii="Arial" w:hAnsi="Arial" w:cs="Arial"/>
          <w:color w:val="auto"/>
          <w:kern w:val="0"/>
          <w:sz w:val="24"/>
          <w:szCs w:val="18"/>
          <w:highlight w:val="none"/>
        </w:rPr>
        <w:t>：</w:t>
      </w:r>
      <w:r>
        <w:rPr>
          <w:rFonts w:hint="eastAsia" w:ascii="Arial" w:hAnsi="Arial" w:cs="Arial"/>
          <w:color w:val="auto"/>
          <w:kern w:val="0"/>
          <w:sz w:val="24"/>
          <w:szCs w:val="18"/>
          <w:highlight w:val="none"/>
          <w:lang w:val="en-US" w:eastAsia="zh-CN"/>
        </w:rPr>
        <w:t>19810800.00</w:t>
      </w:r>
    </w:p>
    <w:p w14:paraId="365F7CD0">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最高限价</w:t>
      </w:r>
      <w:r>
        <w:rPr>
          <w:rFonts w:hint="eastAsia" w:ascii="Arial" w:hAnsi="Arial" w:cs="Arial"/>
          <w:color w:val="auto"/>
          <w:kern w:val="0"/>
          <w:sz w:val="24"/>
          <w:szCs w:val="18"/>
          <w:highlight w:val="none"/>
        </w:rPr>
        <w:t>（元）</w:t>
      </w:r>
      <w:r>
        <w:rPr>
          <w:rFonts w:ascii="Arial" w:hAnsi="Arial" w:cs="Arial"/>
          <w:color w:val="auto"/>
          <w:kern w:val="0"/>
          <w:sz w:val="24"/>
          <w:szCs w:val="18"/>
          <w:highlight w:val="none"/>
        </w:rPr>
        <w:t>：</w:t>
      </w:r>
      <w:r>
        <w:rPr>
          <w:rFonts w:hint="eastAsia" w:ascii="Arial" w:hAnsi="Arial" w:cs="Arial"/>
          <w:color w:val="auto"/>
          <w:kern w:val="0"/>
          <w:sz w:val="24"/>
          <w:szCs w:val="18"/>
          <w:highlight w:val="none"/>
          <w:lang w:val="en-US" w:eastAsia="zh-CN"/>
        </w:rPr>
        <w:t>19810800.00</w:t>
      </w:r>
    </w:p>
    <w:p w14:paraId="1705D0E7">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采购需求：</w:t>
      </w:r>
    </w:p>
    <w:p w14:paraId="28A01B52">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标项1</w:t>
      </w:r>
    </w:p>
    <w:p w14:paraId="3CEA7741">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标项名称:后勤服务外包物业管理服务项目</w:t>
      </w:r>
    </w:p>
    <w:p w14:paraId="27D5A01A">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数量: 不限</w:t>
      </w:r>
    </w:p>
    <w:p w14:paraId="60E9E242">
      <w:pPr>
        <w:widowControl/>
        <w:wordWrap w:val="0"/>
        <w:spacing w:line="360" w:lineRule="auto"/>
        <w:jc w:val="left"/>
        <w:rPr>
          <w:rFonts w:ascii="Arial" w:hAnsi="Arial" w:cs="Arial"/>
          <w:color w:val="auto"/>
          <w:kern w:val="0"/>
          <w:sz w:val="24"/>
          <w:szCs w:val="18"/>
          <w:highlight w:val="none"/>
          <w:u w:val="single"/>
        </w:rPr>
      </w:pPr>
      <w:r>
        <w:rPr>
          <w:rFonts w:hint="eastAsia" w:ascii="Arial" w:hAnsi="Arial" w:cs="Arial"/>
          <w:color w:val="auto"/>
          <w:kern w:val="0"/>
          <w:sz w:val="24"/>
          <w:szCs w:val="18"/>
          <w:highlight w:val="none"/>
        </w:rPr>
        <w:t>预算金额（元）：</w:t>
      </w:r>
      <w:r>
        <w:rPr>
          <w:rFonts w:hint="eastAsia" w:ascii="Arial" w:hAnsi="Arial" w:cs="Arial"/>
          <w:color w:val="auto"/>
          <w:kern w:val="0"/>
          <w:sz w:val="24"/>
          <w:szCs w:val="18"/>
          <w:highlight w:val="none"/>
          <w:lang w:val="en-US" w:eastAsia="zh-CN"/>
        </w:rPr>
        <w:t>19810800.00</w:t>
      </w:r>
    </w:p>
    <w:p w14:paraId="66FF7704">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 xml:space="preserve">简要规格描述：详见采购文件 </w:t>
      </w:r>
    </w:p>
    <w:p w14:paraId="1320142C">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备注：合同履约期限：</w:t>
      </w:r>
      <w:r>
        <w:rPr>
          <w:rFonts w:hint="eastAsia" w:ascii="Arial" w:hAnsi="Arial" w:cs="Arial"/>
          <w:color w:val="auto"/>
          <w:kern w:val="0"/>
          <w:sz w:val="24"/>
          <w:szCs w:val="18"/>
          <w:highlight w:val="none"/>
          <w:lang w:val="en-US" w:eastAsia="zh-CN"/>
        </w:rPr>
        <w:t>3</w:t>
      </w:r>
      <w:r>
        <w:rPr>
          <w:rFonts w:hint="eastAsia" w:ascii="Arial" w:hAnsi="Arial" w:cs="Arial"/>
          <w:color w:val="auto"/>
          <w:kern w:val="0"/>
          <w:sz w:val="24"/>
          <w:szCs w:val="18"/>
          <w:highlight w:val="none"/>
        </w:rPr>
        <w:t>年。</w:t>
      </w:r>
    </w:p>
    <w:p w14:paraId="68B2ED23">
      <w:pPr>
        <w:widowControl/>
        <w:wordWrap w:val="0"/>
        <w:spacing w:line="360" w:lineRule="auto"/>
        <w:jc w:val="left"/>
        <w:rPr>
          <w:rFonts w:ascii="宋体" w:hAnsi="宋体" w:cs="宋体"/>
          <w:color w:val="auto"/>
          <w:sz w:val="24"/>
          <w:highlight w:val="none"/>
          <w:shd w:val="clear" w:color="auto" w:fill="FFFFFF"/>
        </w:rPr>
      </w:pPr>
      <w:r>
        <w:rPr>
          <w:rFonts w:hint="eastAsia" w:ascii="Arial" w:hAnsi="Arial" w:cs="Arial"/>
          <w:color w:val="auto"/>
          <w:kern w:val="0"/>
          <w:sz w:val="24"/>
          <w:szCs w:val="18"/>
          <w:highlight w:val="none"/>
        </w:rPr>
        <w:t>本项目（是/否）接受联合体投标</w:t>
      </w:r>
      <w:r>
        <w:rPr>
          <w:rFonts w:hint="eastAsia" w:ascii="宋体" w:hAnsi="宋体" w:cs="宋体"/>
          <w:color w:val="auto"/>
          <w:sz w:val="24"/>
          <w:highlight w:val="none"/>
          <w:shd w:val="clear" w:color="auto" w:fill="FFFFFF"/>
        </w:rPr>
        <w:t>：否</w:t>
      </w:r>
    </w:p>
    <w:p w14:paraId="5ADBF4D7">
      <w:pPr>
        <w:widowControl/>
        <w:numPr>
          <w:ilvl w:val="0"/>
          <w:numId w:val="2"/>
        </w:numPr>
        <w:wordWrap w:val="0"/>
        <w:spacing w:line="360" w:lineRule="auto"/>
        <w:jc w:val="left"/>
        <w:rPr>
          <w:rFonts w:ascii="Arial" w:hAnsi="Arial" w:cs="Arial"/>
          <w:b/>
          <w:bCs/>
          <w:color w:val="auto"/>
          <w:kern w:val="0"/>
          <w:sz w:val="24"/>
          <w:szCs w:val="18"/>
          <w:highlight w:val="none"/>
        </w:rPr>
      </w:pPr>
      <w:r>
        <w:rPr>
          <w:rFonts w:ascii="Arial" w:hAnsi="Arial" w:cs="Arial"/>
          <w:b/>
          <w:bCs/>
          <w:color w:val="auto"/>
          <w:kern w:val="0"/>
          <w:sz w:val="24"/>
          <w:szCs w:val="18"/>
          <w:highlight w:val="none"/>
        </w:rPr>
        <w:t>申请人的资格要求：</w:t>
      </w:r>
    </w:p>
    <w:p w14:paraId="2B412A3B">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1.满足《中华人民共和国政府采购法》第二十二条规定；</w:t>
      </w:r>
    </w:p>
    <w:p w14:paraId="3908F743">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2.落实政府采购政策需满足的资格要求：</w:t>
      </w:r>
    </w:p>
    <w:p w14:paraId="7A62E133">
      <w:pPr>
        <w:widowControl/>
        <w:wordWrap w:val="0"/>
        <w:spacing w:line="360" w:lineRule="auto"/>
        <w:jc w:val="left"/>
        <w:rPr>
          <w:rFonts w:hint="eastAsia" w:ascii="Arial" w:hAnsi="Arial" w:eastAsia="宋体" w:cs="Arial"/>
          <w:color w:val="auto"/>
          <w:kern w:val="0"/>
          <w:sz w:val="24"/>
          <w:szCs w:val="18"/>
          <w:highlight w:val="none"/>
          <w:lang w:val="en-US" w:eastAsia="zh-CN"/>
        </w:rPr>
      </w:pPr>
      <w:r>
        <w:rPr>
          <w:rFonts w:hint="eastAsia" w:ascii="Arial" w:hAnsi="Arial" w:cs="Arial"/>
          <w:color w:val="auto"/>
          <w:kern w:val="0"/>
          <w:sz w:val="24"/>
          <w:szCs w:val="18"/>
          <w:highlight w:val="none"/>
        </w:rPr>
        <w:t xml:space="preserve">标项1: </w:t>
      </w:r>
      <w:r>
        <w:rPr>
          <w:rFonts w:hint="eastAsia" w:ascii="Arial" w:hAnsi="Arial" w:cs="Arial"/>
          <w:color w:val="auto"/>
          <w:kern w:val="0"/>
          <w:sz w:val="24"/>
          <w:szCs w:val="18"/>
          <w:highlight w:val="none"/>
          <w:lang w:val="en-US" w:eastAsia="zh-CN"/>
        </w:rPr>
        <w:t>其他：</w:t>
      </w:r>
    </w:p>
    <w:p w14:paraId="31874987">
      <w:pPr>
        <w:widowControl/>
        <w:numPr>
          <w:ilvl w:val="0"/>
          <w:numId w:val="3"/>
        </w:numPr>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一般资格要求:</w:t>
      </w:r>
    </w:p>
    <w:p w14:paraId="4D21E079">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标项1</w:t>
      </w:r>
    </w:p>
    <w:p w14:paraId="22DC49E3">
      <w:pPr>
        <w:widowControl/>
        <w:wordWrap w:val="0"/>
        <w:spacing w:line="360" w:lineRule="auto"/>
        <w:jc w:val="left"/>
        <w:rPr>
          <w:color w:val="auto"/>
          <w:highlight w:val="none"/>
        </w:rPr>
      </w:pPr>
      <w:r>
        <w:rPr>
          <w:rFonts w:hint="eastAsia"/>
          <w:color w:val="auto"/>
          <w:highlight w:val="none"/>
        </w:rPr>
        <w:t>（一）</w:t>
      </w:r>
      <w:r>
        <w:rPr>
          <w:rFonts w:hint="eastAsia" w:ascii="Arial" w:hAnsi="Arial" w:cs="Arial"/>
          <w:color w:val="auto"/>
          <w:kern w:val="0"/>
          <w:sz w:val="24"/>
          <w:szCs w:val="18"/>
          <w:highlight w:val="none"/>
        </w:rPr>
        <w:t>符合政府采购法第二十二条规定，提供政府采购法实施条例第十七条规定资料。1.具有独立承担民事责任的能力：提供法人或其他组织的营业执照等证明文件，或自然人身份证明；2.具有良好的商业信誉和健全的财务会计制度：提供</w:t>
      </w:r>
      <w:r>
        <w:rPr>
          <w:rFonts w:hint="eastAsia" w:ascii="Arial" w:hAnsi="Arial" w:cs="Arial"/>
          <w:color w:val="auto"/>
          <w:kern w:val="0"/>
          <w:sz w:val="24"/>
          <w:szCs w:val="18"/>
          <w:highlight w:val="none"/>
          <w:lang w:val="en-US" w:eastAsia="zh-CN"/>
        </w:rPr>
        <w:t>2024</w:t>
      </w:r>
      <w:r>
        <w:rPr>
          <w:rFonts w:hint="eastAsia" w:ascii="Arial" w:hAnsi="Arial" w:cs="Arial"/>
          <w:color w:val="auto"/>
          <w:kern w:val="0"/>
          <w:sz w:val="24"/>
          <w:szCs w:val="18"/>
          <w:highlight w:val="none"/>
        </w:rPr>
        <w:t>年度经合法审计机构出具的财务审计报告，或由基本开户银行出具的</w:t>
      </w:r>
      <w:r>
        <w:rPr>
          <w:rFonts w:hint="eastAsia" w:ascii="Arial" w:hAnsi="Arial" w:cs="Arial"/>
          <w:color w:val="auto"/>
          <w:kern w:val="0"/>
          <w:sz w:val="24"/>
          <w:szCs w:val="18"/>
          <w:highlight w:val="none"/>
          <w:lang w:val="en-US" w:eastAsia="zh-CN"/>
        </w:rPr>
        <w:t>2025年有效的</w:t>
      </w:r>
      <w:r>
        <w:rPr>
          <w:rFonts w:hint="eastAsia" w:ascii="Arial" w:hAnsi="Arial" w:cs="Arial"/>
          <w:color w:val="auto"/>
          <w:kern w:val="0"/>
          <w:sz w:val="24"/>
          <w:szCs w:val="18"/>
          <w:highlight w:val="none"/>
        </w:rPr>
        <w:t>资信证明。3.具有履行合同所必需的设备和专业技术能力：提供具备履行合同所必需的设备和专业技术能力的证明材料（供应商自行承诺，格式自拟）；4.具有依法缴纳税收和社会保障资金的良好记录：提供202</w:t>
      </w:r>
      <w:r>
        <w:rPr>
          <w:rFonts w:hint="eastAsia" w:ascii="Arial" w:hAnsi="Arial" w:cs="Arial"/>
          <w:color w:val="auto"/>
          <w:kern w:val="0"/>
          <w:sz w:val="24"/>
          <w:szCs w:val="18"/>
          <w:highlight w:val="none"/>
          <w:lang w:val="en-US" w:eastAsia="zh-CN"/>
        </w:rPr>
        <w:t>5</w:t>
      </w:r>
      <w:r>
        <w:rPr>
          <w:rFonts w:hint="eastAsia" w:ascii="Arial" w:hAnsi="Arial" w:cs="Arial"/>
          <w:color w:val="auto"/>
          <w:kern w:val="0"/>
          <w:sz w:val="24"/>
          <w:szCs w:val="18"/>
          <w:highlight w:val="none"/>
        </w:rPr>
        <w:t>年至今任意1个月依法缴纳税收和社会保障资金的有效证明材料（不需要缴纳税收的提供相关证明材料）；5.参加本次政府采购活动前三年内，在经营活动中没有违法违规记录：提供参加政府采购活动前3年内在经营活动中没有重大违法记录的书面声明（格式文件详见投标文件范本）；6.法律、行政法规规定的其他条件：A.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p w14:paraId="2A65E5E9">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 xml:space="preserve">2. 特殊资格要求：标项1：无； </w:t>
      </w:r>
    </w:p>
    <w:p w14:paraId="4FAA88DA">
      <w:pPr>
        <w:widowControl/>
        <w:wordWrap w:val="0"/>
        <w:spacing w:line="360" w:lineRule="auto"/>
        <w:jc w:val="left"/>
        <w:rPr>
          <w:rFonts w:ascii="Arial" w:hAnsi="Arial" w:cs="Arial"/>
          <w:b/>
          <w:bCs/>
          <w:color w:val="auto"/>
          <w:kern w:val="0"/>
          <w:sz w:val="24"/>
          <w:szCs w:val="18"/>
          <w:highlight w:val="none"/>
        </w:rPr>
      </w:pPr>
      <w:r>
        <w:rPr>
          <w:rFonts w:ascii="Arial" w:hAnsi="Arial" w:cs="Arial"/>
          <w:b/>
          <w:bCs/>
          <w:color w:val="auto"/>
          <w:kern w:val="0"/>
          <w:sz w:val="24"/>
          <w:szCs w:val="18"/>
          <w:highlight w:val="none"/>
        </w:rPr>
        <w:t>三、获取采购文件</w:t>
      </w:r>
    </w:p>
    <w:p w14:paraId="13CE4AB8">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时间：202</w:t>
      </w:r>
      <w:r>
        <w:rPr>
          <w:rFonts w:hint="eastAsia" w:ascii="Arial" w:hAnsi="Arial" w:cs="Arial"/>
          <w:color w:val="auto"/>
          <w:kern w:val="0"/>
          <w:sz w:val="24"/>
          <w:szCs w:val="18"/>
          <w:highlight w:val="none"/>
          <w:lang w:val="en-US" w:eastAsia="zh-CN"/>
        </w:rPr>
        <w:t>5</w:t>
      </w:r>
      <w:r>
        <w:rPr>
          <w:rFonts w:hint="eastAsia" w:ascii="Arial" w:hAnsi="Arial" w:cs="Arial"/>
          <w:color w:val="auto"/>
          <w:kern w:val="0"/>
          <w:sz w:val="24"/>
          <w:szCs w:val="18"/>
          <w:highlight w:val="none"/>
        </w:rPr>
        <w:t>年0</w:t>
      </w:r>
      <w:r>
        <w:rPr>
          <w:rFonts w:hint="eastAsia" w:ascii="Arial" w:hAnsi="Arial" w:cs="Arial"/>
          <w:color w:val="auto"/>
          <w:kern w:val="0"/>
          <w:sz w:val="24"/>
          <w:szCs w:val="18"/>
          <w:highlight w:val="none"/>
          <w:lang w:val="en-US" w:eastAsia="zh-CN"/>
        </w:rPr>
        <w:t>7</w:t>
      </w:r>
      <w:r>
        <w:rPr>
          <w:rFonts w:hint="eastAsia" w:ascii="Arial" w:hAnsi="Arial" w:cs="Arial"/>
          <w:color w:val="auto"/>
          <w:kern w:val="0"/>
          <w:sz w:val="24"/>
          <w:szCs w:val="18"/>
          <w:highlight w:val="none"/>
        </w:rPr>
        <w:t>月  日 至 202</w:t>
      </w:r>
      <w:r>
        <w:rPr>
          <w:rFonts w:hint="eastAsia" w:ascii="Arial" w:hAnsi="Arial" w:cs="Arial"/>
          <w:color w:val="auto"/>
          <w:kern w:val="0"/>
          <w:sz w:val="24"/>
          <w:szCs w:val="18"/>
          <w:highlight w:val="none"/>
          <w:lang w:val="en-US" w:eastAsia="zh-CN"/>
        </w:rPr>
        <w:t>5</w:t>
      </w:r>
      <w:r>
        <w:rPr>
          <w:rFonts w:hint="eastAsia" w:ascii="Arial" w:hAnsi="Arial" w:cs="Arial"/>
          <w:color w:val="auto"/>
          <w:kern w:val="0"/>
          <w:sz w:val="24"/>
          <w:szCs w:val="18"/>
          <w:highlight w:val="none"/>
        </w:rPr>
        <w:t>年0</w:t>
      </w:r>
      <w:r>
        <w:rPr>
          <w:rFonts w:hint="eastAsia" w:ascii="Arial" w:hAnsi="Arial" w:cs="Arial"/>
          <w:color w:val="auto"/>
          <w:kern w:val="0"/>
          <w:sz w:val="24"/>
          <w:szCs w:val="18"/>
          <w:highlight w:val="none"/>
          <w:lang w:val="en-US" w:eastAsia="zh-CN"/>
        </w:rPr>
        <w:t>7</w:t>
      </w:r>
      <w:r>
        <w:rPr>
          <w:rFonts w:hint="eastAsia" w:ascii="Arial" w:hAnsi="Arial" w:cs="Arial"/>
          <w:color w:val="auto"/>
          <w:kern w:val="0"/>
          <w:sz w:val="24"/>
          <w:szCs w:val="18"/>
          <w:highlight w:val="none"/>
        </w:rPr>
        <w:t>月  日 ，每天上午00:00至11:59 ，下午12:00至23:59（北京时间，法定节假日除外）</w:t>
      </w:r>
    </w:p>
    <w:p w14:paraId="18B7C436">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地点：贵州省公共资源交易中心网上获取（交易中心网址：https://ggzy.guizhou.gov.cn/）</w:t>
      </w:r>
    </w:p>
    <w:p w14:paraId="0CB00E37">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方式：贵州省公共资源交易网-&gt;网上交易大厅-&gt;文件下载板块（交易中心网址：https://ggzy.guizhou.gov.cn/）</w:t>
      </w:r>
    </w:p>
    <w:p w14:paraId="527287FC">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售价：</w:t>
      </w:r>
      <w:r>
        <w:rPr>
          <w:rFonts w:hint="eastAsia" w:ascii="Arial" w:hAnsi="Arial" w:cs="Arial"/>
          <w:color w:val="auto"/>
          <w:kern w:val="0"/>
          <w:sz w:val="24"/>
          <w:szCs w:val="18"/>
          <w:highlight w:val="none"/>
        </w:rPr>
        <w:t>0</w:t>
      </w:r>
    </w:p>
    <w:p w14:paraId="1BD557B0">
      <w:pPr>
        <w:widowControl/>
        <w:numPr>
          <w:ilvl w:val="0"/>
          <w:numId w:val="2"/>
        </w:numPr>
        <w:wordWrap w:val="0"/>
        <w:spacing w:line="360" w:lineRule="auto"/>
        <w:jc w:val="left"/>
        <w:rPr>
          <w:rFonts w:ascii="Arial" w:hAnsi="Arial" w:cs="Arial"/>
          <w:b/>
          <w:bCs/>
          <w:color w:val="auto"/>
          <w:kern w:val="0"/>
          <w:sz w:val="24"/>
          <w:szCs w:val="18"/>
          <w:highlight w:val="none"/>
        </w:rPr>
      </w:pPr>
      <w:r>
        <w:rPr>
          <w:rFonts w:ascii="Arial" w:hAnsi="Arial" w:cs="Arial"/>
          <w:b/>
          <w:bCs/>
          <w:color w:val="auto"/>
          <w:kern w:val="0"/>
          <w:sz w:val="24"/>
          <w:szCs w:val="18"/>
          <w:highlight w:val="none"/>
        </w:rPr>
        <w:t>提交投标文件截止时间、开标时间和地点</w:t>
      </w:r>
    </w:p>
    <w:p w14:paraId="356BFFC0">
      <w:pPr>
        <w:pStyle w:val="19"/>
        <w:widowControl/>
        <w:shd w:val="clear" w:color="auto" w:fill="FFFFFF"/>
        <w:spacing w:before="0" w:beforeAutospacing="0" w:after="0" w:afterAutospacing="0" w:line="540" w:lineRule="atLeast"/>
        <w:jc w:val="left"/>
        <w:rPr>
          <w:rFonts w:ascii="Arial" w:hAnsi="Arial" w:cs="Arial"/>
          <w:color w:val="auto"/>
          <w:kern w:val="0"/>
          <w:szCs w:val="18"/>
          <w:highlight w:val="none"/>
        </w:rPr>
      </w:pPr>
      <w:r>
        <w:rPr>
          <w:rFonts w:hint="eastAsia" w:ascii="Arial" w:hAnsi="Arial" w:cs="Arial"/>
          <w:color w:val="auto"/>
          <w:kern w:val="0"/>
          <w:szCs w:val="18"/>
          <w:highlight w:val="none"/>
        </w:rPr>
        <w:t>提交投标文件截止时间：202</w:t>
      </w:r>
      <w:r>
        <w:rPr>
          <w:rFonts w:hint="eastAsia" w:ascii="Arial" w:hAnsi="Arial" w:cs="Arial"/>
          <w:color w:val="auto"/>
          <w:kern w:val="0"/>
          <w:szCs w:val="18"/>
          <w:highlight w:val="none"/>
          <w:lang w:val="en-US" w:eastAsia="zh-CN"/>
        </w:rPr>
        <w:t>5</w:t>
      </w:r>
      <w:r>
        <w:rPr>
          <w:rFonts w:hint="eastAsia" w:ascii="Arial" w:hAnsi="Arial" w:cs="Arial"/>
          <w:color w:val="auto"/>
          <w:kern w:val="0"/>
          <w:szCs w:val="18"/>
          <w:highlight w:val="none"/>
        </w:rPr>
        <w:t>年0</w:t>
      </w:r>
      <w:r>
        <w:rPr>
          <w:rFonts w:hint="eastAsia" w:ascii="Arial" w:hAnsi="Arial" w:cs="Arial"/>
          <w:color w:val="auto"/>
          <w:kern w:val="0"/>
          <w:szCs w:val="18"/>
          <w:highlight w:val="none"/>
          <w:lang w:val="en-US" w:eastAsia="zh-CN"/>
        </w:rPr>
        <w:t>8</w:t>
      </w:r>
      <w:r>
        <w:rPr>
          <w:rFonts w:hint="eastAsia" w:ascii="Arial" w:hAnsi="Arial" w:cs="Arial"/>
          <w:color w:val="auto"/>
          <w:kern w:val="0"/>
          <w:szCs w:val="18"/>
          <w:highlight w:val="none"/>
        </w:rPr>
        <w:t>月  日  时30分 （北京时间）</w:t>
      </w:r>
    </w:p>
    <w:p w14:paraId="59AE2894">
      <w:pPr>
        <w:pStyle w:val="19"/>
        <w:widowControl/>
        <w:shd w:val="clear" w:color="auto" w:fill="FFFFFF"/>
        <w:spacing w:before="0" w:beforeAutospacing="0" w:after="0" w:afterAutospacing="0" w:line="540" w:lineRule="atLeast"/>
        <w:jc w:val="left"/>
        <w:rPr>
          <w:rFonts w:ascii="Arial" w:hAnsi="Arial" w:cs="Arial"/>
          <w:color w:val="auto"/>
          <w:kern w:val="0"/>
          <w:szCs w:val="18"/>
          <w:highlight w:val="none"/>
        </w:rPr>
      </w:pPr>
      <w:r>
        <w:rPr>
          <w:rFonts w:hint="eastAsia" w:ascii="Arial" w:hAnsi="Arial" w:cs="Arial"/>
          <w:color w:val="auto"/>
          <w:kern w:val="0"/>
          <w:szCs w:val="18"/>
          <w:highlight w:val="none"/>
        </w:rPr>
        <w:t>投标地点（网址）：贵州省公共资源交易中心网（交易中心网址：https://ggzy.guizhou.gov.cn/）</w:t>
      </w:r>
    </w:p>
    <w:p w14:paraId="2A27616A">
      <w:pPr>
        <w:pStyle w:val="19"/>
        <w:widowControl/>
        <w:shd w:val="clear" w:color="auto" w:fill="FFFFFF"/>
        <w:spacing w:before="0" w:beforeAutospacing="0" w:after="0" w:afterAutospacing="0" w:line="540" w:lineRule="atLeast"/>
        <w:jc w:val="left"/>
        <w:rPr>
          <w:rFonts w:ascii="Arial" w:hAnsi="Arial" w:cs="Arial"/>
          <w:color w:val="auto"/>
          <w:kern w:val="0"/>
          <w:szCs w:val="18"/>
          <w:highlight w:val="none"/>
        </w:rPr>
      </w:pPr>
      <w:r>
        <w:rPr>
          <w:rFonts w:hint="eastAsia" w:ascii="Arial" w:hAnsi="Arial" w:cs="Arial"/>
          <w:color w:val="auto"/>
          <w:kern w:val="0"/>
          <w:szCs w:val="18"/>
          <w:highlight w:val="none"/>
        </w:rPr>
        <w:t>开标时间：202</w:t>
      </w:r>
      <w:r>
        <w:rPr>
          <w:rFonts w:hint="eastAsia" w:ascii="Arial" w:hAnsi="Arial" w:cs="Arial"/>
          <w:color w:val="auto"/>
          <w:kern w:val="0"/>
          <w:szCs w:val="18"/>
          <w:highlight w:val="none"/>
          <w:lang w:val="en-US" w:eastAsia="zh-CN"/>
        </w:rPr>
        <w:t>5</w:t>
      </w:r>
      <w:r>
        <w:rPr>
          <w:rFonts w:hint="eastAsia" w:ascii="Arial" w:hAnsi="Arial" w:cs="Arial"/>
          <w:color w:val="auto"/>
          <w:kern w:val="0"/>
          <w:szCs w:val="18"/>
          <w:highlight w:val="none"/>
        </w:rPr>
        <w:t>年0</w:t>
      </w:r>
      <w:r>
        <w:rPr>
          <w:rFonts w:hint="eastAsia" w:ascii="Arial" w:hAnsi="Arial" w:cs="Arial"/>
          <w:color w:val="auto"/>
          <w:kern w:val="0"/>
          <w:szCs w:val="18"/>
          <w:highlight w:val="none"/>
          <w:lang w:val="en-US" w:eastAsia="zh-CN"/>
        </w:rPr>
        <w:t>8</w:t>
      </w:r>
      <w:r>
        <w:rPr>
          <w:rFonts w:hint="eastAsia" w:ascii="Arial" w:hAnsi="Arial" w:cs="Arial"/>
          <w:color w:val="auto"/>
          <w:kern w:val="0"/>
          <w:szCs w:val="18"/>
          <w:highlight w:val="none"/>
        </w:rPr>
        <w:t>月  日   时30分</w:t>
      </w:r>
    </w:p>
    <w:p w14:paraId="7BEB690B">
      <w:pPr>
        <w:pStyle w:val="19"/>
        <w:widowControl/>
        <w:shd w:val="clear" w:color="auto" w:fill="FFFFFF"/>
        <w:spacing w:before="0" w:beforeAutospacing="0" w:after="0" w:afterAutospacing="0" w:line="540" w:lineRule="atLeast"/>
        <w:jc w:val="left"/>
        <w:rPr>
          <w:rFonts w:ascii="Arial" w:hAnsi="Arial" w:cs="Arial"/>
          <w:color w:val="auto"/>
          <w:kern w:val="0"/>
          <w:szCs w:val="18"/>
          <w:highlight w:val="none"/>
        </w:rPr>
      </w:pPr>
      <w:r>
        <w:rPr>
          <w:rFonts w:hint="eastAsia" w:ascii="Arial" w:hAnsi="Arial" w:cs="Arial"/>
          <w:color w:val="auto"/>
          <w:kern w:val="0"/>
          <w:szCs w:val="18"/>
          <w:highlight w:val="none"/>
        </w:rPr>
        <w:t>开标地点：贵州省公共资源交易中心</w:t>
      </w:r>
    </w:p>
    <w:p w14:paraId="2BCCED16">
      <w:pPr>
        <w:widowControl/>
        <w:wordWrap w:val="0"/>
        <w:spacing w:line="360" w:lineRule="auto"/>
        <w:jc w:val="left"/>
        <w:rPr>
          <w:rFonts w:ascii="Arial" w:hAnsi="Arial" w:cs="Arial"/>
          <w:b/>
          <w:bCs/>
          <w:color w:val="auto"/>
          <w:kern w:val="0"/>
          <w:sz w:val="24"/>
          <w:szCs w:val="18"/>
          <w:highlight w:val="none"/>
        </w:rPr>
      </w:pPr>
      <w:r>
        <w:rPr>
          <w:rFonts w:ascii="Arial" w:hAnsi="Arial" w:cs="Arial"/>
          <w:b/>
          <w:bCs/>
          <w:color w:val="auto"/>
          <w:kern w:val="0"/>
          <w:sz w:val="24"/>
          <w:szCs w:val="18"/>
          <w:highlight w:val="none"/>
        </w:rPr>
        <w:t>五、公告期限</w:t>
      </w:r>
    </w:p>
    <w:p w14:paraId="34B5F2FE">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自本公告发布之日起5个工作日。</w:t>
      </w:r>
    </w:p>
    <w:p w14:paraId="36BBA355">
      <w:pPr>
        <w:widowControl/>
        <w:wordWrap w:val="0"/>
        <w:spacing w:line="360" w:lineRule="auto"/>
        <w:jc w:val="left"/>
        <w:rPr>
          <w:rFonts w:ascii="Arial" w:hAnsi="Arial" w:cs="Arial"/>
          <w:b/>
          <w:bCs/>
          <w:color w:val="auto"/>
          <w:kern w:val="0"/>
          <w:sz w:val="24"/>
          <w:szCs w:val="18"/>
          <w:highlight w:val="none"/>
        </w:rPr>
      </w:pPr>
      <w:r>
        <w:rPr>
          <w:rFonts w:ascii="Arial" w:hAnsi="Arial" w:cs="Arial"/>
          <w:b/>
          <w:bCs/>
          <w:color w:val="auto"/>
          <w:kern w:val="0"/>
          <w:sz w:val="24"/>
          <w:szCs w:val="18"/>
          <w:highlight w:val="none"/>
        </w:rPr>
        <w:t>六、其他补充事宜</w:t>
      </w:r>
    </w:p>
    <w:p w14:paraId="697430BB">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1. 是否需要提交样品或现场踏勘：</w:t>
      </w:r>
    </w:p>
    <w:p w14:paraId="3F11E991">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标项</w:t>
      </w:r>
      <w:r>
        <w:rPr>
          <w:rFonts w:ascii="Arial" w:hAnsi="Arial" w:cs="Arial"/>
          <w:color w:val="auto"/>
          <w:kern w:val="0"/>
          <w:sz w:val="24"/>
          <w:szCs w:val="18"/>
          <w:highlight w:val="none"/>
        </w:rPr>
        <w:t>1</w:t>
      </w:r>
      <w:r>
        <w:rPr>
          <w:rFonts w:hint="eastAsia" w:ascii="Arial" w:hAnsi="Arial" w:cs="Arial"/>
          <w:color w:val="auto"/>
          <w:kern w:val="0"/>
          <w:sz w:val="24"/>
          <w:szCs w:val="18"/>
          <w:highlight w:val="none"/>
        </w:rPr>
        <w:t xml:space="preserve">:否 </w:t>
      </w:r>
    </w:p>
    <w:p w14:paraId="120A8D98">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2.交货地点或服务地点</w:t>
      </w:r>
    </w:p>
    <w:p w14:paraId="70A3B78E">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标项</w:t>
      </w:r>
      <w:r>
        <w:rPr>
          <w:rFonts w:ascii="Arial" w:hAnsi="Arial" w:cs="Arial"/>
          <w:color w:val="auto"/>
          <w:kern w:val="0"/>
          <w:sz w:val="24"/>
          <w:szCs w:val="18"/>
          <w:highlight w:val="none"/>
        </w:rPr>
        <w:t>1</w:t>
      </w:r>
      <w:r>
        <w:rPr>
          <w:rFonts w:hint="eastAsia" w:ascii="Arial" w:hAnsi="Arial" w:cs="Arial"/>
          <w:color w:val="auto"/>
          <w:kern w:val="0"/>
          <w:sz w:val="24"/>
          <w:szCs w:val="18"/>
          <w:highlight w:val="none"/>
        </w:rPr>
        <w:t>：详见采购文件</w:t>
      </w:r>
    </w:p>
    <w:p w14:paraId="12F0874A">
      <w:pPr>
        <w:widowControl/>
        <w:wordWrap w:val="0"/>
        <w:spacing w:line="360" w:lineRule="auto"/>
        <w:jc w:val="left"/>
        <w:rPr>
          <w:rFonts w:hint="eastAsia" w:ascii="Arial" w:hAnsi="Arial" w:eastAsia="宋体" w:cs="Arial"/>
          <w:color w:val="auto"/>
          <w:kern w:val="0"/>
          <w:sz w:val="24"/>
          <w:szCs w:val="18"/>
          <w:highlight w:val="none"/>
          <w:lang w:eastAsia="zh-CN"/>
        </w:rPr>
      </w:pPr>
      <w:r>
        <w:rPr>
          <w:rFonts w:hint="eastAsia" w:ascii="Arial" w:hAnsi="Arial" w:cs="Arial"/>
          <w:color w:val="auto"/>
          <w:kern w:val="0"/>
          <w:sz w:val="24"/>
          <w:szCs w:val="18"/>
          <w:highlight w:val="none"/>
        </w:rPr>
        <w:t>3.其他事项：</w:t>
      </w:r>
      <w:r>
        <w:rPr>
          <w:rFonts w:hint="eastAsia" w:ascii="Arial" w:hAnsi="Arial" w:cs="Arial"/>
          <w:color w:val="auto"/>
          <w:kern w:val="0"/>
          <w:sz w:val="24"/>
          <w:szCs w:val="18"/>
          <w:highlight w:val="none"/>
          <w:lang w:val="en-US" w:eastAsia="zh-CN"/>
        </w:rPr>
        <w:t>无</w:t>
      </w:r>
    </w:p>
    <w:p w14:paraId="3ADAB2AF">
      <w:pPr>
        <w:widowControl/>
        <w:wordWrap w:val="0"/>
        <w:spacing w:line="360" w:lineRule="auto"/>
        <w:jc w:val="left"/>
        <w:rPr>
          <w:rFonts w:ascii="Arial" w:hAnsi="Arial" w:cs="Arial"/>
          <w:b/>
          <w:bCs/>
          <w:color w:val="auto"/>
          <w:kern w:val="0"/>
          <w:sz w:val="24"/>
          <w:szCs w:val="18"/>
          <w:highlight w:val="none"/>
        </w:rPr>
      </w:pPr>
      <w:r>
        <w:rPr>
          <w:rFonts w:ascii="Arial" w:hAnsi="Arial" w:cs="Arial"/>
          <w:b/>
          <w:bCs/>
          <w:color w:val="auto"/>
          <w:kern w:val="0"/>
          <w:sz w:val="24"/>
          <w:szCs w:val="18"/>
          <w:highlight w:val="none"/>
        </w:rPr>
        <w:t>七、对本次招标提出询问，请按以下方式联系</w:t>
      </w:r>
    </w:p>
    <w:p w14:paraId="2F1DF43A">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1. 采购人信息</w:t>
      </w:r>
    </w:p>
    <w:p w14:paraId="62F6644C">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名       称：</w:t>
      </w:r>
      <w:r>
        <w:rPr>
          <w:rFonts w:hint="eastAsia" w:ascii="Arial" w:hAnsi="Arial" w:cs="Arial"/>
          <w:color w:val="auto"/>
          <w:kern w:val="0"/>
          <w:sz w:val="24"/>
          <w:szCs w:val="18"/>
          <w:highlight w:val="none"/>
        </w:rPr>
        <w:t>中共贵州省委党校</w:t>
      </w:r>
    </w:p>
    <w:p w14:paraId="655A8981">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项目联系人：</w:t>
      </w:r>
      <w:r>
        <w:rPr>
          <w:rFonts w:hint="eastAsia" w:ascii="Arial" w:hAnsi="Arial" w:cs="Arial"/>
          <w:color w:val="auto"/>
          <w:kern w:val="0"/>
          <w:sz w:val="24"/>
          <w:szCs w:val="18"/>
          <w:highlight w:val="none"/>
        </w:rPr>
        <w:t>姚老师</w:t>
      </w:r>
    </w:p>
    <w:p w14:paraId="5DB3B588">
      <w:pPr>
        <w:widowControl/>
        <w:wordWrap w:val="0"/>
        <w:spacing w:line="360" w:lineRule="auto"/>
        <w:jc w:val="left"/>
        <w:rPr>
          <w:rFonts w:ascii="Arial" w:hAnsi="Arial" w:cs="Arial"/>
          <w:color w:val="auto"/>
          <w:kern w:val="0"/>
          <w:sz w:val="24"/>
          <w:szCs w:val="18"/>
          <w:highlight w:val="none"/>
        </w:rPr>
      </w:pPr>
      <w:r>
        <w:rPr>
          <w:rFonts w:hint="eastAsia" w:ascii="Arial" w:hAnsi="Arial" w:cs="Arial"/>
          <w:color w:val="auto"/>
          <w:kern w:val="0"/>
          <w:sz w:val="24"/>
          <w:szCs w:val="18"/>
          <w:highlight w:val="none"/>
        </w:rPr>
        <w:t xml:space="preserve">地       址：贵州省贵阳市花溪区清溪路桐木岭 </w:t>
      </w:r>
    </w:p>
    <w:p w14:paraId="7B723FA9">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联系方式：</w:t>
      </w:r>
      <w:r>
        <w:rPr>
          <w:rFonts w:hint="eastAsia" w:ascii="Arial" w:hAnsi="Arial" w:cs="Arial"/>
          <w:color w:val="auto"/>
          <w:kern w:val="0"/>
          <w:sz w:val="24"/>
          <w:szCs w:val="18"/>
          <w:highlight w:val="none"/>
        </w:rPr>
        <w:t>13765151027</w:t>
      </w:r>
    </w:p>
    <w:p w14:paraId="42F13D4A">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2. 代理机构信息（如有）</w:t>
      </w:r>
    </w:p>
    <w:p w14:paraId="0467DE9D">
      <w:pPr>
        <w:widowControl/>
        <w:wordWrap w:val="0"/>
        <w:spacing w:line="360" w:lineRule="auto"/>
        <w:jc w:val="left"/>
        <w:rPr>
          <w:rFonts w:hint="eastAsia" w:ascii="Arial" w:hAnsi="Arial" w:eastAsia="宋体" w:cs="Arial"/>
          <w:color w:val="auto"/>
          <w:kern w:val="0"/>
          <w:sz w:val="24"/>
          <w:szCs w:val="18"/>
          <w:highlight w:val="none"/>
          <w:lang w:eastAsia="zh-CN"/>
        </w:rPr>
      </w:pPr>
      <w:r>
        <w:rPr>
          <w:rFonts w:ascii="Arial" w:hAnsi="Arial" w:cs="Arial"/>
          <w:color w:val="auto"/>
          <w:kern w:val="0"/>
          <w:sz w:val="24"/>
          <w:szCs w:val="18"/>
          <w:highlight w:val="none"/>
        </w:rPr>
        <w:t>代理全称：</w:t>
      </w:r>
      <w:r>
        <w:rPr>
          <w:rFonts w:hint="eastAsia" w:ascii="Arial" w:hAnsi="Arial" w:cs="Arial"/>
          <w:color w:val="auto"/>
          <w:kern w:val="0"/>
          <w:sz w:val="24"/>
          <w:szCs w:val="18"/>
          <w:highlight w:val="none"/>
          <w:lang w:val="en-US" w:eastAsia="zh-CN"/>
        </w:rPr>
        <w:t xml:space="preserve">贵州华信水投工程咨询有限公司 </w:t>
      </w:r>
    </w:p>
    <w:p w14:paraId="14D35FB3">
      <w:pPr>
        <w:widowControl/>
        <w:wordWrap w:val="0"/>
        <w:spacing w:line="360" w:lineRule="auto"/>
        <w:jc w:val="left"/>
        <w:rPr>
          <w:rFonts w:hint="default" w:ascii="Arial" w:hAnsi="Arial" w:eastAsia="宋体" w:cs="Arial"/>
          <w:color w:val="auto"/>
          <w:kern w:val="0"/>
          <w:sz w:val="24"/>
          <w:szCs w:val="18"/>
          <w:highlight w:val="none"/>
          <w:lang w:val="en-US" w:eastAsia="zh-CN"/>
        </w:rPr>
      </w:pPr>
      <w:r>
        <w:rPr>
          <w:rFonts w:ascii="Arial" w:hAnsi="Arial" w:cs="Arial"/>
          <w:color w:val="auto"/>
          <w:kern w:val="0"/>
          <w:sz w:val="24"/>
          <w:szCs w:val="18"/>
          <w:highlight w:val="none"/>
        </w:rPr>
        <w:t>联系人：</w:t>
      </w:r>
      <w:r>
        <w:rPr>
          <w:rFonts w:hint="eastAsia" w:ascii="Arial" w:hAnsi="Arial" w:cs="Arial"/>
          <w:color w:val="auto"/>
          <w:kern w:val="0"/>
          <w:sz w:val="24"/>
          <w:szCs w:val="18"/>
          <w:highlight w:val="none"/>
          <w:lang w:val="en-US" w:eastAsia="zh-CN"/>
        </w:rPr>
        <w:t xml:space="preserve"> 冯健康、牟长玉、唐进</w:t>
      </w:r>
    </w:p>
    <w:p w14:paraId="0AA45717">
      <w:pPr>
        <w:widowControl/>
        <w:wordWrap w:val="0"/>
        <w:spacing w:line="360" w:lineRule="auto"/>
        <w:jc w:val="left"/>
        <w:rPr>
          <w:rFonts w:hint="eastAsia" w:ascii="Arial" w:hAnsi="Arial" w:eastAsia="宋体" w:cs="Arial"/>
          <w:color w:val="auto"/>
          <w:kern w:val="0"/>
          <w:sz w:val="24"/>
          <w:szCs w:val="18"/>
          <w:highlight w:val="none"/>
          <w:lang w:eastAsia="zh-CN"/>
        </w:rPr>
      </w:pPr>
      <w:r>
        <w:rPr>
          <w:rFonts w:ascii="Arial" w:hAnsi="Arial" w:cs="Arial"/>
          <w:color w:val="auto"/>
          <w:kern w:val="0"/>
          <w:sz w:val="24"/>
          <w:szCs w:val="18"/>
          <w:highlight w:val="none"/>
        </w:rPr>
        <w:t>地       址：</w:t>
      </w:r>
      <w:r>
        <w:rPr>
          <w:rFonts w:hint="eastAsia" w:ascii="Arial" w:hAnsi="Arial" w:cs="Arial"/>
          <w:color w:val="auto"/>
          <w:kern w:val="0"/>
          <w:sz w:val="24"/>
          <w:szCs w:val="18"/>
          <w:highlight w:val="none"/>
        </w:rPr>
        <w:t>贵阳市小河万科大都会写字楼 B 座 18 楼 1806 室</w:t>
      </w:r>
      <w:r>
        <w:rPr>
          <w:rFonts w:hint="eastAsia" w:ascii="Arial" w:hAnsi="Arial" w:cs="Arial"/>
          <w:color w:val="auto"/>
          <w:kern w:val="0"/>
          <w:sz w:val="24"/>
          <w:szCs w:val="18"/>
          <w:highlight w:val="none"/>
          <w:lang w:val="en-US" w:eastAsia="zh-CN"/>
        </w:rPr>
        <w:t xml:space="preserve"> </w:t>
      </w:r>
    </w:p>
    <w:p w14:paraId="133E458E">
      <w:pPr>
        <w:widowControl/>
        <w:wordWrap w:val="0"/>
        <w:spacing w:line="360" w:lineRule="auto"/>
        <w:jc w:val="left"/>
        <w:rPr>
          <w:rFonts w:hint="eastAsia" w:ascii="Arial" w:hAnsi="Arial" w:eastAsia="宋体" w:cs="Arial"/>
          <w:color w:val="auto"/>
          <w:kern w:val="0"/>
          <w:sz w:val="24"/>
          <w:szCs w:val="18"/>
          <w:highlight w:val="none"/>
          <w:lang w:eastAsia="zh-CN"/>
        </w:rPr>
      </w:pPr>
      <w:r>
        <w:rPr>
          <w:rFonts w:ascii="Arial" w:hAnsi="Arial" w:cs="Arial"/>
          <w:color w:val="auto"/>
          <w:kern w:val="0"/>
          <w:sz w:val="24"/>
          <w:szCs w:val="18"/>
          <w:highlight w:val="none"/>
        </w:rPr>
        <w:t>联系方式：</w:t>
      </w:r>
      <w:r>
        <w:rPr>
          <w:rFonts w:hint="eastAsia" w:ascii="Arial" w:hAnsi="Arial" w:cs="Arial"/>
          <w:color w:val="auto"/>
          <w:kern w:val="0"/>
          <w:sz w:val="24"/>
          <w:szCs w:val="18"/>
          <w:highlight w:val="none"/>
        </w:rPr>
        <w:t>13639015382</w:t>
      </w:r>
      <w:r>
        <w:rPr>
          <w:rFonts w:hint="eastAsia" w:ascii="Arial" w:hAnsi="Arial" w:cs="Arial"/>
          <w:color w:val="auto"/>
          <w:kern w:val="0"/>
          <w:sz w:val="24"/>
          <w:szCs w:val="18"/>
          <w:highlight w:val="none"/>
          <w:lang w:val="en-US" w:eastAsia="zh-CN"/>
        </w:rPr>
        <w:t xml:space="preserve"> </w:t>
      </w:r>
    </w:p>
    <w:p w14:paraId="3F075CC8">
      <w:pPr>
        <w:widowControl/>
        <w:wordWrap w:val="0"/>
        <w:spacing w:line="360" w:lineRule="auto"/>
        <w:jc w:val="left"/>
        <w:rPr>
          <w:rFonts w:ascii="Arial" w:hAnsi="Arial" w:cs="Arial"/>
          <w:color w:val="auto"/>
          <w:kern w:val="0"/>
          <w:sz w:val="24"/>
          <w:szCs w:val="18"/>
          <w:highlight w:val="none"/>
        </w:rPr>
      </w:pPr>
      <w:r>
        <w:rPr>
          <w:rFonts w:ascii="Arial" w:hAnsi="Arial" w:cs="Arial"/>
          <w:color w:val="auto"/>
          <w:kern w:val="0"/>
          <w:sz w:val="24"/>
          <w:szCs w:val="18"/>
          <w:highlight w:val="none"/>
        </w:rPr>
        <w:t>3. 项目联系方式</w:t>
      </w:r>
    </w:p>
    <w:p w14:paraId="70F3026D">
      <w:pPr>
        <w:widowControl/>
        <w:wordWrap w:val="0"/>
        <w:spacing w:line="360" w:lineRule="auto"/>
        <w:jc w:val="left"/>
        <w:rPr>
          <w:rFonts w:hint="eastAsia" w:ascii="Arial" w:hAnsi="Arial" w:eastAsia="宋体" w:cs="Arial"/>
          <w:color w:val="auto"/>
          <w:kern w:val="0"/>
          <w:sz w:val="24"/>
          <w:szCs w:val="18"/>
          <w:highlight w:val="none"/>
          <w:lang w:eastAsia="zh-CN"/>
        </w:rPr>
      </w:pPr>
      <w:r>
        <w:rPr>
          <w:rFonts w:ascii="Arial" w:hAnsi="Arial" w:cs="Arial"/>
          <w:color w:val="auto"/>
          <w:kern w:val="0"/>
          <w:sz w:val="24"/>
          <w:szCs w:val="18"/>
          <w:highlight w:val="none"/>
        </w:rPr>
        <w:t>项目联系人：</w:t>
      </w:r>
      <w:r>
        <w:rPr>
          <w:rFonts w:hint="eastAsia" w:ascii="Arial" w:hAnsi="Arial" w:cs="Arial"/>
          <w:color w:val="auto"/>
          <w:kern w:val="0"/>
          <w:sz w:val="24"/>
          <w:szCs w:val="18"/>
          <w:highlight w:val="none"/>
          <w:lang w:val="en-US" w:eastAsia="zh-CN"/>
        </w:rPr>
        <w:t>冯健康、牟长玉、唐进</w:t>
      </w:r>
    </w:p>
    <w:p w14:paraId="0A7E213A">
      <w:pPr>
        <w:widowControl/>
        <w:wordWrap w:val="0"/>
        <w:spacing w:line="360" w:lineRule="auto"/>
        <w:jc w:val="left"/>
        <w:rPr>
          <w:rFonts w:hint="eastAsia" w:ascii="Arial" w:hAnsi="Arial" w:eastAsia="宋体" w:cs="Arial"/>
          <w:color w:val="auto"/>
          <w:kern w:val="0"/>
          <w:sz w:val="24"/>
          <w:szCs w:val="18"/>
          <w:highlight w:val="none"/>
          <w:lang w:eastAsia="zh-CN"/>
        </w:rPr>
      </w:pPr>
      <w:r>
        <w:rPr>
          <w:rFonts w:ascii="Arial" w:hAnsi="Arial" w:cs="Arial"/>
          <w:color w:val="auto"/>
          <w:kern w:val="0"/>
          <w:sz w:val="24"/>
          <w:szCs w:val="18"/>
          <w:highlight w:val="none"/>
        </w:rPr>
        <w:t>电          话：</w:t>
      </w:r>
      <w:r>
        <w:rPr>
          <w:rFonts w:hint="eastAsia" w:ascii="Arial" w:hAnsi="Arial" w:cs="Arial"/>
          <w:color w:val="auto"/>
          <w:kern w:val="0"/>
          <w:sz w:val="24"/>
          <w:szCs w:val="18"/>
          <w:highlight w:val="none"/>
        </w:rPr>
        <w:t>13639015382</w:t>
      </w:r>
      <w:r>
        <w:rPr>
          <w:rFonts w:hint="eastAsia" w:ascii="Arial" w:hAnsi="Arial" w:cs="Arial"/>
          <w:color w:val="auto"/>
          <w:kern w:val="0"/>
          <w:sz w:val="24"/>
          <w:szCs w:val="18"/>
          <w:highlight w:val="none"/>
          <w:lang w:val="en-US" w:eastAsia="zh-CN"/>
        </w:rPr>
        <w:t xml:space="preserve">  </w:t>
      </w:r>
    </w:p>
    <w:p w14:paraId="17170BD1">
      <w:pPr>
        <w:widowControl/>
        <w:wordWrap w:val="0"/>
        <w:spacing w:line="360" w:lineRule="auto"/>
        <w:jc w:val="left"/>
        <w:rPr>
          <w:rFonts w:ascii="Arial" w:hAnsi="Arial" w:cs="Arial"/>
          <w:b/>
          <w:bCs/>
          <w:color w:val="auto"/>
          <w:kern w:val="0"/>
          <w:sz w:val="24"/>
          <w:szCs w:val="18"/>
          <w:highlight w:val="none"/>
        </w:rPr>
      </w:pPr>
      <w:r>
        <w:rPr>
          <w:rFonts w:ascii="Arial" w:hAnsi="Arial" w:cs="Arial"/>
          <w:b/>
          <w:bCs/>
          <w:color w:val="auto"/>
          <w:kern w:val="0"/>
          <w:sz w:val="24"/>
          <w:szCs w:val="18"/>
          <w:highlight w:val="none"/>
        </w:rPr>
        <w:t>八、附件</w:t>
      </w:r>
    </w:p>
    <w:p w14:paraId="1D08B107">
      <w:pPr>
        <w:widowControl/>
        <w:shd w:val="clear" w:color="auto" w:fill="FFFFFF"/>
        <w:spacing w:line="360" w:lineRule="auto"/>
        <w:jc w:val="left"/>
        <w:rPr>
          <w:rFonts w:ascii="微软雅黑" w:hAnsi="微软雅黑" w:cs="宋体"/>
          <w:b/>
          <w:bCs/>
          <w:color w:val="auto"/>
          <w:kern w:val="0"/>
          <w:sz w:val="28"/>
          <w:szCs w:val="22"/>
          <w:highlight w:val="none"/>
        </w:rPr>
      </w:pPr>
    </w:p>
    <w:p w14:paraId="5924FAC7">
      <w:pPr>
        <w:pStyle w:val="5"/>
        <w:rPr>
          <w:rFonts w:ascii="微软雅黑" w:hAnsi="微软雅黑" w:cs="宋体"/>
          <w:bCs/>
          <w:color w:val="auto"/>
          <w:kern w:val="0"/>
          <w:sz w:val="28"/>
          <w:szCs w:val="22"/>
          <w:highlight w:val="none"/>
        </w:rPr>
      </w:pPr>
    </w:p>
    <w:p w14:paraId="0C349A71">
      <w:pPr>
        <w:pStyle w:val="10"/>
        <w:spacing w:line="360" w:lineRule="auto"/>
        <w:rPr>
          <w:color w:val="auto"/>
          <w:highlight w:val="none"/>
        </w:rPr>
      </w:pPr>
    </w:p>
    <w:p w14:paraId="0FDC9D8C">
      <w:pPr>
        <w:pStyle w:val="10"/>
        <w:spacing w:line="360" w:lineRule="auto"/>
        <w:rPr>
          <w:color w:val="auto"/>
          <w:highlight w:val="none"/>
        </w:rPr>
      </w:pPr>
    </w:p>
    <w:p w14:paraId="237DF562">
      <w:pPr>
        <w:pStyle w:val="10"/>
        <w:spacing w:line="360" w:lineRule="auto"/>
        <w:rPr>
          <w:color w:val="auto"/>
          <w:highlight w:val="none"/>
        </w:rPr>
      </w:pPr>
    </w:p>
    <w:p w14:paraId="4CBF7AED">
      <w:pPr>
        <w:pStyle w:val="10"/>
        <w:spacing w:line="360" w:lineRule="auto"/>
        <w:rPr>
          <w:color w:val="auto"/>
          <w:highlight w:val="none"/>
        </w:rPr>
      </w:pPr>
    </w:p>
    <w:p w14:paraId="5520F1D4">
      <w:pPr>
        <w:widowControl/>
        <w:jc w:val="center"/>
        <w:rPr>
          <w:rFonts w:ascii="仿宋" w:hAnsi="仿宋" w:eastAsia="仿宋" w:cs="仿宋"/>
          <w:b/>
          <w:bCs/>
          <w:color w:val="auto"/>
          <w:kern w:val="0"/>
          <w:sz w:val="36"/>
          <w:szCs w:val="36"/>
          <w:highlight w:val="none"/>
          <w:lang w:bidi="ar"/>
        </w:rPr>
      </w:pPr>
      <w:r>
        <w:rPr>
          <w:rFonts w:ascii="仿宋" w:hAnsi="仿宋" w:eastAsia="仿宋" w:cs="仿宋"/>
          <w:b/>
          <w:bCs/>
          <w:color w:val="auto"/>
          <w:kern w:val="0"/>
          <w:sz w:val="36"/>
          <w:szCs w:val="36"/>
          <w:highlight w:val="none"/>
          <w:lang w:bidi="ar"/>
        </w:rPr>
        <w:t>省公共资源交易中心电子招标远程开标须知</w:t>
      </w:r>
    </w:p>
    <w:p w14:paraId="09CA05DE">
      <w:pPr>
        <w:widowControl/>
        <w:numPr>
          <w:ilvl w:val="0"/>
          <w:numId w:val="4"/>
        </w:numPr>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关于开标程序 本项目采用电子招标远程开标，供应商无须到现场递交投标文件和参加开标会议。 </w:t>
      </w:r>
    </w:p>
    <w:p w14:paraId="46417F59">
      <w:pPr>
        <w:widowControl/>
        <w:numPr>
          <w:ilvl w:val="0"/>
          <w:numId w:val="5"/>
        </w:numPr>
        <w:ind w:left="220" w:firstLine="62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开标准备：供应商应在投标截止时间之前使用数字证书（实体CA锁或贵 州交易通APP）自行登陆远程开标系统，根据系统检测提示完成开标电脑环境 配置。（环境配置及加解密注意事项详见： https://ggzy.guizhou.gov.cn/fwzn/xzzx/czsc/） </w:t>
      </w:r>
    </w:p>
    <w:p w14:paraId="0ECC4F8F">
      <w:pPr>
        <w:widowControl/>
        <w:numPr>
          <w:ilvl w:val="0"/>
          <w:numId w:val="5"/>
        </w:numPr>
        <w:ind w:left="220" w:firstLine="62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出现下列情形之一，将予以拒收投标文件：①投标截止时间前未完整上 传；②未按规定进行电子签名、加密。③投标截止时间前未交纳投标保证金。 </w:t>
      </w:r>
    </w:p>
    <w:p w14:paraId="6FC7F5B2">
      <w:pPr>
        <w:widowControl/>
        <w:numPr>
          <w:ilvl w:val="0"/>
          <w:numId w:val="5"/>
        </w:numPr>
        <w:ind w:left="220" w:firstLine="62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投标文件远程解密：在解密前采购人（代理机构）对递交的纸质保函真 伪进行验证，验证未通过的视为投标保证金交纳不成功，不得参加解密。在采购人（代理机构）发出解密指令后，供应商应使用加密投标文件的数字证书 （实体CA锁或贵州交易通APP），在代理机构设置的时间内完成解密。如因供 应商网络问题、访问设备终端问题、未按操作手册要求完成设备环境设置或检 测、解密数字证书发生故障或用错等，导致投标文件未在规定时间内完成解 密，视为无效投标文件。 （环境配置及加解密注意事项详见： https://ggzy.guizhou.gov.cn/fwzn/xzzx/czsc/） </w:t>
      </w:r>
    </w:p>
    <w:p w14:paraId="042C80E0">
      <w:pPr>
        <w:widowControl/>
        <w:numPr>
          <w:ilvl w:val="0"/>
          <w:numId w:val="5"/>
        </w:numPr>
        <w:ind w:left="220" w:firstLine="62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开标结果确认：供应商在解密完成后，应对投标内容进行确认，确认时 间为 10 分钟。未在规定时间内对投标内容进行确认且未提出异议（质疑）的， 视为默认开标结果。</w:t>
      </w:r>
    </w:p>
    <w:p w14:paraId="54B30D6F">
      <w:pPr>
        <w:widowControl/>
        <w:numPr>
          <w:ilvl w:val="0"/>
          <w:numId w:val="5"/>
        </w:numPr>
        <w:ind w:left="220" w:firstLine="62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公开开标信息：确认投标信息后，系统生成开标记录表，内容包含所有 投标人名称和</w:t>
      </w:r>
      <w:r>
        <w:rPr>
          <w:rFonts w:hint="eastAsia" w:ascii="仿宋" w:hAnsi="仿宋" w:eastAsia="仿宋" w:cs="仿宋"/>
          <w:color w:val="auto"/>
          <w:kern w:val="0"/>
          <w:sz w:val="31"/>
          <w:szCs w:val="31"/>
          <w:highlight w:val="none"/>
          <w:lang w:bidi="ar"/>
        </w:rPr>
        <w:t>采购文件</w:t>
      </w:r>
      <w:r>
        <w:rPr>
          <w:rFonts w:ascii="仿宋" w:hAnsi="仿宋" w:eastAsia="仿宋" w:cs="仿宋"/>
          <w:color w:val="auto"/>
          <w:kern w:val="0"/>
          <w:sz w:val="31"/>
          <w:szCs w:val="31"/>
          <w:highlight w:val="none"/>
          <w:lang w:bidi="ar"/>
        </w:rPr>
        <w:t xml:space="preserve">规定的其他内容，并将开标记录表在网上开标系统内公开。 </w:t>
      </w:r>
    </w:p>
    <w:p w14:paraId="2789BDDE">
      <w:pPr>
        <w:widowControl/>
        <w:numPr>
          <w:ilvl w:val="0"/>
          <w:numId w:val="5"/>
        </w:numPr>
        <w:ind w:left="220" w:firstLine="62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供应商如发现系统提取的自身投标信息不正确的，可通过远程开标系统 向采购人（代理机构）提出异议。 </w:t>
      </w:r>
    </w:p>
    <w:p w14:paraId="5E559C1C">
      <w:pPr>
        <w:widowControl/>
        <w:jc w:val="left"/>
        <w:rPr>
          <w:rFonts w:ascii="仿宋" w:hAnsi="仿宋" w:eastAsia="仿宋" w:cs="仿宋"/>
          <w:color w:val="auto"/>
          <w:kern w:val="0"/>
          <w:sz w:val="31"/>
          <w:szCs w:val="31"/>
          <w:highlight w:val="none"/>
          <w:lang w:bidi="ar"/>
        </w:rPr>
      </w:pPr>
      <w:r>
        <w:rPr>
          <w:rFonts w:hint="eastAsia" w:ascii="仿宋" w:hAnsi="仿宋" w:eastAsia="仿宋" w:cs="仿宋"/>
          <w:color w:val="auto"/>
          <w:kern w:val="0"/>
          <w:sz w:val="31"/>
          <w:szCs w:val="31"/>
          <w:highlight w:val="none"/>
          <w:lang w:bidi="ar"/>
        </w:rPr>
        <w:t>二、</w:t>
      </w:r>
      <w:r>
        <w:rPr>
          <w:rFonts w:ascii="仿宋" w:hAnsi="仿宋" w:eastAsia="仿宋" w:cs="仿宋"/>
          <w:color w:val="auto"/>
          <w:kern w:val="0"/>
          <w:sz w:val="31"/>
          <w:szCs w:val="31"/>
          <w:highlight w:val="none"/>
          <w:lang w:bidi="ar"/>
        </w:rPr>
        <w:t xml:space="preserve">关于投标文件递交方式及要求 </w:t>
      </w:r>
    </w:p>
    <w:p w14:paraId="09A2C138">
      <w:pPr>
        <w:widowControl/>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本项目为电子招标远程开标项目：供应商须在递交投标文件截止时间前完 整的将加密电子投标文件（.GPT对应格式）上传到全国公共资源交易平台（贵 州省）（网址：ggzy. guizhou.gov.cn )，加密上传的电子投标文件最大不超过 500MB。投标截止时间前未完成投标文件传输或撤回投标文件的，视为未递交 投标文件。投标截止时间后，贵州省公共资源交易平台不再接收投标文件。远 程开标需使用数字证书（实体CA锁或贵州交易通APP）进行远程解密，解密证 书必须是生成投标文件时使用的加密数字证书。 </w:t>
      </w:r>
    </w:p>
    <w:p w14:paraId="7E0B271B">
      <w:pPr>
        <w:widowControl/>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公示期结束后，中标人须按</w:t>
      </w:r>
      <w:r>
        <w:rPr>
          <w:rFonts w:hint="eastAsia" w:ascii="仿宋" w:hAnsi="仿宋" w:eastAsia="仿宋" w:cs="仿宋"/>
          <w:color w:val="auto"/>
          <w:kern w:val="0"/>
          <w:sz w:val="31"/>
          <w:szCs w:val="31"/>
          <w:highlight w:val="none"/>
          <w:lang w:bidi="ar"/>
        </w:rPr>
        <w:t>采购人</w:t>
      </w:r>
      <w:r>
        <w:rPr>
          <w:rFonts w:ascii="仿宋" w:hAnsi="仿宋" w:eastAsia="仿宋" w:cs="仿宋"/>
          <w:color w:val="auto"/>
          <w:kern w:val="0"/>
          <w:sz w:val="31"/>
          <w:szCs w:val="31"/>
          <w:highlight w:val="none"/>
          <w:lang w:bidi="ar"/>
        </w:rPr>
        <w:t xml:space="preserve">要求提交与电子投标文件一致的纸质 投标文件。 三、关于异常情况处置 出现下列情形之一的，暂停项目开标，并根据实际情况向监督部门报告： </w:t>
      </w:r>
    </w:p>
    <w:p w14:paraId="2A63E6C9">
      <w:pPr>
        <w:widowControl/>
        <w:numPr>
          <w:ilvl w:val="0"/>
          <w:numId w:val="6"/>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交易系统发生服务器故障、业务系统故障、数据库故障等， 导致无法正常访问网站或无法正常使用交易系统； </w:t>
      </w:r>
    </w:p>
    <w:p w14:paraId="412E7541">
      <w:pPr>
        <w:widowControl/>
        <w:numPr>
          <w:ilvl w:val="0"/>
          <w:numId w:val="6"/>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受到网络攻击或发生安全漏洞等问题，导致交易系统有潜在 泄密风险； </w:t>
      </w:r>
    </w:p>
    <w:p w14:paraId="42EE6C5B">
      <w:pPr>
        <w:widowControl/>
        <w:numPr>
          <w:ilvl w:val="0"/>
          <w:numId w:val="6"/>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发生计算机病毒，导致交易系统无法正常运行；</w:t>
      </w:r>
    </w:p>
    <w:p w14:paraId="679C6219">
      <w:pPr>
        <w:widowControl/>
        <w:numPr>
          <w:ilvl w:val="0"/>
          <w:numId w:val="6"/>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发生电力或网络故障，导致交易系统无法运行；</w:t>
      </w:r>
    </w:p>
    <w:p w14:paraId="6CA27FD4">
      <w:pPr>
        <w:widowControl/>
        <w:numPr>
          <w:ilvl w:val="0"/>
          <w:numId w:val="6"/>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其他非投标人原因，导致开标无法正常进行。 若发生的故障在三个小时内排除，则重新启动项目开标；若三个小时内未 排除故障，则另行通知开标时间。 </w:t>
      </w:r>
    </w:p>
    <w:p w14:paraId="066175AC">
      <w:pPr>
        <w:widowControl/>
        <w:numPr>
          <w:ilvl w:val="0"/>
          <w:numId w:val="7"/>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关于注意事项 </w:t>
      </w:r>
    </w:p>
    <w:p w14:paraId="52D664A3">
      <w:pPr>
        <w:widowControl/>
        <w:numPr>
          <w:ilvl w:val="0"/>
          <w:numId w:val="8"/>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电子招标远程开标会议期间，供应商均应在开标设备旁，直至开标结 束，如因不能及时响应或反馈导致出现问题的供应商自行承担。 </w:t>
      </w:r>
    </w:p>
    <w:p w14:paraId="694EA3E6">
      <w:pPr>
        <w:widowControl/>
        <w:numPr>
          <w:ilvl w:val="0"/>
          <w:numId w:val="8"/>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供应商参加电子招标远程开标项目，应在投标截止时间前完整上传经过 数字证书（实体CA锁或贵州交易通APP）加密的投标文件。 </w:t>
      </w:r>
    </w:p>
    <w:p w14:paraId="11C882CB">
      <w:pPr>
        <w:widowControl/>
        <w:numPr>
          <w:ilvl w:val="0"/>
          <w:numId w:val="8"/>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供应商应提前完成数字证书的检查，确保参与本次投标活动中使用的数 字证书与加密投标文件的数字证书为同一证书（实体CA锁或贵州交易通APP绑 定的移动证书），确保开标过程中可正常在线进行投标文件解密、确认报价、 开标异议等网上交互相关操作。（环境配置及加解密注意事项详见： https://ggzy.guizhou.gov.cn/fwzn/xzzx/czsc/） </w:t>
      </w:r>
    </w:p>
    <w:p w14:paraId="6F4494C7">
      <w:pPr>
        <w:widowControl/>
        <w:numPr>
          <w:ilvl w:val="0"/>
          <w:numId w:val="8"/>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投标文件加解密只能始终选择实体CA证书（实体CA锁）或移动CA证书 （贵州交易通APP）其中一种方式，在交易活动过程中不能交叉操作使用。 注：贵州交易通APP的注册办理及咨询，可拨打官方服务热线：400-658- 7878 ，操作手册下载地址：</w:t>
      </w:r>
      <w:r>
        <w:rPr>
          <w:color w:val="auto"/>
          <w:highlight w:val="none"/>
        </w:rPr>
        <w:fldChar w:fldCharType="begin"/>
      </w:r>
      <w:r>
        <w:rPr>
          <w:color w:val="auto"/>
          <w:highlight w:val="none"/>
        </w:rPr>
        <w:instrText xml:space="preserve"> HYPERLINK "https://service.ebidsun.com/" \l "/activity/guizhou）" </w:instrText>
      </w:r>
      <w:r>
        <w:rPr>
          <w:color w:val="auto"/>
          <w:highlight w:val="none"/>
        </w:rPr>
        <w:fldChar w:fldCharType="separate"/>
      </w:r>
      <w:r>
        <w:rPr>
          <w:rStyle w:val="24"/>
          <w:rFonts w:ascii="仿宋" w:hAnsi="仿宋" w:eastAsia="仿宋" w:cs="仿宋"/>
          <w:color w:val="auto"/>
          <w:kern w:val="0"/>
          <w:sz w:val="31"/>
          <w:szCs w:val="31"/>
          <w:highlight w:val="none"/>
          <w:lang w:bidi="ar"/>
        </w:rPr>
        <w:t>https://service.ebidsun.com/#/activity/guizhou）</w:t>
      </w:r>
      <w:r>
        <w:rPr>
          <w:rStyle w:val="24"/>
          <w:rFonts w:ascii="仿宋" w:hAnsi="仿宋" w:eastAsia="仿宋" w:cs="仿宋"/>
          <w:color w:val="auto"/>
          <w:kern w:val="0"/>
          <w:sz w:val="31"/>
          <w:szCs w:val="31"/>
          <w:highlight w:val="none"/>
          <w:lang w:bidi="ar"/>
        </w:rPr>
        <w:fldChar w:fldCharType="end"/>
      </w:r>
    </w:p>
    <w:p w14:paraId="641E7061">
      <w:pPr>
        <w:widowControl/>
        <w:numPr>
          <w:ilvl w:val="0"/>
          <w:numId w:val="8"/>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 请早于项目开标时间1天登录贵州省公共资源交易平台，使用平台提供的 环境检测工具进行开标环境检测（实体CA锁检测地址： https://ggzy.guizhou.gov.cn/hallweb/open-web/#/detection, 移动CA证书（贵州交易 通APP）检测地址：https://service.ebidsun.com/#/activity/guizhou/check）。</w:t>
      </w:r>
    </w:p>
    <w:p w14:paraId="545BB195">
      <w:pPr>
        <w:widowControl/>
        <w:numPr>
          <w:ilvl w:val="0"/>
          <w:numId w:val="8"/>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开评标全过程中，供应商参与远程交互的人员应始终为同一人，若随意 更换自行承担由此导致的一切后果。 </w:t>
      </w:r>
    </w:p>
    <w:p w14:paraId="47723C9C">
      <w:pPr>
        <w:widowControl/>
        <w:numPr>
          <w:ilvl w:val="0"/>
          <w:numId w:val="8"/>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因供应商使用的操作终端（软件或硬件）发生故障或参数设置等问题， 导致不能参与交易活动，由供应商自行承担一切后果。 </w:t>
      </w:r>
    </w:p>
    <w:p w14:paraId="395C04FB">
      <w:pPr>
        <w:widowControl/>
        <w:numPr>
          <w:ilvl w:val="0"/>
          <w:numId w:val="8"/>
        </w:numPr>
        <w:ind w:firstLine="837" w:firstLineChars="270"/>
        <w:jc w:val="left"/>
        <w:rPr>
          <w:rFonts w:ascii="仿宋" w:hAnsi="仿宋" w:eastAsia="仿宋" w:cs="仿宋"/>
          <w:color w:val="auto"/>
          <w:kern w:val="0"/>
          <w:sz w:val="31"/>
          <w:szCs w:val="31"/>
          <w:highlight w:val="none"/>
          <w:lang w:bidi="ar"/>
        </w:rPr>
      </w:pPr>
      <w:r>
        <w:rPr>
          <w:rFonts w:ascii="仿宋" w:hAnsi="仿宋" w:eastAsia="仿宋" w:cs="仿宋"/>
          <w:color w:val="auto"/>
          <w:kern w:val="0"/>
          <w:sz w:val="31"/>
          <w:szCs w:val="31"/>
          <w:highlight w:val="none"/>
          <w:lang w:bidi="ar"/>
        </w:rPr>
        <w:t xml:space="preserve">供应商在开标过程中操作遇到问题时，请及时向贵州省公共资源交易中 心咨询。 （咨询电话：0851-85971671/85971629；QQ群：530035634 贵州交易通服务热 线：400-658-7878 QQ群：597556561） </w:t>
      </w:r>
    </w:p>
    <w:p w14:paraId="538C90B4">
      <w:pPr>
        <w:widowControl/>
        <w:jc w:val="left"/>
        <w:rPr>
          <w:color w:val="auto"/>
          <w:highlight w:val="none"/>
        </w:rPr>
      </w:pPr>
      <w:r>
        <w:rPr>
          <w:rFonts w:ascii="仿宋" w:hAnsi="仿宋" w:eastAsia="仿宋" w:cs="仿宋"/>
          <w:color w:val="auto"/>
          <w:kern w:val="0"/>
          <w:sz w:val="31"/>
          <w:szCs w:val="31"/>
          <w:highlight w:val="none"/>
          <w:lang w:bidi="ar"/>
        </w:rPr>
        <w:t>（如采购文件中其他章节关于远程开标描述与本须知不一致的以本须知为准）</w:t>
      </w:r>
    </w:p>
    <w:p w14:paraId="2AF0CD35">
      <w:pPr>
        <w:widowControl/>
        <w:spacing w:line="360" w:lineRule="auto"/>
        <w:jc w:val="left"/>
        <w:rPr>
          <w:color w:val="auto"/>
          <w:highlight w:val="none"/>
        </w:rPr>
      </w:pPr>
      <w:r>
        <w:rPr>
          <w:rFonts w:hint="eastAsia" w:ascii="仿宋" w:hAnsi="仿宋" w:eastAsia="仿宋" w:cs="仿宋"/>
          <w:b/>
          <w:bCs/>
          <w:color w:val="auto"/>
          <w:kern w:val="0"/>
          <w:sz w:val="31"/>
          <w:szCs w:val="31"/>
          <w:highlight w:val="none"/>
          <w:lang w:bidi="ar"/>
        </w:rPr>
        <w:t xml:space="preserve"> </w:t>
      </w:r>
    </w:p>
    <w:p w14:paraId="01879257">
      <w:pPr>
        <w:pStyle w:val="2"/>
        <w:spacing w:line="360" w:lineRule="auto"/>
        <w:rPr>
          <w:color w:val="auto"/>
          <w:highlight w:val="none"/>
        </w:rPr>
      </w:pPr>
    </w:p>
    <w:p w14:paraId="51001EB4">
      <w:pPr>
        <w:pStyle w:val="2"/>
        <w:spacing w:line="360" w:lineRule="auto"/>
        <w:rPr>
          <w:color w:val="auto"/>
          <w:highlight w:val="none"/>
        </w:rPr>
      </w:pPr>
    </w:p>
    <w:p w14:paraId="6253F03C">
      <w:pPr>
        <w:pStyle w:val="10"/>
        <w:spacing w:line="360" w:lineRule="auto"/>
        <w:jc w:val="center"/>
        <w:rPr>
          <w:color w:val="auto"/>
          <w:sz w:val="28"/>
          <w:highlight w:val="none"/>
        </w:rPr>
      </w:pPr>
      <w:r>
        <w:rPr>
          <w:rFonts w:hint="eastAsia"/>
          <w:color w:val="auto"/>
          <w:sz w:val="28"/>
          <w:highlight w:val="none"/>
        </w:rPr>
        <w:t>第二章供应商须知前附表</w:t>
      </w:r>
    </w:p>
    <w:p w14:paraId="0E8C7133">
      <w:pPr>
        <w:pStyle w:val="10"/>
        <w:spacing w:line="360" w:lineRule="auto"/>
        <w:jc w:val="left"/>
        <w:rPr>
          <w:color w:val="auto"/>
          <w:sz w:val="22"/>
          <w:highlight w:val="none"/>
        </w:rPr>
      </w:pPr>
      <w:r>
        <w:rPr>
          <w:rFonts w:hint="eastAsia"/>
          <w:color w:val="auto"/>
          <w:sz w:val="22"/>
          <w:highlight w:val="none"/>
        </w:rPr>
        <w:t>说明：本表是对重要内容的概括介绍，如本表内容与正文内容有冲突，以本表为准。</w:t>
      </w:r>
    </w:p>
    <w:tbl>
      <w:tblPr>
        <w:tblStyle w:val="21"/>
        <w:tblW w:w="95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0"/>
        <w:gridCol w:w="1968"/>
        <w:gridCol w:w="6531"/>
      </w:tblGrid>
      <w:tr w14:paraId="69C60C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17CADE8B">
            <w:pPr>
              <w:pStyle w:val="10"/>
              <w:spacing w:line="360" w:lineRule="auto"/>
              <w:jc w:val="center"/>
              <w:rPr>
                <w:color w:val="auto"/>
                <w:highlight w:val="none"/>
              </w:rPr>
            </w:pPr>
            <w:r>
              <w:rPr>
                <w:rFonts w:hint="eastAsia" w:ascii="宋体" w:hAnsi="宋体" w:cs="宋体"/>
                <w:color w:val="auto"/>
                <w:spacing w:val="-4"/>
                <w:sz w:val="24"/>
                <w:highlight w:val="none"/>
              </w:rPr>
              <w:t>序号</w:t>
            </w:r>
          </w:p>
        </w:tc>
        <w:tc>
          <w:tcPr>
            <w:tcW w:w="1968" w:type="dxa"/>
            <w:vAlign w:val="center"/>
          </w:tcPr>
          <w:p w14:paraId="3898CF9D">
            <w:pPr>
              <w:pStyle w:val="10"/>
              <w:spacing w:line="360" w:lineRule="auto"/>
              <w:jc w:val="center"/>
              <w:rPr>
                <w:color w:val="auto"/>
                <w:highlight w:val="none"/>
              </w:rPr>
            </w:pPr>
            <w:r>
              <w:rPr>
                <w:rFonts w:hint="eastAsia" w:ascii="宋体" w:hAnsi="宋体" w:cs="宋体"/>
                <w:color w:val="auto"/>
                <w:spacing w:val="-4"/>
                <w:sz w:val="24"/>
                <w:highlight w:val="none"/>
              </w:rPr>
              <w:t>条款名称</w:t>
            </w:r>
          </w:p>
        </w:tc>
        <w:tc>
          <w:tcPr>
            <w:tcW w:w="6531" w:type="dxa"/>
            <w:vAlign w:val="center"/>
          </w:tcPr>
          <w:p w14:paraId="6ED925D9">
            <w:pPr>
              <w:pStyle w:val="10"/>
              <w:spacing w:line="360" w:lineRule="auto"/>
              <w:jc w:val="center"/>
              <w:rPr>
                <w:color w:val="auto"/>
                <w:highlight w:val="none"/>
              </w:rPr>
            </w:pPr>
            <w:r>
              <w:rPr>
                <w:rFonts w:hint="eastAsia" w:ascii="宋体" w:hAnsi="宋体" w:cs="宋体"/>
                <w:color w:val="auto"/>
                <w:spacing w:val="-4"/>
                <w:sz w:val="24"/>
                <w:highlight w:val="none"/>
              </w:rPr>
              <w:t>编制内容</w:t>
            </w:r>
          </w:p>
        </w:tc>
      </w:tr>
      <w:tr w14:paraId="540341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84F0B94">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z w:val="24"/>
                <w:highlight w:val="none"/>
              </w:rPr>
              <w:t>1</w:t>
            </w:r>
          </w:p>
        </w:tc>
        <w:tc>
          <w:tcPr>
            <w:tcW w:w="1968" w:type="dxa"/>
            <w:vAlign w:val="center"/>
          </w:tcPr>
          <w:p w14:paraId="45B3982E">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pacing w:val="-4"/>
                <w:sz w:val="24"/>
                <w:highlight w:val="none"/>
              </w:rPr>
              <w:t>采购人</w:t>
            </w:r>
          </w:p>
        </w:tc>
        <w:tc>
          <w:tcPr>
            <w:tcW w:w="6531" w:type="dxa"/>
            <w:vAlign w:val="center"/>
          </w:tcPr>
          <w:p w14:paraId="308CEF09">
            <w:pPr>
              <w:widowControl/>
              <w:kinsoku w:val="0"/>
              <w:autoSpaceDE w:val="0"/>
              <w:autoSpaceDN w:val="0"/>
              <w:adjustRightInd w:val="0"/>
              <w:snapToGrid w:val="0"/>
              <w:spacing w:line="360" w:lineRule="auto"/>
              <w:jc w:val="left"/>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采购人名称:</w:t>
            </w:r>
            <w:r>
              <w:rPr>
                <w:rFonts w:ascii="宋体" w:hAnsi="宋体" w:cs="宋体"/>
                <w:color w:val="auto"/>
                <w:spacing w:val="-1"/>
                <w:highlight w:val="none"/>
                <w:shd w:val="clear" w:color="auto" w:fill="FFFFFE"/>
              </w:rPr>
              <w:t xml:space="preserve"> </w:t>
            </w:r>
            <w:r>
              <w:rPr>
                <w:rFonts w:hint="eastAsia" w:ascii="Arial" w:hAnsi="Arial" w:cs="Arial"/>
                <w:color w:val="auto"/>
                <w:kern w:val="0"/>
                <w:sz w:val="24"/>
                <w:szCs w:val="18"/>
                <w:highlight w:val="none"/>
              </w:rPr>
              <w:t>中共贵州省委党校</w:t>
            </w:r>
          </w:p>
          <w:p w14:paraId="6AF16BAB">
            <w:pPr>
              <w:widowControl/>
              <w:kinsoku w:val="0"/>
              <w:autoSpaceDE w:val="0"/>
              <w:autoSpaceDN w:val="0"/>
              <w:adjustRightInd w:val="0"/>
              <w:snapToGrid w:val="0"/>
              <w:spacing w:line="360" w:lineRule="auto"/>
              <w:jc w:val="left"/>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项目联系人:</w:t>
            </w:r>
            <w:r>
              <w:rPr>
                <w:rFonts w:hint="eastAsia" w:ascii="Arial" w:hAnsi="Arial" w:cs="Arial"/>
                <w:color w:val="auto"/>
                <w:kern w:val="0"/>
                <w:sz w:val="24"/>
                <w:szCs w:val="18"/>
                <w:highlight w:val="none"/>
              </w:rPr>
              <w:t>姚老师</w:t>
            </w:r>
          </w:p>
          <w:p w14:paraId="15F137B1">
            <w:pPr>
              <w:widowControl/>
              <w:kinsoku w:val="0"/>
              <w:autoSpaceDE w:val="0"/>
              <w:autoSpaceDN w:val="0"/>
              <w:adjustRightInd w:val="0"/>
              <w:snapToGrid w:val="0"/>
              <w:spacing w:line="360" w:lineRule="auto"/>
              <w:jc w:val="left"/>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联系地址:</w:t>
            </w:r>
            <w:r>
              <w:rPr>
                <w:rFonts w:hint="eastAsia" w:ascii="Arial" w:hAnsi="Arial" w:cs="Arial"/>
                <w:color w:val="auto"/>
                <w:kern w:val="0"/>
                <w:sz w:val="24"/>
                <w:szCs w:val="18"/>
                <w:highlight w:val="none"/>
              </w:rPr>
              <w:t>贵州省贵阳市花溪区清溪路桐木岭</w:t>
            </w:r>
          </w:p>
          <w:p w14:paraId="173E19A9">
            <w:pPr>
              <w:widowControl/>
              <w:kinsoku w:val="0"/>
              <w:autoSpaceDE w:val="0"/>
              <w:autoSpaceDN w:val="0"/>
              <w:adjustRightInd w:val="0"/>
              <w:snapToGrid w:val="0"/>
              <w:spacing w:line="360" w:lineRule="auto"/>
              <w:jc w:val="left"/>
              <w:textAlignment w:val="baseline"/>
              <w:rPr>
                <w:color w:val="auto"/>
                <w:highlight w:val="none"/>
              </w:rPr>
            </w:pPr>
            <w:r>
              <w:rPr>
                <w:rFonts w:hint="eastAsia" w:ascii="宋体" w:hAnsi="宋体" w:cs="宋体"/>
                <w:color w:val="auto"/>
                <w:spacing w:val="-1"/>
                <w:sz w:val="24"/>
                <w:highlight w:val="none"/>
                <w:shd w:val="clear" w:color="auto" w:fill="FFFFFE"/>
              </w:rPr>
              <w:t xml:space="preserve">联系方式: </w:t>
            </w:r>
            <w:r>
              <w:rPr>
                <w:rFonts w:hint="eastAsia" w:ascii="Arial" w:hAnsi="Arial" w:cs="Arial"/>
                <w:color w:val="auto"/>
                <w:kern w:val="0"/>
                <w:sz w:val="24"/>
                <w:szCs w:val="18"/>
                <w:highlight w:val="none"/>
              </w:rPr>
              <w:t>13765151027</w:t>
            </w:r>
          </w:p>
        </w:tc>
      </w:tr>
      <w:tr w14:paraId="246658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089386C1">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z w:val="24"/>
                <w:highlight w:val="none"/>
              </w:rPr>
              <w:t>2</w:t>
            </w:r>
          </w:p>
        </w:tc>
        <w:tc>
          <w:tcPr>
            <w:tcW w:w="1968" w:type="dxa"/>
            <w:vAlign w:val="center"/>
          </w:tcPr>
          <w:p w14:paraId="67C7AF41">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pacing w:val="-3"/>
                <w:sz w:val="24"/>
                <w:highlight w:val="none"/>
              </w:rPr>
              <w:t>采购代理机构</w:t>
            </w:r>
          </w:p>
        </w:tc>
        <w:tc>
          <w:tcPr>
            <w:tcW w:w="6531" w:type="dxa"/>
            <w:vAlign w:val="center"/>
          </w:tcPr>
          <w:p w14:paraId="35FFB489">
            <w:pPr>
              <w:widowControl/>
              <w:kinsoku w:val="0"/>
              <w:autoSpaceDE w:val="0"/>
              <w:autoSpaceDN w:val="0"/>
              <w:adjustRightInd w:val="0"/>
              <w:snapToGrid w:val="0"/>
              <w:spacing w:line="360" w:lineRule="auto"/>
              <w:jc w:val="left"/>
              <w:textAlignment w:val="baseline"/>
              <w:rPr>
                <w:rFonts w:hint="eastAsia" w:ascii="宋体" w:hAnsi="宋体" w:eastAsia="宋体" w:cs="宋体"/>
                <w:color w:val="auto"/>
                <w:spacing w:val="-1"/>
                <w:sz w:val="24"/>
                <w:highlight w:val="none"/>
                <w:shd w:val="clear" w:color="auto" w:fill="FFFFFE"/>
                <w:lang w:eastAsia="zh-CN"/>
              </w:rPr>
            </w:pPr>
            <w:r>
              <w:rPr>
                <w:rFonts w:hint="eastAsia" w:ascii="宋体" w:hAnsi="宋体" w:cs="宋体"/>
                <w:color w:val="auto"/>
                <w:spacing w:val="-1"/>
                <w:sz w:val="24"/>
                <w:highlight w:val="none"/>
                <w:shd w:val="clear" w:color="auto" w:fill="FFFFFE"/>
              </w:rPr>
              <w:t>代理全称：</w:t>
            </w:r>
            <w:r>
              <w:rPr>
                <w:rFonts w:hint="eastAsia" w:ascii="宋体" w:hAnsi="宋体" w:cs="宋体"/>
                <w:color w:val="auto"/>
                <w:spacing w:val="-1"/>
                <w:sz w:val="24"/>
                <w:highlight w:val="none"/>
                <w:shd w:val="clear" w:color="auto" w:fill="FFFFFE"/>
                <w:lang w:val="en-US" w:eastAsia="zh-CN"/>
              </w:rPr>
              <w:t xml:space="preserve">贵州华信水投工程咨询有限公司 </w:t>
            </w:r>
          </w:p>
          <w:p w14:paraId="4731CEC5">
            <w:pPr>
              <w:widowControl/>
              <w:kinsoku w:val="0"/>
              <w:autoSpaceDE w:val="0"/>
              <w:autoSpaceDN w:val="0"/>
              <w:adjustRightInd w:val="0"/>
              <w:snapToGrid w:val="0"/>
              <w:spacing w:line="360" w:lineRule="auto"/>
              <w:jc w:val="left"/>
              <w:textAlignment w:val="baseline"/>
              <w:rPr>
                <w:rFonts w:hint="eastAsia" w:ascii="宋体" w:hAnsi="宋体" w:eastAsia="宋体" w:cs="宋体"/>
                <w:color w:val="auto"/>
                <w:spacing w:val="-1"/>
                <w:sz w:val="24"/>
                <w:highlight w:val="none"/>
                <w:shd w:val="clear" w:color="auto" w:fill="FFFFFE"/>
                <w:lang w:eastAsia="zh-CN"/>
              </w:rPr>
            </w:pPr>
            <w:r>
              <w:rPr>
                <w:rFonts w:hint="eastAsia" w:ascii="宋体" w:hAnsi="宋体" w:cs="宋体"/>
                <w:color w:val="auto"/>
                <w:spacing w:val="-1"/>
                <w:sz w:val="24"/>
                <w:highlight w:val="none"/>
                <w:shd w:val="clear" w:color="auto" w:fill="FFFFFE"/>
              </w:rPr>
              <w:t>联系人：</w:t>
            </w:r>
            <w:r>
              <w:rPr>
                <w:rFonts w:hint="eastAsia" w:ascii="Arial" w:hAnsi="Arial" w:cs="Arial"/>
                <w:color w:val="auto"/>
                <w:kern w:val="0"/>
                <w:sz w:val="24"/>
                <w:szCs w:val="18"/>
                <w:highlight w:val="none"/>
                <w:lang w:val="en-US" w:eastAsia="zh-CN"/>
              </w:rPr>
              <w:t>冯健康、牟长玉、唐进</w:t>
            </w:r>
          </w:p>
          <w:p w14:paraId="2A624940">
            <w:pPr>
              <w:widowControl/>
              <w:kinsoku w:val="0"/>
              <w:autoSpaceDE w:val="0"/>
              <w:autoSpaceDN w:val="0"/>
              <w:adjustRightInd w:val="0"/>
              <w:snapToGrid w:val="0"/>
              <w:spacing w:line="360" w:lineRule="auto"/>
              <w:jc w:val="left"/>
              <w:textAlignment w:val="baseline"/>
              <w:rPr>
                <w:rFonts w:hint="eastAsia" w:ascii="宋体" w:hAnsi="宋体" w:eastAsia="宋体" w:cs="宋体"/>
                <w:color w:val="auto"/>
                <w:spacing w:val="-1"/>
                <w:sz w:val="24"/>
                <w:highlight w:val="none"/>
                <w:shd w:val="clear" w:color="auto" w:fill="FFFFFE"/>
                <w:lang w:eastAsia="zh-CN"/>
              </w:rPr>
            </w:pPr>
            <w:r>
              <w:rPr>
                <w:rFonts w:hint="eastAsia" w:ascii="宋体" w:hAnsi="宋体" w:cs="宋体"/>
                <w:color w:val="auto"/>
                <w:spacing w:val="-1"/>
                <w:sz w:val="24"/>
                <w:highlight w:val="none"/>
                <w:shd w:val="clear" w:color="auto" w:fill="FFFFFE"/>
              </w:rPr>
              <w:t>地址：</w:t>
            </w:r>
            <w:r>
              <w:rPr>
                <w:rFonts w:hint="eastAsia" w:ascii="Arial" w:hAnsi="Arial" w:cs="Arial"/>
                <w:color w:val="auto"/>
                <w:kern w:val="0"/>
                <w:sz w:val="24"/>
                <w:szCs w:val="18"/>
                <w:highlight w:val="none"/>
              </w:rPr>
              <w:t>贵阳市小河万科大都会写字楼 B 座 18 楼 1806 室</w:t>
            </w:r>
            <w:r>
              <w:rPr>
                <w:rFonts w:hint="eastAsia" w:ascii="宋体" w:hAnsi="宋体" w:cs="宋体"/>
                <w:color w:val="auto"/>
                <w:spacing w:val="-1"/>
                <w:sz w:val="24"/>
                <w:highlight w:val="none"/>
                <w:shd w:val="clear" w:color="auto" w:fill="FFFFFE"/>
                <w:lang w:val="en-US" w:eastAsia="zh-CN"/>
              </w:rPr>
              <w:t xml:space="preserve"> </w:t>
            </w:r>
          </w:p>
          <w:p w14:paraId="5CA54FD3">
            <w:pPr>
              <w:widowControl/>
              <w:kinsoku w:val="0"/>
              <w:autoSpaceDE w:val="0"/>
              <w:autoSpaceDN w:val="0"/>
              <w:adjustRightInd w:val="0"/>
              <w:snapToGrid w:val="0"/>
              <w:spacing w:line="360" w:lineRule="auto"/>
              <w:jc w:val="left"/>
              <w:textAlignment w:val="baseline"/>
              <w:rPr>
                <w:rFonts w:hint="eastAsia" w:eastAsia="宋体"/>
                <w:color w:val="auto"/>
                <w:highlight w:val="none"/>
                <w:lang w:eastAsia="zh-CN"/>
              </w:rPr>
            </w:pPr>
            <w:r>
              <w:rPr>
                <w:rFonts w:hint="eastAsia" w:ascii="宋体" w:hAnsi="宋体" w:cs="宋体"/>
                <w:color w:val="auto"/>
                <w:spacing w:val="-1"/>
                <w:sz w:val="24"/>
                <w:highlight w:val="none"/>
                <w:shd w:val="clear" w:color="auto" w:fill="FFFFFE"/>
              </w:rPr>
              <w:t>联系方式：</w:t>
            </w:r>
            <w:r>
              <w:rPr>
                <w:rFonts w:hint="eastAsia" w:ascii="Arial" w:hAnsi="Arial" w:cs="Arial"/>
                <w:color w:val="auto"/>
                <w:kern w:val="0"/>
                <w:sz w:val="24"/>
                <w:szCs w:val="18"/>
                <w:highlight w:val="none"/>
              </w:rPr>
              <w:t>13639015382</w:t>
            </w:r>
            <w:r>
              <w:rPr>
                <w:rFonts w:hint="eastAsia" w:ascii="宋体" w:hAnsi="宋体" w:cs="宋体"/>
                <w:color w:val="auto"/>
                <w:spacing w:val="-1"/>
                <w:sz w:val="24"/>
                <w:highlight w:val="none"/>
                <w:shd w:val="clear" w:color="auto" w:fill="FFFFFE"/>
                <w:lang w:val="en-US" w:eastAsia="zh-CN"/>
              </w:rPr>
              <w:t xml:space="preserve"> </w:t>
            </w:r>
          </w:p>
        </w:tc>
      </w:tr>
      <w:tr w14:paraId="3F82F7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1070" w:type="dxa"/>
            <w:vAlign w:val="center"/>
          </w:tcPr>
          <w:p w14:paraId="4B61D3AC">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z w:val="24"/>
                <w:highlight w:val="none"/>
              </w:rPr>
              <w:t>3</w:t>
            </w:r>
          </w:p>
        </w:tc>
        <w:tc>
          <w:tcPr>
            <w:tcW w:w="1968" w:type="dxa"/>
            <w:vAlign w:val="center"/>
          </w:tcPr>
          <w:p w14:paraId="25D155A5">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pacing w:val="-4"/>
                <w:sz w:val="24"/>
                <w:highlight w:val="none"/>
              </w:rPr>
              <w:t>项目名称</w:t>
            </w:r>
          </w:p>
        </w:tc>
        <w:tc>
          <w:tcPr>
            <w:tcW w:w="6531" w:type="dxa"/>
            <w:vAlign w:val="center"/>
          </w:tcPr>
          <w:p w14:paraId="4ED6E81F">
            <w:pPr>
              <w:widowControl/>
              <w:kinsoku w:val="0"/>
              <w:autoSpaceDE w:val="0"/>
              <w:autoSpaceDN w:val="0"/>
              <w:adjustRightInd w:val="0"/>
              <w:snapToGrid w:val="0"/>
              <w:spacing w:line="360" w:lineRule="auto"/>
              <w:textAlignment w:val="baseline"/>
              <w:rPr>
                <w:color w:val="auto"/>
                <w:highlight w:val="none"/>
              </w:rPr>
            </w:pPr>
            <w:r>
              <w:rPr>
                <w:rFonts w:hint="eastAsia" w:ascii="宋体" w:hAnsi="宋体" w:cs="宋体"/>
                <w:color w:val="auto"/>
                <w:spacing w:val="-1"/>
                <w:sz w:val="24"/>
                <w:highlight w:val="none"/>
                <w:shd w:val="clear" w:color="auto" w:fill="FFFFFE"/>
              </w:rPr>
              <w:t>后勤服务外包物业管理服务项目</w:t>
            </w:r>
          </w:p>
        </w:tc>
      </w:tr>
      <w:tr w14:paraId="3AFB92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11F3E222">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z w:val="24"/>
                <w:highlight w:val="none"/>
              </w:rPr>
              <w:t>4</w:t>
            </w:r>
          </w:p>
        </w:tc>
        <w:tc>
          <w:tcPr>
            <w:tcW w:w="1968" w:type="dxa"/>
            <w:vAlign w:val="center"/>
          </w:tcPr>
          <w:p w14:paraId="64619647">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pacing w:val="-6"/>
                <w:sz w:val="24"/>
                <w:highlight w:val="none"/>
              </w:rPr>
              <w:t>资金来源</w:t>
            </w:r>
          </w:p>
        </w:tc>
        <w:tc>
          <w:tcPr>
            <w:tcW w:w="6531" w:type="dxa"/>
            <w:vAlign w:val="center"/>
          </w:tcPr>
          <w:p w14:paraId="0821B170">
            <w:pPr>
              <w:widowControl/>
              <w:kinsoku w:val="0"/>
              <w:autoSpaceDE w:val="0"/>
              <w:autoSpaceDN w:val="0"/>
              <w:adjustRightInd w:val="0"/>
              <w:snapToGrid w:val="0"/>
              <w:spacing w:line="360" w:lineRule="auto"/>
              <w:textAlignment w:val="baseline"/>
              <w:rPr>
                <w:color w:val="auto"/>
                <w:highlight w:val="none"/>
              </w:rPr>
            </w:pPr>
            <w:r>
              <w:rPr>
                <w:rFonts w:hint="eastAsia" w:ascii="宋体" w:hAnsi="宋体" w:cs="宋体"/>
                <w:color w:val="auto"/>
                <w:spacing w:val="-1"/>
                <w:sz w:val="24"/>
                <w:highlight w:val="none"/>
                <w:shd w:val="clear" w:color="auto" w:fill="FFFFFE"/>
              </w:rPr>
              <w:t>财政资金</w:t>
            </w:r>
          </w:p>
        </w:tc>
      </w:tr>
      <w:tr w14:paraId="52363B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3A5CACED">
            <w:pPr>
              <w:widowControl/>
              <w:kinsoku w:val="0"/>
              <w:autoSpaceDE w:val="0"/>
              <w:autoSpaceDN w:val="0"/>
              <w:adjustRightInd w:val="0"/>
              <w:snapToGrid w:val="0"/>
              <w:spacing w:line="360" w:lineRule="auto"/>
              <w:jc w:val="center"/>
              <w:textAlignment w:val="baseline"/>
              <w:rPr>
                <w:rFonts w:ascii="宋体" w:hAnsi="宋体" w:cs="宋体"/>
                <w:color w:val="auto"/>
                <w:highlight w:val="none"/>
              </w:rPr>
            </w:pPr>
            <w:r>
              <w:rPr>
                <w:rFonts w:hint="eastAsia" w:ascii="宋体" w:hAnsi="宋体" w:cs="宋体"/>
                <w:color w:val="auto"/>
                <w:sz w:val="24"/>
                <w:highlight w:val="none"/>
              </w:rPr>
              <w:t>5</w:t>
            </w:r>
          </w:p>
        </w:tc>
        <w:tc>
          <w:tcPr>
            <w:tcW w:w="1968" w:type="dxa"/>
            <w:vAlign w:val="center"/>
          </w:tcPr>
          <w:p w14:paraId="045D53A6">
            <w:pPr>
              <w:widowControl/>
              <w:kinsoku w:val="0"/>
              <w:autoSpaceDE w:val="0"/>
              <w:autoSpaceDN w:val="0"/>
              <w:adjustRightInd w:val="0"/>
              <w:snapToGrid w:val="0"/>
              <w:spacing w:line="360" w:lineRule="auto"/>
              <w:jc w:val="center"/>
              <w:textAlignment w:val="baseline"/>
              <w:rPr>
                <w:rFonts w:ascii="宋体" w:hAnsi="宋体" w:cs="宋体"/>
                <w:color w:val="auto"/>
                <w:spacing w:val="-6"/>
                <w:highlight w:val="none"/>
              </w:rPr>
            </w:pPr>
            <w:r>
              <w:rPr>
                <w:rFonts w:hint="eastAsia" w:ascii="宋体" w:hAnsi="宋体" w:cs="宋体"/>
                <w:color w:val="auto"/>
                <w:spacing w:val="-6"/>
                <w:sz w:val="24"/>
                <w:highlight w:val="none"/>
              </w:rPr>
              <w:t>预算金额</w:t>
            </w:r>
          </w:p>
        </w:tc>
        <w:tc>
          <w:tcPr>
            <w:tcW w:w="6531" w:type="dxa"/>
            <w:vAlign w:val="center"/>
          </w:tcPr>
          <w:p w14:paraId="78B087BC">
            <w:pPr>
              <w:widowControl/>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本项目资金来源为财政性资金。</w:t>
            </w:r>
          </w:p>
          <w:p w14:paraId="4DBC98E4">
            <w:pPr>
              <w:widowControl/>
              <w:wordWrap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项目采购预算为:￥</w:t>
            </w:r>
            <w:r>
              <w:rPr>
                <w:rFonts w:hint="eastAsia" w:ascii="Arial" w:hAnsi="Arial" w:cs="Arial"/>
                <w:color w:val="auto"/>
                <w:kern w:val="0"/>
                <w:sz w:val="24"/>
                <w:szCs w:val="18"/>
                <w:highlight w:val="none"/>
                <w:lang w:val="en-US" w:eastAsia="zh-CN"/>
              </w:rPr>
              <w:t>19810800.00</w:t>
            </w:r>
            <w:r>
              <w:rPr>
                <w:rFonts w:hint="eastAsia" w:ascii="宋体" w:hAnsi="宋体" w:cs="宋体"/>
                <w:color w:val="auto"/>
                <w:sz w:val="24"/>
                <w:highlight w:val="none"/>
              </w:rPr>
              <w:t>元</w:t>
            </w:r>
            <w:r>
              <w:rPr>
                <w:rFonts w:hint="eastAsia" w:ascii="宋体" w:hAnsi="宋体" w:cs="宋体"/>
                <w:color w:val="auto"/>
                <w:sz w:val="24"/>
                <w:highlight w:val="none"/>
                <w:lang w:val="en-US" w:eastAsia="zh-CN"/>
              </w:rPr>
              <w:t>/年</w:t>
            </w:r>
          </w:p>
        </w:tc>
      </w:tr>
      <w:tr w14:paraId="3F3C03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64EC0145">
            <w:pPr>
              <w:widowControl/>
              <w:kinsoku w:val="0"/>
              <w:autoSpaceDE w:val="0"/>
              <w:autoSpaceDN w:val="0"/>
              <w:adjustRightInd w:val="0"/>
              <w:snapToGrid w:val="0"/>
              <w:spacing w:line="360" w:lineRule="auto"/>
              <w:jc w:val="center"/>
              <w:textAlignment w:val="baseline"/>
              <w:rPr>
                <w:rFonts w:ascii="宋体" w:hAnsi="宋体" w:cs="宋体"/>
                <w:color w:val="auto"/>
                <w:highlight w:val="none"/>
              </w:rPr>
            </w:pPr>
            <w:r>
              <w:rPr>
                <w:rFonts w:hint="eastAsia" w:ascii="宋体" w:hAnsi="宋体" w:cs="宋体"/>
                <w:color w:val="auto"/>
                <w:sz w:val="24"/>
                <w:highlight w:val="none"/>
              </w:rPr>
              <w:t>6</w:t>
            </w:r>
          </w:p>
        </w:tc>
        <w:tc>
          <w:tcPr>
            <w:tcW w:w="1968" w:type="dxa"/>
            <w:vAlign w:val="center"/>
          </w:tcPr>
          <w:p w14:paraId="4B3D62DE">
            <w:pPr>
              <w:widowControl/>
              <w:kinsoku w:val="0"/>
              <w:autoSpaceDE w:val="0"/>
              <w:autoSpaceDN w:val="0"/>
              <w:adjustRightInd w:val="0"/>
              <w:snapToGrid w:val="0"/>
              <w:spacing w:line="360" w:lineRule="auto"/>
              <w:jc w:val="center"/>
              <w:textAlignment w:val="baseline"/>
              <w:rPr>
                <w:rFonts w:ascii="宋体" w:hAnsi="宋体" w:cs="宋体"/>
                <w:color w:val="auto"/>
                <w:spacing w:val="-6"/>
                <w:highlight w:val="none"/>
              </w:rPr>
            </w:pPr>
            <w:r>
              <w:rPr>
                <w:rFonts w:hint="eastAsia" w:ascii="宋体" w:hAnsi="宋体" w:cs="宋体"/>
                <w:color w:val="auto"/>
                <w:spacing w:val="-6"/>
                <w:sz w:val="24"/>
                <w:highlight w:val="none"/>
              </w:rPr>
              <w:t>最高限价</w:t>
            </w:r>
          </w:p>
        </w:tc>
        <w:tc>
          <w:tcPr>
            <w:tcW w:w="6531" w:type="dxa"/>
            <w:vAlign w:val="center"/>
          </w:tcPr>
          <w:p w14:paraId="090F6223">
            <w:pPr>
              <w:widowControl/>
              <w:wordWrap w:val="0"/>
              <w:spacing w:line="360" w:lineRule="auto"/>
              <w:jc w:val="left"/>
              <w:rPr>
                <w:rFonts w:hint="default" w:ascii="宋体" w:hAnsi="宋体" w:eastAsia="宋体" w:cs="宋体"/>
                <w:color w:val="auto"/>
                <w:spacing w:val="-1"/>
                <w:highlight w:val="none"/>
                <w:shd w:val="clear" w:color="auto" w:fill="FFFFFE"/>
                <w:lang w:val="en-US" w:eastAsia="zh-CN"/>
              </w:rPr>
            </w:pPr>
            <w:r>
              <w:rPr>
                <w:rFonts w:hint="eastAsia" w:ascii="宋体" w:hAnsi="宋体" w:cs="宋体"/>
                <w:color w:val="auto"/>
                <w:sz w:val="24"/>
                <w:highlight w:val="none"/>
                <w:lang w:val="en-US" w:eastAsia="zh-CN"/>
              </w:rPr>
              <w:t>19810800.00</w:t>
            </w:r>
            <w:r>
              <w:rPr>
                <w:rFonts w:hint="eastAsia" w:ascii="宋体" w:hAnsi="宋体" w:cs="宋体"/>
                <w:color w:val="auto"/>
                <w:sz w:val="24"/>
                <w:highlight w:val="none"/>
              </w:rPr>
              <w:t>元</w:t>
            </w:r>
            <w:r>
              <w:rPr>
                <w:rFonts w:hint="eastAsia" w:ascii="宋体" w:hAnsi="宋体" w:cs="宋体"/>
                <w:color w:val="auto"/>
                <w:sz w:val="24"/>
                <w:highlight w:val="none"/>
                <w:lang w:val="en-US" w:eastAsia="zh-CN"/>
              </w:rPr>
              <w:t>/年</w:t>
            </w:r>
          </w:p>
        </w:tc>
      </w:tr>
      <w:tr w14:paraId="663DC4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01BCC22B">
            <w:pPr>
              <w:widowControl/>
              <w:kinsoku w:val="0"/>
              <w:autoSpaceDE w:val="0"/>
              <w:autoSpaceDN w:val="0"/>
              <w:adjustRightInd w:val="0"/>
              <w:snapToGrid w:val="0"/>
              <w:spacing w:line="360" w:lineRule="auto"/>
              <w:jc w:val="center"/>
              <w:textAlignment w:val="baseline"/>
              <w:rPr>
                <w:rFonts w:ascii="宋体" w:hAnsi="宋体" w:cs="宋体"/>
                <w:color w:val="auto"/>
                <w:highlight w:val="none"/>
              </w:rPr>
            </w:pPr>
            <w:r>
              <w:rPr>
                <w:rFonts w:hint="eastAsia" w:ascii="宋体" w:hAnsi="宋体" w:cs="宋体"/>
                <w:color w:val="auto"/>
                <w:sz w:val="24"/>
                <w:highlight w:val="none"/>
              </w:rPr>
              <w:t>7</w:t>
            </w:r>
          </w:p>
        </w:tc>
        <w:tc>
          <w:tcPr>
            <w:tcW w:w="1968" w:type="dxa"/>
            <w:vAlign w:val="center"/>
          </w:tcPr>
          <w:p w14:paraId="0D66A5BC">
            <w:pPr>
              <w:widowControl/>
              <w:kinsoku w:val="0"/>
              <w:autoSpaceDE w:val="0"/>
              <w:autoSpaceDN w:val="0"/>
              <w:adjustRightInd w:val="0"/>
              <w:snapToGrid w:val="0"/>
              <w:spacing w:line="360" w:lineRule="auto"/>
              <w:jc w:val="center"/>
              <w:textAlignment w:val="baseline"/>
              <w:rPr>
                <w:rFonts w:ascii="宋体" w:hAnsi="宋体" w:cs="宋体"/>
                <w:color w:val="auto"/>
                <w:spacing w:val="-6"/>
                <w:highlight w:val="none"/>
              </w:rPr>
            </w:pPr>
            <w:r>
              <w:rPr>
                <w:rFonts w:hint="eastAsia" w:ascii="宋体" w:hAnsi="宋体" w:cs="宋体"/>
                <w:color w:val="auto"/>
                <w:spacing w:val="-3"/>
                <w:sz w:val="24"/>
                <w:highlight w:val="none"/>
              </w:rPr>
              <w:t>采购方式</w:t>
            </w:r>
          </w:p>
        </w:tc>
        <w:tc>
          <w:tcPr>
            <w:tcW w:w="6531" w:type="dxa"/>
            <w:vAlign w:val="center"/>
          </w:tcPr>
          <w:p w14:paraId="63471C84">
            <w:pPr>
              <w:widowControl/>
              <w:kinsoku w:val="0"/>
              <w:autoSpaceDE w:val="0"/>
              <w:autoSpaceDN w:val="0"/>
              <w:adjustRightInd w:val="0"/>
              <w:snapToGrid w:val="0"/>
              <w:spacing w:line="360" w:lineRule="auto"/>
              <w:textAlignment w:val="baseline"/>
              <w:rPr>
                <w:rFonts w:ascii="宋体" w:hAnsi="宋体" w:cs="宋体"/>
                <w:bCs/>
                <w:color w:val="auto"/>
                <w:highlight w:val="none"/>
              </w:rPr>
            </w:pPr>
            <w:r>
              <w:rPr>
                <w:rFonts w:hint="eastAsia" w:ascii="宋体" w:hAnsi="宋体" w:cs="宋体"/>
                <w:color w:val="auto"/>
                <w:spacing w:val="-1"/>
                <w:sz w:val="24"/>
                <w:highlight w:val="none"/>
                <w:shd w:val="clear" w:color="auto" w:fill="FFFFFE"/>
              </w:rPr>
              <w:t>公开招标</w:t>
            </w:r>
          </w:p>
        </w:tc>
      </w:tr>
      <w:tr w14:paraId="6B6889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45E67BB5">
            <w:pPr>
              <w:widowControl/>
              <w:kinsoku w:val="0"/>
              <w:autoSpaceDE w:val="0"/>
              <w:autoSpaceDN w:val="0"/>
              <w:adjustRightInd w:val="0"/>
              <w:snapToGrid w:val="0"/>
              <w:spacing w:line="360" w:lineRule="auto"/>
              <w:jc w:val="center"/>
              <w:textAlignment w:val="baseline"/>
              <w:rPr>
                <w:color w:val="auto"/>
                <w:highlight w:val="none"/>
              </w:rPr>
            </w:pPr>
            <w:r>
              <w:rPr>
                <w:rFonts w:hint="eastAsia"/>
                <w:color w:val="auto"/>
                <w:highlight w:val="none"/>
              </w:rPr>
              <w:t>8</w:t>
            </w:r>
          </w:p>
        </w:tc>
        <w:tc>
          <w:tcPr>
            <w:tcW w:w="1968" w:type="dxa"/>
            <w:vAlign w:val="center"/>
          </w:tcPr>
          <w:p w14:paraId="13179E07">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pacing w:val="-3"/>
                <w:sz w:val="24"/>
                <w:highlight w:val="none"/>
              </w:rPr>
              <w:t>采购内容</w:t>
            </w:r>
          </w:p>
        </w:tc>
        <w:tc>
          <w:tcPr>
            <w:tcW w:w="6531" w:type="dxa"/>
            <w:vAlign w:val="center"/>
          </w:tcPr>
          <w:p w14:paraId="66108BD5">
            <w:pPr>
              <w:widowControl/>
              <w:kinsoku w:val="0"/>
              <w:autoSpaceDE w:val="0"/>
              <w:autoSpaceDN w:val="0"/>
              <w:adjustRightInd w:val="0"/>
              <w:snapToGrid w:val="0"/>
              <w:spacing w:line="360" w:lineRule="auto"/>
              <w:textAlignment w:val="baseline"/>
              <w:rPr>
                <w:color w:val="auto"/>
                <w:highlight w:val="none"/>
              </w:rPr>
            </w:pPr>
            <w:r>
              <w:rPr>
                <w:rFonts w:hint="eastAsia" w:ascii="宋体" w:hAnsi="宋体" w:cs="宋体"/>
                <w:color w:val="auto"/>
                <w:sz w:val="24"/>
                <w:highlight w:val="none"/>
              </w:rPr>
              <w:t>本项目采购的服务为中共贵州省委党校后勤服务外包物业管理服务，采购一家供应商对中共贵州省委党校</w:t>
            </w:r>
            <w:r>
              <w:rPr>
                <w:rFonts w:ascii="宋体" w:hAnsi="宋体" w:cs="宋体"/>
                <w:color w:val="auto"/>
                <w:sz w:val="24"/>
                <w:highlight w:val="none"/>
              </w:rPr>
              <w:t>花溪桐木岭校区、</w:t>
            </w:r>
            <w:r>
              <w:rPr>
                <w:rFonts w:hint="eastAsia" w:ascii="宋体" w:hAnsi="宋体" w:cs="宋体"/>
                <w:color w:val="auto"/>
                <w:sz w:val="24"/>
                <w:highlight w:val="none"/>
              </w:rPr>
              <w:t>公</w:t>
            </w:r>
            <w:r>
              <w:rPr>
                <w:rFonts w:ascii="宋体" w:hAnsi="宋体" w:cs="宋体"/>
                <w:color w:val="auto"/>
                <w:sz w:val="24"/>
                <w:highlight w:val="none"/>
              </w:rPr>
              <w:t>有设施设备、办公室、会议室、值班室（值班岗亭）、通道</w:t>
            </w:r>
            <w:r>
              <w:rPr>
                <w:rFonts w:hint="eastAsia" w:ascii="宋体" w:hAnsi="宋体" w:cs="宋体"/>
                <w:color w:val="auto"/>
                <w:sz w:val="24"/>
                <w:highlight w:val="none"/>
              </w:rPr>
              <w:t>走廊</w:t>
            </w:r>
            <w:r>
              <w:rPr>
                <w:rFonts w:ascii="宋体" w:hAnsi="宋体" w:cs="宋体"/>
                <w:color w:val="auto"/>
                <w:sz w:val="24"/>
                <w:highlight w:val="none"/>
              </w:rPr>
              <w:t>、楼梯、卫生间、停车场、学员宿舍、教室（多媒体）、文体中心、电梯、</w:t>
            </w:r>
            <w:r>
              <w:rPr>
                <w:rFonts w:hint="eastAsia" w:ascii="宋体" w:hAnsi="宋体" w:cs="宋体"/>
                <w:color w:val="auto"/>
                <w:sz w:val="24"/>
                <w:highlight w:val="none"/>
              </w:rPr>
              <w:t>水电设施设备、空调设施设备、消防设施设备、生态环境维护</w:t>
            </w:r>
            <w:r>
              <w:rPr>
                <w:rFonts w:ascii="宋体" w:hAnsi="宋体" w:cs="宋体"/>
                <w:color w:val="auto"/>
                <w:sz w:val="24"/>
                <w:highlight w:val="none"/>
              </w:rPr>
              <w:t>等管理服务。</w:t>
            </w:r>
            <w:r>
              <w:rPr>
                <w:rFonts w:hint="eastAsia" w:cs="黑体"/>
                <w:color w:val="auto"/>
                <w:kern w:val="2"/>
                <w:sz w:val="24"/>
                <w:szCs w:val="24"/>
                <w:highlight w:val="none"/>
                <w:lang w:val="en-US" w:eastAsia="zh-CN" w:bidi="ar-SA"/>
              </w:rPr>
              <w:t>信息服务；</w:t>
            </w:r>
            <w:r>
              <w:rPr>
                <w:rFonts w:hint="eastAsia" w:ascii="Calibri" w:hAnsi="Calibri" w:eastAsia="宋体" w:cs="黑体"/>
                <w:color w:val="auto"/>
                <w:kern w:val="2"/>
                <w:sz w:val="24"/>
                <w:szCs w:val="24"/>
                <w:highlight w:val="none"/>
                <w:lang w:val="en-US" w:eastAsia="zh-CN" w:bidi="ar-SA"/>
              </w:rPr>
              <w:t>习近平生态文明思想主题教学基地、马克思主题教学基地、中国共产党贵州历史主题教学基地、摆脱贫困的贵州实践主题教学基地、红军长征在贵州主题教学基地</w:t>
            </w:r>
            <w:r>
              <w:rPr>
                <w:rFonts w:hint="eastAsia" w:cs="黑体"/>
                <w:color w:val="auto"/>
                <w:kern w:val="2"/>
                <w:sz w:val="24"/>
                <w:szCs w:val="24"/>
                <w:highlight w:val="none"/>
                <w:lang w:val="en-US" w:eastAsia="zh-CN" w:bidi="ar-SA"/>
              </w:rPr>
              <w:t>等六个教学</w:t>
            </w:r>
            <w:r>
              <w:rPr>
                <w:rFonts w:hint="eastAsia" w:ascii="宋体" w:hAnsi="宋体" w:eastAsia="宋体" w:cs="宋体"/>
                <w:color w:val="auto"/>
                <w:kern w:val="2"/>
                <w:sz w:val="24"/>
                <w:szCs w:val="24"/>
                <w:highlight w:val="none"/>
                <w:lang w:val="en-US" w:eastAsia="zh-CN" w:bidi="ar-SA"/>
              </w:rPr>
              <w:t>基地</w:t>
            </w:r>
            <w:r>
              <w:rPr>
                <w:rFonts w:hint="eastAsia" w:ascii="宋体" w:hAnsi="宋体" w:eastAsia="宋体" w:cs="宋体"/>
                <w:color w:val="auto"/>
                <w:sz w:val="24"/>
                <w:szCs w:val="24"/>
                <w:highlight w:val="none"/>
                <w:lang w:val="en-US" w:eastAsia="zh-CN"/>
              </w:rPr>
              <w:t>管理服务</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零星搬家服务</w:t>
            </w:r>
            <w:r>
              <w:rPr>
                <w:rFonts w:hint="eastAsia" w:ascii="宋体" w:hAnsi="宋体" w:cs="宋体"/>
                <w:color w:val="auto"/>
                <w:sz w:val="24"/>
                <w:szCs w:val="24"/>
                <w:highlight w:val="none"/>
                <w:lang w:val="en-US" w:eastAsia="zh-CN"/>
              </w:rPr>
              <w:t>；贵阳市花溪区南部污水处理厂尾水人工湿地水质净化工程管理服务</w:t>
            </w:r>
            <w:r>
              <w:rPr>
                <w:rFonts w:hint="eastAsia" w:ascii="宋体" w:hAnsi="宋体" w:eastAsia="宋体" w:cs="宋体"/>
                <w:color w:val="auto"/>
                <w:sz w:val="24"/>
                <w:szCs w:val="24"/>
                <w:highlight w:val="none"/>
                <w:lang w:val="en-US" w:eastAsia="zh-CN"/>
              </w:rPr>
              <w:t>等等。</w:t>
            </w:r>
          </w:p>
        </w:tc>
      </w:tr>
      <w:tr w14:paraId="348E1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11CCDA91">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z w:val="24"/>
                <w:highlight w:val="none"/>
              </w:rPr>
              <w:t>9</w:t>
            </w:r>
          </w:p>
        </w:tc>
        <w:tc>
          <w:tcPr>
            <w:tcW w:w="1968" w:type="dxa"/>
            <w:vAlign w:val="center"/>
          </w:tcPr>
          <w:p w14:paraId="65C4A691">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pacing w:val="-5"/>
                <w:sz w:val="24"/>
                <w:highlight w:val="none"/>
              </w:rPr>
              <w:t>服务期</w:t>
            </w:r>
          </w:p>
        </w:tc>
        <w:tc>
          <w:tcPr>
            <w:tcW w:w="6531" w:type="dxa"/>
            <w:vAlign w:val="center"/>
          </w:tcPr>
          <w:p w14:paraId="775072A0">
            <w:pPr>
              <w:widowControl/>
              <w:kinsoku w:val="0"/>
              <w:autoSpaceDE w:val="0"/>
              <w:autoSpaceDN w:val="0"/>
              <w:adjustRightInd w:val="0"/>
              <w:snapToGrid w:val="0"/>
              <w:spacing w:line="360" w:lineRule="auto"/>
              <w:textAlignment w:val="baseline"/>
              <w:rPr>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年 </w:t>
            </w:r>
          </w:p>
        </w:tc>
      </w:tr>
      <w:tr w14:paraId="40109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1070" w:type="dxa"/>
          </w:tcPr>
          <w:p w14:paraId="5977200D">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z w:val="24"/>
                <w:highlight w:val="none"/>
              </w:rPr>
              <w:t>10</w:t>
            </w:r>
          </w:p>
        </w:tc>
        <w:tc>
          <w:tcPr>
            <w:tcW w:w="1968" w:type="dxa"/>
          </w:tcPr>
          <w:p w14:paraId="273310B2">
            <w:pPr>
              <w:widowControl/>
              <w:kinsoku w:val="0"/>
              <w:autoSpaceDE w:val="0"/>
              <w:autoSpaceDN w:val="0"/>
              <w:adjustRightInd w:val="0"/>
              <w:snapToGrid w:val="0"/>
              <w:spacing w:line="360" w:lineRule="auto"/>
              <w:jc w:val="center"/>
              <w:textAlignment w:val="baseline"/>
              <w:rPr>
                <w:rFonts w:ascii="宋体" w:hAnsi="宋体" w:cs="宋体"/>
                <w:color w:val="auto"/>
                <w:spacing w:val="-5"/>
                <w:highlight w:val="none"/>
              </w:rPr>
            </w:pPr>
            <w:r>
              <w:rPr>
                <w:rFonts w:hint="eastAsia" w:ascii="宋体" w:hAnsi="宋体" w:cs="宋体"/>
                <w:color w:val="auto"/>
                <w:spacing w:val="-5"/>
                <w:sz w:val="24"/>
                <w:highlight w:val="none"/>
              </w:rPr>
              <w:t>服务地点</w:t>
            </w:r>
          </w:p>
        </w:tc>
        <w:tc>
          <w:tcPr>
            <w:tcW w:w="6531" w:type="dxa"/>
          </w:tcPr>
          <w:p w14:paraId="4A2D6D37">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采购人指定地点</w:t>
            </w:r>
          </w:p>
        </w:tc>
      </w:tr>
      <w:tr w14:paraId="4959A9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jc w:val="center"/>
        </w:trPr>
        <w:tc>
          <w:tcPr>
            <w:tcW w:w="1070" w:type="dxa"/>
            <w:vAlign w:val="center"/>
          </w:tcPr>
          <w:p w14:paraId="136D9378">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z w:val="24"/>
                <w:highlight w:val="none"/>
              </w:rPr>
              <w:t>11</w:t>
            </w:r>
          </w:p>
        </w:tc>
        <w:tc>
          <w:tcPr>
            <w:tcW w:w="1968" w:type="dxa"/>
            <w:vAlign w:val="center"/>
          </w:tcPr>
          <w:p w14:paraId="541A5AC4">
            <w:pPr>
              <w:widowControl/>
              <w:kinsoku w:val="0"/>
              <w:autoSpaceDE w:val="0"/>
              <w:autoSpaceDN w:val="0"/>
              <w:adjustRightInd w:val="0"/>
              <w:snapToGrid w:val="0"/>
              <w:spacing w:line="360" w:lineRule="auto"/>
              <w:ind w:right="150"/>
              <w:jc w:val="center"/>
              <w:textAlignment w:val="baseline"/>
              <w:rPr>
                <w:color w:val="auto"/>
                <w:highlight w:val="none"/>
              </w:rPr>
            </w:pPr>
            <w:r>
              <w:rPr>
                <w:rFonts w:hint="eastAsia" w:ascii="宋体" w:hAnsi="宋体" w:cs="宋体"/>
                <w:color w:val="auto"/>
                <w:sz w:val="24"/>
                <w:highlight w:val="none"/>
              </w:rPr>
              <w:t>验收标准、规范</w:t>
            </w:r>
          </w:p>
        </w:tc>
        <w:tc>
          <w:tcPr>
            <w:tcW w:w="6531" w:type="dxa"/>
            <w:vAlign w:val="center"/>
          </w:tcPr>
          <w:p w14:paraId="5CBEFE18">
            <w:pPr>
              <w:widowControl/>
              <w:kinsoku w:val="0"/>
              <w:autoSpaceDE w:val="0"/>
              <w:autoSpaceDN w:val="0"/>
              <w:adjustRightInd w:val="0"/>
              <w:snapToGrid w:val="0"/>
              <w:spacing w:line="360" w:lineRule="auto"/>
              <w:textAlignment w:val="baseline"/>
              <w:rPr>
                <w:color w:val="auto"/>
                <w:highlight w:val="none"/>
              </w:rPr>
            </w:pPr>
            <w:r>
              <w:rPr>
                <w:rFonts w:hint="eastAsia" w:ascii="宋体" w:hAnsi="宋体" w:cs="宋体"/>
                <w:color w:val="auto"/>
                <w:sz w:val="24"/>
                <w:highlight w:val="none"/>
              </w:rPr>
              <w:t>符合国家相关标准和行业相关标准；</w:t>
            </w:r>
          </w:p>
        </w:tc>
      </w:tr>
      <w:tr w14:paraId="5E8F10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64321412">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pacing w:val="-7"/>
                <w:sz w:val="24"/>
                <w:highlight w:val="none"/>
              </w:rPr>
              <w:t>12</w:t>
            </w:r>
          </w:p>
        </w:tc>
        <w:tc>
          <w:tcPr>
            <w:tcW w:w="1968" w:type="dxa"/>
            <w:vAlign w:val="center"/>
          </w:tcPr>
          <w:p w14:paraId="41FB6470">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付款方式</w:t>
            </w:r>
          </w:p>
        </w:tc>
        <w:tc>
          <w:tcPr>
            <w:tcW w:w="6531" w:type="dxa"/>
          </w:tcPr>
          <w:p w14:paraId="67876A95">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结算方式：按月结算（具体详见商务要求）</w:t>
            </w:r>
          </w:p>
        </w:tc>
      </w:tr>
      <w:tr w14:paraId="062082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31DF36D">
            <w:pPr>
              <w:widowControl/>
              <w:kinsoku w:val="0"/>
              <w:autoSpaceDE w:val="0"/>
              <w:autoSpaceDN w:val="0"/>
              <w:adjustRightInd w:val="0"/>
              <w:snapToGrid w:val="0"/>
              <w:spacing w:line="360" w:lineRule="auto"/>
              <w:jc w:val="center"/>
              <w:textAlignment w:val="baseline"/>
              <w:rPr>
                <w:color w:val="auto"/>
                <w:highlight w:val="none"/>
              </w:rPr>
            </w:pPr>
            <w:r>
              <w:rPr>
                <w:rFonts w:hint="eastAsia" w:ascii="宋体" w:hAnsi="宋体" w:cs="宋体"/>
                <w:color w:val="auto"/>
                <w:spacing w:val="-7"/>
                <w:sz w:val="24"/>
                <w:highlight w:val="none"/>
              </w:rPr>
              <w:t>13</w:t>
            </w:r>
          </w:p>
        </w:tc>
        <w:tc>
          <w:tcPr>
            <w:tcW w:w="1968" w:type="dxa"/>
            <w:vAlign w:val="center"/>
          </w:tcPr>
          <w:p w14:paraId="7E42F927">
            <w:pPr>
              <w:widowControl/>
              <w:kinsoku w:val="0"/>
              <w:autoSpaceDE w:val="0"/>
              <w:autoSpaceDN w:val="0"/>
              <w:adjustRightInd w:val="0"/>
              <w:snapToGrid w:val="0"/>
              <w:spacing w:line="360" w:lineRule="auto"/>
              <w:ind w:right="150"/>
              <w:jc w:val="center"/>
              <w:textAlignment w:val="baseline"/>
              <w:rPr>
                <w:color w:val="auto"/>
                <w:highlight w:val="none"/>
              </w:rPr>
            </w:pPr>
            <w:r>
              <w:rPr>
                <w:rFonts w:hint="eastAsia" w:ascii="宋体" w:hAnsi="宋体" w:cs="宋体"/>
                <w:color w:val="auto"/>
                <w:spacing w:val="-3"/>
                <w:sz w:val="24"/>
                <w:highlight w:val="none"/>
              </w:rPr>
              <w:t>供应商资格要</w:t>
            </w:r>
            <w:r>
              <w:rPr>
                <w:rFonts w:hint="eastAsia" w:ascii="宋体" w:hAnsi="宋体" w:cs="宋体"/>
                <w:color w:val="auto"/>
                <w:sz w:val="24"/>
                <w:highlight w:val="none"/>
              </w:rPr>
              <w:t>求</w:t>
            </w:r>
          </w:p>
        </w:tc>
        <w:tc>
          <w:tcPr>
            <w:tcW w:w="6531" w:type="dxa"/>
          </w:tcPr>
          <w:p w14:paraId="23D0AC42">
            <w:pPr>
              <w:widowControl/>
              <w:kinsoku w:val="0"/>
              <w:autoSpaceDE w:val="0"/>
              <w:autoSpaceDN w:val="0"/>
              <w:adjustRightInd w:val="0"/>
              <w:snapToGrid w:val="0"/>
              <w:spacing w:line="360" w:lineRule="auto"/>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1、符合政府采购法第二十二条规定，提供政府采购法实施条例第十七条规定资料。</w:t>
            </w:r>
          </w:p>
          <w:p w14:paraId="009E9DAC">
            <w:pPr>
              <w:widowControl/>
              <w:kinsoku w:val="0"/>
              <w:autoSpaceDE w:val="0"/>
              <w:autoSpaceDN w:val="0"/>
              <w:adjustRightInd w:val="0"/>
              <w:snapToGrid w:val="0"/>
              <w:spacing w:line="360" w:lineRule="auto"/>
              <w:ind w:firstLine="476"/>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①具有独立承担民事责任的能力：提供法人或其他组织的营业执照等证明文件，或自然人身份证明；</w:t>
            </w:r>
          </w:p>
          <w:p w14:paraId="38F96497">
            <w:pPr>
              <w:widowControl/>
              <w:kinsoku w:val="0"/>
              <w:autoSpaceDE w:val="0"/>
              <w:autoSpaceDN w:val="0"/>
              <w:adjustRightInd w:val="0"/>
              <w:snapToGrid w:val="0"/>
              <w:spacing w:line="360" w:lineRule="auto"/>
              <w:ind w:firstLine="476"/>
              <w:textAlignment w:val="baseline"/>
              <w:rPr>
                <w:rFonts w:ascii="宋体" w:hAnsi="宋体" w:cs="宋体"/>
                <w:b/>
                <w:bCs/>
                <w:color w:val="auto"/>
                <w:spacing w:val="-1"/>
                <w:highlight w:val="none"/>
                <w:shd w:val="clear" w:color="auto" w:fill="FFFFFE"/>
              </w:rPr>
            </w:pPr>
            <w:r>
              <w:rPr>
                <w:rFonts w:hint="eastAsia" w:ascii="宋体" w:hAnsi="宋体" w:cs="宋体"/>
                <w:color w:val="auto"/>
                <w:spacing w:val="-1"/>
                <w:sz w:val="24"/>
                <w:highlight w:val="none"/>
                <w:shd w:val="clear" w:color="auto" w:fill="FFFFFE"/>
              </w:rPr>
              <w:t>②具有良好的商业信誉和健全的财务会计制度：</w:t>
            </w:r>
            <w:r>
              <w:rPr>
                <w:rFonts w:hint="eastAsia" w:ascii="宋体" w:hAnsi="宋体" w:cs="宋体"/>
                <w:color w:val="auto"/>
                <w:spacing w:val="-1"/>
                <w:sz w:val="24"/>
                <w:highlight w:val="none"/>
                <w:shd w:val="clear" w:color="auto" w:fill="FFFFFE"/>
                <w:lang w:val="en-US" w:eastAsia="zh-CN"/>
              </w:rPr>
              <w:t>提供</w:t>
            </w:r>
            <w:r>
              <w:rPr>
                <w:rFonts w:hint="eastAsia" w:ascii="宋体" w:hAnsi="宋体" w:cs="宋体"/>
                <w:color w:val="auto"/>
                <w:spacing w:val="-1"/>
                <w:sz w:val="24"/>
                <w:highlight w:val="none"/>
                <w:shd w:val="clear" w:color="auto" w:fill="FFFFFE"/>
              </w:rPr>
              <w:t>202</w:t>
            </w:r>
            <w:r>
              <w:rPr>
                <w:rFonts w:hint="eastAsia" w:ascii="宋体" w:hAnsi="宋体" w:cs="宋体"/>
                <w:color w:val="auto"/>
                <w:spacing w:val="-1"/>
                <w:sz w:val="24"/>
                <w:highlight w:val="none"/>
                <w:shd w:val="clear" w:color="auto" w:fill="FFFFFE"/>
                <w:lang w:val="en-US" w:eastAsia="zh-CN"/>
              </w:rPr>
              <w:t>4</w:t>
            </w:r>
            <w:r>
              <w:rPr>
                <w:rFonts w:hint="eastAsia" w:ascii="宋体" w:hAnsi="宋体" w:cs="宋体"/>
                <w:color w:val="auto"/>
                <w:spacing w:val="-1"/>
                <w:sz w:val="24"/>
                <w:highlight w:val="none"/>
                <w:shd w:val="clear" w:color="auto" w:fill="FFFFFE"/>
              </w:rPr>
              <w:t>年度经合法审计机构出具的财务审计报告，或由基本开户银行出具的</w:t>
            </w:r>
            <w:r>
              <w:rPr>
                <w:rFonts w:hint="eastAsia" w:ascii="宋体" w:hAnsi="宋体" w:cs="宋体"/>
                <w:color w:val="auto"/>
                <w:spacing w:val="-1"/>
                <w:sz w:val="24"/>
                <w:highlight w:val="none"/>
                <w:shd w:val="clear" w:color="auto" w:fill="FFFFFE"/>
                <w:lang w:val="en-US" w:eastAsia="zh-CN"/>
              </w:rPr>
              <w:t>2025年有效的</w:t>
            </w:r>
            <w:r>
              <w:rPr>
                <w:rFonts w:hint="eastAsia" w:ascii="宋体" w:hAnsi="宋体" w:cs="宋体"/>
                <w:color w:val="auto"/>
                <w:spacing w:val="-1"/>
                <w:sz w:val="24"/>
                <w:highlight w:val="none"/>
                <w:shd w:val="clear" w:color="auto" w:fill="FFFFFE"/>
              </w:rPr>
              <w:t>资信证明。（复印件加盖供应商公章）；</w:t>
            </w:r>
          </w:p>
          <w:p w14:paraId="6197F565">
            <w:pPr>
              <w:widowControl/>
              <w:kinsoku w:val="0"/>
              <w:autoSpaceDE w:val="0"/>
              <w:autoSpaceDN w:val="0"/>
              <w:adjustRightInd w:val="0"/>
              <w:snapToGrid w:val="0"/>
              <w:spacing w:line="360" w:lineRule="auto"/>
              <w:ind w:firstLine="476"/>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③具有履行合同所必需的设备和专业技术能力：提供具备履行合同所必需的设备和专业技术能力的证明材料（供应商自行承诺，格式自拟）；</w:t>
            </w:r>
          </w:p>
          <w:p w14:paraId="23A0912F">
            <w:pPr>
              <w:widowControl/>
              <w:kinsoku w:val="0"/>
              <w:autoSpaceDE w:val="0"/>
              <w:autoSpaceDN w:val="0"/>
              <w:adjustRightInd w:val="0"/>
              <w:snapToGrid w:val="0"/>
              <w:spacing w:line="360" w:lineRule="auto"/>
              <w:ind w:firstLine="476"/>
              <w:textAlignment w:val="baseline"/>
              <w:rPr>
                <w:rFonts w:ascii="Arial" w:hAnsi="Arial" w:cs="Arial"/>
                <w:b/>
                <w:bCs/>
                <w:color w:val="auto"/>
                <w:kern w:val="0"/>
                <w:sz w:val="24"/>
                <w:szCs w:val="18"/>
                <w:highlight w:val="none"/>
              </w:rPr>
            </w:pPr>
            <w:r>
              <w:rPr>
                <w:rFonts w:hint="eastAsia" w:ascii="宋体" w:hAnsi="宋体" w:cs="宋体"/>
                <w:color w:val="auto"/>
                <w:spacing w:val="-1"/>
                <w:sz w:val="24"/>
                <w:highlight w:val="none"/>
                <w:shd w:val="clear" w:color="auto" w:fill="FFFFFE"/>
              </w:rPr>
              <w:t>④具有依法缴纳税收和社会保障资金的良好记录：</w:t>
            </w:r>
            <w:r>
              <w:rPr>
                <w:rFonts w:hint="eastAsia" w:ascii="Arial" w:hAnsi="Arial" w:cs="Arial"/>
                <w:b/>
                <w:bCs/>
                <w:color w:val="auto"/>
                <w:kern w:val="0"/>
                <w:sz w:val="24"/>
                <w:szCs w:val="18"/>
                <w:highlight w:val="none"/>
              </w:rPr>
              <w:t>提供202</w:t>
            </w:r>
            <w:r>
              <w:rPr>
                <w:rFonts w:hint="eastAsia" w:ascii="Arial" w:hAnsi="Arial" w:cs="Arial"/>
                <w:b/>
                <w:bCs/>
                <w:color w:val="auto"/>
                <w:kern w:val="0"/>
                <w:sz w:val="24"/>
                <w:szCs w:val="18"/>
                <w:highlight w:val="none"/>
                <w:lang w:val="en-US" w:eastAsia="zh-CN"/>
              </w:rPr>
              <w:t>5</w:t>
            </w:r>
            <w:r>
              <w:rPr>
                <w:rFonts w:hint="eastAsia" w:ascii="Arial" w:hAnsi="Arial" w:cs="Arial"/>
                <w:b/>
                <w:bCs/>
                <w:color w:val="auto"/>
                <w:kern w:val="0"/>
                <w:sz w:val="24"/>
                <w:szCs w:val="18"/>
                <w:highlight w:val="none"/>
              </w:rPr>
              <w:t>年至今任意1个月依法缴纳税收和社会保障资金的有效证明材料（不需要缴纳税收的提供相关证明材料）；</w:t>
            </w:r>
          </w:p>
          <w:p w14:paraId="6598F4FF">
            <w:pPr>
              <w:widowControl/>
              <w:kinsoku w:val="0"/>
              <w:autoSpaceDE w:val="0"/>
              <w:autoSpaceDN w:val="0"/>
              <w:adjustRightInd w:val="0"/>
              <w:snapToGrid w:val="0"/>
              <w:spacing w:line="360" w:lineRule="auto"/>
              <w:ind w:firstLine="476"/>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⑤参加本次政府采购活动前三年内，在经营活动中没有违法违规记录：提供参加政府采购活动前3年内在经营活动中没有重大违法记录的书面声明（格式文件详见投标文件范本）；</w:t>
            </w:r>
          </w:p>
          <w:p w14:paraId="48EEAF22">
            <w:pPr>
              <w:widowControl/>
              <w:kinsoku w:val="0"/>
              <w:autoSpaceDE w:val="0"/>
              <w:autoSpaceDN w:val="0"/>
              <w:adjustRightInd w:val="0"/>
              <w:snapToGrid w:val="0"/>
              <w:spacing w:line="360" w:lineRule="auto"/>
              <w:ind w:firstLine="476"/>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⑥法律、行政法规规定的其他条件：</w:t>
            </w:r>
          </w:p>
          <w:p w14:paraId="3886F9B9">
            <w:pPr>
              <w:widowControl/>
              <w:kinsoku w:val="0"/>
              <w:autoSpaceDE w:val="0"/>
              <w:autoSpaceDN w:val="0"/>
              <w:adjustRightInd w:val="0"/>
              <w:snapToGrid w:val="0"/>
              <w:spacing w:line="360" w:lineRule="auto"/>
              <w:ind w:firstLine="476"/>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A.供应商须承诺：</w:t>
            </w:r>
            <w:r>
              <w:rPr>
                <w:rFonts w:hint="eastAsia" w:ascii="宋体" w:hAnsi="宋体" w:cs="宋体"/>
                <w:color w:val="auto"/>
                <w:sz w:val="24"/>
                <w:highlight w:val="none"/>
              </w:rPr>
              <w:t>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r>
              <w:rPr>
                <w:rFonts w:hint="eastAsia" w:ascii="宋体" w:hAnsi="宋体" w:cs="宋体"/>
                <w:color w:val="auto"/>
                <w:spacing w:val="-1"/>
                <w:sz w:val="24"/>
                <w:highlight w:val="none"/>
                <w:shd w:val="clear" w:color="auto" w:fill="FFFFFE"/>
              </w:rPr>
              <w:t>。</w:t>
            </w:r>
          </w:p>
          <w:p w14:paraId="7855AE06">
            <w:pPr>
              <w:widowControl/>
              <w:kinsoku w:val="0"/>
              <w:autoSpaceDE w:val="0"/>
              <w:autoSpaceDN w:val="0"/>
              <w:adjustRightInd w:val="0"/>
              <w:snapToGrid w:val="0"/>
              <w:spacing w:line="360" w:lineRule="auto"/>
              <w:textAlignment w:val="baseline"/>
              <w:rPr>
                <w:rFonts w:ascii="宋体" w:hAnsi="宋体" w:cs="宋体"/>
                <w:color w:val="auto"/>
                <w:spacing w:val="-1"/>
                <w:highlight w:val="none"/>
                <w:shd w:val="clear" w:color="auto" w:fill="FFFFFE"/>
              </w:rPr>
            </w:pPr>
            <w:r>
              <w:rPr>
                <w:rFonts w:hint="eastAsia" w:ascii="宋体" w:hAnsi="宋体" w:cs="宋体"/>
                <w:color w:val="auto"/>
                <w:spacing w:val="-1"/>
                <w:sz w:val="24"/>
                <w:highlight w:val="none"/>
                <w:shd w:val="clear" w:color="auto" w:fill="FFFFFE"/>
              </w:rPr>
              <w:t>2、本项目所需特殊行业资质或要求：无</w:t>
            </w:r>
          </w:p>
        </w:tc>
      </w:tr>
      <w:tr w14:paraId="3E725B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jc w:val="center"/>
        </w:trPr>
        <w:tc>
          <w:tcPr>
            <w:tcW w:w="1070" w:type="dxa"/>
            <w:vAlign w:val="center"/>
          </w:tcPr>
          <w:p w14:paraId="61A87845">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14</w:t>
            </w:r>
          </w:p>
        </w:tc>
        <w:tc>
          <w:tcPr>
            <w:tcW w:w="1968" w:type="dxa"/>
            <w:vAlign w:val="center"/>
          </w:tcPr>
          <w:p w14:paraId="531775E2">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报价要求</w:t>
            </w:r>
          </w:p>
        </w:tc>
        <w:tc>
          <w:tcPr>
            <w:tcW w:w="6531" w:type="dxa"/>
            <w:vAlign w:val="center"/>
          </w:tcPr>
          <w:p w14:paraId="788BC129">
            <w:pPr>
              <w:pStyle w:val="10"/>
              <w:spacing w:line="360" w:lineRule="auto"/>
              <w:rPr>
                <w:rFonts w:ascii="宋体" w:hAnsi="宋体" w:cs="宋体"/>
                <w:snapToGrid w:val="0"/>
                <w:color w:val="auto"/>
                <w:spacing w:val="-1"/>
                <w:kern w:val="0"/>
                <w:sz w:val="24"/>
                <w:highlight w:val="none"/>
                <w:shd w:val="clear" w:color="auto" w:fill="FFFFFE"/>
              </w:rPr>
            </w:pPr>
            <w:r>
              <w:rPr>
                <w:rFonts w:hint="eastAsia" w:ascii="宋体" w:hAnsi="宋体" w:cs="宋体"/>
                <w:snapToGrid w:val="0"/>
                <w:color w:val="auto"/>
                <w:spacing w:val="-1"/>
                <w:kern w:val="0"/>
                <w:sz w:val="24"/>
                <w:highlight w:val="none"/>
                <w:shd w:val="clear" w:color="auto" w:fill="FFFFFE"/>
              </w:rPr>
              <w:t>1．投标报价：即包干价（含税）。</w:t>
            </w:r>
          </w:p>
          <w:p w14:paraId="0CD438AA">
            <w:pPr>
              <w:pStyle w:val="10"/>
              <w:rPr>
                <w:rFonts w:ascii="宋体" w:hAnsi="宋体" w:cs="宋体"/>
                <w:snapToGrid w:val="0"/>
                <w:color w:val="auto"/>
                <w:spacing w:val="-1"/>
                <w:kern w:val="0"/>
                <w:sz w:val="24"/>
                <w:highlight w:val="none"/>
                <w:shd w:val="clear" w:color="auto" w:fill="FFFFFE"/>
              </w:rPr>
            </w:pPr>
            <w:r>
              <w:rPr>
                <w:rFonts w:hint="eastAsia" w:ascii="宋体" w:hAnsi="宋体" w:cs="宋体"/>
                <w:snapToGrid w:val="0"/>
                <w:color w:val="auto"/>
                <w:spacing w:val="-1"/>
                <w:kern w:val="0"/>
                <w:sz w:val="24"/>
                <w:highlight w:val="none"/>
                <w:shd w:val="clear" w:color="auto" w:fill="FFFFFE"/>
              </w:rPr>
              <w:t>2．投标供应商报价应包括：专利费、人力资源费、调研费、</w:t>
            </w:r>
          </w:p>
          <w:p w14:paraId="552B031E">
            <w:pPr>
              <w:widowControl/>
              <w:jc w:val="left"/>
              <w:rPr>
                <w:rFonts w:ascii="宋体" w:hAnsi="宋体" w:cs="宋体"/>
                <w:snapToGrid w:val="0"/>
                <w:color w:val="auto"/>
                <w:spacing w:val="-1"/>
                <w:kern w:val="0"/>
                <w:sz w:val="24"/>
                <w:highlight w:val="none"/>
                <w:shd w:val="clear" w:color="auto" w:fill="FFFFFE"/>
              </w:rPr>
            </w:pPr>
            <w:r>
              <w:rPr>
                <w:rFonts w:hint="eastAsia" w:ascii="宋体" w:hAnsi="宋体" w:cs="宋体"/>
                <w:snapToGrid w:val="0"/>
                <w:color w:val="auto"/>
                <w:spacing w:val="-1"/>
                <w:kern w:val="0"/>
                <w:sz w:val="24"/>
                <w:highlight w:val="none"/>
                <w:shd w:val="clear" w:color="auto" w:fill="FFFFFE"/>
              </w:rPr>
              <w:t>专用工具价、培训费、税费等一切成本费用，即包干价。</w:t>
            </w:r>
          </w:p>
          <w:p w14:paraId="039B40EE">
            <w:pPr>
              <w:pStyle w:val="10"/>
              <w:spacing w:line="360" w:lineRule="auto"/>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3．投标货币：人民币报价。</w:t>
            </w:r>
          </w:p>
        </w:tc>
      </w:tr>
      <w:tr w14:paraId="76044B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2281250A">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15</w:t>
            </w:r>
          </w:p>
        </w:tc>
        <w:tc>
          <w:tcPr>
            <w:tcW w:w="1968" w:type="dxa"/>
            <w:vAlign w:val="center"/>
          </w:tcPr>
          <w:p w14:paraId="3ED2FA8B">
            <w:pPr>
              <w:pStyle w:val="10"/>
              <w:spacing w:line="360" w:lineRule="auto"/>
              <w:jc w:val="center"/>
              <w:rPr>
                <w:rFonts w:ascii="宋体" w:hAnsi="宋体" w:cs="宋体"/>
                <w:snapToGrid w:val="0"/>
                <w:color w:val="auto"/>
                <w:kern w:val="0"/>
                <w:highlight w:val="none"/>
              </w:rPr>
            </w:pPr>
            <w:r>
              <w:rPr>
                <w:rFonts w:hint="eastAsia" w:ascii="宋体" w:hAnsi="宋体" w:cs="宋体"/>
                <w:color w:val="auto"/>
                <w:sz w:val="24"/>
                <w:highlight w:val="none"/>
              </w:rPr>
              <w:t>投标保证金</w:t>
            </w:r>
          </w:p>
        </w:tc>
        <w:tc>
          <w:tcPr>
            <w:tcW w:w="6531" w:type="dxa"/>
          </w:tcPr>
          <w:p w14:paraId="5DEB11AA">
            <w:pPr>
              <w:pStyle w:val="10"/>
              <w:spacing w:line="360" w:lineRule="auto"/>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（一）投标保证金的缴纳</w:t>
            </w:r>
          </w:p>
          <w:p w14:paraId="6102570B">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1、供应商可以使用下列形式之一提交投标保证金：银行转账、银行保函、担保保函、保证保险，具体要求见正文部分。</w:t>
            </w:r>
          </w:p>
          <w:p w14:paraId="51094102">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2、投标保证金证明材料提交：</w:t>
            </w:r>
          </w:p>
          <w:p w14:paraId="490FAE4D">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投标保证金的金额：</w:t>
            </w:r>
            <w:r>
              <w:rPr>
                <w:rFonts w:hint="eastAsia" w:ascii="宋体" w:hAnsi="宋体" w:cs="宋体"/>
                <w:snapToGrid w:val="0"/>
                <w:color w:val="auto"/>
                <w:spacing w:val="-1"/>
                <w:kern w:val="0"/>
                <w:sz w:val="24"/>
                <w:highlight w:val="none"/>
                <w:shd w:val="clear" w:color="auto" w:fill="FFFFFE"/>
                <w:lang w:val="en-US" w:eastAsia="zh-CN"/>
              </w:rPr>
              <w:t>5</w:t>
            </w:r>
            <w:r>
              <w:rPr>
                <w:rFonts w:hint="eastAsia" w:ascii="宋体" w:hAnsi="宋体" w:cs="宋体"/>
                <w:snapToGrid w:val="0"/>
                <w:color w:val="auto"/>
                <w:spacing w:val="-1"/>
                <w:kern w:val="0"/>
                <w:sz w:val="24"/>
                <w:highlight w:val="none"/>
                <w:shd w:val="clear" w:color="auto" w:fill="FFFFFE"/>
              </w:rPr>
              <w:t>0000.00元（人民币），须从供应商基本账户开出。</w:t>
            </w:r>
          </w:p>
          <w:p w14:paraId="609FE695">
            <w:pPr>
              <w:pStyle w:val="10"/>
              <w:spacing w:line="360" w:lineRule="auto"/>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投标保证金缴纳截止时间：202</w:t>
            </w:r>
            <w:r>
              <w:rPr>
                <w:rFonts w:hint="eastAsia" w:ascii="宋体" w:hAnsi="宋体" w:cs="宋体"/>
                <w:snapToGrid w:val="0"/>
                <w:color w:val="auto"/>
                <w:spacing w:val="-1"/>
                <w:kern w:val="0"/>
                <w:sz w:val="24"/>
                <w:highlight w:val="none"/>
                <w:shd w:val="clear" w:color="auto" w:fill="FFFFFE"/>
                <w:lang w:val="en-US" w:eastAsia="zh-CN"/>
              </w:rPr>
              <w:t>5</w:t>
            </w:r>
            <w:r>
              <w:rPr>
                <w:rFonts w:hint="eastAsia" w:ascii="宋体" w:hAnsi="宋体" w:cs="宋体"/>
                <w:snapToGrid w:val="0"/>
                <w:color w:val="auto"/>
                <w:spacing w:val="-1"/>
                <w:kern w:val="0"/>
                <w:sz w:val="24"/>
                <w:highlight w:val="none"/>
                <w:shd w:val="clear" w:color="auto" w:fill="FFFFFE"/>
              </w:rPr>
              <w:t>年0</w:t>
            </w:r>
            <w:r>
              <w:rPr>
                <w:rFonts w:hint="eastAsia" w:ascii="宋体" w:hAnsi="宋体" w:cs="宋体"/>
                <w:snapToGrid w:val="0"/>
                <w:color w:val="auto"/>
                <w:spacing w:val="-1"/>
                <w:kern w:val="0"/>
                <w:sz w:val="24"/>
                <w:highlight w:val="none"/>
                <w:shd w:val="clear" w:color="auto" w:fill="FFFFFE"/>
                <w:lang w:val="en-US" w:eastAsia="zh-CN"/>
              </w:rPr>
              <w:t>8</w:t>
            </w:r>
            <w:r>
              <w:rPr>
                <w:rFonts w:hint="eastAsia" w:ascii="宋体" w:hAnsi="宋体" w:cs="宋体"/>
                <w:snapToGrid w:val="0"/>
                <w:color w:val="auto"/>
                <w:spacing w:val="-1"/>
                <w:kern w:val="0"/>
                <w:sz w:val="24"/>
                <w:highlight w:val="none"/>
                <w:shd w:val="clear" w:color="auto" w:fill="FFFFFE"/>
              </w:rPr>
              <w:t>月</w:t>
            </w:r>
            <w:r>
              <w:rPr>
                <w:rFonts w:hint="eastAsia" w:ascii="宋体" w:hAnsi="宋体" w:cs="宋体"/>
                <w:snapToGrid w:val="0"/>
                <w:color w:val="auto"/>
                <w:spacing w:val="-1"/>
                <w:kern w:val="0"/>
                <w:sz w:val="24"/>
                <w:highlight w:val="none"/>
                <w:shd w:val="clear" w:color="auto" w:fill="FFFFFE"/>
                <w:lang w:val="en-US" w:eastAsia="zh-CN"/>
              </w:rPr>
              <w:t xml:space="preserve">  </w:t>
            </w:r>
            <w:r>
              <w:rPr>
                <w:rFonts w:hint="eastAsia" w:ascii="宋体" w:hAnsi="宋体" w:cs="宋体"/>
                <w:snapToGrid w:val="0"/>
                <w:color w:val="auto"/>
                <w:spacing w:val="-1"/>
                <w:kern w:val="0"/>
                <w:sz w:val="24"/>
                <w:highlight w:val="none"/>
                <w:shd w:val="clear" w:color="auto" w:fill="FFFFFE"/>
              </w:rPr>
              <w:t>日09时30分</w:t>
            </w:r>
          </w:p>
          <w:p w14:paraId="63EA696B">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（1）银行转账</w:t>
            </w:r>
          </w:p>
          <w:p w14:paraId="452544E3">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户名：贵州省公共资源交易中心</w:t>
            </w:r>
          </w:p>
          <w:p w14:paraId="2BF5D7A3">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 xml:space="preserve">开户银行：贵州银行股份有限公司贵阳展览馆支行 </w:t>
            </w:r>
          </w:p>
          <w:p w14:paraId="0848C4C3">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账号：0109001400000182-0002</w:t>
            </w:r>
          </w:p>
          <w:p w14:paraId="4AABFA01">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（2）银行保函/担保保函/保证保险</w:t>
            </w:r>
          </w:p>
          <w:p w14:paraId="5F77BB33">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银行转账、银行保函、担保保函、保证保险的扫描件（加盖供应商单位印章）应作为投标文件中资格审查的组成部分，装订在投标文件中。</w:t>
            </w:r>
          </w:p>
          <w:p w14:paraId="52B7CAE3">
            <w:pPr>
              <w:pStyle w:val="10"/>
              <w:spacing w:line="360" w:lineRule="auto"/>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（二）投标保证金退还。</w:t>
            </w:r>
          </w:p>
          <w:p w14:paraId="6D40855E">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以银行转账形式提交的保证金：公示期结束后，采购人应在10日内书面通知公共资源交易中心退还未中标人的投标保证金及银行同期存款利息（如有异议或投诉情形的除外）。</w:t>
            </w:r>
          </w:p>
          <w:p w14:paraId="410549E1">
            <w:pPr>
              <w:pStyle w:val="10"/>
              <w:spacing w:line="360" w:lineRule="auto"/>
              <w:ind w:firstLine="476"/>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采购人应当在法定时间内和中标人签订合同，并书面通知公共资源交易中心，公共资源交易中心应于5日内向中标人退还投标保证金及银行同期存款利息。在投标有效期后采购人仍未书面通知公共资 源交易中心的，将视为采购人同意，公共资源交易中心将主动退还未中标人的投标保证金及银行同期存款利息。</w:t>
            </w:r>
          </w:p>
        </w:tc>
      </w:tr>
      <w:tr w14:paraId="16C261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1DC8ACE9">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16</w:t>
            </w:r>
          </w:p>
        </w:tc>
        <w:tc>
          <w:tcPr>
            <w:tcW w:w="1968" w:type="dxa"/>
            <w:vAlign w:val="center"/>
          </w:tcPr>
          <w:p w14:paraId="2F109F88">
            <w:pPr>
              <w:pStyle w:val="10"/>
              <w:spacing w:line="360" w:lineRule="auto"/>
              <w:jc w:val="center"/>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投标文件制作</w:t>
            </w:r>
          </w:p>
        </w:tc>
        <w:tc>
          <w:tcPr>
            <w:tcW w:w="6531" w:type="dxa"/>
          </w:tcPr>
          <w:p w14:paraId="112879ED">
            <w:pPr>
              <w:pStyle w:val="10"/>
              <w:spacing w:line="360" w:lineRule="auto"/>
              <w:ind w:firstLine="476"/>
              <w:rPr>
                <w:rFonts w:ascii="宋体" w:hAnsi="宋体" w:cs="宋体"/>
                <w:snapToGrid w:val="0"/>
                <w:color w:val="auto"/>
                <w:spacing w:val="-1"/>
                <w:kern w:val="0"/>
                <w:sz w:val="24"/>
                <w:highlight w:val="none"/>
                <w:shd w:val="clear" w:color="auto" w:fill="FFFFFE"/>
              </w:rPr>
            </w:pPr>
            <w:r>
              <w:rPr>
                <w:rFonts w:hint="eastAsia" w:ascii="宋体" w:hAnsi="宋体" w:cs="宋体"/>
                <w:snapToGrid w:val="0"/>
                <w:color w:val="auto"/>
                <w:spacing w:val="-1"/>
                <w:kern w:val="0"/>
                <w:sz w:val="24"/>
                <w:highlight w:val="none"/>
                <w:shd w:val="clear" w:color="auto" w:fill="FFFFFE"/>
              </w:rPr>
              <w:t xml:space="preserve">(1) 投标文件编制：通过贵州省公共资源交易公共服务平台 下载“投标文件制作工具”编制投标文件，生成电子投标文件， 使用数字(CA)证书或移动 (CA)证书(贵州交易通 APP、 标信通 APP) 进行加密、签章。 </w:t>
            </w:r>
          </w:p>
          <w:p w14:paraId="63EF4131">
            <w:pPr>
              <w:pStyle w:val="10"/>
              <w:spacing w:line="360" w:lineRule="auto"/>
              <w:ind w:firstLine="476"/>
              <w:rPr>
                <w:rFonts w:ascii="宋体" w:hAnsi="宋体" w:cs="宋体"/>
                <w:snapToGrid w:val="0"/>
                <w:color w:val="auto"/>
                <w:spacing w:val="-1"/>
                <w:kern w:val="0"/>
                <w:sz w:val="24"/>
                <w:highlight w:val="none"/>
                <w:shd w:val="clear" w:color="auto" w:fill="FFFFFE"/>
              </w:rPr>
            </w:pPr>
            <w:r>
              <w:rPr>
                <w:rFonts w:hint="eastAsia" w:ascii="宋体" w:hAnsi="宋体" w:cs="宋体"/>
                <w:snapToGrid w:val="0"/>
                <w:color w:val="auto"/>
                <w:spacing w:val="-1"/>
                <w:kern w:val="0"/>
                <w:sz w:val="24"/>
                <w:highlight w:val="none"/>
                <w:shd w:val="clear" w:color="auto" w:fill="FFFFFE"/>
              </w:rPr>
              <w:t xml:space="preserve">(2) 投标文件提交方式：加密的电子投标文件上传至贵州省公共资源交易公共服务平台。 </w:t>
            </w:r>
          </w:p>
          <w:p w14:paraId="57C80B1A">
            <w:pPr>
              <w:pStyle w:val="10"/>
              <w:spacing w:line="360" w:lineRule="auto"/>
              <w:ind w:firstLine="476"/>
              <w:rPr>
                <w:rFonts w:ascii="宋体" w:hAnsi="宋体" w:cs="宋体"/>
                <w:snapToGrid w:val="0"/>
                <w:color w:val="auto"/>
                <w:spacing w:val="-1"/>
                <w:kern w:val="0"/>
                <w:sz w:val="24"/>
                <w:highlight w:val="none"/>
                <w:shd w:val="clear" w:color="auto" w:fill="FFFFFE"/>
              </w:rPr>
            </w:pPr>
            <w:r>
              <w:rPr>
                <w:rFonts w:hint="eastAsia" w:ascii="宋体" w:hAnsi="宋体" w:cs="宋体"/>
                <w:snapToGrid w:val="0"/>
                <w:color w:val="auto"/>
                <w:spacing w:val="-1"/>
                <w:kern w:val="0"/>
                <w:sz w:val="24"/>
                <w:highlight w:val="none"/>
                <w:shd w:val="clear" w:color="auto" w:fill="FFFFFE"/>
              </w:rPr>
              <w:t xml:space="preserve">(3) 提交投标文件截止时间：详见采购公告，逾期上传或未加密的投标文件或不符合规定格式的投标文件，贵州省公共资源交易公共服务平台将予以拒收。 </w:t>
            </w:r>
          </w:p>
          <w:p w14:paraId="01293459">
            <w:pPr>
              <w:pStyle w:val="10"/>
              <w:spacing w:line="360" w:lineRule="auto"/>
              <w:ind w:firstLine="476"/>
              <w:rPr>
                <w:rFonts w:ascii="宋体" w:hAnsi="宋体" w:cs="宋体"/>
                <w:snapToGrid w:val="0"/>
                <w:color w:val="auto"/>
                <w:spacing w:val="-1"/>
                <w:kern w:val="0"/>
                <w:sz w:val="24"/>
                <w:highlight w:val="none"/>
                <w:shd w:val="clear" w:color="auto" w:fill="FFFFFE"/>
              </w:rPr>
            </w:pPr>
            <w:r>
              <w:rPr>
                <w:rFonts w:hint="eastAsia" w:ascii="宋体" w:hAnsi="宋体" w:cs="宋体"/>
                <w:snapToGrid w:val="0"/>
                <w:color w:val="auto"/>
                <w:spacing w:val="-1"/>
                <w:kern w:val="0"/>
                <w:sz w:val="24"/>
                <w:highlight w:val="none"/>
                <w:shd w:val="clear" w:color="auto" w:fill="FFFFFE"/>
              </w:rPr>
              <w:t>(4)本项目为电子招标远程开标项目，投标供应商须在递交投标文件截止时间前完整的将加密电子投标文件上传到贵州省公共资源交易公共服务平台，投标截止时间前未完成投标文件传输或撤回投标文件的，视为未递交投标文件。投标截止时间后， 贵州省公共资源交易公共服务平台不再接收投标文件。 远程开标需使用数字(CA) 证书或移动(CA) 证书(贵州交 易通 APP、标信通 APP)进行解密。 (证书使用事宜咨询电话如下：数字(CA)证书咨询电话: 0851-85971671/85971629；移动(CA) 证书(贵州交易通 APP、标 信通 APP)技术保障电话： 18785066386) 。</w:t>
            </w:r>
          </w:p>
        </w:tc>
      </w:tr>
      <w:tr w14:paraId="1E898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D0D5C36">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17</w:t>
            </w:r>
          </w:p>
        </w:tc>
        <w:tc>
          <w:tcPr>
            <w:tcW w:w="1968" w:type="dxa"/>
            <w:vAlign w:val="center"/>
          </w:tcPr>
          <w:p w14:paraId="271A5003">
            <w:pPr>
              <w:pStyle w:val="10"/>
              <w:spacing w:line="360" w:lineRule="auto"/>
              <w:jc w:val="center"/>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投标文件数量</w:t>
            </w:r>
          </w:p>
        </w:tc>
        <w:tc>
          <w:tcPr>
            <w:tcW w:w="6531" w:type="dxa"/>
          </w:tcPr>
          <w:p w14:paraId="2F2B0E02">
            <w:pPr>
              <w:widowControl/>
              <w:spacing w:line="360" w:lineRule="auto"/>
              <w:jc w:val="left"/>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投标文件的份数（投标文件必须采用胶装，不能活页装订）：正本壹份，副本壹份，电子版（U盘）壹份。其中电子版内容为按照贵州省公共资源交易中心政府采购投标文件编制工具编制完成后导出的PDF文件；纸质版为上述导出的PDF文件的打印件。即供应商须确保上传到贵州省公共资源交易中心的加密电子投标文件（GPT格式）文件内容完全一致（不一致的以上传到交易系统的电子投标文件为准）。电子版内容须是投标文件正本加盖投标供应商公章的PDF版本，不加密），中标（成交）供应商在领取成交通知书时，须向采购代理机构递交。</w:t>
            </w:r>
          </w:p>
        </w:tc>
      </w:tr>
      <w:tr w14:paraId="6ECD0C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335B951">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18</w:t>
            </w:r>
          </w:p>
        </w:tc>
        <w:tc>
          <w:tcPr>
            <w:tcW w:w="1968" w:type="dxa"/>
            <w:vAlign w:val="center"/>
          </w:tcPr>
          <w:p w14:paraId="083C2EE5">
            <w:pPr>
              <w:widowControl/>
              <w:kinsoku w:val="0"/>
              <w:autoSpaceDE w:val="0"/>
              <w:autoSpaceDN w:val="0"/>
              <w:adjustRightInd w:val="0"/>
              <w:snapToGrid w:val="0"/>
              <w:spacing w:line="360" w:lineRule="auto"/>
              <w:jc w:val="center"/>
              <w:textAlignment w:val="baseline"/>
              <w:rPr>
                <w:rFonts w:ascii="宋体" w:hAnsi="宋体" w:cs="宋体"/>
                <w:snapToGrid w:val="0"/>
                <w:color w:val="auto"/>
                <w:spacing w:val="-1"/>
                <w:kern w:val="0"/>
                <w:highlight w:val="none"/>
                <w:shd w:val="clear" w:color="auto" w:fill="FFFFFE"/>
              </w:rPr>
            </w:pPr>
            <w:r>
              <w:rPr>
                <w:rFonts w:hint="eastAsia" w:ascii="宋体" w:hAnsi="宋体" w:cs="宋体"/>
                <w:color w:val="auto"/>
                <w:sz w:val="24"/>
                <w:highlight w:val="none"/>
              </w:rPr>
              <w:t>质疑</w:t>
            </w:r>
          </w:p>
        </w:tc>
        <w:tc>
          <w:tcPr>
            <w:tcW w:w="6531" w:type="dxa"/>
            <w:vAlign w:val="center"/>
          </w:tcPr>
          <w:p w14:paraId="5E5898C9">
            <w:pPr>
              <w:widowControl/>
              <w:kinsoku w:val="0"/>
              <w:autoSpaceDE w:val="0"/>
              <w:autoSpaceDN w:val="0"/>
              <w:adjustRightInd w:val="0"/>
              <w:snapToGrid w:val="0"/>
              <w:spacing w:line="360" w:lineRule="auto"/>
              <w:textAlignment w:val="baseline"/>
              <w:rPr>
                <w:rFonts w:ascii="宋体" w:hAnsi="宋体" w:cs="宋体"/>
                <w:snapToGrid w:val="0"/>
                <w:color w:val="auto"/>
                <w:spacing w:val="-1"/>
                <w:kern w:val="0"/>
                <w:highlight w:val="none"/>
                <w:shd w:val="clear" w:color="auto" w:fill="FFFFFE"/>
              </w:rPr>
            </w:pPr>
            <w:r>
              <w:rPr>
                <w:rFonts w:hint="eastAsia" w:ascii="宋体" w:hAnsi="宋体" w:cs="宋体"/>
                <w:color w:val="auto"/>
                <w:spacing w:val="-1"/>
                <w:sz w:val="24"/>
                <w:highlight w:val="none"/>
                <w:shd w:val="clear" w:color="auto" w:fill="FFFFFE"/>
              </w:rPr>
              <w:t>供应商认为采购文件、采购过程和中标、成交结果使自己的权益受到损害的，可以在知道或者应知其权益受到损害之日（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起七个工作日内，以书面形式向采购人提出质疑，供应商在法定质疑期内一次性提出针对同一采购程序环节的质疑，多次提出的不再受理。</w:t>
            </w:r>
          </w:p>
        </w:tc>
      </w:tr>
      <w:tr w14:paraId="436E6A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673A9D9">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19</w:t>
            </w:r>
          </w:p>
        </w:tc>
        <w:tc>
          <w:tcPr>
            <w:tcW w:w="1968" w:type="dxa"/>
            <w:vAlign w:val="center"/>
          </w:tcPr>
          <w:p w14:paraId="3F79025F">
            <w:pPr>
              <w:spacing w:before="148" w:line="360" w:lineRule="auto"/>
              <w:ind w:right="151"/>
              <w:jc w:val="center"/>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投标文件递交截止时间</w:t>
            </w:r>
          </w:p>
        </w:tc>
        <w:tc>
          <w:tcPr>
            <w:tcW w:w="6531" w:type="dxa"/>
            <w:vAlign w:val="center"/>
          </w:tcPr>
          <w:p w14:paraId="7FB2BD51">
            <w:pPr>
              <w:spacing w:before="78" w:line="360" w:lineRule="auto"/>
              <w:rPr>
                <w:rFonts w:ascii="宋体" w:hAnsi="宋体" w:cs="宋体"/>
                <w:snapToGrid w:val="0"/>
                <w:color w:val="auto"/>
                <w:spacing w:val="-1"/>
                <w:kern w:val="0"/>
                <w:highlight w:val="none"/>
                <w:shd w:val="clear" w:color="auto" w:fill="FFFFFE"/>
              </w:rPr>
            </w:pPr>
            <w:r>
              <w:rPr>
                <w:rFonts w:hint="eastAsia" w:ascii="宋体" w:hAnsi="宋体" w:cs="宋体"/>
                <w:color w:val="auto"/>
                <w:spacing w:val="-1"/>
                <w:sz w:val="24"/>
                <w:highlight w:val="none"/>
                <w:shd w:val="clear" w:color="auto" w:fill="FFFFFE"/>
              </w:rPr>
              <w:t>详见采购公告</w:t>
            </w:r>
          </w:p>
        </w:tc>
      </w:tr>
      <w:tr w14:paraId="2D6F5A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0F52D5E">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20</w:t>
            </w:r>
          </w:p>
        </w:tc>
        <w:tc>
          <w:tcPr>
            <w:tcW w:w="1968" w:type="dxa"/>
            <w:vAlign w:val="center"/>
          </w:tcPr>
          <w:p w14:paraId="0FABEF42">
            <w:pPr>
              <w:spacing w:before="147" w:line="360" w:lineRule="auto"/>
              <w:ind w:right="151"/>
              <w:jc w:val="center"/>
              <w:rPr>
                <w:rFonts w:ascii="宋体" w:hAnsi="宋体" w:cs="宋体"/>
                <w:snapToGrid w:val="0"/>
                <w:color w:val="auto"/>
                <w:spacing w:val="-1"/>
                <w:kern w:val="0"/>
                <w:highlight w:val="none"/>
                <w:shd w:val="clear" w:color="auto" w:fill="FFFFFE"/>
              </w:rPr>
            </w:pPr>
            <w:r>
              <w:rPr>
                <w:rFonts w:hint="eastAsia" w:ascii="宋体" w:hAnsi="宋体" w:cs="宋体"/>
                <w:snapToGrid w:val="0"/>
                <w:color w:val="auto"/>
                <w:spacing w:val="-1"/>
                <w:kern w:val="0"/>
                <w:sz w:val="24"/>
                <w:highlight w:val="none"/>
                <w:shd w:val="clear" w:color="auto" w:fill="FFFFFE"/>
              </w:rPr>
              <w:t>投标文件递交 地点</w:t>
            </w:r>
          </w:p>
        </w:tc>
        <w:tc>
          <w:tcPr>
            <w:tcW w:w="6531" w:type="dxa"/>
            <w:vAlign w:val="center"/>
          </w:tcPr>
          <w:p w14:paraId="7119F21E">
            <w:pPr>
              <w:widowControl/>
              <w:spacing w:line="360" w:lineRule="auto"/>
              <w:jc w:val="left"/>
              <w:rPr>
                <w:rFonts w:ascii="宋体" w:hAnsi="宋体" w:cs="宋体"/>
                <w:snapToGrid w:val="0"/>
                <w:color w:val="auto"/>
                <w:spacing w:val="-1"/>
                <w:kern w:val="0"/>
                <w:highlight w:val="none"/>
                <w:shd w:val="clear" w:color="auto" w:fill="FFFFFE"/>
              </w:rPr>
            </w:pPr>
            <w:r>
              <w:rPr>
                <w:rFonts w:hint="eastAsia" w:ascii="宋体" w:hAnsi="宋体" w:cs="宋体"/>
                <w:color w:val="auto"/>
                <w:kern w:val="0"/>
                <w:sz w:val="24"/>
                <w:highlight w:val="none"/>
              </w:rPr>
              <w:t>电子版要求：本项目为电子招标，投标人须在递交投标文件截止时间前完整 的将加密电子投标文件（.GPT 格式）上传到全国公共资源交易平台（贵州省）（网址：ggzy.guizhou.gov.cn ）-2020 版，投标截止时间前未完成投标文件传输的，视为撤回投标文件。投标截止时间后，贵州省公共资源交易平台不再接收投标文件。</w:t>
            </w:r>
          </w:p>
        </w:tc>
      </w:tr>
      <w:tr w14:paraId="74D2C9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6C8007A6">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21</w:t>
            </w:r>
          </w:p>
        </w:tc>
        <w:tc>
          <w:tcPr>
            <w:tcW w:w="1968" w:type="dxa"/>
            <w:vAlign w:val="center"/>
          </w:tcPr>
          <w:p w14:paraId="5AA6A511">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开标、资格审查</w:t>
            </w:r>
          </w:p>
        </w:tc>
        <w:tc>
          <w:tcPr>
            <w:tcW w:w="6531" w:type="dxa"/>
            <w:vAlign w:val="center"/>
          </w:tcPr>
          <w:p w14:paraId="01015953">
            <w:pPr>
              <w:pStyle w:val="10"/>
              <w:spacing w:line="360" w:lineRule="auto"/>
              <w:rPr>
                <w:rFonts w:ascii="宋体" w:hAnsi="宋体" w:cs="宋体"/>
                <w:snapToGrid w:val="0"/>
                <w:color w:val="auto"/>
                <w:kern w:val="0"/>
                <w:highlight w:val="none"/>
              </w:rPr>
            </w:pPr>
            <w:r>
              <w:rPr>
                <w:rFonts w:hint="eastAsia" w:ascii="宋体" w:hAnsi="宋体" w:cs="宋体"/>
                <w:snapToGrid w:val="0"/>
                <w:color w:val="auto"/>
                <w:kern w:val="0"/>
                <w:sz w:val="24"/>
                <w:highlight w:val="none"/>
              </w:rPr>
              <w:t>一、开标流程</w:t>
            </w:r>
          </w:p>
          <w:p w14:paraId="35BC9A5D">
            <w:pPr>
              <w:pStyle w:val="1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1.采购人</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 xml:space="preserve">招标代理机构）、投标供应商登录电子开标系统。 </w:t>
            </w:r>
          </w:p>
          <w:p w14:paraId="58980082">
            <w:pPr>
              <w:pStyle w:val="10"/>
              <w:spacing w:line="360" w:lineRule="auto"/>
              <w:rPr>
                <w:rFonts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 xml:space="preserve">投标文件递交截止时间后，采购人（招标代理机构）确认网上开标会开始，系统显示投标供应商名称。 </w:t>
            </w:r>
          </w:p>
          <w:p w14:paraId="09A08E4F">
            <w:pPr>
              <w:pStyle w:val="10"/>
              <w:spacing w:line="360" w:lineRule="auto"/>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 xml:space="preserve">采购人或其委托的代理机构通过系统发出投标文件解密指令，投标供应商应在解密指令发出后使用数字证书，在 </w:t>
            </w:r>
            <w:r>
              <w:rPr>
                <w:rFonts w:ascii="宋体" w:hAnsi="宋体" w:cs="宋体"/>
                <w:snapToGrid w:val="0"/>
                <w:color w:val="auto"/>
                <w:kern w:val="0"/>
                <w:sz w:val="24"/>
                <w:highlight w:val="none"/>
              </w:rPr>
              <w:t xml:space="preserve">30 </w:t>
            </w:r>
            <w:r>
              <w:rPr>
                <w:rFonts w:hint="eastAsia" w:ascii="宋体" w:hAnsi="宋体" w:cs="宋体"/>
                <w:snapToGrid w:val="0"/>
                <w:color w:val="auto"/>
                <w:kern w:val="0"/>
                <w:sz w:val="24"/>
                <w:highlight w:val="none"/>
              </w:rPr>
              <w:t xml:space="preserve">分钟内完成解密。投标供应商未在规定时间内完成解密并无合理原因的，视为撤销投标文件。 </w:t>
            </w:r>
          </w:p>
          <w:p w14:paraId="5A07E9D8">
            <w:pPr>
              <w:widowControl/>
              <w:spacing w:line="360" w:lineRule="auto"/>
              <w:jc w:val="left"/>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投标供应商解密成功后，网上开标系统只显示该投标供应商的投标报价。投标供应商应对系统提取的报价进行确认，确认时间为 10 分钟内。投标供应商解密成功后．如发现系统提取的自身投标报价不正确，可通过系统向采购人或其委托的代理机构提出异议，采购人或其委托的代理机构可暂停开标</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 xml:space="preserve">由交易中心技术人员通过网上开标系统核实报价情况，核实确定是否修正异议投标供应商报价后，继续开标进程。 </w:t>
            </w:r>
          </w:p>
          <w:p w14:paraId="3B66C3D6">
            <w:pPr>
              <w:widowControl/>
              <w:spacing w:line="360" w:lineRule="auto"/>
              <w:jc w:val="left"/>
              <w:rPr>
                <w:rFonts w:ascii="宋体" w:hAnsi="宋体" w:cs="宋体"/>
                <w:snapToGrid w:val="0"/>
                <w:color w:val="auto"/>
                <w:kern w:val="0"/>
                <w:sz w:val="24"/>
                <w:highlight w:val="none"/>
              </w:rPr>
            </w:pPr>
            <w:r>
              <w:rPr>
                <w:rFonts w:ascii="宋体" w:hAnsi="宋体" w:cs="宋体"/>
                <w:snapToGrid w:val="0"/>
                <w:color w:val="auto"/>
                <w:kern w:val="0"/>
                <w:sz w:val="24"/>
                <w:highlight w:val="none"/>
              </w:rPr>
              <w:t>5.</w:t>
            </w:r>
            <w:r>
              <w:rPr>
                <w:rFonts w:hint="eastAsia" w:ascii="宋体" w:hAnsi="宋体" w:cs="宋体"/>
                <w:snapToGrid w:val="0"/>
                <w:color w:val="auto"/>
                <w:kern w:val="0"/>
                <w:sz w:val="24"/>
                <w:highlight w:val="none"/>
              </w:rPr>
              <w:t xml:space="preserve">确认报价后，系统生成开标记录表，内容应包含所有投标供应商名称和招标文件规定的其他内容，并将开标记录表在网上开标系统内公开。 </w:t>
            </w:r>
          </w:p>
          <w:p w14:paraId="33632608">
            <w:pPr>
              <w:widowControl/>
              <w:spacing w:line="360" w:lineRule="auto"/>
              <w:jc w:val="left"/>
              <w:rPr>
                <w:color w:val="auto"/>
                <w:highlight w:val="none"/>
              </w:rPr>
            </w:pPr>
            <w:r>
              <w:rPr>
                <w:rFonts w:ascii="宋体" w:hAnsi="宋体" w:cs="宋体"/>
                <w:snapToGrid w:val="0"/>
                <w:color w:val="auto"/>
                <w:kern w:val="0"/>
                <w:sz w:val="24"/>
                <w:highlight w:val="none"/>
              </w:rPr>
              <w:t>6.</w:t>
            </w:r>
            <w:r>
              <w:rPr>
                <w:rFonts w:hint="eastAsia" w:ascii="宋体" w:hAnsi="宋体" w:cs="宋体"/>
                <w:snapToGrid w:val="0"/>
                <w:color w:val="auto"/>
                <w:kern w:val="0"/>
                <w:sz w:val="24"/>
                <w:highlight w:val="none"/>
              </w:rPr>
              <w:t xml:space="preserve">各投标供应商在确认报价环节后，应对开标记录表内容进行签章确认，确认时间为 </w:t>
            </w:r>
            <w:r>
              <w:rPr>
                <w:rFonts w:ascii="宋体" w:hAnsi="宋体" w:cs="宋体"/>
                <w:snapToGrid w:val="0"/>
                <w:color w:val="auto"/>
                <w:kern w:val="0"/>
                <w:sz w:val="24"/>
                <w:highlight w:val="none"/>
              </w:rPr>
              <w:t xml:space="preserve">10 </w:t>
            </w:r>
            <w:r>
              <w:rPr>
                <w:rFonts w:hint="eastAsia" w:ascii="宋体" w:hAnsi="宋体" w:cs="宋体"/>
                <w:snapToGrid w:val="0"/>
                <w:color w:val="auto"/>
                <w:kern w:val="0"/>
                <w:sz w:val="24"/>
                <w:highlight w:val="none"/>
              </w:rPr>
              <w:t>分钟内。未在规定时间内对开标记录表进行签章且未提出异议（质疑）的，视为默认开标结果。</w:t>
            </w:r>
            <w:r>
              <w:rPr>
                <w:rFonts w:hint="eastAsia" w:ascii="宋体" w:hAnsi="宋体" w:cs="宋体"/>
                <w:b/>
                <w:bCs/>
                <w:color w:val="auto"/>
                <w:kern w:val="0"/>
                <w:sz w:val="20"/>
                <w:szCs w:val="20"/>
                <w:highlight w:val="none"/>
                <w:lang w:bidi="ar"/>
              </w:rPr>
              <w:t xml:space="preserve"> </w:t>
            </w:r>
          </w:p>
          <w:p w14:paraId="402E2E75">
            <w:pPr>
              <w:widowControl/>
              <w:spacing w:line="360" w:lineRule="auto"/>
              <w:jc w:val="left"/>
              <w:rPr>
                <w:rFonts w:ascii="宋体" w:hAns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rPr>
              <w:t xml:space="preserve">开标结束。 </w:t>
            </w:r>
          </w:p>
          <w:p w14:paraId="6E50C7C2">
            <w:pPr>
              <w:widowControl/>
              <w:spacing w:line="360" w:lineRule="auto"/>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特别提示</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由于本项目为“远程投标、网上开标”项目，为保证开标顺利进行，投标供应商参与投标和开标时应妥善保管数字证书，确保数字证书在有效期内。投标供应商由于数字证书遗失、损坏、更换、续期等导致投标文件无法解密的，投标供应商自行承担责任。投标供应商应当自行负责参与网上开标的网络环境、硬件环境正常。</w:t>
            </w:r>
          </w:p>
          <w:p w14:paraId="5ACF172C">
            <w:pPr>
              <w:pStyle w:val="10"/>
              <w:spacing w:line="360" w:lineRule="auto"/>
              <w:rPr>
                <w:rFonts w:ascii="宋体" w:hAnsi="宋体" w:cs="宋体"/>
                <w:snapToGrid w:val="0"/>
                <w:color w:val="auto"/>
                <w:kern w:val="0"/>
                <w:highlight w:val="none"/>
              </w:rPr>
            </w:pPr>
            <w:r>
              <w:rPr>
                <w:rFonts w:hint="eastAsia" w:ascii="宋体" w:hAnsi="宋体" w:cs="宋体"/>
                <w:snapToGrid w:val="0"/>
                <w:color w:val="auto"/>
                <w:kern w:val="0"/>
                <w:sz w:val="24"/>
                <w:highlight w:val="none"/>
              </w:rPr>
              <w:t>二、资格审查</w:t>
            </w:r>
          </w:p>
          <w:p w14:paraId="72DA71F6">
            <w:pPr>
              <w:pStyle w:val="10"/>
              <w:spacing w:line="360" w:lineRule="auto"/>
              <w:ind w:firstLine="480"/>
              <w:rPr>
                <w:rFonts w:ascii="宋体" w:hAnsi="宋体" w:cs="宋体"/>
                <w:snapToGrid w:val="0"/>
                <w:color w:val="auto"/>
                <w:kern w:val="0"/>
                <w:highlight w:val="none"/>
              </w:rPr>
            </w:pPr>
            <w:r>
              <w:rPr>
                <w:rFonts w:hint="eastAsia" w:ascii="宋体" w:hAnsi="宋体" w:cs="宋体"/>
                <w:snapToGrid w:val="0"/>
                <w:color w:val="auto"/>
                <w:kern w:val="0"/>
                <w:sz w:val="24"/>
                <w:highlight w:val="none"/>
              </w:rPr>
              <w:t>开标会结束后，由资格审查人（由采购人或采购代理机构组成单数的资格审查人），在贵州省公共资源交易中心按采购文件的规定进行资格审查，合格供应商不足3家的，不得评标。</w:t>
            </w:r>
          </w:p>
        </w:tc>
      </w:tr>
      <w:tr w14:paraId="519B9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02725CC">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22</w:t>
            </w:r>
          </w:p>
        </w:tc>
        <w:tc>
          <w:tcPr>
            <w:tcW w:w="1968" w:type="dxa"/>
          </w:tcPr>
          <w:p w14:paraId="3D8F4C5A">
            <w:pPr>
              <w:spacing w:before="146" w:line="360" w:lineRule="auto"/>
              <w:ind w:right="150"/>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是否退还投标 文件</w:t>
            </w:r>
          </w:p>
        </w:tc>
        <w:tc>
          <w:tcPr>
            <w:tcW w:w="6531" w:type="dxa"/>
            <w:vAlign w:val="center"/>
          </w:tcPr>
          <w:p w14:paraId="0382E9DC">
            <w:pPr>
              <w:spacing w:before="78" w:line="360" w:lineRule="auto"/>
              <w:rPr>
                <w:rFonts w:ascii="宋体" w:hAnsi="宋体" w:cs="宋体"/>
                <w:snapToGrid w:val="0"/>
                <w:color w:val="auto"/>
                <w:kern w:val="0"/>
                <w:highlight w:val="none"/>
              </w:rPr>
            </w:pPr>
            <w:r>
              <w:rPr>
                <w:rFonts w:hint="eastAsia" w:ascii="宋体" w:hAnsi="宋体" w:cs="宋体"/>
                <w:snapToGrid w:val="0"/>
                <w:color w:val="auto"/>
                <w:kern w:val="0"/>
                <w:sz w:val="24"/>
                <w:highlight w:val="none"/>
              </w:rPr>
              <w:t>不退还。</w:t>
            </w:r>
          </w:p>
        </w:tc>
      </w:tr>
      <w:tr w14:paraId="4128A7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4F7F56D8">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23</w:t>
            </w:r>
          </w:p>
        </w:tc>
        <w:tc>
          <w:tcPr>
            <w:tcW w:w="1968" w:type="dxa"/>
            <w:vAlign w:val="center"/>
          </w:tcPr>
          <w:p w14:paraId="4940C986">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评标委员会组 建</w:t>
            </w:r>
          </w:p>
        </w:tc>
        <w:tc>
          <w:tcPr>
            <w:tcW w:w="6531" w:type="dxa"/>
            <w:vAlign w:val="center"/>
          </w:tcPr>
          <w:p w14:paraId="51B4E902">
            <w:pPr>
              <w:pStyle w:val="1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委员会成员由采购人代表和有关技术、经济等方面的专家组成，其中技术、经济等方面的专家不少于成员总数的三分之二。评标委员会成员人数为单数。评标委员会遵循公平公正、科学择优、经济有效的原则，按照评标程序，依法依规，根据采购文件所列评标标准，独立、认真、负责地开展评审工作，提出评审意见，并对自己的评审意见承担责任。</w:t>
            </w:r>
          </w:p>
          <w:p w14:paraId="4A0874E4">
            <w:pPr>
              <w:pStyle w:val="10"/>
              <w:spacing w:line="360" w:lineRule="auto"/>
              <w:rPr>
                <w:rFonts w:ascii="宋体" w:hAnsi="宋体" w:cs="宋体"/>
                <w:snapToGrid w:val="0"/>
                <w:color w:val="auto"/>
                <w:kern w:val="0"/>
                <w:highlight w:val="none"/>
              </w:rPr>
            </w:pPr>
            <w:r>
              <w:rPr>
                <w:rFonts w:hint="eastAsia" w:ascii="宋体" w:hAnsi="宋体" w:cs="宋体"/>
                <w:snapToGrid w:val="0"/>
                <w:color w:val="auto"/>
                <w:kern w:val="0"/>
                <w:sz w:val="24"/>
                <w:highlight w:val="none"/>
              </w:rPr>
              <w:t>本项目评标委员会成员由</w:t>
            </w:r>
            <w:r>
              <w:rPr>
                <w:rFonts w:hint="eastAsia" w:ascii="宋体" w:hAnsi="宋体" w:cs="宋体"/>
                <w:snapToGrid w:val="0"/>
                <w:color w:val="auto"/>
                <w:kern w:val="0"/>
                <w:sz w:val="24"/>
                <w:highlight w:val="none"/>
                <w:lang w:val="en-US" w:eastAsia="zh-CN"/>
              </w:rPr>
              <w:t>7</w:t>
            </w:r>
            <w:r>
              <w:rPr>
                <w:rFonts w:hint="eastAsia" w:ascii="宋体" w:hAnsi="宋体" w:cs="宋体"/>
                <w:snapToGrid w:val="0"/>
                <w:color w:val="auto"/>
                <w:kern w:val="0"/>
                <w:sz w:val="24"/>
                <w:highlight w:val="none"/>
              </w:rPr>
              <w:t>人组成，其中，采购人代表</w:t>
            </w: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人，在贵州省综合评标专家库中随机抽取有关技术、经济等方面</w:t>
            </w:r>
            <w:r>
              <w:rPr>
                <w:rFonts w:hint="eastAsia" w:ascii="宋体" w:hAnsi="宋体" w:cs="宋体"/>
                <w:snapToGrid w:val="0"/>
                <w:color w:val="auto"/>
                <w:kern w:val="0"/>
                <w:sz w:val="24"/>
                <w:highlight w:val="none"/>
                <w:lang w:val="en-US" w:eastAsia="zh-CN"/>
              </w:rPr>
              <w:t>5</w:t>
            </w:r>
            <w:r>
              <w:rPr>
                <w:rFonts w:hint="eastAsia" w:ascii="宋体" w:hAnsi="宋体" w:cs="宋体"/>
                <w:snapToGrid w:val="0"/>
                <w:color w:val="auto"/>
                <w:kern w:val="0"/>
                <w:sz w:val="24"/>
                <w:highlight w:val="none"/>
              </w:rPr>
              <w:t>人，共</w:t>
            </w:r>
            <w:r>
              <w:rPr>
                <w:rFonts w:hint="eastAsia" w:ascii="宋体" w:hAnsi="宋体" w:cs="宋体"/>
                <w:snapToGrid w:val="0"/>
                <w:color w:val="auto"/>
                <w:kern w:val="0"/>
                <w:sz w:val="24"/>
                <w:highlight w:val="none"/>
                <w:lang w:val="en-US" w:eastAsia="zh-CN"/>
              </w:rPr>
              <w:t>7</w:t>
            </w:r>
            <w:r>
              <w:rPr>
                <w:rFonts w:hint="eastAsia" w:ascii="宋体" w:hAnsi="宋体" w:cs="宋体"/>
                <w:snapToGrid w:val="0"/>
                <w:color w:val="auto"/>
                <w:kern w:val="0"/>
                <w:sz w:val="24"/>
                <w:highlight w:val="none"/>
              </w:rPr>
              <w:t>人组成。</w:t>
            </w:r>
          </w:p>
        </w:tc>
      </w:tr>
      <w:tr w14:paraId="2C6386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665D3921">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24</w:t>
            </w:r>
          </w:p>
        </w:tc>
        <w:tc>
          <w:tcPr>
            <w:tcW w:w="1968" w:type="dxa"/>
          </w:tcPr>
          <w:p w14:paraId="411CE758">
            <w:pPr>
              <w:spacing w:before="159"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评标方法</w:t>
            </w:r>
          </w:p>
        </w:tc>
        <w:tc>
          <w:tcPr>
            <w:tcW w:w="6531" w:type="dxa"/>
          </w:tcPr>
          <w:p w14:paraId="3AB068E8">
            <w:pPr>
              <w:spacing w:before="159" w:line="360" w:lineRule="auto"/>
              <w:rPr>
                <w:rFonts w:ascii="宋体" w:hAnsi="宋体" w:cs="宋体"/>
                <w:snapToGrid w:val="0"/>
                <w:color w:val="auto"/>
                <w:kern w:val="0"/>
                <w:highlight w:val="none"/>
              </w:rPr>
            </w:pPr>
            <w:r>
              <w:rPr>
                <w:rFonts w:hint="eastAsia" w:ascii="宋体" w:hAnsi="宋体" w:cs="宋体"/>
                <w:snapToGrid w:val="0"/>
                <w:color w:val="auto"/>
                <w:kern w:val="0"/>
                <w:sz w:val="24"/>
                <w:highlight w:val="none"/>
              </w:rPr>
              <w:t>综合评分法</w:t>
            </w:r>
          </w:p>
        </w:tc>
      </w:tr>
      <w:tr w14:paraId="67D17E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51D91C0F">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25</w:t>
            </w:r>
          </w:p>
        </w:tc>
        <w:tc>
          <w:tcPr>
            <w:tcW w:w="1968" w:type="dxa"/>
            <w:vAlign w:val="center"/>
          </w:tcPr>
          <w:p w14:paraId="7A1A1A88">
            <w:pPr>
              <w:spacing w:before="78"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合同授予</w:t>
            </w:r>
          </w:p>
        </w:tc>
        <w:tc>
          <w:tcPr>
            <w:tcW w:w="6531" w:type="dxa"/>
            <w:vAlign w:val="center"/>
          </w:tcPr>
          <w:p w14:paraId="7563F3F2">
            <w:pPr>
              <w:spacing w:before="149" w:line="360" w:lineRule="auto"/>
              <w:ind w:right="110"/>
              <w:rPr>
                <w:color w:val="auto"/>
                <w:highlight w:val="none"/>
              </w:rPr>
            </w:pPr>
            <w:r>
              <w:rPr>
                <w:rFonts w:hint="eastAsia"/>
                <w:color w:val="auto"/>
                <w:highlight w:val="none"/>
              </w:rPr>
              <w:t>1、采购人将把合同授予被确定为实质上响应采购文件的要求并有履行合同能力的排名最靠前的供应商。</w:t>
            </w:r>
          </w:p>
          <w:p w14:paraId="5192B485">
            <w:pPr>
              <w:spacing w:before="149" w:line="360" w:lineRule="auto"/>
              <w:ind w:right="110"/>
              <w:rPr>
                <w:color w:val="auto"/>
                <w:highlight w:val="none"/>
              </w:rPr>
            </w:pPr>
            <w:r>
              <w:rPr>
                <w:rFonts w:hint="eastAsia"/>
                <w:color w:val="auto"/>
                <w:highlight w:val="none"/>
              </w:rPr>
              <w:t>2、采购人按照评标委员会推荐的成交候选人顺序确定成交人。</w:t>
            </w:r>
          </w:p>
          <w:p w14:paraId="0D5F4EEC">
            <w:pPr>
              <w:spacing w:before="149" w:line="360" w:lineRule="auto"/>
              <w:ind w:right="110"/>
              <w:rPr>
                <w:color w:val="auto"/>
                <w:highlight w:val="none"/>
              </w:rPr>
            </w:pPr>
            <w:r>
              <w:rPr>
                <w:rFonts w:hint="eastAsia"/>
                <w:color w:val="auto"/>
                <w:highlight w:val="none"/>
              </w:rPr>
              <w:t>3、出现下列情形之一的，采购人可以与排位在成交人之后第一位的成交候选人签订政府采购合同，也可以重新组织采购。</w:t>
            </w:r>
          </w:p>
          <w:p w14:paraId="3485141B">
            <w:pPr>
              <w:spacing w:before="149" w:line="360" w:lineRule="auto"/>
              <w:ind w:right="110"/>
              <w:rPr>
                <w:color w:val="auto"/>
                <w:highlight w:val="none"/>
              </w:rPr>
            </w:pPr>
            <w:r>
              <w:rPr>
                <w:rFonts w:hint="eastAsia"/>
                <w:color w:val="auto"/>
                <w:highlight w:val="none"/>
              </w:rPr>
              <w:t>3.1排名第一的候选人，因自身原因放弃成交资格或因不可抗力不能履行合同的；</w:t>
            </w:r>
          </w:p>
          <w:p w14:paraId="67CD7F87">
            <w:pPr>
              <w:spacing w:before="149" w:line="360" w:lineRule="auto"/>
              <w:ind w:right="110"/>
              <w:rPr>
                <w:color w:val="auto"/>
                <w:highlight w:val="none"/>
              </w:rPr>
            </w:pPr>
            <w:r>
              <w:rPr>
                <w:rFonts w:hint="eastAsia"/>
                <w:color w:val="auto"/>
                <w:highlight w:val="none"/>
              </w:rPr>
              <w:t>3.2经质疑，评标委员会或采购代理机构审查确认因成交人在本次采购活动中存在违法违规行为或其他原因使质疑成立的；</w:t>
            </w:r>
          </w:p>
          <w:p w14:paraId="6763D8C1">
            <w:pPr>
              <w:pStyle w:val="8"/>
              <w:spacing w:line="360" w:lineRule="auto"/>
              <w:ind w:firstLine="0" w:firstLineChars="0"/>
              <w:rPr>
                <w:color w:val="auto"/>
                <w:highlight w:val="none"/>
              </w:rPr>
            </w:pPr>
            <w:r>
              <w:rPr>
                <w:rFonts w:hint="eastAsia"/>
                <w:color w:val="auto"/>
                <w:highlight w:val="none"/>
              </w:rPr>
              <w:t>3.3法律法规规定的其他情形。</w:t>
            </w:r>
          </w:p>
        </w:tc>
      </w:tr>
      <w:tr w14:paraId="2DD79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241D0E45">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26</w:t>
            </w:r>
          </w:p>
        </w:tc>
        <w:tc>
          <w:tcPr>
            <w:tcW w:w="1968" w:type="dxa"/>
            <w:vAlign w:val="center"/>
          </w:tcPr>
          <w:p w14:paraId="04667A2A">
            <w:pPr>
              <w:spacing w:before="78"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投标有效期</w:t>
            </w:r>
          </w:p>
        </w:tc>
        <w:tc>
          <w:tcPr>
            <w:tcW w:w="6531" w:type="dxa"/>
            <w:vAlign w:val="center"/>
          </w:tcPr>
          <w:p w14:paraId="2E980C22">
            <w:pPr>
              <w:spacing w:before="149" w:line="360" w:lineRule="auto"/>
              <w:ind w:right="110" w:firstLine="240" w:firstLineChars="100"/>
              <w:rPr>
                <w:rFonts w:ascii="宋体" w:hAnsi="宋体" w:cs="宋体"/>
                <w:snapToGrid w:val="0"/>
                <w:color w:val="auto"/>
                <w:kern w:val="0"/>
                <w:highlight w:val="none"/>
              </w:rPr>
            </w:pPr>
            <w:r>
              <w:rPr>
                <w:rFonts w:hint="eastAsia" w:ascii="宋体" w:hAnsi="宋体" w:cs="宋体"/>
                <w:snapToGrid w:val="0"/>
                <w:color w:val="auto"/>
                <w:kern w:val="0"/>
                <w:sz w:val="24"/>
                <w:highlight w:val="none"/>
              </w:rPr>
              <w:t>60天</w:t>
            </w:r>
          </w:p>
        </w:tc>
      </w:tr>
      <w:tr w14:paraId="0BF6E2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9569" w:type="dxa"/>
            <w:gridSpan w:val="3"/>
            <w:vAlign w:val="center"/>
          </w:tcPr>
          <w:p w14:paraId="62202F3A">
            <w:pPr>
              <w:pStyle w:val="10"/>
              <w:spacing w:line="360" w:lineRule="auto"/>
              <w:ind w:firstLine="482"/>
              <w:jc w:val="center"/>
              <w:rPr>
                <w:rFonts w:ascii="宋体" w:hAnsi="宋体" w:cs="宋体"/>
                <w:b/>
                <w:bCs/>
                <w:snapToGrid w:val="0"/>
                <w:color w:val="auto"/>
                <w:kern w:val="0"/>
                <w:highlight w:val="none"/>
              </w:rPr>
            </w:pPr>
            <w:r>
              <w:rPr>
                <w:rFonts w:hint="eastAsia" w:ascii="宋体" w:hAnsi="宋体" w:cs="宋体"/>
                <w:b/>
                <w:bCs/>
                <w:snapToGrid w:val="0"/>
                <w:color w:val="auto"/>
                <w:kern w:val="0"/>
                <w:sz w:val="24"/>
                <w:highlight w:val="none"/>
              </w:rPr>
              <w:t>需要补充的其他内容</w:t>
            </w:r>
          </w:p>
        </w:tc>
      </w:tr>
      <w:tr w14:paraId="161E1F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158943C7">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28</w:t>
            </w:r>
          </w:p>
        </w:tc>
        <w:tc>
          <w:tcPr>
            <w:tcW w:w="8499" w:type="dxa"/>
            <w:gridSpan w:val="2"/>
            <w:vAlign w:val="center"/>
          </w:tcPr>
          <w:p w14:paraId="6E3A8332">
            <w:pPr>
              <w:pStyle w:val="1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招标代理服务费：本项目招标代理服务费由中标人支付，根据 《国家发展改革委关于降低部分建设项目收费标准规范收费行为等有关问题的通知》发改价格〔2011〕534 号文规定，以中标金额为基数按服务类计算后下浮</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0%收取。</w:t>
            </w:r>
          </w:p>
          <w:p w14:paraId="43F37ACD">
            <w:pPr>
              <w:pStyle w:val="1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结 算 帐 户</w:t>
            </w:r>
          </w:p>
          <w:p w14:paraId="76389D45">
            <w:pPr>
              <w:pStyle w:val="10"/>
              <w:spacing w:line="360" w:lineRule="auto"/>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开户名称：</w:t>
            </w:r>
            <w:r>
              <w:rPr>
                <w:rFonts w:hint="eastAsia" w:ascii="宋体" w:hAnsi="宋体" w:cs="宋体"/>
                <w:snapToGrid w:val="0"/>
                <w:color w:val="auto"/>
                <w:kern w:val="0"/>
                <w:sz w:val="24"/>
                <w:highlight w:val="none"/>
                <w:lang w:val="en-US" w:eastAsia="zh-CN"/>
              </w:rPr>
              <w:t>贵州华信水投工程咨询有限公司</w:t>
            </w:r>
            <w:r>
              <w:rPr>
                <w:rFonts w:hint="eastAsia" w:ascii="宋体" w:hAnsi="宋体" w:cs="宋体"/>
                <w:color w:val="auto"/>
                <w:sz w:val="24"/>
                <w:highlight w:val="none"/>
                <w:lang w:val="en-US" w:eastAsia="zh-CN"/>
              </w:rPr>
              <w:t xml:space="preserve"> </w:t>
            </w:r>
          </w:p>
          <w:p w14:paraId="65F09597">
            <w:pPr>
              <w:pStyle w:val="10"/>
              <w:spacing w:line="360" w:lineRule="auto"/>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lang w:val="en-US" w:eastAsia="zh-CN"/>
              </w:rPr>
              <w:t>贵阳银行汇通支行</w:t>
            </w:r>
            <w:r>
              <w:rPr>
                <w:rFonts w:hint="eastAsia" w:ascii="宋体" w:hAnsi="宋体" w:cs="宋体"/>
                <w:color w:val="auto"/>
                <w:sz w:val="24"/>
                <w:highlight w:val="none"/>
                <w:lang w:val="en-US" w:eastAsia="zh-CN"/>
              </w:rPr>
              <w:t xml:space="preserve"> </w:t>
            </w:r>
          </w:p>
          <w:p w14:paraId="5B9AF3B8">
            <w:pPr>
              <w:pStyle w:val="10"/>
              <w:spacing w:line="360" w:lineRule="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银行账号：</w:t>
            </w:r>
            <w:r>
              <w:rPr>
                <w:rFonts w:hint="eastAsia" w:ascii="宋体" w:hAnsi="宋体" w:cs="宋体"/>
                <w:snapToGrid w:val="0"/>
                <w:color w:val="auto"/>
                <w:kern w:val="0"/>
                <w:sz w:val="24"/>
                <w:highlight w:val="none"/>
                <w:lang w:val="en-US" w:eastAsia="zh-CN"/>
              </w:rPr>
              <w:t xml:space="preserve">118012010900032750 </w:t>
            </w:r>
          </w:p>
          <w:p w14:paraId="6D6AB9C7">
            <w:pPr>
              <w:pStyle w:val="10"/>
              <w:spacing w:line="360" w:lineRule="auto"/>
              <w:rPr>
                <w:rFonts w:ascii="宋体" w:hAnsi="宋体" w:cs="宋体"/>
                <w:snapToGrid w:val="0"/>
                <w:color w:val="auto"/>
                <w:kern w:val="0"/>
                <w:highlight w:val="none"/>
              </w:rPr>
            </w:pPr>
            <w:r>
              <w:rPr>
                <w:rFonts w:hint="eastAsia" w:ascii="宋体" w:hAnsi="宋体" w:cs="宋体"/>
                <w:snapToGrid w:val="0"/>
                <w:color w:val="auto"/>
                <w:kern w:val="0"/>
                <w:sz w:val="24"/>
                <w:highlight w:val="none"/>
              </w:rPr>
              <w:t>注：投标供应商虚假应标的其投标保证金均不予退还。</w:t>
            </w:r>
          </w:p>
        </w:tc>
      </w:tr>
      <w:tr w14:paraId="4ADBDE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4C0ADE7B">
            <w:pPr>
              <w:pStyle w:val="10"/>
              <w:spacing w:line="360" w:lineRule="auto"/>
              <w:jc w:val="center"/>
              <w:rPr>
                <w:rFonts w:ascii="宋体" w:hAnsi="宋体" w:cs="宋体"/>
                <w:snapToGrid w:val="0"/>
                <w:color w:val="auto"/>
                <w:kern w:val="0"/>
                <w:highlight w:val="none"/>
              </w:rPr>
            </w:pPr>
            <w:r>
              <w:rPr>
                <w:rFonts w:hint="eastAsia" w:ascii="宋体" w:hAnsi="宋体" w:cs="宋体"/>
                <w:snapToGrid w:val="0"/>
                <w:color w:val="auto"/>
                <w:kern w:val="0"/>
                <w:sz w:val="24"/>
                <w:highlight w:val="none"/>
              </w:rPr>
              <w:t>29</w:t>
            </w:r>
          </w:p>
        </w:tc>
        <w:tc>
          <w:tcPr>
            <w:tcW w:w="8499" w:type="dxa"/>
            <w:gridSpan w:val="2"/>
            <w:vAlign w:val="center"/>
          </w:tcPr>
          <w:p w14:paraId="10CCA2FA">
            <w:pPr>
              <w:pStyle w:val="10"/>
              <w:spacing w:line="360" w:lineRule="auto"/>
              <w:rPr>
                <w:rFonts w:ascii="宋体" w:hAnsi="宋体" w:cs="宋体"/>
                <w:snapToGrid w:val="0"/>
                <w:color w:val="auto"/>
                <w:kern w:val="0"/>
                <w:highlight w:val="none"/>
              </w:rPr>
            </w:pPr>
            <w:r>
              <w:rPr>
                <w:rFonts w:hint="eastAsia" w:ascii="宋体" w:hAnsi="宋体" w:cs="宋体"/>
                <w:snapToGrid w:val="0"/>
                <w:color w:val="auto"/>
                <w:kern w:val="0"/>
                <w:sz w:val="24"/>
                <w:highlight w:val="none"/>
              </w:rPr>
              <w:t>根据《政府采购促进中小企业发展管理办法》财库〔2020〕46号规定，本项目</w:t>
            </w:r>
            <w:r>
              <w:rPr>
                <w:rFonts w:hint="eastAsia" w:ascii="宋体" w:hAnsi="宋体" w:cs="宋体"/>
                <w:snapToGrid w:val="0"/>
                <w:color w:val="auto"/>
                <w:kern w:val="0"/>
                <w:sz w:val="24"/>
                <w:highlight w:val="none"/>
                <w:lang w:val="en-US" w:eastAsia="zh-CN"/>
              </w:rPr>
              <w:t>否</w:t>
            </w:r>
            <w:r>
              <w:rPr>
                <w:rFonts w:hint="eastAsia" w:ascii="宋体" w:hAnsi="宋体" w:cs="宋体"/>
                <w:snapToGrid w:val="0"/>
                <w:color w:val="auto"/>
                <w:kern w:val="0"/>
                <w:sz w:val="24"/>
                <w:highlight w:val="none"/>
              </w:rPr>
              <w:t>专门面向中小企业采购。</w:t>
            </w:r>
          </w:p>
          <w:p w14:paraId="75B72D14">
            <w:pPr>
              <w:pStyle w:val="10"/>
              <w:spacing w:line="360" w:lineRule="auto"/>
              <w:rPr>
                <w:rFonts w:ascii="宋体" w:hAnsi="宋体" w:cs="宋体"/>
                <w:snapToGrid w:val="0"/>
                <w:color w:val="auto"/>
                <w:kern w:val="0"/>
                <w:highlight w:val="none"/>
              </w:rPr>
            </w:pPr>
            <w:r>
              <w:rPr>
                <w:rFonts w:hint="eastAsia" w:ascii="宋体" w:hAnsi="宋体" w:cs="宋体"/>
                <w:snapToGrid w:val="0"/>
                <w:color w:val="auto"/>
                <w:kern w:val="0"/>
                <w:sz w:val="24"/>
                <w:highlight w:val="none"/>
              </w:rPr>
              <w:t>特别提示：</w:t>
            </w:r>
          </w:p>
          <w:p w14:paraId="2E71C75D">
            <w:pPr>
              <w:pStyle w:val="10"/>
              <w:spacing w:line="360" w:lineRule="auto"/>
              <w:ind w:firstLine="480"/>
              <w:rPr>
                <w:rFonts w:ascii="宋体" w:hAnsi="宋体" w:cs="宋体"/>
                <w:snapToGrid w:val="0"/>
                <w:color w:val="auto"/>
                <w:kern w:val="0"/>
                <w:highlight w:val="none"/>
              </w:rPr>
            </w:pPr>
            <w:r>
              <w:rPr>
                <w:rFonts w:hint="eastAsia" w:ascii="宋体" w:hAnsi="宋体" w:cs="宋体"/>
                <w:snapToGrid w:val="0"/>
                <w:color w:val="auto"/>
                <w:kern w:val="0"/>
                <w:sz w:val="24"/>
                <w:highlight w:val="none"/>
              </w:rPr>
              <w:t>1、本项目采购标的行业为</w:t>
            </w:r>
            <w:r>
              <w:rPr>
                <w:rFonts w:hint="eastAsia" w:ascii="宋体" w:hAnsi="宋体" w:cs="宋体"/>
                <w:snapToGrid w:val="0"/>
                <w:color w:val="auto"/>
                <w:kern w:val="0"/>
                <w:sz w:val="24"/>
                <w:highlight w:val="none"/>
                <w:u w:val="single"/>
                <w:lang w:val="en-US" w:eastAsia="zh-CN"/>
              </w:rPr>
              <w:t>物业管理</w:t>
            </w:r>
            <w:r>
              <w:rPr>
                <w:rFonts w:hint="eastAsia" w:ascii="宋体" w:hAnsi="宋体" w:cs="宋体"/>
                <w:snapToGrid w:val="0"/>
                <w:color w:val="auto"/>
                <w:kern w:val="0"/>
                <w:sz w:val="24"/>
                <w:highlight w:val="none"/>
              </w:rPr>
              <w:t>；</w:t>
            </w:r>
          </w:p>
        </w:tc>
      </w:tr>
    </w:tbl>
    <w:p w14:paraId="316D0109">
      <w:pPr>
        <w:pStyle w:val="10"/>
        <w:tabs>
          <w:tab w:val="left" w:pos="851"/>
        </w:tabs>
        <w:spacing w:line="360" w:lineRule="auto"/>
        <w:ind w:left="-424" w:leftChars="-202"/>
        <w:jc w:val="center"/>
        <w:rPr>
          <w:color w:val="auto"/>
          <w:sz w:val="36"/>
          <w:highlight w:val="none"/>
        </w:rPr>
      </w:pPr>
    </w:p>
    <w:p w14:paraId="42465154">
      <w:pPr>
        <w:pStyle w:val="10"/>
        <w:tabs>
          <w:tab w:val="left" w:pos="851"/>
        </w:tabs>
        <w:spacing w:line="360" w:lineRule="auto"/>
        <w:rPr>
          <w:color w:val="auto"/>
          <w:sz w:val="36"/>
          <w:highlight w:val="none"/>
        </w:rPr>
      </w:pPr>
    </w:p>
    <w:p w14:paraId="555C168D">
      <w:pPr>
        <w:pStyle w:val="10"/>
        <w:tabs>
          <w:tab w:val="left" w:pos="851"/>
        </w:tabs>
        <w:spacing w:line="360" w:lineRule="auto"/>
        <w:rPr>
          <w:color w:val="auto"/>
          <w:sz w:val="36"/>
          <w:highlight w:val="none"/>
        </w:rPr>
      </w:pPr>
    </w:p>
    <w:p w14:paraId="3D77DEAE">
      <w:pPr>
        <w:pStyle w:val="10"/>
        <w:tabs>
          <w:tab w:val="left" w:pos="851"/>
        </w:tabs>
        <w:spacing w:line="360" w:lineRule="auto"/>
        <w:rPr>
          <w:color w:val="auto"/>
          <w:sz w:val="36"/>
          <w:highlight w:val="none"/>
        </w:rPr>
      </w:pPr>
    </w:p>
    <w:p w14:paraId="3572746B">
      <w:pPr>
        <w:pStyle w:val="10"/>
        <w:tabs>
          <w:tab w:val="left" w:pos="851"/>
        </w:tabs>
        <w:spacing w:line="360" w:lineRule="auto"/>
        <w:rPr>
          <w:color w:val="auto"/>
          <w:sz w:val="36"/>
          <w:highlight w:val="none"/>
        </w:rPr>
      </w:pPr>
    </w:p>
    <w:p w14:paraId="42C5555B">
      <w:pPr>
        <w:pStyle w:val="10"/>
        <w:tabs>
          <w:tab w:val="left" w:pos="851"/>
        </w:tabs>
        <w:spacing w:line="360" w:lineRule="auto"/>
        <w:rPr>
          <w:color w:val="auto"/>
          <w:sz w:val="36"/>
          <w:highlight w:val="none"/>
        </w:rPr>
      </w:pPr>
    </w:p>
    <w:p w14:paraId="32956C18">
      <w:pPr>
        <w:pStyle w:val="10"/>
        <w:tabs>
          <w:tab w:val="left" w:pos="851"/>
        </w:tabs>
        <w:spacing w:line="360" w:lineRule="auto"/>
        <w:rPr>
          <w:color w:val="auto"/>
          <w:sz w:val="36"/>
          <w:highlight w:val="none"/>
        </w:rPr>
      </w:pPr>
    </w:p>
    <w:p w14:paraId="1CF172D2">
      <w:pPr>
        <w:pStyle w:val="10"/>
        <w:tabs>
          <w:tab w:val="left" w:pos="851"/>
        </w:tabs>
        <w:spacing w:line="360" w:lineRule="auto"/>
        <w:rPr>
          <w:color w:val="auto"/>
          <w:sz w:val="36"/>
          <w:highlight w:val="none"/>
        </w:rPr>
      </w:pPr>
    </w:p>
    <w:p w14:paraId="7E96845C">
      <w:pPr>
        <w:pStyle w:val="10"/>
        <w:tabs>
          <w:tab w:val="left" w:pos="851"/>
        </w:tabs>
        <w:spacing w:line="360" w:lineRule="auto"/>
        <w:rPr>
          <w:color w:val="auto"/>
          <w:sz w:val="36"/>
          <w:highlight w:val="none"/>
        </w:rPr>
      </w:pPr>
    </w:p>
    <w:p w14:paraId="12CCD0D0">
      <w:pPr>
        <w:pStyle w:val="10"/>
        <w:tabs>
          <w:tab w:val="left" w:pos="851"/>
        </w:tabs>
        <w:spacing w:line="360" w:lineRule="auto"/>
        <w:rPr>
          <w:color w:val="auto"/>
          <w:sz w:val="36"/>
          <w:highlight w:val="none"/>
        </w:rPr>
      </w:pPr>
    </w:p>
    <w:p w14:paraId="301249AB">
      <w:pPr>
        <w:pStyle w:val="10"/>
        <w:tabs>
          <w:tab w:val="left" w:pos="851"/>
        </w:tabs>
        <w:spacing w:line="360" w:lineRule="auto"/>
        <w:rPr>
          <w:color w:val="auto"/>
          <w:sz w:val="36"/>
          <w:highlight w:val="none"/>
        </w:rPr>
      </w:pPr>
    </w:p>
    <w:p w14:paraId="44DED026">
      <w:pPr>
        <w:pStyle w:val="10"/>
        <w:tabs>
          <w:tab w:val="left" w:pos="851"/>
        </w:tabs>
        <w:spacing w:line="360" w:lineRule="auto"/>
        <w:ind w:left="-424" w:leftChars="-202"/>
        <w:jc w:val="center"/>
        <w:rPr>
          <w:color w:val="auto"/>
          <w:sz w:val="36"/>
          <w:highlight w:val="none"/>
        </w:rPr>
      </w:pPr>
      <w:r>
        <w:rPr>
          <w:rFonts w:hint="eastAsia"/>
          <w:color w:val="auto"/>
          <w:sz w:val="36"/>
          <w:highlight w:val="none"/>
        </w:rPr>
        <w:t>第三章  供应商须知正文</w:t>
      </w:r>
    </w:p>
    <w:p w14:paraId="1BA1F7E0">
      <w:pPr>
        <w:pStyle w:val="10"/>
        <w:spacing w:line="360" w:lineRule="auto"/>
        <w:jc w:val="center"/>
        <w:rPr>
          <w:color w:val="auto"/>
          <w:sz w:val="24"/>
          <w:highlight w:val="none"/>
        </w:rPr>
      </w:pPr>
      <w:r>
        <w:rPr>
          <w:rFonts w:hint="eastAsia"/>
          <w:color w:val="auto"/>
          <w:sz w:val="24"/>
          <w:highlight w:val="none"/>
        </w:rPr>
        <w:t>一、供应商须知正文</w:t>
      </w:r>
    </w:p>
    <w:p w14:paraId="6B685FC1">
      <w:pPr>
        <w:pStyle w:val="10"/>
        <w:spacing w:line="360" w:lineRule="auto"/>
        <w:ind w:left="480" w:hanging="480" w:hangingChars="200"/>
        <w:jc w:val="left"/>
        <w:rPr>
          <w:color w:val="auto"/>
          <w:sz w:val="24"/>
          <w:highlight w:val="none"/>
        </w:rPr>
      </w:pPr>
      <w:r>
        <w:rPr>
          <w:rFonts w:hint="eastAsia"/>
          <w:color w:val="auto"/>
          <w:sz w:val="24"/>
          <w:highlight w:val="none"/>
        </w:rPr>
        <w:t>（一）资金来源</w:t>
      </w:r>
    </w:p>
    <w:p w14:paraId="66141B2E">
      <w:pPr>
        <w:pStyle w:val="10"/>
        <w:spacing w:line="360" w:lineRule="auto"/>
        <w:ind w:left="197" w:leftChars="-135" w:hanging="480" w:hangingChars="200"/>
        <w:jc w:val="left"/>
        <w:rPr>
          <w:color w:val="auto"/>
          <w:sz w:val="24"/>
          <w:highlight w:val="none"/>
        </w:rPr>
      </w:pPr>
      <w:r>
        <w:rPr>
          <w:rFonts w:hint="eastAsia"/>
          <w:color w:val="auto"/>
          <w:sz w:val="24"/>
          <w:highlight w:val="none"/>
        </w:rPr>
        <w:t xml:space="preserve">    1、采购人已落实本项目采购资金。用于支付采购后所签订合同的款项。</w:t>
      </w:r>
    </w:p>
    <w:p w14:paraId="05FE0773">
      <w:pPr>
        <w:pStyle w:val="10"/>
        <w:spacing w:line="360" w:lineRule="auto"/>
        <w:ind w:left="480" w:hanging="480" w:hangingChars="200"/>
        <w:jc w:val="left"/>
        <w:rPr>
          <w:color w:val="auto"/>
          <w:sz w:val="24"/>
          <w:highlight w:val="none"/>
        </w:rPr>
      </w:pPr>
      <w:r>
        <w:rPr>
          <w:rFonts w:hint="eastAsia"/>
          <w:color w:val="auto"/>
          <w:sz w:val="24"/>
          <w:highlight w:val="none"/>
        </w:rPr>
        <w:t>（二）采购代理机构（以下简称“代理机构”）是指从事招标代理业务的中介服务机构。本次采购代理机构名称、地址、电话和传真见投标须知前附表。</w:t>
      </w:r>
    </w:p>
    <w:p w14:paraId="5718F3EE">
      <w:pPr>
        <w:pStyle w:val="10"/>
        <w:spacing w:line="360" w:lineRule="auto"/>
        <w:ind w:left="480" w:hanging="480" w:hangingChars="200"/>
        <w:jc w:val="left"/>
        <w:rPr>
          <w:color w:val="auto"/>
          <w:sz w:val="24"/>
          <w:highlight w:val="none"/>
        </w:rPr>
      </w:pPr>
      <w:r>
        <w:rPr>
          <w:rFonts w:hint="eastAsia"/>
          <w:color w:val="auto"/>
          <w:sz w:val="24"/>
          <w:highlight w:val="none"/>
        </w:rPr>
        <w:t>（三）合格的投标供应商</w:t>
      </w:r>
    </w:p>
    <w:p w14:paraId="0F0DAD06">
      <w:pPr>
        <w:pStyle w:val="10"/>
        <w:spacing w:line="360" w:lineRule="auto"/>
        <w:ind w:firstLine="480" w:firstLineChars="200"/>
        <w:jc w:val="left"/>
        <w:rPr>
          <w:color w:val="auto"/>
          <w:sz w:val="24"/>
          <w:highlight w:val="none"/>
        </w:rPr>
      </w:pPr>
      <w:r>
        <w:rPr>
          <w:rFonts w:hint="eastAsia"/>
          <w:color w:val="auto"/>
          <w:sz w:val="24"/>
          <w:highlight w:val="none"/>
        </w:rPr>
        <w:t>1、投标供应商符合“投标须知前附表”中投标供应商资格要求及采购文件规定的其它资格要求。</w:t>
      </w:r>
    </w:p>
    <w:p w14:paraId="665BED5B">
      <w:pPr>
        <w:pStyle w:val="10"/>
        <w:spacing w:line="360" w:lineRule="auto"/>
        <w:ind w:firstLine="480" w:firstLineChars="200"/>
        <w:jc w:val="left"/>
        <w:rPr>
          <w:color w:val="auto"/>
          <w:sz w:val="24"/>
          <w:highlight w:val="none"/>
        </w:rPr>
      </w:pPr>
      <w:r>
        <w:rPr>
          <w:rFonts w:hint="eastAsia"/>
          <w:color w:val="auto"/>
          <w:sz w:val="24"/>
          <w:highlight w:val="none"/>
        </w:rPr>
        <w:t>2、中华人民共和国境内注册的，具有独立法人资格的投标供应商。</w:t>
      </w:r>
    </w:p>
    <w:p w14:paraId="11793E38">
      <w:pPr>
        <w:pStyle w:val="10"/>
        <w:spacing w:line="360" w:lineRule="auto"/>
        <w:ind w:firstLine="480" w:firstLineChars="200"/>
        <w:jc w:val="left"/>
        <w:rPr>
          <w:color w:val="auto"/>
          <w:sz w:val="24"/>
          <w:highlight w:val="none"/>
        </w:rPr>
      </w:pPr>
      <w:r>
        <w:rPr>
          <w:rFonts w:hint="eastAsia"/>
          <w:color w:val="auto"/>
          <w:sz w:val="24"/>
          <w:highlight w:val="none"/>
        </w:rPr>
        <w:t>3、一个投标供应商只能委托一个代表参与同一项目的投标，一个代表只能代表一个单位。如果投标供应商存在下列互为关联关系的情形之一的，不得同时参加本项目投标。</w:t>
      </w:r>
    </w:p>
    <w:p w14:paraId="380C7FCD">
      <w:pPr>
        <w:pStyle w:val="10"/>
        <w:spacing w:line="360" w:lineRule="auto"/>
        <w:ind w:firstLine="480" w:firstLineChars="200"/>
        <w:jc w:val="left"/>
        <w:rPr>
          <w:color w:val="auto"/>
          <w:sz w:val="24"/>
          <w:highlight w:val="none"/>
        </w:rPr>
      </w:pPr>
      <w:r>
        <w:rPr>
          <w:rFonts w:hint="eastAsia"/>
          <w:color w:val="auto"/>
          <w:sz w:val="24"/>
          <w:highlight w:val="none"/>
        </w:rPr>
        <w:t>3.1 单位负责人为同一人或者存在直接控股、管理关系的不同投标供应商，不得参加同一合同项下的政府采购活动。</w:t>
      </w:r>
    </w:p>
    <w:p w14:paraId="6F399263">
      <w:pPr>
        <w:pStyle w:val="10"/>
        <w:spacing w:line="360" w:lineRule="auto"/>
        <w:ind w:firstLine="480" w:firstLineChars="200"/>
        <w:jc w:val="left"/>
        <w:rPr>
          <w:color w:val="auto"/>
          <w:sz w:val="24"/>
          <w:highlight w:val="none"/>
        </w:rPr>
      </w:pPr>
      <w:r>
        <w:rPr>
          <w:rFonts w:hint="eastAsia"/>
          <w:color w:val="auto"/>
          <w:sz w:val="24"/>
          <w:highlight w:val="none"/>
        </w:rPr>
        <w:t>3.2 为采购项目提供整体设计、规范编制或者项目管理、监理、检测等服务的投标供应商，不得再参加该采购项目的其他采购活动。</w:t>
      </w:r>
    </w:p>
    <w:p w14:paraId="3F79BCED">
      <w:pPr>
        <w:pStyle w:val="10"/>
        <w:spacing w:line="360" w:lineRule="auto"/>
        <w:ind w:firstLine="480" w:firstLineChars="200"/>
        <w:jc w:val="left"/>
        <w:rPr>
          <w:color w:val="auto"/>
          <w:sz w:val="24"/>
          <w:highlight w:val="none"/>
        </w:rPr>
      </w:pPr>
      <w:r>
        <w:rPr>
          <w:rFonts w:hint="eastAsia"/>
          <w:color w:val="auto"/>
          <w:sz w:val="24"/>
          <w:highlight w:val="none"/>
        </w:rPr>
        <w:t>3.3 如为信息系统采购项目，投标供应商不得为该整体项目或其中分项目前期工作提供过设计、编制、管理等服务的法人及附属单位。</w:t>
      </w:r>
    </w:p>
    <w:p w14:paraId="6DEA64E7">
      <w:pPr>
        <w:pStyle w:val="10"/>
        <w:spacing w:line="360" w:lineRule="auto"/>
        <w:ind w:firstLine="480" w:firstLineChars="200"/>
        <w:jc w:val="left"/>
        <w:rPr>
          <w:color w:val="auto"/>
          <w:sz w:val="24"/>
          <w:highlight w:val="none"/>
        </w:rPr>
      </w:pPr>
      <w:r>
        <w:rPr>
          <w:rFonts w:hint="eastAsia"/>
          <w:color w:val="auto"/>
          <w:sz w:val="24"/>
          <w:highlight w:val="none"/>
        </w:rPr>
        <w:t>4、投标供应商不得直接或间接地与采购单位或其附属机构有任何关联。</w:t>
      </w:r>
    </w:p>
    <w:p w14:paraId="65D88173">
      <w:pPr>
        <w:pStyle w:val="10"/>
        <w:spacing w:line="360" w:lineRule="auto"/>
        <w:ind w:firstLine="480" w:firstLineChars="200"/>
        <w:jc w:val="left"/>
        <w:rPr>
          <w:color w:val="auto"/>
          <w:sz w:val="24"/>
          <w:highlight w:val="none"/>
        </w:rPr>
      </w:pPr>
      <w:r>
        <w:rPr>
          <w:rFonts w:hint="eastAsia"/>
          <w:color w:val="auto"/>
          <w:sz w:val="24"/>
          <w:highlight w:val="none"/>
        </w:rPr>
        <w:t>5、只有在法律上和财务上独立、合法运作并独立于采购单位和采购代理机构符合投标供应商资格要求的供货人才能参加投标。</w:t>
      </w:r>
    </w:p>
    <w:p w14:paraId="53D457A9">
      <w:pPr>
        <w:pStyle w:val="10"/>
        <w:spacing w:line="360" w:lineRule="auto"/>
        <w:ind w:firstLine="480" w:firstLineChars="200"/>
        <w:jc w:val="left"/>
        <w:rPr>
          <w:color w:val="auto"/>
          <w:sz w:val="24"/>
          <w:highlight w:val="none"/>
        </w:rPr>
      </w:pPr>
      <w:r>
        <w:rPr>
          <w:rFonts w:hint="eastAsia"/>
          <w:color w:val="auto"/>
          <w:sz w:val="24"/>
          <w:highlight w:val="none"/>
        </w:rPr>
        <w:t>6、不接受任何投标供应商的选择性投标方案，不允许报两种以上（含两种）的价格，否则，该投标将视为无效投标。</w:t>
      </w:r>
    </w:p>
    <w:p w14:paraId="144AF1DA">
      <w:pPr>
        <w:pStyle w:val="10"/>
        <w:spacing w:line="360" w:lineRule="auto"/>
        <w:ind w:firstLine="480" w:firstLineChars="200"/>
        <w:jc w:val="left"/>
        <w:rPr>
          <w:color w:val="auto"/>
          <w:sz w:val="24"/>
          <w:highlight w:val="none"/>
        </w:rPr>
      </w:pPr>
      <w:r>
        <w:rPr>
          <w:rFonts w:hint="eastAsia"/>
          <w:color w:val="auto"/>
          <w:sz w:val="24"/>
          <w:highlight w:val="none"/>
        </w:rPr>
        <w:t>（四）合格的服务</w:t>
      </w:r>
    </w:p>
    <w:p w14:paraId="314EA8BD">
      <w:pPr>
        <w:pStyle w:val="10"/>
        <w:spacing w:line="360" w:lineRule="auto"/>
        <w:ind w:firstLine="480"/>
        <w:rPr>
          <w:rFonts w:ascii="宋体" w:hAnsi="宋体" w:cs="宋体"/>
          <w:snapToGrid w:val="0"/>
          <w:color w:val="auto"/>
          <w:kern w:val="0"/>
          <w:highlight w:val="none"/>
        </w:rPr>
      </w:pPr>
      <w:r>
        <w:rPr>
          <w:rFonts w:hint="eastAsia" w:ascii="宋体" w:hAnsi="宋体" w:cs="宋体"/>
          <w:snapToGrid w:val="0"/>
          <w:color w:val="auto"/>
          <w:kern w:val="0"/>
          <w:sz w:val="24"/>
          <w:highlight w:val="none"/>
        </w:rPr>
        <w:t>1、本项目采购的服务来源范围要求为中国境内合法供应商提供的服务。</w:t>
      </w:r>
    </w:p>
    <w:p w14:paraId="53A3130F">
      <w:pPr>
        <w:pStyle w:val="10"/>
        <w:spacing w:line="360" w:lineRule="auto"/>
        <w:ind w:firstLine="480"/>
        <w:rPr>
          <w:rFonts w:ascii="宋体" w:hAnsi="宋体" w:cs="宋体"/>
          <w:snapToGrid w:val="0"/>
          <w:color w:val="auto"/>
          <w:kern w:val="0"/>
          <w:highlight w:val="none"/>
        </w:rPr>
      </w:pPr>
      <w:r>
        <w:rPr>
          <w:rFonts w:hint="eastAsia" w:ascii="宋体" w:hAnsi="宋体" w:cs="宋体"/>
          <w:snapToGrid w:val="0"/>
          <w:color w:val="auto"/>
          <w:kern w:val="0"/>
          <w:sz w:val="24"/>
          <w:highlight w:val="none"/>
        </w:rPr>
        <w:t>2、必须满足本采购文件第五章“采购需求”。</w:t>
      </w:r>
    </w:p>
    <w:p w14:paraId="5C7F8192">
      <w:pPr>
        <w:pStyle w:val="10"/>
        <w:spacing w:line="360" w:lineRule="auto"/>
        <w:ind w:firstLine="480"/>
        <w:rPr>
          <w:color w:val="auto"/>
          <w:sz w:val="24"/>
          <w:highlight w:val="none"/>
        </w:rPr>
      </w:pPr>
      <w:r>
        <w:rPr>
          <w:rFonts w:hint="eastAsia" w:ascii="宋体" w:hAnsi="宋体" w:cs="宋体"/>
          <w:snapToGrid w:val="0"/>
          <w:color w:val="auto"/>
          <w:kern w:val="0"/>
          <w:sz w:val="24"/>
          <w:highlight w:val="none"/>
        </w:rPr>
        <w:t>3、供应商应保证在承诺的服务期内实施相应的售后服务承诺。</w:t>
      </w:r>
    </w:p>
    <w:p w14:paraId="11EA37B6">
      <w:pPr>
        <w:pStyle w:val="10"/>
        <w:spacing w:line="360" w:lineRule="auto"/>
        <w:ind w:firstLine="480" w:firstLineChars="200"/>
        <w:jc w:val="left"/>
        <w:rPr>
          <w:color w:val="auto"/>
          <w:sz w:val="24"/>
          <w:highlight w:val="none"/>
        </w:rPr>
      </w:pPr>
      <w:r>
        <w:rPr>
          <w:rFonts w:hint="eastAsia"/>
          <w:color w:val="auto"/>
          <w:sz w:val="24"/>
          <w:highlight w:val="none"/>
        </w:rPr>
        <w:t>（五）投标费用</w:t>
      </w:r>
    </w:p>
    <w:p w14:paraId="60B60ACC">
      <w:pPr>
        <w:pStyle w:val="10"/>
        <w:spacing w:line="360" w:lineRule="auto"/>
        <w:ind w:firstLine="480" w:firstLineChars="200"/>
        <w:jc w:val="left"/>
        <w:rPr>
          <w:color w:val="auto"/>
          <w:sz w:val="24"/>
          <w:highlight w:val="none"/>
        </w:rPr>
      </w:pPr>
      <w:r>
        <w:rPr>
          <w:rFonts w:hint="eastAsia"/>
          <w:color w:val="auto"/>
          <w:sz w:val="24"/>
          <w:highlight w:val="none"/>
        </w:rPr>
        <w:t>1、投标供应商应承担所有与准备和参加投标有关的费用。不论投标的结果如何，采购代理机构和采购单位均无义务和责任承担任何费用。</w:t>
      </w:r>
    </w:p>
    <w:p w14:paraId="775E0796">
      <w:pPr>
        <w:pStyle w:val="10"/>
        <w:spacing w:line="360" w:lineRule="auto"/>
        <w:ind w:firstLine="480" w:firstLineChars="200"/>
        <w:jc w:val="left"/>
        <w:rPr>
          <w:color w:val="auto"/>
          <w:sz w:val="24"/>
          <w:highlight w:val="none"/>
        </w:rPr>
      </w:pPr>
      <w:r>
        <w:rPr>
          <w:rFonts w:hint="eastAsia"/>
          <w:color w:val="auto"/>
          <w:sz w:val="24"/>
          <w:highlight w:val="none"/>
        </w:rPr>
        <w:t>（六）投标供应商质疑及投诉受理</w:t>
      </w:r>
    </w:p>
    <w:p w14:paraId="335227D7">
      <w:pPr>
        <w:pStyle w:val="10"/>
        <w:spacing w:line="360" w:lineRule="auto"/>
        <w:ind w:firstLine="480" w:firstLineChars="200"/>
        <w:jc w:val="left"/>
        <w:rPr>
          <w:color w:val="auto"/>
          <w:sz w:val="24"/>
          <w:highlight w:val="none"/>
        </w:rPr>
      </w:pPr>
      <w:r>
        <w:rPr>
          <w:rFonts w:hint="eastAsia"/>
          <w:color w:val="auto"/>
          <w:sz w:val="24"/>
          <w:highlight w:val="none"/>
        </w:rPr>
        <w:t>1、投标供应商认为采购文件、采购过程、中标结果使自己的权益受到损害的，可以在知道或者应知其权益受到损害之日起七个工作日内，以书面形式向采购人、采购代理机构提出质疑。</w:t>
      </w:r>
    </w:p>
    <w:p w14:paraId="32A1B5E0">
      <w:pPr>
        <w:pStyle w:val="10"/>
        <w:spacing w:line="360" w:lineRule="auto"/>
        <w:ind w:firstLine="480" w:firstLineChars="200"/>
        <w:jc w:val="left"/>
        <w:rPr>
          <w:color w:val="auto"/>
          <w:sz w:val="24"/>
          <w:highlight w:val="none"/>
        </w:rPr>
      </w:pPr>
      <w:r>
        <w:rPr>
          <w:rFonts w:hint="eastAsia"/>
          <w:color w:val="auto"/>
          <w:sz w:val="24"/>
          <w:highlight w:val="none"/>
        </w:rPr>
        <w:t>2、投标供应商须在法定质疑期内一次性提出针对同一采购程序环节的质疑。</w:t>
      </w:r>
    </w:p>
    <w:p w14:paraId="38ACB0B0">
      <w:pPr>
        <w:pStyle w:val="10"/>
        <w:spacing w:line="360" w:lineRule="auto"/>
        <w:ind w:firstLine="480" w:firstLineChars="200"/>
        <w:jc w:val="left"/>
        <w:rPr>
          <w:color w:val="auto"/>
          <w:sz w:val="24"/>
          <w:highlight w:val="none"/>
        </w:rPr>
      </w:pPr>
      <w:r>
        <w:rPr>
          <w:rFonts w:hint="eastAsia"/>
          <w:color w:val="auto"/>
          <w:sz w:val="24"/>
          <w:highlight w:val="none"/>
        </w:rPr>
        <w:t>3、投标供应商提出质疑应当按照“《政府采购质疑和投诉办法》（财政部令第94 号）”规定提出质疑函和必要的证明材料。</w:t>
      </w:r>
    </w:p>
    <w:p w14:paraId="2B7E0377">
      <w:pPr>
        <w:pStyle w:val="10"/>
        <w:spacing w:line="360" w:lineRule="auto"/>
        <w:ind w:firstLine="480" w:firstLineChars="200"/>
        <w:jc w:val="left"/>
        <w:rPr>
          <w:color w:val="auto"/>
          <w:sz w:val="24"/>
          <w:highlight w:val="none"/>
        </w:rPr>
      </w:pPr>
      <w:r>
        <w:rPr>
          <w:rFonts w:hint="eastAsia"/>
          <w:color w:val="auto"/>
          <w:sz w:val="24"/>
          <w:highlight w:val="none"/>
        </w:rPr>
        <w:t>4、采购人、采购代理机构接收投标供应商质疑函的方式：采购人、采购代理机构只接收投标供应商以书面形式递交的质疑函，且质疑函的格式应遵照财政部发布的《政府采购投标供应商质疑函范本》进行填写。</w:t>
      </w:r>
    </w:p>
    <w:p w14:paraId="47A493C5">
      <w:pPr>
        <w:pStyle w:val="10"/>
        <w:spacing w:line="360" w:lineRule="auto"/>
        <w:ind w:firstLine="480" w:firstLineChars="200"/>
        <w:jc w:val="left"/>
        <w:rPr>
          <w:color w:val="auto"/>
          <w:sz w:val="24"/>
          <w:highlight w:val="none"/>
        </w:rPr>
      </w:pPr>
      <w:r>
        <w:rPr>
          <w:rFonts w:hint="eastAsia"/>
          <w:color w:val="auto"/>
          <w:sz w:val="24"/>
          <w:highlight w:val="none"/>
        </w:rPr>
        <w:t>5、采购代理机构自受理书面质疑函原件之日起，在《中华人民共和国政府采购法》《政府采购质疑和投诉办法》（财政部令第 94 号）规定的有效期限内作出书面答复。</w:t>
      </w:r>
    </w:p>
    <w:p w14:paraId="59717A5D">
      <w:pPr>
        <w:pStyle w:val="10"/>
        <w:spacing w:line="360" w:lineRule="auto"/>
        <w:ind w:firstLine="480" w:firstLineChars="200"/>
        <w:jc w:val="left"/>
        <w:rPr>
          <w:color w:val="auto"/>
          <w:sz w:val="24"/>
          <w:highlight w:val="none"/>
        </w:rPr>
      </w:pPr>
      <w:r>
        <w:rPr>
          <w:rFonts w:hint="eastAsia"/>
          <w:color w:val="auto"/>
          <w:sz w:val="24"/>
          <w:highlight w:val="none"/>
        </w:rPr>
        <w:t>6、质疑函一式两份，全部递交至采购代理机构。</w:t>
      </w:r>
    </w:p>
    <w:p w14:paraId="1F300BA3">
      <w:pPr>
        <w:pStyle w:val="10"/>
        <w:spacing w:line="360" w:lineRule="auto"/>
        <w:ind w:firstLine="480" w:firstLineChars="200"/>
        <w:jc w:val="left"/>
        <w:rPr>
          <w:rFonts w:hint="eastAsia" w:eastAsia="宋体"/>
          <w:color w:val="auto"/>
          <w:sz w:val="24"/>
          <w:highlight w:val="none"/>
          <w:lang w:eastAsia="zh-CN"/>
        </w:rPr>
      </w:pPr>
      <w:r>
        <w:rPr>
          <w:rFonts w:hint="eastAsia"/>
          <w:color w:val="auto"/>
          <w:sz w:val="24"/>
          <w:highlight w:val="none"/>
        </w:rPr>
        <w:t>联系人：</w:t>
      </w:r>
      <w:r>
        <w:rPr>
          <w:rFonts w:hint="eastAsia"/>
          <w:color w:val="auto"/>
          <w:sz w:val="24"/>
          <w:highlight w:val="none"/>
          <w:lang w:val="en-US" w:eastAsia="zh-CN"/>
        </w:rPr>
        <w:t xml:space="preserve">冯健康 </w:t>
      </w:r>
    </w:p>
    <w:p w14:paraId="5452EBD3">
      <w:pPr>
        <w:pStyle w:val="10"/>
        <w:spacing w:line="360" w:lineRule="auto"/>
        <w:ind w:firstLine="480" w:firstLineChars="200"/>
        <w:jc w:val="left"/>
        <w:rPr>
          <w:rFonts w:hint="eastAsia" w:eastAsia="宋体"/>
          <w:color w:val="auto"/>
          <w:sz w:val="24"/>
          <w:highlight w:val="none"/>
          <w:lang w:eastAsia="zh-CN"/>
        </w:rPr>
      </w:pPr>
      <w:r>
        <w:rPr>
          <w:rFonts w:hint="eastAsia"/>
          <w:color w:val="auto"/>
          <w:sz w:val="24"/>
          <w:highlight w:val="none"/>
        </w:rPr>
        <w:t>联系电话：</w:t>
      </w:r>
      <w:r>
        <w:rPr>
          <w:rFonts w:hint="eastAsia"/>
          <w:color w:val="auto"/>
          <w:sz w:val="24"/>
          <w:highlight w:val="none"/>
          <w:lang w:val="en-US" w:eastAsia="zh-CN"/>
        </w:rPr>
        <w:t>13639015382</w:t>
      </w:r>
      <w:r>
        <w:rPr>
          <w:rFonts w:hint="eastAsia" w:ascii="Arial" w:hAnsi="Arial" w:cs="Arial"/>
          <w:color w:val="auto"/>
          <w:kern w:val="0"/>
          <w:sz w:val="24"/>
          <w:szCs w:val="18"/>
          <w:highlight w:val="none"/>
          <w:lang w:val="en-US" w:eastAsia="zh-CN"/>
        </w:rPr>
        <w:t xml:space="preserve"> </w:t>
      </w:r>
    </w:p>
    <w:p w14:paraId="57FE9260">
      <w:pPr>
        <w:pStyle w:val="10"/>
        <w:spacing w:line="360" w:lineRule="auto"/>
        <w:ind w:firstLine="480" w:firstLineChars="200"/>
        <w:jc w:val="left"/>
        <w:rPr>
          <w:rFonts w:hint="default" w:eastAsia="宋体"/>
          <w:color w:val="auto"/>
          <w:sz w:val="24"/>
          <w:highlight w:val="none"/>
          <w:lang w:val="en-US" w:eastAsia="zh-CN"/>
        </w:rPr>
      </w:pPr>
      <w:r>
        <w:rPr>
          <w:rFonts w:hint="eastAsia"/>
          <w:color w:val="auto"/>
          <w:sz w:val="24"/>
          <w:highlight w:val="none"/>
        </w:rPr>
        <w:t>递交地点</w:t>
      </w:r>
      <w:r>
        <w:rPr>
          <w:rFonts w:hint="eastAsia" w:ascii="Arial" w:hAnsi="Arial" w:cs="Arial"/>
          <w:color w:val="auto"/>
          <w:kern w:val="0"/>
          <w:sz w:val="24"/>
          <w:szCs w:val="18"/>
          <w:highlight w:val="none"/>
          <w:lang w:val="en-US" w:eastAsia="zh-CN"/>
        </w:rPr>
        <w:t>：</w:t>
      </w:r>
      <w:r>
        <w:rPr>
          <w:rFonts w:hint="eastAsia" w:ascii="Arial" w:hAnsi="Arial" w:cs="Arial"/>
          <w:color w:val="auto"/>
          <w:kern w:val="0"/>
          <w:sz w:val="24"/>
          <w:szCs w:val="18"/>
          <w:highlight w:val="none"/>
        </w:rPr>
        <w:t>贵阳市小河万科大都会写字楼 B 座 18 楼 1806 室</w:t>
      </w:r>
    </w:p>
    <w:p w14:paraId="44169CB5">
      <w:pPr>
        <w:pStyle w:val="10"/>
        <w:spacing w:line="360" w:lineRule="auto"/>
        <w:jc w:val="left"/>
        <w:rPr>
          <w:color w:val="auto"/>
          <w:sz w:val="24"/>
          <w:highlight w:val="none"/>
        </w:rPr>
      </w:pPr>
    </w:p>
    <w:p w14:paraId="05607099">
      <w:pPr>
        <w:pStyle w:val="10"/>
        <w:spacing w:line="360" w:lineRule="auto"/>
        <w:jc w:val="left"/>
        <w:rPr>
          <w:color w:val="auto"/>
          <w:sz w:val="24"/>
          <w:highlight w:val="none"/>
        </w:rPr>
      </w:pPr>
    </w:p>
    <w:p w14:paraId="0CF19FB9">
      <w:pPr>
        <w:pStyle w:val="10"/>
        <w:spacing w:line="360" w:lineRule="auto"/>
        <w:jc w:val="left"/>
        <w:rPr>
          <w:color w:val="auto"/>
          <w:sz w:val="24"/>
          <w:highlight w:val="none"/>
        </w:rPr>
      </w:pPr>
    </w:p>
    <w:p w14:paraId="16510D27">
      <w:pPr>
        <w:pStyle w:val="10"/>
        <w:spacing w:line="360" w:lineRule="auto"/>
        <w:jc w:val="center"/>
        <w:rPr>
          <w:b/>
          <w:color w:val="auto"/>
          <w:sz w:val="28"/>
          <w:highlight w:val="none"/>
        </w:rPr>
      </w:pPr>
      <w:r>
        <w:rPr>
          <w:rFonts w:hint="eastAsia"/>
          <w:b/>
          <w:color w:val="auto"/>
          <w:sz w:val="28"/>
          <w:highlight w:val="none"/>
        </w:rPr>
        <w:t>二、采购文件编制</w:t>
      </w:r>
    </w:p>
    <w:p w14:paraId="2D031EA2">
      <w:pPr>
        <w:pStyle w:val="10"/>
        <w:spacing w:line="360" w:lineRule="auto"/>
        <w:ind w:firstLine="480" w:firstLineChars="200"/>
        <w:jc w:val="left"/>
        <w:rPr>
          <w:color w:val="auto"/>
          <w:sz w:val="24"/>
          <w:highlight w:val="none"/>
        </w:rPr>
      </w:pPr>
      <w:r>
        <w:rPr>
          <w:rFonts w:hint="eastAsia"/>
          <w:color w:val="auto"/>
          <w:sz w:val="24"/>
          <w:highlight w:val="none"/>
        </w:rPr>
        <w:t>（一）采购文件由下述部分组成：</w:t>
      </w:r>
    </w:p>
    <w:p w14:paraId="24BD711B">
      <w:pPr>
        <w:pStyle w:val="10"/>
        <w:spacing w:line="360" w:lineRule="auto"/>
        <w:ind w:firstLine="480" w:firstLineChars="200"/>
        <w:jc w:val="left"/>
        <w:rPr>
          <w:color w:val="auto"/>
          <w:sz w:val="24"/>
          <w:highlight w:val="none"/>
        </w:rPr>
      </w:pPr>
      <w:r>
        <w:rPr>
          <w:rFonts w:hint="eastAsia"/>
          <w:color w:val="auto"/>
          <w:sz w:val="24"/>
          <w:highlight w:val="none"/>
        </w:rPr>
        <w:t>第一章采购公告</w:t>
      </w:r>
    </w:p>
    <w:p w14:paraId="2D592E47">
      <w:pPr>
        <w:pStyle w:val="10"/>
        <w:spacing w:line="360" w:lineRule="auto"/>
        <w:ind w:firstLine="480" w:firstLineChars="200"/>
        <w:jc w:val="left"/>
        <w:rPr>
          <w:color w:val="auto"/>
          <w:sz w:val="24"/>
          <w:highlight w:val="none"/>
        </w:rPr>
      </w:pPr>
      <w:r>
        <w:rPr>
          <w:rFonts w:hint="eastAsia"/>
          <w:color w:val="auto"/>
          <w:sz w:val="24"/>
          <w:highlight w:val="none"/>
        </w:rPr>
        <w:t>第二章投标须知前附表</w:t>
      </w:r>
    </w:p>
    <w:p w14:paraId="7B469F20">
      <w:pPr>
        <w:pStyle w:val="10"/>
        <w:spacing w:line="360" w:lineRule="auto"/>
        <w:ind w:firstLine="480" w:firstLineChars="200"/>
        <w:jc w:val="left"/>
        <w:rPr>
          <w:color w:val="auto"/>
          <w:sz w:val="24"/>
          <w:highlight w:val="none"/>
        </w:rPr>
      </w:pPr>
      <w:r>
        <w:rPr>
          <w:rFonts w:hint="eastAsia"/>
          <w:color w:val="auto"/>
          <w:sz w:val="24"/>
          <w:highlight w:val="none"/>
        </w:rPr>
        <w:t>第三章供应商须知</w:t>
      </w:r>
    </w:p>
    <w:p w14:paraId="28A329AA">
      <w:pPr>
        <w:pStyle w:val="10"/>
        <w:spacing w:line="360" w:lineRule="auto"/>
        <w:ind w:firstLine="480" w:firstLineChars="200"/>
        <w:jc w:val="left"/>
        <w:rPr>
          <w:color w:val="auto"/>
          <w:sz w:val="24"/>
          <w:highlight w:val="none"/>
        </w:rPr>
      </w:pPr>
      <w:r>
        <w:rPr>
          <w:rFonts w:hint="eastAsia"/>
          <w:color w:val="auto"/>
          <w:sz w:val="24"/>
          <w:highlight w:val="none"/>
        </w:rPr>
        <w:t>第四章评标办法</w:t>
      </w:r>
    </w:p>
    <w:p w14:paraId="7C371362">
      <w:pPr>
        <w:pStyle w:val="10"/>
        <w:spacing w:line="360" w:lineRule="auto"/>
        <w:ind w:firstLine="480" w:firstLineChars="200"/>
        <w:jc w:val="left"/>
        <w:rPr>
          <w:color w:val="auto"/>
          <w:sz w:val="24"/>
          <w:highlight w:val="none"/>
        </w:rPr>
      </w:pPr>
      <w:r>
        <w:rPr>
          <w:rFonts w:hint="eastAsia"/>
          <w:color w:val="auto"/>
          <w:sz w:val="24"/>
          <w:highlight w:val="none"/>
        </w:rPr>
        <w:t>第五章采购需求</w:t>
      </w:r>
    </w:p>
    <w:p w14:paraId="082DFFDE">
      <w:pPr>
        <w:pStyle w:val="10"/>
        <w:spacing w:line="360" w:lineRule="auto"/>
        <w:ind w:firstLine="480" w:firstLineChars="200"/>
        <w:jc w:val="left"/>
        <w:rPr>
          <w:color w:val="auto"/>
          <w:sz w:val="24"/>
          <w:highlight w:val="none"/>
        </w:rPr>
      </w:pPr>
      <w:r>
        <w:rPr>
          <w:rFonts w:hint="eastAsia"/>
          <w:color w:val="auto"/>
          <w:sz w:val="24"/>
          <w:highlight w:val="none"/>
        </w:rPr>
        <w:t>第六章合同条款</w:t>
      </w:r>
    </w:p>
    <w:p w14:paraId="55A01998">
      <w:pPr>
        <w:pStyle w:val="10"/>
        <w:spacing w:line="360" w:lineRule="auto"/>
        <w:ind w:firstLine="480" w:firstLineChars="200"/>
        <w:jc w:val="left"/>
        <w:rPr>
          <w:color w:val="auto"/>
          <w:sz w:val="24"/>
          <w:highlight w:val="none"/>
        </w:rPr>
      </w:pPr>
      <w:r>
        <w:rPr>
          <w:rFonts w:hint="eastAsia"/>
          <w:color w:val="auto"/>
          <w:sz w:val="24"/>
          <w:highlight w:val="none"/>
        </w:rPr>
        <w:t>第七章投标文件格式（参考模板）</w:t>
      </w:r>
    </w:p>
    <w:p w14:paraId="7A68DF8A">
      <w:pPr>
        <w:pStyle w:val="10"/>
        <w:spacing w:line="360" w:lineRule="auto"/>
        <w:ind w:firstLine="480" w:firstLineChars="200"/>
        <w:jc w:val="left"/>
        <w:rPr>
          <w:color w:val="auto"/>
          <w:sz w:val="24"/>
          <w:highlight w:val="none"/>
        </w:rPr>
      </w:pPr>
      <w:r>
        <w:rPr>
          <w:rFonts w:hint="eastAsia"/>
          <w:color w:val="auto"/>
          <w:sz w:val="24"/>
          <w:highlight w:val="none"/>
        </w:rPr>
        <w:t>第八章其他</w:t>
      </w:r>
    </w:p>
    <w:p w14:paraId="13F88FEC">
      <w:pPr>
        <w:pStyle w:val="10"/>
        <w:spacing w:line="360" w:lineRule="auto"/>
        <w:ind w:firstLine="480" w:firstLineChars="200"/>
        <w:jc w:val="left"/>
        <w:rPr>
          <w:color w:val="auto"/>
          <w:sz w:val="24"/>
          <w:highlight w:val="none"/>
        </w:rPr>
      </w:pPr>
      <w:r>
        <w:rPr>
          <w:rFonts w:hint="eastAsia"/>
          <w:color w:val="auto"/>
          <w:sz w:val="24"/>
          <w:highlight w:val="none"/>
        </w:rPr>
        <w:t>（二）投标供应商应仔细阅读采购文件的所有内容，按采购文件的要求提供投标文件，并保证所提供的全部资料的真实性，以使其投标对采购文件做出实质性响应，否则，其投标可能被拒绝。</w:t>
      </w:r>
    </w:p>
    <w:p w14:paraId="2DBA6642">
      <w:pPr>
        <w:pStyle w:val="10"/>
        <w:spacing w:line="360" w:lineRule="auto"/>
        <w:ind w:firstLine="480" w:firstLineChars="200"/>
        <w:jc w:val="left"/>
        <w:rPr>
          <w:color w:val="auto"/>
          <w:sz w:val="24"/>
          <w:highlight w:val="none"/>
        </w:rPr>
      </w:pPr>
      <w:r>
        <w:rPr>
          <w:rFonts w:hint="eastAsia"/>
          <w:color w:val="auto"/>
          <w:sz w:val="24"/>
          <w:highlight w:val="none"/>
        </w:rPr>
        <w:t>（三）采购文件的澄清</w:t>
      </w:r>
    </w:p>
    <w:p w14:paraId="3826D223">
      <w:pPr>
        <w:pStyle w:val="10"/>
        <w:spacing w:line="360" w:lineRule="auto"/>
        <w:ind w:firstLine="480" w:firstLineChars="200"/>
        <w:jc w:val="left"/>
        <w:rPr>
          <w:color w:val="auto"/>
          <w:sz w:val="24"/>
          <w:highlight w:val="none"/>
        </w:rPr>
      </w:pPr>
      <w:r>
        <w:rPr>
          <w:rFonts w:hint="eastAsia"/>
          <w:color w:val="auto"/>
          <w:sz w:val="24"/>
          <w:highlight w:val="none"/>
        </w:rPr>
        <w:t>1、投标供应商对采购文件如有疑问需要澄清，须在投标截止时间 15 日前以书面形式通知采购代理机构，采购代理机构将以书面做出答复，逾期不接受。</w:t>
      </w:r>
    </w:p>
    <w:p w14:paraId="01BA2E97">
      <w:pPr>
        <w:pStyle w:val="10"/>
        <w:spacing w:line="360" w:lineRule="auto"/>
        <w:ind w:firstLine="480" w:firstLineChars="200"/>
        <w:jc w:val="left"/>
        <w:rPr>
          <w:color w:val="auto"/>
          <w:sz w:val="24"/>
          <w:highlight w:val="none"/>
        </w:rPr>
      </w:pPr>
      <w:r>
        <w:rPr>
          <w:rFonts w:hint="eastAsia"/>
          <w:color w:val="auto"/>
          <w:sz w:val="24"/>
          <w:highlight w:val="none"/>
        </w:rPr>
        <w:t>2、采购文件的修改</w:t>
      </w:r>
    </w:p>
    <w:p w14:paraId="16C1ACDE">
      <w:pPr>
        <w:pStyle w:val="10"/>
        <w:spacing w:line="360" w:lineRule="auto"/>
        <w:ind w:firstLine="480" w:firstLineChars="200"/>
        <w:jc w:val="left"/>
        <w:rPr>
          <w:color w:val="auto"/>
          <w:sz w:val="24"/>
          <w:highlight w:val="none"/>
        </w:rPr>
      </w:pPr>
      <w:r>
        <w:rPr>
          <w:rFonts w:hint="eastAsia"/>
          <w:color w:val="auto"/>
          <w:sz w:val="24"/>
          <w:highlight w:val="none"/>
        </w:rPr>
        <w:t>2.1 在投标截止时间 15 日前的任何时间，采购单位或采购代理机构无论出于自己的考虑，还是出于对投标供应商提问的澄清，均可主动对采购文件用补充文件的方式进行修改。</w:t>
      </w:r>
    </w:p>
    <w:p w14:paraId="4C60C854">
      <w:pPr>
        <w:pStyle w:val="10"/>
        <w:spacing w:line="360" w:lineRule="auto"/>
        <w:ind w:firstLine="480" w:firstLineChars="200"/>
        <w:jc w:val="left"/>
        <w:rPr>
          <w:color w:val="auto"/>
          <w:sz w:val="24"/>
          <w:highlight w:val="none"/>
        </w:rPr>
      </w:pPr>
      <w:r>
        <w:rPr>
          <w:rFonts w:hint="eastAsia"/>
          <w:color w:val="auto"/>
          <w:sz w:val="24"/>
          <w:highlight w:val="none"/>
        </w:rPr>
        <w:t>2.2 对采购文件的修改，将以在发布招标公告的媒体上发布更正公告的形式通知已购买采购文件的所有投标供应商。更正公告将作为采购文件的组成部分，对所有投标供应商有约束力。</w:t>
      </w:r>
    </w:p>
    <w:p w14:paraId="73544342">
      <w:pPr>
        <w:pStyle w:val="10"/>
        <w:spacing w:line="360" w:lineRule="auto"/>
        <w:ind w:firstLine="480" w:firstLineChars="200"/>
        <w:jc w:val="left"/>
        <w:rPr>
          <w:color w:val="auto"/>
          <w:sz w:val="24"/>
          <w:highlight w:val="none"/>
        </w:rPr>
      </w:pPr>
      <w:r>
        <w:rPr>
          <w:rFonts w:hint="eastAsia"/>
          <w:color w:val="auto"/>
          <w:sz w:val="24"/>
          <w:highlight w:val="none"/>
        </w:rPr>
        <w:t>2.3 因各种特殊情况，采购单位有权决定推迟投标截止时间和开标时间，并将此变更通知购买采购文件的所有投标供应商。</w:t>
      </w:r>
    </w:p>
    <w:p w14:paraId="4B5F6C7A">
      <w:pPr>
        <w:pStyle w:val="10"/>
        <w:spacing w:line="360" w:lineRule="auto"/>
        <w:ind w:firstLine="480" w:firstLineChars="200"/>
        <w:jc w:val="left"/>
        <w:rPr>
          <w:color w:val="auto"/>
          <w:sz w:val="24"/>
          <w:highlight w:val="none"/>
        </w:rPr>
      </w:pPr>
      <w:r>
        <w:rPr>
          <w:rFonts w:hint="eastAsia"/>
          <w:color w:val="auto"/>
          <w:sz w:val="24"/>
          <w:highlight w:val="none"/>
        </w:rPr>
        <w:t>注：投标供应商获取采购文件后，应仔细检查采购文件的所有内容，如有残缺等问题应在获得采购文件 3 日内向采购代理机构提出，否则，由此引起的损失由投标供应商自己承担。</w:t>
      </w:r>
    </w:p>
    <w:p w14:paraId="556146B1">
      <w:pPr>
        <w:pStyle w:val="10"/>
        <w:spacing w:line="360" w:lineRule="auto"/>
        <w:jc w:val="center"/>
        <w:rPr>
          <w:b/>
          <w:color w:val="auto"/>
          <w:sz w:val="28"/>
          <w:highlight w:val="none"/>
        </w:rPr>
      </w:pPr>
      <w:r>
        <w:rPr>
          <w:rFonts w:hint="eastAsia"/>
          <w:b/>
          <w:color w:val="auto"/>
          <w:sz w:val="28"/>
          <w:highlight w:val="none"/>
        </w:rPr>
        <w:t>三、投标文件编制说明</w:t>
      </w:r>
    </w:p>
    <w:p w14:paraId="3D2FEF3B">
      <w:pPr>
        <w:pStyle w:val="10"/>
        <w:spacing w:line="360" w:lineRule="auto"/>
        <w:ind w:firstLine="480" w:firstLineChars="200"/>
        <w:jc w:val="left"/>
        <w:rPr>
          <w:color w:val="auto"/>
          <w:sz w:val="24"/>
          <w:highlight w:val="none"/>
        </w:rPr>
      </w:pPr>
      <w:r>
        <w:rPr>
          <w:rFonts w:hint="eastAsia"/>
          <w:color w:val="auto"/>
          <w:sz w:val="24"/>
          <w:highlight w:val="none"/>
        </w:rPr>
        <w:t xml:space="preserve">一、格式 </w:t>
      </w:r>
    </w:p>
    <w:p w14:paraId="3601EE4A">
      <w:pPr>
        <w:pStyle w:val="10"/>
        <w:spacing w:line="360" w:lineRule="auto"/>
        <w:ind w:firstLine="480" w:firstLineChars="200"/>
        <w:jc w:val="left"/>
        <w:rPr>
          <w:color w:val="auto"/>
          <w:sz w:val="24"/>
          <w:highlight w:val="none"/>
        </w:rPr>
      </w:pPr>
      <w:r>
        <w:rPr>
          <w:rFonts w:hint="eastAsia"/>
          <w:color w:val="auto"/>
          <w:sz w:val="24"/>
          <w:highlight w:val="none"/>
        </w:rPr>
        <w:t xml:space="preserve">1.投标文件及与投标有关的所有来往函电均使用中文简体字。原版为外文的证书类文件，以及由外籍人士做出的本人签名、外籍公司的名称或外籍印章等可以是外文，但应当提供中文翻译文件并加盖投标人公章。必要时评标委员会可以要求投标人提供附有公证书的中文翻译文件或者与原版文件签章相一致的中文翻译文件。对于未附有中文译本和中文译本不准确引起的对投标人的不利后果，由投标人自行负责。 </w:t>
      </w:r>
    </w:p>
    <w:p w14:paraId="253BEE31">
      <w:pPr>
        <w:pStyle w:val="10"/>
        <w:spacing w:line="360" w:lineRule="auto"/>
        <w:ind w:firstLine="480" w:firstLineChars="200"/>
        <w:jc w:val="left"/>
        <w:rPr>
          <w:color w:val="auto"/>
          <w:sz w:val="24"/>
          <w:highlight w:val="none"/>
        </w:rPr>
      </w:pPr>
      <w:r>
        <w:rPr>
          <w:rFonts w:hint="eastAsia"/>
          <w:color w:val="auto"/>
          <w:sz w:val="24"/>
          <w:highlight w:val="none"/>
        </w:rPr>
        <w:t xml:space="preserve">2.投标文件中所使用的计量单位，除招标文件有要求的外，均使用国家法定计量单位。 </w:t>
      </w:r>
    </w:p>
    <w:p w14:paraId="2537CB4A">
      <w:pPr>
        <w:pStyle w:val="10"/>
        <w:spacing w:line="360" w:lineRule="auto"/>
        <w:ind w:firstLine="480" w:firstLineChars="200"/>
        <w:jc w:val="left"/>
        <w:rPr>
          <w:color w:val="auto"/>
          <w:sz w:val="24"/>
          <w:highlight w:val="none"/>
        </w:rPr>
      </w:pPr>
      <w:r>
        <w:rPr>
          <w:rFonts w:hint="eastAsia"/>
          <w:color w:val="auto"/>
          <w:sz w:val="24"/>
          <w:highlight w:val="none"/>
        </w:rPr>
        <w:t xml:space="preserve">3.投标文件中的图片资料、打印件、复印件等应清晰可见，内容不得倒置、歪斜。由于投标文件不清晰或不利于阅读所造成的后果，由投标人自行负责。 </w:t>
      </w:r>
    </w:p>
    <w:p w14:paraId="6DD8EB0E">
      <w:pPr>
        <w:pStyle w:val="10"/>
        <w:spacing w:line="360" w:lineRule="auto"/>
        <w:ind w:firstLine="480" w:firstLineChars="200"/>
        <w:jc w:val="left"/>
        <w:rPr>
          <w:color w:val="auto"/>
          <w:sz w:val="24"/>
          <w:highlight w:val="none"/>
        </w:rPr>
      </w:pPr>
      <w:r>
        <w:rPr>
          <w:rFonts w:hint="eastAsia"/>
          <w:color w:val="auto"/>
          <w:sz w:val="24"/>
          <w:highlight w:val="none"/>
        </w:rPr>
        <w:t xml:space="preserve">4.投标人应按照投标文件结构化编制工具编制投标文件，生成.GPT 格式的投标文件，并使用数字证书进行加密。投标文件制作工具使用问题咨询贵州省公共资源交易中心：0851-85971363/85971912（ 信 息 化 处 ） 0851-85971671/85971629（工具维保）。 </w:t>
      </w:r>
    </w:p>
    <w:p w14:paraId="24BA8831">
      <w:pPr>
        <w:pStyle w:val="10"/>
        <w:spacing w:line="360" w:lineRule="auto"/>
        <w:ind w:firstLine="480" w:firstLineChars="200"/>
        <w:jc w:val="left"/>
        <w:rPr>
          <w:color w:val="auto"/>
          <w:sz w:val="24"/>
          <w:highlight w:val="none"/>
        </w:rPr>
      </w:pPr>
      <w:r>
        <w:rPr>
          <w:rFonts w:hint="eastAsia"/>
          <w:color w:val="auto"/>
          <w:sz w:val="24"/>
          <w:highlight w:val="none"/>
        </w:rPr>
        <w:t xml:space="preserve">二、递交时间及地点 </w:t>
      </w:r>
    </w:p>
    <w:p w14:paraId="41592062">
      <w:pPr>
        <w:pStyle w:val="10"/>
        <w:spacing w:line="360" w:lineRule="auto"/>
        <w:ind w:firstLine="480" w:firstLineChars="200"/>
        <w:jc w:val="left"/>
        <w:rPr>
          <w:color w:val="auto"/>
          <w:sz w:val="24"/>
          <w:highlight w:val="none"/>
        </w:rPr>
      </w:pPr>
      <w:r>
        <w:rPr>
          <w:rFonts w:hint="eastAsia"/>
          <w:color w:val="auto"/>
          <w:sz w:val="24"/>
          <w:highlight w:val="none"/>
        </w:rPr>
        <w:t xml:space="preserve">递交文件截止时间（北京时间）：以本项目公告时间为准；因本项目为电子招标，投标 人须在递交投标文件截止时间前完整的将加密电子投标文件（.GPT 格式）上传到全国公共资源交易平台（贵州省）（网址：ggzy.guizhou.gov.cn）-2020 版，投标截止时间前未完成投标文件传输的，视为撤回投标文件。投标截止时间后，贵州省公共资源交易平台不再接收投标文件。潜在投标人在开标环节无需递交纸质投标文件。 </w:t>
      </w:r>
    </w:p>
    <w:p w14:paraId="0C08C6F2">
      <w:pPr>
        <w:pStyle w:val="10"/>
        <w:spacing w:line="360" w:lineRule="auto"/>
        <w:ind w:firstLine="480" w:firstLineChars="200"/>
        <w:jc w:val="left"/>
        <w:rPr>
          <w:color w:val="auto"/>
          <w:sz w:val="24"/>
          <w:highlight w:val="none"/>
        </w:rPr>
      </w:pPr>
      <w:r>
        <w:rPr>
          <w:rFonts w:hint="eastAsia"/>
          <w:color w:val="auto"/>
          <w:sz w:val="24"/>
          <w:highlight w:val="none"/>
        </w:rPr>
        <w:t xml:space="preserve">三、其它要求 </w:t>
      </w:r>
    </w:p>
    <w:p w14:paraId="4A4E4848">
      <w:pPr>
        <w:pStyle w:val="10"/>
        <w:spacing w:line="360" w:lineRule="auto"/>
        <w:ind w:firstLine="480" w:firstLineChars="200"/>
        <w:jc w:val="left"/>
        <w:rPr>
          <w:color w:val="auto"/>
          <w:sz w:val="24"/>
          <w:highlight w:val="none"/>
        </w:rPr>
      </w:pPr>
      <w:r>
        <w:rPr>
          <w:rFonts w:hint="eastAsia"/>
          <w:color w:val="auto"/>
          <w:sz w:val="24"/>
          <w:highlight w:val="none"/>
        </w:rPr>
        <w:t>1.投标文件递交截止时间前，投标人应登录电子开标系统。投标文件递交截止时间后，招标代理机构发出投标文件解密指令，投标人应在解密指令发出后使用数字证书（加、解密为同一把数字证书）在系统规定时间完成解密。如因投标人原因导致在系统规定时间内未解密成功的,视为放弃投标。</w:t>
      </w:r>
    </w:p>
    <w:p w14:paraId="0B59D9BE">
      <w:pPr>
        <w:pStyle w:val="10"/>
        <w:spacing w:line="360" w:lineRule="auto"/>
        <w:ind w:firstLine="480" w:firstLineChars="200"/>
        <w:jc w:val="left"/>
        <w:rPr>
          <w:color w:val="auto"/>
          <w:sz w:val="24"/>
          <w:highlight w:val="none"/>
        </w:rPr>
      </w:pPr>
      <w:r>
        <w:rPr>
          <w:rFonts w:hint="eastAsia"/>
          <w:color w:val="auto"/>
          <w:sz w:val="24"/>
          <w:highlight w:val="none"/>
        </w:rPr>
        <w:t xml:space="preserve">2.出现下列情形之一的投标人投标文件将被省中心交易平台网上开标系统拒收： </w:t>
      </w:r>
    </w:p>
    <w:p w14:paraId="53EACFFF">
      <w:pPr>
        <w:pStyle w:val="10"/>
        <w:spacing w:line="360" w:lineRule="auto"/>
        <w:ind w:firstLine="480" w:firstLineChars="200"/>
        <w:jc w:val="left"/>
        <w:rPr>
          <w:color w:val="auto"/>
          <w:sz w:val="24"/>
          <w:highlight w:val="none"/>
        </w:rPr>
      </w:pPr>
      <w:r>
        <w:rPr>
          <w:rFonts w:hint="eastAsia"/>
          <w:color w:val="auto"/>
          <w:sz w:val="24"/>
          <w:highlight w:val="none"/>
        </w:rPr>
        <w:t xml:space="preserve">（1）投标截止时间后上传的投标文件。 </w:t>
      </w:r>
    </w:p>
    <w:p w14:paraId="4ED81F3F">
      <w:pPr>
        <w:pStyle w:val="10"/>
        <w:spacing w:line="360" w:lineRule="auto"/>
        <w:ind w:firstLine="480" w:firstLineChars="200"/>
        <w:jc w:val="left"/>
        <w:rPr>
          <w:color w:val="auto"/>
          <w:sz w:val="24"/>
          <w:highlight w:val="none"/>
        </w:rPr>
      </w:pPr>
      <w:r>
        <w:rPr>
          <w:rFonts w:hint="eastAsia"/>
          <w:color w:val="auto"/>
          <w:sz w:val="24"/>
          <w:highlight w:val="none"/>
        </w:rPr>
        <w:t xml:space="preserve">（2）投标人未按规定递交投标保证金的投标文件。 </w:t>
      </w:r>
    </w:p>
    <w:p w14:paraId="5E73CBDC">
      <w:pPr>
        <w:pStyle w:val="10"/>
        <w:spacing w:line="360" w:lineRule="auto"/>
        <w:ind w:firstLine="480" w:firstLineChars="200"/>
        <w:jc w:val="left"/>
        <w:rPr>
          <w:color w:val="auto"/>
          <w:sz w:val="24"/>
          <w:highlight w:val="none"/>
        </w:rPr>
      </w:pPr>
      <w:r>
        <w:rPr>
          <w:rFonts w:hint="eastAsia"/>
          <w:color w:val="auto"/>
          <w:sz w:val="24"/>
          <w:highlight w:val="none"/>
        </w:rPr>
        <w:t xml:space="preserve">（3）投标人未按规定签章、加密的投标文件。 </w:t>
      </w:r>
    </w:p>
    <w:p w14:paraId="45C60666">
      <w:pPr>
        <w:pStyle w:val="10"/>
        <w:spacing w:line="360" w:lineRule="auto"/>
        <w:ind w:firstLine="480" w:firstLineChars="200"/>
        <w:jc w:val="left"/>
        <w:rPr>
          <w:color w:val="auto"/>
          <w:sz w:val="24"/>
          <w:highlight w:val="none"/>
        </w:rPr>
      </w:pPr>
      <w:r>
        <w:rPr>
          <w:rFonts w:hint="eastAsia"/>
          <w:color w:val="auto"/>
          <w:sz w:val="24"/>
          <w:highlight w:val="none"/>
        </w:rPr>
        <w:t xml:space="preserve">3.出现下列情况的，投标人须重新用数字证书签章和加密投标文件，并在投标截止时间之前上传完成到交易平台: </w:t>
      </w:r>
    </w:p>
    <w:p w14:paraId="779D38AF">
      <w:pPr>
        <w:pStyle w:val="10"/>
        <w:spacing w:line="360" w:lineRule="auto"/>
        <w:ind w:firstLine="480" w:firstLineChars="200"/>
        <w:jc w:val="left"/>
        <w:rPr>
          <w:color w:val="auto"/>
          <w:sz w:val="24"/>
          <w:highlight w:val="none"/>
        </w:rPr>
      </w:pPr>
      <w:r>
        <w:rPr>
          <w:rFonts w:hint="eastAsia"/>
          <w:color w:val="auto"/>
          <w:sz w:val="24"/>
          <w:highlight w:val="none"/>
        </w:rPr>
        <w:t xml:space="preserve">（1）数字证书到期后重新续期； </w:t>
      </w:r>
    </w:p>
    <w:p w14:paraId="6F87E888">
      <w:pPr>
        <w:pStyle w:val="10"/>
        <w:spacing w:line="360" w:lineRule="auto"/>
        <w:ind w:firstLine="480" w:firstLineChars="200"/>
        <w:jc w:val="left"/>
        <w:rPr>
          <w:color w:val="auto"/>
          <w:sz w:val="24"/>
          <w:highlight w:val="none"/>
        </w:rPr>
      </w:pPr>
      <w:r>
        <w:rPr>
          <w:rFonts w:hint="eastAsia"/>
          <w:color w:val="auto"/>
          <w:sz w:val="24"/>
          <w:highlight w:val="none"/>
        </w:rPr>
        <w:t xml:space="preserve">（2）数字证书因遗失、损坏、企业信息变更等情况更换新证书。 </w:t>
      </w:r>
    </w:p>
    <w:p w14:paraId="33D2D670">
      <w:pPr>
        <w:pStyle w:val="10"/>
        <w:spacing w:line="360" w:lineRule="auto"/>
        <w:ind w:firstLine="480" w:firstLineChars="200"/>
        <w:jc w:val="left"/>
        <w:rPr>
          <w:color w:val="auto"/>
          <w:highlight w:val="none"/>
        </w:rPr>
      </w:pPr>
      <w:r>
        <w:rPr>
          <w:rFonts w:hint="eastAsia"/>
          <w:color w:val="auto"/>
          <w:sz w:val="24"/>
          <w:highlight w:val="none"/>
        </w:rPr>
        <w:t>4. 投标人由于数字证书遗失、损坏、更换、续期等情况导 致投标文件无法解密，由投标人自行承担责任。</w:t>
      </w:r>
    </w:p>
    <w:p w14:paraId="62935334">
      <w:pPr>
        <w:pStyle w:val="10"/>
        <w:spacing w:line="360" w:lineRule="auto"/>
        <w:jc w:val="left"/>
        <w:rPr>
          <w:color w:val="auto"/>
          <w:sz w:val="24"/>
          <w:highlight w:val="none"/>
        </w:rPr>
      </w:pPr>
      <w:r>
        <w:rPr>
          <w:rFonts w:hint="eastAsia"/>
          <w:color w:val="auto"/>
          <w:sz w:val="24"/>
          <w:highlight w:val="none"/>
        </w:rPr>
        <w:t>（四）投标报价和货币</w:t>
      </w:r>
    </w:p>
    <w:p w14:paraId="2C970556">
      <w:pPr>
        <w:pStyle w:val="10"/>
        <w:spacing w:line="360" w:lineRule="auto"/>
        <w:ind w:firstLine="480"/>
        <w:rPr>
          <w:rFonts w:ascii="宋体" w:hAnsi="宋体" w:cs="宋体"/>
          <w:snapToGrid w:val="0"/>
          <w:color w:val="auto"/>
          <w:kern w:val="0"/>
          <w:highlight w:val="none"/>
        </w:rPr>
      </w:pPr>
      <w:r>
        <w:rPr>
          <w:rFonts w:hint="eastAsia" w:ascii="宋体" w:hAnsi="宋体" w:cs="宋体"/>
          <w:snapToGrid w:val="0"/>
          <w:color w:val="auto"/>
          <w:kern w:val="0"/>
          <w:sz w:val="24"/>
          <w:highlight w:val="none"/>
        </w:rPr>
        <w:t>供应商对投标服务的报价，应报出最具有竞争力的价格，投标报价为一次性报价（采购人只接受唯一报价，不接受任何可变、可选择的报价），即在投标有效期和合同有效期内，该报价固定不变。投标报价应按“供应商须知前附表”的要求报价，以人民币（元）为结算单位。</w:t>
      </w:r>
    </w:p>
    <w:p w14:paraId="233BA1EA">
      <w:pPr>
        <w:pStyle w:val="10"/>
        <w:spacing w:line="360" w:lineRule="auto"/>
        <w:ind w:firstLine="480"/>
        <w:rPr>
          <w:rFonts w:ascii="宋体" w:hAnsi="宋体" w:cs="宋体"/>
          <w:snapToGrid w:val="0"/>
          <w:color w:val="auto"/>
          <w:kern w:val="0"/>
          <w:highlight w:val="none"/>
        </w:rPr>
      </w:pPr>
      <w:r>
        <w:rPr>
          <w:rFonts w:hint="eastAsia" w:ascii="宋体" w:hAnsi="宋体" w:cs="宋体"/>
          <w:snapToGrid w:val="0"/>
          <w:color w:val="auto"/>
          <w:kern w:val="0"/>
          <w:sz w:val="24"/>
          <w:highlight w:val="none"/>
        </w:rPr>
        <w:t>4.1.2 有关服务的报价应包括要向中华人民共和国政府缴纳的相关税费。</w:t>
      </w:r>
    </w:p>
    <w:p w14:paraId="73A0693F">
      <w:pPr>
        <w:pStyle w:val="10"/>
        <w:spacing w:line="360" w:lineRule="auto"/>
        <w:ind w:firstLine="480"/>
        <w:rPr>
          <w:rFonts w:ascii="宋体" w:hAnsi="宋体" w:cs="宋体"/>
          <w:snapToGrid w:val="0"/>
          <w:color w:val="auto"/>
          <w:kern w:val="0"/>
          <w:highlight w:val="none"/>
        </w:rPr>
      </w:pPr>
      <w:r>
        <w:rPr>
          <w:rFonts w:hint="eastAsia" w:ascii="宋体" w:hAnsi="宋体" w:cs="宋体"/>
          <w:snapToGrid w:val="0"/>
          <w:color w:val="auto"/>
          <w:kern w:val="0"/>
          <w:sz w:val="24"/>
          <w:highlight w:val="none"/>
        </w:rPr>
        <w:t>4.1.3 有关服务的报价应包括相关的增值税等相关税费。</w:t>
      </w:r>
    </w:p>
    <w:p w14:paraId="5958F4A1">
      <w:pPr>
        <w:pStyle w:val="10"/>
        <w:spacing w:line="360" w:lineRule="auto"/>
        <w:ind w:firstLine="480" w:firstLineChars="200"/>
        <w:jc w:val="left"/>
        <w:rPr>
          <w:color w:val="auto"/>
          <w:sz w:val="24"/>
          <w:highlight w:val="none"/>
        </w:rPr>
      </w:pPr>
      <w:r>
        <w:rPr>
          <w:rFonts w:hint="eastAsia" w:ascii="宋体" w:hAnsi="宋体" w:cs="宋体"/>
          <w:snapToGrid w:val="0"/>
          <w:color w:val="auto"/>
          <w:kern w:val="0"/>
          <w:sz w:val="24"/>
          <w:highlight w:val="none"/>
        </w:rPr>
        <w:t>4.1.4 本项目最高投标限价详见“供应商须知前附表”。</w:t>
      </w:r>
    </w:p>
    <w:p w14:paraId="1A475365">
      <w:pPr>
        <w:pStyle w:val="10"/>
        <w:spacing w:line="360" w:lineRule="auto"/>
        <w:ind w:firstLine="480" w:firstLineChars="200"/>
        <w:jc w:val="left"/>
        <w:rPr>
          <w:color w:val="auto"/>
          <w:sz w:val="24"/>
          <w:highlight w:val="none"/>
        </w:rPr>
      </w:pPr>
      <w:r>
        <w:rPr>
          <w:rFonts w:hint="eastAsia"/>
          <w:color w:val="auto"/>
          <w:sz w:val="24"/>
          <w:highlight w:val="none"/>
        </w:rPr>
        <w:t>（五）投标保证金</w:t>
      </w:r>
    </w:p>
    <w:p w14:paraId="149345FA">
      <w:pPr>
        <w:pStyle w:val="10"/>
        <w:spacing w:line="360" w:lineRule="auto"/>
        <w:ind w:firstLine="480" w:firstLineChars="200"/>
        <w:jc w:val="left"/>
        <w:rPr>
          <w:color w:val="auto"/>
          <w:sz w:val="24"/>
          <w:highlight w:val="none"/>
        </w:rPr>
      </w:pPr>
      <w:r>
        <w:rPr>
          <w:rFonts w:hint="eastAsia"/>
          <w:color w:val="auto"/>
          <w:sz w:val="24"/>
          <w:highlight w:val="none"/>
        </w:rPr>
        <w:t>5.1.1 投标保证金交纳要求</w:t>
      </w:r>
    </w:p>
    <w:p w14:paraId="61E3EF7F">
      <w:pPr>
        <w:pStyle w:val="10"/>
        <w:spacing w:line="360" w:lineRule="auto"/>
        <w:ind w:firstLine="480" w:firstLineChars="200"/>
        <w:jc w:val="left"/>
        <w:rPr>
          <w:color w:val="auto"/>
          <w:sz w:val="24"/>
          <w:highlight w:val="none"/>
        </w:rPr>
      </w:pPr>
      <w:r>
        <w:rPr>
          <w:rFonts w:hint="eastAsia"/>
          <w:color w:val="auto"/>
          <w:sz w:val="24"/>
          <w:highlight w:val="none"/>
        </w:rPr>
        <w:t>5.1.1.1 投标保证金的交纳方式以公共资源交易中心最新规定为准。</w:t>
      </w:r>
    </w:p>
    <w:p w14:paraId="17DF7B28">
      <w:pPr>
        <w:pStyle w:val="10"/>
        <w:spacing w:line="360" w:lineRule="auto"/>
        <w:ind w:firstLine="480" w:firstLineChars="200"/>
        <w:jc w:val="left"/>
        <w:rPr>
          <w:color w:val="auto"/>
          <w:sz w:val="24"/>
          <w:highlight w:val="none"/>
        </w:rPr>
      </w:pPr>
      <w:r>
        <w:rPr>
          <w:rFonts w:hint="eastAsia"/>
          <w:color w:val="auto"/>
          <w:sz w:val="24"/>
          <w:highlight w:val="none"/>
        </w:rPr>
        <w:t>5.1.1.2 投标保证金的交纳时间以采购文件规定为准。</w:t>
      </w:r>
    </w:p>
    <w:p w14:paraId="5F66E5B3">
      <w:pPr>
        <w:pStyle w:val="10"/>
        <w:spacing w:line="360" w:lineRule="auto"/>
        <w:ind w:firstLine="480" w:firstLineChars="200"/>
        <w:jc w:val="left"/>
        <w:rPr>
          <w:color w:val="auto"/>
          <w:sz w:val="24"/>
          <w:highlight w:val="none"/>
        </w:rPr>
      </w:pPr>
      <w:r>
        <w:rPr>
          <w:rFonts w:hint="eastAsia"/>
          <w:color w:val="auto"/>
          <w:sz w:val="24"/>
          <w:highlight w:val="none"/>
        </w:rPr>
        <w:t>5.1.2 投标供应商应提交“投标须知前附表”规定数额的投标保证金，并作为其投标的一部分。</w:t>
      </w:r>
    </w:p>
    <w:p w14:paraId="42009E54">
      <w:pPr>
        <w:pStyle w:val="10"/>
        <w:spacing w:line="360" w:lineRule="auto"/>
        <w:ind w:firstLine="480" w:firstLineChars="200"/>
        <w:jc w:val="left"/>
        <w:rPr>
          <w:color w:val="auto"/>
          <w:sz w:val="24"/>
          <w:highlight w:val="none"/>
        </w:rPr>
      </w:pPr>
      <w:r>
        <w:rPr>
          <w:rFonts w:hint="eastAsia"/>
          <w:color w:val="auto"/>
          <w:sz w:val="24"/>
          <w:highlight w:val="none"/>
        </w:rPr>
        <w:t>5.1.3 投标保证金是为了保护采购代理机构和采购单位免遭因投标供应商的行为而蒙受损失。采购代理机构和采购单位在因投标供应商的行为受到损害时可根据本须知 5.1.5.3 条款的规定不退还投标供应商的投标保证金。若因此对采购代理机构和采购单位造成严重后果，投标供应商应承担相应的法律责任。</w:t>
      </w:r>
    </w:p>
    <w:p w14:paraId="0720368A">
      <w:pPr>
        <w:pStyle w:val="10"/>
        <w:spacing w:line="360" w:lineRule="auto"/>
        <w:ind w:firstLine="480" w:firstLineChars="200"/>
        <w:jc w:val="left"/>
        <w:rPr>
          <w:color w:val="auto"/>
          <w:sz w:val="24"/>
          <w:highlight w:val="none"/>
        </w:rPr>
      </w:pPr>
      <w:r>
        <w:rPr>
          <w:rFonts w:hint="eastAsia"/>
          <w:color w:val="auto"/>
          <w:sz w:val="24"/>
          <w:highlight w:val="none"/>
        </w:rPr>
        <w:t>3.7.4 凡没有根据本须知 3.7.1 和 3.7.2 条款的规定提交有效的投标保证金的投标，应按本须知 5.5 条款的规定视为非响应性投标予以拒绝。</w:t>
      </w:r>
    </w:p>
    <w:p w14:paraId="0576770F">
      <w:pPr>
        <w:pStyle w:val="10"/>
        <w:spacing w:line="360" w:lineRule="auto"/>
        <w:ind w:firstLine="480" w:firstLineChars="200"/>
        <w:jc w:val="left"/>
        <w:rPr>
          <w:color w:val="auto"/>
          <w:sz w:val="24"/>
          <w:highlight w:val="none"/>
        </w:rPr>
      </w:pPr>
      <w:r>
        <w:rPr>
          <w:rFonts w:hint="eastAsia"/>
          <w:color w:val="auto"/>
          <w:sz w:val="24"/>
          <w:highlight w:val="none"/>
        </w:rPr>
        <w:t>5.1.5 投标保证金的退还</w:t>
      </w:r>
    </w:p>
    <w:p w14:paraId="70980468">
      <w:pPr>
        <w:pStyle w:val="10"/>
        <w:spacing w:line="360" w:lineRule="auto"/>
        <w:ind w:firstLine="480" w:firstLineChars="200"/>
        <w:jc w:val="left"/>
        <w:rPr>
          <w:color w:val="auto"/>
          <w:sz w:val="24"/>
          <w:highlight w:val="none"/>
        </w:rPr>
      </w:pPr>
      <w:r>
        <w:rPr>
          <w:rFonts w:hint="eastAsia"/>
          <w:color w:val="auto"/>
          <w:sz w:val="24"/>
          <w:highlight w:val="none"/>
        </w:rPr>
        <w:t>5.1.5.1 投标保证金的退还方式以公共资源交易中心最新规定为准。</w:t>
      </w:r>
    </w:p>
    <w:p w14:paraId="46D68E5D">
      <w:pPr>
        <w:pStyle w:val="10"/>
        <w:spacing w:line="360" w:lineRule="auto"/>
        <w:ind w:firstLine="480" w:firstLineChars="200"/>
        <w:jc w:val="left"/>
        <w:rPr>
          <w:color w:val="auto"/>
          <w:sz w:val="24"/>
          <w:highlight w:val="none"/>
        </w:rPr>
      </w:pPr>
      <w:r>
        <w:rPr>
          <w:rFonts w:hint="eastAsia"/>
          <w:color w:val="auto"/>
          <w:sz w:val="24"/>
          <w:highlight w:val="none"/>
        </w:rPr>
        <w:t>5.1.5.2 投标保证金的退还时间按财政部令第 87 号的规定时间退还。</w:t>
      </w:r>
    </w:p>
    <w:p w14:paraId="18C77147">
      <w:pPr>
        <w:pStyle w:val="10"/>
        <w:spacing w:line="360" w:lineRule="auto"/>
        <w:ind w:firstLine="480" w:firstLineChars="200"/>
        <w:jc w:val="left"/>
        <w:rPr>
          <w:color w:val="auto"/>
          <w:sz w:val="24"/>
          <w:highlight w:val="none"/>
        </w:rPr>
      </w:pPr>
      <w:r>
        <w:rPr>
          <w:rFonts w:hint="eastAsia"/>
          <w:color w:val="auto"/>
          <w:sz w:val="24"/>
          <w:highlight w:val="none"/>
        </w:rPr>
        <w:t>5.1.5.3 下列任何情况发生时，投标保证金将不予退还：</w:t>
      </w:r>
    </w:p>
    <w:p w14:paraId="233CAFFA">
      <w:pPr>
        <w:pStyle w:val="10"/>
        <w:spacing w:line="360" w:lineRule="auto"/>
        <w:ind w:firstLine="480" w:firstLineChars="200"/>
        <w:jc w:val="left"/>
        <w:rPr>
          <w:color w:val="auto"/>
          <w:sz w:val="24"/>
          <w:highlight w:val="none"/>
        </w:rPr>
      </w:pPr>
      <w:r>
        <w:rPr>
          <w:rFonts w:hint="eastAsia"/>
          <w:color w:val="auto"/>
          <w:sz w:val="24"/>
          <w:highlight w:val="none"/>
        </w:rPr>
        <w:t>5.1.5.3.1 投标供应商在采购文件中规定的投标有效期内撤回投标文件的；</w:t>
      </w:r>
    </w:p>
    <w:p w14:paraId="546D4AD1">
      <w:pPr>
        <w:pStyle w:val="10"/>
        <w:spacing w:line="360" w:lineRule="auto"/>
        <w:ind w:firstLine="480" w:firstLineChars="200"/>
        <w:jc w:val="left"/>
        <w:rPr>
          <w:color w:val="auto"/>
          <w:sz w:val="24"/>
          <w:highlight w:val="none"/>
        </w:rPr>
      </w:pPr>
      <w:r>
        <w:rPr>
          <w:rFonts w:hint="eastAsia"/>
          <w:color w:val="auto"/>
          <w:sz w:val="24"/>
          <w:highlight w:val="none"/>
        </w:rPr>
        <w:t>5.1.5.3.2 中标人在规定期限内未能根据相关规定签订合同的；</w:t>
      </w:r>
    </w:p>
    <w:p w14:paraId="07189FE9">
      <w:pPr>
        <w:pStyle w:val="10"/>
        <w:spacing w:line="360" w:lineRule="auto"/>
        <w:ind w:firstLine="480" w:firstLineChars="200"/>
        <w:jc w:val="left"/>
        <w:rPr>
          <w:color w:val="auto"/>
          <w:sz w:val="24"/>
          <w:highlight w:val="none"/>
        </w:rPr>
      </w:pPr>
      <w:r>
        <w:rPr>
          <w:rFonts w:hint="eastAsia"/>
          <w:color w:val="auto"/>
          <w:sz w:val="24"/>
          <w:highlight w:val="none"/>
        </w:rPr>
        <w:t>5.1.5.3.3 提供虚假材料参与投标的；</w:t>
      </w:r>
    </w:p>
    <w:p w14:paraId="639C5D12">
      <w:pPr>
        <w:pStyle w:val="10"/>
        <w:spacing w:line="360" w:lineRule="auto"/>
        <w:ind w:firstLine="480" w:firstLineChars="200"/>
        <w:jc w:val="left"/>
        <w:rPr>
          <w:color w:val="auto"/>
          <w:sz w:val="24"/>
          <w:highlight w:val="none"/>
        </w:rPr>
      </w:pPr>
      <w:r>
        <w:rPr>
          <w:rFonts w:hint="eastAsia"/>
          <w:color w:val="auto"/>
          <w:sz w:val="24"/>
          <w:highlight w:val="none"/>
        </w:rPr>
        <w:t>5.1.5.3.4 有《中华人民共和国政府采购法》第七十七条所列行为的;</w:t>
      </w:r>
    </w:p>
    <w:p w14:paraId="6F02D23E">
      <w:pPr>
        <w:pStyle w:val="10"/>
        <w:spacing w:line="360" w:lineRule="auto"/>
        <w:ind w:firstLine="480" w:firstLineChars="200"/>
        <w:jc w:val="left"/>
        <w:rPr>
          <w:color w:val="auto"/>
          <w:sz w:val="24"/>
          <w:highlight w:val="none"/>
        </w:rPr>
      </w:pPr>
      <w:r>
        <w:rPr>
          <w:rFonts w:hint="eastAsia"/>
          <w:color w:val="auto"/>
          <w:sz w:val="24"/>
          <w:highlight w:val="none"/>
        </w:rPr>
        <w:t>5.1.5.3.5 法律法规及采购文件规定的其他情形。</w:t>
      </w:r>
    </w:p>
    <w:p w14:paraId="5A9773D0">
      <w:pPr>
        <w:pStyle w:val="10"/>
        <w:spacing w:line="360" w:lineRule="auto"/>
        <w:ind w:firstLine="480" w:firstLineChars="200"/>
        <w:jc w:val="left"/>
        <w:rPr>
          <w:color w:val="auto"/>
          <w:sz w:val="24"/>
          <w:highlight w:val="none"/>
        </w:rPr>
      </w:pPr>
      <w:r>
        <w:rPr>
          <w:rFonts w:hint="eastAsia"/>
          <w:color w:val="auto"/>
          <w:sz w:val="24"/>
          <w:highlight w:val="none"/>
        </w:rPr>
        <w:t>5.1.5.4 若发生质疑或投诉，与质疑或投诉有关的投标供应商的投标保证金有效期将延长，待质疑、投诉处理完毕之后予以办理。</w:t>
      </w:r>
    </w:p>
    <w:p w14:paraId="6DE27135">
      <w:pPr>
        <w:pStyle w:val="10"/>
        <w:spacing w:line="360" w:lineRule="auto"/>
        <w:ind w:firstLine="480" w:firstLineChars="200"/>
        <w:jc w:val="left"/>
        <w:rPr>
          <w:color w:val="auto"/>
          <w:sz w:val="24"/>
          <w:highlight w:val="none"/>
        </w:rPr>
      </w:pPr>
      <w:r>
        <w:rPr>
          <w:rFonts w:hint="eastAsia"/>
          <w:color w:val="auto"/>
          <w:sz w:val="24"/>
          <w:highlight w:val="none"/>
        </w:rPr>
        <w:t>5.1.5.5 根据财政部令第 87 号的规定，未中标（未成交）投标供应商的保证金应当在中标通知书（成交通知书）发出后 5 个工作日内退还，中标人（成交投标供应商）的保证金应当在采购合同签订后 5 个工作日内退还。</w:t>
      </w:r>
    </w:p>
    <w:p w14:paraId="730C47C8">
      <w:pPr>
        <w:pStyle w:val="10"/>
        <w:spacing w:line="360" w:lineRule="auto"/>
        <w:ind w:firstLine="480" w:firstLineChars="200"/>
        <w:jc w:val="left"/>
        <w:rPr>
          <w:color w:val="auto"/>
          <w:sz w:val="24"/>
          <w:highlight w:val="none"/>
        </w:rPr>
      </w:pPr>
      <w:r>
        <w:rPr>
          <w:rFonts w:hint="eastAsia"/>
          <w:color w:val="auto"/>
          <w:sz w:val="24"/>
          <w:highlight w:val="none"/>
        </w:rPr>
        <w:t>（六）投标有效期</w:t>
      </w:r>
    </w:p>
    <w:p w14:paraId="3D80B043">
      <w:pPr>
        <w:pStyle w:val="10"/>
        <w:spacing w:line="360" w:lineRule="auto"/>
        <w:ind w:firstLine="480" w:firstLineChars="200"/>
        <w:jc w:val="left"/>
        <w:rPr>
          <w:color w:val="auto"/>
          <w:sz w:val="24"/>
          <w:highlight w:val="none"/>
        </w:rPr>
      </w:pPr>
      <w:r>
        <w:rPr>
          <w:rFonts w:hint="eastAsia"/>
          <w:color w:val="auto"/>
          <w:sz w:val="24"/>
          <w:highlight w:val="none"/>
        </w:rPr>
        <w:t>6.1 根据本须知 4.2 条款规定，投标应在规定的开标日后的“投标须知前附表”中所述时期内保持有效。投标有效期不满足要求的投标将被视为非响应性投标而予以拒绝。</w:t>
      </w:r>
    </w:p>
    <w:p w14:paraId="24899BED">
      <w:pPr>
        <w:pStyle w:val="10"/>
        <w:spacing w:line="360" w:lineRule="auto"/>
        <w:ind w:firstLine="480" w:firstLineChars="200"/>
        <w:jc w:val="left"/>
        <w:rPr>
          <w:color w:val="auto"/>
          <w:sz w:val="24"/>
          <w:highlight w:val="none"/>
        </w:rPr>
      </w:pPr>
      <w:r>
        <w:rPr>
          <w:rFonts w:hint="eastAsia"/>
          <w:color w:val="auto"/>
          <w:sz w:val="24"/>
          <w:highlight w:val="none"/>
        </w:rPr>
        <w:t>6.2 特殊情况下，在原投标有效期截止之前，采购代理机构可要求投标供应商同意延长投标有效期。这种要求与答复均应以书面形式提交。投标供应商可拒绝采购代理机构的这种要求，不会影响其投标保证金的退还。接受延长投标有效期的投标供应商将不会被要求和允许修正其投标，而只会被要求相应地延长其投标保证金的有效期。在这种情况下，本须知 3.7条款有关投标保证金的退还和不予退还的规定将在延长的有效期内继续有效。</w:t>
      </w:r>
    </w:p>
    <w:p w14:paraId="3C69ACA1">
      <w:pPr>
        <w:pStyle w:val="10"/>
        <w:spacing w:line="360" w:lineRule="auto"/>
        <w:ind w:firstLine="480" w:firstLineChars="200"/>
        <w:jc w:val="left"/>
        <w:rPr>
          <w:color w:val="auto"/>
          <w:sz w:val="24"/>
          <w:highlight w:val="none"/>
        </w:rPr>
      </w:pPr>
      <w:r>
        <w:rPr>
          <w:rFonts w:hint="eastAsia"/>
          <w:color w:val="auto"/>
          <w:sz w:val="24"/>
          <w:highlight w:val="none"/>
        </w:rPr>
        <w:t>（七）投标文件的式样和签署</w:t>
      </w:r>
    </w:p>
    <w:p w14:paraId="0A386C0D">
      <w:pPr>
        <w:pStyle w:val="10"/>
        <w:spacing w:line="360" w:lineRule="auto"/>
        <w:ind w:firstLine="480" w:firstLineChars="200"/>
        <w:jc w:val="left"/>
        <w:rPr>
          <w:color w:val="auto"/>
          <w:sz w:val="24"/>
          <w:highlight w:val="none"/>
        </w:rPr>
      </w:pPr>
      <w:r>
        <w:rPr>
          <w:rFonts w:hint="eastAsia"/>
          <w:color w:val="auto"/>
          <w:sz w:val="24"/>
          <w:highlight w:val="none"/>
        </w:rPr>
        <w:t>7.1 投标供应商应准备一份投标文件正本和“投标须知前附表”中规定数目的副本。</w:t>
      </w:r>
    </w:p>
    <w:p w14:paraId="3C69EBF2">
      <w:pPr>
        <w:pStyle w:val="10"/>
        <w:spacing w:line="360" w:lineRule="auto"/>
        <w:ind w:firstLine="480" w:firstLineChars="200"/>
        <w:jc w:val="left"/>
        <w:rPr>
          <w:color w:val="auto"/>
          <w:sz w:val="24"/>
          <w:highlight w:val="none"/>
        </w:rPr>
      </w:pPr>
      <w:r>
        <w:rPr>
          <w:rFonts w:hint="eastAsia"/>
          <w:color w:val="auto"/>
          <w:sz w:val="24"/>
          <w:highlight w:val="none"/>
        </w:rPr>
        <w:t>7.2 投标文件的正本需打印或用不褪色墨水书写，并由投标供应商法定代表人或法定代表授权委托人在投标文件上签字。除没有修改过的印刷文献外，投标文件格式规定签字或盖章的地方必须由投标供应商法定代表人或法定代表授权委托人签字或盖章。投标文件的副本可采用正本的复印件。</w:t>
      </w:r>
    </w:p>
    <w:p w14:paraId="095D0CC1">
      <w:pPr>
        <w:pStyle w:val="10"/>
        <w:spacing w:line="360" w:lineRule="auto"/>
        <w:ind w:firstLine="480" w:firstLineChars="200"/>
        <w:jc w:val="left"/>
        <w:rPr>
          <w:color w:val="auto"/>
          <w:sz w:val="24"/>
          <w:highlight w:val="none"/>
        </w:rPr>
      </w:pPr>
      <w:r>
        <w:rPr>
          <w:rFonts w:hint="eastAsia"/>
          <w:color w:val="auto"/>
          <w:sz w:val="24"/>
          <w:highlight w:val="none"/>
        </w:rPr>
        <w:t>7.3 任何行间插字、涂改和增删，必须由投标供应商法定代表人或法定代表授权委托人签字并加盖公章，方才有效。</w:t>
      </w:r>
    </w:p>
    <w:p w14:paraId="15F187D2">
      <w:pPr>
        <w:pStyle w:val="10"/>
        <w:spacing w:line="360" w:lineRule="auto"/>
        <w:ind w:firstLine="480" w:firstLineChars="200"/>
        <w:jc w:val="left"/>
        <w:rPr>
          <w:color w:val="auto"/>
          <w:sz w:val="24"/>
          <w:highlight w:val="none"/>
        </w:rPr>
      </w:pPr>
      <w:r>
        <w:rPr>
          <w:rFonts w:hint="eastAsia"/>
          <w:color w:val="auto"/>
          <w:sz w:val="24"/>
          <w:highlight w:val="none"/>
        </w:rPr>
        <w:t>7.4 投标文件因字迹潦草或表达不清所引起的后果由投标供应商自行负责。</w:t>
      </w:r>
    </w:p>
    <w:p w14:paraId="34B96ADC">
      <w:pPr>
        <w:pStyle w:val="10"/>
        <w:spacing w:line="360" w:lineRule="auto"/>
        <w:ind w:firstLine="480" w:firstLineChars="200"/>
        <w:jc w:val="left"/>
        <w:rPr>
          <w:color w:val="auto"/>
          <w:sz w:val="24"/>
          <w:highlight w:val="none"/>
        </w:rPr>
      </w:pPr>
    </w:p>
    <w:p w14:paraId="692824D5">
      <w:pPr>
        <w:pStyle w:val="10"/>
        <w:spacing w:line="360" w:lineRule="auto"/>
        <w:ind w:firstLine="480" w:firstLineChars="200"/>
        <w:jc w:val="left"/>
        <w:rPr>
          <w:color w:val="auto"/>
          <w:sz w:val="24"/>
          <w:highlight w:val="none"/>
        </w:rPr>
      </w:pPr>
    </w:p>
    <w:p w14:paraId="445FCE3D">
      <w:pPr>
        <w:pStyle w:val="10"/>
        <w:spacing w:line="360" w:lineRule="auto"/>
        <w:ind w:firstLine="480" w:firstLineChars="200"/>
        <w:jc w:val="left"/>
        <w:rPr>
          <w:color w:val="auto"/>
          <w:sz w:val="24"/>
          <w:highlight w:val="none"/>
        </w:rPr>
      </w:pPr>
    </w:p>
    <w:p w14:paraId="36E0A404">
      <w:pPr>
        <w:pStyle w:val="10"/>
        <w:spacing w:line="360" w:lineRule="auto"/>
        <w:ind w:firstLine="480" w:firstLineChars="200"/>
        <w:jc w:val="left"/>
        <w:rPr>
          <w:color w:val="auto"/>
          <w:sz w:val="24"/>
          <w:highlight w:val="none"/>
        </w:rPr>
      </w:pPr>
    </w:p>
    <w:p w14:paraId="6029831C">
      <w:pPr>
        <w:pStyle w:val="10"/>
        <w:spacing w:line="360" w:lineRule="auto"/>
        <w:ind w:firstLine="480" w:firstLineChars="200"/>
        <w:jc w:val="left"/>
        <w:rPr>
          <w:color w:val="auto"/>
          <w:sz w:val="24"/>
          <w:highlight w:val="none"/>
        </w:rPr>
      </w:pPr>
    </w:p>
    <w:p w14:paraId="7E23DE9F">
      <w:pPr>
        <w:pStyle w:val="10"/>
        <w:spacing w:line="360" w:lineRule="auto"/>
        <w:ind w:firstLine="480" w:firstLineChars="200"/>
        <w:jc w:val="left"/>
        <w:rPr>
          <w:color w:val="auto"/>
          <w:sz w:val="24"/>
          <w:highlight w:val="none"/>
        </w:rPr>
      </w:pPr>
    </w:p>
    <w:p w14:paraId="23581D00">
      <w:pPr>
        <w:pStyle w:val="10"/>
        <w:spacing w:line="360" w:lineRule="auto"/>
        <w:ind w:firstLine="480" w:firstLineChars="200"/>
        <w:jc w:val="left"/>
        <w:rPr>
          <w:color w:val="auto"/>
          <w:sz w:val="24"/>
          <w:highlight w:val="none"/>
        </w:rPr>
      </w:pPr>
    </w:p>
    <w:p w14:paraId="5DB0E506">
      <w:pPr>
        <w:pStyle w:val="10"/>
        <w:spacing w:line="360" w:lineRule="auto"/>
        <w:ind w:firstLine="480" w:firstLineChars="200"/>
        <w:jc w:val="left"/>
        <w:rPr>
          <w:color w:val="auto"/>
          <w:sz w:val="24"/>
          <w:highlight w:val="none"/>
        </w:rPr>
      </w:pPr>
    </w:p>
    <w:p w14:paraId="5B574D42">
      <w:pPr>
        <w:pStyle w:val="10"/>
        <w:spacing w:line="360" w:lineRule="auto"/>
        <w:ind w:firstLine="480" w:firstLineChars="200"/>
        <w:jc w:val="left"/>
        <w:rPr>
          <w:color w:val="auto"/>
          <w:sz w:val="24"/>
          <w:highlight w:val="none"/>
        </w:rPr>
      </w:pPr>
    </w:p>
    <w:p w14:paraId="5864430D">
      <w:pPr>
        <w:pStyle w:val="10"/>
        <w:spacing w:line="360" w:lineRule="auto"/>
        <w:ind w:firstLine="480" w:firstLineChars="200"/>
        <w:jc w:val="left"/>
        <w:rPr>
          <w:color w:val="auto"/>
          <w:sz w:val="24"/>
          <w:highlight w:val="none"/>
        </w:rPr>
      </w:pPr>
    </w:p>
    <w:p w14:paraId="78F26A56">
      <w:pPr>
        <w:pStyle w:val="10"/>
        <w:spacing w:line="360" w:lineRule="auto"/>
        <w:ind w:firstLine="480" w:firstLineChars="200"/>
        <w:jc w:val="left"/>
        <w:rPr>
          <w:color w:val="auto"/>
          <w:sz w:val="24"/>
          <w:highlight w:val="none"/>
        </w:rPr>
      </w:pPr>
    </w:p>
    <w:p w14:paraId="4D97ECCA">
      <w:pPr>
        <w:pStyle w:val="10"/>
        <w:spacing w:line="360" w:lineRule="auto"/>
        <w:ind w:firstLine="480" w:firstLineChars="200"/>
        <w:jc w:val="left"/>
        <w:rPr>
          <w:color w:val="auto"/>
          <w:sz w:val="24"/>
          <w:highlight w:val="none"/>
        </w:rPr>
      </w:pPr>
    </w:p>
    <w:p w14:paraId="4B61BC4C">
      <w:pPr>
        <w:pStyle w:val="10"/>
        <w:spacing w:line="360" w:lineRule="auto"/>
        <w:jc w:val="left"/>
        <w:rPr>
          <w:color w:val="auto"/>
          <w:sz w:val="24"/>
          <w:highlight w:val="none"/>
        </w:rPr>
      </w:pPr>
    </w:p>
    <w:p w14:paraId="44B66F20">
      <w:pPr>
        <w:pStyle w:val="10"/>
        <w:spacing w:line="360" w:lineRule="auto"/>
        <w:jc w:val="center"/>
        <w:rPr>
          <w:b/>
          <w:color w:val="auto"/>
          <w:sz w:val="28"/>
          <w:highlight w:val="none"/>
        </w:rPr>
      </w:pPr>
      <w:r>
        <w:rPr>
          <w:rFonts w:hint="eastAsia"/>
          <w:b/>
          <w:color w:val="auto"/>
          <w:sz w:val="28"/>
          <w:highlight w:val="none"/>
        </w:rPr>
        <w:t>四、投标文件的递交</w:t>
      </w:r>
    </w:p>
    <w:p w14:paraId="4F39F60F">
      <w:pPr>
        <w:widowControl/>
        <w:spacing w:line="360" w:lineRule="auto"/>
        <w:ind w:firstLine="480" w:firstLineChars="200"/>
        <w:jc w:val="left"/>
        <w:rPr>
          <w:color w:val="auto"/>
          <w:sz w:val="24"/>
          <w:highlight w:val="none"/>
        </w:rPr>
      </w:pPr>
      <w:r>
        <w:rPr>
          <w:rFonts w:hint="eastAsia"/>
          <w:color w:val="auto"/>
          <w:sz w:val="24"/>
          <w:highlight w:val="none"/>
        </w:rPr>
        <w:t xml:space="preserve">4.1 </w:t>
      </w:r>
      <w:r>
        <w:rPr>
          <w:rFonts w:ascii="黑体" w:hAnsi="宋体" w:eastAsia="黑体"/>
          <w:b/>
          <w:bCs/>
          <w:color w:val="auto"/>
          <w:kern w:val="0"/>
          <w:sz w:val="24"/>
          <w:highlight w:val="none"/>
          <w:lang w:bidi="ar"/>
        </w:rPr>
        <w:t>电子投标文件的递交</w:t>
      </w:r>
    </w:p>
    <w:p w14:paraId="7A03070D">
      <w:pPr>
        <w:widowControl/>
        <w:spacing w:line="360" w:lineRule="auto"/>
        <w:ind w:firstLine="480" w:firstLineChars="200"/>
        <w:jc w:val="left"/>
        <w:rPr>
          <w:color w:val="auto"/>
          <w:sz w:val="24"/>
          <w:highlight w:val="none"/>
        </w:rPr>
      </w:pPr>
      <w:r>
        <w:rPr>
          <w:rFonts w:hint="eastAsia"/>
          <w:color w:val="auto"/>
          <w:sz w:val="24"/>
          <w:highlight w:val="none"/>
        </w:rPr>
        <w:t>4.1.1 投标人应在</w:t>
      </w:r>
      <w:r>
        <w:rPr>
          <w:color w:val="auto"/>
          <w:sz w:val="24"/>
          <w:highlight w:val="none"/>
        </w:rPr>
        <w:t>“</w:t>
      </w:r>
      <w:r>
        <w:rPr>
          <w:rFonts w:hint="eastAsia"/>
          <w:color w:val="auto"/>
          <w:sz w:val="24"/>
          <w:highlight w:val="none"/>
        </w:rPr>
        <w:t>投标须知表</w:t>
      </w:r>
      <w:r>
        <w:rPr>
          <w:color w:val="auto"/>
          <w:sz w:val="24"/>
          <w:highlight w:val="none"/>
        </w:rPr>
        <w:t>”</w:t>
      </w:r>
      <w:r>
        <w:rPr>
          <w:rFonts w:hint="eastAsia"/>
          <w:color w:val="auto"/>
          <w:sz w:val="24"/>
          <w:highlight w:val="none"/>
        </w:rPr>
        <w:t>规定的提交投标文件时间前将加密的电子投标文件上传至贵州省公共资源交易公共服务平台。</w:t>
      </w:r>
    </w:p>
    <w:p w14:paraId="3D609423">
      <w:pPr>
        <w:widowControl/>
        <w:spacing w:line="360" w:lineRule="auto"/>
        <w:ind w:firstLine="480" w:firstLineChars="200"/>
        <w:jc w:val="left"/>
        <w:rPr>
          <w:color w:val="auto"/>
          <w:sz w:val="24"/>
          <w:highlight w:val="none"/>
        </w:rPr>
      </w:pPr>
      <w:r>
        <w:rPr>
          <w:rFonts w:hint="eastAsia"/>
          <w:color w:val="auto"/>
          <w:sz w:val="24"/>
          <w:highlight w:val="none"/>
        </w:rPr>
        <w:t>4.1.2逾期上传或未加密的投标文件或不符合规定格式的投标文件，贵州省公共资源交易公共服务平台将予以拒收，视为未提交电子投标文件，投标无效。</w:t>
      </w:r>
    </w:p>
    <w:p w14:paraId="5D3C27BE">
      <w:pPr>
        <w:widowControl/>
        <w:spacing w:line="360" w:lineRule="auto"/>
        <w:ind w:firstLine="480" w:firstLineChars="200"/>
        <w:jc w:val="left"/>
        <w:rPr>
          <w:color w:val="auto"/>
          <w:highlight w:val="none"/>
        </w:rPr>
      </w:pPr>
      <w:r>
        <w:rPr>
          <w:rFonts w:hint="eastAsia"/>
          <w:color w:val="auto"/>
          <w:sz w:val="24"/>
          <w:highlight w:val="none"/>
        </w:rPr>
        <w:t>4.1.3投标人应充分考虑到网络环境、网络带宽等因素，因投标人自身原因造 成的投标文件上传不成功由投标人自行承担全部责任。</w:t>
      </w:r>
    </w:p>
    <w:p w14:paraId="55A2C7D4">
      <w:pPr>
        <w:pStyle w:val="10"/>
        <w:spacing w:line="360" w:lineRule="auto"/>
        <w:ind w:firstLine="480" w:firstLineChars="200"/>
        <w:jc w:val="left"/>
        <w:rPr>
          <w:color w:val="auto"/>
          <w:sz w:val="24"/>
          <w:highlight w:val="none"/>
        </w:rPr>
      </w:pPr>
      <w:r>
        <w:rPr>
          <w:rFonts w:hint="eastAsia"/>
          <w:color w:val="auto"/>
          <w:sz w:val="24"/>
          <w:highlight w:val="none"/>
        </w:rPr>
        <w:t>4.2 投标截止期</w:t>
      </w:r>
    </w:p>
    <w:p w14:paraId="155FC577">
      <w:pPr>
        <w:pStyle w:val="10"/>
        <w:spacing w:line="360" w:lineRule="auto"/>
        <w:ind w:firstLine="480" w:firstLineChars="200"/>
        <w:jc w:val="left"/>
        <w:rPr>
          <w:color w:val="auto"/>
          <w:sz w:val="24"/>
          <w:highlight w:val="none"/>
        </w:rPr>
      </w:pPr>
      <w:r>
        <w:rPr>
          <w:rFonts w:hint="eastAsia"/>
          <w:color w:val="auto"/>
          <w:sz w:val="24"/>
          <w:highlight w:val="none"/>
        </w:rPr>
        <w:t>4.2.1 投标文件必须在“投标须知前附表”中规定的投标截止期前上传到指定位置。</w:t>
      </w:r>
    </w:p>
    <w:p w14:paraId="77E3BEF1">
      <w:pPr>
        <w:pStyle w:val="10"/>
        <w:spacing w:line="360" w:lineRule="auto"/>
        <w:ind w:firstLine="480" w:firstLineChars="200"/>
        <w:jc w:val="left"/>
        <w:rPr>
          <w:color w:val="auto"/>
          <w:sz w:val="24"/>
          <w:highlight w:val="none"/>
        </w:rPr>
      </w:pPr>
      <w:r>
        <w:rPr>
          <w:rFonts w:hint="eastAsia"/>
          <w:color w:val="auto"/>
          <w:sz w:val="24"/>
          <w:highlight w:val="none"/>
        </w:rPr>
        <w:t>4.2.2 采购代理机构可以按本须知 2.3.2 条款规定，通过修改采购文件自行决定酌情延长投标截止期。在此情况下，采购代理机构、采购单位和投标供应商受投标截止期制约的所有权利和义务均应延长至新的截止期。</w:t>
      </w:r>
    </w:p>
    <w:p w14:paraId="275CFBC5">
      <w:pPr>
        <w:pStyle w:val="10"/>
        <w:spacing w:line="360" w:lineRule="auto"/>
        <w:ind w:firstLine="480" w:firstLineChars="200"/>
        <w:jc w:val="left"/>
        <w:rPr>
          <w:color w:val="auto"/>
          <w:sz w:val="24"/>
          <w:highlight w:val="none"/>
        </w:rPr>
      </w:pPr>
      <w:r>
        <w:rPr>
          <w:rFonts w:hint="eastAsia"/>
          <w:color w:val="auto"/>
          <w:sz w:val="24"/>
          <w:highlight w:val="none"/>
        </w:rPr>
        <w:t>4.3 迟交的投标文件</w:t>
      </w:r>
    </w:p>
    <w:p w14:paraId="5B07CB0F">
      <w:pPr>
        <w:pStyle w:val="10"/>
        <w:spacing w:line="360" w:lineRule="auto"/>
        <w:ind w:firstLine="480" w:firstLineChars="200"/>
        <w:jc w:val="left"/>
        <w:rPr>
          <w:color w:val="auto"/>
          <w:sz w:val="24"/>
          <w:highlight w:val="none"/>
        </w:rPr>
      </w:pPr>
      <w:r>
        <w:rPr>
          <w:rFonts w:hint="eastAsia"/>
          <w:color w:val="auto"/>
          <w:sz w:val="24"/>
          <w:highlight w:val="none"/>
        </w:rPr>
        <w:t>4.3.1 在“投标须知前附表”中规定的投标截止期后送到的任何投标文件，采购代理机构将拒绝接收。</w:t>
      </w:r>
    </w:p>
    <w:p w14:paraId="27239D46">
      <w:pPr>
        <w:pStyle w:val="10"/>
        <w:spacing w:line="360" w:lineRule="auto"/>
        <w:ind w:firstLine="480" w:firstLineChars="200"/>
        <w:jc w:val="left"/>
        <w:rPr>
          <w:color w:val="auto"/>
          <w:sz w:val="24"/>
          <w:highlight w:val="none"/>
        </w:rPr>
      </w:pPr>
      <w:r>
        <w:rPr>
          <w:rFonts w:hint="eastAsia"/>
          <w:color w:val="auto"/>
          <w:sz w:val="24"/>
          <w:highlight w:val="none"/>
        </w:rPr>
        <w:t>4.4 投标文件的修改与撤回</w:t>
      </w:r>
    </w:p>
    <w:p w14:paraId="6BA5B6FB">
      <w:pPr>
        <w:pStyle w:val="10"/>
        <w:spacing w:line="360" w:lineRule="auto"/>
        <w:ind w:firstLine="480" w:firstLineChars="200"/>
        <w:jc w:val="left"/>
        <w:rPr>
          <w:color w:val="auto"/>
          <w:sz w:val="24"/>
          <w:highlight w:val="none"/>
        </w:rPr>
      </w:pPr>
      <w:r>
        <w:rPr>
          <w:rFonts w:hint="eastAsia"/>
          <w:color w:val="auto"/>
          <w:sz w:val="24"/>
          <w:highlight w:val="none"/>
        </w:rPr>
        <w:t>4.4.1 投标供应商在递交投标文件前，可以修改或撤回其投标，但采购代理机构必须在规定的投标截止期之前，收到修改或撤回的书面通知。</w:t>
      </w:r>
    </w:p>
    <w:p w14:paraId="0B1A5FBF">
      <w:pPr>
        <w:pStyle w:val="10"/>
        <w:spacing w:line="360" w:lineRule="auto"/>
        <w:ind w:firstLine="480" w:firstLineChars="200"/>
        <w:jc w:val="left"/>
        <w:rPr>
          <w:color w:val="auto"/>
          <w:sz w:val="24"/>
          <w:highlight w:val="none"/>
        </w:rPr>
      </w:pPr>
      <w:r>
        <w:rPr>
          <w:rFonts w:hint="eastAsia"/>
          <w:color w:val="auto"/>
          <w:sz w:val="24"/>
          <w:highlight w:val="none"/>
        </w:rPr>
        <w:t>4.4.2 投标供应商的修改或撤回通知应按本须知 4.1 条款规定编制、密封、标记和送达。</w:t>
      </w:r>
    </w:p>
    <w:p w14:paraId="7FF9C435">
      <w:pPr>
        <w:pStyle w:val="10"/>
        <w:spacing w:line="360" w:lineRule="auto"/>
        <w:ind w:firstLine="480" w:firstLineChars="200"/>
        <w:jc w:val="left"/>
        <w:rPr>
          <w:color w:val="auto"/>
          <w:sz w:val="24"/>
          <w:highlight w:val="none"/>
        </w:rPr>
      </w:pPr>
      <w:r>
        <w:rPr>
          <w:rFonts w:hint="eastAsia"/>
          <w:color w:val="auto"/>
          <w:sz w:val="24"/>
          <w:highlight w:val="none"/>
        </w:rPr>
        <w:t>4.4.3 在投标截止期之后，投标供应商不得对其投标做任何修改。</w:t>
      </w:r>
    </w:p>
    <w:p w14:paraId="64F9BE23">
      <w:pPr>
        <w:pStyle w:val="10"/>
        <w:spacing w:line="360" w:lineRule="auto"/>
        <w:ind w:firstLine="480" w:firstLineChars="200"/>
        <w:jc w:val="left"/>
        <w:rPr>
          <w:rFonts w:hint="eastAsia"/>
          <w:color w:val="auto"/>
          <w:sz w:val="24"/>
          <w:highlight w:val="none"/>
        </w:rPr>
      </w:pPr>
      <w:r>
        <w:rPr>
          <w:rFonts w:hint="eastAsia"/>
          <w:color w:val="auto"/>
          <w:sz w:val="24"/>
          <w:highlight w:val="none"/>
        </w:rPr>
        <w:t>4.4.4 从投标截止期至投标供应商在投标书格式中确定的投标有效期之间的这段时间内，投标供应商不得撤回其投标，否则其投标保证金将按照本须知 3.7.5.3 条款规定不予退还。</w:t>
      </w:r>
    </w:p>
    <w:p w14:paraId="67487DB1">
      <w:pPr>
        <w:pStyle w:val="10"/>
        <w:spacing w:line="360" w:lineRule="auto"/>
        <w:ind w:firstLine="480" w:firstLineChars="200"/>
        <w:jc w:val="left"/>
        <w:rPr>
          <w:rFonts w:hint="eastAsia"/>
          <w:color w:val="auto"/>
          <w:sz w:val="24"/>
          <w:highlight w:val="none"/>
        </w:rPr>
      </w:pPr>
    </w:p>
    <w:p w14:paraId="4247388A">
      <w:pPr>
        <w:pStyle w:val="10"/>
        <w:spacing w:line="360" w:lineRule="auto"/>
        <w:jc w:val="center"/>
        <w:rPr>
          <w:b/>
          <w:color w:val="auto"/>
          <w:sz w:val="28"/>
          <w:highlight w:val="none"/>
        </w:rPr>
      </w:pPr>
      <w:r>
        <w:rPr>
          <w:rFonts w:hint="eastAsia"/>
          <w:b/>
          <w:color w:val="auto"/>
          <w:sz w:val="28"/>
          <w:highlight w:val="none"/>
        </w:rPr>
        <w:t>五、开标、评标及定标</w:t>
      </w:r>
    </w:p>
    <w:p w14:paraId="47C9A546">
      <w:pPr>
        <w:pStyle w:val="10"/>
        <w:spacing w:line="360" w:lineRule="auto"/>
        <w:ind w:firstLine="480" w:firstLineChars="200"/>
        <w:jc w:val="left"/>
        <w:rPr>
          <w:color w:val="auto"/>
          <w:sz w:val="24"/>
          <w:highlight w:val="none"/>
        </w:rPr>
      </w:pPr>
      <w:r>
        <w:rPr>
          <w:rFonts w:hint="eastAsia"/>
          <w:color w:val="auto"/>
          <w:sz w:val="24"/>
          <w:highlight w:val="none"/>
        </w:rPr>
        <w:t>5.1 开标</w:t>
      </w:r>
    </w:p>
    <w:p w14:paraId="460B922E">
      <w:pPr>
        <w:pStyle w:val="10"/>
        <w:spacing w:line="360" w:lineRule="auto"/>
        <w:ind w:firstLine="480" w:firstLineChars="200"/>
        <w:jc w:val="left"/>
        <w:rPr>
          <w:color w:val="auto"/>
          <w:sz w:val="24"/>
          <w:highlight w:val="none"/>
        </w:rPr>
      </w:pPr>
      <w:r>
        <w:rPr>
          <w:rFonts w:hint="eastAsia"/>
          <w:color w:val="auto"/>
          <w:sz w:val="24"/>
          <w:highlight w:val="none"/>
        </w:rPr>
        <w:t>5.1.1 采购代理机构在“投标须知前附表”中规定的日期、时间和地点组织开标会议。</w:t>
      </w:r>
    </w:p>
    <w:p w14:paraId="2A4B672A">
      <w:pPr>
        <w:pStyle w:val="10"/>
        <w:spacing w:line="360" w:lineRule="auto"/>
        <w:ind w:firstLine="480" w:firstLineChars="200"/>
        <w:jc w:val="left"/>
        <w:rPr>
          <w:color w:val="auto"/>
          <w:sz w:val="24"/>
          <w:highlight w:val="none"/>
        </w:rPr>
      </w:pPr>
      <w:r>
        <w:rPr>
          <w:rFonts w:hint="eastAsia"/>
          <w:color w:val="auto"/>
          <w:sz w:val="24"/>
          <w:highlight w:val="none"/>
        </w:rPr>
        <w:t>5.1.2 采购代理机构通过贵州省公共资源交易公共服务平台发出投标文件解密指令，投标人应在解密指令发出后使用数字（</w:t>
      </w:r>
      <w:r>
        <w:rPr>
          <w:color w:val="auto"/>
          <w:sz w:val="24"/>
          <w:highlight w:val="none"/>
        </w:rPr>
        <w:t>CA</w:t>
      </w:r>
      <w:r>
        <w:rPr>
          <w:rFonts w:hint="eastAsia"/>
          <w:color w:val="auto"/>
          <w:sz w:val="24"/>
          <w:highlight w:val="none"/>
        </w:rPr>
        <w:t>）证书或移动（</w:t>
      </w:r>
      <w:r>
        <w:rPr>
          <w:color w:val="auto"/>
          <w:sz w:val="24"/>
          <w:highlight w:val="none"/>
        </w:rPr>
        <w:t>CA</w:t>
      </w:r>
      <w:r>
        <w:rPr>
          <w:rFonts w:hint="eastAsia"/>
          <w:color w:val="auto"/>
          <w:sz w:val="24"/>
          <w:highlight w:val="none"/>
        </w:rPr>
        <w:t>）证书（贵州交易通 APP、标信通 APP）进行解密。投标人因自身原因解密不成功的，视为撤销投标文件，投标无效。</w:t>
      </w:r>
    </w:p>
    <w:p w14:paraId="155BB2F1">
      <w:pPr>
        <w:pStyle w:val="10"/>
        <w:spacing w:line="360" w:lineRule="auto"/>
        <w:ind w:firstLine="480" w:firstLineChars="200"/>
        <w:jc w:val="left"/>
        <w:rPr>
          <w:color w:val="auto"/>
          <w:highlight w:val="none"/>
        </w:rPr>
      </w:pPr>
      <w:r>
        <w:rPr>
          <w:rFonts w:hint="eastAsia"/>
          <w:color w:val="auto"/>
          <w:sz w:val="24"/>
          <w:highlight w:val="none"/>
        </w:rPr>
        <w:t>5.1.3 投标人均解密完成后，由贵州省公共资源交易公共服务平台对解密投标报价进行线上唱标。投标人须注意，唱标行为本身不作为证明投标文件有效的依据。</w:t>
      </w:r>
      <w:r>
        <w:rPr>
          <w:rFonts w:hint="eastAsia" w:ascii="宋体" w:hAnsi="宋体" w:cs="宋体"/>
          <w:b/>
          <w:bCs/>
          <w:color w:val="auto"/>
          <w:kern w:val="0"/>
          <w:sz w:val="20"/>
          <w:szCs w:val="20"/>
          <w:highlight w:val="none"/>
          <w:lang w:bidi="ar"/>
        </w:rPr>
        <w:t xml:space="preserve"> </w:t>
      </w:r>
    </w:p>
    <w:p w14:paraId="7E87AF79">
      <w:pPr>
        <w:pStyle w:val="10"/>
        <w:spacing w:line="360" w:lineRule="auto"/>
        <w:ind w:firstLine="480" w:firstLineChars="200"/>
        <w:jc w:val="left"/>
        <w:rPr>
          <w:color w:val="auto"/>
          <w:sz w:val="24"/>
          <w:highlight w:val="none"/>
        </w:rPr>
      </w:pPr>
      <w:r>
        <w:rPr>
          <w:rFonts w:hint="eastAsia"/>
          <w:color w:val="auto"/>
          <w:sz w:val="24"/>
          <w:highlight w:val="none"/>
        </w:rPr>
        <w:t>5.1.4 开标注意事项：投标人应妥善保管数字（</w:t>
      </w:r>
      <w:r>
        <w:rPr>
          <w:color w:val="auto"/>
          <w:sz w:val="24"/>
          <w:highlight w:val="none"/>
        </w:rPr>
        <w:t>CA</w:t>
      </w:r>
      <w:r>
        <w:rPr>
          <w:rFonts w:hint="eastAsia"/>
          <w:color w:val="auto"/>
          <w:sz w:val="24"/>
          <w:highlight w:val="none"/>
        </w:rPr>
        <w:t>）证书，确认数字（</w:t>
      </w:r>
      <w:r>
        <w:rPr>
          <w:color w:val="auto"/>
          <w:sz w:val="24"/>
          <w:highlight w:val="none"/>
        </w:rPr>
        <w:t>CA</w:t>
      </w:r>
      <w:r>
        <w:rPr>
          <w:rFonts w:hint="eastAsia"/>
          <w:color w:val="auto"/>
          <w:sz w:val="24"/>
          <w:highlight w:val="none"/>
        </w:rPr>
        <w:t>）证书或移动（</w:t>
      </w:r>
      <w:r>
        <w:rPr>
          <w:color w:val="auto"/>
          <w:sz w:val="24"/>
          <w:highlight w:val="none"/>
        </w:rPr>
        <w:t>CA</w:t>
      </w:r>
      <w:r>
        <w:rPr>
          <w:rFonts w:hint="eastAsia"/>
          <w:color w:val="auto"/>
          <w:sz w:val="24"/>
          <w:highlight w:val="none"/>
        </w:rPr>
        <w:t>）证书（贵州交易通 APP、标信通 APP）在有效期内，由于证书遗失、损坏、更换、续期等原因导致投标文件无法成功解密的，投标人自行承担责任。</w:t>
      </w:r>
    </w:p>
    <w:p w14:paraId="4A46D615">
      <w:pPr>
        <w:pStyle w:val="10"/>
        <w:spacing w:line="360" w:lineRule="auto"/>
        <w:ind w:firstLine="480" w:firstLineChars="200"/>
        <w:jc w:val="left"/>
        <w:rPr>
          <w:color w:val="auto"/>
          <w:sz w:val="24"/>
          <w:highlight w:val="none"/>
        </w:rPr>
      </w:pPr>
      <w:r>
        <w:rPr>
          <w:rFonts w:hint="eastAsia"/>
          <w:color w:val="auto"/>
          <w:sz w:val="24"/>
          <w:highlight w:val="none"/>
        </w:rPr>
        <w:t>5.1.4 贵州省公共资源交易公共服务平台出现下列情形的，将暂停线上开标程序。</w:t>
      </w:r>
    </w:p>
    <w:p w14:paraId="4F49C3BF">
      <w:pPr>
        <w:pStyle w:val="10"/>
        <w:spacing w:line="360" w:lineRule="auto"/>
        <w:ind w:firstLine="480" w:firstLineChars="200"/>
        <w:jc w:val="left"/>
        <w:rPr>
          <w:color w:val="auto"/>
          <w:sz w:val="24"/>
          <w:highlight w:val="none"/>
        </w:rPr>
      </w:pPr>
      <w:r>
        <w:rPr>
          <w:rFonts w:hint="eastAsia"/>
          <w:color w:val="auto"/>
          <w:sz w:val="24"/>
          <w:highlight w:val="none"/>
        </w:rPr>
        <w:t>5.1.4.1开标项目电子服务、交易系统服务器发生故障，导致无法访问网站或无法使用系统。</w:t>
      </w:r>
    </w:p>
    <w:p w14:paraId="2BE86103">
      <w:pPr>
        <w:pStyle w:val="10"/>
        <w:spacing w:line="360" w:lineRule="auto"/>
        <w:ind w:firstLine="480" w:firstLineChars="200"/>
        <w:jc w:val="left"/>
        <w:rPr>
          <w:color w:val="auto"/>
          <w:sz w:val="24"/>
          <w:highlight w:val="none"/>
        </w:rPr>
      </w:pPr>
      <w:r>
        <w:rPr>
          <w:rFonts w:hint="eastAsia"/>
          <w:color w:val="auto"/>
          <w:sz w:val="24"/>
          <w:highlight w:val="none"/>
        </w:rPr>
        <w:t>5.1.4.2开标项目电子服务、交易系统的软件或网络数据库出现错误，不能进行正常操作的。</w:t>
      </w:r>
    </w:p>
    <w:p w14:paraId="5A094DE9">
      <w:pPr>
        <w:pStyle w:val="10"/>
        <w:spacing w:line="360" w:lineRule="auto"/>
        <w:ind w:firstLine="480" w:firstLineChars="200"/>
        <w:jc w:val="left"/>
        <w:rPr>
          <w:color w:val="auto"/>
          <w:sz w:val="24"/>
          <w:highlight w:val="none"/>
        </w:rPr>
      </w:pPr>
      <w:r>
        <w:rPr>
          <w:rFonts w:hint="eastAsia"/>
          <w:color w:val="auto"/>
          <w:sz w:val="24"/>
          <w:highlight w:val="none"/>
        </w:rPr>
        <w:t>5.1.4.3系统存在安全漏洞，有潜在泄密风险的。</w:t>
      </w:r>
    </w:p>
    <w:p w14:paraId="2AFC5ED8">
      <w:pPr>
        <w:pStyle w:val="10"/>
        <w:spacing w:line="360" w:lineRule="auto"/>
        <w:ind w:firstLine="480" w:firstLineChars="200"/>
        <w:jc w:val="left"/>
        <w:rPr>
          <w:color w:val="auto"/>
          <w:sz w:val="24"/>
          <w:highlight w:val="none"/>
        </w:rPr>
      </w:pPr>
      <w:r>
        <w:rPr>
          <w:rFonts w:hint="eastAsia"/>
          <w:color w:val="auto"/>
          <w:sz w:val="24"/>
          <w:highlight w:val="none"/>
        </w:rPr>
        <w:t>5.1.4.4交易系统计算机病毒发作，导致系统无法正常运行的。</w:t>
      </w:r>
    </w:p>
    <w:p w14:paraId="1655EE71">
      <w:pPr>
        <w:pStyle w:val="10"/>
        <w:spacing w:line="360" w:lineRule="auto"/>
        <w:ind w:firstLine="480" w:firstLineChars="200"/>
        <w:jc w:val="left"/>
        <w:rPr>
          <w:color w:val="auto"/>
          <w:sz w:val="24"/>
          <w:highlight w:val="none"/>
        </w:rPr>
      </w:pPr>
      <w:r>
        <w:rPr>
          <w:rFonts w:hint="eastAsia"/>
          <w:color w:val="auto"/>
          <w:sz w:val="24"/>
          <w:highlight w:val="none"/>
        </w:rPr>
        <w:t>5.1.4.5电力系统发生故障，导致交易系统无法运行的。</w:t>
      </w:r>
    </w:p>
    <w:p w14:paraId="70392471">
      <w:pPr>
        <w:pStyle w:val="10"/>
        <w:spacing w:line="360" w:lineRule="auto"/>
        <w:ind w:firstLine="480" w:firstLineChars="200"/>
        <w:jc w:val="left"/>
        <w:rPr>
          <w:color w:val="auto"/>
          <w:sz w:val="24"/>
          <w:highlight w:val="none"/>
        </w:rPr>
      </w:pPr>
      <w:r>
        <w:rPr>
          <w:rFonts w:hint="eastAsia"/>
          <w:color w:val="auto"/>
          <w:sz w:val="24"/>
          <w:highlight w:val="none"/>
        </w:rPr>
        <w:t>5.1.4.6其他非投标人原因，导致开标无法正常运行。</w:t>
      </w:r>
    </w:p>
    <w:p w14:paraId="77138FEA">
      <w:pPr>
        <w:pStyle w:val="10"/>
        <w:spacing w:line="360" w:lineRule="auto"/>
        <w:ind w:firstLine="480" w:firstLineChars="200"/>
        <w:jc w:val="left"/>
        <w:rPr>
          <w:color w:val="auto"/>
          <w:sz w:val="24"/>
          <w:highlight w:val="none"/>
        </w:rPr>
      </w:pPr>
      <w:r>
        <w:rPr>
          <w:rFonts w:hint="eastAsia"/>
          <w:color w:val="auto"/>
          <w:sz w:val="24"/>
          <w:highlight w:val="none"/>
        </w:rPr>
        <w:t>上述情形导致系统故障在短时间内无法解决排除的，或其他不可抗力因素，无法继续使用的情况时，暂停线上开标和评标程序；由招标人</w:t>
      </w:r>
      <w:r>
        <w:rPr>
          <w:color w:val="auto"/>
          <w:sz w:val="24"/>
          <w:highlight w:val="none"/>
        </w:rPr>
        <w:t>(</w:t>
      </w:r>
      <w:r>
        <w:rPr>
          <w:rFonts w:hint="eastAsia"/>
          <w:color w:val="auto"/>
          <w:sz w:val="24"/>
          <w:highlight w:val="none"/>
        </w:rPr>
        <w:t>采购人</w:t>
      </w:r>
      <w:r>
        <w:rPr>
          <w:color w:val="auto"/>
          <w:sz w:val="24"/>
          <w:highlight w:val="none"/>
        </w:rPr>
        <w:t xml:space="preserve">) </w:t>
      </w:r>
      <w:r>
        <w:rPr>
          <w:rFonts w:hint="eastAsia"/>
          <w:color w:val="auto"/>
          <w:sz w:val="24"/>
          <w:highlight w:val="none"/>
        </w:rPr>
        <w:t>或代理机构、交易中心研究提出意见，视情况向监督部门报告；系统故障在三个小时内排除的项目开标重新启动， 三个小时内未排除的，另行通知网上开标时间。</w:t>
      </w:r>
    </w:p>
    <w:p w14:paraId="6B84A1EE">
      <w:pPr>
        <w:pStyle w:val="10"/>
        <w:spacing w:line="360" w:lineRule="auto"/>
        <w:ind w:firstLine="480" w:firstLineChars="200"/>
        <w:jc w:val="left"/>
        <w:rPr>
          <w:color w:val="auto"/>
          <w:sz w:val="24"/>
          <w:highlight w:val="none"/>
        </w:rPr>
      </w:pPr>
      <w:r>
        <w:rPr>
          <w:rFonts w:hint="eastAsia"/>
          <w:color w:val="auto"/>
          <w:sz w:val="24"/>
          <w:highlight w:val="none"/>
        </w:rPr>
        <w:t>5.1.5 投标截止时间结束后，出现符合专业条件的投标供应商或者对采购文件作出实质响应的投标供应商不足三家情形的，除采购任务取消情形外，采购单位将报财政部门后按照以下原则处理：</w:t>
      </w:r>
    </w:p>
    <w:p w14:paraId="3279D523">
      <w:pPr>
        <w:pStyle w:val="10"/>
        <w:spacing w:line="360" w:lineRule="auto"/>
        <w:ind w:firstLine="480" w:firstLineChars="200"/>
        <w:jc w:val="left"/>
        <w:rPr>
          <w:color w:val="auto"/>
          <w:sz w:val="24"/>
          <w:highlight w:val="none"/>
        </w:rPr>
      </w:pPr>
      <w:r>
        <w:rPr>
          <w:rFonts w:hint="eastAsia"/>
          <w:color w:val="auto"/>
          <w:sz w:val="24"/>
          <w:highlight w:val="none"/>
        </w:rPr>
        <w:t>5.1.5.1 采购文件没有不合理条款，招标公告时间及程序符合规定的，采取竞争性谈判、单一来源方式采购。</w:t>
      </w:r>
    </w:p>
    <w:p w14:paraId="797057F4">
      <w:pPr>
        <w:pStyle w:val="10"/>
        <w:spacing w:line="360" w:lineRule="auto"/>
        <w:ind w:firstLine="480" w:firstLineChars="200"/>
        <w:jc w:val="left"/>
        <w:rPr>
          <w:color w:val="auto"/>
          <w:sz w:val="24"/>
          <w:highlight w:val="none"/>
        </w:rPr>
      </w:pPr>
      <w:r>
        <w:rPr>
          <w:rFonts w:hint="eastAsia"/>
          <w:color w:val="auto"/>
          <w:sz w:val="24"/>
          <w:highlight w:val="none"/>
        </w:rPr>
        <w:t>5.1.5.2 采购文件存在不合理条款的，招标公告时间及程序不符合规定的，应予废标，并由采购单位依法重新招标。</w:t>
      </w:r>
    </w:p>
    <w:p w14:paraId="4CEE5AFA">
      <w:pPr>
        <w:pStyle w:val="10"/>
        <w:spacing w:line="360" w:lineRule="auto"/>
        <w:ind w:firstLine="480" w:firstLineChars="200"/>
        <w:jc w:val="left"/>
        <w:rPr>
          <w:color w:val="auto"/>
          <w:sz w:val="24"/>
          <w:highlight w:val="none"/>
        </w:rPr>
      </w:pPr>
      <w:r>
        <w:rPr>
          <w:rFonts w:hint="eastAsia"/>
          <w:color w:val="auto"/>
          <w:sz w:val="24"/>
          <w:highlight w:val="none"/>
        </w:rPr>
        <w:t>5.2 评标委员会</w:t>
      </w:r>
    </w:p>
    <w:p w14:paraId="24F6DAF7">
      <w:pPr>
        <w:pStyle w:val="10"/>
        <w:spacing w:line="360" w:lineRule="auto"/>
        <w:ind w:firstLine="480" w:firstLineChars="200"/>
        <w:jc w:val="left"/>
        <w:rPr>
          <w:color w:val="auto"/>
          <w:sz w:val="24"/>
          <w:highlight w:val="none"/>
        </w:rPr>
      </w:pPr>
      <w:r>
        <w:rPr>
          <w:rFonts w:hint="eastAsia"/>
          <w:color w:val="auto"/>
          <w:sz w:val="24"/>
          <w:highlight w:val="none"/>
        </w:rPr>
        <w:t>按照《中华人民共和国政府采购法》和国家有关规定，依法组成评标委员会，评标委员会由采购人熟悉相关业务的代表 1人，和有关技术、经济等方面的专家4人，共5人组成，其中技术、经济等方面的专家不少于成员总数的三分之二。</w:t>
      </w:r>
    </w:p>
    <w:p w14:paraId="7B17281D">
      <w:pPr>
        <w:pStyle w:val="10"/>
        <w:spacing w:line="360" w:lineRule="auto"/>
        <w:ind w:firstLine="480" w:firstLineChars="200"/>
        <w:jc w:val="left"/>
        <w:rPr>
          <w:color w:val="auto"/>
          <w:sz w:val="24"/>
          <w:highlight w:val="none"/>
        </w:rPr>
      </w:pPr>
      <w:r>
        <w:rPr>
          <w:rFonts w:hint="eastAsia"/>
          <w:color w:val="auto"/>
          <w:sz w:val="24"/>
          <w:highlight w:val="none"/>
        </w:rPr>
        <w:t>5.2.2 评标委员会成员有下列情形之一的，应当回避：</w:t>
      </w:r>
    </w:p>
    <w:p w14:paraId="19CC4634">
      <w:pPr>
        <w:pStyle w:val="10"/>
        <w:spacing w:line="360" w:lineRule="auto"/>
        <w:ind w:firstLine="480" w:firstLineChars="200"/>
        <w:jc w:val="left"/>
        <w:rPr>
          <w:color w:val="auto"/>
          <w:sz w:val="24"/>
          <w:highlight w:val="none"/>
        </w:rPr>
      </w:pPr>
      <w:r>
        <w:rPr>
          <w:rFonts w:hint="eastAsia"/>
          <w:color w:val="auto"/>
          <w:sz w:val="24"/>
          <w:highlight w:val="none"/>
        </w:rPr>
        <w:t>①参加采购活动前 3 年内与投标人存在劳动关系；</w:t>
      </w:r>
    </w:p>
    <w:p w14:paraId="501BC634">
      <w:pPr>
        <w:pStyle w:val="10"/>
        <w:spacing w:line="360" w:lineRule="auto"/>
        <w:ind w:firstLine="480" w:firstLineChars="200"/>
        <w:jc w:val="left"/>
        <w:rPr>
          <w:color w:val="auto"/>
          <w:sz w:val="24"/>
          <w:highlight w:val="none"/>
        </w:rPr>
      </w:pPr>
      <w:r>
        <w:rPr>
          <w:rFonts w:hint="eastAsia"/>
          <w:color w:val="auto"/>
          <w:sz w:val="24"/>
          <w:highlight w:val="none"/>
        </w:rPr>
        <w:t>②参加采购活动前 3 年内担任投标人的董事、监事；</w:t>
      </w:r>
    </w:p>
    <w:p w14:paraId="2E9F2353">
      <w:pPr>
        <w:pStyle w:val="10"/>
        <w:spacing w:line="360" w:lineRule="auto"/>
        <w:ind w:firstLine="480" w:firstLineChars="200"/>
        <w:jc w:val="left"/>
        <w:rPr>
          <w:color w:val="auto"/>
          <w:sz w:val="24"/>
          <w:highlight w:val="none"/>
        </w:rPr>
      </w:pPr>
      <w:r>
        <w:rPr>
          <w:rFonts w:hint="eastAsia"/>
          <w:color w:val="auto"/>
          <w:sz w:val="24"/>
          <w:highlight w:val="none"/>
        </w:rPr>
        <w:t>③参加采购活动前 3 年内是投标人的控股股东或者实际控制人；</w:t>
      </w:r>
    </w:p>
    <w:p w14:paraId="75685877">
      <w:pPr>
        <w:pStyle w:val="10"/>
        <w:spacing w:line="360" w:lineRule="auto"/>
        <w:ind w:firstLine="480" w:firstLineChars="200"/>
        <w:jc w:val="left"/>
        <w:rPr>
          <w:color w:val="auto"/>
          <w:sz w:val="24"/>
          <w:highlight w:val="none"/>
        </w:rPr>
      </w:pPr>
      <w:r>
        <w:rPr>
          <w:rFonts w:hint="eastAsia"/>
          <w:color w:val="auto"/>
          <w:sz w:val="24"/>
          <w:highlight w:val="none"/>
        </w:rPr>
        <w:t>④与投标人的法定代表人或者负责人有夫妻、直系血亲、三代以内旁系血亲或者近姻亲关系；</w:t>
      </w:r>
    </w:p>
    <w:p w14:paraId="0D0BEA1E">
      <w:pPr>
        <w:pStyle w:val="10"/>
        <w:spacing w:line="360" w:lineRule="auto"/>
        <w:ind w:firstLine="480" w:firstLineChars="200"/>
        <w:jc w:val="left"/>
        <w:rPr>
          <w:color w:val="auto"/>
          <w:sz w:val="24"/>
          <w:highlight w:val="none"/>
        </w:rPr>
      </w:pPr>
      <w:r>
        <w:rPr>
          <w:rFonts w:hint="eastAsia"/>
          <w:color w:val="auto"/>
          <w:sz w:val="24"/>
          <w:highlight w:val="none"/>
        </w:rPr>
        <w:t>⑤与投标人有其他可能影响政府采购活动公平、公正进行的关系。</w:t>
      </w:r>
    </w:p>
    <w:p w14:paraId="076B6B00">
      <w:pPr>
        <w:pStyle w:val="10"/>
        <w:spacing w:line="360" w:lineRule="auto"/>
        <w:ind w:firstLine="480" w:firstLineChars="200"/>
        <w:jc w:val="left"/>
        <w:rPr>
          <w:color w:val="auto"/>
          <w:sz w:val="24"/>
          <w:highlight w:val="none"/>
        </w:rPr>
      </w:pPr>
      <w:r>
        <w:rPr>
          <w:rFonts w:hint="eastAsia"/>
          <w:color w:val="auto"/>
          <w:sz w:val="24"/>
          <w:highlight w:val="none"/>
        </w:rPr>
        <w:t>5.2.3 评标委员会负责具体评标事务，并独立履行下列职责：</w:t>
      </w:r>
    </w:p>
    <w:p w14:paraId="42EBC9E0">
      <w:pPr>
        <w:pStyle w:val="10"/>
        <w:spacing w:line="360" w:lineRule="auto"/>
        <w:ind w:firstLine="480" w:firstLineChars="200"/>
        <w:jc w:val="left"/>
        <w:rPr>
          <w:color w:val="auto"/>
          <w:sz w:val="24"/>
          <w:highlight w:val="none"/>
        </w:rPr>
      </w:pPr>
      <w:r>
        <w:rPr>
          <w:rFonts w:hint="eastAsia"/>
          <w:color w:val="auto"/>
          <w:sz w:val="24"/>
          <w:highlight w:val="none"/>
        </w:rPr>
        <w:t>①审查、评价投标文件是否符合采购文件的商务、技术等实质性要求；</w:t>
      </w:r>
    </w:p>
    <w:p w14:paraId="671C52AC">
      <w:pPr>
        <w:pStyle w:val="10"/>
        <w:spacing w:line="360" w:lineRule="auto"/>
        <w:ind w:firstLine="480" w:firstLineChars="200"/>
        <w:jc w:val="left"/>
        <w:rPr>
          <w:color w:val="auto"/>
          <w:sz w:val="24"/>
          <w:highlight w:val="none"/>
        </w:rPr>
      </w:pPr>
      <w:r>
        <w:rPr>
          <w:rFonts w:hint="eastAsia"/>
          <w:color w:val="auto"/>
          <w:sz w:val="24"/>
          <w:highlight w:val="none"/>
        </w:rPr>
        <w:t>②要求投标人对投标文件有关事项作出澄清或者说明；</w:t>
      </w:r>
    </w:p>
    <w:p w14:paraId="61D6FADC">
      <w:pPr>
        <w:pStyle w:val="10"/>
        <w:spacing w:line="360" w:lineRule="auto"/>
        <w:ind w:firstLine="480" w:firstLineChars="200"/>
        <w:jc w:val="left"/>
        <w:rPr>
          <w:color w:val="auto"/>
          <w:sz w:val="24"/>
          <w:highlight w:val="none"/>
        </w:rPr>
      </w:pPr>
      <w:r>
        <w:rPr>
          <w:rFonts w:hint="eastAsia"/>
          <w:color w:val="auto"/>
          <w:sz w:val="24"/>
          <w:highlight w:val="none"/>
        </w:rPr>
        <w:t>③对投标文件进行比较和评价；</w:t>
      </w:r>
    </w:p>
    <w:p w14:paraId="668E3157">
      <w:pPr>
        <w:pStyle w:val="10"/>
        <w:spacing w:line="360" w:lineRule="auto"/>
        <w:ind w:firstLine="480" w:firstLineChars="200"/>
        <w:jc w:val="left"/>
        <w:rPr>
          <w:color w:val="auto"/>
          <w:sz w:val="24"/>
          <w:highlight w:val="none"/>
        </w:rPr>
      </w:pPr>
      <w:r>
        <w:rPr>
          <w:rFonts w:hint="eastAsia"/>
          <w:color w:val="auto"/>
          <w:sz w:val="24"/>
          <w:highlight w:val="none"/>
        </w:rPr>
        <w:t>④确定中标候选人名单，以及根据采购人委托直接确定中标人；</w:t>
      </w:r>
    </w:p>
    <w:p w14:paraId="30401CA1">
      <w:pPr>
        <w:pStyle w:val="10"/>
        <w:spacing w:line="360" w:lineRule="auto"/>
        <w:ind w:firstLine="480" w:firstLineChars="200"/>
        <w:jc w:val="left"/>
        <w:rPr>
          <w:color w:val="auto"/>
          <w:sz w:val="24"/>
          <w:highlight w:val="none"/>
        </w:rPr>
      </w:pPr>
      <w:r>
        <w:rPr>
          <w:rFonts w:hint="eastAsia"/>
          <w:color w:val="auto"/>
          <w:sz w:val="24"/>
          <w:highlight w:val="none"/>
        </w:rPr>
        <w:t>⑤向采购人、采购代理机构或者有关部门报告评标中发现的违法行为。</w:t>
      </w:r>
    </w:p>
    <w:p w14:paraId="26F4321E">
      <w:pPr>
        <w:pStyle w:val="10"/>
        <w:spacing w:line="360" w:lineRule="auto"/>
        <w:ind w:firstLine="480" w:firstLineChars="200"/>
        <w:jc w:val="left"/>
        <w:rPr>
          <w:color w:val="auto"/>
          <w:sz w:val="24"/>
          <w:highlight w:val="none"/>
        </w:rPr>
      </w:pPr>
      <w:r>
        <w:rPr>
          <w:rFonts w:hint="eastAsia"/>
          <w:color w:val="auto"/>
          <w:sz w:val="24"/>
          <w:highlight w:val="none"/>
        </w:rPr>
        <w:t>5.2.4 评标委员会及其成员不得有下列行为：</w:t>
      </w:r>
    </w:p>
    <w:p w14:paraId="2AE117BB">
      <w:pPr>
        <w:pStyle w:val="10"/>
        <w:spacing w:line="360" w:lineRule="auto"/>
        <w:ind w:firstLine="480" w:firstLineChars="200"/>
        <w:jc w:val="left"/>
        <w:rPr>
          <w:color w:val="auto"/>
          <w:sz w:val="24"/>
          <w:highlight w:val="none"/>
        </w:rPr>
      </w:pPr>
      <w:r>
        <w:rPr>
          <w:rFonts w:hint="eastAsia"/>
          <w:color w:val="auto"/>
          <w:sz w:val="24"/>
          <w:highlight w:val="none"/>
        </w:rPr>
        <w:t>①确定参与评标至评标结束前私自接触投标人；</w:t>
      </w:r>
    </w:p>
    <w:p w14:paraId="5C61B670">
      <w:pPr>
        <w:pStyle w:val="10"/>
        <w:spacing w:line="360" w:lineRule="auto"/>
        <w:ind w:firstLine="480" w:firstLineChars="200"/>
        <w:jc w:val="left"/>
        <w:rPr>
          <w:color w:val="auto"/>
          <w:sz w:val="24"/>
          <w:highlight w:val="none"/>
        </w:rPr>
      </w:pPr>
      <w:r>
        <w:rPr>
          <w:rFonts w:hint="eastAsia"/>
          <w:color w:val="auto"/>
          <w:sz w:val="24"/>
          <w:highlight w:val="none"/>
        </w:rPr>
        <w:t>②接受投标人提出的与投标文件不一致的澄清或者说明，评标委员会要求投标人作出必要的澄清、说明或者补正的情形除外；</w:t>
      </w:r>
    </w:p>
    <w:p w14:paraId="5B9D642E">
      <w:pPr>
        <w:pStyle w:val="10"/>
        <w:spacing w:line="360" w:lineRule="auto"/>
        <w:ind w:firstLine="480" w:firstLineChars="200"/>
        <w:jc w:val="left"/>
        <w:rPr>
          <w:color w:val="auto"/>
          <w:sz w:val="24"/>
          <w:highlight w:val="none"/>
        </w:rPr>
      </w:pPr>
      <w:r>
        <w:rPr>
          <w:rFonts w:hint="eastAsia"/>
          <w:color w:val="auto"/>
          <w:sz w:val="24"/>
          <w:highlight w:val="none"/>
        </w:rPr>
        <w:t>③违反评标纪律发表倾向性意见或者征询采购人的倾向性意见；</w:t>
      </w:r>
    </w:p>
    <w:p w14:paraId="3BDD477F">
      <w:pPr>
        <w:pStyle w:val="10"/>
        <w:spacing w:line="360" w:lineRule="auto"/>
        <w:ind w:firstLine="480" w:firstLineChars="200"/>
        <w:jc w:val="left"/>
        <w:rPr>
          <w:color w:val="auto"/>
          <w:sz w:val="24"/>
          <w:highlight w:val="none"/>
        </w:rPr>
      </w:pPr>
      <w:r>
        <w:rPr>
          <w:rFonts w:hint="eastAsia"/>
          <w:color w:val="auto"/>
          <w:sz w:val="24"/>
          <w:highlight w:val="none"/>
        </w:rPr>
        <w:t>④对需要专业判断的主观评审因素协商评分；</w:t>
      </w:r>
    </w:p>
    <w:p w14:paraId="6CA85193">
      <w:pPr>
        <w:pStyle w:val="10"/>
        <w:spacing w:line="360" w:lineRule="auto"/>
        <w:ind w:firstLine="480" w:firstLineChars="200"/>
        <w:jc w:val="left"/>
        <w:rPr>
          <w:color w:val="auto"/>
          <w:sz w:val="24"/>
          <w:highlight w:val="none"/>
        </w:rPr>
      </w:pPr>
      <w:r>
        <w:rPr>
          <w:rFonts w:hint="eastAsia"/>
          <w:color w:val="auto"/>
          <w:sz w:val="24"/>
          <w:highlight w:val="none"/>
        </w:rPr>
        <w:t>⑤在评标过程中擅离职守，影响评标程序正常进行的；</w:t>
      </w:r>
    </w:p>
    <w:p w14:paraId="2A4E1B31">
      <w:pPr>
        <w:pStyle w:val="10"/>
        <w:spacing w:line="360" w:lineRule="auto"/>
        <w:ind w:firstLine="480" w:firstLineChars="200"/>
        <w:jc w:val="left"/>
        <w:rPr>
          <w:color w:val="auto"/>
          <w:sz w:val="24"/>
          <w:highlight w:val="none"/>
        </w:rPr>
      </w:pPr>
      <w:r>
        <w:rPr>
          <w:rFonts w:hint="eastAsia"/>
          <w:color w:val="auto"/>
          <w:sz w:val="24"/>
          <w:highlight w:val="none"/>
        </w:rPr>
        <w:t>⑥记录、复制或者带走任何评标资料；</w:t>
      </w:r>
    </w:p>
    <w:p w14:paraId="34730ECE">
      <w:pPr>
        <w:pStyle w:val="10"/>
        <w:spacing w:line="360" w:lineRule="auto"/>
        <w:ind w:firstLine="480" w:firstLineChars="200"/>
        <w:jc w:val="left"/>
        <w:rPr>
          <w:color w:val="auto"/>
          <w:sz w:val="24"/>
          <w:highlight w:val="none"/>
        </w:rPr>
      </w:pPr>
      <w:r>
        <w:rPr>
          <w:rFonts w:hint="eastAsia"/>
          <w:color w:val="auto"/>
          <w:sz w:val="24"/>
          <w:highlight w:val="none"/>
        </w:rPr>
        <w:t>⑦其他不遵守评标纪律的行为。</w:t>
      </w:r>
    </w:p>
    <w:p w14:paraId="7D66B9D0">
      <w:pPr>
        <w:pStyle w:val="10"/>
        <w:spacing w:line="360" w:lineRule="auto"/>
        <w:ind w:firstLine="480" w:firstLineChars="200"/>
        <w:jc w:val="left"/>
        <w:rPr>
          <w:color w:val="auto"/>
          <w:sz w:val="24"/>
          <w:highlight w:val="none"/>
        </w:rPr>
      </w:pPr>
      <w:r>
        <w:rPr>
          <w:rFonts w:hint="eastAsia"/>
          <w:color w:val="auto"/>
          <w:sz w:val="24"/>
          <w:highlight w:val="none"/>
        </w:rPr>
        <w:t>5.3 投标文件的澄清</w:t>
      </w:r>
    </w:p>
    <w:p w14:paraId="3AA89638">
      <w:pPr>
        <w:pStyle w:val="10"/>
        <w:spacing w:line="360" w:lineRule="auto"/>
        <w:ind w:firstLine="480" w:firstLineChars="200"/>
        <w:jc w:val="left"/>
        <w:rPr>
          <w:color w:val="auto"/>
          <w:sz w:val="24"/>
          <w:highlight w:val="none"/>
        </w:rPr>
      </w:pPr>
      <w:r>
        <w:rPr>
          <w:rFonts w:hint="eastAsia"/>
          <w:color w:val="auto"/>
          <w:sz w:val="24"/>
          <w:highlight w:val="none"/>
        </w:rPr>
        <w:t>5.3.1 在评标期间，评标委员会有权就投标文件中含糊不清之处向投标人提出询问或澄清要求，投标人必须按照采购代理机构通知的时间、地点派技术和商务人员进行答疑和澄清。</w:t>
      </w:r>
    </w:p>
    <w:p w14:paraId="71E16596">
      <w:pPr>
        <w:pStyle w:val="10"/>
        <w:spacing w:line="360" w:lineRule="auto"/>
        <w:ind w:firstLine="480" w:firstLineChars="200"/>
        <w:jc w:val="left"/>
        <w:rPr>
          <w:color w:val="auto"/>
          <w:sz w:val="24"/>
          <w:highlight w:val="none"/>
        </w:rPr>
      </w:pPr>
      <w:r>
        <w:rPr>
          <w:rFonts w:hint="eastAsia"/>
          <w:color w:val="auto"/>
          <w:sz w:val="24"/>
          <w:highlight w:val="none"/>
        </w:rPr>
        <w:t>5.3.2 必要时评标委员会有权要求投标人就澄清的问题作书面回答，该书面回答应有投标人法定代表人或其授权委托人的签字，并将该书面回答作为投标内容的一部分。</w:t>
      </w:r>
    </w:p>
    <w:p w14:paraId="6FD759FF">
      <w:pPr>
        <w:pStyle w:val="10"/>
        <w:spacing w:line="360" w:lineRule="auto"/>
        <w:ind w:firstLine="480" w:firstLineChars="200"/>
        <w:jc w:val="left"/>
        <w:rPr>
          <w:color w:val="auto"/>
          <w:sz w:val="24"/>
          <w:highlight w:val="none"/>
        </w:rPr>
      </w:pPr>
      <w:r>
        <w:rPr>
          <w:rFonts w:hint="eastAsia"/>
          <w:color w:val="auto"/>
          <w:sz w:val="24"/>
          <w:highlight w:val="none"/>
        </w:rPr>
        <w:t>5.3.3 评标委员会要求投标人对其投标文件进行澄清，但不得寻求、提供或允许对投标价格、漏项等实质性内容做任何更改。</w:t>
      </w:r>
    </w:p>
    <w:p w14:paraId="3FDFA3F5">
      <w:pPr>
        <w:pStyle w:val="10"/>
        <w:spacing w:line="360" w:lineRule="auto"/>
        <w:ind w:firstLine="480" w:firstLineChars="200"/>
        <w:jc w:val="left"/>
        <w:rPr>
          <w:color w:val="auto"/>
          <w:sz w:val="24"/>
          <w:highlight w:val="none"/>
        </w:rPr>
      </w:pPr>
      <w:r>
        <w:rPr>
          <w:rFonts w:hint="eastAsia"/>
          <w:color w:val="auto"/>
          <w:sz w:val="24"/>
          <w:highlight w:val="none"/>
        </w:rPr>
        <w:t>5.4 投标文件的修正</w:t>
      </w:r>
    </w:p>
    <w:p w14:paraId="3A07F9A8">
      <w:pPr>
        <w:pStyle w:val="10"/>
        <w:spacing w:line="360" w:lineRule="auto"/>
        <w:ind w:firstLine="480" w:firstLineChars="200"/>
        <w:jc w:val="left"/>
        <w:rPr>
          <w:color w:val="auto"/>
          <w:sz w:val="24"/>
          <w:highlight w:val="none"/>
        </w:rPr>
      </w:pPr>
      <w:r>
        <w:rPr>
          <w:rFonts w:hint="eastAsia"/>
          <w:color w:val="auto"/>
          <w:sz w:val="24"/>
          <w:highlight w:val="none"/>
        </w:rPr>
        <w:t>5.4.1 评标委员会将审查投标文件是否完整、总体编排是否有序、文件签署是否合格、</w:t>
      </w:r>
    </w:p>
    <w:p w14:paraId="1A5AAE9C">
      <w:pPr>
        <w:pStyle w:val="10"/>
        <w:spacing w:line="360" w:lineRule="auto"/>
        <w:ind w:firstLine="480" w:firstLineChars="200"/>
        <w:jc w:val="left"/>
        <w:rPr>
          <w:color w:val="auto"/>
          <w:sz w:val="24"/>
          <w:highlight w:val="none"/>
        </w:rPr>
      </w:pPr>
      <w:r>
        <w:rPr>
          <w:rFonts w:hint="eastAsia"/>
          <w:color w:val="auto"/>
          <w:sz w:val="24"/>
          <w:highlight w:val="none"/>
        </w:rPr>
        <w:t>投标人是否提交了投标保证金、有无计算上的错误等。</w:t>
      </w:r>
    </w:p>
    <w:p w14:paraId="132EF1D1">
      <w:pPr>
        <w:pStyle w:val="10"/>
        <w:spacing w:line="360" w:lineRule="auto"/>
        <w:ind w:firstLine="480" w:firstLineChars="200"/>
        <w:jc w:val="left"/>
        <w:rPr>
          <w:color w:val="auto"/>
          <w:sz w:val="24"/>
          <w:highlight w:val="none"/>
        </w:rPr>
      </w:pPr>
      <w:r>
        <w:rPr>
          <w:rFonts w:hint="eastAsia"/>
          <w:color w:val="auto"/>
          <w:sz w:val="24"/>
          <w:highlight w:val="none"/>
        </w:rPr>
        <w:t>5.4.2 算术错误将按以下方法更正：若用文字表示的数值与用数字表示的数值不一致，</w:t>
      </w:r>
    </w:p>
    <w:p w14:paraId="0F8CA75B">
      <w:pPr>
        <w:pStyle w:val="10"/>
        <w:spacing w:line="360" w:lineRule="auto"/>
        <w:jc w:val="left"/>
        <w:rPr>
          <w:color w:val="auto"/>
          <w:sz w:val="24"/>
          <w:highlight w:val="none"/>
        </w:rPr>
      </w:pPr>
      <w:r>
        <w:rPr>
          <w:rFonts w:hint="eastAsia"/>
          <w:color w:val="auto"/>
          <w:sz w:val="24"/>
          <w:highlight w:val="none"/>
        </w:rPr>
        <w:t>以文字表示的数值为准。如果投标人不接受对其错误的更正，其投标将被拒绝。</w:t>
      </w:r>
    </w:p>
    <w:p w14:paraId="274145E6">
      <w:pPr>
        <w:pStyle w:val="10"/>
        <w:spacing w:line="360" w:lineRule="auto"/>
        <w:ind w:firstLine="480" w:firstLineChars="200"/>
        <w:jc w:val="left"/>
        <w:rPr>
          <w:color w:val="auto"/>
          <w:sz w:val="24"/>
          <w:highlight w:val="none"/>
        </w:rPr>
      </w:pPr>
      <w:r>
        <w:rPr>
          <w:rFonts w:hint="eastAsia"/>
          <w:color w:val="auto"/>
          <w:sz w:val="24"/>
          <w:highlight w:val="none"/>
        </w:rPr>
        <w:t>5.4.3 对于投标文件中不构成实质性偏差的不正规、不一致或不规则，评标委员会可以接受，但这种接受不能损害或影响任何投标人的相对排序。</w:t>
      </w:r>
    </w:p>
    <w:p w14:paraId="3D79B835">
      <w:pPr>
        <w:pStyle w:val="10"/>
        <w:spacing w:line="360" w:lineRule="auto"/>
        <w:ind w:firstLine="480" w:firstLineChars="200"/>
        <w:jc w:val="left"/>
        <w:rPr>
          <w:color w:val="auto"/>
          <w:sz w:val="24"/>
          <w:highlight w:val="none"/>
        </w:rPr>
      </w:pPr>
      <w:r>
        <w:rPr>
          <w:rFonts w:hint="eastAsia"/>
          <w:color w:val="auto"/>
          <w:sz w:val="24"/>
          <w:highlight w:val="none"/>
        </w:rPr>
        <w:t>5.4.4 评标委员会将要审查每份投标文件是否实质上响应了采购文件的要求。实质性响应是指无实质性偏离、反对、设定条件或提出保留，与采购文件要求的全部条款、条件和规格相符。实质性偏离是指：</w:t>
      </w:r>
    </w:p>
    <w:p w14:paraId="78FB6756">
      <w:pPr>
        <w:pStyle w:val="10"/>
        <w:spacing w:line="360" w:lineRule="auto"/>
        <w:ind w:firstLine="480" w:firstLineChars="200"/>
        <w:jc w:val="left"/>
        <w:rPr>
          <w:color w:val="auto"/>
          <w:sz w:val="24"/>
          <w:highlight w:val="none"/>
        </w:rPr>
      </w:pPr>
      <w:r>
        <w:rPr>
          <w:rFonts w:hint="eastAsia"/>
          <w:color w:val="auto"/>
          <w:sz w:val="24"/>
          <w:highlight w:val="none"/>
        </w:rPr>
        <w:t>5.4.4.1 实质性影响合同的范围、质量和履行；</w:t>
      </w:r>
    </w:p>
    <w:p w14:paraId="4D43BDFC">
      <w:pPr>
        <w:pStyle w:val="10"/>
        <w:spacing w:line="360" w:lineRule="auto"/>
        <w:ind w:firstLine="480" w:firstLineChars="200"/>
        <w:jc w:val="left"/>
        <w:rPr>
          <w:color w:val="auto"/>
          <w:sz w:val="24"/>
          <w:highlight w:val="none"/>
        </w:rPr>
      </w:pPr>
      <w:r>
        <w:rPr>
          <w:rFonts w:hint="eastAsia"/>
          <w:color w:val="auto"/>
          <w:sz w:val="24"/>
          <w:highlight w:val="none"/>
        </w:rPr>
        <w:t>5.4.4.2 实质性违背采购文件，限制了采购人的权利和中标人合同项下的义务；</w:t>
      </w:r>
    </w:p>
    <w:p w14:paraId="55A4EE5C">
      <w:pPr>
        <w:pStyle w:val="10"/>
        <w:spacing w:line="360" w:lineRule="auto"/>
        <w:ind w:firstLine="480" w:firstLineChars="200"/>
        <w:jc w:val="left"/>
        <w:rPr>
          <w:color w:val="auto"/>
          <w:sz w:val="24"/>
          <w:highlight w:val="none"/>
        </w:rPr>
      </w:pPr>
      <w:r>
        <w:rPr>
          <w:rFonts w:hint="eastAsia"/>
          <w:color w:val="auto"/>
          <w:sz w:val="24"/>
          <w:highlight w:val="none"/>
        </w:rPr>
        <w:t>5.4.4.3 不公正地影响了其它作出实质性响应的投标人的竞争地位；</w:t>
      </w:r>
    </w:p>
    <w:p w14:paraId="57BFDA3A">
      <w:pPr>
        <w:pStyle w:val="10"/>
        <w:spacing w:line="360" w:lineRule="auto"/>
        <w:ind w:firstLine="480" w:firstLineChars="200"/>
        <w:jc w:val="left"/>
        <w:rPr>
          <w:color w:val="auto"/>
          <w:sz w:val="24"/>
          <w:highlight w:val="none"/>
        </w:rPr>
      </w:pPr>
      <w:r>
        <w:rPr>
          <w:rFonts w:hint="eastAsia"/>
          <w:color w:val="auto"/>
          <w:sz w:val="24"/>
          <w:highlight w:val="none"/>
        </w:rPr>
        <w:t>5.4.4.4 评标委员会决定投标的响应性只根据投标文件本身的内容，而不寻求外部的证据。</w:t>
      </w:r>
    </w:p>
    <w:p w14:paraId="396522E0">
      <w:pPr>
        <w:pStyle w:val="10"/>
        <w:spacing w:line="360" w:lineRule="auto"/>
        <w:ind w:firstLine="480" w:firstLineChars="200"/>
        <w:jc w:val="left"/>
        <w:rPr>
          <w:color w:val="auto"/>
          <w:sz w:val="24"/>
          <w:highlight w:val="none"/>
        </w:rPr>
      </w:pPr>
      <w:r>
        <w:rPr>
          <w:rFonts w:hint="eastAsia"/>
          <w:color w:val="auto"/>
          <w:sz w:val="24"/>
          <w:highlight w:val="none"/>
        </w:rPr>
        <w:t>5.4.5 实质上没有响应采购文件要求的投标将被拒绝。投标人不得通过修正或撤消不合要求的偏离或保留从而使其投标成为实质上响应的投标。</w:t>
      </w:r>
    </w:p>
    <w:p w14:paraId="0AA9135C">
      <w:pPr>
        <w:pStyle w:val="10"/>
        <w:spacing w:line="360" w:lineRule="auto"/>
        <w:ind w:firstLine="480" w:firstLineChars="200"/>
        <w:jc w:val="left"/>
        <w:rPr>
          <w:color w:val="auto"/>
          <w:sz w:val="24"/>
          <w:highlight w:val="none"/>
        </w:rPr>
      </w:pPr>
      <w:r>
        <w:rPr>
          <w:rFonts w:hint="eastAsia"/>
          <w:color w:val="auto"/>
          <w:sz w:val="24"/>
          <w:highlight w:val="none"/>
        </w:rPr>
        <w:t>5.5 无效标条款</w:t>
      </w:r>
    </w:p>
    <w:p w14:paraId="20AFD638">
      <w:pPr>
        <w:pStyle w:val="10"/>
        <w:spacing w:line="360" w:lineRule="auto"/>
        <w:ind w:firstLine="480" w:firstLineChars="200"/>
        <w:jc w:val="left"/>
        <w:rPr>
          <w:color w:val="auto"/>
          <w:sz w:val="24"/>
          <w:highlight w:val="none"/>
        </w:rPr>
      </w:pPr>
      <w:r>
        <w:rPr>
          <w:rFonts w:hint="eastAsia"/>
          <w:color w:val="auto"/>
          <w:sz w:val="24"/>
          <w:highlight w:val="none"/>
        </w:rPr>
        <w:t>出现下列情形之一的，投标人递交的投标文件作无效投标处理，该投标人的投标文件不参与评审，且不计算入投标人家数：</w:t>
      </w:r>
    </w:p>
    <w:p w14:paraId="24E81830">
      <w:pPr>
        <w:pStyle w:val="10"/>
        <w:spacing w:line="360" w:lineRule="auto"/>
        <w:ind w:firstLine="480" w:firstLineChars="200"/>
        <w:jc w:val="left"/>
        <w:rPr>
          <w:color w:val="auto"/>
          <w:sz w:val="24"/>
          <w:highlight w:val="none"/>
        </w:rPr>
      </w:pPr>
      <w:r>
        <w:rPr>
          <w:rFonts w:hint="eastAsia"/>
          <w:color w:val="auto"/>
          <w:sz w:val="24"/>
          <w:highlight w:val="none"/>
        </w:rPr>
        <w:t>5.5.1 递交的投标文件不完整或未按采购文件要求盖公章及签字的；</w:t>
      </w:r>
    </w:p>
    <w:p w14:paraId="6DE4117E">
      <w:pPr>
        <w:pStyle w:val="10"/>
        <w:spacing w:line="360" w:lineRule="auto"/>
        <w:ind w:firstLine="480" w:firstLineChars="200"/>
        <w:jc w:val="left"/>
        <w:rPr>
          <w:color w:val="auto"/>
          <w:sz w:val="24"/>
          <w:highlight w:val="none"/>
        </w:rPr>
      </w:pPr>
      <w:r>
        <w:rPr>
          <w:rFonts w:hint="eastAsia"/>
          <w:color w:val="auto"/>
          <w:sz w:val="24"/>
          <w:highlight w:val="none"/>
        </w:rPr>
        <w:t>5.5.2 投标人不符合国家及采购文件规定的资格条件的；</w:t>
      </w:r>
    </w:p>
    <w:p w14:paraId="0AC2532C">
      <w:pPr>
        <w:pStyle w:val="10"/>
        <w:spacing w:line="360" w:lineRule="auto"/>
        <w:ind w:firstLine="480" w:firstLineChars="200"/>
        <w:jc w:val="left"/>
        <w:rPr>
          <w:color w:val="auto"/>
          <w:sz w:val="24"/>
          <w:highlight w:val="none"/>
        </w:rPr>
      </w:pPr>
      <w:r>
        <w:rPr>
          <w:rFonts w:hint="eastAsia"/>
          <w:color w:val="auto"/>
          <w:sz w:val="24"/>
          <w:highlight w:val="none"/>
        </w:rPr>
        <w:t>5.5.3 项目接受联合体投标时，投标联合体未提交联合投标协议的；</w:t>
      </w:r>
    </w:p>
    <w:p w14:paraId="543C417F">
      <w:pPr>
        <w:pStyle w:val="10"/>
        <w:spacing w:line="360" w:lineRule="auto"/>
        <w:ind w:firstLine="480" w:firstLineChars="200"/>
        <w:jc w:val="left"/>
        <w:rPr>
          <w:color w:val="auto"/>
          <w:sz w:val="24"/>
          <w:highlight w:val="none"/>
        </w:rPr>
      </w:pPr>
      <w:r>
        <w:rPr>
          <w:rFonts w:hint="eastAsia"/>
          <w:color w:val="auto"/>
          <w:sz w:val="24"/>
          <w:highlight w:val="none"/>
        </w:rPr>
        <w:t>5.5.4 投标报价经评审委员会认定低于成本价的；</w:t>
      </w:r>
    </w:p>
    <w:p w14:paraId="04F69E30">
      <w:pPr>
        <w:pStyle w:val="10"/>
        <w:spacing w:line="360" w:lineRule="auto"/>
        <w:ind w:firstLine="480" w:firstLineChars="200"/>
        <w:jc w:val="left"/>
        <w:rPr>
          <w:color w:val="auto"/>
          <w:sz w:val="24"/>
          <w:highlight w:val="none"/>
        </w:rPr>
      </w:pPr>
      <w:r>
        <w:rPr>
          <w:rFonts w:hint="eastAsia"/>
          <w:color w:val="auto"/>
          <w:sz w:val="24"/>
          <w:highlight w:val="none"/>
        </w:rPr>
        <w:t>5.5.5 投标报价超过采购文件载明的最高投标限价的；</w:t>
      </w:r>
    </w:p>
    <w:p w14:paraId="2F41591E">
      <w:pPr>
        <w:pStyle w:val="10"/>
        <w:spacing w:line="360" w:lineRule="auto"/>
        <w:ind w:firstLine="480" w:firstLineChars="200"/>
        <w:jc w:val="left"/>
        <w:rPr>
          <w:color w:val="auto"/>
          <w:sz w:val="24"/>
          <w:highlight w:val="none"/>
        </w:rPr>
      </w:pPr>
      <w:r>
        <w:rPr>
          <w:rFonts w:hint="eastAsia"/>
          <w:color w:val="auto"/>
          <w:sz w:val="24"/>
          <w:highlight w:val="none"/>
        </w:rPr>
        <w:t>5.5.6 投标文件未对采购文件的实质性要求和条件作出响应的；</w:t>
      </w:r>
    </w:p>
    <w:p w14:paraId="0550F404">
      <w:pPr>
        <w:pStyle w:val="10"/>
        <w:spacing w:line="360" w:lineRule="auto"/>
        <w:ind w:firstLine="480" w:firstLineChars="200"/>
        <w:jc w:val="left"/>
        <w:rPr>
          <w:color w:val="auto"/>
          <w:sz w:val="24"/>
          <w:highlight w:val="none"/>
        </w:rPr>
      </w:pPr>
      <w:r>
        <w:rPr>
          <w:rFonts w:hint="eastAsia"/>
          <w:color w:val="auto"/>
          <w:sz w:val="24"/>
          <w:highlight w:val="none"/>
        </w:rPr>
        <w:t>5.5.7 投标文件未按规定密封、签署和盖章的及投标文件份数不符合采购文件要求的；</w:t>
      </w:r>
    </w:p>
    <w:p w14:paraId="37DEC816">
      <w:pPr>
        <w:pStyle w:val="10"/>
        <w:spacing w:line="360" w:lineRule="auto"/>
        <w:ind w:firstLine="480" w:firstLineChars="200"/>
        <w:jc w:val="left"/>
        <w:rPr>
          <w:color w:val="auto"/>
          <w:sz w:val="24"/>
          <w:highlight w:val="none"/>
        </w:rPr>
      </w:pPr>
      <w:r>
        <w:rPr>
          <w:rFonts w:hint="eastAsia"/>
          <w:color w:val="auto"/>
          <w:sz w:val="24"/>
          <w:highlight w:val="none"/>
        </w:rPr>
        <w:t>5.5.8 投标文件未按时送达上传的。</w:t>
      </w:r>
    </w:p>
    <w:p w14:paraId="71010866">
      <w:pPr>
        <w:pStyle w:val="10"/>
        <w:spacing w:line="360" w:lineRule="auto"/>
        <w:ind w:firstLine="480" w:firstLineChars="200"/>
        <w:jc w:val="left"/>
        <w:rPr>
          <w:color w:val="auto"/>
          <w:sz w:val="24"/>
          <w:highlight w:val="none"/>
        </w:rPr>
      </w:pPr>
      <w:r>
        <w:rPr>
          <w:rFonts w:hint="eastAsia"/>
          <w:color w:val="auto"/>
          <w:sz w:val="24"/>
          <w:highlight w:val="none"/>
        </w:rPr>
        <w:t>5.5.9 投标人未按照采购文件要求提交投标保证金的；</w:t>
      </w:r>
    </w:p>
    <w:p w14:paraId="648EC9F5">
      <w:pPr>
        <w:pStyle w:val="10"/>
        <w:spacing w:line="360" w:lineRule="auto"/>
        <w:ind w:firstLine="480" w:firstLineChars="200"/>
        <w:jc w:val="left"/>
        <w:rPr>
          <w:color w:val="auto"/>
          <w:sz w:val="24"/>
          <w:highlight w:val="none"/>
        </w:rPr>
      </w:pPr>
      <w:r>
        <w:rPr>
          <w:rFonts w:hint="eastAsia"/>
          <w:color w:val="auto"/>
          <w:sz w:val="24"/>
          <w:highlight w:val="none"/>
        </w:rPr>
        <w:t>5.5.10 投标人有串通投标、弄虚作假、行贿等违法行为的；</w:t>
      </w:r>
    </w:p>
    <w:p w14:paraId="4F61D497">
      <w:pPr>
        <w:pStyle w:val="10"/>
        <w:spacing w:line="360" w:lineRule="auto"/>
        <w:ind w:firstLine="480" w:firstLineChars="200"/>
        <w:jc w:val="left"/>
        <w:rPr>
          <w:color w:val="auto"/>
          <w:sz w:val="24"/>
          <w:highlight w:val="none"/>
        </w:rPr>
      </w:pPr>
      <w:r>
        <w:rPr>
          <w:rFonts w:hint="eastAsia"/>
          <w:color w:val="auto"/>
          <w:sz w:val="24"/>
          <w:highlight w:val="none"/>
        </w:rPr>
        <w:t>5.5.11 有下列情形之一的，视为投标人串通投标，其投标无效：</w:t>
      </w:r>
    </w:p>
    <w:p w14:paraId="7696C29F">
      <w:pPr>
        <w:pStyle w:val="10"/>
        <w:spacing w:line="360" w:lineRule="auto"/>
        <w:ind w:firstLine="480" w:firstLineChars="200"/>
        <w:jc w:val="left"/>
        <w:rPr>
          <w:color w:val="auto"/>
          <w:sz w:val="24"/>
          <w:highlight w:val="none"/>
        </w:rPr>
      </w:pPr>
      <w:r>
        <w:rPr>
          <w:rFonts w:hint="eastAsia"/>
          <w:color w:val="auto"/>
          <w:sz w:val="24"/>
          <w:highlight w:val="none"/>
        </w:rPr>
        <w:t>①不同投标人的投标文件由同一单位或者个人编制；</w:t>
      </w:r>
    </w:p>
    <w:p w14:paraId="66A339A6">
      <w:pPr>
        <w:pStyle w:val="10"/>
        <w:spacing w:line="360" w:lineRule="auto"/>
        <w:ind w:firstLine="480" w:firstLineChars="200"/>
        <w:jc w:val="left"/>
        <w:rPr>
          <w:color w:val="auto"/>
          <w:sz w:val="24"/>
          <w:highlight w:val="none"/>
        </w:rPr>
      </w:pPr>
      <w:r>
        <w:rPr>
          <w:rFonts w:hint="eastAsia"/>
          <w:color w:val="auto"/>
          <w:sz w:val="24"/>
          <w:highlight w:val="none"/>
        </w:rPr>
        <w:t>②不同投标人委托同一单位或者个人办理投标事宜；</w:t>
      </w:r>
    </w:p>
    <w:p w14:paraId="1D9F16F1">
      <w:pPr>
        <w:pStyle w:val="10"/>
        <w:spacing w:line="360" w:lineRule="auto"/>
        <w:ind w:firstLine="480" w:firstLineChars="200"/>
        <w:jc w:val="left"/>
        <w:rPr>
          <w:color w:val="auto"/>
          <w:sz w:val="24"/>
          <w:highlight w:val="none"/>
        </w:rPr>
      </w:pPr>
      <w:r>
        <w:rPr>
          <w:rFonts w:hint="eastAsia"/>
          <w:color w:val="auto"/>
          <w:sz w:val="24"/>
          <w:highlight w:val="none"/>
        </w:rPr>
        <w:t>③不同投标人的投标文件载明的项目管理成员或者联系人员为同一人；</w:t>
      </w:r>
    </w:p>
    <w:p w14:paraId="360885AD">
      <w:pPr>
        <w:pStyle w:val="10"/>
        <w:spacing w:line="360" w:lineRule="auto"/>
        <w:ind w:firstLine="480" w:firstLineChars="200"/>
        <w:jc w:val="left"/>
        <w:rPr>
          <w:color w:val="auto"/>
          <w:sz w:val="24"/>
          <w:highlight w:val="none"/>
        </w:rPr>
      </w:pPr>
      <w:r>
        <w:rPr>
          <w:rFonts w:hint="eastAsia"/>
          <w:color w:val="auto"/>
          <w:sz w:val="24"/>
          <w:highlight w:val="none"/>
        </w:rPr>
        <w:t>④不同投标人的投标文件异常一致或者谈判报价呈规律性差异；</w:t>
      </w:r>
    </w:p>
    <w:p w14:paraId="0CE4D5D6">
      <w:pPr>
        <w:pStyle w:val="10"/>
        <w:spacing w:line="360" w:lineRule="auto"/>
        <w:ind w:firstLine="480" w:firstLineChars="200"/>
        <w:jc w:val="left"/>
        <w:rPr>
          <w:color w:val="auto"/>
          <w:sz w:val="24"/>
          <w:highlight w:val="none"/>
        </w:rPr>
      </w:pPr>
      <w:r>
        <w:rPr>
          <w:rFonts w:hint="eastAsia"/>
          <w:color w:val="auto"/>
          <w:sz w:val="24"/>
          <w:highlight w:val="none"/>
        </w:rPr>
        <w:t>⑤不同投标人的投标文件相互混装；</w:t>
      </w:r>
    </w:p>
    <w:p w14:paraId="4498E779">
      <w:pPr>
        <w:pStyle w:val="10"/>
        <w:spacing w:line="360" w:lineRule="auto"/>
        <w:ind w:firstLine="480" w:firstLineChars="200"/>
        <w:jc w:val="left"/>
        <w:rPr>
          <w:color w:val="auto"/>
          <w:sz w:val="24"/>
          <w:highlight w:val="none"/>
        </w:rPr>
      </w:pPr>
      <w:r>
        <w:rPr>
          <w:rFonts w:hint="eastAsia"/>
          <w:color w:val="auto"/>
          <w:sz w:val="24"/>
          <w:highlight w:val="none"/>
        </w:rPr>
        <w:t>⑥不同投标人的投标保证金从同一单位或者个人的账户转出。</w:t>
      </w:r>
    </w:p>
    <w:p w14:paraId="4BCE66EE">
      <w:pPr>
        <w:pStyle w:val="10"/>
        <w:spacing w:line="360" w:lineRule="auto"/>
        <w:ind w:firstLine="480" w:firstLineChars="200"/>
        <w:jc w:val="left"/>
        <w:rPr>
          <w:color w:val="auto"/>
          <w:sz w:val="24"/>
          <w:highlight w:val="none"/>
        </w:rPr>
      </w:pPr>
      <w:r>
        <w:rPr>
          <w:rFonts w:hint="eastAsia"/>
          <w:color w:val="auto"/>
          <w:sz w:val="24"/>
          <w:highlight w:val="none"/>
        </w:rPr>
        <w:t>5.5.12 资格证明文件不全或不真实的；</w:t>
      </w:r>
    </w:p>
    <w:p w14:paraId="49590332">
      <w:pPr>
        <w:pStyle w:val="10"/>
        <w:spacing w:line="360" w:lineRule="auto"/>
        <w:ind w:firstLine="480" w:firstLineChars="200"/>
        <w:jc w:val="left"/>
        <w:rPr>
          <w:color w:val="auto"/>
          <w:sz w:val="24"/>
          <w:highlight w:val="none"/>
        </w:rPr>
      </w:pPr>
      <w:r>
        <w:rPr>
          <w:rFonts w:hint="eastAsia"/>
          <w:color w:val="auto"/>
          <w:sz w:val="24"/>
          <w:highlight w:val="none"/>
        </w:rPr>
        <w:t>5.5.13 投标有效期不足的；</w:t>
      </w:r>
    </w:p>
    <w:p w14:paraId="4215F476">
      <w:pPr>
        <w:pStyle w:val="10"/>
        <w:spacing w:line="360" w:lineRule="auto"/>
        <w:ind w:firstLine="480" w:firstLineChars="200"/>
        <w:jc w:val="left"/>
        <w:rPr>
          <w:color w:val="auto"/>
          <w:sz w:val="24"/>
          <w:highlight w:val="none"/>
        </w:rPr>
      </w:pPr>
      <w:r>
        <w:rPr>
          <w:rFonts w:hint="eastAsia"/>
          <w:color w:val="auto"/>
          <w:sz w:val="24"/>
          <w:highlight w:val="none"/>
        </w:rPr>
        <w:t>5.5.14 投标文件附有采购人不能接受的条件的。</w:t>
      </w:r>
    </w:p>
    <w:p w14:paraId="612A5263">
      <w:pPr>
        <w:pStyle w:val="10"/>
        <w:spacing w:line="360" w:lineRule="auto"/>
        <w:ind w:firstLine="480" w:firstLineChars="200"/>
        <w:jc w:val="left"/>
        <w:rPr>
          <w:color w:val="auto"/>
          <w:sz w:val="24"/>
          <w:highlight w:val="none"/>
        </w:rPr>
      </w:pPr>
      <w:r>
        <w:rPr>
          <w:rFonts w:hint="eastAsia"/>
          <w:color w:val="auto"/>
          <w:sz w:val="24"/>
          <w:highlight w:val="none"/>
        </w:rPr>
        <w:t>5.5.15 投标人提交两份以上内容不同的投标文件未说明哪一个有效，或者在一份投标文件中对同一招标项目有两个以上报价未说明哪一个有效的；</w:t>
      </w:r>
    </w:p>
    <w:p w14:paraId="58A56D80">
      <w:pPr>
        <w:pStyle w:val="10"/>
        <w:spacing w:line="360" w:lineRule="auto"/>
        <w:ind w:firstLine="480" w:firstLineChars="200"/>
        <w:jc w:val="left"/>
        <w:rPr>
          <w:color w:val="auto"/>
          <w:sz w:val="24"/>
          <w:highlight w:val="none"/>
        </w:rPr>
      </w:pPr>
      <w:r>
        <w:rPr>
          <w:rFonts w:hint="eastAsia"/>
          <w:color w:val="auto"/>
          <w:sz w:val="24"/>
          <w:highlight w:val="none"/>
        </w:rPr>
        <w:t>5.5.16 投标人与在公共资源交易中心报名和购买采购文件的单位在名称和组织结构上不一致，不能提供其权利义务转移的合法有效证明的；</w:t>
      </w:r>
    </w:p>
    <w:p w14:paraId="6197D967">
      <w:pPr>
        <w:pStyle w:val="10"/>
        <w:spacing w:line="360" w:lineRule="auto"/>
        <w:ind w:firstLine="480" w:firstLineChars="200"/>
        <w:jc w:val="left"/>
        <w:rPr>
          <w:color w:val="auto"/>
          <w:sz w:val="24"/>
          <w:highlight w:val="none"/>
        </w:rPr>
      </w:pPr>
      <w:r>
        <w:rPr>
          <w:rFonts w:hint="eastAsia"/>
          <w:color w:val="auto"/>
          <w:sz w:val="24"/>
          <w:highlight w:val="none"/>
        </w:rPr>
        <w:t>5.5.17 投标文件未胶装成册的（采用打孔装订、活页夹等方式装订的投标文件作为无效投标处理）；</w:t>
      </w:r>
    </w:p>
    <w:p w14:paraId="4C99ADC4">
      <w:pPr>
        <w:pStyle w:val="10"/>
        <w:spacing w:line="360" w:lineRule="auto"/>
        <w:ind w:firstLine="480" w:firstLineChars="200"/>
        <w:jc w:val="left"/>
        <w:rPr>
          <w:color w:val="auto"/>
          <w:sz w:val="24"/>
          <w:highlight w:val="none"/>
        </w:rPr>
      </w:pPr>
      <w:r>
        <w:rPr>
          <w:rFonts w:hint="eastAsia"/>
          <w:color w:val="auto"/>
          <w:sz w:val="24"/>
          <w:highlight w:val="none"/>
        </w:rPr>
        <w:t>5.5.18 单位负责人为同一人或者存在直接控股、管理关系的不同供应商，不得参加同一合同项下的政府采购活动。</w:t>
      </w:r>
    </w:p>
    <w:p w14:paraId="314A208C">
      <w:pPr>
        <w:pStyle w:val="10"/>
        <w:spacing w:line="360" w:lineRule="auto"/>
        <w:ind w:firstLine="480" w:firstLineChars="200"/>
        <w:jc w:val="left"/>
        <w:rPr>
          <w:color w:val="auto"/>
          <w:sz w:val="24"/>
          <w:highlight w:val="none"/>
        </w:rPr>
      </w:pPr>
      <w:r>
        <w:rPr>
          <w:rFonts w:hint="eastAsia"/>
          <w:color w:val="auto"/>
          <w:sz w:val="24"/>
          <w:highlight w:val="none"/>
        </w:rPr>
        <w:t>5.5.19 除单一来源采购项目外，为采购项目提供整体设计、规范编制或者项目管理、监理、检测等服务的供应商，不得再参加该采购项目的其他采购活动。</w:t>
      </w:r>
    </w:p>
    <w:p w14:paraId="11DE7BFA">
      <w:pPr>
        <w:pStyle w:val="10"/>
        <w:spacing w:line="360" w:lineRule="auto"/>
        <w:ind w:firstLine="480" w:firstLineChars="200"/>
        <w:jc w:val="left"/>
        <w:rPr>
          <w:color w:val="auto"/>
          <w:sz w:val="24"/>
          <w:highlight w:val="none"/>
        </w:rPr>
      </w:pPr>
      <w:r>
        <w:rPr>
          <w:rFonts w:hint="eastAsia"/>
          <w:color w:val="auto"/>
          <w:sz w:val="24"/>
          <w:highlight w:val="none"/>
        </w:rPr>
        <w:t>5.6 废标条款</w:t>
      </w:r>
    </w:p>
    <w:p w14:paraId="429C28CD">
      <w:pPr>
        <w:pStyle w:val="10"/>
        <w:spacing w:line="360" w:lineRule="auto"/>
        <w:ind w:firstLine="480" w:firstLineChars="200"/>
        <w:jc w:val="left"/>
        <w:rPr>
          <w:color w:val="auto"/>
          <w:sz w:val="24"/>
          <w:highlight w:val="none"/>
        </w:rPr>
      </w:pPr>
      <w:r>
        <w:rPr>
          <w:rFonts w:hint="eastAsia"/>
          <w:color w:val="auto"/>
          <w:sz w:val="24"/>
          <w:highlight w:val="none"/>
        </w:rPr>
        <w:t>有下列情况之一出现的，将作废标处理，项目评审终止：</w:t>
      </w:r>
    </w:p>
    <w:p w14:paraId="0F9F5DC7">
      <w:pPr>
        <w:pStyle w:val="10"/>
        <w:spacing w:line="360" w:lineRule="auto"/>
        <w:ind w:firstLine="480" w:firstLineChars="200"/>
        <w:jc w:val="left"/>
        <w:rPr>
          <w:color w:val="auto"/>
          <w:sz w:val="24"/>
          <w:highlight w:val="none"/>
        </w:rPr>
      </w:pPr>
      <w:r>
        <w:rPr>
          <w:rFonts w:hint="eastAsia"/>
          <w:color w:val="auto"/>
          <w:sz w:val="24"/>
          <w:highlight w:val="none"/>
        </w:rPr>
        <w:t>5.6.1 符合专业条件的或对本采购文件作实质性响应的有效投标人不足三家的；</w:t>
      </w:r>
    </w:p>
    <w:p w14:paraId="02E0F236">
      <w:pPr>
        <w:pStyle w:val="10"/>
        <w:spacing w:line="360" w:lineRule="auto"/>
        <w:ind w:firstLine="480" w:firstLineChars="200"/>
        <w:jc w:val="left"/>
        <w:rPr>
          <w:color w:val="auto"/>
          <w:sz w:val="24"/>
          <w:highlight w:val="none"/>
        </w:rPr>
      </w:pPr>
      <w:r>
        <w:rPr>
          <w:rFonts w:hint="eastAsia"/>
          <w:color w:val="auto"/>
          <w:sz w:val="24"/>
          <w:highlight w:val="none"/>
        </w:rPr>
        <w:t>5.6.2 出现影响采购公正的违法、违规行为的；</w:t>
      </w:r>
    </w:p>
    <w:p w14:paraId="5DE3B154">
      <w:pPr>
        <w:pStyle w:val="10"/>
        <w:spacing w:line="360" w:lineRule="auto"/>
        <w:ind w:firstLine="480" w:firstLineChars="200"/>
        <w:jc w:val="left"/>
        <w:rPr>
          <w:color w:val="auto"/>
          <w:sz w:val="24"/>
          <w:highlight w:val="none"/>
        </w:rPr>
      </w:pPr>
      <w:r>
        <w:rPr>
          <w:rFonts w:hint="eastAsia"/>
          <w:color w:val="auto"/>
          <w:sz w:val="24"/>
          <w:highlight w:val="none"/>
        </w:rPr>
        <w:t>5.6.3 投标人报价均超过了采购预算，采购人不能支付的；</w:t>
      </w:r>
    </w:p>
    <w:p w14:paraId="0B6EE5F3">
      <w:pPr>
        <w:pStyle w:val="10"/>
        <w:spacing w:line="360" w:lineRule="auto"/>
        <w:ind w:firstLine="480" w:firstLineChars="200"/>
        <w:jc w:val="left"/>
        <w:rPr>
          <w:color w:val="auto"/>
          <w:sz w:val="24"/>
          <w:highlight w:val="none"/>
        </w:rPr>
      </w:pPr>
      <w:r>
        <w:rPr>
          <w:rFonts w:hint="eastAsia"/>
          <w:color w:val="auto"/>
          <w:sz w:val="24"/>
          <w:highlight w:val="none"/>
        </w:rPr>
        <w:t>5.6.4 因重大变故，采购任务取消的；</w:t>
      </w:r>
    </w:p>
    <w:p w14:paraId="5A2A9809">
      <w:pPr>
        <w:pStyle w:val="10"/>
        <w:spacing w:line="360" w:lineRule="auto"/>
        <w:ind w:firstLine="480" w:firstLineChars="200"/>
        <w:jc w:val="left"/>
        <w:rPr>
          <w:color w:val="auto"/>
          <w:sz w:val="24"/>
          <w:highlight w:val="none"/>
        </w:rPr>
      </w:pPr>
      <w:r>
        <w:rPr>
          <w:rFonts w:hint="eastAsia"/>
          <w:color w:val="auto"/>
          <w:sz w:val="24"/>
          <w:highlight w:val="none"/>
        </w:rPr>
        <w:t>5.6.5 法律法规规定的其他情形。</w:t>
      </w:r>
    </w:p>
    <w:p w14:paraId="520CA362">
      <w:pPr>
        <w:pStyle w:val="10"/>
        <w:spacing w:line="360" w:lineRule="auto"/>
        <w:ind w:firstLine="480" w:firstLineChars="200"/>
        <w:jc w:val="left"/>
        <w:rPr>
          <w:color w:val="auto"/>
          <w:sz w:val="24"/>
          <w:highlight w:val="none"/>
        </w:rPr>
      </w:pPr>
      <w:r>
        <w:rPr>
          <w:rFonts w:hint="eastAsia"/>
          <w:color w:val="auto"/>
          <w:sz w:val="24"/>
          <w:highlight w:val="none"/>
        </w:rPr>
        <w:t>5.7 评标程序和定标的原则</w:t>
      </w:r>
    </w:p>
    <w:p w14:paraId="27946A5B">
      <w:pPr>
        <w:pStyle w:val="10"/>
        <w:spacing w:line="360" w:lineRule="auto"/>
        <w:ind w:firstLine="480" w:firstLineChars="200"/>
        <w:jc w:val="left"/>
        <w:rPr>
          <w:color w:val="auto"/>
          <w:sz w:val="24"/>
          <w:highlight w:val="none"/>
        </w:rPr>
      </w:pPr>
      <w:r>
        <w:rPr>
          <w:rFonts w:hint="eastAsia"/>
          <w:color w:val="auto"/>
          <w:sz w:val="24"/>
          <w:highlight w:val="none"/>
        </w:rPr>
        <w:t>5.7.1 投标文件的审查</w:t>
      </w:r>
    </w:p>
    <w:p w14:paraId="28C82297">
      <w:pPr>
        <w:pStyle w:val="10"/>
        <w:spacing w:line="360" w:lineRule="auto"/>
        <w:ind w:firstLine="480" w:firstLineChars="200"/>
        <w:jc w:val="left"/>
        <w:rPr>
          <w:color w:val="auto"/>
          <w:sz w:val="24"/>
          <w:highlight w:val="none"/>
        </w:rPr>
      </w:pPr>
      <w:r>
        <w:rPr>
          <w:rFonts w:hint="eastAsia"/>
          <w:color w:val="auto"/>
          <w:sz w:val="24"/>
          <w:highlight w:val="none"/>
        </w:rPr>
        <w:t>①采购人按照采购文件设置的投标人资格要求对投标人进行资格审查，未通过资格审查的，不得进入评标环节。</w:t>
      </w:r>
    </w:p>
    <w:p w14:paraId="27C3295F">
      <w:pPr>
        <w:pStyle w:val="10"/>
        <w:spacing w:line="360" w:lineRule="auto"/>
        <w:ind w:firstLine="480" w:firstLineChars="200"/>
        <w:jc w:val="left"/>
        <w:rPr>
          <w:color w:val="auto"/>
          <w:sz w:val="24"/>
          <w:highlight w:val="none"/>
        </w:rPr>
      </w:pPr>
      <w:r>
        <w:rPr>
          <w:rFonts w:hint="eastAsia"/>
          <w:color w:val="auto"/>
          <w:sz w:val="24"/>
          <w:highlight w:val="none"/>
        </w:rPr>
        <w:t>②评标委员会只对实质性响应采购文件要求的投标进行符合性评审，审查内容详见符合性审查表。</w:t>
      </w:r>
    </w:p>
    <w:p w14:paraId="705181E7">
      <w:pPr>
        <w:pStyle w:val="10"/>
        <w:spacing w:line="360" w:lineRule="auto"/>
        <w:ind w:firstLine="480" w:firstLineChars="200"/>
        <w:jc w:val="left"/>
        <w:rPr>
          <w:color w:val="auto"/>
          <w:sz w:val="24"/>
          <w:highlight w:val="none"/>
        </w:rPr>
      </w:pPr>
      <w:r>
        <w:rPr>
          <w:rFonts w:hint="eastAsia"/>
          <w:color w:val="auto"/>
          <w:sz w:val="24"/>
          <w:highlight w:val="none"/>
        </w:rPr>
        <w:t>③评委会只对符合性合格的投标人按照采购文件规定的评标办法和评分标准进行综合评审。</w:t>
      </w:r>
    </w:p>
    <w:p w14:paraId="3D493514">
      <w:pPr>
        <w:pStyle w:val="10"/>
        <w:spacing w:line="360" w:lineRule="auto"/>
        <w:ind w:firstLine="480" w:firstLineChars="200"/>
        <w:jc w:val="left"/>
        <w:rPr>
          <w:color w:val="auto"/>
          <w:sz w:val="24"/>
          <w:highlight w:val="none"/>
        </w:rPr>
      </w:pPr>
      <w:r>
        <w:rPr>
          <w:rFonts w:hint="eastAsia"/>
          <w:color w:val="auto"/>
          <w:sz w:val="24"/>
          <w:highlight w:val="none"/>
        </w:rPr>
        <w:t>5.7.2 评标和定标</w:t>
      </w:r>
    </w:p>
    <w:p w14:paraId="0AA72901">
      <w:pPr>
        <w:pStyle w:val="10"/>
        <w:spacing w:line="360" w:lineRule="auto"/>
        <w:ind w:firstLine="480" w:firstLineChars="200"/>
        <w:jc w:val="left"/>
        <w:rPr>
          <w:color w:val="auto"/>
          <w:sz w:val="24"/>
          <w:highlight w:val="none"/>
        </w:rPr>
      </w:pPr>
      <w:r>
        <w:rPr>
          <w:rFonts w:hint="eastAsia"/>
          <w:color w:val="auto"/>
          <w:sz w:val="24"/>
          <w:highlight w:val="none"/>
        </w:rPr>
        <w:t>①评标办法：综合评分法，评标委员会只对通过了资格审查和符合性审查的投标进行评审。</w:t>
      </w:r>
    </w:p>
    <w:p w14:paraId="14151F3D">
      <w:pPr>
        <w:pStyle w:val="10"/>
        <w:spacing w:line="360" w:lineRule="auto"/>
        <w:ind w:firstLine="480" w:firstLineChars="200"/>
        <w:jc w:val="left"/>
        <w:rPr>
          <w:color w:val="auto"/>
          <w:sz w:val="24"/>
          <w:highlight w:val="none"/>
        </w:rPr>
      </w:pPr>
      <w:r>
        <w:rPr>
          <w:rFonts w:hint="eastAsia"/>
          <w:color w:val="auto"/>
          <w:sz w:val="24"/>
          <w:highlight w:val="none"/>
        </w:rPr>
        <w:t>②评审依据：评标委员会将根据“第四章评标办法”中确定的评标方法和评分标准对合格的投标人递交的投标文件进行评估、比较和定标。</w:t>
      </w:r>
    </w:p>
    <w:p w14:paraId="469007B2">
      <w:pPr>
        <w:pStyle w:val="10"/>
        <w:spacing w:line="360" w:lineRule="auto"/>
        <w:ind w:firstLine="480" w:firstLineChars="200"/>
        <w:jc w:val="left"/>
        <w:rPr>
          <w:color w:val="auto"/>
          <w:sz w:val="24"/>
          <w:highlight w:val="none"/>
        </w:rPr>
      </w:pPr>
      <w:r>
        <w:rPr>
          <w:rFonts w:hint="eastAsia"/>
          <w:color w:val="auto"/>
          <w:sz w:val="24"/>
          <w:highlight w:val="none"/>
        </w:rPr>
        <w:t>③评标委员会完成评标后，由评标委员会向采购人提出书面报告。招标人根据评标委员会提出的书面报告和推荐的中标候选人中确定中标人。采购人不得选择中标候选人以外的投标人为中标人。</w:t>
      </w:r>
    </w:p>
    <w:p w14:paraId="355435C5">
      <w:pPr>
        <w:pStyle w:val="10"/>
        <w:spacing w:line="360" w:lineRule="auto"/>
        <w:ind w:firstLine="480" w:firstLineChars="200"/>
        <w:jc w:val="left"/>
        <w:rPr>
          <w:color w:val="auto"/>
          <w:sz w:val="24"/>
          <w:highlight w:val="none"/>
        </w:rPr>
      </w:pPr>
      <w:r>
        <w:rPr>
          <w:rFonts w:hint="eastAsia"/>
          <w:color w:val="auto"/>
          <w:sz w:val="24"/>
          <w:highlight w:val="none"/>
        </w:rPr>
        <w:t>5.7.3 满足以下条件的投标人有可能中标：</w:t>
      </w:r>
    </w:p>
    <w:p w14:paraId="5EFBD459">
      <w:pPr>
        <w:pStyle w:val="10"/>
        <w:spacing w:line="360" w:lineRule="auto"/>
        <w:ind w:firstLine="480" w:firstLineChars="200"/>
        <w:jc w:val="left"/>
        <w:rPr>
          <w:color w:val="auto"/>
          <w:sz w:val="24"/>
          <w:highlight w:val="none"/>
        </w:rPr>
      </w:pPr>
      <w:r>
        <w:rPr>
          <w:rFonts w:hint="eastAsia"/>
          <w:color w:val="auto"/>
          <w:sz w:val="24"/>
          <w:highlight w:val="none"/>
        </w:rPr>
        <w:t>①技术、商务条件能最大限度地满足《采购文件》的实质性要求；</w:t>
      </w:r>
    </w:p>
    <w:p w14:paraId="0EAC31A2">
      <w:pPr>
        <w:pStyle w:val="10"/>
        <w:spacing w:line="360" w:lineRule="auto"/>
        <w:ind w:firstLine="480" w:firstLineChars="200"/>
        <w:jc w:val="left"/>
        <w:rPr>
          <w:color w:val="auto"/>
          <w:sz w:val="24"/>
          <w:highlight w:val="none"/>
        </w:rPr>
      </w:pPr>
      <w:r>
        <w:rPr>
          <w:rFonts w:hint="eastAsia"/>
          <w:color w:val="auto"/>
          <w:sz w:val="24"/>
          <w:highlight w:val="none"/>
        </w:rPr>
        <w:t>②能提供最佳的售后服务；</w:t>
      </w:r>
    </w:p>
    <w:p w14:paraId="53187A42">
      <w:pPr>
        <w:pStyle w:val="10"/>
        <w:spacing w:line="360" w:lineRule="auto"/>
        <w:ind w:firstLine="480" w:firstLineChars="200"/>
        <w:jc w:val="left"/>
        <w:rPr>
          <w:color w:val="auto"/>
          <w:sz w:val="24"/>
          <w:highlight w:val="none"/>
        </w:rPr>
      </w:pPr>
      <w:r>
        <w:rPr>
          <w:rFonts w:hint="eastAsia"/>
          <w:color w:val="auto"/>
          <w:sz w:val="24"/>
          <w:highlight w:val="none"/>
        </w:rPr>
        <w:t>③具有良好执行合同的能力，有良好的信誉；</w:t>
      </w:r>
    </w:p>
    <w:p w14:paraId="2C71C457">
      <w:pPr>
        <w:pStyle w:val="10"/>
        <w:spacing w:line="360" w:lineRule="auto"/>
        <w:ind w:firstLine="480" w:firstLineChars="200"/>
        <w:jc w:val="left"/>
        <w:rPr>
          <w:color w:val="auto"/>
          <w:sz w:val="24"/>
          <w:highlight w:val="none"/>
        </w:rPr>
      </w:pPr>
      <w:r>
        <w:rPr>
          <w:rFonts w:hint="eastAsia"/>
          <w:color w:val="auto"/>
          <w:sz w:val="24"/>
          <w:highlight w:val="none"/>
        </w:rPr>
        <w:t>④具有良好的业绩；</w:t>
      </w:r>
    </w:p>
    <w:p w14:paraId="2B40519B">
      <w:pPr>
        <w:pStyle w:val="10"/>
        <w:spacing w:line="360" w:lineRule="auto"/>
        <w:ind w:firstLine="480" w:firstLineChars="200"/>
        <w:jc w:val="left"/>
        <w:rPr>
          <w:color w:val="auto"/>
          <w:sz w:val="24"/>
          <w:highlight w:val="none"/>
        </w:rPr>
      </w:pPr>
      <w:r>
        <w:rPr>
          <w:rFonts w:hint="eastAsia"/>
          <w:color w:val="auto"/>
          <w:sz w:val="24"/>
          <w:highlight w:val="none"/>
        </w:rPr>
        <w:t>⑤投标报价合理。能最大限度满足采购文件的实质性要求和采购文件中规定的各项综合评价标准，即综合优势明显的投标人有可能中标。但不保证最低投标报价者中标。</w:t>
      </w:r>
    </w:p>
    <w:p w14:paraId="31ADAFB5">
      <w:pPr>
        <w:pStyle w:val="10"/>
        <w:spacing w:line="360" w:lineRule="auto"/>
        <w:ind w:firstLine="480" w:firstLineChars="200"/>
        <w:jc w:val="left"/>
        <w:rPr>
          <w:color w:val="auto"/>
          <w:sz w:val="24"/>
          <w:highlight w:val="none"/>
        </w:rPr>
      </w:pPr>
      <w:r>
        <w:rPr>
          <w:rFonts w:hint="eastAsia"/>
          <w:color w:val="auto"/>
          <w:sz w:val="24"/>
          <w:highlight w:val="none"/>
        </w:rPr>
        <w:t>5.8 保密</w:t>
      </w:r>
    </w:p>
    <w:p w14:paraId="3E549483">
      <w:pPr>
        <w:pStyle w:val="10"/>
        <w:spacing w:line="360" w:lineRule="auto"/>
        <w:ind w:firstLine="480" w:firstLineChars="200"/>
        <w:jc w:val="left"/>
        <w:rPr>
          <w:color w:val="auto"/>
          <w:sz w:val="24"/>
          <w:highlight w:val="none"/>
        </w:rPr>
      </w:pPr>
      <w:r>
        <w:rPr>
          <w:rFonts w:hint="eastAsia"/>
          <w:color w:val="auto"/>
          <w:sz w:val="24"/>
          <w:highlight w:val="none"/>
        </w:rPr>
        <w:t>5.8.1 有关投标文件的审查、澄清、评价和比较以及有关授予合同的一切情况等，都不得向投标人或与评标工作无关的人员透露。</w:t>
      </w:r>
    </w:p>
    <w:p w14:paraId="51329536">
      <w:pPr>
        <w:pStyle w:val="10"/>
        <w:spacing w:line="360" w:lineRule="auto"/>
        <w:ind w:firstLine="480" w:firstLineChars="200"/>
        <w:jc w:val="left"/>
        <w:rPr>
          <w:color w:val="auto"/>
          <w:sz w:val="24"/>
          <w:highlight w:val="none"/>
        </w:rPr>
      </w:pPr>
      <w:r>
        <w:rPr>
          <w:rFonts w:hint="eastAsia"/>
          <w:color w:val="auto"/>
          <w:sz w:val="24"/>
          <w:highlight w:val="none"/>
        </w:rPr>
        <w:t>5.8.2 投标人不得以任何行为影响评标过程，否则投标将被拒绝。</w:t>
      </w:r>
    </w:p>
    <w:p w14:paraId="71385038">
      <w:pPr>
        <w:pStyle w:val="10"/>
        <w:spacing w:line="360" w:lineRule="auto"/>
        <w:ind w:firstLine="480" w:firstLineChars="200"/>
        <w:jc w:val="left"/>
        <w:rPr>
          <w:color w:val="auto"/>
          <w:sz w:val="24"/>
          <w:highlight w:val="none"/>
        </w:rPr>
      </w:pPr>
    </w:p>
    <w:p w14:paraId="5FC39510">
      <w:pPr>
        <w:pStyle w:val="10"/>
        <w:spacing w:line="360" w:lineRule="auto"/>
        <w:jc w:val="left"/>
        <w:rPr>
          <w:color w:val="auto"/>
          <w:sz w:val="24"/>
          <w:highlight w:val="none"/>
        </w:rPr>
      </w:pPr>
    </w:p>
    <w:p w14:paraId="2894EB8D">
      <w:pPr>
        <w:pStyle w:val="10"/>
        <w:spacing w:line="360" w:lineRule="auto"/>
        <w:jc w:val="left"/>
        <w:rPr>
          <w:color w:val="auto"/>
          <w:sz w:val="24"/>
          <w:highlight w:val="none"/>
        </w:rPr>
      </w:pPr>
    </w:p>
    <w:p w14:paraId="3B0B048B">
      <w:pPr>
        <w:pStyle w:val="10"/>
        <w:spacing w:line="360" w:lineRule="auto"/>
        <w:jc w:val="left"/>
        <w:rPr>
          <w:color w:val="auto"/>
          <w:sz w:val="24"/>
          <w:highlight w:val="none"/>
        </w:rPr>
      </w:pPr>
    </w:p>
    <w:p w14:paraId="23C3F25C">
      <w:pPr>
        <w:pStyle w:val="10"/>
        <w:spacing w:line="360" w:lineRule="auto"/>
        <w:jc w:val="left"/>
        <w:rPr>
          <w:color w:val="auto"/>
          <w:sz w:val="24"/>
          <w:highlight w:val="none"/>
        </w:rPr>
      </w:pPr>
    </w:p>
    <w:p w14:paraId="25999E76">
      <w:pPr>
        <w:pStyle w:val="10"/>
        <w:spacing w:line="360" w:lineRule="auto"/>
        <w:jc w:val="left"/>
        <w:rPr>
          <w:color w:val="auto"/>
          <w:sz w:val="24"/>
          <w:highlight w:val="none"/>
        </w:rPr>
      </w:pPr>
    </w:p>
    <w:p w14:paraId="3A5E5D92">
      <w:pPr>
        <w:pStyle w:val="10"/>
        <w:spacing w:line="360" w:lineRule="auto"/>
        <w:jc w:val="left"/>
        <w:rPr>
          <w:color w:val="auto"/>
          <w:sz w:val="24"/>
          <w:highlight w:val="none"/>
        </w:rPr>
      </w:pPr>
    </w:p>
    <w:p w14:paraId="63C00566">
      <w:pPr>
        <w:pStyle w:val="10"/>
        <w:spacing w:line="360" w:lineRule="auto"/>
        <w:jc w:val="left"/>
        <w:rPr>
          <w:color w:val="auto"/>
          <w:sz w:val="24"/>
          <w:highlight w:val="none"/>
        </w:rPr>
      </w:pPr>
    </w:p>
    <w:p w14:paraId="7C0A235C">
      <w:pPr>
        <w:pStyle w:val="10"/>
        <w:spacing w:line="360" w:lineRule="auto"/>
        <w:jc w:val="left"/>
        <w:rPr>
          <w:color w:val="auto"/>
          <w:sz w:val="24"/>
          <w:highlight w:val="none"/>
        </w:rPr>
      </w:pPr>
    </w:p>
    <w:p w14:paraId="3CC3863F">
      <w:pPr>
        <w:pStyle w:val="10"/>
        <w:spacing w:line="360" w:lineRule="auto"/>
        <w:jc w:val="left"/>
        <w:rPr>
          <w:color w:val="auto"/>
          <w:sz w:val="24"/>
          <w:highlight w:val="none"/>
        </w:rPr>
      </w:pPr>
    </w:p>
    <w:p w14:paraId="78647F59">
      <w:pPr>
        <w:pStyle w:val="10"/>
        <w:spacing w:line="360" w:lineRule="auto"/>
        <w:jc w:val="left"/>
        <w:rPr>
          <w:color w:val="auto"/>
          <w:sz w:val="24"/>
          <w:highlight w:val="none"/>
        </w:rPr>
      </w:pPr>
    </w:p>
    <w:p w14:paraId="2D8E8ECB">
      <w:pPr>
        <w:pStyle w:val="10"/>
        <w:spacing w:line="360" w:lineRule="auto"/>
        <w:jc w:val="left"/>
        <w:rPr>
          <w:color w:val="auto"/>
          <w:sz w:val="24"/>
          <w:highlight w:val="none"/>
        </w:rPr>
      </w:pPr>
    </w:p>
    <w:p w14:paraId="21AAC04F">
      <w:pPr>
        <w:pStyle w:val="10"/>
        <w:spacing w:line="360" w:lineRule="auto"/>
        <w:jc w:val="left"/>
        <w:rPr>
          <w:color w:val="auto"/>
          <w:sz w:val="24"/>
          <w:highlight w:val="none"/>
        </w:rPr>
      </w:pPr>
    </w:p>
    <w:p w14:paraId="7C672B2F">
      <w:pPr>
        <w:pStyle w:val="10"/>
        <w:spacing w:line="360" w:lineRule="auto"/>
        <w:jc w:val="left"/>
        <w:rPr>
          <w:color w:val="auto"/>
          <w:sz w:val="24"/>
          <w:highlight w:val="none"/>
        </w:rPr>
      </w:pPr>
    </w:p>
    <w:p w14:paraId="7F77D8CC">
      <w:pPr>
        <w:pStyle w:val="10"/>
        <w:spacing w:line="360" w:lineRule="auto"/>
        <w:jc w:val="left"/>
        <w:rPr>
          <w:color w:val="auto"/>
          <w:sz w:val="24"/>
          <w:highlight w:val="none"/>
        </w:rPr>
      </w:pPr>
    </w:p>
    <w:p w14:paraId="4DDDF148">
      <w:pPr>
        <w:pStyle w:val="10"/>
        <w:spacing w:line="360" w:lineRule="auto"/>
        <w:jc w:val="left"/>
        <w:rPr>
          <w:color w:val="auto"/>
          <w:sz w:val="24"/>
          <w:highlight w:val="none"/>
        </w:rPr>
      </w:pPr>
    </w:p>
    <w:p w14:paraId="5069EFE4">
      <w:pPr>
        <w:pStyle w:val="10"/>
        <w:spacing w:line="360" w:lineRule="auto"/>
        <w:jc w:val="left"/>
        <w:rPr>
          <w:color w:val="auto"/>
          <w:sz w:val="24"/>
          <w:highlight w:val="none"/>
        </w:rPr>
      </w:pPr>
    </w:p>
    <w:p w14:paraId="4256CA1F">
      <w:pPr>
        <w:pStyle w:val="10"/>
        <w:spacing w:line="360" w:lineRule="auto"/>
        <w:jc w:val="left"/>
        <w:rPr>
          <w:color w:val="auto"/>
          <w:sz w:val="24"/>
          <w:highlight w:val="none"/>
        </w:rPr>
      </w:pPr>
    </w:p>
    <w:p w14:paraId="774996CE">
      <w:pPr>
        <w:pStyle w:val="10"/>
        <w:spacing w:line="360" w:lineRule="auto"/>
        <w:jc w:val="left"/>
        <w:rPr>
          <w:color w:val="auto"/>
          <w:sz w:val="24"/>
          <w:highlight w:val="none"/>
        </w:rPr>
      </w:pPr>
    </w:p>
    <w:p w14:paraId="789F24C4">
      <w:pPr>
        <w:pStyle w:val="10"/>
        <w:spacing w:line="360" w:lineRule="auto"/>
        <w:jc w:val="left"/>
        <w:rPr>
          <w:color w:val="auto"/>
          <w:sz w:val="24"/>
          <w:highlight w:val="none"/>
        </w:rPr>
      </w:pPr>
    </w:p>
    <w:p w14:paraId="0761B00B">
      <w:pPr>
        <w:pStyle w:val="10"/>
        <w:spacing w:line="360" w:lineRule="auto"/>
        <w:jc w:val="left"/>
        <w:rPr>
          <w:color w:val="auto"/>
          <w:sz w:val="24"/>
          <w:highlight w:val="none"/>
        </w:rPr>
      </w:pPr>
    </w:p>
    <w:p w14:paraId="3015260D">
      <w:pPr>
        <w:pStyle w:val="10"/>
        <w:spacing w:line="360" w:lineRule="auto"/>
        <w:ind w:firstLine="560" w:firstLineChars="200"/>
        <w:jc w:val="center"/>
        <w:rPr>
          <w:b/>
          <w:color w:val="auto"/>
          <w:sz w:val="28"/>
          <w:highlight w:val="none"/>
        </w:rPr>
      </w:pPr>
      <w:r>
        <w:rPr>
          <w:rFonts w:hint="eastAsia"/>
          <w:b/>
          <w:color w:val="auto"/>
          <w:sz w:val="28"/>
          <w:highlight w:val="none"/>
        </w:rPr>
        <w:t>六、评标纪律、原则</w:t>
      </w:r>
    </w:p>
    <w:p w14:paraId="0CA25E86">
      <w:pPr>
        <w:pStyle w:val="10"/>
        <w:spacing w:line="360" w:lineRule="auto"/>
        <w:ind w:firstLine="480" w:firstLineChars="200"/>
        <w:jc w:val="left"/>
        <w:rPr>
          <w:color w:val="auto"/>
          <w:sz w:val="24"/>
          <w:highlight w:val="none"/>
        </w:rPr>
      </w:pPr>
      <w:r>
        <w:rPr>
          <w:rFonts w:hint="eastAsia"/>
          <w:color w:val="auto"/>
          <w:sz w:val="24"/>
          <w:highlight w:val="none"/>
        </w:rPr>
        <w:t>6.1 评标工作应严格遵守《中华人民共和国政府采购法》及有关政策、法令，保护采购人、投标供应商的合法权益，做到公正、公开、公平，遵循竞争、择优的原则。</w:t>
      </w:r>
    </w:p>
    <w:p w14:paraId="6920294E">
      <w:pPr>
        <w:pStyle w:val="10"/>
        <w:spacing w:line="360" w:lineRule="auto"/>
        <w:ind w:firstLine="480" w:firstLineChars="200"/>
        <w:jc w:val="left"/>
        <w:rPr>
          <w:color w:val="auto"/>
          <w:sz w:val="24"/>
          <w:highlight w:val="none"/>
        </w:rPr>
      </w:pPr>
      <w:r>
        <w:rPr>
          <w:rFonts w:hint="eastAsia"/>
          <w:color w:val="auto"/>
          <w:sz w:val="24"/>
          <w:highlight w:val="none"/>
        </w:rPr>
        <w:t>6.2 评标工作由采购代理机构组织的评标委员会（以下简称评委会）进行，评委会由专家和采购人的代表组成。</w:t>
      </w:r>
    </w:p>
    <w:p w14:paraId="78AB28CB">
      <w:pPr>
        <w:pStyle w:val="10"/>
        <w:spacing w:line="360" w:lineRule="auto"/>
        <w:ind w:firstLine="480" w:firstLineChars="200"/>
        <w:jc w:val="left"/>
        <w:rPr>
          <w:color w:val="auto"/>
          <w:sz w:val="24"/>
          <w:highlight w:val="none"/>
        </w:rPr>
      </w:pPr>
      <w:r>
        <w:rPr>
          <w:rFonts w:hint="eastAsia"/>
          <w:color w:val="auto"/>
          <w:sz w:val="24"/>
          <w:highlight w:val="none"/>
        </w:rPr>
        <w:t>6.3 评委及有关人员应严格遵循国家的有关法律、法令、公正廉洁，不徇私情，应当客观、公正地履行职务、遵守职业道德，不得有损害国家和企业利益的行为，如有发生，将追究法律责任。</w:t>
      </w:r>
    </w:p>
    <w:p w14:paraId="3B883C55">
      <w:pPr>
        <w:pStyle w:val="10"/>
        <w:spacing w:line="360" w:lineRule="auto"/>
        <w:ind w:firstLine="480" w:firstLineChars="200"/>
        <w:jc w:val="left"/>
        <w:rPr>
          <w:color w:val="auto"/>
          <w:sz w:val="24"/>
          <w:highlight w:val="none"/>
        </w:rPr>
      </w:pPr>
      <w:r>
        <w:rPr>
          <w:rFonts w:hint="eastAsia"/>
          <w:color w:val="auto"/>
          <w:sz w:val="24"/>
          <w:highlight w:val="none"/>
        </w:rPr>
        <w:t>6.4 评标工作接受贵州省财政厅、采购人的管理和监督。</w:t>
      </w:r>
    </w:p>
    <w:p w14:paraId="59488B46">
      <w:pPr>
        <w:pStyle w:val="10"/>
        <w:spacing w:line="360" w:lineRule="auto"/>
        <w:ind w:firstLine="480" w:firstLineChars="200"/>
        <w:jc w:val="left"/>
        <w:rPr>
          <w:color w:val="auto"/>
          <w:sz w:val="24"/>
          <w:highlight w:val="none"/>
        </w:rPr>
      </w:pPr>
      <w:r>
        <w:rPr>
          <w:rFonts w:hint="eastAsia"/>
          <w:color w:val="auto"/>
          <w:sz w:val="24"/>
          <w:highlight w:val="none"/>
        </w:rPr>
        <w:t>6.5 评标期间，评委和有关工作人员必须严格遵守招标工作纪律和保密的规定，不得以任何形式，将评标情况和投标情况透露给与投标有关的单位和个人；如有违反，将按照有关法律、法规的规定进行处理。</w:t>
      </w:r>
    </w:p>
    <w:p w14:paraId="06367E80">
      <w:pPr>
        <w:pStyle w:val="10"/>
        <w:spacing w:line="360" w:lineRule="auto"/>
        <w:ind w:firstLine="480" w:firstLineChars="200"/>
        <w:jc w:val="left"/>
        <w:rPr>
          <w:color w:val="auto"/>
          <w:sz w:val="24"/>
          <w:highlight w:val="none"/>
        </w:rPr>
      </w:pPr>
      <w:r>
        <w:rPr>
          <w:rFonts w:hint="eastAsia"/>
          <w:color w:val="auto"/>
          <w:sz w:val="24"/>
          <w:highlight w:val="none"/>
        </w:rPr>
        <w:t>6.6 从开标之日起，至《中标通知书》发出之日止，任何投标供应商不得与评委、采购人及有关工作人员私下接触或联系。投标供应商企图影响评标的任何活动或采用不正当手段骗取中标的，中标无效，并将依照《中华人民共和国政府采购法》及有关法规进行处理。</w:t>
      </w:r>
    </w:p>
    <w:p w14:paraId="735A1767">
      <w:pPr>
        <w:pStyle w:val="10"/>
        <w:spacing w:line="360" w:lineRule="auto"/>
        <w:ind w:firstLine="480" w:firstLineChars="200"/>
        <w:jc w:val="left"/>
        <w:rPr>
          <w:color w:val="auto"/>
          <w:sz w:val="24"/>
          <w:highlight w:val="none"/>
        </w:rPr>
      </w:pPr>
      <w:r>
        <w:rPr>
          <w:rFonts w:hint="eastAsia"/>
          <w:color w:val="auto"/>
          <w:sz w:val="24"/>
          <w:highlight w:val="none"/>
        </w:rPr>
        <w:t>6.7 评标的依据是采购文件的规定和要求，以及投标文件和评委会审核的投标文件的补充资料，而不是其他任何资料。</w:t>
      </w:r>
    </w:p>
    <w:p w14:paraId="204487ED">
      <w:pPr>
        <w:pStyle w:val="10"/>
        <w:spacing w:line="360" w:lineRule="auto"/>
        <w:ind w:firstLine="480" w:firstLineChars="200"/>
        <w:jc w:val="left"/>
        <w:rPr>
          <w:color w:val="auto"/>
          <w:sz w:val="24"/>
          <w:highlight w:val="none"/>
        </w:rPr>
      </w:pPr>
      <w:r>
        <w:rPr>
          <w:rFonts w:hint="eastAsia"/>
          <w:color w:val="auto"/>
          <w:sz w:val="24"/>
          <w:highlight w:val="none"/>
        </w:rPr>
        <w:t>6.8 评委会有权要求投标供应商对投标文件中不明确的地方作出解释和澄清，并用书面方式予以确认。澄清后满足要求的，按有效标接收。但不允许对技术、商务、价格等实质性内容进行修改。</w:t>
      </w:r>
    </w:p>
    <w:p w14:paraId="2D45CD10">
      <w:pPr>
        <w:pStyle w:val="10"/>
        <w:spacing w:line="360" w:lineRule="auto"/>
        <w:ind w:firstLine="480" w:firstLineChars="200"/>
        <w:jc w:val="left"/>
        <w:rPr>
          <w:color w:val="auto"/>
          <w:sz w:val="24"/>
          <w:highlight w:val="none"/>
        </w:rPr>
      </w:pPr>
      <w:r>
        <w:rPr>
          <w:rFonts w:hint="eastAsia"/>
          <w:color w:val="auto"/>
          <w:sz w:val="24"/>
          <w:highlight w:val="none"/>
        </w:rPr>
        <w:t>6.9 评标委员会按照《中华人民共和国政府采购法》及相关规定，依据采购文件的规定和要求，就投标文件提供的资格、资质、资信证明文件，以及有关资料，对投标供应商的资格进行确认后，并按照采购文件中规定的评标办法进行评议。</w:t>
      </w:r>
    </w:p>
    <w:p w14:paraId="1FE2CF87">
      <w:pPr>
        <w:pStyle w:val="10"/>
        <w:spacing w:line="360" w:lineRule="auto"/>
        <w:ind w:firstLine="480" w:firstLineChars="200"/>
        <w:jc w:val="left"/>
        <w:rPr>
          <w:color w:val="auto"/>
          <w:sz w:val="24"/>
          <w:highlight w:val="none"/>
        </w:rPr>
      </w:pPr>
      <w:r>
        <w:rPr>
          <w:rFonts w:hint="eastAsia"/>
          <w:color w:val="auto"/>
          <w:sz w:val="24"/>
          <w:highlight w:val="none"/>
        </w:rPr>
        <w:t>6.10 评委对评标结果共同负责，并在《评标报告》上签名确认。</w:t>
      </w:r>
    </w:p>
    <w:p w14:paraId="56F48D4B">
      <w:pPr>
        <w:pStyle w:val="10"/>
        <w:spacing w:line="360" w:lineRule="auto"/>
        <w:jc w:val="left"/>
        <w:rPr>
          <w:color w:val="auto"/>
          <w:sz w:val="24"/>
          <w:highlight w:val="none"/>
        </w:rPr>
      </w:pPr>
    </w:p>
    <w:p w14:paraId="3F476977">
      <w:pPr>
        <w:pStyle w:val="10"/>
        <w:spacing w:line="360" w:lineRule="auto"/>
        <w:ind w:firstLine="560" w:firstLineChars="200"/>
        <w:jc w:val="center"/>
        <w:rPr>
          <w:b/>
          <w:color w:val="auto"/>
          <w:sz w:val="28"/>
          <w:highlight w:val="none"/>
        </w:rPr>
      </w:pPr>
      <w:r>
        <w:rPr>
          <w:rFonts w:hint="eastAsia"/>
          <w:b/>
          <w:color w:val="auto"/>
          <w:sz w:val="28"/>
          <w:highlight w:val="none"/>
        </w:rPr>
        <w:t>七、合同的授予</w:t>
      </w:r>
    </w:p>
    <w:p w14:paraId="52E9BAD8">
      <w:pPr>
        <w:pStyle w:val="10"/>
        <w:spacing w:line="360" w:lineRule="auto"/>
        <w:ind w:firstLine="480" w:firstLineChars="200"/>
        <w:jc w:val="left"/>
        <w:rPr>
          <w:color w:val="auto"/>
          <w:sz w:val="24"/>
          <w:highlight w:val="none"/>
        </w:rPr>
      </w:pPr>
      <w:r>
        <w:rPr>
          <w:rFonts w:hint="eastAsia"/>
          <w:color w:val="auto"/>
          <w:sz w:val="24"/>
          <w:highlight w:val="none"/>
        </w:rPr>
        <w:t>7.1 中标结果公示</w:t>
      </w:r>
    </w:p>
    <w:p w14:paraId="7E65FE37">
      <w:pPr>
        <w:pStyle w:val="10"/>
        <w:spacing w:line="360" w:lineRule="auto"/>
        <w:ind w:firstLine="480" w:firstLineChars="200"/>
        <w:jc w:val="left"/>
        <w:rPr>
          <w:color w:val="auto"/>
          <w:sz w:val="24"/>
          <w:highlight w:val="none"/>
        </w:rPr>
      </w:pPr>
      <w:r>
        <w:rPr>
          <w:rFonts w:hint="eastAsia"/>
          <w:color w:val="auto"/>
          <w:sz w:val="24"/>
          <w:highlight w:val="none"/>
        </w:rPr>
        <w:t>7.1.1 采购代理机构在采购公告发布的媒体上发布中标公告。</w:t>
      </w:r>
    </w:p>
    <w:p w14:paraId="5B5255A4">
      <w:pPr>
        <w:pStyle w:val="10"/>
        <w:spacing w:line="360" w:lineRule="auto"/>
        <w:ind w:firstLine="480" w:firstLineChars="200"/>
        <w:jc w:val="left"/>
        <w:rPr>
          <w:color w:val="auto"/>
          <w:sz w:val="24"/>
          <w:highlight w:val="none"/>
        </w:rPr>
      </w:pPr>
      <w:r>
        <w:rPr>
          <w:rFonts w:hint="eastAsia"/>
          <w:color w:val="auto"/>
          <w:sz w:val="24"/>
          <w:highlight w:val="none"/>
        </w:rPr>
        <w:t>7.1.2 对本项目中标结果存在质疑的投标供应商，可以采用书面原件形式列举具体理由，同时提交有效证据向采购代理机构提出质疑。</w:t>
      </w:r>
    </w:p>
    <w:p w14:paraId="60DAB677">
      <w:pPr>
        <w:pStyle w:val="10"/>
        <w:spacing w:line="360" w:lineRule="auto"/>
        <w:ind w:firstLine="480" w:firstLineChars="200"/>
        <w:jc w:val="left"/>
        <w:rPr>
          <w:color w:val="auto"/>
          <w:sz w:val="24"/>
          <w:highlight w:val="none"/>
        </w:rPr>
      </w:pPr>
      <w:r>
        <w:rPr>
          <w:rFonts w:hint="eastAsia"/>
          <w:color w:val="auto"/>
          <w:sz w:val="24"/>
          <w:highlight w:val="none"/>
        </w:rPr>
        <w:t>7.1.3 投标供应商行使质疑权时，须坚持“谁质疑谁举证”，遵守“实事求是”和“谨慎性”原则，承担使用虚假材料或恶意方式质疑的法律责任，采购人将遵循“谁过错谁负担”的原则，在过错方缴纳相关调查论证费用后，再予以退还投标保证金。</w:t>
      </w:r>
    </w:p>
    <w:p w14:paraId="126B553D">
      <w:pPr>
        <w:pStyle w:val="10"/>
        <w:spacing w:line="360" w:lineRule="auto"/>
        <w:ind w:firstLine="480" w:firstLineChars="200"/>
        <w:jc w:val="left"/>
        <w:rPr>
          <w:color w:val="auto"/>
          <w:sz w:val="24"/>
          <w:highlight w:val="none"/>
        </w:rPr>
      </w:pPr>
      <w:r>
        <w:rPr>
          <w:rFonts w:hint="eastAsia"/>
          <w:color w:val="auto"/>
          <w:sz w:val="24"/>
          <w:highlight w:val="none"/>
        </w:rPr>
        <w:t>7.1.4 无论是质疑或被质疑，投标供应商均须主动配合采购代理机构或采购人寻找相关证据，并承诺同意延长投标保证金及投标样品（若有）的退还时间。对于采购代理机构要求补充的证据材料，投标供应商不能无故推脱或者不予配合，否则，采购代理机构有权不退还其投标保证金。</w:t>
      </w:r>
    </w:p>
    <w:p w14:paraId="77500969">
      <w:pPr>
        <w:pStyle w:val="10"/>
        <w:spacing w:line="360" w:lineRule="auto"/>
        <w:ind w:firstLine="480" w:firstLineChars="200"/>
        <w:jc w:val="left"/>
        <w:rPr>
          <w:color w:val="auto"/>
          <w:sz w:val="24"/>
          <w:highlight w:val="none"/>
        </w:rPr>
      </w:pPr>
      <w:r>
        <w:rPr>
          <w:rFonts w:hint="eastAsia"/>
          <w:color w:val="auto"/>
          <w:sz w:val="24"/>
          <w:highlight w:val="none"/>
        </w:rPr>
        <w:t>7.2 追加招标货物数量的权力</w:t>
      </w:r>
    </w:p>
    <w:p w14:paraId="44909563">
      <w:pPr>
        <w:pStyle w:val="10"/>
        <w:spacing w:line="360" w:lineRule="auto"/>
        <w:ind w:firstLine="480" w:firstLineChars="200"/>
        <w:jc w:val="left"/>
        <w:rPr>
          <w:color w:val="auto"/>
          <w:sz w:val="24"/>
          <w:highlight w:val="none"/>
        </w:rPr>
      </w:pPr>
      <w:r>
        <w:rPr>
          <w:rFonts w:hint="eastAsia"/>
          <w:color w:val="auto"/>
          <w:sz w:val="24"/>
          <w:highlight w:val="none"/>
        </w:rPr>
        <w:t>7.2.1 政府采购合同履行中，采购人需追加与合同标的相同的货物、工程或者服务的，在不改变合同其他条款的前提下，可以与投标供应商协商签订补充合同，但所有补充合同的采购金额不得超过原合同采购金额的百分之十。</w:t>
      </w:r>
    </w:p>
    <w:p w14:paraId="1C54DA91">
      <w:pPr>
        <w:pStyle w:val="10"/>
        <w:spacing w:line="360" w:lineRule="auto"/>
        <w:ind w:firstLine="480" w:firstLineChars="200"/>
        <w:jc w:val="left"/>
        <w:rPr>
          <w:color w:val="auto"/>
          <w:sz w:val="24"/>
          <w:highlight w:val="none"/>
        </w:rPr>
      </w:pPr>
      <w:r>
        <w:rPr>
          <w:rFonts w:hint="eastAsia"/>
          <w:color w:val="auto"/>
          <w:sz w:val="24"/>
          <w:highlight w:val="none"/>
        </w:rPr>
        <w:t>7.3 中标通知书</w:t>
      </w:r>
    </w:p>
    <w:p w14:paraId="69BFAB71">
      <w:pPr>
        <w:pStyle w:val="10"/>
        <w:spacing w:line="360" w:lineRule="auto"/>
        <w:ind w:firstLine="480" w:firstLineChars="200"/>
        <w:jc w:val="left"/>
        <w:rPr>
          <w:color w:val="auto"/>
          <w:sz w:val="24"/>
          <w:highlight w:val="none"/>
        </w:rPr>
      </w:pPr>
      <w:r>
        <w:rPr>
          <w:rFonts w:hint="eastAsia"/>
          <w:color w:val="auto"/>
          <w:sz w:val="24"/>
          <w:highlight w:val="none"/>
        </w:rPr>
        <w:t>7.3.1 中标人确定后，采购代理机构将向中标人发出中标通知书。</w:t>
      </w:r>
    </w:p>
    <w:p w14:paraId="5044442F">
      <w:pPr>
        <w:pStyle w:val="10"/>
        <w:spacing w:line="360" w:lineRule="auto"/>
        <w:ind w:firstLine="480" w:firstLineChars="200"/>
        <w:jc w:val="left"/>
        <w:rPr>
          <w:color w:val="auto"/>
          <w:sz w:val="24"/>
          <w:highlight w:val="none"/>
        </w:rPr>
      </w:pPr>
      <w:r>
        <w:rPr>
          <w:rFonts w:hint="eastAsia"/>
          <w:color w:val="auto"/>
          <w:sz w:val="24"/>
          <w:highlight w:val="none"/>
        </w:rPr>
        <w:t>7.3.2 中标人须在中标后五个工作日内到采购代理机构领取中标通知书原件，逾期将视为自动放弃中标资格。因中标人不领取中标通知书对采购人项目造成影响的，将不退还其投标保证金。</w:t>
      </w:r>
    </w:p>
    <w:p w14:paraId="4D49121A">
      <w:pPr>
        <w:pStyle w:val="10"/>
        <w:spacing w:line="360" w:lineRule="auto"/>
        <w:ind w:firstLine="480" w:firstLineChars="200"/>
        <w:jc w:val="left"/>
        <w:rPr>
          <w:color w:val="auto"/>
          <w:sz w:val="24"/>
          <w:highlight w:val="none"/>
        </w:rPr>
      </w:pPr>
      <w:r>
        <w:rPr>
          <w:rFonts w:hint="eastAsia"/>
          <w:color w:val="auto"/>
          <w:sz w:val="24"/>
          <w:highlight w:val="none"/>
        </w:rPr>
        <w:t>7.3.3 中标通知书是采购合同的一个组成部分。</w:t>
      </w:r>
    </w:p>
    <w:p w14:paraId="0C602E0D">
      <w:pPr>
        <w:pStyle w:val="10"/>
        <w:spacing w:line="360" w:lineRule="auto"/>
        <w:ind w:firstLine="480" w:firstLineChars="200"/>
        <w:jc w:val="left"/>
        <w:rPr>
          <w:color w:val="auto"/>
          <w:sz w:val="24"/>
          <w:highlight w:val="none"/>
        </w:rPr>
      </w:pPr>
      <w:r>
        <w:rPr>
          <w:rFonts w:hint="eastAsia"/>
          <w:color w:val="auto"/>
          <w:sz w:val="24"/>
          <w:highlight w:val="none"/>
        </w:rPr>
        <w:t>7.3.4 在中标人缴纳了招标代理服务费后，采购代理机构将按照本须知第 3.7 条的规定退还所有投标保证金。</w:t>
      </w:r>
    </w:p>
    <w:p w14:paraId="33D2116F">
      <w:pPr>
        <w:pStyle w:val="10"/>
        <w:spacing w:line="360" w:lineRule="auto"/>
        <w:ind w:firstLine="480" w:firstLineChars="200"/>
        <w:jc w:val="left"/>
        <w:rPr>
          <w:color w:val="auto"/>
          <w:sz w:val="24"/>
          <w:highlight w:val="none"/>
        </w:rPr>
      </w:pPr>
      <w:r>
        <w:rPr>
          <w:rFonts w:hint="eastAsia"/>
          <w:color w:val="auto"/>
          <w:sz w:val="24"/>
          <w:highlight w:val="none"/>
        </w:rPr>
        <w:t>7.3.5 在合同未履行前，出现影响中标结果的情况，对于中标人经济损失，采购代理机构和采购单位无需承担赔偿责任。</w:t>
      </w:r>
    </w:p>
    <w:p w14:paraId="7C7A8129">
      <w:pPr>
        <w:pStyle w:val="10"/>
        <w:spacing w:line="360" w:lineRule="auto"/>
        <w:ind w:firstLine="480" w:firstLineChars="200"/>
        <w:jc w:val="left"/>
        <w:rPr>
          <w:color w:val="auto"/>
          <w:sz w:val="24"/>
          <w:highlight w:val="none"/>
        </w:rPr>
      </w:pPr>
      <w:r>
        <w:rPr>
          <w:rFonts w:hint="eastAsia"/>
          <w:color w:val="auto"/>
          <w:sz w:val="24"/>
          <w:highlight w:val="none"/>
        </w:rPr>
        <w:t>7.3.6 采购代理机构无义务向未中标投标供应商解释落标原因和退回投标文件。</w:t>
      </w:r>
    </w:p>
    <w:p w14:paraId="57C4B78F">
      <w:pPr>
        <w:pStyle w:val="10"/>
        <w:spacing w:line="360" w:lineRule="auto"/>
        <w:ind w:firstLine="480" w:firstLineChars="200"/>
        <w:jc w:val="left"/>
        <w:rPr>
          <w:color w:val="auto"/>
          <w:sz w:val="24"/>
          <w:highlight w:val="none"/>
        </w:rPr>
      </w:pPr>
      <w:r>
        <w:rPr>
          <w:rFonts w:hint="eastAsia"/>
          <w:color w:val="auto"/>
          <w:sz w:val="24"/>
          <w:highlight w:val="none"/>
        </w:rPr>
        <w:t>7.4 签订合同</w:t>
      </w:r>
    </w:p>
    <w:p w14:paraId="76495609">
      <w:pPr>
        <w:pStyle w:val="10"/>
        <w:spacing w:line="360" w:lineRule="auto"/>
        <w:ind w:firstLine="480" w:firstLineChars="200"/>
        <w:jc w:val="left"/>
        <w:rPr>
          <w:color w:val="auto"/>
          <w:sz w:val="24"/>
          <w:highlight w:val="none"/>
        </w:rPr>
      </w:pPr>
      <w:r>
        <w:rPr>
          <w:rFonts w:hint="eastAsia"/>
          <w:color w:val="auto"/>
          <w:sz w:val="24"/>
          <w:highlight w:val="none"/>
        </w:rPr>
        <w:t>7.4.1 中标人在收到中标通知书 5 天内，应按照合同条款的规定，并以《中标通知书》指定的时间、地点与采购单位签订合同。</w:t>
      </w:r>
    </w:p>
    <w:p w14:paraId="698EE0EB">
      <w:pPr>
        <w:pStyle w:val="10"/>
        <w:spacing w:line="360" w:lineRule="auto"/>
        <w:ind w:firstLine="480" w:firstLineChars="200"/>
        <w:jc w:val="left"/>
        <w:rPr>
          <w:color w:val="auto"/>
          <w:sz w:val="24"/>
          <w:highlight w:val="none"/>
        </w:rPr>
      </w:pPr>
      <w:r>
        <w:rPr>
          <w:rFonts w:hint="eastAsia"/>
          <w:color w:val="auto"/>
          <w:sz w:val="24"/>
          <w:highlight w:val="none"/>
        </w:rPr>
        <w:t>7.4.2 “采购文件”、采购文件的澄清、中标人的“投标文件”、中标人的澄清文件及“中标通知书”等，均为签订经济合同的依据。</w:t>
      </w:r>
    </w:p>
    <w:p w14:paraId="70526918">
      <w:pPr>
        <w:pStyle w:val="10"/>
        <w:spacing w:line="360" w:lineRule="auto"/>
        <w:ind w:firstLine="480" w:firstLineChars="200"/>
        <w:jc w:val="left"/>
        <w:rPr>
          <w:color w:val="auto"/>
          <w:sz w:val="24"/>
          <w:highlight w:val="none"/>
        </w:rPr>
      </w:pPr>
      <w:r>
        <w:rPr>
          <w:rFonts w:hint="eastAsia"/>
          <w:color w:val="auto"/>
          <w:sz w:val="24"/>
          <w:highlight w:val="none"/>
        </w:rPr>
        <w:t>7.4.3 中标人在中标通知书发出之日起三十日历日内未能按采购文件要求与采购单位签订政府采购合同，逾期将视为自动放弃中标资格，招标人将顺延下一中标候选人为中标人，依次类推。</w:t>
      </w:r>
    </w:p>
    <w:p w14:paraId="0CA23201">
      <w:pPr>
        <w:pStyle w:val="10"/>
        <w:spacing w:line="360" w:lineRule="auto"/>
        <w:ind w:firstLine="480" w:firstLineChars="200"/>
        <w:jc w:val="left"/>
        <w:rPr>
          <w:color w:val="auto"/>
          <w:sz w:val="24"/>
          <w:highlight w:val="none"/>
        </w:rPr>
      </w:pPr>
    </w:p>
    <w:p w14:paraId="0C2E6037">
      <w:pPr>
        <w:pStyle w:val="10"/>
        <w:spacing w:line="360" w:lineRule="auto"/>
        <w:ind w:firstLine="480" w:firstLineChars="200"/>
        <w:jc w:val="left"/>
        <w:rPr>
          <w:color w:val="auto"/>
          <w:sz w:val="24"/>
          <w:highlight w:val="none"/>
        </w:rPr>
      </w:pPr>
    </w:p>
    <w:p w14:paraId="3A359075">
      <w:pPr>
        <w:pStyle w:val="10"/>
        <w:spacing w:line="360" w:lineRule="auto"/>
        <w:ind w:firstLine="480" w:firstLineChars="200"/>
        <w:jc w:val="left"/>
        <w:rPr>
          <w:color w:val="auto"/>
          <w:sz w:val="24"/>
          <w:highlight w:val="none"/>
        </w:rPr>
      </w:pPr>
    </w:p>
    <w:p w14:paraId="09263130">
      <w:pPr>
        <w:pStyle w:val="10"/>
        <w:spacing w:line="360" w:lineRule="auto"/>
        <w:jc w:val="left"/>
        <w:rPr>
          <w:color w:val="auto"/>
          <w:sz w:val="24"/>
          <w:highlight w:val="none"/>
        </w:rPr>
      </w:pPr>
    </w:p>
    <w:p w14:paraId="191272A3">
      <w:pPr>
        <w:pStyle w:val="10"/>
        <w:spacing w:line="360" w:lineRule="auto"/>
        <w:jc w:val="left"/>
        <w:rPr>
          <w:color w:val="auto"/>
          <w:sz w:val="24"/>
          <w:highlight w:val="none"/>
        </w:rPr>
      </w:pPr>
    </w:p>
    <w:p w14:paraId="0F080C03">
      <w:pPr>
        <w:pStyle w:val="10"/>
        <w:spacing w:line="360" w:lineRule="auto"/>
        <w:jc w:val="left"/>
        <w:rPr>
          <w:color w:val="auto"/>
          <w:sz w:val="24"/>
          <w:highlight w:val="none"/>
        </w:rPr>
      </w:pPr>
    </w:p>
    <w:p w14:paraId="1DD6E753">
      <w:pPr>
        <w:pStyle w:val="10"/>
        <w:spacing w:line="360" w:lineRule="auto"/>
        <w:jc w:val="left"/>
        <w:rPr>
          <w:color w:val="auto"/>
          <w:sz w:val="24"/>
          <w:highlight w:val="none"/>
        </w:rPr>
      </w:pPr>
    </w:p>
    <w:p w14:paraId="2CA5A485">
      <w:pPr>
        <w:pStyle w:val="10"/>
        <w:spacing w:line="360" w:lineRule="auto"/>
        <w:jc w:val="left"/>
        <w:rPr>
          <w:color w:val="auto"/>
          <w:sz w:val="24"/>
          <w:highlight w:val="none"/>
        </w:rPr>
      </w:pPr>
    </w:p>
    <w:p w14:paraId="3C811C7A">
      <w:pPr>
        <w:pStyle w:val="10"/>
        <w:spacing w:line="360" w:lineRule="auto"/>
        <w:jc w:val="left"/>
        <w:rPr>
          <w:color w:val="auto"/>
          <w:sz w:val="24"/>
          <w:highlight w:val="none"/>
        </w:rPr>
      </w:pPr>
    </w:p>
    <w:p w14:paraId="54372B2A">
      <w:pPr>
        <w:pStyle w:val="10"/>
        <w:spacing w:line="360" w:lineRule="auto"/>
        <w:jc w:val="left"/>
        <w:rPr>
          <w:color w:val="auto"/>
          <w:sz w:val="24"/>
          <w:highlight w:val="none"/>
        </w:rPr>
      </w:pPr>
    </w:p>
    <w:p w14:paraId="10B1F57F">
      <w:pPr>
        <w:pStyle w:val="10"/>
        <w:spacing w:line="360" w:lineRule="auto"/>
        <w:jc w:val="left"/>
        <w:rPr>
          <w:color w:val="auto"/>
          <w:sz w:val="24"/>
          <w:highlight w:val="none"/>
        </w:rPr>
      </w:pPr>
    </w:p>
    <w:p w14:paraId="574A682C">
      <w:pPr>
        <w:pStyle w:val="10"/>
        <w:spacing w:line="360" w:lineRule="auto"/>
        <w:jc w:val="left"/>
        <w:rPr>
          <w:color w:val="auto"/>
          <w:sz w:val="24"/>
          <w:highlight w:val="none"/>
        </w:rPr>
      </w:pPr>
    </w:p>
    <w:p w14:paraId="0D388DD1">
      <w:pPr>
        <w:pStyle w:val="10"/>
        <w:spacing w:line="360" w:lineRule="auto"/>
        <w:jc w:val="left"/>
        <w:rPr>
          <w:color w:val="auto"/>
          <w:sz w:val="24"/>
          <w:highlight w:val="none"/>
        </w:rPr>
      </w:pPr>
    </w:p>
    <w:p w14:paraId="2BE854DD">
      <w:pPr>
        <w:pStyle w:val="10"/>
        <w:spacing w:line="360" w:lineRule="auto"/>
        <w:jc w:val="left"/>
        <w:rPr>
          <w:color w:val="auto"/>
          <w:sz w:val="24"/>
          <w:highlight w:val="none"/>
        </w:rPr>
      </w:pPr>
    </w:p>
    <w:p w14:paraId="72DB6FDD">
      <w:pPr>
        <w:pStyle w:val="10"/>
        <w:spacing w:line="360" w:lineRule="auto"/>
        <w:jc w:val="left"/>
        <w:rPr>
          <w:color w:val="auto"/>
          <w:sz w:val="24"/>
          <w:highlight w:val="none"/>
        </w:rPr>
      </w:pPr>
    </w:p>
    <w:p w14:paraId="2E33613E">
      <w:pPr>
        <w:pStyle w:val="10"/>
        <w:spacing w:line="360" w:lineRule="auto"/>
        <w:ind w:firstLine="640" w:firstLineChars="200"/>
        <w:jc w:val="center"/>
        <w:rPr>
          <w:b/>
          <w:color w:val="auto"/>
          <w:sz w:val="32"/>
          <w:highlight w:val="none"/>
        </w:rPr>
      </w:pPr>
      <w:r>
        <w:rPr>
          <w:rFonts w:hint="eastAsia"/>
          <w:b/>
          <w:color w:val="auto"/>
          <w:sz w:val="32"/>
          <w:highlight w:val="none"/>
        </w:rPr>
        <w:t>二、供应商保证金缴纳须知</w:t>
      </w:r>
    </w:p>
    <w:p w14:paraId="37C0FC97">
      <w:pPr>
        <w:spacing w:line="400" w:lineRule="exact"/>
        <w:ind w:firstLine="480" w:firstLineChars="200"/>
        <w:rPr>
          <w:color w:val="auto"/>
          <w:sz w:val="24"/>
          <w:highlight w:val="none"/>
        </w:rPr>
      </w:pPr>
      <w:r>
        <w:rPr>
          <w:rFonts w:hint="eastAsia"/>
          <w:color w:val="auto"/>
          <w:sz w:val="24"/>
          <w:highlight w:val="none"/>
        </w:rPr>
        <w:t>投标保证金应以招标文件规定的交纳形式进行交纳，供应商可通过贵州省公共资源交易综合金融服务平台PC端或移动端（贵州交易通APP）在线办理电子保函（注：其内容应载有采购人名称、供应商名称、 项目名称、标段名称、保证金金额、有效期，且其有效期应不小于投标有效期），直接在交易系统中确认；未通过贵州省公共资源交易综合金融服务平台交纳投标保证金的，应在交易系统中选择“纸质保函” 交纳方式，并上传保函扫描件，上传内容确保清晰可见。采购人（代理机构）在开标时对其进行真伪验证，通过上传保函中提供的在线官 网地址进行查验，检查未通过或不能查验的视为未按规定交纳投标保证金。</w:t>
      </w:r>
    </w:p>
    <w:p w14:paraId="0F7DC3BA">
      <w:pPr>
        <w:spacing w:line="400" w:lineRule="exact"/>
        <w:ind w:firstLine="480" w:firstLineChars="200"/>
        <w:rPr>
          <w:color w:val="auto"/>
          <w:szCs w:val="21"/>
          <w:highlight w:val="none"/>
          <w:lang w:val="zh-CN"/>
        </w:rPr>
      </w:pPr>
      <w:r>
        <w:rPr>
          <w:rFonts w:hint="eastAsia"/>
          <w:color w:val="auto"/>
          <w:sz w:val="24"/>
          <w:highlight w:val="none"/>
        </w:rPr>
        <w:t>履约保证金：供应商可通过“贵州省公共资源交易综合金融服务平台“在线办理电子履约保函（银行保函、保证保险、担保保函），安全可靠、快速出函。登录交易大厅（https://ggzy.guizhou.gov.cn/hallweb/#/login）进入“金融服务-电子保函及贷款”即可办理，咨询电话：0851-85971629、0851-85971703。</w:t>
      </w:r>
    </w:p>
    <w:p w14:paraId="3389E3A7">
      <w:pPr>
        <w:spacing w:line="400" w:lineRule="exact"/>
        <w:ind w:firstLine="420" w:firstLineChars="200"/>
        <w:rPr>
          <w:color w:val="auto"/>
          <w:szCs w:val="21"/>
          <w:highlight w:val="none"/>
          <w:lang w:val="zh-CN"/>
        </w:rPr>
      </w:pPr>
    </w:p>
    <w:p w14:paraId="3D4B04A1">
      <w:pPr>
        <w:pStyle w:val="10"/>
        <w:spacing w:line="360" w:lineRule="auto"/>
        <w:ind w:firstLine="480" w:firstLineChars="200"/>
        <w:jc w:val="left"/>
        <w:rPr>
          <w:color w:val="auto"/>
          <w:sz w:val="24"/>
          <w:highlight w:val="none"/>
        </w:rPr>
      </w:pPr>
      <w:r>
        <w:rPr>
          <w:rFonts w:hint="eastAsia"/>
          <w:color w:val="auto"/>
          <w:sz w:val="24"/>
          <w:highlight w:val="none"/>
        </w:rPr>
        <w:cr/>
      </w:r>
    </w:p>
    <w:p w14:paraId="21D3EFA8">
      <w:pPr>
        <w:pStyle w:val="10"/>
        <w:spacing w:line="360" w:lineRule="auto"/>
        <w:ind w:firstLine="480" w:firstLineChars="200"/>
        <w:jc w:val="left"/>
        <w:rPr>
          <w:color w:val="auto"/>
          <w:sz w:val="24"/>
          <w:highlight w:val="none"/>
        </w:rPr>
      </w:pPr>
    </w:p>
    <w:p w14:paraId="0D625E5E">
      <w:pPr>
        <w:pStyle w:val="10"/>
        <w:spacing w:line="360" w:lineRule="auto"/>
        <w:ind w:firstLine="480" w:firstLineChars="200"/>
        <w:jc w:val="left"/>
        <w:rPr>
          <w:color w:val="auto"/>
          <w:sz w:val="24"/>
          <w:highlight w:val="none"/>
        </w:rPr>
      </w:pPr>
    </w:p>
    <w:p w14:paraId="177CA7E2">
      <w:pPr>
        <w:pStyle w:val="10"/>
        <w:spacing w:line="360" w:lineRule="auto"/>
        <w:ind w:firstLine="480" w:firstLineChars="200"/>
        <w:jc w:val="left"/>
        <w:rPr>
          <w:color w:val="auto"/>
          <w:sz w:val="24"/>
          <w:highlight w:val="none"/>
        </w:rPr>
      </w:pPr>
    </w:p>
    <w:p w14:paraId="38E2F7C7">
      <w:pPr>
        <w:pStyle w:val="10"/>
        <w:spacing w:line="360" w:lineRule="auto"/>
        <w:ind w:firstLine="480" w:firstLineChars="200"/>
        <w:jc w:val="left"/>
        <w:rPr>
          <w:color w:val="auto"/>
          <w:sz w:val="24"/>
          <w:highlight w:val="none"/>
        </w:rPr>
      </w:pPr>
    </w:p>
    <w:p w14:paraId="57F08905">
      <w:pPr>
        <w:pStyle w:val="10"/>
        <w:spacing w:line="360" w:lineRule="auto"/>
        <w:ind w:firstLine="480" w:firstLineChars="200"/>
        <w:jc w:val="left"/>
        <w:rPr>
          <w:color w:val="auto"/>
          <w:sz w:val="24"/>
          <w:highlight w:val="none"/>
        </w:rPr>
      </w:pPr>
    </w:p>
    <w:p w14:paraId="1DD2FC44">
      <w:pPr>
        <w:pStyle w:val="10"/>
        <w:spacing w:line="360" w:lineRule="auto"/>
        <w:ind w:firstLine="480" w:firstLineChars="200"/>
        <w:jc w:val="left"/>
        <w:rPr>
          <w:color w:val="auto"/>
          <w:sz w:val="24"/>
          <w:highlight w:val="none"/>
        </w:rPr>
      </w:pPr>
    </w:p>
    <w:p w14:paraId="248F0EBD">
      <w:pPr>
        <w:pStyle w:val="10"/>
        <w:spacing w:line="360" w:lineRule="auto"/>
        <w:ind w:firstLine="480" w:firstLineChars="200"/>
        <w:jc w:val="left"/>
        <w:rPr>
          <w:color w:val="auto"/>
          <w:sz w:val="24"/>
          <w:highlight w:val="none"/>
        </w:rPr>
      </w:pPr>
    </w:p>
    <w:p w14:paraId="4A8EAC07">
      <w:pPr>
        <w:pStyle w:val="10"/>
        <w:spacing w:line="360" w:lineRule="auto"/>
        <w:ind w:firstLine="480" w:firstLineChars="200"/>
        <w:jc w:val="left"/>
        <w:rPr>
          <w:color w:val="auto"/>
          <w:sz w:val="24"/>
          <w:highlight w:val="none"/>
        </w:rPr>
      </w:pPr>
    </w:p>
    <w:p w14:paraId="150720E1">
      <w:pPr>
        <w:pStyle w:val="10"/>
        <w:spacing w:line="360" w:lineRule="auto"/>
        <w:ind w:firstLine="480" w:firstLineChars="200"/>
        <w:jc w:val="left"/>
        <w:rPr>
          <w:color w:val="auto"/>
          <w:sz w:val="24"/>
          <w:highlight w:val="none"/>
        </w:rPr>
      </w:pPr>
    </w:p>
    <w:p w14:paraId="17687B6A">
      <w:pPr>
        <w:pStyle w:val="10"/>
        <w:spacing w:line="360" w:lineRule="auto"/>
        <w:ind w:firstLine="480" w:firstLineChars="200"/>
        <w:jc w:val="left"/>
        <w:rPr>
          <w:color w:val="auto"/>
          <w:sz w:val="24"/>
          <w:highlight w:val="none"/>
        </w:rPr>
      </w:pPr>
    </w:p>
    <w:p w14:paraId="272A7FE8">
      <w:pPr>
        <w:pStyle w:val="10"/>
        <w:spacing w:line="360" w:lineRule="auto"/>
        <w:rPr>
          <w:b/>
          <w:color w:val="auto"/>
          <w:sz w:val="32"/>
          <w:highlight w:val="none"/>
        </w:rPr>
      </w:pPr>
    </w:p>
    <w:p w14:paraId="422499C3">
      <w:pPr>
        <w:pStyle w:val="10"/>
        <w:spacing w:line="360" w:lineRule="auto"/>
        <w:jc w:val="center"/>
        <w:rPr>
          <w:b/>
          <w:bCs/>
          <w:color w:val="auto"/>
          <w:sz w:val="48"/>
          <w:szCs w:val="40"/>
          <w:highlight w:val="none"/>
        </w:rPr>
      </w:pPr>
      <w:r>
        <w:rPr>
          <w:rFonts w:ascii="宋体" w:hAnsi="宋体" w:cs="宋体"/>
          <w:b/>
          <w:bCs/>
          <w:color w:val="auto"/>
          <w:sz w:val="40"/>
          <w:szCs w:val="40"/>
          <w:highlight w:val="none"/>
        </w:rPr>
        <w:t>报价与最高限价表</w:t>
      </w:r>
    </w:p>
    <w:p w14:paraId="7EAE992F">
      <w:pPr>
        <w:pStyle w:val="1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标包名称：</w:t>
      </w:r>
      <w:r>
        <w:rPr>
          <w:rFonts w:hint="eastAsia" w:ascii="宋体" w:hAnsi="宋体" w:cs="宋体"/>
          <w:color w:val="auto"/>
          <w:sz w:val="24"/>
          <w:highlight w:val="none"/>
        </w:rPr>
        <w:t xml:space="preserve">后勤服务外包物业管理服务项目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638"/>
        <w:gridCol w:w="1500"/>
        <w:gridCol w:w="1637"/>
        <w:gridCol w:w="1588"/>
        <w:gridCol w:w="2098"/>
      </w:tblGrid>
      <w:tr w14:paraId="3920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14:paraId="735BAD71">
            <w:pPr>
              <w:pStyle w:val="10"/>
              <w:spacing w:line="360" w:lineRule="auto"/>
              <w:rPr>
                <w:rFonts w:ascii="宋体" w:hAnsi="宋体" w:cs="宋体"/>
                <w:color w:val="auto"/>
                <w:sz w:val="24"/>
                <w:highlight w:val="none"/>
              </w:rPr>
            </w:pPr>
            <w:r>
              <w:rPr>
                <w:rFonts w:ascii="宋体" w:hAnsi="宋体" w:cs="宋体"/>
                <w:color w:val="auto"/>
                <w:sz w:val="24"/>
                <w:highlight w:val="none"/>
              </w:rPr>
              <w:t>序 号</w:t>
            </w:r>
          </w:p>
        </w:tc>
        <w:tc>
          <w:tcPr>
            <w:tcW w:w="1638" w:type="dxa"/>
          </w:tcPr>
          <w:p w14:paraId="30C2B72F">
            <w:pPr>
              <w:pStyle w:val="10"/>
              <w:spacing w:line="360" w:lineRule="auto"/>
              <w:rPr>
                <w:rFonts w:ascii="宋体" w:hAnsi="宋体" w:cs="宋体"/>
                <w:color w:val="auto"/>
                <w:sz w:val="24"/>
                <w:highlight w:val="none"/>
              </w:rPr>
            </w:pPr>
            <w:r>
              <w:rPr>
                <w:rFonts w:ascii="宋体" w:hAnsi="宋体" w:cs="宋体"/>
                <w:color w:val="auto"/>
                <w:sz w:val="24"/>
                <w:highlight w:val="none"/>
              </w:rPr>
              <w:t>报价名称</w:t>
            </w:r>
          </w:p>
        </w:tc>
        <w:tc>
          <w:tcPr>
            <w:tcW w:w="1500" w:type="dxa"/>
          </w:tcPr>
          <w:p w14:paraId="3602525B">
            <w:pPr>
              <w:pStyle w:val="10"/>
              <w:spacing w:line="360" w:lineRule="auto"/>
              <w:rPr>
                <w:rFonts w:ascii="宋体" w:hAnsi="宋体" w:cs="宋体"/>
                <w:color w:val="auto"/>
                <w:sz w:val="24"/>
                <w:highlight w:val="none"/>
              </w:rPr>
            </w:pPr>
            <w:r>
              <w:rPr>
                <w:rFonts w:ascii="宋体" w:hAnsi="宋体" w:cs="宋体"/>
                <w:color w:val="auto"/>
                <w:sz w:val="24"/>
                <w:highlight w:val="none"/>
              </w:rPr>
              <w:t>报价形式</w:t>
            </w:r>
          </w:p>
        </w:tc>
        <w:tc>
          <w:tcPr>
            <w:tcW w:w="1637" w:type="dxa"/>
          </w:tcPr>
          <w:p w14:paraId="42A5AB28">
            <w:pPr>
              <w:pStyle w:val="10"/>
              <w:spacing w:line="360" w:lineRule="auto"/>
              <w:rPr>
                <w:rFonts w:ascii="宋体" w:hAnsi="宋体" w:cs="宋体"/>
                <w:color w:val="auto"/>
                <w:sz w:val="24"/>
                <w:highlight w:val="none"/>
              </w:rPr>
            </w:pPr>
            <w:r>
              <w:rPr>
                <w:rFonts w:ascii="宋体" w:hAnsi="宋体" w:cs="宋体"/>
                <w:color w:val="auto"/>
                <w:sz w:val="24"/>
                <w:highlight w:val="none"/>
              </w:rPr>
              <w:t>最高限价</w:t>
            </w:r>
          </w:p>
        </w:tc>
        <w:tc>
          <w:tcPr>
            <w:tcW w:w="1588" w:type="dxa"/>
          </w:tcPr>
          <w:p w14:paraId="42BE53BC">
            <w:pPr>
              <w:pStyle w:val="10"/>
              <w:spacing w:line="360" w:lineRule="auto"/>
              <w:rPr>
                <w:rFonts w:ascii="宋体" w:hAnsi="宋体" w:cs="宋体"/>
                <w:color w:val="auto"/>
                <w:sz w:val="24"/>
                <w:highlight w:val="none"/>
              </w:rPr>
            </w:pPr>
            <w:r>
              <w:rPr>
                <w:rFonts w:ascii="宋体" w:hAnsi="宋体" w:cs="宋体"/>
                <w:color w:val="auto"/>
                <w:sz w:val="24"/>
                <w:highlight w:val="none"/>
              </w:rPr>
              <w:t>报价单位</w:t>
            </w:r>
          </w:p>
        </w:tc>
        <w:tc>
          <w:tcPr>
            <w:tcW w:w="2098" w:type="dxa"/>
          </w:tcPr>
          <w:p w14:paraId="3CCCF439">
            <w:pPr>
              <w:pStyle w:val="10"/>
              <w:spacing w:line="360" w:lineRule="auto"/>
              <w:rPr>
                <w:rFonts w:ascii="宋体" w:hAnsi="宋体" w:cs="宋体"/>
                <w:color w:val="auto"/>
                <w:sz w:val="24"/>
                <w:highlight w:val="none"/>
              </w:rPr>
            </w:pPr>
            <w:r>
              <w:rPr>
                <w:rFonts w:ascii="宋体" w:hAnsi="宋体" w:cs="宋体"/>
                <w:color w:val="auto"/>
                <w:sz w:val="24"/>
                <w:highlight w:val="none"/>
              </w:rPr>
              <w:t>报价形式说明</w:t>
            </w:r>
          </w:p>
        </w:tc>
      </w:tr>
      <w:tr w14:paraId="50C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14:paraId="5041F944">
            <w:pPr>
              <w:pStyle w:val="1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1638" w:type="dxa"/>
          </w:tcPr>
          <w:p w14:paraId="5684B42F">
            <w:pPr>
              <w:pStyle w:val="1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投标报价</w:t>
            </w:r>
          </w:p>
        </w:tc>
        <w:tc>
          <w:tcPr>
            <w:tcW w:w="1500" w:type="dxa"/>
          </w:tcPr>
          <w:p w14:paraId="454A92CC">
            <w:pPr>
              <w:pStyle w:val="10"/>
              <w:spacing w:line="360" w:lineRule="auto"/>
              <w:rPr>
                <w:rFonts w:ascii="宋体" w:hAnsi="宋体" w:cs="宋体"/>
                <w:color w:val="auto"/>
                <w:sz w:val="24"/>
                <w:highlight w:val="none"/>
              </w:rPr>
            </w:pPr>
            <w:r>
              <w:rPr>
                <w:rFonts w:ascii="宋体" w:hAnsi="宋体" w:cs="宋体"/>
                <w:color w:val="auto"/>
                <w:sz w:val="24"/>
                <w:highlight w:val="none"/>
              </w:rPr>
              <w:t>金额报价</w:t>
            </w:r>
          </w:p>
        </w:tc>
        <w:tc>
          <w:tcPr>
            <w:tcW w:w="1637" w:type="dxa"/>
          </w:tcPr>
          <w:p w14:paraId="1A82D192">
            <w:pPr>
              <w:pStyle w:val="10"/>
              <w:spacing w:line="360" w:lineRule="auto"/>
              <w:rPr>
                <w:rFonts w:hint="default" w:ascii="宋体" w:hAnsi="宋体" w:eastAsia="宋体" w:cs="宋体"/>
                <w:color w:val="auto"/>
                <w:sz w:val="24"/>
                <w:highlight w:val="none"/>
                <w:lang w:val="en-US" w:eastAsia="zh-CN"/>
              </w:rPr>
            </w:pPr>
            <w:r>
              <w:rPr>
                <w:rFonts w:hint="eastAsia" w:ascii="Arial" w:hAnsi="Arial" w:cs="Arial"/>
                <w:color w:val="auto"/>
                <w:kern w:val="0"/>
                <w:sz w:val="24"/>
                <w:szCs w:val="18"/>
                <w:highlight w:val="none"/>
                <w:lang w:val="en-US" w:eastAsia="zh-CN"/>
              </w:rPr>
              <w:t>19810800.00</w:t>
            </w:r>
          </w:p>
        </w:tc>
        <w:tc>
          <w:tcPr>
            <w:tcW w:w="1588" w:type="dxa"/>
          </w:tcPr>
          <w:p w14:paraId="5EC36F5C">
            <w:pPr>
              <w:pStyle w:val="10"/>
              <w:spacing w:line="360" w:lineRule="auto"/>
              <w:rPr>
                <w:rFonts w:ascii="宋体" w:hAnsi="宋体" w:cs="宋体"/>
                <w:color w:val="auto"/>
                <w:sz w:val="24"/>
                <w:highlight w:val="none"/>
              </w:rPr>
            </w:pPr>
            <w:r>
              <w:rPr>
                <w:rFonts w:hint="eastAsia" w:ascii="宋体" w:hAnsi="宋体" w:cs="宋体"/>
                <w:color w:val="auto"/>
                <w:sz w:val="24"/>
                <w:highlight w:val="none"/>
              </w:rPr>
              <w:t>元</w:t>
            </w:r>
          </w:p>
        </w:tc>
        <w:tc>
          <w:tcPr>
            <w:tcW w:w="2098" w:type="dxa"/>
          </w:tcPr>
          <w:p w14:paraId="6587B330">
            <w:pPr>
              <w:pStyle w:val="10"/>
              <w:spacing w:line="360" w:lineRule="auto"/>
              <w:rPr>
                <w:rFonts w:ascii="宋体" w:hAnsi="宋体" w:cs="宋体"/>
                <w:color w:val="auto"/>
                <w:sz w:val="24"/>
                <w:highlight w:val="none"/>
              </w:rPr>
            </w:pPr>
            <w:r>
              <w:rPr>
                <w:rFonts w:hint="eastAsia" w:ascii="宋体" w:hAnsi="宋体" w:cs="宋体"/>
                <w:color w:val="auto"/>
                <w:sz w:val="24"/>
                <w:highlight w:val="none"/>
              </w:rPr>
              <w:t>金额</w:t>
            </w:r>
          </w:p>
        </w:tc>
      </w:tr>
    </w:tbl>
    <w:p w14:paraId="7EB12A76">
      <w:pPr>
        <w:pStyle w:val="10"/>
        <w:spacing w:line="360" w:lineRule="auto"/>
        <w:ind w:firstLine="480" w:firstLineChars="200"/>
        <w:rPr>
          <w:rFonts w:ascii="宋体" w:hAnsi="宋体" w:cs="宋体"/>
          <w:color w:val="auto"/>
          <w:sz w:val="24"/>
          <w:highlight w:val="none"/>
        </w:rPr>
      </w:pPr>
    </w:p>
    <w:p w14:paraId="7C519244">
      <w:pPr>
        <w:pStyle w:val="10"/>
        <w:spacing w:line="360" w:lineRule="auto"/>
        <w:ind w:firstLine="640" w:firstLineChars="200"/>
        <w:jc w:val="center"/>
        <w:rPr>
          <w:b/>
          <w:color w:val="auto"/>
          <w:sz w:val="32"/>
          <w:highlight w:val="none"/>
        </w:rPr>
      </w:pPr>
    </w:p>
    <w:p w14:paraId="3AB95EFB">
      <w:pPr>
        <w:pStyle w:val="10"/>
        <w:spacing w:line="360" w:lineRule="auto"/>
        <w:ind w:firstLine="640" w:firstLineChars="200"/>
        <w:jc w:val="center"/>
        <w:rPr>
          <w:b/>
          <w:color w:val="auto"/>
          <w:sz w:val="32"/>
          <w:highlight w:val="none"/>
        </w:rPr>
      </w:pPr>
    </w:p>
    <w:p w14:paraId="24E4356A">
      <w:pPr>
        <w:pStyle w:val="10"/>
        <w:spacing w:line="360" w:lineRule="auto"/>
        <w:ind w:firstLine="640" w:firstLineChars="200"/>
        <w:jc w:val="center"/>
        <w:rPr>
          <w:b/>
          <w:color w:val="auto"/>
          <w:sz w:val="32"/>
          <w:highlight w:val="none"/>
        </w:rPr>
      </w:pPr>
    </w:p>
    <w:p w14:paraId="681C8C25">
      <w:pPr>
        <w:pStyle w:val="10"/>
        <w:spacing w:line="360" w:lineRule="auto"/>
        <w:ind w:firstLine="640" w:firstLineChars="200"/>
        <w:jc w:val="center"/>
        <w:rPr>
          <w:b/>
          <w:color w:val="auto"/>
          <w:sz w:val="32"/>
          <w:highlight w:val="none"/>
        </w:rPr>
      </w:pPr>
    </w:p>
    <w:p w14:paraId="1B3AA356">
      <w:pPr>
        <w:pStyle w:val="10"/>
        <w:spacing w:line="360" w:lineRule="auto"/>
        <w:ind w:firstLine="640" w:firstLineChars="200"/>
        <w:jc w:val="center"/>
        <w:rPr>
          <w:b/>
          <w:color w:val="auto"/>
          <w:sz w:val="32"/>
          <w:highlight w:val="none"/>
        </w:rPr>
      </w:pPr>
    </w:p>
    <w:p w14:paraId="26F125AC">
      <w:pPr>
        <w:pStyle w:val="10"/>
        <w:spacing w:line="360" w:lineRule="auto"/>
        <w:ind w:firstLine="640" w:firstLineChars="200"/>
        <w:jc w:val="center"/>
        <w:rPr>
          <w:b/>
          <w:color w:val="auto"/>
          <w:sz w:val="32"/>
          <w:highlight w:val="none"/>
        </w:rPr>
      </w:pPr>
    </w:p>
    <w:p w14:paraId="50E7AD34">
      <w:pPr>
        <w:pStyle w:val="10"/>
        <w:spacing w:line="360" w:lineRule="auto"/>
        <w:rPr>
          <w:b/>
          <w:color w:val="auto"/>
          <w:sz w:val="32"/>
          <w:highlight w:val="none"/>
        </w:rPr>
      </w:pPr>
    </w:p>
    <w:p w14:paraId="3BF2EBB2">
      <w:pPr>
        <w:pStyle w:val="10"/>
        <w:spacing w:line="360" w:lineRule="auto"/>
        <w:rPr>
          <w:b/>
          <w:color w:val="auto"/>
          <w:sz w:val="32"/>
          <w:highlight w:val="none"/>
        </w:rPr>
      </w:pPr>
    </w:p>
    <w:p w14:paraId="113E38C9">
      <w:pPr>
        <w:pStyle w:val="10"/>
        <w:spacing w:line="360" w:lineRule="auto"/>
        <w:rPr>
          <w:b/>
          <w:color w:val="auto"/>
          <w:sz w:val="32"/>
          <w:highlight w:val="none"/>
        </w:rPr>
      </w:pPr>
    </w:p>
    <w:p w14:paraId="5FCB029D">
      <w:pPr>
        <w:pStyle w:val="10"/>
        <w:spacing w:line="360" w:lineRule="auto"/>
        <w:rPr>
          <w:b/>
          <w:color w:val="auto"/>
          <w:sz w:val="32"/>
          <w:highlight w:val="none"/>
        </w:rPr>
      </w:pPr>
    </w:p>
    <w:p w14:paraId="69CC777E">
      <w:pPr>
        <w:pStyle w:val="10"/>
        <w:spacing w:line="360" w:lineRule="auto"/>
        <w:rPr>
          <w:b/>
          <w:color w:val="auto"/>
          <w:sz w:val="32"/>
          <w:highlight w:val="none"/>
        </w:rPr>
      </w:pPr>
    </w:p>
    <w:p w14:paraId="5E189017">
      <w:pPr>
        <w:pStyle w:val="10"/>
        <w:spacing w:line="360" w:lineRule="auto"/>
        <w:rPr>
          <w:b/>
          <w:color w:val="auto"/>
          <w:sz w:val="32"/>
          <w:highlight w:val="none"/>
        </w:rPr>
      </w:pPr>
    </w:p>
    <w:p w14:paraId="6F6A9A98">
      <w:pPr>
        <w:pStyle w:val="10"/>
        <w:spacing w:line="360" w:lineRule="auto"/>
        <w:rPr>
          <w:b/>
          <w:color w:val="auto"/>
          <w:sz w:val="32"/>
          <w:highlight w:val="none"/>
        </w:rPr>
      </w:pPr>
    </w:p>
    <w:p w14:paraId="5D1E2D40">
      <w:pPr>
        <w:pStyle w:val="10"/>
        <w:spacing w:line="360" w:lineRule="auto"/>
        <w:rPr>
          <w:b/>
          <w:color w:val="auto"/>
          <w:sz w:val="32"/>
          <w:highlight w:val="none"/>
        </w:rPr>
      </w:pPr>
    </w:p>
    <w:p w14:paraId="78AF325C">
      <w:pPr>
        <w:pStyle w:val="10"/>
        <w:spacing w:line="360" w:lineRule="auto"/>
        <w:jc w:val="center"/>
        <w:rPr>
          <w:rFonts w:ascii="宋体" w:hAnsi="宋体" w:cs="宋体"/>
          <w:b/>
          <w:bCs/>
          <w:color w:val="auto"/>
          <w:sz w:val="40"/>
          <w:szCs w:val="40"/>
          <w:highlight w:val="none"/>
        </w:rPr>
      </w:pPr>
      <w:r>
        <w:rPr>
          <w:rFonts w:ascii="宋体" w:hAnsi="宋体" w:cs="宋体"/>
          <w:b/>
          <w:bCs/>
          <w:color w:val="auto"/>
          <w:sz w:val="40"/>
          <w:szCs w:val="40"/>
          <w:highlight w:val="none"/>
        </w:rPr>
        <w:t>开标一览表</w:t>
      </w:r>
    </w:p>
    <w:p w14:paraId="0CE1BAAF">
      <w:pPr>
        <w:pStyle w:val="10"/>
        <w:spacing w:line="360" w:lineRule="auto"/>
        <w:rPr>
          <w:rFonts w:ascii="宋体" w:hAnsi="宋体" w:cs="宋体"/>
          <w:color w:val="auto"/>
          <w:sz w:val="24"/>
          <w:highlight w:val="none"/>
        </w:rPr>
      </w:pPr>
      <w:r>
        <w:rPr>
          <w:rFonts w:ascii="宋体" w:hAnsi="宋体" w:cs="宋体"/>
          <w:color w:val="auto"/>
          <w:sz w:val="24"/>
          <w:highlight w:val="none"/>
        </w:rPr>
        <w:t>项目名称：</w:t>
      </w:r>
      <w:r>
        <w:rPr>
          <w:rFonts w:hint="eastAsia" w:ascii="宋体" w:hAnsi="宋体" w:cs="宋体"/>
          <w:color w:val="auto"/>
          <w:sz w:val="24"/>
          <w:highlight w:val="none"/>
        </w:rPr>
        <w:t>后勤服务外包物业管理服务项目</w:t>
      </w:r>
      <w:r>
        <w:rPr>
          <w:rFonts w:ascii="宋体" w:hAnsi="宋体" w:cs="宋体"/>
          <w:color w:val="auto"/>
          <w:sz w:val="24"/>
          <w:highlight w:val="none"/>
        </w:rPr>
        <w:t xml:space="preserve"> </w:t>
      </w:r>
    </w:p>
    <w:p w14:paraId="2EA77796">
      <w:pPr>
        <w:pStyle w:val="10"/>
        <w:spacing w:line="360" w:lineRule="auto"/>
        <w:rPr>
          <w:rFonts w:ascii="宋体" w:hAnsi="宋体" w:cs="宋体"/>
          <w:color w:val="auto"/>
          <w:sz w:val="24"/>
          <w:highlight w:val="none"/>
        </w:rPr>
      </w:pPr>
      <w:r>
        <w:rPr>
          <w:rFonts w:ascii="宋体" w:hAnsi="宋体" w:cs="宋体"/>
          <w:color w:val="auto"/>
          <w:sz w:val="24"/>
          <w:highlight w:val="none"/>
        </w:rPr>
        <w:t>项目编号：</w:t>
      </w:r>
      <w:r>
        <w:rPr>
          <w:rFonts w:hint="eastAsia" w:ascii="宋体" w:hAnsi="宋体" w:cs="宋体"/>
          <w:color w:val="auto"/>
          <w:sz w:val="24"/>
          <w:highlight w:val="none"/>
        </w:rPr>
        <w:t xml:space="preserve">  </w:t>
      </w:r>
    </w:p>
    <w:p w14:paraId="3AD476D4">
      <w:pPr>
        <w:pStyle w:val="10"/>
        <w:numPr>
          <w:ilvl w:val="0"/>
          <w:numId w:val="9"/>
        </w:numPr>
        <w:spacing w:line="360" w:lineRule="auto"/>
        <w:rPr>
          <w:rFonts w:ascii="宋体" w:hAnsi="宋体" w:cs="宋体"/>
          <w:color w:val="auto"/>
          <w:sz w:val="24"/>
          <w:highlight w:val="none"/>
        </w:rPr>
      </w:pPr>
      <w:r>
        <w:rPr>
          <w:rFonts w:ascii="宋体" w:hAnsi="宋体" w:cs="宋体"/>
          <w:color w:val="auto"/>
          <w:sz w:val="24"/>
          <w:highlight w:val="none"/>
        </w:rPr>
        <w:t xml:space="preserve">唱标记录 </w:t>
      </w:r>
    </w:p>
    <w:p w14:paraId="2ACF37E1">
      <w:pPr>
        <w:pStyle w:val="10"/>
        <w:spacing w:line="360" w:lineRule="auto"/>
        <w:rPr>
          <w:rFonts w:ascii="宋体" w:hAnsi="宋体" w:cs="宋体"/>
          <w:color w:val="auto"/>
          <w:sz w:val="24"/>
          <w:highlight w:val="none"/>
        </w:rPr>
      </w:pPr>
      <w:r>
        <w:rPr>
          <w:rFonts w:ascii="宋体" w:hAnsi="宋体" w:cs="宋体"/>
          <w:color w:val="auto"/>
          <w:sz w:val="24"/>
          <w:highlight w:val="none"/>
        </w:rPr>
        <w:t>标包名称:</w:t>
      </w:r>
      <w:r>
        <w:rPr>
          <w:rFonts w:hint="eastAsia" w:ascii="宋体" w:hAnsi="宋体" w:cs="宋体"/>
          <w:color w:val="auto"/>
          <w:sz w:val="24"/>
          <w:highlight w:val="none"/>
        </w:rPr>
        <w:t>后勤服务外包物业管理服务项目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511"/>
        <w:gridCol w:w="1543"/>
        <w:gridCol w:w="1640"/>
        <w:gridCol w:w="1446"/>
        <w:gridCol w:w="1446"/>
      </w:tblGrid>
      <w:tr w14:paraId="1D73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14:paraId="22F52963">
            <w:pPr>
              <w:pStyle w:val="10"/>
              <w:spacing w:line="360" w:lineRule="auto"/>
              <w:rPr>
                <w:rFonts w:ascii="宋体" w:hAnsi="宋体" w:cs="宋体"/>
                <w:color w:val="auto"/>
                <w:sz w:val="24"/>
                <w:highlight w:val="none"/>
              </w:rPr>
            </w:pPr>
            <w:r>
              <w:rPr>
                <w:rFonts w:hint="eastAsia" w:ascii="宋体" w:hAnsi="宋体" w:cs="宋体"/>
                <w:color w:val="auto"/>
                <w:sz w:val="24"/>
                <w:highlight w:val="none"/>
              </w:rPr>
              <w:t>序号</w:t>
            </w:r>
          </w:p>
        </w:tc>
        <w:tc>
          <w:tcPr>
            <w:tcW w:w="1511" w:type="dxa"/>
          </w:tcPr>
          <w:p w14:paraId="13386342">
            <w:pPr>
              <w:pStyle w:val="10"/>
              <w:spacing w:line="360" w:lineRule="auto"/>
              <w:rPr>
                <w:rFonts w:ascii="宋体" w:hAnsi="宋体" w:cs="宋体"/>
                <w:color w:val="auto"/>
                <w:sz w:val="24"/>
                <w:highlight w:val="none"/>
              </w:rPr>
            </w:pPr>
            <w:r>
              <w:rPr>
                <w:rFonts w:ascii="宋体" w:hAnsi="宋体" w:cs="宋体"/>
                <w:color w:val="auto"/>
                <w:sz w:val="24"/>
                <w:highlight w:val="none"/>
              </w:rPr>
              <w:t>投标单位名称</w:t>
            </w:r>
          </w:p>
        </w:tc>
        <w:tc>
          <w:tcPr>
            <w:tcW w:w="1543" w:type="dxa"/>
          </w:tcPr>
          <w:p w14:paraId="401A1C2F">
            <w:pPr>
              <w:pStyle w:val="10"/>
              <w:spacing w:line="360" w:lineRule="auto"/>
              <w:rPr>
                <w:rFonts w:ascii="宋体" w:hAnsi="宋体" w:cs="宋体"/>
                <w:color w:val="auto"/>
                <w:sz w:val="24"/>
                <w:highlight w:val="none"/>
              </w:rPr>
            </w:pPr>
            <w:r>
              <w:rPr>
                <w:rFonts w:ascii="宋体" w:hAnsi="宋体" w:cs="宋体"/>
                <w:color w:val="auto"/>
                <w:sz w:val="24"/>
                <w:highlight w:val="none"/>
              </w:rPr>
              <w:t>投标总价(元)</w:t>
            </w:r>
          </w:p>
        </w:tc>
        <w:tc>
          <w:tcPr>
            <w:tcW w:w="1640" w:type="dxa"/>
          </w:tcPr>
          <w:p w14:paraId="06D7505B">
            <w:pPr>
              <w:pStyle w:val="10"/>
              <w:spacing w:line="360" w:lineRule="auto"/>
              <w:rPr>
                <w:rFonts w:ascii="宋体" w:hAnsi="宋体" w:cs="宋体"/>
                <w:color w:val="auto"/>
                <w:sz w:val="24"/>
                <w:highlight w:val="none"/>
              </w:rPr>
            </w:pPr>
            <w:r>
              <w:rPr>
                <w:rFonts w:hint="eastAsia" w:ascii="宋体" w:hAnsi="宋体" w:cs="宋体"/>
                <w:color w:val="auto"/>
                <w:sz w:val="24"/>
                <w:highlight w:val="none"/>
              </w:rPr>
              <w:t>服务期</w:t>
            </w:r>
            <w:r>
              <w:rPr>
                <w:rFonts w:ascii="宋体" w:hAnsi="宋体" w:cs="宋体"/>
                <w:color w:val="auto"/>
                <w:sz w:val="24"/>
                <w:highlight w:val="none"/>
              </w:rPr>
              <w:t>(日历 天)</w:t>
            </w:r>
          </w:p>
        </w:tc>
        <w:tc>
          <w:tcPr>
            <w:tcW w:w="1446" w:type="dxa"/>
          </w:tcPr>
          <w:p w14:paraId="4CFC32F3">
            <w:pPr>
              <w:pStyle w:val="10"/>
              <w:spacing w:line="360" w:lineRule="auto"/>
              <w:rPr>
                <w:rFonts w:ascii="宋体" w:hAnsi="宋体" w:cs="宋体"/>
                <w:color w:val="auto"/>
                <w:sz w:val="24"/>
                <w:highlight w:val="none"/>
              </w:rPr>
            </w:pPr>
            <w:r>
              <w:rPr>
                <w:rFonts w:hint="eastAsia" w:ascii="宋体" w:hAnsi="宋体" w:cs="宋体"/>
                <w:color w:val="auto"/>
                <w:sz w:val="24"/>
                <w:highlight w:val="none"/>
              </w:rPr>
              <w:t>服务地点</w:t>
            </w:r>
          </w:p>
        </w:tc>
        <w:tc>
          <w:tcPr>
            <w:tcW w:w="1446" w:type="dxa"/>
          </w:tcPr>
          <w:p w14:paraId="326DA543">
            <w:pPr>
              <w:pStyle w:val="10"/>
              <w:spacing w:line="360" w:lineRule="auto"/>
              <w:rPr>
                <w:rFonts w:ascii="宋体" w:hAnsi="宋体" w:cs="宋体"/>
                <w:color w:val="auto"/>
                <w:sz w:val="24"/>
                <w:highlight w:val="none"/>
              </w:rPr>
            </w:pPr>
            <w:r>
              <w:rPr>
                <w:rFonts w:ascii="宋体" w:hAnsi="宋体" w:cs="宋体"/>
                <w:color w:val="auto"/>
                <w:sz w:val="24"/>
                <w:highlight w:val="none"/>
              </w:rPr>
              <w:t>签名</w:t>
            </w:r>
          </w:p>
        </w:tc>
      </w:tr>
      <w:tr w14:paraId="2B5E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14:paraId="5D080F1A">
            <w:pPr>
              <w:pStyle w:val="1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1511" w:type="dxa"/>
          </w:tcPr>
          <w:p w14:paraId="713473A9">
            <w:pPr>
              <w:pStyle w:val="10"/>
              <w:spacing w:line="360" w:lineRule="auto"/>
              <w:rPr>
                <w:rFonts w:ascii="宋体" w:hAnsi="宋体" w:cs="宋体"/>
                <w:color w:val="auto"/>
                <w:sz w:val="24"/>
                <w:highlight w:val="none"/>
              </w:rPr>
            </w:pPr>
          </w:p>
        </w:tc>
        <w:tc>
          <w:tcPr>
            <w:tcW w:w="1543" w:type="dxa"/>
          </w:tcPr>
          <w:p w14:paraId="7A92A422">
            <w:pPr>
              <w:pStyle w:val="10"/>
              <w:spacing w:line="360" w:lineRule="auto"/>
              <w:rPr>
                <w:rFonts w:ascii="宋体" w:hAnsi="宋体" w:cs="宋体"/>
                <w:color w:val="auto"/>
                <w:sz w:val="24"/>
                <w:highlight w:val="none"/>
              </w:rPr>
            </w:pPr>
          </w:p>
        </w:tc>
        <w:tc>
          <w:tcPr>
            <w:tcW w:w="1640" w:type="dxa"/>
          </w:tcPr>
          <w:p w14:paraId="18F9C920">
            <w:pPr>
              <w:pStyle w:val="10"/>
              <w:spacing w:line="360" w:lineRule="auto"/>
              <w:rPr>
                <w:rFonts w:ascii="宋体" w:hAnsi="宋体" w:cs="宋体"/>
                <w:color w:val="auto"/>
                <w:sz w:val="24"/>
                <w:highlight w:val="none"/>
              </w:rPr>
            </w:pPr>
          </w:p>
        </w:tc>
        <w:tc>
          <w:tcPr>
            <w:tcW w:w="1446" w:type="dxa"/>
          </w:tcPr>
          <w:p w14:paraId="22A1ABFC">
            <w:pPr>
              <w:pStyle w:val="10"/>
              <w:spacing w:line="360" w:lineRule="auto"/>
              <w:rPr>
                <w:rFonts w:ascii="宋体" w:hAnsi="宋体" w:cs="宋体"/>
                <w:color w:val="auto"/>
                <w:sz w:val="24"/>
                <w:highlight w:val="none"/>
              </w:rPr>
            </w:pPr>
          </w:p>
        </w:tc>
        <w:tc>
          <w:tcPr>
            <w:tcW w:w="1446" w:type="dxa"/>
          </w:tcPr>
          <w:p w14:paraId="5F873C26">
            <w:pPr>
              <w:pStyle w:val="10"/>
              <w:spacing w:line="360" w:lineRule="auto"/>
              <w:rPr>
                <w:rFonts w:ascii="宋体" w:hAnsi="宋体" w:cs="宋体"/>
                <w:color w:val="auto"/>
                <w:sz w:val="24"/>
                <w:highlight w:val="none"/>
              </w:rPr>
            </w:pPr>
          </w:p>
        </w:tc>
      </w:tr>
      <w:tr w14:paraId="2444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14:paraId="6F80236C">
            <w:pPr>
              <w:pStyle w:val="1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1511" w:type="dxa"/>
          </w:tcPr>
          <w:p w14:paraId="3A384FAC">
            <w:pPr>
              <w:pStyle w:val="10"/>
              <w:spacing w:line="360" w:lineRule="auto"/>
              <w:rPr>
                <w:rFonts w:ascii="宋体" w:hAnsi="宋体" w:cs="宋体"/>
                <w:color w:val="auto"/>
                <w:sz w:val="24"/>
                <w:highlight w:val="none"/>
              </w:rPr>
            </w:pPr>
          </w:p>
        </w:tc>
        <w:tc>
          <w:tcPr>
            <w:tcW w:w="1543" w:type="dxa"/>
          </w:tcPr>
          <w:p w14:paraId="385CFD43">
            <w:pPr>
              <w:pStyle w:val="10"/>
              <w:spacing w:line="360" w:lineRule="auto"/>
              <w:rPr>
                <w:rFonts w:ascii="宋体" w:hAnsi="宋体" w:cs="宋体"/>
                <w:color w:val="auto"/>
                <w:sz w:val="24"/>
                <w:highlight w:val="none"/>
              </w:rPr>
            </w:pPr>
          </w:p>
        </w:tc>
        <w:tc>
          <w:tcPr>
            <w:tcW w:w="1640" w:type="dxa"/>
          </w:tcPr>
          <w:p w14:paraId="5960F36E">
            <w:pPr>
              <w:pStyle w:val="10"/>
              <w:spacing w:line="360" w:lineRule="auto"/>
              <w:rPr>
                <w:rFonts w:ascii="宋体" w:hAnsi="宋体" w:cs="宋体"/>
                <w:color w:val="auto"/>
                <w:sz w:val="24"/>
                <w:highlight w:val="none"/>
              </w:rPr>
            </w:pPr>
          </w:p>
        </w:tc>
        <w:tc>
          <w:tcPr>
            <w:tcW w:w="1446" w:type="dxa"/>
          </w:tcPr>
          <w:p w14:paraId="343DFD49">
            <w:pPr>
              <w:pStyle w:val="10"/>
              <w:spacing w:line="360" w:lineRule="auto"/>
              <w:rPr>
                <w:rFonts w:ascii="宋体" w:hAnsi="宋体" w:cs="宋体"/>
                <w:color w:val="auto"/>
                <w:sz w:val="24"/>
                <w:highlight w:val="none"/>
              </w:rPr>
            </w:pPr>
          </w:p>
        </w:tc>
        <w:tc>
          <w:tcPr>
            <w:tcW w:w="1446" w:type="dxa"/>
          </w:tcPr>
          <w:p w14:paraId="06FCDA7E">
            <w:pPr>
              <w:pStyle w:val="10"/>
              <w:spacing w:line="360" w:lineRule="auto"/>
              <w:rPr>
                <w:rFonts w:ascii="宋体" w:hAnsi="宋体" w:cs="宋体"/>
                <w:color w:val="auto"/>
                <w:sz w:val="24"/>
                <w:highlight w:val="none"/>
              </w:rPr>
            </w:pPr>
          </w:p>
        </w:tc>
      </w:tr>
      <w:tr w14:paraId="1996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14:paraId="78D5762A">
            <w:pPr>
              <w:pStyle w:val="1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1511" w:type="dxa"/>
          </w:tcPr>
          <w:p w14:paraId="6D2836EB">
            <w:pPr>
              <w:pStyle w:val="10"/>
              <w:spacing w:line="360" w:lineRule="auto"/>
              <w:rPr>
                <w:rFonts w:ascii="宋体" w:hAnsi="宋体" w:cs="宋体"/>
                <w:color w:val="auto"/>
                <w:sz w:val="24"/>
                <w:highlight w:val="none"/>
              </w:rPr>
            </w:pPr>
          </w:p>
        </w:tc>
        <w:tc>
          <w:tcPr>
            <w:tcW w:w="1543" w:type="dxa"/>
          </w:tcPr>
          <w:p w14:paraId="715CC6BC">
            <w:pPr>
              <w:pStyle w:val="10"/>
              <w:spacing w:line="360" w:lineRule="auto"/>
              <w:rPr>
                <w:rFonts w:ascii="宋体" w:hAnsi="宋体" w:cs="宋体"/>
                <w:color w:val="auto"/>
                <w:sz w:val="24"/>
                <w:highlight w:val="none"/>
              </w:rPr>
            </w:pPr>
          </w:p>
        </w:tc>
        <w:tc>
          <w:tcPr>
            <w:tcW w:w="1640" w:type="dxa"/>
          </w:tcPr>
          <w:p w14:paraId="66EB1500">
            <w:pPr>
              <w:pStyle w:val="10"/>
              <w:spacing w:line="360" w:lineRule="auto"/>
              <w:rPr>
                <w:rFonts w:ascii="宋体" w:hAnsi="宋体" w:cs="宋体"/>
                <w:color w:val="auto"/>
                <w:sz w:val="24"/>
                <w:highlight w:val="none"/>
              </w:rPr>
            </w:pPr>
          </w:p>
        </w:tc>
        <w:tc>
          <w:tcPr>
            <w:tcW w:w="1446" w:type="dxa"/>
          </w:tcPr>
          <w:p w14:paraId="76AD714C">
            <w:pPr>
              <w:pStyle w:val="10"/>
              <w:spacing w:line="360" w:lineRule="auto"/>
              <w:rPr>
                <w:rFonts w:ascii="宋体" w:hAnsi="宋体" w:cs="宋体"/>
                <w:color w:val="auto"/>
                <w:sz w:val="24"/>
                <w:highlight w:val="none"/>
              </w:rPr>
            </w:pPr>
          </w:p>
        </w:tc>
        <w:tc>
          <w:tcPr>
            <w:tcW w:w="1446" w:type="dxa"/>
          </w:tcPr>
          <w:p w14:paraId="3A4C3434">
            <w:pPr>
              <w:pStyle w:val="10"/>
              <w:spacing w:line="360" w:lineRule="auto"/>
              <w:rPr>
                <w:rFonts w:ascii="宋体" w:hAnsi="宋体" w:cs="宋体"/>
                <w:color w:val="auto"/>
                <w:sz w:val="24"/>
                <w:highlight w:val="none"/>
              </w:rPr>
            </w:pPr>
          </w:p>
        </w:tc>
      </w:tr>
    </w:tbl>
    <w:p w14:paraId="482A2F4B">
      <w:pPr>
        <w:pStyle w:val="10"/>
        <w:spacing w:line="360" w:lineRule="auto"/>
        <w:ind w:firstLine="480" w:firstLineChars="200"/>
        <w:rPr>
          <w:rFonts w:ascii="宋体" w:hAnsi="宋体" w:cs="宋体"/>
          <w:color w:val="auto"/>
          <w:sz w:val="24"/>
          <w:highlight w:val="none"/>
        </w:rPr>
      </w:pPr>
    </w:p>
    <w:p w14:paraId="66F7728D">
      <w:pPr>
        <w:pStyle w:val="10"/>
        <w:numPr>
          <w:ilvl w:val="0"/>
          <w:numId w:val="9"/>
        </w:numPr>
        <w:spacing w:line="360" w:lineRule="auto"/>
        <w:jc w:val="left"/>
        <w:rPr>
          <w:rFonts w:ascii="宋体" w:hAnsi="宋体" w:cs="宋体"/>
          <w:color w:val="auto"/>
          <w:sz w:val="24"/>
          <w:highlight w:val="none"/>
        </w:rPr>
      </w:pPr>
      <w:r>
        <w:rPr>
          <w:rFonts w:ascii="宋体" w:hAnsi="宋体" w:cs="宋体"/>
          <w:color w:val="auto"/>
          <w:sz w:val="24"/>
          <w:highlight w:val="none"/>
        </w:rPr>
        <w:t>开标过程中的其他事项记录</w:t>
      </w:r>
    </w:p>
    <w:p w14:paraId="58ACAA05">
      <w:pPr>
        <w:pStyle w:val="10"/>
        <w:numPr>
          <w:ilvl w:val="0"/>
          <w:numId w:val="9"/>
        </w:numPr>
        <w:spacing w:line="360" w:lineRule="auto"/>
        <w:jc w:val="left"/>
        <w:rPr>
          <w:rFonts w:ascii="宋体" w:hAnsi="宋体" w:cs="宋体"/>
          <w:color w:val="auto"/>
          <w:sz w:val="24"/>
          <w:highlight w:val="none"/>
        </w:rPr>
      </w:pPr>
      <w:r>
        <w:rPr>
          <w:rFonts w:ascii="宋体" w:hAnsi="宋体" w:cs="宋体"/>
          <w:color w:val="auto"/>
          <w:sz w:val="24"/>
          <w:highlight w:val="none"/>
        </w:rPr>
        <w:t>出席开标会的单位和人员（附签到表）</w:t>
      </w:r>
    </w:p>
    <w:p w14:paraId="1792776E">
      <w:pPr>
        <w:pStyle w:val="10"/>
        <w:spacing w:line="360" w:lineRule="auto"/>
        <w:ind w:firstLine="480" w:firstLineChars="200"/>
        <w:jc w:val="left"/>
        <w:rPr>
          <w:rFonts w:ascii="宋体" w:hAnsi="宋体" w:cs="宋体"/>
          <w:color w:val="auto"/>
          <w:sz w:val="24"/>
          <w:highlight w:val="none"/>
        </w:rPr>
      </w:pPr>
    </w:p>
    <w:p w14:paraId="44CD5086">
      <w:pPr>
        <w:pStyle w:val="1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招标人代表：</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记录人：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监标人：</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w:t>
      </w:r>
    </w:p>
    <w:p w14:paraId="69467136">
      <w:pPr>
        <w:pStyle w:val="10"/>
        <w:spacing w:line="360" w:lineRule="auto"/>
        <w:ind w:firstLine="480" w:firstLineChars="200"/>
        <w:jc w:val="left"/>
        <w:rPr>
          <w:b/>
          <w:color w:val="auto"/>
          <w:sz w:val="32"/>
          <w:highlight w:val="none"/>
        </w:rPr>
      </w:pPr>
      <w:r>
        <w:rPr>
          <w:rFonts w:ascii="宋体" w:hAnsi="宋体" w:cs="宋体"/>
          <w:color w:val="auto"/>
          <w:sz w:val="24"/>
          <w:highlight w:val="none"/>
        </w:rPr>
        <w:t>年 月 日</w:t>
      </w:r>
    </w:p>
    <w:p w14:paraId="1804DF31">
      <w:pPr>
        <w:pStyle w:val="10"/>
        <w:spacing w:line="360" w:lineRule="auto"/>
        <w:ind w:firstLine="640" w:firstLineChars="200"/>
        <w:jc w:val="center"/>
        <w:rPr>
          <w:b/>
          <w:color w:val="auto"/>
          <w:sz w:val="32"/>
          <w:highlight w:val="none"/>
        </w:rPr>
      </w:pPr>
    </w:p>
    <w:p w14:paraId="639FD57E">
      <w:pPr>
        <w:pStyle w:val="10"/>
        <w:spacing w:line="360" w:lineRule="auto"/>
        <w:ind w:firstLine="640" w:firstLineChars="200"/>
        <w:jc w:val="center"/>
        <w:rPr>
          <w:b/>
          <w:color w:val="auto"/>
          <w:sz w:val="32"/>
          <w:highlight w:val="none"/>
        </w:rPr>
      </w:pPr>
    </w:p>
    <w:p w14:paraId="5C349755">
      <w:pPr>
        <w:pStyle w:val="10"/>
        <w:spacing w:line="360" w:lineRule="auto"/>
        <w:ind w:firstLine="640" w:firstLineChars="200"/>
        <w:jc w:val="center"/>
        <w:rPr>
          <w:b/>
          <w:color w:val="auto"/>
          <w:sz w:val="32"/>
          <w:highlight w:val="none"/>
        </w:rPr>
      </w:pPr>
    </w:p>
    <w:p w14:paraId="386727A5">
      <w:pPr>
        <w:pStyle w:val="10"/>
        <w:spacing w:line="360" w:lineRule="auto"/>
        <w:ind w:firstLine="640" w:firstLineChars="200"/>
        <w:jc w:val="center"/>
        <w:rPr>
          <w:b/>
          <w:color w:val="auto"/>
          <w:sz w:val="32"/>
          <w:highlight w:val="none"/>
        </w:rPr>
      </w:pPr>
    </w:p>
    <w:p w14:paraId="5F220B0E">
      <w:pPr>
        <w:pStyle w:val="10"/>
        <w:spacing w:line="360" w:lineRule="auto"/>
        <w:ind w:firstLine="640" w:firstLineChars="200"/>
        <w:jc w:val="center"/>
        <w:rPr>
          <w:b/>
          <w:color w:val="auto"/>
          <w:sz w:val="32"/>
          <w:highlight w:val="none"/>
        </w:rPr>
      </w:pPr>
    </w:p>
    <w:p w14:paraId="3AD32C65">
      <w:pPr>
        <w:pStyle w:val="10"/>
        <w:spacing w:line="360" w:lineRule="auto"/>
        <w:rPr>
          <w:b/>
          <w:color w:val="auto"/>
          <w:sz w:val="32"/>
          <w:highlight w:val="none"/>
        </w:rPr>
      </w:pPr>
    </w:p>
    <w:p w14:paraId="060392A3">
      <w:pPr>
        <w:pStyle w:val="10"/>
        <w:spacing w:line="360" w:lineRule="auto"/>
        <w:ind w:firstLine="640" w:firstLineChars="200"/>
        <w:jc w:val="center"/>
        <w:rPr>
          <w:rFonts w:hint="eastAsia"/>
          <w:b/>
          <w:color w:val="auto"/>
          <w:sz w:val="32"/>
          <w:highlight w:val="none"/>
        </w:rPr>
      </w:pPr>
    </w:p>
    <w:p w14:paraId="26263781">
      <w:pPr>
        <w:pStyle w:val="10"/>
        <w:spacing w:line="360" w:lineRule="auto"/>
        <w:ind w:firstLine="640" w:firstLineChars="200"/>
        <w:jc w:val="center"/>
        <w:rPr>
          <w:rFonts w:hint="eastAsia"/>
          <w:b/>
          <w:color w:val="auto"/>
          <w:sz w:val="32"/>
          <w:highlight w:val="none"/>
        </w:rPr>
      </w:pPr>
    </w:p>
    <w:p w14:paraId="219C9D9E">
      <w:pPr>
        <w:pStyle w:val="10"/>
        <w:spacing w:line="360" w:lineRule="auto"/>
        <w:ind w:firstLine="640" w:firstLineChars="200"/>
        <w:jc w:val="center"/>
        <w:rPr>
          <w:rFonts w:hint="eastAsia"/>
          <w:b/>
          <w:color w:val="auto"/>
          <w:sz w:val="32"/>
          <w:highlight w:val="none"/>
        </w:rPr>
      </w:pPr>
    </w:p>
    <w:p w14:paraId="650FED14">
      <w:pPr>
        <w:pStyle w:val="10"/>
        <w:spacing w:line="360" w:lineRule="auto"/>
        <w:ind w:firstLine="640" w:firstLineChars="200"/>
        <w:jc w:val="center"/>
        <w:rPr>
          <w:rFonts w:hint="eastAsia"/>
          <w:b/>
          <w:color w:val="auto"/>
          <w:sz w:val="32"/>
          <w:highlight w:val="none"/>
        </w:rPr>
      </w:pPr>
    </w:p>
    <w:p w14:paraId="6ECDD645">
      <w:pPr>
        <w:pStyle w:val="10"/>
        <w:spacing w:line="360" w:lineRule="auto"/>
        <w:ind w:firstLine="640" w:firstLineChars="200"/>
        <w:jc w:val="center"/>
        <w:rPr>
          <w:rFonts w:hint="eastAsia"/>
          <w:b/>
          <w:color w:val="auto"/>
          <w:sz w:val="32"/>
          <w:highlight w:val="none"/>
        </w:rPr>
      </w:pPr>
    </w:p>
    <w:p w14:paraId="7A7D40F2">
      <w:pPr>
        <w:pStyle w:val="10"/>
        <w:spacing w:line="360" w:lineRule="auto"/>
        <w:ind w:firstLine="640" w:firstLineChars="200"/>
        <w:jc w:val="center"/>
        <w:rPr>
          <w:rFonts w:hint="eastAsia"/>
          <w:b/>
          <w:color w:val="auto"/>
          <w:sz w:val="32"/>
          <w:highlight w:val="none"/>
        </w:rPr>
      </w:pPr>
    </w:p>
    <w:p w14:paraId="5A7154C5">
      <w:pPr>
        <w:pStyle w:val="10"/>
        <w:spacing w:line="360" w:lineRule="auto"/>
        <w:ind w:firstLine="640" w:firstLineChars="200"/>
        <w:jc w:val="center"/>
        <w:rPr>
          <w:b/>
          <w:color w:val="auto"/>
          <w:sz w:val="32"/>
          <w:highlight w:val="none"/>
        </w:rPr>
      </w:pPr>
      <w:r>
        <w:rPr>
          <w:rFonts w:hint="eastAsia"/>
          <w:b/>
          <w:color w:val="auto"/>
          <w:sz w:val="32"/>
          <w:highlight w:val="none"/>
        </w:rPr>
        <w:t>第四章评标办法</w:t>
      </w:r>
    </w:p>
    <w:p w14:paraId="339BBF74">
      <w:pPr>
        <w:pStyle w:val="10"/>
        <w:spacing w:line="360" w:lineRule="auto"/>
        <w:ind w:firstLine="480" w:firstLineChars="200"/>
        <w:jc w:val="left"/>
        <w:rPr>
          <w:color w:val="auto"/>
          <w:sz w:val="24"/>
          <w:highlight w:val="none"/>
        </w:rPr>
      </w:pPr>
    </w:p>
    <w:p w14:paraId="3F23EDF3">
      <w:pPr>
        <w:pStyle w:val="10"/>
        <w:spacing w:line="360" w:lineRule="auto"/>
        <w:ind w:firstLine="480" w:firstLineChars="200"/>
        <w:jc w:val="left"/>
        <w:rPr>
          <w:color w:val="auto"/>
          <w:sz w:val="24"/>
          <w:highlight w:val="none"/>
        </w:rPr>
      </w:pPr>
    </w:p>
    <w:p w14:paraId="26F825FE">
      <w:pPr>
        <w:pStyle w:val="10"/>
        <w:spacing w:line="360" w:lineRule="auto"/>
        <w:ind w:firstLine="480" w:firstLineChars="200"/>
        <w:jc w:val="left"/>
        <w:rPr>
          <w:color w:val="auto"/>
          <w:sz w:val="24"/>
          <w:highlight w:val="none"/>
        </w:rPr>
      </w:pPr>
    </w:p>
    <w:p w14:paraId="49AEC3B5">
      <w:pPr>
        <w:pStyle w:val="10"/>
        <w:spacing w:line="360" w:lineRule="auto"/>
        <w:ind w:firstLine="480" w:firstLineChars="200"/>
        <w:jc w:val="left"/>
        <w:rPr>
          <w:color w:val="auto"/>
          <w:sz w:val="24"/>
          <w:highlight w:val="none"/>
        </w:rPr>
      </w:pPr>
    </w:p>
    <w:p w14:paraId="1E21C598">
      <w:pPr>
        <w:pStyle w:val="10"/>
        <w:spacing w:line="360" w:lineRule="auto"/>
        <w:ind w:firstLine="480" w:firstLineChars="200"/>
        <w:jc w:val="left"/>
        <w:rPr>
          <w:color w:val="auto"/>
          <w:sz w:val="24"/>
          <w:highlight w:val="none"/>
        </w:rPr>
      </w:pPr>
    </w:p>
    <w:p w14:paraId="302066D9">
      <w:pPr>
        <w:pStyle w:val="10"/>
        <w:spacing w:line="360" w:lineRule="auto"/>
        <w:ind w:firstLine="480" w:firstLineChars="200"/>
        <w:jc w:val="left"/>
        <w:rPr>
          <w:color w:val="auto"/>
          <w:sz w:val="24"/>
          <w:highlight w:val="none"/>
        </w:rPr>
      </w:pPr>
    </w:p>
    <w:p w14:paraId="37322FDB">
      <w:pPr>
        <w:pStyle w:val="10"/>
        <w:spacing w:line="360" w:lineRule="auto"/>
        <w:ind w:firstLine="480" w:firstLineChars="200"/>
        <w:jc w:val="left"/>
        <w:rPr>
          <w:color w:val="auto"/>
          <w:sz w:val="24"/>
          <w:highlight w:val="none"/>
        </w:rPr>
      </w:pPr>
    </w:p>
    <w:p w14:paraId="7A260009">
      <w:pPr>
        <w:pStyle w:val="10"/>
        <w:spacing w:line="360" w:lineRule="auto"/>
        <w:ind w:firstLine="480" w:firstLineChars="200"/>
        <w:jc w:val="left"/>
        <w:rPr>
          <w:color w:val="auto"/>
          <w:sz w:val="24"/>
          <w:highlight w:val="none"/>
        </w:rPr>
      </w:pPr>
    </w:p>
    <w:p w14:paraId="38DC33E0">
      <w:pPr>
        <w:pStyle w:val="10"/>
        <w:spacing w:line="360" w:lineRule="auto"/>
        <w:ind w:firstLine="480" w:firstLineChars="200"/>
        <w:jc w:val="left"/>
        <w:rPr>
          <w:color w:val="auto"/>
          <w:sz w:val="24"/>
          <w:highlight w:val="none"/>
        </w:rPr>
      </w:pPr>
    </w:p>
    <w:p w14:paraId="500CF159">
      <w:pPr>
        <w:pStyle w:val="10"/>
        <w:spacing w:line="360" w:lineRule="auto"/>
        <w:ind w:firstLine="480" w:firstLineChars="200"/>
        <w:jc w:val="left"/>
        <w:rPr>
          <w:color w:val="auto"/>
          <w:sz w:val="24"/>
          <w:highlight w:val="none"/>
        </w:rPr>
      </w:pPr>
    </w:p>
    <w:p w14:paraId="381108BE">
      <w:pPr>
        <w:pStyle w:val="10"/>
        <w:spacing w:line="360" w:lineRule="auto"/>
        <w:ind w:firstLine="480" w:firstLineChars="200"/>
        <w:jc w:val="left"/>
        <w:rPr>
          <w:color w:val="auto"/>
          <w:sz w:val="24"/>
          <w:highlight w:val="none"/>
        </w:rPr>
      </w:pPr>
    </w:p>
    <w:p w14:paraId="408EA038">
      <w:pPr>
        <w:pStyle w:val="10"/>
        <w:spacing w:line="360" w:lineRule="auto"/>
        <w:ind w:firstLine="480" w:firstLineChars="200"/>
        <w:jc w:val="left"/>
        <w:rPr>
          <w:color w:val="auto"/>
          <w:sz w:val="24"/>
          <w:highlight w:val="none"/>
        </w:rPr>
      </w:pPr>
    </w:p>
    <w:p w14:paraId="06EAB713">
      <w:pPr>
        <w:pStyle w:val="10"/>
        <w:spacing w:line="360" w:lineRule="auto"/>
        <w:ind w:firstLine="480" w:firstLineChars="200"/>
        <w:jc w:val="left"/>
        <w:rPr>
          <w:color w:val="auto"/>
          <w:sz w:val="24"/>
          <w:highlight w:val="none"/>
        </w:rPr>
      </w:pPr>
    </w:p>
    <w:p w14:paraId="10F2DFEC">
      <w:pPr>
        <w:pStyle w:val="10"/>
        <w:spacing w:line="360" w:lineRule="auto"/>
        <w:ind w:firstLine="480" w:firstLineChars="200"/>
        <w:jc w:val="left"/>
        <w:rPr>
          <w:color w:val="auto"/>
          <w:sz w:val="24"/>
          <w:highlight w:val="none"/>
        </w:rPr>
      </w:pPr>
    </w:p>
    <w:p w14:paraId="741201BE">
      <w:pPr>
        <w:pStyle w:val="10"/>
        <w:spacing w:line="360" w:lineRule="auto"/>
        <w:rPr>
          <w:color w:val="auto"/>
          <w:sz w:val="24"/>
          <w:highlight w:val="none"/>
        </w:rPr>
      </w:pPr>
    </w:p>
    <w:p w14:paraId="3D888065">
      <w:pPr>
        <w:pStyle w:val="10"/>
        <w:spacing w:line="360" w:lineRule="auto"/>
        <w:jc w:val="center"/>
        <w:rPr>
          <w:color w:val="auto"/>
          <w:sz w:val="28"/>
          <w:highlight w:val="none"/>
        </w:rPr>
      </w:pPr>
      <w:r>
        <w:rPr>
          <w:rFonts w:hint="eastAsia"/>
          <w:b/>
          <w:color w:val="auto"/>
          <w:sz w:val="28"/>
          <w:highlight w:val="none"/>
        </w:rPr>
        <w:t>一、评标办法前附表</w:t>
      </w:r>
    </w:p>
    <w:p w14:paraId="035888C3">
      <w:pPr>
        <w:pStyle w:val="10"/>
        <w:spacing w:line="360" w:lineRule="auto"/>
        <w:ind w:firstLine="480" w:firstLineChars="200"/>
        <w:jc w:val="left"/>
        <w:rPr>
          <w:color w:val="auto"/>
          <w:sz w:val="24"/>
          <w:highlight w:val="none"/>
        </w:rPr>
      </w:pPr>
      <w:r>
        <w:rPr>
          <w:rFonts w:hint="eastAsia"/>
          <w:color w:val="auto"/>
          <w:sz w:val="24"/>
          <w:highlight w:val="none"/>
        </w:rPr>
        <w:t>1、项目基本信息</w:t>
      </w:r>
    </w:p>
    <w:p w14:paraId="1AB414B2">
      <w:pPr>
        <w:pStyle w:val="10"/>
        <w:spacing w:line="360" w:lineRule="auto"/>
        <w:ind w:firstLine="480" w:firstLineChars="200"/>
        <w:jc w:val="left"/>
        <w:rPr>
          <w:color w:val="auto"/>
          <w:sz w:val="24"/>
          <w:highlight w:val="none"/>
        </w:rPr>
      </w:pPr>
      <w:r>
        <w:rPr>
          <w:rFonts w:hint="eastAsia"/>
          <w:color w:val="auto"/>
          <w:sz w:val="24"/>
          <w:highlight w:val="none"/>
        </w:rPr>
        <w:t xml:space="preserve">项目编号： </w:t>
      </w:r>
    </w:p>
    <w:p w14:paraId="7AA6F192">
      <w:pPr>
        <w:pStyle w:val="10"/>
        <w:spacing w:line="360" w:lineRule="auto"/>
        <w:ind w:firstLine="480" w:firstLineChars="200"/>
        <w:jc w:val="left"/>
        <w:rPr>
          <w:color w:val="auto"/>
          <w:sz w:val="24"/>
          <w:highlight w:val="none"/>
        </w:rPr>
      </w:pPr>
      <w:r>
        <w:rPr>
          <w:rFonts w:hint="eastAsia"/>
          <w:color w:val="auto"/>
          <w:sz w:val="24"/>
          <w:highlight w:val="none"/>
        </w:rPr>
        <w:t>项目名称：</w:t>
      </w:r>
      <w:r>
        <w:rPr>
          <w:rFonts w:hint="eastAsia" w:ascii="宋体" w:hAnsi="宋体" w:cs="宋体"/>
          <w:color w:val="auto"/>
          <w:sz w:val="24"/>
          <w:highlight w:val="none"/>
        </w:rPr>
        <w:t>后勤服务外包物业管理服务项目</w:t>
      </w:r>
      <w:r>
        <w:rPr>
          <w:rFonts w:hint="eastAsia"/>
          <w:color w:val="auto"/>
          <w:sz w:val="24"/>
          <w:highlight w:val="none"/>
        </w:rPr>
        <w:t xml:space="preserve"> </w:t>
      </w:r>
    </w:p>
    <w:p w14:paraId="5A420201">
      <w:pPr>
        <w:pStyle w:val="10"/>
        <w:spacing w:line="360" w:lineRule="auto"/>
        <w:ind w:firstLine="480" w:firstLineChars="200"/>
        <w:jc w:val="left"/>
        <w:rPr>
          <w:color w:val="auto"/>
          <w:sz w:val="24"/>
          <w:highlight w:val="none"/>
        </w:rPr>
      </w:pPr>
      <w:r>
        <w:rPr>
          <w:rFonts w:hint="eastAsia"/>
          <w:color w:val="auto"/>
          <w:sz w:val="24"/>
          <w:highlight w:val="none"/>
        </w:rPr>
        <w:t>采购方式：公开招标</w:t>
      </w:r>
    </w:p>
    <w:p w14:paraId="22380CB8">
      <w:pPr>
        <w:pStyle w:val="10"/>
        <w:spacing w:line="360" w:lineRule="auto"/>
        <w:ind w:firstLine="480" w:firstLineChars="200"/>
        <w:jc w:val="left"/>
        <w:rPr>
          <w:color w:val="auto"/>
          <w:sz w:val="24"/>
          <w:highlight w:val="none"/>
        </w:rPr>
      </w:pPr>
      <w:r>
        <w:rPr>
          <w:rFonts w:hint="eastAsia"/>
          <w:color w:val="auto"/>
          <w:sz w:val="24"/>
          <w:highlight w:val="none"/>
        </w:rPr>
        <w:t>项目资金来源：财政资金</w:t>
      </w:r>
    </w:p>
    <w:p w14:paraId="74DE32A3">
      <w:pPr>
        <w:pStyle w:val="10"/>
        <w:spacing w:line="360" w:lineRule="auto"/>
        <w:ind w:firstLine="480" w:firstLineChars="200"/>
        <w:jc w:val="left"/>
        <w:rPr>
          <w:color w:val="auto"/>
          <w:sz w:val="24"/>
          <w:highlight w:val="none"/>
        </w:rPr>
      </w:pPr>
      <w:r>
        <w:rPr>
          <w:rFonts w:hint="eastAsia"/>
          <w:color w:val="auto"/>
          <w:sz w:val="24"/>
          <w:highlight w:val="none"/>
        </w:rPr>
        <w:t>PPP项目：否</w:t>
      </w:r>
    </w:p>
    <w:p w14:paraId="70658221">
      <w:pPr>
        <w:pStyle w:val="10"/>
        <w:spacing w:line="360" w:lineRule="auto"/>
        <w:ind w:firstLine="480" w:firstLineChars="200"/>
        <w:jc w:val="left"/>
        <w:rPr>
          <w:color w:val="auto"/>
          <w:sz w:val="24"/>
          <w:highlight w:val="none"/>
        </w:rPr>
      </w:pPr>
      <w:r>
        <w:rPr>
          <w:rFonts w:hint="eastAsia"/>
          <w:color w:val="auto"/>
          <w:sz w:val="24"/>
          <w:highlight w:val="none"/>
        </w:rPr>
        <w:t>2、标包信息</w:t>
      </w:r>
    </w:p>
    <w:p w14:paraId="0A5F4E56">
      <w:pPr>
        <w:pStyle w:val="10"/>
        <w:spacing w:line="360" w:lineRule="auto"/>
        <w:ind w:firstLine="480" w:firstLineChars="200"/>
        <w:jc w:val="left"/>
        <w:rPr>
          <w:color w:val="auto"/>
          <w:sz w:val="24"/>
          <w:highlight w:val="none"/>
        </w:rPr>
      </w:pPr>
      <w:r>
        <w:rPr>
          <w:rFonts w:hint="eastAsia"/>
          <w:color w:val="auto"/>
          <w:sz w:val="24"/>
          <w:highlight w:val="none"/>
        </w:rPr>
        <w:t>标包</w:t>
      </w:r>
      <w:r>
        <w:rPr>
          <w:color w:val="auto"/>
          <w:sz w:val="24"/>
          <w:highlight w:val="none"/>
        </w:rPr>
        <w:t>1</w:t>
      </w:r>
      <w:r>
        <w:rPr>
          <w:rFonts w:hint="eastAsia"/>
          <w:color w:val="auto"/>
          <w:sz w:val="24"/>
          <w:highlight w:val="none"/>
        </w:rPr>
        <w:t>：</w:t>
      </w:r>
      <w:r>
        <w:rPr>
          <w:rFonts w:hint="eastAsia" w:ascii="宋体" w:hAnsi="宋体" w:cs="宋体"/>
          <w:color w:val="auto"/>
          <w:sz w:val="24"/>
          <w:highlight w:val="none"/>
        </w:rPr>
        <w:t>后勤服务外包物业管理服务项目</w:t>
      </w:r>
    </w:p>
    <w:p w14:paraId="10E83AF7">
      <w:pPr>
        <w:pStyle w:val="10"/>
        <w:spacing w:line="360" w:lineRule="auto"/>
        <w:ind w:firstLine="480" w:firstLineChars="200"/>
        <w:jc w:val="left"/>
        <w:rPr>
          <w:color w:val="auto"/>
          <w:sz w:val="24"/>
          <w:highlight w:val="none"/>
        </w:rPr>
      </w:pPr>
      <w:r>
        <w:rPr>
          <w:rFonts w:hint="eastAsia"/>
          <w:color w:val="auto"/>
          <w:sz w:val="24"/>
          <w:highlight w:val="none"/>
        </w:rPr>
        <w:t>基本信息</w:t>
      </w:r>
    </w:p>
    <w:p w14:paraId="2C53CB8D">
      <w:pPr>
        <w:pStyle w:val="10"/>
        <w:spacing w:line="360" w:lineRule="auto"/>
        <w:ind w:firstLine="480" w:firstLineChars="200"/>
        <w:jc w:val="left"/>
        <w:rPr>
          <w:color w:val="auto"/>
          <w:sz w:val="24"/>
          <w:highlight w:val="none"/>
        </w:rPr>
      </w:pPr>
      <w:r>
        <w:rPr>
          <w:rFonts w:hint="eastAsia"/>
          <w:color w:val="auto"/>
          <w:sz w:val="24"/>
          <w:highlight w:val="none"/>
        </w:rPr>
        <w:t xml:space="preserve">标包编号：  </w:t>
      </w:r>
    </w:p>
    <w:p w14:paraId="5E2E1B99">
      <w:pPr>
        <w:pStyle w:val="10"/>
        <w:spacing w:line="360" w:lineRule="auto"/>
        <w:ind w:firstLine="480" w:firstLineChars="200"/>
        <w:jc w:val="left"/>
        <w:rPr>
          <w:color w:val="auto"/>
          <w:sz w:val="24"/>
          <w:highlight w:val="none"/>
        </w:rPr>
      </w:pPr>
      <w:r>
        <w:rPr>
          <w:rFonts w:hint="eastAsia"/>
          <w:color w:val="auto"/>
          <w:sz w:val="24"/>
          <w:highlight w:val="none"/>
        </w:rPr>
        <w:t>标包名称：</w:t>
      </w:r>
      <w:r>
        <w:rPr>
          <w:rFonts w:hint="eastAsia" w:ascii="Arial" w:hAnsi="Arial" w:cs="Arial"/>
          <w:color w:val="auto"/>
          <w:kern w:val="0"/>
          <w:sz w:val="24"/>
          <w:szCs w:val="18"/>
          <w:highlight w:val="none"/>
        </w:rPr>
        <w:t>后勤服务外包物业管理服务项目</w:t>
      </w:r>
    </w:p>
    <w:p w14:paraId="3145157C">
      <w:pPr>
        <w:pStyle w:val="10"/>
        <w:spacing w:line="360" w:lineRule="auto"/>
        <w:ind w:firstLine="480" w:firstLineChars="200"/>
        <w:jc w:val="left"/>
        <w:rPr>
          <w:color w:val="auto"/>
          <w:sz w:val="24"/>
          <w:highlight w:val="none"/>
        </w:rPr>
      </w:pPr>
      <w:r>
        <w:rPr>
          <w:rFonts w:hint="eastAsia"/>
          <w:color w:val="auto"/>
          <w:sz w:val="24"/>
          <w:highlight w:val="none"/>
        </w:rPr>
        <w:t>评标办法：综合评分法</w:t>
      </w:r>
    </w:p>
    <w:p w14:paraId="5209A389">
      <w:pPr>
        <w:pStyle w:val="10"/>
        <w:spacing w:line="360" w:lineRule="auto"/>
        <w:ind w:firstLine="480" w:firstLineChars="200"/>
        <w:jc w:val="left"/>
        <w:rPr>
          <w:rFonts w:hint="eastAsia" w:eastAsia="宋体"/>
          <w:color w:val="auto"/>
          <w:sz w:val="24"/>
          <w:highlight w:val="none"/>
          <w:lang w:eastAsia="zh-CN"/>
        </w:rPr>
      </w:pPr>
      <w:r>
        <w:rPr>
          <w:rFonts w:hint="eastAsia"/>
          <w:color w:val="auto"/>
          <w:sz w:val="24"/>
          <w:highlight w:val="none"/>
        </w:rPr>
        <w:t>是否考虑小微型企业价格扣除：</w:t>
      </w:r>
      <w:r>
        <w:rPr>
          <w:rFonts w:hint="eastAsia"/>
          <w:color w:val="auto"/>
          <w:sz w:val="24"/>
          <w:highlight w:val="none"/>
          <w:lang w:val="en-US" w:eastAsia="zh-CN"/>
        </w:rPr>
        <w:t>否</w:t>
      </w:r>
    </w:p>
    <w:p w14:paraId="321FBAD2">
      <w:pPr>
        <w:pStyle w:val="10"/>
        <w:spacing w:line="360" w:lineRule="auto"/>
        <w:ind w:firstLine="480" w:firstLineChars="200"/>
        <w:jc w:val="left"/>
        <w:rPr>
          <w:rFonts w:hint="eastAsia" w:eastAsia="宋体"/>
          <w:color w:val="auto"/>
          <w:sz w:val="24"/>
          <w:highlight w:val="none"/>
          <w:lang w:eastAsia="zh-CN"/>
        </w:rPr>
      </w:pPr>
      <w:r>
        <w:rPr>
          <w:rFonts w:hint="eastAsia"/>
          <w:color w:val="auto"/>
          <w:sz w:val="24"/>
          <w:highlight w:val="none"/>
        </w:rPr>
        <w:t>是否考虑政策性加分：</w:t>
      </w:r>
      <w:r>
        <w:rPr>
          <w:rFonts w:hint="eastAsia"/>
          <w:color w:val="auto"/>
          <w:sz w:val="24"/>
          <w:highlight w:val="none"/>
          <w:lang w:val="en-US" w:eastAsia="zh-CN"/>
        </w:rPr>
        <w:t>否</w:t>
      </w:r>
    </w:p>
    <w:p w14:paraId="77A727D5">
      <w:pPr>
        <w:pStyle w:val="10"/>
        <w:spacing w:line="360" w:lineRule="auto"/>
        <w:ind w:firstLine="480" w:firstLineChars="200"/>
        <w:jc w:val="left"/>
        <w:rPr>
          <w:color w:val="auto"/>
          <w:sz w:val="24"/>
          <w:highlight w:val="none"/>
        </w:rPr>
      </w:pPr>
      <w:r>
        <w:rPr>
          <w:rFonts w:hint="eastAsia"/>
          <w:color w:val="auto"/>
          <w:sz w:val="24"/>
          <w:highlight w:val="none"/>
        </w:rPr>
        <w:t>资格审查方式：资格后审</w:t>
      </w:r>
    </w:p>
    <w:p w14:paraId="6F839148">
      <w:pPr>
        <w:pStyle w:val="10"/>
        <w:spacing w:line="360" w:lineRule="auto"/>
        <w:ind w:firstLine="480" w:firstLineChars="200"/>
        <w:jc w:val="left"/>
        <w:rPr>
          <w:color w:val="auto"/>
          <w:sz w:val="24"/>
          <w:highlight w:val="none"/>
        </w:rPr>
      </w:pPr>
      <w:r>
        <w:rPr>
          <w:rFonts w:hint="eastAsia"/>
          <w:color w:val="auto"/>
          <w:sz w:val="24"/>
          <w:highlight w:val="none"/>
        </w:rPr>
        <w:t>是否接受联合体：否</w:t>
      </w:r>
    </w:p>
    <w:p w14:paraId="3792E4B1">
      <w:pPr>
        <w:pStyle w:val="10"/>
        <w:spacing w:line="360" w:lineRule="auto"/>
        <w:ind w:firstLine="480" w:firstLineChars="200"/>
        <w:jc w:val="left"/>
        <w:rPr>
          <w:color w:val="auto"/>
          <w:sz w:val="24"/>
          <w:highlight w:val="none"/>
        </w:rPr>
      </w:pPr>
      <w:r>
        <w:rPr>
          <w:rFonts w:hint="eastAsia"/>
          <w:color w:val="auto"/>
          <w:sz w:val="24"/>
          <w:highlight w:val="none"/>
        </w:rPr>
        <w:t>是否缴纳投标保证金：是</w:t>
      </w:r>
    </w:p>
    <w:p w14:paraId="12C87B69">
      <w:pPr>
        <w:pStyle w:val="10"/>
        <w:spacing w:line="360" w:lineRule="auto"/>
        <w:ind w:firstLine="480" w:firstLineChars="200"/>
        <w:jc w:val="left"/>
        <w:rPr>
          <w:color w:val="auto"/>
          <w:sz w:val="24"/>
          <w:highlight w:val="none"/>
        </w:rPr>
      </w:pPr>
      <w:r>
        <w:rPr>
          <w:rFonts w:hint="eastAsia"/>
          <w:color w:val="auto"/>
          <w:sz w:val="24"/>
          <w:highlight w:val="none"/>
        </w:rPr>
        <w:t>中标方法：推荐中标候选人</w:t>
      </w:r>
    </w:p>
    <w:p w14:paraId="34FD732A">
      <w:pPr>
        <w:pStyle w:val="10"/>
        <w:spacing w:line="360" w:lineRule="auto"/>
        <w:ind w:firstLine="480" w:firstLineChars="200"/>
        <w:jc w:val="left"/>
        <w:rPr>
          <w:color w:val="auto"/>
          <w:sz w:val="24"/>
          <w:highlight w:val="none"/>
        </w:rPr>
      </w:pPr>
      <w:r>
        <w:rPr>
          <w:rFonts w:hint="eastAsia"/>
          <w:color w:val="auto"/>
          <w:sz w:val="24"/>
          <w:highlight w:val="none"/>
        </w:rPr>
        <w:t>核心产品名称： /</w:t>
      </w:r>
    </w:p>
    <w:p w14:paraId="31A11AEC">
      <w:pPr>
        <w:pStyle w:val="10"/>
        <w:spacing w:line="360" w:lineRule="auto"/>
        <w:ind w:firstLine="480" w:firstLineChars="200"/>
        <w:jc w:val="left"/>
        <w:rPr>
          <w:color w:val="auto"/>
          <w:sz w:val="24"/>
          <w:highlight w:val="none"/>
        </w:rPr>
      </w:pPr>
      <w:r>
        <w:rPr>
          <w:rFonts w:hint="eastAsia"/>
          <w:color w:val="auto"/>
          <w:sz w:val="24"/>
          <w:highlight w:val="none"/>
        </w:rPr>
        <w:t>报价评审：有</w:t>
      </w:r>
    </w:p>
    <w:p w14:paraId="129C7A7A">
      <w:pPr>
        <w:pStyle w:val="10"/>
        <w:spacing w:line="360" w:lineRule="auto"/>
        <w:ind w:firstLine="480" w:firstLineChars="200"/>
        <w:jc w:val="left"/>
        <w:rPr>
          <w:rFonts w:ascii="宋体" w:hAnsi="宋体" w:cs="宋体"/>
          <w:color w:val="auto"/>
          <w:sz w:val="24"/>
          <w:highlight w:val="none"/>
        </w:rPr>
      </w:pPr>
      <w:r>
        <w:rPr>
          <w:rFonts w:hint="eastAsia"/>
          <w:color w:val="auto"/>
          <w:sz w:val="24"/>
          <w:highlight w:val="none"/>
        </w:rPr>
        <w:t>预算金额</w:t>
      </w:r>
      <w:r>
        <w:rPr>
          <w:color w:val="auto"/>
          <w:sz w:val="24"/>
          <w:highlight w:val="none"/>
        </w:rPr>
        <w:t>(</w:t>
      </w:r>
      <w:r>
        <w:rPr>
          <w:rFonts w:hint="eastAsia"/>
          <w:color w:val="auto"/>
          <w:sz w:val="24"/>
          <w:highlight w:val="none"/>
        </w:rPr>
        <w:t>元</w:t>
      </w:r>
      <w:r>
        <w:rPr>
          <w:color w:val="auto"/>
          <w:sz w:val="24"/>
          <w:highlight w:val="none"/>
        </w:rPr>
        <w:t>)</w:t>
      </w:r>
      <w:r>
        <w:rPr>
          <w:rFonts w:hint="eastAsia"/>
          <w:color w:val="auto"/>
          <w:sz w:val="24"/>
          <w:highlight w:val="none"/>
        </w:rPr>
        <w:t xml:space="preserve">： </w:t>
      </w:r>
      <w:r>
        <w:rPr>
          <w:rFonts w:hint="eastAsia" w:ascii="宋体" w:hAnsi="宋体" w:cs="宋体"/>
          <w:color w:val="auto"/>
          <w:sz w:val="24"/>
          <w:highlight w:val="none"/>
          <w:lang w:val="en-US" w:eastAsia="zh-CN"/>
        </w:rPr>
        <w:t>19810800.00</w:t>
      </w:r>
      <w:r>
        <w:rPr>
          <w:rFonts w:hint="eastAsia" w:ascii="宋体" w:hAnsi="宋体" w:cs="宋体"/>
          <w:color w:val="auto"/>
          <w:sz w:val="24"/>
          <w:highlight w:val="none"/>
        </w:rPr>
        <w:t>元</w:t>
      </w:r>
    </w:p>
    <w:p w14:paraId="42B22569">
      <w:pPr>
        <w:pStyle w:val="10"/>
        <w:spacing w:line="360" w:lineRule="auto"/>
        <w:jc w:val="left"/>
        <w:rPr>
          <w:rFonts w:hint="eastAsia"/>
          <w:color w:val="auto"/>
          <w:sz w:val="24"/>
          <w:highlight w:val="none"/>
        </w:rPr>
      </w:pPr>
    </w:p>
    <w:p w14:paraId="351BF922">
      <w:pPr>
        <w:pStyle w:val="10"/>
        <w:spacing w:line="360" w:lineRule="auto"/>
        <w:jc w:val="left"/>
        <w:rPr>
          <w:color w:val="auto"/>
          <w:sz w:val="24"/>
          <w:highlight w:val="none"/>
        </w:rPr>
      </w:pPr>
      <w:r>
        <w:rPr>
          <w:rFonts w:hint="eastAsia"/>
          <w:color w:val="auto"/>
          <w:sz w:val="24"/>
          <w:highlight w:val="none"/>
        </w:rPr>
        <w:t>资格性审查</w:t>
      </w:r>
    </w:p>
    <w:tbl>
      <w:tblPr>
        <w:tblStyle w:val="21"/>
        <w:tblW w:w="94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4394"/>
        <w:gridCol w:w="4077"/>
      </w:tblGrid>
      <w:tr w14:paraId="1ACF7D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74A20B8">
            <w:pPr>
              <w:pStyle w:val="10"/>
              <w:spacing w:line="360" w:lineRule="auto"/>
              <w:jc w:val="center"/>
              <w:rPr>
                <w:color w:val="auto"/>
                <w:sz w:val="24"/>
                <w:highlight w:val="none"/>
              </w:rPr>
            </w:pPr>
            <w:r>
              <w:rPr>
                <w:rFonts w:hint="eastAsia"/>
                <w:color w:val="auto"/>
                <w:sz w:val="24"/>
                <w:highlight w:val="none"/>
              </w:rPr>
              <w:t>序号</w:t>
            </w:r>
          </w:p>
        </w:tc>
        <w:tc>
          <w:tcPr>
            <w:tcW w:w="4394" w:type="dxa"/>
            <w:vAlign w:val="center"/>
          </w:tcPr>
          <w:p w14:paraId="6AFCE9B3">
            <w:pPr>
              <w:pStyle w:val="10"/>
              <w:spacing w:line="360" w:lineRule="auto"/>
              <w:jc w:val="center"/>
              <w:rPr>
                <w:color w:val="auto"/>
                <w:sz w:val="24"/>
                <w:highlight w:val="none"/>
              </w:rPr>
            </w:pPr>
            <w:r>
              <w:rPr>
                <w:rFonts w:hint="eastAsia"/>
                <w:color w:val="auto"/>
                <w:sz w:val="24"/>
                <w:highlight w:val="none"/>
              </w:rPr>
              <w:t>评审因素</w:t>
            </w:r>
          </w:p>
        </w:tc>
        <w:tc>
          <w:tcPr>
            <w:tcW w:w="4077" w:type="dxa"/>
            <w:vAlign w:val="center"/>
          </w:tcPr>
          <w:p w14:paraId="3238AE2B">
            <w:pPr>
              <w:pStyle w:val="10"/>
              <w:spacing w:line="360" w:lineRule="auto"/>
              <w:jc w:val="center"/>
              <w:rPr>
                <w:color w:val="auto"/>
                <w:sz w:val="24"/>
                <w:highlight w:val="none"/>
              </w:rPr>
            </w:pPr>
            <w:r>
              <w:rPr>
                <w:rFonts w:hint="eastAsia"/>
                <w:color w:val="auto"/>
                <w:sz w:val="24"/>
                <w:highlight w:val="none"/>
              </w:rPr>
              <w:t>评审标准</w:t>
            </w:r>
          </w:p>
        </w:tc>
      </w:tr>
      <w:tr w14:paraId="474B94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03A3347">
            <w:pPr>
              <w:pStyle w:val="10"/>
              <w:spacing w:line="360" w:lineRule="auto"/>
              <w:jc w:val="center"/>
              <w:rPr>
                <w:color w:val="auto"/>
                <w:sz w:val="24"/>
                <w:highlight w:val="none"/>
              </w:rPr>
            </w:pPr>
            <w:r>
              <w:rPr>
                <w:rFonts w:hint="eastAsia"/>
                <w:color w:val="auto"/>
                <w:sz w:val="24"/>
                <w:highlight w:val="none"/>
              </w:rPr>
              <w:t>1</w:t>
            </w:r>
          </w:p>
        </w:tc>
        <w:tc>
          <w:tcPr>
            <w:tcW w:w="4394" w:type="dxa"/>
            <w:vAlign w:val="center"/>
          </w:tcPr>
          <w:p w14:paraId="68188955">
            <w:pPr>
              <w:pStyle w:val="10"/>
              <w:spacing w:line="360" w:lineRule="auto"/>
              <w:jc w:val="center"/>
              <w:rPr>
                <w:color w:val="auto"/>
                <w:sz w:val="24"/>
                <w:highlight w:val="none"/>
              </w:rPr>
            </w:pPr>
            <w:r>
              <w:rPr>
                <w:rFonts w:hint="eastAsia"/>
                <w:color w:val="auto"/>
                <w:sz w:val="24"/>
                <w:highlight w:val="none"/>
              </w:rPr>
              <w:t>具有独立承担民事责任的能力</w:t>
            </w:r>
          </w:p>
        </w:tc>
        <w:tc>
          <w:tcPr>
            <w:tcW w:w="4077" w:type="dxa"/>
            <w:vAlign w:val="center"/>
          </w:tcPr>
          <w:p w14:paraId="7F55D721">
            <w:pPr>
              <w:pStyle w:val="10"/>
              <w:spacing w:line="360" w:lineRule="auto"/>
              <w:jc w:val="center"/>
              <w:rPr>
                <w:color w:val="auto"/>
                <w:sz w:val="24"/>
                <w:highlight w:val="none"/>
              </w:rPr>
            </w:pPr>
            <w:r>
              <w:rPr>
                <w:rFonts w:hint="eastAsia"/>
                <w:color w:val="auto"/>
                <w:sz w:val="24"/>
                <w:highlight w:val="none"/>
              </w:rPr>
              <w:t>提供法人或其他组织的营业执照等证明文件，或自然人身份证明；</w:t>
            </w:r>
          </w:p>
        </w:tc>
      </w:tr>
      <w:tr w14:paraId="198971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9BE099E">
            <w:pPr>
              <w:pStyle w:val="10"/>
              <w:spacing w:line="360" w:lineRule="auto"/>
              <w:jc w:val="center"/>
              <w:rPr>
                <w:color w:val="auto"/>
                <w:sz w:val="24"/>
                <w:highlight w:val="none"/>
              </w:rPr>
            </w:pPr>
            <w:r>
              <w:rPr>
                <w:rFonts w:hint="eastAsia"/>
                <w:color w:val="auto"/>
                <w:sz w:val="24"/>
                <w:highlight w:val="none"/>
              </w:rPr>
              <w:t>2</w:t>
            </w:r>
          </w:p>
        </w:tc>
        <w:tc>
          <w:tcPr>
            <w:tcW w:w="4394" w:type="dxa"/>
            <w:vAlign w:val="center"/>
          </w:tcPr>
          <w:p w14:paraId="667099E0">
            <w:pPr>
              <w:pStyle w:val="10"/>
              <w:spacing w:line="360" w:lineRule="auto"/>
              <w:jc w:val="center"/>
              <w:rPr>
                <w:color w:val="auto"/>
                <w:sz w:val="24"/>
                <w:highlight w:val="none"/>
              </w:rPr>
            </w:pPr>
            <w:r>
              <w:rPr>
                <w:rFonts w:hint="eastAsia"/>
                <w:color w:val="auto"/>
                <w:sz w:val="24"/>
                <w:highlight w:val="none"/>
              </w:rPr>
              <w:t>具有良好的商业信誉和健全的财</w:t>
            </w:r>
          </w:p>
          <w:p w14:paraId="33C12701">
            <w:pPr>
              <w:pStyle w:val="10"/>
              <w:spacing w:line="360" w:lineRule="auto"/>
              <w:jc w:val="center"/>
              <w:rPr>
                <w:color w:val="auto"/>
                <w:sz w:val="24"/>
                <w:highlight w:val="none"/>
              </w:rPr>
            </w:pPr>
            <w:r>
              <w:rPr>
                <w:rFonts w:hint="eastAsia"/>
                <w:color w:val="auto"/>
                <w:sz w:val="24"/>
                <w:highlight w:val="none"/>
              </w:rPr>
              <w:t>务会计制度</w:t>
            </w:r>
          </w:p>
        </w:tc>
        <w:tc>
          <w:tcPr>
            <w:tcW w:w="4077" w:type="dxa"/>
            <w:vAlign w:val="center"/>
          </w:tcPr>
          <w:p w14:paraId="399EAC65">
            <w:pPr>
              <w:pStyle w:val="10"/>
              <w:spacing w:line="360" w:lineRule="auto"/>
              <w:jc w:val="center"/>
              <w:rPr>
                <w:color w:val="auto"/>
                <w:sz w:val="24"/>
                <w:highlight w:val="none"/>
              </w:rPr>
            </w:pPr>
            <w:r>
              <w:rPr>
                <w:rFonts w:hint="eastAsia"/>
                <w:color w:val="auto"/>
                <w:sz w:val="24"/>
                <w:highlight w:val="none"/>
              </w:rPr>
              <w:t>提供</w:t>
            </w:r>
            <w:r>
              <w:rPr>
                <w:rFonts w:hint="eastAsia"/>
                <w:color w:val="auto"/>
                <w:sz w:val="24"/>
                <w:highlight w:val="none"/>
                <w:lang w:val="en-US" w:eastAsia="zh-CN"/>
              </w:rPr>
              <w:t>2024</w:t>
            </w:r>
            <w:r>
              <w:rPr>
                <w:rFonts w:hint="eastAsia"/>
                <w:color w:val="auto"/>
                <w:sz w:val="24"/>
                <w:highlight w:val="none"/>
              </w:rPr>
              <w:t>年度经合法审计机构出具的财务审计报告，或由基本开户银行出具的</w:t>
            </w:r>
            <w:r>
              <w:rPr>
                <w:rFonts w:hint="eastAsia"/>
                <w:color w:val="auto"/>
                <w:sz w:val="24"/>
                <w:highlight w:val="none"/>
                <w:lang w:val="en-US" w:eastAsia="zh-CN"/>
              </w:rPr>
              <w:t>2025年有效的</w:t>
            </w:r>
            <w:r>
              <w:rPr>
                <w:rFonts w:hint="eastAsia"/>
                <w:color w:val="auto"/>
                <w:sz w:val="24"/>
                <w:highlight w:val="none"/>
              </w:rPr>
              <w:t>资信证明。</w:t>
            </w:r>
          </w:p>
        </w:tc>
      </w:tr>
      <w:tr w14:paraId="3D67B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7123964">
            <w:pPr>
              <w:pStyle w:val="10"/>
              <w:spacing w:line="360" w:lineRule="auto"/>
              <w:jc w:val="center"/>
              <w:rPr>
                <w:color w:val="auto"/>
                <w:sz w:val="24"/>
                <w:highlight w:val="none"/>
              </w:rPr>
            </w:pPr>
            <w:r>
              <w:rPr>
                <w:rFonts w:hint="eastAsia"/>
                <w:color w:val="auto"/>
                <w:sz w:val="24"/>
                <w:highlight w:val="none"/>
              </w:rPr>
              <w:t>3</w:t>
            </w:r>
          </w:p>
        </w:tc>
        <w:tc>
          <w:tcPr>
            <w:tcW w:w="4394" w:type="dxa"/>
            <w:vAlign w:val="center"/>
          </w:tcPr>
          <w:p w14:paraId="59F086A4">
            <w:pPr>
              <w:pStyle w:val="10"/>
              <w:spacing w:line="360" w:lineRule="auto"/>
              <w:jc w:val="center"/>
              <w:rPr>
                <w:color w:val="auto"/>
                <w:sz w:val="24"/>
                <w:highlight w:val="none"/>
              </w:rPr>
            </w:pPr>
            <w:r>
              <w:rPr>
                <w:rFonts w:hint="eastAsia"/>
                <w:color w:val="auto"/>
                <w:sz w:val="24"/>
                <w:highlight w:val="none"/>
              </w:rPr>
              <w:t>具有依法缴纳税收和社会保障资</w:t>
            </w:r>
            <w:r>
              <w:rPr>
                <w:rFonts w:hint="eastAsia"/>
                <w:color w:val="auto"/>
                <w:sz w:val="24"/>
                <w:highlight w:val="none"/>
              </w:rPr>
              <w:cr/>
            </w:r>
            <w:r>
              <w:rPr>
                <w:rFonts w:hint="eastAsia"/>
                <w:color w:val="auto"/>
                <w:sz w:val="24"/>
                <w:highlight w:val="none"/>
              </w:rPr>
              <w:t>金的良好记录</w:t>
            </w:r>
          </w:p>
        </w:tc>
        <w:tc>
          <w:tcPr>
            <w:tcW w:w="4077" w:type="dxa"/>
            <w:vAlign w:val="center"/>
          </w:tcPr>
          <w:p w14:paraId="629D9AD5">
            <w:pPr>
              <w:pStyle w:val="10"/>
              <w:spacing w:line="360" w:lineRule="auto"/>
              <w:jc w:val="center"/>
              <w:rPr>
                <w:color w:val="auto"/>
                <w:sz w:val="24"/>
                <w:highlight w:val="none"/>
              </w:rPr>
            </w:pPr>
            <w:r>
              <w:rPr>
                <w:rFonts w:hint="eastAsia"/>
                <w:color w:val="auto"/>
                <w:sz w:val="24"/>
                <w:highlight w:val="none"/>
              </w:rPr>
              <w:t>提供202</w:t>
            </w:r>
            <w:r>
              <w:rPr>
                <w:rFonts w:hint="eastAsia"/>
                <w:color w:val="auto"/>
                <w:sz w:val="24"/>
                <w:highlight w:val="none"/>
                <w:lang w:val="en-US" w:eastAsia="zh-CN"/>
              </w:rPr>
              <w:t>5</w:t>
            </w:r>
            <w:r>
              <w:rPr>
                <w:rFonts w:hint="eastAsia"/>
                <w:color w:val="auto"/>
                <w:sz w:val="24"/>
                <w:highlight w:val="none"/>
              </w:rPr>
              <w:t>年至今任意1个月依法缴纳税收和社会保障资金的有效证明材料（不需要缴纳税收的提供相关证明材料）；</w:t>
            </w:r>
          </w:p>
        </w:tc>
      </w:tr>
      <w:tr w14:paraId="32B566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9" w:hRule="atLeast"/>
        </w:trPr>
        <w:tc>
          <w:tcPr>
            <w:tcW w:w="959" w:type="dxa"/>
            <w:vAlign w:val="center"/>
          </w:tcPr>
          <w:p w14:paraId="14CFB854">
            <w:pPr>
              <w:pStyle w:val="10"/>
              <w:spacing w:line="360" w:lineRule="auto"/>
              <w:jc w:val="center"/>
              <w:rPr>
                <w:color w:val="auto"/>
                <w:sz w:val="24"/>
                <w:highlight w:val="none"/>
              </w:rPr>
            </w:pPr>
            <w:r>
              <w:rPr>
                <w:rFonts w:hint="eastAsia"/>
                <w:color w:val="auto"/>
                <w:sz w:val="24"/>
                <w:highlight w:val="none"/>
              </w:rPr>
              <w:t>4</w:t>
            </w:r>
          </w:p>
        </w:tc>
        <w:tc>
          <w:tcPr>
            <w:tcW w:w="4394" w:type="dxa"/>
            <w:vAlign w:val="center"/>
          </w:tcPr>
          <w:p w14:paraId="46F47393">
            <w:pPr>
              <w:pStyle w:val="10"/>
              <w:spacing w:line="360" w:lineRule="auto"/>
              <w:jc w:val="center"/>
              <w:rPr>
                <w:color w:val="auto"/>
                <w:sz w:val="24"/>
                <w:highlight w:val="none"/>
              </w:rPr>
            </w:pPr>
            <w:r>
              <w:rPr>
                <w:rFonts w:hint="eastAsia"/>
                <w:color w:val="auto"/>
                <w:sz w:val="24"/>
                <w:highlight w:val="none"/>
              </w:rPr>
              <w:t>具备履行合同所必需的设备和专</w:t>
            </w:r>
          </w:p>
          <w:p w14:paraId="1D7DA092">
            <w:pPr>
              <w:pStyle w:val="10"/>
              <w:spacing w:line="360" w:lineRule="auto"/>
              <w:jc w:val="center"/>
              <w:rPr>
                <w:color w:val="auto"/>
                <w:sz w:val="24"/>
                <w:highlight w:val="none"/>
              </w:rPr>
            </w:pPr>
            <w:r>
              <w:rPr>
                <w:rFonts w:hint="eastAsia"/>
                <w:color w:val="auto"/>
                <w:sz w:val="24"/>
                <w:highlight w:val="none"/>
              </w:rPr>
              <w:t>业技术能力</w:t>
            </w:r>
          </w:p>
        </w:tc>
        <w:tc>
          <w:tcPr>
            <w:tcW w:w="4077" w:type="dxa"/>
            <w:vAlign w:val="center"/>
          </w:tcPr>
          <w:p w14:paraId="0D72930B">
            <w:pPr>
              <w:pStyle w:val="10"/>
              <w:spacing w:line="360" w:lineRule="auto"/>
              <w:jc w:val="center"/>
              <w:rPr>
                <w:color w:val="auto"/>
                <w:sz w:val="24"/>
                <w:highlight w:val="none"/>
              </w:rPr>
            </w:pPr>
            <w:r>
              <w:rPr>
                <w:rFonts w:hint="eastAsia"/>
                <w:color w:val="auto"/>
                <w:sz w:val="24"/>
                <w:highlight w:val="none"/>
              </w:rPr>
              <w:t>提供具备履行合同所必需的设备和专业技术能力的证明材料（供应商自行承诺，格式自拟）；</w:t>
            </w:r>
          </w:p>
        </w:tc>
      </w:tr>
      <w:tr w14:paraId="367ACC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2B462BB">
            <w:pPr>
              <w:pStyle w:val="10"/>
              <w:spacing w:line="360" w:lineRule="auto"/>
              <w:jc w:val="center"/>
              <w:rPr>
                <w:color w:val="auto"/>
                <w:sz w:val="24"/>
                <w:highlight w:val="none"/>
              </w:rPr>
            </w:pPr>
            <w:r>
              <w:rPr>
                <w:rFonts w:hint="eastAsia"/>
                <w:color w:val="auto"/>
                <w:sz w:val="24"/>
                <w:highlight w:val="none"/>
              </w:rPr>
              <w:t>5</w:t>
            </w:r>
          </w:p>
        </w:tc>
        <w:tc>
          <w:tcPr>
            <w:tcW w:w="4394" w:type="dxa"/>
            <w:vAlign w:val="center"/>
          </w:tcPr>
          <w:p w14:paraId="2621AB03">
            <w:pPr>
              <w:pStyle w:val="10"/>
              <w:spacing w:line="360" w:lineRule="auto"/>
              <w:jc w:val="center"/>
              <w:rPr>
                <w:color w:val="auto"/>
                <w:sz w:val="24"/>
                <w:highlight w:val="none"/>
              </w:rPr>
            </w:pPr>
            <w:r>
              <w:rPr>
                <w:rFonts w:hint="eastAsia"/>
                <w:color w:val="auto"/>
                <w:sz w:val="24"/>
                <w:highlight w:val="none"/>
              </w:rPr>
              <w:t>参加政府采购活动前3年内在经</w:t>
            </w:r>
          </w:p>
          <w:p w14:paraId="2BCBBEF9">
            <w:pPr>
              <w:pStyle w:val="10"/>
              <w:spacing w:line="360" w:lineRule="auto"/>
              <w:jc w:val="center"/>
              <w:rPr>
                <w:color w:val="auto"/>
                <w:sz w:val="24"/>
                <w:highlight w:val="none"/>
              </w:rPr>
            </w:pPr>
            <w:r>
              <w:rPr>
                <w:rFonts w:hint="eastAsia"/>
                <w:color w:val="auto"/>
                <w:sz w:val="24"/>
                <w:highlight w:val="none"/>
              </w:rPr>
              <w:t>营活动中没有重大违法记录的书</w:t>
            </w:r>
          </w:p>
          <w:p w14:paraId="38B63304">
            <w:pPr>
              <w:pStyle w:val="10"/>
              <w:spacing w:line="360" w:lineRule="auto"/>
              <w:jc w:val="center"/>
              <w:rPr>
                <w:color w:val="auto"/>
                <w:sz w:val="24"/>
                <w:highlight w:val="none"/>
              </w:rPr>
            </w:pPr>
            <w:r>
              <w:rPr>
                <w:rFonts w:hint="eastAsia"/>
                <w:color w:val="auto"/>
                <w:sz w:val="24"/>
                <w:highlight w:val="none"/>
              </w:rPr>
              <w:t>面声明</w:t>
            </w:r>
          </w:p>
        </w:tc>
        <w:tc>
          <w:tcPr>
            <w:tcW w:w="4077" w:type="dxa"/>
            <w:vAlign w:val="center"/>
          </w:tcPr>
          <w:p w14:paraId="2A6AE00E">
            <w:pPr>
              <w:pStyle w:val="10"/>
              <w:spacing w:line="360" w:lineRule="auto"/>
              <w:jc w:val="center"/>
              <w:rPr>
                <w:color w:val="auto"/>
                <w:sz w:val="24"/>
                <w:highlight w:val="none"/>
              </w:rPr>
            </w:pPr>
            <w:r>
              <w:rPr>
                <w:rFonts w:hint="eastAsia"/>
                <w:color w:val="auto"/>
                <w:sz w:val="24"/>
                <w:highlight w:val="none"/>
              </w:rPr>
              <w:t>提供参加政府采购活动前3年内在经营活动中没有重大违法记录的书面声明（格式文件详见投标文件范本）；</w:t>
            </w:r>
          </w:p>
        </w:tc>
      </w:tr>
      <w:tr w14:paraId="14C843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7275843">
            <w:pPr>
              <w:pStyle w:val="10"/>
              <w:spacing w:line="360" w:lineRule="auto"/>
              <w:jc w:val="center"/>
              <w:rPr>
                <w:color w:val="auto"/>
                <w:sz w:val="24"/>
                <w:highlight w:val="none"/>
              </w:rPr>
            </w:pPr>
            <w:r>
              <w:rPr>
                <w:rFonts w:hint="eastAsia"/>
                <w:color w:val="auto"/>
                <w:sz w:val="24"/>
                <w:highlight w:val="none"/>
              </w:rPr>
              <w:t>6</w:t>
            </w:r>
          </w:p>
        </w:tc>
        <w:tc>
          <w:tcPr>
            <w:tcW w:w="4394" w:type="dxa"/>
            <w:vAlign w:val="center"/>
          </w:tcPr>
          <w:p w14:paraId="4F586349">
            <w:pPr>
              <w:pStyle w:val="10"/>
              <w:spacing w:line="360" w:lineRule="auto"/>
              <w:jc w:val="center"/>
              <w:rPr>
                <w:color w:val="auto"/>
                <w:sz w:val="24"/>
                <w:highlight w:val="none"/>
              </w:rPr>
            </w:pPr>
            <w:r>
              <w:rPr>
                <w:rFonts w:hint="eastAsia"/>
                <w:color w:val="auto"/>
                <w:sz w:val="24"/>
                <w:highlight w:val="none"/>
              </w:rPr>
              <w:t>供应商需提供承诺函</w:t>
            </w:r>
          </w:p>
        </w:tc>
        <w:tc>
          <w:tcPr>
            <w:tcW w:w="4077" w:type="dxa"/>
            <w:vAlign w:val="center"/>
          </w:tcPr>
          <w:p w14:paraId="62D0C01F">
            <w:pPr>
              <w:tabs>
                <w:tab w:val="left" w:pos="312"/>
              </w:tabs>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tc>
      </w:tr>
      <w:tr w14:paraId="709586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FBA28EC">
            <w:pPr>
              <w:pStyle w:val="10"/>
              <w:spacing w:line="360" w:lineRule="auto"/>
              <w:jc w:val="center"/>
              <w:rPr>
                <w:color w:val="auto"/>
                <w:sz w:val="24"/>
                <w:highlight w:val="none"/>
              </w:rPr>
            </w:pPr>
            <w:r>
              <w:rPr>
                <w:rFonts w:hint="eastAsia"/>
                <w:color w:val="auto"/>
                <w:sz w:val="24"/>
                <w:highlight w:val="none"/>
              </w:rPr>
              <w:t>7</w:t>
            </w:r>
          </w:p>
        </w:tc>
        <w:tc>
          <w:tcPr>
            <w:tcW w:w="4394" w:type="dxa"/>
            <w:shd w:val="clear" w:color="auto" w:fill="auto"/>
            <w:vAlign w:val="center"/>
          </w:tcPr>
          <w:p w14:paraId="2EC63513">
            <w:pPr>
              <w:pStyle w:val="10"/>
              <w:spacing w:line="360" w:lineRule="auto"/>
              <w:jc w:val="center"/>
              <w:rPr>
                <w:rFonts w:ascii="Calibri" w:hAnsi="Calibri" w:eastAsia="宋体" w:cs="黑体"/>
                <w:color w:val="auto"/>
                <w:kern w:val="2"/>
                <w:sz w:val="24"/>
                <w:szCs w:val="24"/>
                <w:highlight w:val="none"/>
                <w:lang w:val="en-US" w:eastAsia="zh-CN" w:bidi="ar-SA"/>
              </w:rPr>
            </w:pPr>
            <w:r>
              <w:rPr>
                <w:rFonts w:hint="eastAsia"/>
                <w:color w:val="auto"/>
                <w:sz w:val="24"/>
                <w:highlight w:val="none"/>
              </w:rPr>
              <w:t>特殊资格要求</w:t>
            </w:r>
          </w:p>
        </w:tc>
        <w:tc>
          <w:tcPr>
            <w:tcW w:w="4077" w:type="dxa"/>
            <w:shd w:val="clear" w:color="auto" w:fill="auto"/>
            <w:vAlign w:val="center"/>
          </w:tcPr>
          <w:p w14:paraId="090AD480">
            <w:pPr>
              <w:pStyle w:val="10"/>
              <w:spacing w:line="360" w:lineRule="auto"/>
              <w:jc w:val="center"/>
              <w:rPr>
                <w:rFonts w:ascii="Arial" w:hAnsi="Arial" w:eastAsia="宋体" w:cs="Arial"/>
                <w:color w:val="auto"/>
                <w:kern w:val="0"/>
                <w:sz w:val="24"/>
                <w:szCs w:val="18"/>
                <w:highlight w:val="none"/>
                <w:lang w:val="en-US" w:eastAsia="zh-CN" w:bidi="ar-SA"/>
              </w:rPr>
            </w:pPr>
            <w:r>
              <w:rPr>
                <w:rFonts w:hint="eastAsia" w:ascii="Arial" w:hAnsi="Arial" w:cs="Arial"/>
                <w:color w:val="auto"/>
                <w:kern w:val="0"/>
                <w:sz w:val="24"/>
                <w:szCs w:val="18"/>
                <w:highlight w:val="none"/>
              </w:rPr>
              <w:t>无</w:t>
            </w:r>
            <w:r>
              <w:rPr>
                <w:rFonts w:hint="eastAsia" w:ascii="宋体" w:hAnsi="宋体" w:cs="宋体"/>
                <w:color w:val="auto"/>
                <w:spacing w:val="-1"/>
                <w:sz w:val="24"/>
                <w:highlight w:val="none"/>
                <w:shd w:val="clear" w:color="auto" w:fill="FFFFFE"/>
              </w:rPr>
              <w:t>。</w:t>
            </w:r>
          </w:p>
        </w:tc>
      </w:tr>
    </w:tbl>
    <w:p w14:paraId="37970F0F">
      <w:pPr>
        <w:pStyle w:val="10"/>
        <w:spacing w:line="360" w:lineRule="auto"/>
        <w:jc w:val="left"/>
        <w:rPr>
          <w:color w:val="auto"/>
          <w:sz w:val="24"/>
          <w:highlight w:val="none"/>
        </w:rPr>
      </w:pPr>
    </w:p>
    <w:p w14:paraId="2DB17AF6">
      <w:pPr>
        <w:pStyle w:val="10"/>
        <w:spacing w:line="360" w:lineRule="auto"/>
        <w:jc w:val="left"/>
        <w:rPr>
          <w:color w:val="auto"/>
          <w:sz w:val="24"/>
          <w:highlight w:val="none"/>
        </w:rPr>
      </w:pPr>
      <w:r>
        <w:rPr>
          <w:rFonts w:hint="eastAsia"/>
          <w:color w:val="auto"/>
          <w:sz w:val="24"/>
          <w:highlight w:val="none"/>
        </w:rPr>
        <w:t>符合性审查</w:t>
      </w:r>
    </w:p>
    <w:tbl>
      <w:tblPr>
        <w:tblStyle w:val="21"/>
        <w:tblW w:w="94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3827"/>
        <w:gridCol w:w="4644"/>
      </w:tblGrid>
      <w:tr w14:paraId="5C577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5C01185">
            <w:pPr>
              <w:pStyle w:val="10"/>
              <w:spacing w:line="360" w:lineRule="auto"/>
              <w:jc w:val="center"/>
              <w:rPr>
                <w:color w:val="auto"/>
                <w:sz w:val="24"/>
                <w:highlight w:val="none"/>
              </w:rPr>
            </w:pPr>
            <w:r>
              <w:rPr>
                <w:rFonts w:hint="eastAsia"/>
                <w:color w:val="auto"/>
                <w:sz w:val="24"/>
                <w:highlight w:val="none"/>
              </w:rPr>
              <w:t>序号</w:t>
            </w:r>
          </w:p>
        </w:tc>
        <w:tc>
          <w:tcPr>
            <w:tcW w:w="3827" w:type="dxa"/>
            <w:vAlign w:val="center"/>
          </w:tcPr>
          <w:p w14:paraId="589835BD">
            <w:pPr>
              <w:pStyle w:val="10"/>
              <w:spacing w:line="360" w:lineRule="auto"/>
              <w:jc w:val="center"/>
              <w:rPr>
                <w:color w:val="auto"/>
                <w:sz w:val="24"/>
                <w:highlight w:val="none"/>
              </w:rPr>
            </w:pPr>
            <w:r>
              <w:rPr>
                <w:rFonts w:hint="eastAsia"/>
                <w:color w:val="auto"/>
                <w:sz w:val="24"/>
                <w:highlight w:val="none"/>
              </w:rPr>
              <w:t>评审因素</w:t>
            </w:r>
          </w:p>
        </w:tc>
        <w:tc>
          <w:tcPr>
            <w:tcW w:w="4644" w:type="dxa"/>
            <w:vAlign w:val="center"/>
          </w:tcPr>
          <w:p w14:paraId="185329C4">
            <w:pPr>
              <w:pStyle w:val="10"/>
              <w:spacing w:line="360" w:lineRule="auto"/>
              <w:jc w:val="center"/>
              <w:rPr>
                <w:color w:val="auto"/>
                <w:sz w:val="24"/>
                <w:highlight w:val="none"/>
              </w:rPr>
            </w:pPr>
            <w:r>
              <w:rPr>
                <w:rFonts w:hint="eastAsia"/>
                <w:color w:val="auto"/>
                <w:sz w:val="24"/>
                <w:highlight w:val="none"/>
              </w:rPr>
              <w:t>评审标准</w:t>
            </w:r>
          </w:p>
        </w:tc>
      </w:tr>
      <w:tr w14:paraId="0A2090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4BC49A0">
            <w:pPr>
              <w:pStyle w:val="10"/>
              <w:spacing w:line="360" w:lineRule="auto"/>
              <w:jc w:val="center"/>
              <w:rPr>
                <w:color w:val="auto"/>
                <w:sz w:val="24"/>
                <w:highlight w:val="none"/>
              </w:rPr>
            </w:pPr>
            <w:r>
              <w:rPr>
                <w:rFonts w:hint="eastAsia"/>
                <w:color w:val="auto"/>
                <w:sz w:val="24"/>
                <w:highlight w:val="none"/>
              </w:rPr>
              <w:t>1</w:t>
            </w:r>
          </w:p>
        </w:tc>
        <w:tc>
          <w:tcPr>
            <w:tcW w:w="3827" w:type="dxa"/>
            <w:vAlign w:val="center"/>
          </w:tcPr>
          <w:p w14:paraId="39C263F0">
            <w:pPr>
              <w:pStyle w:val="10"/>
              <w:spacing w:line="360" w:lineRule="auto"/>
              <w:jc w:val="center"/>
              <w:rPr>
                <w:color w:val="auto"/>
                <w:sz w:val="24"/>
                <w:highlight w:val="none"/>
              </w:rPr>
            </w:pPr>
            <w:r>
              <w:rPr>
                <w:rFonts w:hint="eastAsia"/>
                <w:color w:val="auto"/>
                <w:sz w:val="24"/>
                <w:highlight w:val="none"/>
              </w:rPr>
              <w:t>投标内容</w:t>
            </w:r>
          </w:p>
        </w:tc>
        <w:tc>
          <w:tcPr>
            <w:tcW w:w="4644" w:type="dxa"/>
            <w:vAlign w:val="center"/>
          </w:tcPr>
          <w:p w14:paraId="35706D87">
            <w:pPr>
              <w:pStyle w:val="10"/>
              <w:spacing w:line="360" w:lineRule="auto"/>
              <w:jc w:val="center"/>
              <w:rPr>
                <w:color w:val="auto"/>
                <w:sz w:val="24"/>
                <w:highlight w:val="none"/>
              </w:rPr>
            </w:pPr>
            <w:r>
              <w:rPr>
                <w:rFonts w:hint="eastAsia"/>
                <w:color w:val="auto"/>
                <w:sz w:val="24"/>
                <w:highlight w:val="none"/>
              </w:rPr>
              <w:t>符合采购文件要求</w:t>
            </w:r>
          </w:p>
        </w:tc>
      </w:tr>
      <w:tr w14:paraId="487815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079188A">
            <w:pPr>
              <w:pStyle w:val="10"/>
              <w:spacing w:line="360" w:lineRule="auto"/>
              <w:jc w:val="center"/>
              <w:rPr>
                <w:color w:val="auto"/>
                <w:sz w:val="24"/>
                <w:highlight w:val="none"/>
              </w:rPr>
            </w:pPr>
            <w:r>
              <w:rPr>
                <w:rFonts w:hint="eastAsia"/>
                <w:color w:val="auto"/>
                <w:sz w:val="24"/>
                <w:highlight w:val="none"/>
              </w:rPr>
              <w:t>2</w:t>
            </w:r>
          </w:p>
        </w:tc>
        <w:tc>
          <w:tcPr>
            <w:tcW w:w="3827" w:type="dxa"/>
            <w:vAlign w:val="center"/>
          </w:tcPr>
          <w:p w14:paraId="72C4BB7B">
            <w:pPr>
              <w:pStyle w:val="10"/>
              <w:spacing w:line="360" w:lineRule="auto"/>
              <w:jc w:val="center"/>
              <w:rPr>
                <w:color w:val="auto"/>
                <w:sz w:val="24"/>
                <w:highlight w:val="none"/>
              </w:rPr>
            </w:pPr>
            <w:r>
              <w:rPr>
                <w:rFonts w:hint="eastAsia"/>
                <w:color w:val="auto"/>
                <w:sz w:val="24"/>
                <w:highlight w:val="none"/>
              </w:rPr>
              <w:t>服务期</w:t>
            </w:r>
          </w:p>
        </w:tc>
        <w:tc>
          <w:tcPr>
            <w:tcW w:w="4644" w:type="dxa"/>
            <w:vAlign w:val="center"/>
          </w:tcPr>
          <w:p w14:paraId="6F284CBD">
            <w:pPr>
              <w:pStyle w:val="10"/>
              <w:spacing w:line="360" w:lineRule="auto"/>
              <w:jc w:val="center"/>
              <w:rPr>
                <w:color w:val="auto"/>
                <w:sz w:val="24"/>
                <w:highlight w:val="none"/>
              </w:rPr>
            </w:pPr>
            <w:r>
              <w:rPr>
                <w:rFonts w:hint="eastAsia"/>
                <w:color w:val="auto"/>
                <w:sz w:val="24"/>
                <w:highlight w:val="none"/>
              </w:rPr>
              <w:t>符合采购文件要求</w:t>
            </w:r>
          </w:p>
        </w:tc>
      </w:tr>
      <w:tr w14:paraId="646B19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577D8E1">
            <w:pPr>
              <w:pStyle w:val="10"/>
              <w:spacing w:line="360" w:lineRule="auto"/>
              <w:jc w:val="center"/>
              <w:rPr>
                <w:color w:val="auto"/>
                <w:sz w:val="24"/>
                <w:highlight w:val="none"/>
              </w:rPr>
            </w:pPr>
            <w:r>
              <w:rPr>
                <w:rFonts w:hint="eastAsia"/>
                <w:color w:val="auto"/>
                <w:sz w:val="24"/>
                <w:highlight w:val="none"/>
              </w:rPr>
              <w:t>3</w:t>
            </w:r>
          </w:p>
        </w:tc>
        <w:tc>
          <w:tcPr>
            <w:tcW w:w="3827" w:type="dxa"/>
            <w:vAlign w:val="center"/>
          </w:tcPr>
          <w:p w14:paraId="54CA2AAF">
            <w:pPr>
              <w:pStyle w:val="10"/>
              <w:spacing w:line="360" w:lineRule="auto"/>
              <w:jc w:val="center"/>
              <w:rPr>
                <w:color w:val="auto"/>
                <w:sz w:val="24"/>
                <w:highlight w:val="none"/>
              </w:rPr>
            </w:pPr>
            <w:r>
              <w:rPr>
                <w:rFonts w:hint="eastAsia" w:ascii="宋体" w:hAnsi="宋体" w:cs="宋体"/>
                <w:color w:val="auto"/>
                <w:sz w:val="24"/>
                <w:highlight w:val="none"/>
              </w:rPr>
              <w:t>验收标准、规范</w:t>
            </w:r>
          </w:p>
        </w:tc>
        <w:tc>
          <w:tcPr>
            <w:tcW w:w="4644" w:type="dxa"/>
            <w:vAlign w:val="center"/>
          </w:tcPr>
          <w:p w14:paraId="044C5470">
            <w:pPr>
              <w:pStyle w:val="10"/>
              <w:spacing w:line="360" w:lineRule="auto"/>
              <w:jc w:val="center"/>
              <w:rPr>
                <w:color w:val="auto"/>
                <w:sz w:val="24"/>
                <w:highlight w:val="none"/>
              </w:rPr>
            </w:pPr>
            <w:r>
              <w:rPr>
                <w:rFonts w:hint="eastAsia"/>
                <w:color w:val="auto"/>
                <w:sz w:val="24"/>
                <w:highlight w:val="none"/>
              </w:rPr>
              <w:t>符合采购文件要求</w:t>
            </w:r>
          </w:p>
        </w:tc>
      </w:tr>
      <w:tr w14:paraId="004AB8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5F14AC7">
            <w:pPr>
              <w:pStyle w:val="10"/>
              <w:spacing w:line="360" w:lineRule="auto"/>
              <w:jc w:val="center"/>
              <w:rPr>
                <w:color w:val="auto"/>
                <w:sz w:val="24"/>
                <w:highlight w:val="none"/>
              </w:rPr>
            </w:pPr>
            <w:r>
              <w:rPr>
                <w:rFonts w:hint="eastAsia"/>
                <w:color w:val="auto"/>
                <w:sz w:val="24"/>
                <w:highlight w:val="none"/>
              </w:rPr>
              <w:t>4</w:t>
            </w:r>
          </w:p>
        </w:tc>
        <w:tc>
          <w:tcPr>
            <w:tcW w:w="3827" w:type="dxa"/>
            <w:vAlign w:val="center"/>
          </w:tcPr>
          <w:p w14:paraId="5CDAD5A5">
            <w:pPr>
              <w:pStyle w:val="1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投标文件签署、盖章齐全完整</w:t>
            </w:r>
          </w:p>
        </w:tc>
        <w:tc>
          <w:tcPr>
            <w:tcW w:w="4644" w:type="dxa"/>
            <w:vAlign w:val="center"/>
          </w:tcPr>
          <w:p w14:paraId="1B3ACB71">
            <w:pPr>
              <w:pStyle w:val="10"/>
              <w:spacing w:line="360" w:lineRule="auto"/>
              <w:jc w:val="center"/>
              <w:rPr>
                <w:color w:val="auto"/>
                <w:sz w:val="24"/>
                <w:highlight w:val="none"/>
              </w:rPr>
            </w:pPr>
            <w:r>
              <w:rPr>
                <w:rFonts w:hint="eastAsia"/>
                <w:color w:val="auto"/>
                <w:sz w:val="24"/>
                <w:highlight w:val="none"/>
              </w:rPr>
              <w:t>符合采购文件要求</w:t>
            </w:r>
          </w:p>
        </w:tc>
      </w:tr>
      <w:tr w14:paraId="532296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64CAD5B">
            <w:pPr>
              <w:pStyle w:val="10"/>
              <w:spacing w:line="360" w:lineRule="auto"/>
              <w:jc w:val="center"/>
              <w:rPr>
                <w:color w:val="auto"/>
                <w:sz w:val="24"/>
                <w:highlight w:val="none"/>
              </w:rPr>
            </w:pPr>
            <w:r>
              <w:rPr>
                <w:rFonts w:hint="eastAsia"/>
                <w:color w:val="auto"/>
                <w:sz w:val="24"/>
                <w:highlight w:val="none"/>
              </w:rPr>
              <w:t>5</w:t>
            </w:r>
          </w:p>
        </w:tc>
        <w:tc>
          <w:tcPr>
            <w:tcW w:w="3827" w:type="dxa"/>
            <w:vAlign w:val="center"/>
          </w:tcPr>
          <w:p w14:paraId="63615D01">
            <w:pPr>
              <w:pStyle w:val="10"/>
              <w:spacing w:line="360" w:lineRule="auto"/>
              <w:jc w:val="center"/>
              <w:rPr>
                <w:color w:val="auto"/>
                <w:sz w:val="24"/>
                <w:highlight w:val="none"/>
              </w:rPr>
            </w:pPr>
            <w:r>
              <w:rPr>
                <w:rFonts w:hint="eastAsia" w:ascii="宋体" w:hAnsi="宋体" w:cs="宋体"/>
                <w:color w:val="auto"/>
                <w:sz w:val="24"/>
                <w:highlight w:val="none"/>
              </w:rPr>
              <w:t>报价审查</w:t>
            </w:r>
          </w:p>
        </w:tc>
        <w:tc>
          <w:tcPr>
            <w:tcW w:w="4644" w:type="dxa"/>
            <w:vAlign w:val="center"/>
          </w:tcPr>
          <w:p w14:paraId="6F1E3D15">
            <w:pPr>
              <w:pStyle w:val="10"/>
              <w:spacing w:line="360" w:lineRule="auto"/>
              <w:jc w:val="center"/>
              <w:rPr>
                <w:color w:val="auto"/>
                <w:sz w:val="24"/>
                <w:highlight w:val="none"/>
              </w:rPr>
            </w:pPr>
            <w:r>
              <w:rPr>
                <w:rFonts w:hint="eastAsia" w:ascii="宋体" w:hAnsi="宋体" w:cs="宋体"/>
                <w:color w:val="auto"/>
                <w:sz w:val="24"/>
                <w:highlight w:val="none"/>
              </w:rPr>
              <w:t>异常低价审查</w:t>
            </w:r>
          </w:p>
        </w:tc>
      </w:tr>
      <w:tr w14:paraId="1778F5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6AF019D">
            <w:pPr>
              <w:pStyle w:val="10"/>
              <w:spacing w:line="360" w:lineRule="auto"/>
              <w:jc w:val="center"/>
              <w:rPr>
                <w:color w:val="auto"/>
                <w:sz w:val="24"/>
                <w:highlight w:val="none"/>
              </w:rPr>
            </w:pPr>
            <w:r>
              <w:rPr>
                <w:rFonts w:hint="eastAsia"/>
                <w:color w:val="auto"/>
                <w:sz w:val="24"/>
                <w:highlight w:val="none"/>
              </w:rPr>
              <w:t>6</w:t>
            </w:r>
          </w:p>
        </w:tc>
        <w:tc>
          <w:tcPr>
            <w:tcW w:w="3827" w:type="dxa"/>
            <w:vAlign w:val="center"/>
          </w:tcPr>
          <w:p w14:paraId="57F2EF68">
            <w:pPr>
              <w:pStyle w:val="1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4644" w:type="dxa"/>
            <w:vAlign w:val="center"/>
          </w:tcPr>
          <w:p w14:paraId="12BE788D">
            <w:pPr>
              <w:pStyle w:val="10"/>
              <w:spacing w:line="360" w:lineRule="auto"/>
              <w:jc w:val="center"/>
              <w:rPr>
                <w:rFonts w:ascii="宋体" w:hAnsi="宋体" w:cs="宋体"/>
                <w:color w:val="auto"/>
                <w:sz w:val="24"/>
                <w:highlight w:val="none"/>
              </w:rPr>
            </w:pPr>
            <w:r>
              <w:rPr>
                <w:rFonts w:hint="eastAsia"/>
                <w:color w:val="auto"/>
                <w:sz w:val="24"/>
                <w:highlight w:val="none"/>
              </w:rPr>
              <w:t>符合采购文件要求</w:t>
            </w:r>
          </w:p>
        </w:tc>
      </w:tr>
      <w:tr w14:paraId="5F6DD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959" w:type="dxa"/>
            <w:vAlign w:val="center"/>
          </w:tcPr>
          <w:p w14:paraId="475495B6">
            <w:pPr>
              <w:pStyle w:val="10"/>
              <w:spacing w:line="360" w:lineRule="auto"/>
              <w:jc w:val="center"/>
              <w:rPr>
                <w:color w:val="auto"/>
                <w:sz w:val="24"/>
                <w:highlight w:val="none"/>
              </w:rPr>
            </w:pPr>
            <w:r>
              <w:rPr>
                <w:rFonts w:hint="eastAsia"/>
                <w:color w:val="auto"/>
                <w:sz w:val="24"/>
                <w:highlight w:val="none"/>
              </w:rPr>
              <w:t>7</w:t>
            </w:r>
          </w:p>
        </w:tc>
        <w:tc>
          <w:tcPr>
            <w:tcW w:w="3827" w:type="dxa"/>
            <w:vAlign w:val="center"/>
          </w:tcPr>
          <w:p w14:paraId="56C14598">
            <w:pPr>
              <w:pStyle w:val="1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4644" w:type="dxa"/>
            <w:vAlign w:val="center"/>
          </w:tcPr>
          <w:p w14:paraId="065C5F00">
            <w:pPr>
              <w:pStyle w:val="10"/>
              <w:spacing w:line="360" w:lineRule="auto"/>
              <w:jc w:val="center"/>
              <w:rPr>
                <w:rFonts w:ascii="宋体" w:hAnsi="宋体" w:cs="宋体"/>
                <w:color w:val="auto"/>
                <w:sz w:val="24"/>
                <w:highlight w:val="none"/>
              </w:rPr>
            </w:pPr>
            <w:r>
              <w:rPr>
                <w:rFonts w:hint="eastAsia"/>
                <w:color w:val="auto"/>
                <w:sz w:val="24"/>
                <w:highlight w:val="none"/>
              </w:rPr>
              <w:t>符合采购文件要求</w:t>
            </w:r>
          </w:p>
        </w:tc>
      </w:tr>
      <w:tr w14:paraId="3117F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A169BCD">
            <w:pPr>
              <w:pStyle w:val="10"/>
              <w:spacing w:line="360" w:lineRule="auto"/>
              <w:jc w:val="center"/>
              <w:rPr>
                <w:color w:val="auto"/>
                <w:sz w:val="24"/>
                <w:highlight w:val="none"/>
              </w:rPr>
            </w:pPr>
            <w:r>
              <w:rPr>
                <w:rFonts w:hint="eastAsia"/>
                <w:color w:val="auto"/>
                <w:sz w:val="24"/>
                <w:highlight w:val="none"/>
              </w:rPr>
              <w:t>8</w:t>
            </w:r>
          </w:p>
        </w:tc>
        <w:tc>
          <w:tcPr>
            <w:tcW w:w="3827" w:type="dxa"/>
            <w:vAlign w:val="center"/>
          </w:tcPr>
          <w:p w14:paraId="4C559C02">
            <w:pPr>
              <w:pStyle w:val="10"/>
              <w:spacing w:line="360" w:lineRule="auto"/>
              <w:jc w:val="center"/>
              <w:rPr>
                <w:color w:val="auto"/>
                <w:sz w:val="24"/>
                <w:highlight w:val="none"/>
              </w:rPr>
            </w:pPr>
            <w:r>
              <w:rPr>
                <w:rFonts w:hint="eastAsia" w:ascii="宋体" w:hAnsi="宋体" w:cs="宋体"/>
                <w:color w:val="auto"/>
                <w:sz w:val="24"/>
                <w:highlight w:val="none"/>
              </w:rPr>
              <w:t>无效标审查</w:t>
            </w:r>
          </w:p>
        </w:tc>
        <w:tc>
          <w:tcPr>
            <w:tcW w:w="4644" w:type="dxa"/>
            <w:vAlign w:val="center"/>
          </w:tcPr>
          <w:p w14:paraId="7136CD9F">
            <w:pPr>
              <w:pStyle w:val="10"/>
              <w:spacing w:line="360" w:lineRule="auto"/>
              <w:jc w:val="center"/>
              <w:rPr>
                <w:color w:val="auto"/>
                <w:sz w:val="24"/>
                <w:highlight w:val="none"/>
              </w:rPr>
            </w:pPr>
            <w:r>
              <w:rPr>
                <w:rFonts w:hint="eastAsia" w:ascii="宋体" w:hAnsi="宋体" w:cs="宋体"/>
                <w:color w:val="auto"/>
                <w:sz w:val="24"/>
                <w:highlight w:val="none"/>
              </w:rPr>
              <w:t>按本项目采购文件第三章第五节无效标条款规定，审查是否通过</w:t>
            </w:r>
          </w:p>
        </w:tc>
      </w:tr>
    </w:tbl>
    <w:p w14:paraId="79AE2E33">
      <w:pPr>
        <w:pStyle w:val="10"/>
        <w:spacing w:line="360" w:lineRule="auto"/>
        <w:jc w:val="left"/>
        <w:rPr>
          <w:color w:val="auto"/>
          <w:sz w:val="24"/>
          <w:highlight w:val="none"/>
        </w:rPr>
      </w:pPr>
    </w:p>
    <w:p w14:paraId="3E730126">
      <w:pPr>
        <w:pStyle w:val="10"/>
        <w:spacing w:line="360" w:lineRule="auto"/>
        <w:jc w:val="left"/>
        <w:rPr>
          <w:color w:val="auto"/>
          <w:sz w:val="24"/>
          <w:highlight w:val="none"/>
        </w:rPr>
      </w:pPr>
    </w:p>
    <w:p w14:paraId="7CEBA224">
      <w:pPr>
        <w:pStyle w:val="10"/>
        <w:spacing w:line="360" w:lineRule="auto"/>
        <w:jc w:val="left"/>
        <w:rPr>
          <w:color w:val="auto"/>
          <w:sz w:val="24"/>
          <w:highlight w:val="none"/>
        </w:rPr>
      </w:pPr>
    </w:p>
    <w:p w14:paraId="671E5F8C">
      <w:pPr>
        <w:pStyle w:val="10"/>
        <w:spacing w:line="360" w:lineRule="auto"/>
        <w:jc w:val="left"/>
        <w:rPr>
          <w:color w:val="auto"/>
          <w:sz w:val="24"/>
          <w:highlight w:val="none"/>
        </w:rPr>
      </w:pPr>
    </w:p>
    <w:p w14:paraId="5BB5DA8B">
      <w:pPr>
        <w:pStyle w:val="10"/>
        <w:spacing w:line="360" w:lineRule="auto"/>
        <w:jc w:val="left"/>
        <w:rPr>
          <w:color w:val="auto"/>
          <w:sz w:val="24"/>
          <w:highlight w:val="none"/>
        </w:rPr>
      </w:pPr>
    </w:p>
    <w:p w14:paraId="22E160E6">
      <w:pPr>
        <w:pStyle w:val="10"/>
        <w:spacing w:line="360" w:lineRule="auto"/>
        <w:jc w:val="left"/>
        <w:rPr>
          <w:color w:val="auto"/>
          <w:sz w:val="24"/>
          <w:highlight w:val="none"/>
        </w:rPr>
      </w:pPr>
    </w:p>
    <w:p w14:paraId="4D6E4DAA">
      <w:pPr>
        <w:pStyle w:val="10"/>
        <w:spacing w:line="360" w:lineRule="auto"/>
        <w:jc w:val="left"/>
        <w:rPr>
          <w:color w:val="auto"/>
          <w:sz w:val="24"/>
          <w:highlight w:val="none"/>
        </w:rPr>
      </w:pPr>
    </w:p>
    <w:p w14:paraId="0CFDB420">
      <w:pPr>
        <w:pStyle w:val="10"/>
        <w:spacing w:line="360" w:lineRule="auto"/>
        <w:jc w:val="left"/>
        <w:rPr>
          <w:color w:val="auto"/>
          <w:sz w:val="24"/>
          <w:highlight w:val="none"/>
        </w:rPr>
      </w:pPr>
    </w:p>
    <w:p w14:paraId="62410B09">
      <w:pPr>
        <w:pStyle w:val="10"/>
        <w:spacing w:line="360" w:lineRule="auto"/>
        <w:jc w:val="left"/>
        <w:rPr>
          <w:color w:val="auto"/>
          <w:sz w:val="24"/>
          <w:highlight w:val="none"/>
        </w:rPr>
      </w:pPr>
    </w:p>
    <w:p w14:paraId="1117F73F">
      <w:pPr>
        <w:pStyle w:val="10"/>
        <w:spacing w:line="360" w:lineRule="auto"/>
        <w:jc w:val="left"/>
        <w:rPr>
          <w:color w:val="auto"/>
          <w:sz w:val="24"/>
          <w:highlight w:val="none"/>
        </w:rPr>
      </w:pPr>
      <w:r>
        <w:rPr>
          <w:rFonts w:hint="eastAsia"/>
          <w:color w:val="auto"/>
          <w:sz w:val="24"/>
          <w:highlight w:val="none"/>
        </w:rPr>
        <w:t>标包1：</w:t>
      </w:r>
      <w:r>
        <w:rPr>
          <w:rFonts w:hint="eastAsia" w:ascii="Arial" w:hAnsi="Arial" w:cs="Arial"/>
          <w:color w:val="auto"/>
          <w:kern w:val="0"/>
          <w:sz w:val="24"/>
          <w:szCs w:val="18"/>
          <w:highlight w:val="none"/>
        </w:rPr>
        <w:t>后勤服务外包物业管理服务项目</w:t>
      </w:r>
    </w:p>
    <w:tbl>
      <w:tblPr>
        <w:tblStyle w:val="20"/>
        <w:tblW w:w="8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1"/>
        <w:gridCol w:w="1530"/>
        <w:gridCol w:w="5619"/>
        <w:gridCol w:w="749"/>
      </w:tblGrid>
      <w:tr w14:paraId="762BE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1" w:type="dxa"/>
            <w:vAlign w:val="center"/>
          </w:tcPr>
          <w:p w14:paraId="39369C41">
            <w:pPr>
              <w:pStyle w:val="34"/>
              <w:keepNext w:val="0"/>
              <w:keepLines w:val="0"/>
              <w:pageBreakBefore w:val="0"/>
              <w:kinsoku/>
              <w:overflowPunct/>
              <w:topLinePunct w:val="0"/>
              <w:bidi w:val="0"/>
              <w:snapToGrid/>
              <w:spacing w:line="360" w:lineRule="auto"/>
              <w:textAlignment w:val="auto"/>
              <w:rPr>
                <w:rFonts w:asciiTheme="minorEastAsia" w:hAnsiTheme="minorEastAsia" w:eastAsiaTheme="minorEastAsia" w:cstheme="minorEastAsia"/>
                <w:b/>
                <w:bCs/>
                <w:color w:val="auto"/>
                <w:sz w:val="24"/>
                <w:szCs w:val="24"/>
                <w:highlight w:val="none"/>
              </w:rPr>
            </w:pPr>
          </w:p>
          <w:p w14:paraId="39AF5108">
            <w:pPr>
              <w:pStyle w:val="34"/>
              <w:keepNext w:val="0"/>
              <w:keepLines w:val="0"/>
              <w:pageBreakBefore w:val="0"/>
              <w:kinsoku/>
              <w:overflowPunct/>
              <w:topLinePunct w:val="0"/>
              <w:bidi w:val="0"/>
              <w:adjustRightInd/>
              <w:snapToGrid/>
              <w:spacing w:line="360" w:lineRule="auto"/>
              <w:jc w:val="center"/>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530" w:type="dxa"/>
            <w:vAlign w:val="center"/>
          </w:tcPr>
          <w:p w14:paraId="3AF09070">
            <w:pPr>
              <w:pStyle w:val="34"/>
              <w:keepNext w:val="0"/>
              <w:keepLines w:val="0"/>
              <w:pageBreakBefore w:val="0"/>
              <w:kinsoku/>
              <w:overflowPunct/>
              <w:topLinePunct w:val="0"/>
              <w:bidi w:val="0"/>
              <w:adjustRightInd/>
              <w:snapToGrid/>
              <w:spacing w:line="360" w:lineRule="auto"/>
              <w:jc w:val="center"/>
              <w:textAlignment w:val="auto"/>
              <w:rPr>
                <w:rFonts w:asciiTheme="minorEastAsia" w:hAnsiTheme="minorEastAsia" w:eastAsiaTheme="minorEastAsia" w:cstheme="minorEastAsia"/>
                <w:b/>
                <w:bCs/>
                <w:color w:val="auto"/>
                <w:sz w:val="24"/>
                <w:szCs w:val="24"/>
                <w:highlight w:val="none"/>
              </w:rPr>
            </w:pPr>
          </w:p>
          <w:p w14:paraId="748B0FDC">
            <w:pPr>
              <w:pStyle w:val="34"/>
              <w:keepNext w:val="0"/>
              <w:keepLines w:val="0"/>
              <w:pageBreakBefore w:val="0"/>
              <w:kinsoku/>
              <w:overflowPunct/>
              <w:topLinePunct w:val="0"/>
              <w:bidi w:val="0"/>
              <w:adjustRightInd/>
              <w:snapToGrid/>
              <w:spacing w:line="360" w:lineRule="auto"/>
              <w:jc w:val="center"/>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评审项目</w:t>
            </w:r>
          </w:p>
        </w:tc>
        <w:tc>
          <w:tcPr>
            <w:tcW w:w="5619" w:type="dxa"/>
            <w:vAlign w:val="center"/>
          </w:tcPr>
          <w:p w14:paraId="7F6E8D2B">
            <w:pPr>
              <w:pStyle w:val="34"/>
              <w:keepNext w:val="0"/>
              <w:keepLines w:val="0"/>
              <w:pageBreakBefore w:val="0"/>
              <w:kinsoku/>
              <w:overflowPunct/>
              <w:topLinePunct w:val="0"/>
              <w:bidi w:val="0"/>
              <w:adjustRightInd/>
              <w:snapToGrid/>
              <w:spacing w:line="360" w:lineRule="auto"/>
              <w:jc w:val="center"/>
              <w:textAlignment w:val="auto"/>
              <w:rPr>
                <w:rFonts w:asciiTheme="minorEastAsia" w:hAnsiTheme="minorEastAsia" w:eastAsiaTheme="minorEastAsia" w:cstheme="minorEastAsia"/>
                <w:b/>
                <w:bCs/>
                <w:color w:val="auto"/>
                <w:sz w:val="24"/>
                <w:szCs w:val="24"/>
                <w:highlight w:val="none"/>
              </w:rPr>
            </w:pPr>
          </w:p>
          <w:p w14:paraId="01CBC757">
            <w:pPr>
              <w:pStyle w:val="34"/>
              <w:keepNext w:val="0"/>
              <w:keepLines w:val="0"/>
              <w:pageBreakBefore w:val="0"/>
              <w:kinsoku/>
              <w:overflowPunct/>
              <w:topLinePunct w:val="0"/>
              <w:bidi w:val="0"/>
              <w:adjustRightInd/>
              <w:snapToGrid/>
              <w:spacing w:line="360" w:lineRule="auto"/>
              <w:jc w:val="center"/>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评审内容及规则</w:t>
            </w:r>
          </w:p>
        </w:tc>
        <w:tc>
          <w:tcPr>
            <w:tcW w:w="749" w:type="dxa"/>
            <w:vAlign w:val="center"/>
          </w:tcPr>
          <w:p w14:paraId="3982FC86">
            <w:pPr>
              <w:pStyle w:val="34"/>
              <w:keepNext w:val="0"/>
              <w:keepLines w:val="0"/>
              <w:pageBreakBefore w:val="0"/>
              <w:kinsoku/>
              <w:overflowPunct/>
              <w:topLinePunct w:val="0"/>
              <w:bidi w:val="0"/>
              <w:adjustRightInd/>
              <w:snapToGrid/>
              <w:spacing w:line="360" w:lineRule="auto"/>
              <w:jc w:val="center"/>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标准</w:t>
            </w:r>
          </w:p>
          <w:p w14:paraId="121A837E">
            <w:pPr>
              <w:pStyle w:val="34"/>
              <w:keepNext w:val="0"/>
              <w:keepLines w:val="0"/>
              <w:pageBreakBefore w:val="0"/>
              <w:kinsoku/>
              <w:overflowPunct/>
              <w:topLinePunct w:val="0"/>
              <w:bidi w:val="0"/>
              <w:adjustRightInd/>
              <w:snapToGrid/>
              <w:spacing w:line="360" w:lineRule="auto"/>
              <w:jc w:val="center"/>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r>
      <w:tr w14:paraId="1F243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3" w:hRule="atLeast"/>
          <w:jc w:val="center"/>
        </w:trPr>
        <w:tc>
          <w:tcPr>
            <w:tcW w:w="1091" w:type="dxa"/>
            <w:vAlign w:val="center"/>
          </w:tcPr>
          <w:p w14:paraId="1FF8D719">
            <w:pPr>
              <w:pStyle w:val="34"/>
              <w:keepNext w:val="0"/>
              <w:keepLines w:val="0"/>
              <w:pageBreakBefore w:val="0"/>
              <w:kinsoku/>
              <w:overflowPunct/>
              <w:topLinePunct w:val="0"/>
              <w:bidi w:val="0"/>
              <w:snapToGrid/>
              <w:spacing w:line="360" w:lineRule="auto"/>
              <w:ind w:left="35" w:right="19"/>
              <w:jc w:val="center"/>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报价部</w:t>
            </w:r>
            <w:r>
              <w:rPr>
                <w:rFonts w:hint="eastAsia" w:asciiTheme="minorEastAsia" w:hAnsiTheme="minorEastAsia" w:eastAsiaTheme="minorEastAsia" w:cstheme="minorEastAsia"/>
                <w:color w:val="auto"/>
                <w:sz w:val="24"/>
                <w:szCs w:val="24"/>
                <w:highlight w:val="none"/>
              </w:rPr>
              <w:t>分</w:t>
            </w:r>
          </w:p>
          <w:p w14:paraId="34F2469B">
            <w:pPr>
              <w:pStyle w:val="34"/>
              <w:keepNext w:val="0"/>
              <w:keepLines w:val="0"/>
              <w:pageBreakBefore w:val="0"/>
              <w:kinsoku/>
              <w:overflowPunct/>
              <w:topLinePunct w:val="0"/>
              <w:bidi w:val="0"/>
              <w:snapToGrid/>
              <w:spacing w:line="360" w:lineRule="auto"/>
              <w:ind w:left="32" w:right="19"/>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（10分）</w:t>
            </w:r>
          </w:p>
        </w:tc>
        <w:tc>
          <w:tcPr>
            <w:tcW w:w="1530" w:type="dxa"/>
            <w:vAlign w:val="center"/>
          </w:tcPr>
          <w:p w14:paraId="544ED7FD">
            <w:pPr>
              <w:pStyle w:val="34"/>
              <w:keepNext w:val="0"/>
              <w:keepLines w:val="0"/>
              <w:pageBreakBefore w:val="0"/>
              <w:kinsoku/>
              <w:overflowPunct/>
              <w:topLinePunct w:val="0"/>
              <w:bidi w:val="0"/>
              <w:snapToGrid/>
              <w:spacing w:line="360" w:lineRule="auto"/>
              <w:ind w:right="175"/>
              <w:jc w:val="center"/>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价格（10分）</w:t>
            </w:r>
          </w:p>
        </w:tc>
        <w:tc>
          <w:tcPr>
            <w:tcW w:w="5619" w:type="dxa"/>
            <w:vAlign w:val="center"/>
          </w:tcPr>
          <w:p w14:paraId="78E9B1D2">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0" w:firstLineChars="0"/>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(1)报价得分总报价=投标报价</w:t>
            </w:r>
          </w:p>
          <w:p w14:paraId="6E5A9DF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0" w:firstLineChars="0"/>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(2)报价得分=（最低报价/各投标人的总报价）*10</w:t>
            </w:r>
          </w:p>
          <w:p w14:paraId="3F96D46A">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0" w:firstLineChars="0"/>
              <w:jc w:val="both"/>
              <w:textAlignment w:val="auto"/>
              <w:rPr>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注：供应商的报价明显低于其他通过符性审查的供应商报价，有可能影响服务质量或者不能诚信履约的，供应商应在响应文件中提供合理性说明。经评审小组认定为异常低价的，作无效投标处理。</w:t>
            </w:r>
          </w:p>
        </w:tc>
        <w:tc>
          <w:tcPr>
            <w:tcW w:w="749" w:type="dxa"/>
            <w:vAlign w:val="center"/>
          </w:tcPr>
          <w:p w14:paraId="74F120CB">
            <w:pPr>
              <w:pStyle w:val="34"/>
              <w:keepNext w:val="0"/>
              <w:keepLines w:val="0"/>
              <w:pageBreakBefore w:val="0"/>
              <w:kinsoku/>
              <w:overflowPunct/>
              <w:topLinePunct w:val="0"/>
              <w:bidi w:val="0"/>
              <w:snapToGrid/>
              <w:spacing w:line="360" w:lineRule="auto"/>
              <w:jc w:val="center"/>
              <w:textAlignment w:val="auto"/>
              <w:rPr>
                <w:rFonts w:asciiTheme="minorEastAsia" w:hAnsiTheme="minorEastAsia" w:eastAsiaTheme="minorEastAsia" w:cstheme="minorEastAsia"/>
                <w:color w:val="auto"/>
                <w:sz w:val="24"/>
                <w:szCs w:val="24"/>
                <w:highlight w:val="none"/>
              </w:rPr>
            </w:pPr>
          </w:p>
          <w:p w14:paraId="71086A89">
            <w:pPr>
              <w:pStyle w:val="34"/>
              <w:keepNext w:val="0"/>
              <w:keepLines w:val="0"/>
              <w:pageBreakBefore w:val="0"/>
              <w:kinsoku/>
              <w:overflowPunct/>
              <w:topLinePunct w:val="0"/>
              <w:bidi w:val="0"/>
              <w:snapToGrid/>
              <w:spacing w:line="360" w:lineRule="auto"/>
              <w:jc w:val="center"/>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r>
      <w:tr w14:paraId="63834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restart"/>
            <w:vAlign w:val="center"/>
          </w:tcPr>
          <w:p w14:paraId="16F378B2">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商务部分</w:t>
            </w:r>
          </w:p>
          <w:p w14:paraId="6CC8E3E3">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75</w:t>
            </w:r>
            <w:r>
              <w:rPr>
                <w:rFonts w:hint="eastAsia" w:asciiTheme="minorEastAsia" w:hAnsiTheme="minorEastAsia" w:eastAsiaTheme="minorEastAsia" w:cstheme="minorEastAsia"/>
                <w:color w:val="auto"/>
                <w:sz w:val="24"/>
                <w:szCs w:val="24"/>
                <w:highlight w:val="none"/>
              </w:rPr>
              <w:t>分）</w:t>
            </w:r>
          </w:p>
        </w:tc>
        <w:tc>
          <w:tcPr>
            <w:tcW w:w="1530" w:type="dxa"/>
            <w:vAlign w:val="center"/>
          </w:tcPr>
          <w:p w14:paraId="17B910C5">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业绩（</w:t>
            </w:r>
            <w:r>
              <w:rPr>
                <w:rFonts w:hint="eastAsia" w:ascii="宋体" w:hAnsi="宋体" w:cs="宋体"/>
                <w:color w:val="auto"/>
                <w:spacing w:val="-8"/>
                <w:sz w:val="24"/>
                <w:szCs w:val="24"/>
                <w:highlight w:val="none"/>
                <w:lang w:val="en-US" w:eastAsia="zh-CN"/>
              </w:rPr>
              <w:t>15</w:t>
            </w:r>
            <w:r>
              <w:rPr>
                <w:rFonts w:hint="eastAsia" w:ascii="宋体" w:hAnsi="宋体" w:cs="宋体"/>
                <w:color w:val="auto"/>
                <w:spacing w:val="-8"/>
                <w:sz w:val="24"/>
                <w:szCs w:val="24"/>
                <w:highlight w:val="none"/>
              </w:rPr>
              <w:t>分）</w:t>
            </w:r>
          </w:p>
        </w:tc>
        <w:tc>
          <w:tcPr>
            <w:tcW w:w="5619" w:type="dxa"/>
            <w:vAlign w:val="center"/>
          </w:tcPr>
          <w:p w14:paraId="477DA98E">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0" w:firstLineChars="0"/>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1.</w:t>
            </w:r>
            <w:r>
              <w:rPr>
                <w:rFonts w:hint="eastAsia" w:ascii="仿宋" w:hAnsi="仿宋" w:eastAsia="仿宋" w:cs="仿宋"/>
                <w:b/>
                <w:bCs/>
                <w:color w:val="auto"/>
                <w:sz w:val="24"/>
                <w:szCs w:val="24"/>
                <w:highlight w:val="none"/>
                <w:vertAlign w:val="baseline"/>
                <w:lang w:val="en-US" w:eastAsia="zh-CN"/>
              </w:rPr>
              <w:t>企业业绩:自</w:t>
            </w:r>
            <w:r>
              <w:rPr>
                <w:rFonts w:hint="eastAsia" w:ascii="仿宋" w:hAnsi="仿宋" w:eastAsia="仿宋" w:cs="仿宋"/>
                <w:color w:val="auto"/>
                <w:sz w:val="24"/>
                <w:szCs w:val="24"/>
                <w:highlight w:val="none"/>
                <w:vertAlign w:val="baseline"/>
                <w:lang w:val="en-US" w:eastAsia="zh-CN"/>
              </w:rPr>
              <w:t>2021年1月1日至今有类似物业管理项目（非住宅类），合同服务范围需包含以下7项中的任意5项：相关会议服务或会务服务、工程服务或维修服务、清洁服务或保洁服务、客房或公寓管理、安保服务或秩序维护、生态环境养护或绿化服务，信息服务，满足要求的，提供一个得1分，本项满分9分。</w:t>
            </w:r>
            <w:r>
              <w:rPr>
                <w:rFonts w:hint="eastAsia" w:ascii="仿宋" w:hAnsi="仿宋" w:eastAsia="仿宋" w:cs="仿宋"/>
                <w:b w:val="0"/>
                <w:bCs w:val="0"/>
                <w:color w:val="auto"/>
                <w:sz w:val="24"/>
                <w:szCs w:val="24"/>
                <w:highlight w:val="none"/>
                <w:vertAlign w:val="baseline"/>
                <w:lang w:val="en-US" w:eastAsia="zh-CN"/>
              </w:rPr>
              <w:t>注：</w:t>
            </w:r>
            <w:r>
              <w:rPr>
                <w:rFonts w:hint="eastAsia" w:ascii="仿宋" w:hAnsi="仿宋" w:eastAsia="仿宋" w:cs="仿宋"/>
                <w:color w:val="auto"/>
                <w:kern w:val="0"/>
                <w:sz w:val="24"/>
                <w:szCs w:val="24"/>
                <w:highlight w:val="none"/>
                <w:lang w:val="en-US" w:eastAsia="zh-CN" w:bidi="ar"/>
              </w:rPr>
              <w:t>投标人</w:t>
            </w:r>
            <w:r>
              <w:rPr>
                <w:rFonts w:hint="eastAsia" w:ascii="仿宋" w:hAnsi="仿宋" w:eastAsia="仿宋" w:cs="仿宋"/>
                <w:b w:val="0"/>
                <w:bCs w:val="0"/>
                <w:color w:val="auto"/>
                <w:sz w:val="24"/>
                <w:szCs w:val="24"/>
                <w:highlight w:val="none"/>
                <w:vertAlign w:val="baseline"/>
                <w:lang w:val="en-US" w:eastAsia="zh-CN"/>
              </w:rPr>
              <w:t>提供证明材料</w:t>
            </w:r>
            <w:r>
              <w:rPr>
                <w:rFonts w:hint="eastAsia" w:ascii="仿宋" w:hAnsi="仿宋" w:eastAsia="仿宋" w:cs="仿宋"/>
                <w:color w:val="auto"/>
                <w:sz w:val="24"/>
                <w:szCs w:val="24"/>
                <w:highlight w:val="none"/>
                <w:vertAlign w:val="baseline"/>
                <w:lang w:val="en-US" w:eastAsia="zh-CN"/>
              </w:rPr>
              <w:t>为合同或中标（成交）通知书复印件或扫描件（加盖投标人公章）。</w:t>
            </w:r>
          </w:p>
          <w:p w14:paraId="08A18B8F">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2.</w:t>
            </w:r>
            <w:r>
              <w:rPr>
                <w:rFonts w:hint="eastAsia" w:ascii="仿宋" w:hAnsi="仿宋" w:eastAsia="仿宋" w:cs="仿宋"/>
                <w:color w:val="auto"/>
                <w:kern w:val="0"/>
                <w:sz w:val="24"/>
                <w:szCs w:val="24"/>
                <w:highlight w:val="none"/>
                <w:lang w:val="en-US" w:eastAsia="zh-CN" w:bidi="ar"/>
              </w:rPr>
              <w:t>投标人</w:t>
            </w:r>
            <w:r>
              <w:rPr>
                <w:rFonts w:hint="eastAsia" w:ascii="仿宋" w:hAnsi="仿宋" w:eastAsia="仿宋" w:cs="仿宋"/>
                <w:color w:val="auto"/>
                <w:kern w:val="2"/>
                <w:sz w:val="24"/>
                <w:szCs w:val="24"/>
                <w:highlight w:val="none"/>
                <w:vertAlign w:val="baseline"/>
                <w:lang w:val="en-US" w:eastAsia="zh-CN" w:bidi="ar-SA"/>
              </w:rPr>
              <w:t>在提供客房服务项目中达700个（含700）以上床位的项目，一个得2分；300（含300）-700个床位客房服务项目的，一个得1分。</w:t>
            </w:r>
            <w:r>
              <w:rPr>
                <w:rFonts w:hint="eastAsia" w:ascii="仿宋" w:hAnsi="仿宋" w:eastAsia="仿宋" w:cs="仿宋"/>
                <w:color w:val="auto"/>
                <w:sz w:val="24"/>
                <w:szCs w:val="24"/>
                <w:highlight w:val="none"/>
                <w:vertAlign w:val="baseline"/>
                <w:lang w:val="en-US" w:eastAsia="zh-CN"/>
              </w:rPr>
              <w:t>本项</w:t>
            </w:r>
            <w:r>
              <w:rPr>
                <w:rFonts w:hint="eastAsia" w:ascii="仿宋" w:hAnsi="仿宋" w:eastAsia="仿宋" w:cs="仿宋"/>
                <w:color w:val="auto"/>
                <w:kern w:val="2"/>
                <w:sz w:val="24"/>
                <w:szCs w:val="24"/>
                <w:highlight w:val="none"/>
                <w:vertAlign w:val="baseline"/>
                <w:lang w:val="en-US" w:eastAsia="zh-CN" w:bidi="ar-SA"/>
              </w:rPr>
              <w:t>满分6分。</w:t>
            </w:r>
          </w:p>
          <w:p w14:paraId="6EE7D179">
            <w:pPr>
              <w:pStyle w:val="2"/>
              <w:keepNext w:val="0"/>
              <w:keepLines w:val="0"/>
              <w:pageBreakBefore w:val="0"/>
              <w:kinsoku/>
              <w:overflowPunct/>
              <w:topLinePunct w:val="0"/>
              <w:bidi w:val="0"/>
              <w:snapToGrid/>
              <w:spacing w:after="0" w:line="360" w:lineRule="auto"/>
              <w:ind w:left="0" w:leftChars="0" w:firstLine="0" w:firstLineChars="0"/>
              <w:textAlignment w:val="auto"/>
              <w:rPr>
                <w:rFonts w:hint="eastAsia" w:eastAsia="仿宋"/>
                <w:color w:val="auto"/>
                <w:sz w:val="24"/>
                <w:szCs w:val="24"/>
                <w:highlight w:val="none"/>
                <w:lang w:val="en-US" w:eastAsia="zh-CN"/>
              </w:rPr>
            </w:pPr>
            <w:r>
              <w:rPr>
                <w:rFonts w:hint="eastAsia" w:ascii="仿宋" w:hAnsi="仿宋" w:eastAsia="仿宋" w:cs="仿宋"/>
                <w:b/>
                <w:bCs/>
                <w:color w:val="auto"/>
                <w:kern w:val="0"/>
                <w:sz w:val="24"/>
                <w:szCs w:val="24"/>
                <w:highlight w:val="none"/>
              </w:rPr>
              <w:t>注：提供相关证明文件复印件并加盖投标单位公章。</w:t>
            </w:r>
          </w:p>
        </w:tc>
        <w:tc>
          <w:tcPr>
            <w:tcW w:w="749" w:type="dxa"/>
            <w:vAlign w:val="center"/>
          </w:tcPr>
          <w:p w14:paraId="1E0826A2">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r>
      <w:tr w14:paraId="79956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6DFF358B">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restart"/>
            <w:vAlign w:val="center"/>
          </w:tcPr>
          <w:p w14:paraId="03D0B727">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服务团队人员配置（</w:t>
            </w:r>
            <w:r>
              <w:rPr>
                <w:rFonts w:hint="eastAsia" w:ascii="宋体" w:hAnsi="宋体" w:cs="宋体"/>
                <w:color w:val="auto"/>
                <w:spacing w:val="-8"/>
                <w:sz w:val="24"/>
                <w:szCs w:val="24"/>
                <w:highlight w:val="none"/>
                <w:lang w:val="en-US" w:eastAsia="zh-CN"/>
              </w:rPr>
              <w:t>47</w:t>
            </w:r>
            <w:r>
              <w:rPr>
                <w:rFonts w:hint="eastAsia" w:ascii="宋体" w:hAnsi="宋体" w:cs="宋体"/>
                <w:color w:val="auto"/>
                <w:spacing w:val="-8"/>
                <w:sz w:val="24"/>
                <w:szCs w:val="24"/>
                <w:highlight w:val="none"/>
              </w:rPr>
              <w:t>分）</w:t>
            </w:r>
          </w:p>
        </w:tc>
        <w:tc>
          <w:tcPr>
            <w:tcW w:w="5619" w:type="dxa"/>
            <w:vAlign w:val="center"/>
          </w:tcPr>
          <w:p w14:paraId="404E5082">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1.</w:t>
            </w:r>
            <w:r>
              <w:rPr>
                <w:rFonts w:hint="eastAsia" w:ascii="仿宋" w:hAnsi="仿宋" w:eastAsia="仿宋" w:cs="仿宋"/>
                <w:b/>
                <w:bCs/>
                <w:color w:val="auto"/>
                <w:sz w:val="24"/>
                <w:szCs w:val="24"/>
                <w:highlight w:val="none"/>
                <w:vertAlign w:val="baseline"/>
                <w:lang w:val="en-US" w:eastAsia="zh-CN"/>
              </w:rPr>
              <w:t>拟投入本项目的项目经理：</w:t>
            </w:r>
          </w:p>
          <w:p w14:paraId="013C1DA2">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①具有本科及以上学历证书得1分；</w:t>
            </w:r>
          </w:p>
          <w:p w14:paraId="05047E40">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②具有人力资源和社会保障部或行业部门颁发的物业管理师证得1分；</w:t>
            </w:r>
          </w:p>
          <w:p w14:paraId="3A887379">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③具有物业管理项目经理（或企业经理）证书得2分；</w:t>
            </w:r>
          </w:p>
          <w:p w14:paraId="41598345">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④具有中级及以上工程师职称得2分。</w:t>
            </w:r>
          </w:p>
          <w:p w14:paraId="4B9881BC">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⑤具有5年及以上的物业项目管理工作经验得1分；</w:t>
            </w:r>
          </w:p>
          <w:p w14:paraId="2098ED49">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0" w:firstLineChars="0"/>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SA"/>
              </w:rPr>
              <w:t>本项满分7分；</w:t>
            </w:r>
          </w:p>
        </w:tc>
        <w:tc>
          <w:tcPr>
            <w:tcW w:w="749" w:type="dxa"/>
            <w:vAlign w:val="center"/>
          </w:tcPr>
          <w:p w14:paraId="51B85678">
            <w:pPr>
              <w:pStyle w:val="34"/>
              <w:keepNext w:val="0"/>
              <w:keepLines w:val="0"/>
              <w:pageBreakBefore w:val="0"/>
              <w:kinsoku/>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r>
      <w:tr w14:paraId="09FB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0" w:hRule="atLeast"/>
          <w:jc w:val="center"/>
        </w:trPr>
        <w:tc>
          <w:tcPr>
            <w:tcW w:w="1091" w:type="dxa"/>
            <w:vMerge w:val="continue"/>
            <w:vAlign w:val="center"/>
          </w:tcPr>
          <w:p w14:paraId="1B2B1BED">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vAlign w:val="center"/>
          </w:tcPr>
          <w:p w14:paraId="32D4CE8C">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p>
        </w:tc>
        <w:tc>
          <w:tcPr>
            <w:tcW w:w="5619" w:type="dxa"/>
            <w:vAlign w:val="center"/>
          </w:tcPr>
          <w:p w14:paraId="6782331F">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2.</w:t>
            </w:r>
            <w:r>
              <w:rPr>
                <w:rFonts w:hint="eastAsia" w:ascii="仿宋" w:hAnsi="仿宋" w:eastAsia="仿宋" w:cs="仿宋"/>
                <w:b/>
                <w:bCs/>
                <w:color w:val="auto"/>
                <w:sz w:val="24"/>
                <w:szCs w:val="24"/>
                <w:highlight w:val="none"/>
                <w:vertAlign w:val="baseline"/>
                <w:lang w:val="en-US" w:eastAsia="zh-CN"/>
              </w:rPr>
              <w:t>拟投入本项目的经理助理：</w:t>
            </w:r>
          </w:p>
          <w:p w14:paraId="051A89FB">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①具有本科及以上学历证书得1分；</w:t>
            </w:r>
          </w:p>
          <w:p w14:paraId="54E84BB7">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②具有人力资源和社会保障部或行业部门颁发的物业管理师证得1分；</w:t>
            </w:r>
          </w:p>
          <w:p w14:paraId="6B0AC162">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③具有物业管理项目经理（或企业经理）证书得2分；</w:t>
            </w:r>
          </w:p>
          <w:p w14:paraId="6A204B78">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④具有3年及以上的物业项目管理工作经验得1分；</w:t>
            </w:r>
          </w:p>
          <w:p w14:paraId="038F508F">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本项满分5分；</w:t>
            </w:r>
          </w:p>
        </w:tc>
        <w:tc>
          <w:tcPr>
            <w:tcW w:w="749" w:type="dxa"/>
            <w:vAlign w:val="center"/>
          </w:tcPr>
          <w:p w14:paraId="1AC279F8">
            <w:pPr>
              <w:pStyle w:val="34"/>
              <w:keepNext w:val="0"/>
              <w:keepLines w:val="0"/>
              <w:pageBreakBefore w:val="0"/>
              <w:kinsoku/>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59FF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7041EF16">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vAlign w:val="center"/>
          </w:tcPr>
          <w:p w14:paraId="64E158F3">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p>
        </w:tc>
        <w:tc>
          <w:tcPr>
            <w:tcW w:w="5619" w:type="dxa"/>
            <w:shd w:val="clear" w:color="auto" w:fill="auto"/>
            <w:vAlign w:val="center"/>
          </w:tcPr>
          <w:p w14:paraId="1C9FE728">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jc w:val="both"/>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3.</w:t>
            </w:r>
            <w:r>
              <w:rPr>
                <w:rFonts w:hint="eastAsia" w:ascii="仿宋" w:hAnsi="仿宋" w:eastAsia="仿宋" w:cs="仿宋"/>
                <w:b/>
                <w:bCs/>
                <w:color w:val="auto"/>
                <w:sz w:val="24"/>
                <w:szCs w:val="24"/>
                <w:highlight w:val="none"/>
                <w:vertAlign w:val="baseline"/>
                <w:lang w:val="en-US" w:eastAsia="zh-CN"/>
              </w:rPr>
              <w:t>拟投入本项目的综合经理：</w:t>
            </w:r>
          </w:p>
          <w:p w14:paraId="25915D22">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①具有大专及以上学历证书得1分；</w:t>
            </w:r>
          </w:p>
          <w:p w14:paraId="552B2729">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②具有人力资源和社会保障部或行业部门颁发的企业人力资源管理师证得2分；</w:t>
            </w:r>
          </w:p>
          <w:p w14:paraId="394DB3E6">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③具有人力资源和社会保障部或行业部门颁发的物业管理师证2分；</w:t>
            </w:r>
          </w:p>
          <w:p w14:paraId="5CD3553B">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0" w:firstLineChars="0"/>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本项满分5分；</w:t>
            </w:r>
          </w:p>
        </w:tc>
        <w:tc>
          <w:tcPr>
            <w:tcW w:w="749" w:type="dxa"/>
            <w:vAlign w:val="center"/>
          </w:tcPr>
          <w:p w14:paraId="0B336183">
            <w:pPr>
              <w:pStyle w:val="34"/>
              <w:keepNext w:val="0"/>
              <w:keepLines w:val="0"/>
              <w:pageBreakBefore w:val="0"/>
              <w:kinsoku/>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4DF1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0C02D568">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vAlign w:val="center"/>
          </w:tcPr>
          <w:p w14:paraId="53889E42">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p>
        </w:tc>
        <w:tc>
          <w:tcPr>
            <w:tcW w:w="5619" w:type="dxa"/>
            <w:vAlign w:val="center"/>
          </w:tcPr>
          <w:p w14:paraId="43E22DEC">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4.</w:t>
            </w:r>
            <w:r>
              <w:rPr>
                <w:rFonts w:hint="eastAsia" w:ascii="仿宋" w:hAnsi="仿宋" w:eastAsia="仿宋" w:cs="仿宋"/>
                <w:b/>
                <w:bCs/>
                <w:color w:val="auto"/>
                <w:sz w:val="24"/>
                <w:szCs w:val="24"/>
                <w:highlight w:val="none"/>
                <w:vertAlign w:val="baseline"/>
                <w:lang w:val="en-US" w:eastAsia="zh-CN"/>
              </w:rPr>
              <w:t>拟投入本项目的会议服务主管：</w:t>
            </w:r>
          </w:p>
          <w:p w14:paraId="22F43AFE">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①具有大专及以上学历证书得1分；</w:t>
            </w:r>
          </w:p>
          <w:p w14:paraId="7624B127">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②具有普通话证书1分；</w:t>
            </w:r>
          </w:p>
          <w:p w14:paraId="0A74A48B">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③具有秘书职业资格证书得2分；</w:t>
            </w:r>
          </w:p>
          <w:p w14:paraId="7ADA4F30">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④</w:t>
            </w:r>
            <w:r>
              <w:rPr>
                <w:rFonts w:hint="eastAsia" w:ascii="仿宋" w:hAnsi="仿宋" w:eastAsia="仿宋" w:cs="仿宋"/>
                <w:color w:val="auto"/>
                <w:kern w:val="0"/>
                <w:sz w:val="24"/>
                <w:szCs w:val="24"/>
                <w:highlight w:val="none"/>
                <w:lang w:val="en-US" w:eastAsia="zh-CN" w:bidi="ar-SA"/>
              </w:rPr>
              <w:t>具备礼仪培训师证书得1分；</w:t>
            </w:r>
          </w:p>
          <w:p w14:paraId="079D5AE9">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0" w:firstLineChars="0"/>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SA"/>
              </w:rPr>
              <w:t>本项满分5分；</w:t>
            </w:r>
          </w:p>
        </w:tc>
        <w:tc>
          <w:tcPr>
            <w:tcW w:w="749" w:type="dxa"/>
            <w:vAlign w:val="center"/>
          </w:tcPr>
          <w:p w14:paraId="2B8B9A24">
            <w:pPr>
              <w:pStyle w:val="34"/>
              <w:keepNext w:val="0"/>
              <w:keepLines w:val="0"/>
              <w:pageBreakBefore w:val="0"/>
              <w:kinsoku/>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286E8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40040D42">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vAlign w:val="center"/>
          </w:tcPr>
          <w:p w14:paraId="115581BA">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p>
        </w:tc>
        <w:tc>
          <w:tcPr>
            <w:tcW w:w="5619" w:type="dxa"/>
            <w:vAlign w:val="center"/>
          </w:tcPr>
          <w:p w14:paraId="4556558D">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5.</w:t>
            </w:r>
            <w:r>
              <w:rPr>
                <w:rFonts w:hint="eastAsia" w:ascii="仿宋" w:hAnsi="仿宋" w:eastAsia="仿宋" w:cs="仿宋"/>
                <w:b/>
                <w:bCs/>
                <w:color w:val="auto"/>
                <w:sz w:val="24"/>
                <w:szCs w:val="24"/>
                <w:highlight w:val="none"/>
                <w:vertAlign w:val="baseline"/>
                <w:lang w:val="en-US" w:eastAsia="zh-CN"/>
              </w:rPr>
              <w:t>拟投入本项目的工程经理：</w:t>
            </w:r>
          </w:p>
          <w:p w14:paraId="2B70225B">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①具有特种设备作业人员证书得1分；</w:t>
            </w:r>
          </w:p>
          <w:p w14:paraId="686552D5">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②具有电工职业资格证书得1分；</w:t>
            </w:r>
          </w:p>
          <w:p w14:paraId="2D7A6B09">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③具有注册消防工程师证书得2分；</w:t>
            </w:r>
          </w:p>
          <w:p w14:paraId="04554EE5">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④具有注册安全工程师职业资格证书得2分</w:t>
            </w:r>
          </w:p>
          <w:p w14:paraId="2FAAFDB8">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bidi="ar-SA"/>
              </w:rPr>
              <w:t>本项满分6分；</w:t>
            </w:r>
          </w:p>
        </w:tc>
        <w:tc>
          <w:tcPr>
            <w:tcW w:w="749" w:type="dxa"/>
            <w:vAlign w:val="center"/>
          </w:tcPr>
          <w:p w14:paraId="6119D48D">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r>
      <w:tr w14:paraId="13EA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560889D5">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vAlign w:val="center"/>
          </w:tcPr>
          <w:p w14:paraId="695560F3">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p>
        </w:tc>
        <w:tc>
          <w:tcPr>
            <w:tcW w:w="5619" w:type="dxa"/>
            <w:vAlign w:val="center"/>
          </w:tcPr>
          <w:p w14:paraId="00ADD0AA">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6.</w:t>
            </w:r>
            <w:r>
              <w:rPr>
                <w:rFonts w:hint="eastAsia" w:ascii="仿宋" w:hAnsi="仿宋" w:eastAsia="仿宋" w:cs="仿宋"/>
                <w:b/>
                <w:bCs/>
                <w:color w:val="auto"/>
                <w:sz w:val="24"/>
                <w:szCs w:val="24"/>
                <w:highlight w:val="none"/>
                <w:vertAlign w:val="baseline"/>
                <w:lang w:val="en-US" w:eastAsia="zh-CN"/>
              </w:rPr>
              <w:t>拟投入本项目的安保主管：</w:t>
            </w:r>
          </w:p>
          <w:p w14:paraId="1DBFA6BD">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①具有大专及以上学历证书得1分；</w:t>
            </w:r>
          </w:p>
          <w:p w14:paraId="32FFDB7F">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②具有公安部门颁发的保安员证1分；</w:t>
            </w:r>
          </w:p>
          <w:p w14:paraId="03E540CC">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③具有退伍军人或退役军人得1分；</w:t>
            </w:r>
          </w:p>
          <w:p w14:paraId="210BB130">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④具有消防设施操作员证得2分；</w:t>
            </w:r>
          </w:p>
          <w:p w14:paraId="6BF8F93F">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bidi="ar-SA"/>
              </w:rPr>
              <w:t>本项满分5分；</w:t>
            </w:r>
          </w:p>
        </w:tc>
        <w:tc>
          <w:tcPr>
            <w:tcW w:w="749" w:type="dxa"/>
            <w:vAlign w:val="center"/>
          </w:tcPr>
          <w:p w14:paraId="6EA72F9D">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5DF59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664E1996">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vAlign w:val="center"/>
          </w:tcPr>
          <w:p w14:paraId="0A51BC4B">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p>
        </w:tc>
        <w:tc>
          <w:tcPr>
            <w:tcW w:w="5619" w:type="dxa"/>
            <w:vAlign w:val="center"/>
          </w:tcPr>
          <w:p w14:paraId="0F6F5574">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7.</w:t>
            </w:r>
            <w:r>
              <w:rPr>
                <w:rFonts w:hint="eastAsia" w:ascii="仿宋" w:hAnsi="仿宋" w:eastAsia="仿宋" w:cs="仿宋"/>
                <w:b/>
                <w:bCs/>
                <w:color w:val="auto"/>
                <w:sz w:val="24"/>
                <w:szCs w:val="24"/>
                <w:highlight w:val="none"/>
                <w:vertAlign w:val="baseline"/>
                <w:lang w:val="en-US" w:eastAsia="zh-CN"/>
              </w:rPr>
              <w:t>拟投入本项目的保洁主管：</w:t>
            </w:r>
          </w:p>
          <w:p w14:paraId="5C606EC7">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①具有大专及以上学历证书得1分；</w:t>
            </w:r>
          </w:p>
          <w:p w14:paraId="41C583BA">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②具有清洁经理或清洁员或清洁师证书得2分；</w:t>
            </w:r>
          </w:p>
          <w:p w14:paraId="28F387A6">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③具有3年及以上的保洁岗位经验得1分；</w:t>
            </w:r>
          </w:p>
          <w:p w14:paraId="582CE924">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bidi="ar-SA"/>
              </w:rPr>
              <w:t>本项满分4分；</w:t>
            </w:r>
          </w:p>
        </w:tc>
        <w:tc>
          <w:tcPr>
            <w:tcW w:w="749" w:type="dxa"/>
            <w:vAlign w:val="center"/>
          </w:tcPr>
          <w:p w14:paraId="190336C5">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r>
      <w:tr w14:paraId="09C30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02ED6CB7">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vAlign w:val="center"/>
          </w:tcPr>
          <w:p w14:paraId="518B7F2C">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p>
        </w:tc>
        <w:tc>
          <w:tcPr>
            <w:tcW w:w="5619" w:type="dxa"/>
            <w:vAlign w:val="center"/>
          </w:tcPr>
          <w:p w14:paraId="2AF9F74D">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8.</w:t>
            </w:r>
            <w:r>
              <w:rPr>
                <w:rFonts w:hint="eastAsia" w:ascii="仿宋" w:hAnsi="仿宋" w:eastAsia="仿宋" w:cs="仿宋"/>
                <w:b/>
                <w:bCs/>
                <w:color w:val="auto"/>
                <w:sz w:val="24"/>
                <w:szCs w:val="24"/>
                <w:highlight w:val="none"/>
                <w:vertAlign w:val="baseline"/>
                <w:lang w:val="en-US" w:eastAsia="zh-CN"/>
              </w:rPr>
              <w:t>拟投入本项目的绿化主管：</w:t>
            </w:r>
          </w:p>
          <w:p w14:paraId="4178D8FA">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①具有大专及以上学历证书得1分；</w:t>
            </w:r>
          </w:p>
          <w:p w14:paraId="701F3FFA">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②具有园林绿化工工程师或花卉园艺师或绿化工证书得2分。</w:t>
            </w:r>
          </w:p>
          <w:p w14:paraId="28FCE9C8">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bidi="ar-SA"/>
              </w:rPr>
              <w:t>本项满分3分；</w:t>
            </w:r>
          </w:p>
        </w:tc>
        <w:tc>
          <w:tcPr>
            <w:tcW w:w="749" w:type="dxa"/>
            <w:vAlign w:val="center"/>
          </w:tcPr>
          <w:p w14:paraId="352CF1DB">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04221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12873800">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vAlign w:val="center"/>
          </w:tcPr>
          <w:p w14:paraId="1D94F8D2">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p>
        </w:tc>
        <w:tc>
          <w:tcPr>
            <w:tcW w:w="5619" w:type="dxa"/>
            <w:vAlign w:val="center"/>
          </w:tcPr>
          <w:p w14:paraId="38F7975A">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bidi="ar-SA"/>
              </w:rPr>
              <w:t>9.</w:t>
            </w:r>
            <w:r>
              <w:rPr>
                <w:rFonts w:hint="eastAsia" w:ascii="仿宋" w:hAnsi="仿宋" w:eastAsia="仿宋" w:cs="仿宋"/>
                <w:b/>
                <w:bCs/>
                <w:color w:val="auto"/>
                <w:sz w:val="24"/>
                <w:szCs w:val="24"/>
                <w:highlight w:val="none"/>
                <w:vertAlign w:val="baseline"/>
                <w:lang w:val="en-US" w:eastAsia="zh-CN"/>
              </w:rPr>
              <w:t>拟投入本项目的团队人员（不包含1-8项其他人员）：</w:t>
            </w:r>
          </w:p>
          <w:p w14:paraId="43FABBAD">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①拟投入的工作人员：</w:t>
            </w:r>
          </w:p>
          <w:p w14:paraId="69755C86">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持有高压电工作业证得1分；</w:t>
            </w:r>
          </w:p>
          <w:p w14:paraId="51314249">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持有低压电工作业证得1分；</w:t>
            </w:r>
          </w:p>
          <w:p w14:paraId="21EF3789">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持有锅炉证得1分；</w:t>
            </w:r>
          </w:p>
          <w:p w14:paraId="64E347F4">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持有弱电系统工程师证书得1分；</w:t>
            </w:r>
          </w:p>
          <w:p w14:paraId="4E9AAFB1">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持有特种设备作业人员证书得1分；</w:t>
            </w:r>
          </w:p>
          <w:p w14:paraId="68BDD144">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满分5分。人员重复不计分。</w:t>
            </w:r>
          </w:p>
          <w:p w14:paraId="35531163">
            <w:pPr>
              <w:keepNext w:val="0"/>
              <w:keepLines w:val="0"/>
              <w:pageBreakBefore w:val="0"/>
              <w:kinsoku/>
              <w:overflowPunct/>
              <w:topLinePunct w:val="0"/>
              <w:bidi w:val="0"/>
              <w:snapToGrid/>
              <w:spacing w:line="360" w:lineRule="auto"/>
              <w:ind w:left="172" w:right="111" w:hanging="4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bidi="ar-SA"/>
              </w:rPr>
              <w:t>②属于退伍或退役军人的，提供1人得0.2分，满分2分（年龄不超过</w:t>
            </w:r>
            <w:r>
              <w:rPr>
                <w:rFonts w:hint="eastAsia" w:ascii="仿宋" w:hAnsi="仿宋" w:eastAsia="仿宋" w:cs="仿宋"/>
                <w:strike w:val="0"/>
                <w:dstrike w:val="0"/>
                <w:color w:val="auto"/>
                <w:kern w:val="0"/>
                <w:sz w:val="24"/>
                <w:szCs w:val="24"/>
                <w:highlight w:val="none"/>
                <w:lang w:val="en-US" w:eastAsia="zh-CN" w:bidi="ar-SA"/>
              </w:rPr>
              <w:t>50</w:t>
            </w:r>
            <w:r>
              <w:rPr>
                <w:rFonts w:hint="eastAsia" w:ascii="仿宋" w:hAnsi="仿宋" w:eastAsia="仿宋" w:cs="仿宋"/>
                <w:color w:val="auto"/>
                <w:kern w:val="0"/>
                <w:sz w:val="24"/>
                <w:szCs w:val="24"/>
                <w:highlight w:val="none"/>
                <w:lang w:val="en-US" w:eastAsia="zh-CN" w:bidi="ar-SA"/>
              </w:rPr>
              <w:t>周岁且不低于22周岁）</w:t>
            </w:r>
          </w:p>
        </w:tc>
        <w:tc>
          <w:tcPr>
            <w:tcW w:w="749" w:type="dxa"/>
            <w:vAlign w:val="center"/>
          </w:tcPr>
          <w:p w14:paraId="1ED7A5C2">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r>
      <w:tr w14:paraId="6DC39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1BE0BC14">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vAlign w:val="center"/>
          </w:tcPr>
          <w:p w14:paraId="1B486BB4">
            <w:pPr>
              <w:pStyle w:val="34"/>
              <w:keepNext w:val="0"/>
              <w:keepLines w:val="0"/>
              <w:pageBreakBefore w:val="0"/>
              <w:kinsoku/>
              <w:overflowPunct/>
              <w:topLinePunct w:val="0"/>
              <w:bidi w:val="0"/>
              <w:snapToGrid/>
              <w:spacing w:line="360" w:lineRule="auto"/>
              <w:ind w:left="110"/>
              <w:textAlignment w:val="auto"/>
              <w:rPr>
                <w:rFonts w:ascii="宋体" w:hAnsi="宋体" w:cs="宋体"/>
                <w:color w:val="auto"/>
                <w:spacing w:val="-8"/>
                <w:sz w:val="24"/>
                <w:szCs w:val="24"/>
                <w:highlight w:val="none"/>
              </w:rPr>
            </w:pPr>
          </w:p>
        </w:tc>
        <w:tc>
          <w:tcPr>
            <w:tcW w:w="5619" w:type="dxa"/>
            <w:vAlign w:val="center"/>
          </w:tcPr>
          <w:p w14:paraId="0A36930F">
            <w:pPr>
              <w:keepNext w:val="0"/>
              <w:keepLines w:val="0"/>
              <w:pageBreakBefore w:val="0"/>
              <w:kinsoku/>
              <w:overflowPunct/>
              <w:topLinePunct w:val="0"/>
              <w:bidi w:val="0"/>
              <w:snapToGrid/>
              <w:spacing w:line="360" w:lineRule="auto"/>
              <w:ind w:left="172" w:right="111" w:hanging="4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bidi="ar-SA"/>
              </w:rPr>
              <w:t>注：以上人员不重复计分，需提供身份证、相关证明材料及投标单位2025年任意3个月交纳的社保证明材料，复印件加盖投标单位公章。</w:t>
            </w:r>
          </w:p>
        </w:tc>
        <w:tc>
          <w:tcPr>
            <w:tcW w:w="749" w:type="dxa"/>
            <w:vAlign w:val="center"/>
          </w:tcPr>
          <w:p w14:paraId="7E7D2ABD">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r>
      <w:tr w14:paraId="47DD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091" w:type="dxa"/>
            <w:vMerge w:val="continue"/>
            <w:vAlign w:val="center"/>
          </w:tcPr>
          <w:p w14:paraId="3E3C39D7">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restart"/>
            <w:tcBorders>
              <w:top w:val="single" w:color="auto" w:sz="4" w:space="0"/>
              <w:left w:val="single" w:color="auto" w:sz="4" w:space="0"/>
              <w:right w:val="single" w:color="auto" w:sz="4" w:space="0"/>
            </w:tcBorders>
            <w:vAlign w:val="center"/>
          </w:tcPr>
          <w:p w14:paraId="0D713506">
            <w:pPr>
              <w:pStyle w:val="34"/>
              <w:keepNext w:val="0"/>
              <w:keepLines w:val="0"/>
              <w:pageBreakBefore w:val="0"/>
              <w:kinsoku/>
              <w:overflowPunct/>
              <w:topLinePunct w:val="0"/>
              <w:bidi w:val="0"/>
              <w:snapToGrid/>
              <w:spacing w:line="360" w:lineRule="auto"/>
              <w:ind w:left="11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企业实力</w:t>
            </w:r>
          </w:p>
          <w:p w14:paraId="0466DEB7">
            <w:pPr>
              <w:pStyle w:val="34"/>
              <w:keepNext w:val="0"/>
              <w:keepLines w:val="0"/>
              <w:pageBreakBefore w:val="0"/>
              <w:kinsoku/>
              <w:overflowPunct/>
              <w:topLinePunct w:val="0"/>
              <w:bidi w:val="0"/>
              <w:snapToGrid/>
              <w:spacing w:line="360" w:lineRule="auto"/>
              <w:ind w:left="110"/>
              <w:jc w:val="center"/>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（13分）</w:t>
            </w:r>
          </w:p>
        </w:tc>
        <w:tc>
          <w:tcPr>
            <w:tcW w:w="5619" w:type="dxa"/>
            <w:tcBorders>
              <w:top w:val="single" w:color="auto" w:sz="4" w:space="0"/>
              <w:left w:val="single" w:color="auto" w:sz="4" w:space="0"/>
              <w:bottom w:val="single" w:color="auto" w:sz="4" w:space="0"/>
              <w:right w:val="single" w:color="auto" w:sz="4" w:space="0"/>
            </w:tcBorders>
            <w:vAlign w:val="center"/>
          </w:tcPr>
          <w:p w14:paraId="6CDC53C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①具有有效内的ISO9001质量管理体系认证证书、ISO14001环境管理体系认证证书、ISO45001职业健康与安全管理体系认证证书，得3分，提供不全不得分；</w:t>
            </w:r>
          </w:p>
          <w:p w14:paraId="08C5B33E">
            <w:pPr>
              <w:pStyle w:val="11"/>
              <w:keepNext w:val="0"/>
              <w:keepLines w:val="0"/>
              <w:pageBreakBefore w:val="0"/>
              <w:kinsoku/>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②信息安全管理体系认证证书得2分；</w:t>
            </w:r>
          </w:p>
          <w:p w14:paraId="43F93DD5">
            <w:pPr>
              <w:pStyle w:val="11"/>
              <w:keepNext w:val="0"/>
              <w:keepLines w:val="0"/>
              <w:pageBreakBefore w:val="0"/>
              <w:kinsoku/>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③具有物业服务认证证书得2分。</w:t>
            </w:r>
          </w:p>
          <w:p w14:paraId="7385AB13">
            <w:pPr>
              <w:pStyle w:val="2"/>
              <w:keepNext w:val="0"/>
              <w:keepLines w:val="0"/>
              <w:pageBreakBefore w:val="0"/>
              <w:kinsoku/>
              <w:overflowPunct/>
              <w:topLinePunct w:val="0"/>
              <w:bidi w:val="0"/>
              <w:snapToGrid/>
              <w:spacing w:after="0" w:line="360" w:lineRule="auto"/>
              <w:ind w:left="0" w:leftChars="0" w:firstLine="0" w:firstLineChars="0"/>
              <w:textAlignment w:val="auto"/>
              <w:rPr>
                <w:rFonts w:asciiTheme="minorEastAsia" w:hAnsiTheme="minorEastAsia" w:cstheme="minorEastAsia"/>
                <w:color w:val="auto"/>
                <w:sz w:val="24"/>
                <w:szCs w:val="24"/>
                <w:highlight w:val="none"/>
              </w:rPr>
            </w:pPr>
            <w:r>
              <w:rPr>
                <w:rFonts w:hint="eastAsia" w:ascii="仿宋" w:hAnsi="仿宋" w:eastAsia="仿宋" w:cs="仿宋"/>
                <w:color w:val="auto"/>
                <w:kern w:val="0"/>
                <w:sz w:val="24"/>
                <w:szCs w:val="24"/>
                <w:highlight w:val="none"/>
                <w:lang w:val="en-US" w:eastAsia="zh-CN" w:bidi="ar-SA"/>
              </w:rPr>
              <w:t>注：提供相关证书复印件及中国国家认证认可监督管理委员会官网查询截图加盖投标单位公章</w:t>
            </w:r>
            <w:r>
              <w:rPr>
                <w:rFonts w:hint="eastAsia" w:ascii="仿宋" w:hAnsi="仿宋" w:eastAsia="仿宋" w:cs="仿宋"/>
                <w:color w:val="auto"/>
                <w:kern w:val="2"/>
                <w:sz w:val="24"/>
                <w:szCs w:val="24"/>
                <w:highlight w:val="none"/>
                <w:lang w:val="en-US" w:eastAsia="zh-CN" w:bidi="ar-SA"/>
              </w:rPr>
              <w:t>，未提供不得分</w:t>
            </w:r>
            <w:r>
              <w:rPr>
                <w:rFonts w:hint="eastAsia" w:ascii="仿宋" w:hAnsi="仿宋" w:eastAsia="仿宋" w:cs="仿宋"/>
                <w:color w:val="auto"/>
                <w:kern w:val="0"/>
                <w:sz w:val="24"/>
                <w:szCs w:val="24"/>
                <w:highlight w:val="none"/>
                <w:lang w:val="en-US" w:eastAsia="zh-CN" w:bidi="ar-SA"/>
              </w:rPr>
              <w:t>。</w:t>
            </w:r>
          </w:p>
        </w:tc>
        <w:tc>
          <w:tcPr>
            <w:tcW w:w="749" w:type="dxa"/>
            <w:tcBorders>
              <w:left w:val="single" w:color="auto" w:sz="4" w:space="0"/>
            </w:tcBorders>
            <w:vAlign w:val="center"/>
          </w:tcPr>
          <w:p w14:paraId="57D625A3">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r>
      <w:tr w14:paraId="623F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091" w:type="dxa"/>
            <w:vMerge w:val="continue"/>
            <w:vAlign w:val="center"/>
          </w:tcPr>
          <w:p w14:paraId="21F2FFED">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tcBorders>
              <w:left w:val="single" w:color="auto" w:sz="4" w:space="0"/>
              <w:right w:val="single" w:color="auto" w:sz="4" w:space="0"/>
            </w:tcBorders>
            <w:vAlign w:val="center"/>
          </w:tcPr>
          <w:p w14:paraId="7017504A">
            <w:pPr>
              <w:pStyle w:val="34"/>
              <w:keepNext w:val="0"/>
              <w:keepLines w:val="0"/>
              <w:pageBreakBefore w:val="0"/>
              <w:kinsoku/>
              <w:overflowPunct/>
              <w:topLinePunct w:val="0"/>
              <w:bidi w:val="0"/>
              <w:snapToGrid/>
              <w:spacing w:line="360" w:lineRule="auto"/>
              <w:ind w:left="110"/>
              <w:textAlignment w:val="auto"/>
              <w:rPr>
                <w:rFonts w:hint="eastAsia" w:asciiTheme="minorEastAsia" w:hAnsiTheme="minorEastAsia" w:cstheme="minorEastAsia"/>
                <w:color w:val="auto"/>
                <w:sz w:val="24"/>
                <w:szCs w:val="24"/>
                <w:highlight w:val="none"/>
                <w:lang w:val="en-US" w:eastAsia="zh-CN"/>
              </w:rPr>
            </w:pPr>
          </w:p>
        </w:tc>
        <w:tc>
          <w:tcPr>
            <w:tcW w:w="5619" w:type="dxa"/>
            <w:tcBorders>
              <w:top w:val="single" w:color="auto" w:sz="4" w:space="0"/>
              <w:left w:val="single" w:color="auto" w:sz="4" w:space="0"/>
              <w:bottom w:val="single" w:color="auto" w:sz="4" w:space="0"/>
              <w:right w:val="single" w:color="auto" w:sz="4" w:space="0"/>
            </w:tcBorders>
            <w:vAlign w:val="center"/>
          </w:tcPr>
          <w:p w14:paraId="45FD9F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w:t>
            </w:r>
            <w:r>
              <w:rPr>
                <w:rFonts w:hint="eastAsia" w:ascii="仿宋" w:hAnsi="仿宋" w:eastAsia="仿宋" w:cs="仿宋"/>
                <w:color w:val="auto"/>
                <w:sz w:val="24"/>
                <w:szCs w:val="24"/>
                <w:highlight w:val="none"/>
              </w:rPr>
              <w:t>在管</w:t>
            </w:r>
            <w:r>
              <w:rPr>
                <w:rFonts w:hint="eastAsia" w:ascii="仿宋" w:hAnsi="仿宋" w:eastAsia="仿宋" w:cs="仿宋"/>
                <w:color w:val="auto"/>
                <w:sz w:val="24"/>
                <w:szCs w:val="24"/>
                <w:highlight w:val="none"/>
                <w:lang w:val="en-US" w:eastAsia="zh-CN"/>
              </w:rPr>
              <w:t>理</w:t>
            </w:r>
            <w:r>
              <w:rPr>
                <w:rFonts w:hint="eastAsia" w:ascii="仿宋" w:hAnsi="仿宋" w:eastAsia="仿宋" w:cs="仿宋"/>
                <w:color w:val="auto"/>
                <w:sz w:val="24"/>
                <w:szCs w:val="24"/>
                <w:highlight w:val="none"/>
              </w:rPr>
              <w:t>服务项目</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获得过</w:t>
            </w:r>
            <w:r>
              <w:rPr>
                <w:rFonts w:hint="eastAsia" w:ascii="仿宋" w:hAnsi="仿宋" w:eastAsia="仿宋" w:cs="仿宋"/>
                <w:color w:val="auto"/>
                <w:sz w:val="24"/>
                <w:szCs w:val="24"/>
                <w:highlight w:val="none"/>
                <w:lang w:val="en-US" w:eastAsia="zh-CN"/>
              </w:rPr>
              <w:t>有关</w:t>
            </w:r>
            <w:r>
              <w:rPr>
                <w:rFonts w:hint="eastAsia" w:ascii="仿宋" w:hAnsi="仿宋" w:eastAsia="仿宋" w:cs="仿宋"/>
                <w:color w:val="auto"/>
                <w:sz w:val="24"/>
                <w:szCs w:val="24"/>
                <w:highlight w:val="none"/>
              </w:rPr>
              <w:t>行政主管部门颁发的相关荣誉的，每提供一个得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分，本项</w:t>
            </w:r>
            <w:r>
              <w:rPr>
                <w:rFonts w:hint="eastAsia" w:ascii="仿宋" w:hAnsi="仿宋" w:eastAsia="仿宋" w:cs="仿宋"/>
                <w:color w:val="auto"/>
                <w:sz w:val="24"/>
                <w:szCs w:val="24"/>
                <w:highlight w:val="none"/>
                <w:lang w:val="en-US" w:eastAsia="zh-CN"/>
              </w:rPr>
              <w:t>满分</w:t>
            </w:r>
            <w:r>
              <w:rPr>
                <w:rFonts w:hint="eastAsia" w:ascii="仿宋" w:hAnsi="仿宋" w:eastAsia="仿宋" w:cs="仿宋"/>
                <w:color w:val="auto"/>
                <w:sz w:val="24"/>
                <w:szCs w:val="24"/>
                <w:highlight w:val="none"/>
              </w:rPr>
              <w:t>3分。</w:t>
            </w:r>
          </w:p>
          <w:p w14:paraId="43B4B849">
            <w:pPr>
              <w:pStyle w:val="2"/>
              <w:keepNext w:val="0"/>
              <w:keepLines w:val="0"/>
              <w:pageBreakBefore w:val="0"/>
              <w:kinsoku/>
              <w:overflowPunct/>
              <w:topLinePunct w:val="0"/>
              <w:bidi w:val="0"/>
              <w:snapToGrid/>
              <w:spacing w:after="0" w:line="360" w:lineRule="auto"/>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注：提供相关证书并加盖</w:t>
            </w:r>
            <w:r>
              <w:rPr>
                <w:rFonts w:hint="eastAsia" w:ascii="仿宋" w:hAnsi="仿宋" w:eastAsia="仿宋" w:cs="仿宋"/>
                <w:color w:val="auto"/>
                <w:kern w:val="0"/>
                <w:sz w:val="24"/>
                <w:szCs w:val="24"/>
                <w:highlight w:val="none"/>
                <w:lang w:val="en-US" w:eastAsia="zh-CN" w:bidi="ar"/>
              </w:rPr>
              <w:t>投标人</w:t>
            </w:r>
            <w:r>
              <w:rPr>
                <w:rFonts w:hint="eastAsia" w:ascii="仿宋" w:hAnsi="仿宋" w:eastAsia="仿宋" w:cs="仿宋"/>
                <w:color w:val="auto"/>
                <w:kern w:val="2"/>
                <w:sz w:val="24"/>
                <w:szCs w:val="24"/>
                <w:highlight w:val="none"/>
                <w:lang w:val="en-US" w:eastAsia="zh-CN" w:bidi="ar-SA"/>
              </w:rPr>
              <w:t>单位公章，未提供不得分。</w:t>
            </w:r>
          </w:p>
        </w:tc>
        <w:tc>
          <w:tcPr>
            <w:tcW w:w="749" w:type="dxa"/>
            <w:tcBorders>
              <w:left w:val="single" w:color="auto" w:sz="4" w:space="0"/>
            </w:tcBorders>
            <w:vAlign w:val="center"/>
          </w:tcPr>
          <w:p w14:paraId="5A12F768">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3CDA3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091" w:type="dxa"/>
            <w:vMerge w:val="continue"/>
            <w:vAlign w:val="center"/>
          </w:tcPr>
          <w:p w14:paraId="4FCA2F78">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p>
        </w:tc>
        <w:tc>
          <w:tcPr>
            <w:tcW w:w="1530" w:type="dxa"/>
            <w:vMerge w:val="continue"/>
            <w:tcBorders>
              <w:left w:val="single" w:color="auto" w:sz="4" w:space="0"/>
              <w:right w:val="single" w:color="auto" w:sz="4" w:space="0"/>
            </w:tcBorders>
            <w:vAlign w:val="center"/>
          </w:tcPr>
          <w:p w14:paraId="5825AC0B">
            <w:pPr>
              <w:pStyle w:val="34"/>
              <w:keepNext w:val="0"/>
              <w:keepLines w:val="0"/>
              <w:pageBreakBefore w:val="0"/>
              <w:kinsoku/>
              <w:overflowPunct/>
              <w:topLinePunct w:val="0"/>
              <w:bidi w:val="0"/>
              <w:snapToGrid/>
              <w:spacing w:line="360" w:lineRule="auto"/>
              <w:ind w:left="110"/>
              <w:textAlignment w:val="auto"/>
              <w:rPr>
                <w:rFonts w:hint="default" w:eastAsia="宋体" w:asciiTheme="minorEastAsia" w:hAnsiTheme="minorEastAsia" w:cstheme="minorEastAsia"/>
                <w:color w:val="auto"/>
                <w:sz w:val="24"/>
                <w:szCs w:val="24"/>
                <w:highlight w:val="none"/>
                <w:lang w:val="en-US" w:eastAsia="zh-CN"/>
              </w:rPr>
            </w:pPr>
          </w:p>
        </w:tc>
        <w:tc>
          <w:tcPr>
            <w:tcW w:w="5619" w:type="dxa"/>
            <w:tcBorders>
              <w:top w:val="single" w:color="auto" w:sz="4" w:space="0"/>
              <w:left w:val="single" w:color="auto" w:sz="4" w:space="0"/>
              <w:bottom w:val="single" w:color="auto" w:sz="4" w:space="0"/>
              <w:right w:val="single" w:color="auto" w:sz="4" w:space="0"/>
            </w:tcBorders>
            <w:vAlign w:val="center"/>
          </w:tcPr>
          <w:p w14:paraId="5378A8E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具有物业服务智能信息管理平台或系统，平台或系统中至少应包含设施设备查询管理、人员考勤管理、安防巡更管理、意见反馈、客房管理的内容（需提供界面清晰截图），并承诺在管理期间免费提供给采购人使用的，提供1个截图得0.6分，满分3分。</w:t>
            </w:r>
          </w:p>
          <w:p w14:paraId="1E7C9E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【证明材料：1.若平台或系统为自有的，提供著作权人为投标单位的软件著作权登记证书以及使用界面截图的证明材料复印件加盖投标单位公章。</w:t>
            </w:r>
          </w:p>
          <w:p w14:paraId="5BAC06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2.若平台或系统为租赁的，提供租赁协议及著作权人为租赁方的软件著作权登记证书以及使用界面截图的证明材料复印件加盖投标单位公章。</w:t>
            </w:r>
          </w:p>
          <w:p w14:paraId="5DB3778C">
            <w:pPr>
              <w:pStyle w:val="34"/>
              <w:keepNext w:val="0"/>
              <w:keepLines w:val="0"/>
              <w:pageBreakBefore w:val="0"/>
              <w:kinsoku/>
              <w:overflowPunct/>
              <w:topLinePunct w:val="0"/>
              <w:bidi w:val="0"/>
              <w:snapToGrid/>
              <w:spacing w:line="360" w:lineRule="auto"/>
              <w:ind w:left="110"/>
              <w:textAlignment w:val="auto"/>
              <w:rPr>
                <w:rFonts w:asciiTheme="minorEastAsia" w:hAnsiTheme="minorEastAsia" w:cstheme="minorEastAsia"/>
                <w:color w:val="auto"/>
                <w:sz w:val="24"/>
                <w:szCs w:val="24"/>
                <w:highlight w:val="none"/>
              </w:rPr>
            </w:pPr>
            <w:r>
              <w:rPr>
                <w:rFonts w:hint="eastAsia" w:ascii="仿宋" w:hAnsi="仿宋" w:eastAsia="仿宋" w:cs="仿宋"/>
                <w:color w:val="auto"/>
                <w:kern w:val="0"/>
                <w:sz w:val="24"/>
                <w:szCs w:val="24"/>
                <w:highlight w:val="none"/>
                <w:lang w:val="en-US" w:eastAsia="zh-CN" w:bidi="ar"/>
              </w:rPr>
              <w:t>3.按上述要求提供证明材料，提供不全或不提供的不得分】</w:t>
            </w:r>
          </w:p>
        </w:tc>
        <w:tc>
          <w:tcPr>
            <w:tcW w:w="749" w:type="dxa"/>
            <w:tcBorders>
              <w:left w:val="single" w:color="auto" w:sz="4" w:space="0"/>
            </w:tcBorders>
            <w:vAlign w:val="center"/>
          </w:tcPr>
          <w:p w14:paraId="69688AF4">
            <w:pPr>
              <w:pStyle w:val="34"/>
              <w:keepNext w:val="0"/>
              <w:keepLines w:val="0"/>
              <w:pageBreakBefore w:val="0"/>
              <w:kinsoku/>
              <w:overflowPunct/>
              <w:topLinePunct w:val="0"/>
              <w:bidi w:val="0"/>
              <w:snapToGrid/>
              <w:spacing w:line="360" w:lineRule="auto"/>
              <w:ind w:firstLine="240" w:firstLineChars="100"/>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57089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1091" w:type="dxa"/>
            <w:vMerge w:val="restart"/>
            <w:vAlign w:val="center"/>
          </w:tcPr>
          <w:p w14:paraId="05630ACD">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技术部分（</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1530" w:type="dxa"/>
            <w:vMerge w:val="restart"/>
            <w:vAlign w:val="center"/>
          </w:tcPr>
          <w:p w14:paraId="1F8F9E1E">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实施方案</w:t>
            </w:r>
          </w:p>
        </w:tc>
        <w:tc>
          <w:tcPr>
            <w:tcW w:w="5619" w:type="dxa"/>
            <w:tcBorders>
              <w:top w:val="single" w:color="auto" w:sz="4" w:space="0"/>
            </w:tcBorders>
            <w:vAlign w:val="center"/>
          </w:tcPr>
          <w:p w14:paraId="4C9EEDA1">
            <w:pPr>
              <w:pStyle w:val="34"/>
              <w:keepNext w:val="0"/>
              <w:keepLines w:val="0"/>
              <w:pageBreakBefore w:val="0"/>
              <w:kinsoku/>
              <w:overflowPunct/>
              <w:topLinePunct w:val="0"/>
              <w:bidi w:val="0"/>
              <w:adjustRightInd/>
              <w:snapToGrid/>
              <w:spacing w:line="360" w:lineRule="auto"/>
              <w:ind w:left="108"/>
              <w:textAlignment w:val="auto"/>
              <w:rPr>
                <w:rFonts w:asciiTheme="minorEastAsia" w:hAnsiTheme="minorEastAsia" w:cstheme="minorEastAsia"/>
                <w:color w:val="auto"/>
                <w:sz w:val="24"/>
                <w:szCs w:val="24"/>
                <w:highlight w:val="none"/>
              </w:rPr>
            </w:pPr>
            <w:r>
              <w:rPr>
                <w:rFonts w:hint="eastAsia" w:ascii="仿宋" w:hAnsi="仿宋" w:eastAsia="仿宋" w:cs="仿宋"/>
                <w:b/>
                <w:bCs/>
                <w:color w:val="auto"/>
                <w:kern w:val="2"/>
                <w:sz w:val="24"/>
                <w:szCs w:val="24"/>
                <w:highlight w:val="none"/>
                <w:vertAlign w:val="baseline"/>
                <w:lang w:val="en-US" w:eastAsia="zh-CN" w:bidi="ar-SA"/>
              </w:rPr>
              <w:t>1</w:t>
            </w:r>
            <w:r>
              <w:rPr>
                <w:rFonts w:hint="eastAsia" w:ascii="仿宋" w:hAnsi="仿宋" w:eastAsia="仿宋" w:cs="仿宋"/>
                <w:b/>
                <w:bCs/>
                <w:color w:val="auto"/>
                <w:kern w:val="0"/>
                <w:sz w:val="24"/>
                <w:szCs w:val="24"/>
                <w:highlight w:val="none"/>
                <w:lang w:val="en-US" w:eastAsia="zh-CN" w:bidi="ar"/>
              </w:rPr>
              <w:t>.物业服务整体策划方案：</w:t>
            </w:r>
            <w:r>
              <w:rPr>
                <w:rFonts w:hint="eastAsia" w:ascii="仿宋" w:hAnsi="仿宋" w:eastAsia="仿宋" w:cs="仿宋"/>
                <w:color w:val="auto"/>
                <w:kern w:val="0"/>
                <w:sz w:val="24"/>
                <w:szCs w:val="24"/>
                <w:highlight w:val="none"/>
                <w:lang w:val="en-US" w:eastAsia="zh-CN" w:bidi="ar"/>
              </w:rPr>
              <w:t>根据方案中的物业服务特点、重点难点分析、整体设想及策划、拟采取的管理方式等内容拟定方案。根据投标人提供的方案完整、适用性强、针对性强的得3分；方案完整、适用性、针对性一般的1.5分；方案完整、适用性、针对性较差的0.5分；缺少任意一项内容不得分</w:t>
            </w:r>
            <w:r>
              <w:rPr>
                <w:rFonts w:hint="eastAsia" w:ascii="仿宋" w:hAnsi="仿宋" w:eastAsia="仿宋" w:cs="仿宋"/>
                <w:color w:val="auto"/>
                <w:sz w:val="24"/>
                <w:szCs w:val="24"/>
                <w:highlight w:val="none"/>
                <w:vertAlign w:val="baseline"/>
                <w:lang w:val="en-US" w:eastAsia="zh-CN"/>
              </w:rPr>
              <w:t>。</w:t>
            </w:r>
          </w:p>
        </w:tc>
        <w:tc>
          <w:tcPr>
            <w:tcW w:w="749" w:type="dxa"/>
            <w:vAlign w:val="center"/>
          </w:tcPr>
          <w:p w14:paraId="5BD83967">
            <w:pPr>
              <w:pStyle w:val="34"/>
              <w:keepNext w:val="0"/>
              <w:keepLines w:val="0"/>
              <w:pageBreakBefore w:val="0"/>
              <w:kinsoku/>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44FBA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1091" w:type="dxa"/>
            <w:vMerge w:val="continue"/>
            <w:vAlign w:val="center"/>
          </w:tcPr>
          <w:p w14:paraId="7D7711AB">
            <w:pPr>
              <w:pStyle w:val="34"/>
              <w:keepNext w:val="0"/>
              <w:keepLines w:val="0"/>
              <w:pageBreakBefore w:val="0"/>
              <w:kinsoku/>
              <w:overflowPunct/>
              <w:topLinePunct w:val="0"/>
              <w:bidi w:val="0"/>
              <w:snapToGrid/>
              <w:spacing w:line="360" w:lineRule="auto"/>
              <w:ind w:left="110"/>
              <w:textAlignment w:val="auto"/>
              <w:rPr>
                <w:rFonts w:hint="eastAsia" w:asciiTheme="minorEastAsia" w:hAnsiTheme="minorEastAsia" w:eastAsiaTheme="minorEastAsia" w:cstheme="minorEastAsia"/>
                <w:color w:val="auto"/>
                <w:sz w:val="24"/>
                <w:szCs w:val="24"/>
                <w:highlight w:val="none"/>
              </w:rPr>
            </w:pPr>
          </w:p>
        </w:tc>
        <w:tc>
          <w:tcPr>
            <w:tcW w:w="1530" w:type="dxa"/>
            <w:vMerge w:val="continue"/>
            <w:vAlign w:val="center"/>
          </w:tcPr>
          <w:p w14:paraId="5F6724F4">
            <w:pPr>
              <w:pStyle w:val="34"/>
              <w:keepNext w:val="0"/>
              <w:keepLines w:val="0"/>
              <w:pageBreakBefore w:val="0"/>
              <w:kinsoku/>
              <w:overflowPunct/>
              <w:topLinePunct w:val="0"/>
              <w:bidi w:val="0"/>
              <w:snapToGrid/>
              <w:spacing w:line="360" w:lineRule="auto"/>
              <w:ind w:left="110"/>
              <w:textAlignment w:val="auto"/>
              <w:rPr>
                <w:rFonts w:hint="eastAsia" w:asciiTheme="minorEastAsia" w:hAnsiTheme="minorEastAsia" w:eastAsiaTheme="minorEastAsia" w:cstheme="minorEastAsia"/>
                <w:color w:val="auto"/>
                <w:sz w:val="24"/>
                <w:szCs w:val="24"/>
                <w:highlight w:val="none"/>
              </w:rPr>
            </w:pPr>
          </w:p>
        </w:tc>
        <w:tc>
          <w:tcPr>
            <w:tcW w:w="5619" w:type="dxa"/>
            <w:tcBorders>
              <w:top w:val="single" w:color="auto" w:sz="4" w:space="0"/>
            </w:tcBorders>
            <w:vAlign w:val="center"/>
          </w:tcPr>
          <w:p w14:paraId="4E410E56">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客房服务、会议服务方案：</w:t>
            </w:r>
          </w:p>
          <w:p w14:paraId="27F5F5E8">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客房服务：供应商根据客房服务内容及服务标准制定方案（包含但不限于：学员的接待登记入住及退房手续办理、客房的清理、整理、布草更换、洗涤、客房设施、设备的维修、维护等）。</w:t>
            </w:r>
          </w:p>
          <w:p w14:paraId="2769A97F">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会议服务：供应商根据会议管理服务内容及标准制定方案（包含但不限于：会前、会中、会后服务。各类会议室（含备会室和休息室）、各类教室（含大礼堂、报告厅、健身房等）和讨论室提供会务服务）</w:t>
            </w:r>
          </w:p>
          <w:p w14:paraId="14684EBC">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提供以上方案合理可行的得3分，较合理可行的的得1.5分，基本合理可行的得0.5分，不合理不可行或未提供不得分。</w:t>
            </w:r>
          </w:p>
        </w:tc>
        <w:tc>
          <w:tcPr>
            <w:tcW w:w="749" w:type="dxa"/>
            <w:vAlign w:val="center"/>
          </w:tcPr>
          <w:p w14:paraId="66A635B3">
            <w:pPr>
              <w:pStyle w:val="34"/>
              <w:keepNext w:val="0"/>
              <w:keepLines w:val="0"/>
              <w:pageBreakBefore w:val="0"/>
              <w:kinsoku/>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55100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1091" w:type="dxa"/>
            <w:vMerge w:val="continue"/>
            <w:vAlign w:val="center"/>
          </w:tcPr>
          <w:p w14:paraId="06068D2A">
            <w:pPr>
              <w:pStyle w:val="34"/>
              <w:keepNext w:val="0"/>
              <w:keepLines w:val="0"/>
              <w:pageBreakBefore w:val="0"/>
              <w:kinsoku/>
              <w:overflowPunct/>
              <w:topLinePunct w:val="0"/>
              <w:bidi w:val="0"/>
              <w:snapToGrid/>
              <w:spacing w:line="360" w:lineRule="auto"/>
              <w:ind w:left="110"/>
              <w:textAlignment w:val="auto"/>
              <w:rPr>
                <w:rFonts w:hint="eastAsia" w:asciiTheme="minorEastAsia" w:hAnsiTheme="minorEastAsia" w:eastAsiaTheme="minorEastAsia" w:cstheme="minorEastAsia"/>
                <w:color w:val="auto"/>
                <w:sz w:val="24"/>
                <w:szCs w:val="24"/>
                <w:highlight w:val="none"/>
              </w:rPr>
            </w:pPr>
          </w:p>
        </w:tc>
        <w:tc>
          <w:tcPr>
            <w:tcW w:w="1530" w:type="dxa"/>
            <w:vMerge w:val="continue"/>
            <w:vAlign w:val="center"/>
          </w:tcPr>
          <w:p w14:paraId="249C760C">
            <w:pPr>
              <w:pStyle w:val="34"/>
              <w:keepNext w:val="0"/>
              <w:keepLines w:val="0"/>
              <w:pageBreakBefore w:val="0"/>
              <w:kinsoku/>
              <w:overflowPunct/>
              <w:topLinePunct w:val="0"/>
              <w:bidi w:val="0"/>
              <w:snapToGrid/>
              <w:spacing w:line="360" w:lineRule="auto"/>
              <w:ind w:left="110"/>
              <w:textAlignment w:val="auto"/>
              <w:rPr>
                <w:rFonts w:hint="eastAsia" w:asciiTheme="minorEastAsia" w:hAnsiTheme="minorEastAsia" w:eastAsiaTheme="minorEastAsia" w:cstheme="minorEastAsia"/>
                <w:color w:val="auto"/>
                <w:sz w:val="24"/>
                <w:szCs w:val="24"/>
                <w:highlight w:val="none"/>
              </w:rPr>
            </w:pPr>
          </w:p>
        </w:tc>
        <w:tc>
          <w:tcPr>
            <w:tcW w:w="5619" w:type="dxa"/>
            <w:tcBorders>
              <w:top w:val="single" w:color="auto" w:sz="4" w:space="0"/>
            </w:tcBorders>
            <w:vAlign w:val="center"/>
          </w:tcPr>
          <w:p w14:paraId="4259146D">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保洁服务及绿化服务、安保服务方案：</w:t>
            </w:r>
          </w:p>
          <w:p w14:paraId="0EF378D0">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根据保洁服务及绿化服务内容及标准制定方案（包含但不限于：保洁服务:公共区域及道路、教学公共区域的卫生间保洁、垃圾清运服务等相关工作（不包含食堂内部保洁）；绿化服务：含护林防火、草坪、绿篱等绿化植被的生态环境管护及园林、环境设施设备以及“四害”消杀的日常管理服务等方案）。</w:t>
            </w:r>
          </w:p>
          <w:p w14:paraId="2B501A0E">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安保服务方案：</w:t>
            </w:r>
          </w:p>
          <w:p w14:paraId="62B96DA5">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根据安保管理服务内容及标准制定方案（包含但不限于：校园安全管理服务（包含消防、安防设备管理、消防控制室、监控值班室24小时值班、校园24小时巡逻服务、校园停车引导服务，维护校园公共秩序、森林巡防、门岗执勤、来访登记、重大活动安全保卫、突发事件应急处理、保密管理等方案）。</w:t>
            </w:r>
          </w:p>
          <w:p w14:paraId="7789DB37">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供应商提供以上方案合理可行的得3分，较合理可行的的得1.5分，基本合理可行的得0.5分，不合理不可行或未提供不得分。</w:t>
            </w:r>
          </w:p>
        </w:tc>
        <w:tc>
          <w:tcPr>
            <w:tcW w:w="749" w:type="dxa"/>
            <w:vAlign w:val="center"/>
          </w:tcPr>
          <w:p w14:paraId="5E54D35F">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6D713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1091" w:type="dxa"/>
            <w:vMerge w:val="continue"/>
            <w:vAlign w:val="center"/>
          </w:tcPr>
          <w:p w14:paraId="44E76AE5">
            <w:pPr>
              <w:pStyle w:val="34"/>
              <w:keepNext w:val="0"/>
              <w:keepLines w:val="0"/>
              <w:pageBreakBefore w:val="0"/>
              <w:kinsoku/>
              <w:overflowPunct/>
              <w:topLinePunct w:val="0"/>
              <w:bidi w:val="0"/>
              <w:snapToGrid/>
              <w:spacing w:line="360" w:lineRule="auto"/>
              <w:ind w:left="110"/>
              <w:textAlignment w:val="auto"/>
              <w:rPr>
                <w:rFonts w:hint="eastAsia" w:asciiTheme="minorEastAsia" w:hAnsiTheme="minorEastAsia" w:eastAsiaTheme="minorEastAsia" w:cstheme="minorEastAsia"/>
                <w:color w:val="auto"/>
                <w:sz w:val="24"/>
                <w:szCs w:val="24"/>
                <w:highlight w:val="none"/>
              </w:rPr>
            </w:pPr>
          </w:p>
        </w:tc>
        <w:tc>
          <w:tcPr>
            <w:tcW w:w="1530" w:type="dxa"/>
            <w:vMerge w:val="continue"/>
            <w:vAlign w:val="center"/>
          </w:tcPr>
          <w:p w14:paraId="46B0AD82">
            <w:pPr>
              <w:pStyle w:val="34"/>
              <w:keepNext w:val="0"/>
              <w:keepLines w:val="0"/>
              <w:pageBreakBefore w:val="0"/>
              <w:kinsoku/>
              <w:overflowPunct/>
              <w:topLinePunct w:val="0"/>
              <w:bidi w:val="0"/>
              <w:snapToGrid/>
              <w:spacing w:line="360" w:lineRule="auto"/>
              <w:ind w:left="110"/>
              <w:textAlignment w:val="auto"/>
              <w:rPr>
                <w:rFonts w:hint="eastAsia" w:asciiTheme="minorEastAsia" w:hAnsiTheme="minorEastAsia" w:eastAsiaTheme="minorEastAsia" w:cstheme="minorEastAsia"/>
                <w:color w:val="auto"/>
                <w:sz w:val="24"/>
                <w:szCs w:val="24"/>
                <w:highlight w:val="none"/>
              </w:rPr>
            </w:pPr>
          </w:p>
        </w:tc>
        <w:tc>
          <w:tcPr>
            <w:tcW w:w="5619" w:type="dxa"/>
            <w:tcBorders>
              <w:top w:val="single" w:color="auto" w:sz="4" w:space="0"/>
            </w:tcBorders>
            <w:vAlign w:val="center"/>
          </w:tcPr>
          <w:p w14:paraId="10C3066B">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工程服务方案：</w:t>
            </w:r>
          </w:p>
          <w:p w14:paraId="4EDBE7E2">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工程服务：供应商根据工程管理服务内容及标准制定方案（包含但不限于：屋本体及公用设施维修养护、变配电系统设备管理及维护、空调系统维护维保与运行值守管理、电梯系统维护维保与运行值守管理、消防系统维护维保与运行值守管理、路灯系统维护维保与运行管理、给、排水设施设备的管理与运行维护、节能管理的实施方案等）。</w:t>
            </w:r>
          </w:p>
        </w:tc>
        <w:tc>
          <w:tcPr>
            <w:tcW w:w="749" w:type="dxa"/>
            <w:vAlign w:val="center"/>
          </w:tcPr>
          <w:p w14:paraId="7165B7DB">
            <w:pPr>
              <w:pStyle w:val="34"/>
              <w:keepNext w:val="0"/>
              <w:keepLines w:val="0"/>
              <w:pageBreakBefore w:val="0"/>
              <w:kinsoku/>
              <w:overflowPunct/>
              <w:topLinePunct w:val="0"/>
              <w:bidi w:val="0"/>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72A4B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091" w:type="dxa"/>
            <w:vMerge w:val="continue"/>
            <w:vAlign w:val="center"/>
          </w:tcPr>
          <w:p w14:paraId="4921D012">
            <w:pPr>
              <w:pStyle w:val="34"/>
              <w:keepNext w:val="0"/>
              <w:keepLines w:val="0"/>
              <w:pageBreakBefore w:val="0"/>
              <w:kinsoku/>
              <w:overflowPunct/>
              <w:topLinePunct w:val="0"/>
              <w:bidi w:val="0"/>
              <w:snapToGrid/>
              <w:spacing w:line="360" w:lineRule="auto"/>
              <w:ind w:left="110"/>
              <w:textAlignment w:val="auto"/>
              <w:rPr>
                <w:rFonts w:hint="eastAsia" w:asciiTheme="minorEastAsia" w:hAnsiTheme="minorEastAsia" w:eastAsiaTheme="minorEastAsia" w:cstheme="minorEastAsia"/>
                <w:color w:val="auto"/>
                <w:sz w:val="24"/>
                <w:szCs w:val="24"/>
                <w:highlight w:val="none"/>
              </w:rPr>
            </w:pPr>
          </w:p>
        </w:tc>
        <w:tc>
          <w:tcPr>
            <w:tcW w:w="1530" w:type="dxa"/>
            <w:vMerge w:val="continue"/>
            <w:vAlign w:val="center"/>
          </w:tcPr>
          <w:p w14:paraId="0EA0D56E">
            <w:pPr>
              <w:pStyle w:val="34"/>
              <w:keepNext w:val="0"/>
              <w:keepLines w:val="0"/>
              <w:pageBreakBefore w:val="0"/>
              <w:kinsoku/>
              <w:overflowPunct/>
              <w:topLinePunct w:val="0"/>
              <w:bidi w:val="0"/>
              <w:snapToGrid/>
              <w:spacing w:line="360" w:lineRule="auto"/>
              <w:ind w:left="110"/>
              <w:textAlignment w:val="auto"/>
              <w:rPr>
                <w:rFonts w:hint="eastAsia" w:asciiTheme="minorEastAsia" w:hAnsiTheme="minorEastAsia" w:eastAsiaTheme="minorEastAsia" w:cstheme="minorEastAsia"/>
                <w:color w:val="auto"/>
                <w:sz w:val="24"/>
                <w:szCs w:val="24"/>
                <w:highlight w:val="none"/>
              </w:rPr>
            </w:pPr>
          </w:p>
        </w:tc>
        <w:tc>
          <w:tcPr>
            <w:tcW w:w="5619" w:type="dxa"/>
            <w:tcBorders>
              <w:top w:val="single" w:color="auto" w:sz="4" w:space="0"/>
            </w:tcBorders>
            <w:vAlign w:val="center"/>
          </w:tcPr>
          <w:p w14:paraId="6950392A">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应急预案：</w:t>
            </w:r>
            <w:r>
              <w:rPr>
                <w:rFonts w:hint="eastAsia" w:ascii="仿宋" w:hAnsi="仿宋" w:eastAsia="仿宋" w:cs="仿宋"/>
                <w:color w:val="auto"/>
                <w:sz w:val="24"/>
                <w:szCs w:val="24"/>
                <w:highlight w:val="none"/>
                <w:lang w:val="en-US" w:eastAsia="zh-CN"/>
              </w:rPr>
              <w:t>针对本项目制定应急管理方案及措施（包含但不限于：重大节假日、重大会议（活动）、停水停电应急预案、火灾应急预案、水浸或其他突发事件）。</w:t>
            </w:r>
            <w:r>
              <w:rPr>
                <w:rFonts w:hint="eastAsia" w:ascii="仿宋" w:hAnsi="仿宋" w:eastAsia="仿宋" w:cs="仿宋"/>
                <w:color w:val="auto"/>
                <w:kern w:val="0"/>
                <w:sz w:val="24"/>
                <w:szCs w:val="24"/>
                <w:highlight w:val="none"/>
                <w:lang w:val="en-US" w:eastAsia="zh-CN" w:bidi="ar"/>
              </w:rPr>
              <w:t>根据投标人提供的方案完整、适用性强、针对性强的得3分；方案完整、适用性、针对性一般的1.5分；方案完整、适用性、针对性较差的0.5分；缺少任意一项内容不得分</w:t>
            </w:r>
            <w:r>
              <w:rPr>
                <w:rFonts w:hint="eastAsia" w:ascii="仿宋" w:hAnsi="仿宋" w:eastAsia="仿宋" w:cs="仿宋"/>
                <w:color w:val="auto"/>
                <w:sz w:val="24"/>
                <w:szCs w:val="24"/>
                <w:highlight w:val="none"/>
              </w:rPr>
              <w:t>。</w:t>
            </w:r>
          </w:p>
        </w:tc>
        <w:tc>
          <w:tcPr>
            <w:tcW w:w="749" w:type="dxa"/>
            <w:vAlign w:val="center"/>
          </w:tcPr>
          <w:p w14:paraId="2521FD55">
            <w:pPr>
              <w:pStyle w:val="34"/>
              <w:keepNext w:val="0"/>
              <w:keepLines w:val="0"/>
              <w:pageBreakBefore w:val="0"/>
              <w:kinsoku/>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51692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1091" w:type="dxa"/>
            <w:vMerge w:val="restart"/>
            <w:vAlign w:val="center"/>
          </w:tcPr>
          <w:p w14:paraId="44548B5B">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政策性评审</w:t>
            </w:r>
          </w:p>
        </w:tc>
        <w:tc>
          <w:tcPr>
            <w:tcW w:w="1530" w:type="dxa"/>
            <w:vAlign w:val="center"/>
          </w:tcPr>
          <w:p w14:paraId="42169F07">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节能环保加分</w:t>
            </w:r>
          </w:p>
        </w:tc>
        <w:tc>
          <w:tcPr>
            <w:tcW w:w="5619" w:type="dxa"/>
            <w:vAlign w:val="center"/>
          </w:tcPr>
          <w:p w14:paraId="01A2FAF0">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对投标产品属于“节能产品清单”或“环保产品清单” </w:t>
            </w:r>
          </w:p>
          <w:p w14:paraId="098C810D">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有效期内中的产品（强制采购产品除外），在招标采购 评审工作过程中，给予适当加分，即在总得分基础上，每一项加0.3分；如投标产品同时属于“节能产品清单”和“环保产品清单”两个清单中产品的，每一项加0.5分，最高不得超过2分。 </w:t>
            </w:r>
          </w:p>
        </w:tc>
        <w:tc>
          <w:tcPr>
            <w:tcW w:w="749" w:type="dxa"/>
            <w:vAlign w:val="center"/>
          </w:tcPr>
          <w:p w14:paraId="20735B00">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14:paraId="7730D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1091" w:type="dxa"/>
            <w:vMerge w:val="continue"/>
            <w:vAlign w:val="center"/>
          </w:tcPr>
          <w:p w14:paraId="600D5D32">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p>
        </w:tc>
        <w:tc>
          <w:tcPr>
            <w:tcW w:w="1530" w:type="dxa"/>
            <w:vAlign w:val="center"/>
          </w:tcPr>
          <w:p w14:paraId="5BD527D1">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少数民族加分</w:t>
            </w:r>
          </w:p>
        </w:tc>
        <w:tc>
          <w:tcPr>
            <w:tcW w:w="5619" w:type="dxa"/>
            <w:vAlign w:val="center"/>
          </w:tcPr>
          <w:p w14:paraId="16BDB473">
            <w:pPr>
              <w:pStyle w:val="34"/>
              <w:keepNext w:val="0"/>
              <w:keepLines w:val="0"/>
              <w:pageBreakBefore w:val="0"/>
              <w:kinsoku/>
              <w:overflowPunct/>
              <w:topLinePunct w:val="0"/>
              <w:bidi w:val="0"/>
              <w:adjustRightInd/>
              <w:snapToGrid/>
              <w:spacing w:line="360" w:lineRule="auto"/>
              <w:ind w:left="108"/>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对原产地在少数民族自治区和享受少数民族自治待遇的省份的投标主产品（不含附带产品），享受政策性加分和价格扣除，即采用综合评分法或性价比法进行评审的，在总得分基础上加3分； </w:t>
            </w:r>
          </w:p>
        </w:tc>
        <w:tc>
          <w:tcPr>
            <w:tcW w:w="749" w:type="dxa"/>
            <w:vAlign w:val="center"/>
          </w:tcPr>
          <w:p w14:paraId="02E23B22">
            <w:pPr>
              <w:pStyle w:val="34"/>
              <w:keepNext w:val="0"/>
              <w:keepLines w:val="0"/>
              <w:pageBreakBefore w:val="0"/>
              <w:kinsoku/>
              <w:overflowPunct/>
              <w:topLinePunct w:val="0"/>
              <w:bidi w:val="0"/>
              <w:snapToGrid/>
              <w:spacing w:line="360" w:lineRule="auto"/>
              <w:ind w:left="11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bl>
    <w:p w14:paraId="1C67AF40">
      <w:pPr>
        <w:pStyle w:val="10"/>
        <w:spacing w:line="360" w:lineRule="auto"/>
        <w:jc w:val="left"/>
        <w:rPr>
          <w:color w:val="auto"/>
          <w:sz w:val="24"/>
          <w:highlight w:val="none"/>
        </w:rPr>
      </w:pPr>
    </w:p>
    <w:p w14:paraId="504762B3">
      <w:pPr>
        <w:pStyle w:val="10"/>
        <w:spacing w:line="360" w:lineRule="auto"/>
        <w:jc w:val="left"/>
        <w:rPr>
          <w:color w:val="auto"/>
          <w:sz w:val="24"/>
          <w:highlight w:val="none"/>
        </w:rPr>
      </w:pPr>
    </w:p>
    <w:p w14:paraId="604EE6B3">
      <w:pPr>
        <w:pStyle w:val="10"/>
        <w:spacing w:line="360" w:lineRule="auto"/>
        <w:jc w:val="center"/>
        <w:rPr>
          <w:b/>
          <w:color w:val="auto"/>
          <w:sz w:val="28"/>
          <w:highlight w:val="none"/>
        </w:rPr>
      </w:pPr>
      <w:r>
        <w:rPr>
          <w:rFonts w:hint="eastAsia"/>
          <w:b/>
          <w:color w:val="auto"/>
          <w:sz w:val="28"/>
          <w:highlight w:val="none"/>
        </w:rPr>
        <w:t>二、评标办法正文</w:t>
      </w:r>
    </w:p>
    <w:p w14:paraId="1A8F2A04">
      <w:pPr>
        <w:pStyle w:val="10"/>
        <w:spacing w:line="360" w:lineRule="auto"/>
        <w:jc w:val="left"/>
        <w:rPr>
          <w:color w:val="auto"/>
          <w:sz w:val="24"/>
          <w:highlight w:val="none"/>
        </w:rPr>
      </w:pPr>
      <w:r>
        <w:rPr>
          <w:rFonts w:hint="eastAsia"/>
          <w:color w:val="auto"/>
          <w:sz w:val="24"/>
          <w:highlight w:val="none"/>
        </w:rPr>
        <w:t>一、投标供应商资格审查</w:t>
      </w:r>
    </w:p>
    <w:p w14:paraId="7D6ECC25">
      <w:pPr>
        <w:pStyle w:val="10"/>
        <w:spacing w:line="360" w:lineRule="auto"/>
        <w:jc w:val="left"/>
        <w:rPr>
          <w:color w:val="auto"/>
          <w:sz w:val="24"/>
          <w:highlight w:val="none"/>
        </w:rPr>
      </w:pPr>
      <w:r>
        <w:rPr>
          <w:rFonts w:hint="eastAsia"/>
          <w:color w:val="auto"/>
          <w:sz w:val="24"/>
          <w:highlight w:val="none"/>
        </w:rPr>
        <w:t>根据《政府采购货物和服务招标投标管理办法》（财政部令第 87 号）规定，公开招标采购项目开标结束后，采购人或者采购代理机构应当依法对投标供应商的资格进行审查。合格投标供应商不足 3 家的，不得评标。</w:t>
      </w:r>
    </w:p>
    <w:tbl>
      <w:tblPr>
        <w:tblStyle w:val="21"/>
        <w:tblW w:w="94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7371"/>
        <w:gridCol w:w="709"/>
        <w:gridCol w:w="675"/>
      </w:tblGrid>
      <w:tr w14:paraId="35CA87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93E1E39">
            <w:pPr>
              <w:pStyle w:val="10"/>
              <w:spacing w:line="360" w:lineRule="auto"/>
              <w:jc w:val="left"/>
              <w:rPr>
                <w:color w:val="auto"/>
                <w:sz w:val="22"/>
                <w:highlight w:val="none"/>
              </w:rPr>
            </w:pPr>
            <w:r>
              <w:rPr>
                <w:rFonts w:hint="eastAsia"/>
                <w:color w:val="auto"/>
                <w:sz w:val="22"/>
                <w:highlight w:val="none"/>
              </w:rPr>
              <w:t>序号</w:t>
            </w:r>
          </w:p>
        </w:tc>
        <w:tc>
          <w:tcPr>
            <w:tcW w:w="7371" w:type="dxa"/>
            <w:tcBorders>
              <w:tl2br w:val="single" w:color="auto" w:sz="4" w:space="0"/>
            </w:tcBorders>
          </w:tcPr>
          <w:p w14:paraId="0FC6D545">
            <w:pPr>
              <w:pStyle w:val="10"/>
              <w:spacing w:line="360" w:lineRule="auto"/>
              <w:ind w:firstLine="4620" w:firstLineChars="2100"/>
              <w:jc w:val="left"/>
              <w:rPr>
                <w:color w:val="auto"/>
                <w:sz w:val="22"/>
                <w:highlight w:val="none"/>
              </w:rPr>
            </w:pPr>
            <w:r>
              <w:rPr>
                <w:rFonts w:hint="eastAsia"/>
                <w:color w:val="auto"/>
                <w:sz w:val="22"/>
                <w:highlight w:val="none"/>
              </w:rPr>
              <w:t>投标供应商名称</w:t>
            </w:r>
          </w:p>
          <w:p w14:paraId="3124C945">
            <w:pPr>
              <w:pStyle w:val="10"/>
              <w:spacing w:line="360" w:lineRule="auto"/>
              <w:jc w:val="left"/>
              <w:rPr>
                <w:color w:val="auto"/>
                <w:sz w:val="22"/>
                <w:highlight w:val="none"/>
              </w:rPr>
            </w:pPr>
            <w:r>
              <w:rPr>
                <w:rFonts w:hint="eastAsia"/>
                <w:color w:val="auto"/>
                <w:sz w:val="22"/>
                <w:highlight w:val="none"/>
              </w:rPr>
              <w:t>资格审查内容</w:t>
            </w:r>
          </w:p>
        </w:tc>
        <w:tc>
          <w:tcPr>
            <w:tcW w:w="709" w:type="dxa"/>
          </w:tcPr>
          <w:p w14:paraId="2AB763DB">
            <w:pPr>
              <w:pStyle w:val="10"/>
              <w:spacing w:line="360" w:lineRule="auto"/>
              <w:jc w:val="left"/>
              <w:rPr>
                <w:color w:val="auto"/>
                <w:sz w:val="22"/>
                <w:highlight w:val="none"/>
              </w:rPr>
            </w:pPr>
            <w:r>
              <w:rPr>
                <w:rFonts w:hint="eastAsia"/>
                <w:color w:val="auto"/>
                <w:sz w:val="22"/>
                <w:highlight w:val="none"/>
              </w:rPr>
              <w:t>单位1</w:t>
            </w:r>
          </w:p>
        </w:tc>
        <w:tc>
          <w:tcPr>
            <w:tcW w:w="675" w:type="dxa"/>
          </w:tcPr>
          <w:p w14:paraId="14A1224C">
            <w:pPr>
              <w:pStyle w:val="10"/>
              <w:spacing w:line="360" w:lineRule="auto"/>
              <w:jc w:val="left"/>
              <w:rPr>
                <w:color w:val="auto"/>
                <w:sz w:val="22"/>
                <w:highlight w:val="none"/>
              </w:rPr>
            </w:pPr>
            <w:r>
              <w:rPr>
                <w:rFonts w:hint="eastAsia"/>
                <w:color w:val="auto"/>
                <w:sz w:val="22"/>
                <w:highlight w:val="none"/>
              </w:rPr>
              <w:t>单位2</w:t>
            </w:r>
          </w:p>
        </w:tc>
      </w:tr>
      <w:tr w14:paraId="0F8943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A0B8A18">
            <w:pPr>
              <w:pStyle w:val="10"/>
              <w:spacing w:line="360" w:lineRule="auto"/>
              <w:jc w:val="left"/>
              <w:rPr>
                <w:color w:val="auto"/>
                <w:sz w:val="22"/>
                <w:highlight w:val="none"/>
              </w:rPr>
            </w:pPr>
            <w:r>
              <w:rPr>
                <w:rFonts w:hint="eastAsia"/>
                <w:color w:val="auto"/>
                <w:sz w:val="22"/>
                <w:highlight w:val="none"/>
              </w:rPr>
              <w:t>1</w:t>
            </w:r>
          </w:p>
        </w:tc>
        <w:tc>
          <w:tcPr>
            <w:tcW w:w="7371" w:type="dxa"/>
          </w:tcPr>
          <w:p w14:paraId="6212EC05">
            <w:pPr>
              <w:pStyle w:val="10"/>
              <w:spacing w:line="360" w:lineRule="auto"/>
              <w:jc w:val="left"/>
              <w:rPr>
                <w:color w:val="auto"/>
                <w:sz w:val="24"/>
                <w:highlight w:val="none"/>
              </w:rPr>
            </w:pPr>
            <w:r>
              <w:rPr>
                <w:rFonts w:hint="eastAsia"/>
                <w:color w:val="auto"/>
                <w:sz w:val="24"/>
                <w:highlight w:val="none"/>
              </w:rPr>
              <w:t>具有独立承担民事责任的能力：提供法人或其他组织的营业执照等证明文件，或自然人身份证明；(复印件加盖投标供应商公章）</w:t>
            </w:r>
          </w:p>
        </w:tc>
        <w:tc>
          <w:tcPr>
            <w:tcW w:w="709" w:type="dxa"/>
          </w:tcPr>
          <w:p w14:paraId="1A9667A0">
            <w:pPr>
              <w:pStyle w:val="10"/>
              <w:spacing w:line="360" w:lineRule="auto"/>
              <w:jc w:val="left"/>
              <w:rPr>
                <w:color w:val="auto"/>
                <w:sz w:val="22"/>
                <w:highlight w:val="none"/>
              </w:rPr>
            </w:pPr>
          </w:p>
        </w:tc>
        <w:tc>
          <w:tcPr>
            <w:tcW w:w="675" w:type="dxa"/>
          </w:tcPr>
          <w:p w14:paraId="03821BF7">
            <w:pPr>
              <w:pStyle w:val="10"/>
              <w:spacing w:line="360" w:lineRule="auto"/>
              <w:jc w:val="left"/>
              <w:rPr>
                <w:color w:val="auto"/>
                <w:sz w:val="22"/>
                <w:highlight w:val="none"/>
              </w:rPr>
            </w:pPr>
          </w:p>
        </w:tc>
      </w:tr>
      <w:tr w14:paraId="2D8E3B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4DC23A4">
            <w:pPr>
              <w:pStyle w:val="10"/>
              <w:spacing w:line="360" w:lineRule="auto"/>
              <w:jc w:val="left"/>
              <w:rPr>
                <w:color w:val="auto"/>
                <w:sz w:val="22"/>
                <w:highlight w:val="none"/>
              </w:rPr>
            </w:pPr>
            <w:r>
              <w:rPr>
                <w:rFonts w:hint="eastAsia"/>
                <w:color w:val="auto"/>
                <w:sz w:val="22"/>
                <w:highlight w:val="none"/>
              </w:rPr>
              <w:t>2</w:t>
            </w:r>
          </w:p>
        </w:tc>
        <w:tc>
          <w:tcPr>
            <w:tcW w:w="7371" w:type="dxa"/>
          </w:tcPr>
          <w:p w14:paraId="4CB19F3D">
            <w:pPr>
              <w:pStyle w:val="10"/>
              <w:spacing w:line="360" w:lineRule="auto"/>
              <w:jc w:val="left"/>
              <w:rPr>
                <w:color w:val="auto"/>
                <w:sz w:val="24"/>
                <w:highlight w:val="none"/>
              </w:rPr>
            </w:pPr>
            <w:r>
              <w:rPr>
                <w:rFonts w:hint="eastAsia"/>
                <w:color w:val="auto"/>
                <w:sz w:val="24"/>
                <w:highlight w:val="none"/>
              </w:rPr>
              <w:t>具有良好的商业信誉和健全的财务会计制度：</w:t>
            </w:r>
            <w:r>
              <w:rPr>
                <w:rFonts w:hint="eastAsia"/>
                <w:color w:val="auto"/>
                <w:sz w:val="24"/>
                <w:highlight w:val="none"/>
                <w:lang w:val="en-US" w:eastAsia="zh-CN"/>
              </w:rPr>
              <w:t>提供2024</w:t>
            </w:r>
            <w:r>
              <w:rPr>
                <w:rFonts w:hint="eastAsia"/>
                <w:color w:val="auto"/>
                <w:sz w:val="24"/>
                <w:highlight w:val="none"/>
              </w:rPr>
              <w:t>年度经合法审计机构出具的财务审计报告，或由基本开户银行出具的</w:t>
            </w:r>
            <w:r>
              <w:rPr>
                <w:rFonts w:hint="eastAsia"/>
                <w:color w:val="auto"/>
                <w:sz w:val="24"/>
                <w:highlight w:val="none"/>
                <w:lang w:val="en-US" w:eastAsia="zh-CN"/>
              </w:rPr>
              <w:t>2025年有效的</w:t>
            </w:r>
            <w:r>
              <w:rPr>
                <w:rFonts w:hint="eastAsia"/>
                <w:color w:val="auto"/>
                <w:sz w:val="24"/>
                <w:highlight w:val="none"/>
              </w:rPr>
              <w:t>资信证明。</w:t>
            </w:r>
          </w:p>
        </w:tc>
        <w:tc>
          <w:tcPr>
            <w:tcW w:w="709" w:type="dxa"/>
          </w:tcPr>
          <w:p w14:paraId="430E7419">
            <w:pPr>
              <w:pStyle w:val="10"/>
              <w:spacing w:line="360" w:lineRule="auto"/>
              <w:jc w:val="left"/>
              <w:rPr>
                <w:color w:val="auto"/>
                <w:sz w:val="22"/>
                <w:highlight w:val="none"/>
              </w:rPr>
            </w:pPr>
          </w:p>
        </w:tc>
        <w:tc>
          <w:tcPr>
            <w:tcW w:w="675" w:type="dxa"/>
          </w:tcPr>
          <w:p w14:paraId="18AC48A6">
            <w:pPr>
              <w:pStyle w:val="10"/>
              <w:spacing w:line="360" w:lineRule="auto"/>
              <w:jc w:val="left"/>
              <w:rPr>
                <w:color w:val="auto"/>
                <w:sz w:val="22"/>
                <w:highlight w:val="none"/>
              </w:rPr>
            </w:pPr>
          </w:p>
        </w:tc>
      </w:tr>
      <w:tr w14:paraId="59F6D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406AEC5">
            <w:pPr>
              <w:pStyle w:val="10"/>
              <w:spacing w:line="360" w:lineRule="auto"/>
              <w:jc w:val="left"/>
              <w:rPr>
                <w:color w:val="auto"/>
                <w:sz w:val="22"/>
                <w:highlight w:val="none"/>
              </w:rPr>
            </w:pPr>
            <w:r>
              <w:rPr>
                <w:rFonts w:hint="eastAsia"/>
                <w:color w:val="auto"/>
                <w:sz w:val="22"/>
                <w:highlight w:val="none"/>
              </w:rPr>
              <w:t>3</w:t>
            </w:r>
          </w:p>
        </w:tc>
        <w:tc>
          <w:tcPr>
            <w:tcW w:w="7371" w:type="dxa"/>
          </w:tcPr>
          <w:p w14:paraId="612DD4E9">
            <w:pPr>
              <w:pStyle w:val="10"/>
              <w:spacing w:line="360" w:lineRule="auto"/>
              <w:jc w:val="left"/>
              <w:rPr>
                <w:color w:val="auto"/>
                <w:sz w:val="24"/>
                <w:highlight w:val="none"/>
              </w:rPr>
            </w:pPr>
            <w:r>
              <w:rPr>
                <w:rFonts w:hint="eastAsia"/>
                <w:color w:val="auto"/>
                <w:sz w:val="24"/>
                <w:highlight w:val="none"/>
              </w:rPr>
              <w:t>具有依法缴纳税收和社会保障资金的良好记录：提供202</w:t>
            </w:r>
            <w:r>
              <w:rPr>
                <w:rFonts w:hint="eastAsia"/>
                <w:color w:val="auto"/>
                <w:sz w:val="24"/>
                <w:highlight w:val="none"/>
                <w:lang w:val="en-US" w:eastAsia="zh-CN"/>
              </w:rPr>
              <w:t>5</w:t>
            </w:r>
            <w:r>
              <w:rPr>
                <w:rFonts w:hint="eastAsia"/>
                <w:color w:val="auto"/>
                <w:sz w:val="24"/>
                <w:highlight w:val="none"/>
              </w:rPr>
              <w:t>年至今任意1个月依法缴纳税收和社会保障资金的有效证明材料</w:t>
            </w:r>
            <w:r>
              <w:rPr>
                <w:rFonts w:hint="eastAsia" w:ascii="Arial" w:hAnsi="Arial" w:cs="Arial"/>
                <w:b/>
                <w:bCs/>
                <w:color w:val="auto"/>
                <w:kern w:val="0"/>
                <w:sz w:val="24"/>
                <w:szCs w:val="18"/>
                <w:highlight w:val="none"/>
              </w:rPr>
              <w:t>（不需要缴纳税收的提供相关证明材料）</w:t>
            </w:r>
            <w:r>
              <w:rPr>
                <w:rFonts w:hint="eastAsia"/>
                <w:color w:val="auto"/>
                <w:sz w:val="24"/>
                <w:highlight w:val="none"/>
              </w:rPr>
              <w:t>；(复印件加盖投标供应商公章）</w:t>
            </w:r>
          </w:p>
        </w:tc>
        <w:tc>
          <w:tcPr>
            <w:tcW w:w="709" w:type="dxa"/>
          </w:tcPr>
          <w:p w14:paraId="01B1F644">
            <w:pPr>
              <w:pStyle w:val="10"/>
              <w:spacing w:line="360" w:lineRule="auto"/>
              <w:jc w:val="left"/>
              <w:rPr>
                <w:color w:val="auto"/>
                <w:sz w:val="22"/>
                <w:highlight w:val="none"/>
              </w:rPr>
            </w:pPr>
          </w:p>
        </w:tc>
        <w:tc>
          <w:tcPr>
            <w:tcW w:w="675" w:type="dxa"/>
          </w:tcPr>
          <w:p w14:paraId="019BFBBA">
            <w:pPr>
              <w:pStyle w:val="10"/>
              <w:spacing w:line="360" w:lineRule="auto"/>
              <w:jc w:val="left"/>
              <w:rPr>
                <w:color w:val="auto"/>
                <w:sz w:val="22"/>
                <w:highlight w:val="none"/>
              </w:rPr>
            </w:pPr>
          </w:p>
        </w:tc>
      </w:tr>
      <w:tr w14:paraId="708189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95A03B0">
            <w:pPr>
              <w:pStyle w:val="10"/>
              <w:spacing w:line="360" w:lineRule="auto"/>
              <w:jc w:val="left"/>
              <w:rPr>
                <w:color w:val="auto"/>
                <w:sz w:val="22"/>
                <w:highlight w:val="none"/>
              </w:rPr>
            </w:pPr>
            <w:r>
              <w:rPr>
                <w:rFonts w:hint="eastAsia"/>
                <w:color w:val="auto"/>
                <w:sz w:val="22"/>
                <w:highlight w:val="none"/>
              </w:rPr>
              <w:t>4</w:t>
            </w:r>
          </w:p>
        </w:tc>
        <w:tc>
          <w:tcPr>
            <w:tcW w:w="7371" w:type="dxa"/>
          </w:tcPr>
          <w:p w14:paraId="4487040A">
            <w:pPr>
              <w:pStyle w:val="10"/>
              <w:spacing w:line="360" w:lineRule="auto"/>
              <w:jc w:val="left"/>
              <w:rPr>
                <w:color w:val="auto"/>
                <w:sz w:val="24"/>
                <w:highlight w:val="none"/>
              </w:rPr>
            </w:pPr>
            <w:r>
              <w:rPr>
                <w:rFonts w:hint="eastAsia"/>
                <w:color w:val="auto"/>
                <w:sz w:val="24"/>
                <w:highlight w:val="none"/>
              </w:rPr>
              <w:t>具备履行合同所必需的设备和专业技术能力：提供具备履行合同所必需的设备和专业技术能力的证明材料（供应商自行承诺，格式自拟）；</w:t>
            </w:r>
          </w:p>
        </w:tc>
        <w:tc>
          <w:tcPr>
            <w:tcW w:w="709" w:type="dxa"/>
          </w:tcPr>
          <w:p w14:paraId="05B058E9">
            <w:pPr>
              <w:pStyle w:val="10"/>
              <w:spacing w:line="360" w:lineRule="auto"/>
              <w:jc w:val="left"/>
              <w:rPr>
                <w:color w:val="auto"/>
                <w:sz w:val="22"/>
                <w:highlight w:val="none"/>
              </w:rPr>
            </w:pPr>
          </w:p>
        </w:tc>
        <w:tc>
          <w:tcPr>
            <w:tcW w:w="675" w:type="dxa"/>
          </w:tcPr>
          <w:p w14:paraId="32141958">
            <w:pPr>
              <w:pStyle w:val="10"/>
              <w:spacing w:line="360" w:lineRule="auto"/>
              <w:jc w:val="left"/>
              <w:rPr>
                <w:color w:val="auto"/>
                <w:sz w:val="22"/>
                <w:highlight w:val="none"/>
              </w:rPr>
            </w:pPr>
          </w:p>
        </w:tc>
      </w:tr>
      <w:tr w14:paraId="578149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EB6A0A9">
            <w:pPr>
              <w:pStyle w:val="10"/>
              <w:spacing w:line="360" w:lineRule="auto"/>
              <w:jc w:val="left"/>
              <w:rPr>
                <w:color w:val="auto"/>
                <w:sz w:val="22"/>
                <w:highlight w:val="none"/>
              </w:rPr>
            </w:pPr>
            <w:r>
              <w:rPr>
                <w:rFonts w:hint="eastAsia"/>
                <w:color w:val="auto"/>
                <w:sz w:val="22"/>
                <w:highlight w:val="none"/>
              </w:rPr>
              <w:t>5</w:t>
            </w:r>
          </w:p>
        </w:tc>
        <w:tc>
          <w:tcPr>
            <w:tcW w:w="7371" w:type="dxa"/>
          </w:tcPr>
          <w:p w14:paraId="3BCEAFA1">
            <w:pPr>
              <w:pStyle w:val="10"/>
              <w:spacing w:line="360" w:lineRule="auto"/>
              <w:jc w:val="left"/>
              <w:rPr>
                <w:color w:val="auto"/>
                <w:sz w:val="22"/>
                <w:highlight w:val="none"/>
              </w:rPr>
            </w:pPr>
            <w:r>
              <w:rPr>
                <w:rFonts w:hint="eastAsia"/>
                <w:color w:val="auto"/>
                <w:sz w:val="24"/>
                <w:highlight w:val="none"/>
              </w:rPr>
              <w:t>提供参加政府采购活动前3年内在经营活动中没有重大违法记录的书面声明（格式文件详见投标文件范本）</w:t>
            </w:r>
          </w:p>
        </w:tc>
        <w:tc>
          <w:tcPr>
            <w:tcW w:w="709" w:type="dxa"/>
          </w:tcPr>
          <w:p w14:paraId="20F72E08">
            <w:pPr>
              <w:pStyle w:val="10"/>
              <w:spacing w:line="360" w:lineRule="auto"/>
              <w:jc w:val="left"/>
              <w:rPr>
                <w:color w:val="auto"/>
                <w:sz w:val="22"/>
                <w:highlight w:val="none"/>
              </w:rPr>
            </w:pPr>
          </w:p>
        </w:tc>
        <w:tc>
          <w:tcPr>
            <w:tcW w:w="675" w:type="dxa"/>
          </w:tcPr>
          <w:p w14:paraId="225AD61A">
            <w:pPr>
              <w:pStyle w:val="10"/>
              <w:spacing w:line="360" w:lineRule="auto"/>
              <w:jc w:val="left"/>
              <w:rPr>
                <w:color w:val="auto"/>
                <w:sz w:val="22"/>
                <w:highlight w:val="none"/>
              </w:rPr>
            </w:pPr>
          </w:p>
        </w:tc>
      </w:tr>
      <w:tr w14:paraId="07B09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B671AC7">
            <w:pPr>
              <w:pStyle w:val="10"/>
              <w:spacing w:line="360" w:lineRule="auto"/>
              <w:jc w:val="left"/>
              <w:rPr>
                <w:color w:val="auto"/>
                <w:sz w:val="22"/>
                <w:highlight w:val="none"/>
              </w:rPr>
            </w:pPr>
            <w:r>
              <w:rPr>
                <w:rFonts w:hint="eastAsia"/>
                <w:color w:val="auto"/>
                <w:sz w:val="22"/>
                <w:highlight w:val="none"/>
              </w:rPr>
              <w:t>6</w:t>
            </w:r>
          </w:p>
        </w:tc>
        <w:tc>
          <w:tcPr>
            <w:tcW w:w="7371" w:type="dxa"/>
          </w:tcPr>
          <w:p w14:paraId="501FC93E">
            <w:pPr>
              <w:pStyle w:val="10"/>
              <w:spacing w:line="360" w:lineRule="auto"/>
              <w:jc w:val="left"/>
              <w:rPr>
                <w:color w:val="auto"/>
                <w:sz w:val="22"/>
                <w:highlight w:val="none"/>
              </w:rPr>
            </w:pPr>
            <w:r>
              <w:rPr>
                <w:rFonts w:hint="eastAsia" w:ascii="宋体" w:hAnsi="宋体" w:cs="宋体"/>
                <w:color w:val="auto"/>
                <w:sz w:val="24"/>
                <w:highlight w:val="none"/>
              </w:rPr>
              <w:t>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tc>
        <w:tc>
          <w:tcPr>
            <w:tcW w:w="709" w:type="dxa"/>
          </w:tcPr>
          <w:p w14:paraId="6954B413">
            <w:pPr>
              <w:pStyle w:val="10"/>
              <w:spacing w:line="360" w:lineRule="auto"/>
              <w:jc w:val="left"/>
              <w:rPr>
                <w:color w:val="auto"/>
                <w:sz w:val="22"/>
                <w:highlight w:val="none"/>
              </w:rPr>
            </w:pPr>
          </w:p>
        </w:tc>
        <w:tc>
          <w:tcPr>
            <w:tcW w:w="675" w:type="dxa"/>
          </w:tcPr>
          <w:p w14:paraId="5F55AB6B">
            <w:pPr>
              <w:pStyle w:val="10"/>
              <w:spacing w:line="360" w:lineRule="auto"/>
              <w:jc w:val="left"/>
              <w:rPr>
                <w:color w:val="auto"/>
                <w:sz w:val="22"/>
                <w:highlight w:val="none"/>
              </w:rPr>
            </w:pPr>
          </w:p>
        </w:tc>
      </w:tr>
      <w:tr w14:paraId="21D163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DAF80EF">
            <w:pPr>
              <w:pStyle w:val="10"/>
              <w:spacing w:line="360" w:lineRule="auto"/>
              <w:jc w:val="left"/>
              <w:rPr>
                <w:color w:val="auto"/>
                <w:sz w:val="22"/>
                <w:highlight w:val="none"/>
              </w:rPr>
            </w:pPr>
            <w:r>
              <w:rPr>
                <w:rFonts w:hint="eastAsia"/>
                <w:color w:val="auto"/>
                <w:sz w:val="22"/>
                <w:highlight w:val="none"/>
              </w:rPr>
              <w:t>7</w:t>
            </w:r>
          </w:p>
        </w:tc>
        <w:tc>
          <w:tcPr>
            <w:tcW w:w="7371" w:type="dxa"/>
          </w:tcPr>
          <w:p w14:paraId="2DDDB737">
            <w:pPr>
              <w:pStyle w:val="10"/>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特殊资格要求：无</w:t>
            </w:r>
          </w:p>
        </w:tc>
        <w:tc>
          <w:tcPr>
            <w:tcW w:w="709" w:type="dxa"/>
          </w:tcPr>
          <w:p w14:paraId="2CFE7650">
            <w:pPr>
              <w:pStyle w:val="10"/>
              <w:spacing w:line="360" w:lineRule="auto"/>
              <w:jc w:val="left"/>
              <w:rPr>
                <w:color w:val="auto"/>
                <w:sz w:val="22"/>
                <w:highlight w:val="none"/>
              </w:rPr>
            </w:pPr>
          </w:p>
        </w:tc>
        <w:tc>
          <w:tcPr>
            <w:tcW w:w="675" w:type="dxa"/>
          </w:tcPr>
          <w:p w14:paraId="1BACC134">
            <w:pPr>
              <w:pStyle w:val="10"/>
              <w:spacing w:line="360" w:lineRule="auto"/>
              <w:jc w:val="left"/>
              <w:rPr>
                <w:color w:val="auto"/>
                <w:sz w:val="22"/>
                <w:highlight w:val="none"/>
              </w:rPr>
            </w:pPr>
          </w:p>
        </w:tc>
      </w:tr>
      <w:tr w14:paraId="7D19B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46" w:type="dxa"/>
            <w:gridSpan w:val="2"/>
          </w:tcPr>
          <w:p w14:paraId="4B2D7AA7">
            <w:pPr>
              <w:pStyle w:val="10"/>
              <w:spacing w:line="360" w:lineRule="auto"/>
              <w:jc w:val="left"/>
              <w:rPr>
                <w:color w:val="auto"/>
                <w:sz w:val="22"/>
                <w:highlight w:val="none"/>
              </w:rPr>
            </w:pPr>
            <w:r>
              <w:rPr>
                <w:rFonts w:hint="eastAsia"/>
                <w:color w:val="auto"/>
                <w:sz w:val="22"/>
                <w:highlight w:val="none"/>
              </w:rPr>
              <w:t>审查结论（通过或不通过）</w:t>
            </w:r>
          </w:p>
        </w:tc>
        <w:tc>
          <w:tcPr>
            <w:tcW w:w="709" w:type="dxa"/>
          </w:tcPr>
          <w:p w14:paraId="63BABCC6">
            <w:pPr>
              <w:pStyle w:val="10"/>
              <w:spacing w:line="360" w:lineRule="auto"/>
              <w:jc w:val="left"/>
              <w:rPr>
                <w:color w:val="auto"/>
                <w:sz w:val="22"/>
                <w:highlight w:val="none"/>
              </w:rPr>
            </w:pPr>
          </w:p>
        </w:tc>
        <w:tc>
          <w:tcPr>
            <w:tcW w:w="675" w:type="dxa"/>
          </w:tcPr>
          <w:p w14:paraId="15C66EF9">
            <w:pPr>
              <w:pStyle w:val="10"/>
              <w:spacing w:line="360" w:lineRule="auto"/>
              <w:jc w:val="left"/>
              <w:rPr>
                <w:color w:val="auto"/>
                <w:sz w:val="22"/>
                <w:highlight w:val="none"/>
              </w:rPr>
            </w:pPr>
          </w:p>
        </w:tc>
      </w:tr>
    </w:tbl>
    <w:p w14:paraId="336D3ADD">
      <w:pPr>
        <w:pStyle w:val="10"/>
        <w:spacing w:line="360" w:lineRule="auto"/>
        <w:jc w:val="left"/>
        <w:rPr>
          <w:color w:val="auto"/>
          <w:sz w:val="24"/>
          <w:highlight w:val="none"/>
        </w:rPr>
      </w:pPr>
      <w:r>
        <w:rPr>
          <w:rFonts w:hint="eastAsia"/>
          <w:color w:val="auto"/>
          <w:sz w:val="24"/>
          <w:highlight w:val="none"/>
        </w:rPr>
        <w:t>二、评标委员会</w:t>
      </w:r>
    </w:p>
    <w:p w14:paraId="3DB86DEE">
      <w:pPr>
        <w:pStyle w:val="10"/>
        <w:spacing w:line="360" w:lineRule="auto"/>
        <w:jc w:val="left"/>
        <w:rPr>
          <w:color w:val="auto"/>
          <w:sz w:val="24"/>
          <w:highlight w:val="none"/>
        </w:rPr>
      </w:pPr>
      <w:r>
        <w:rPr>
          <w:rFonts w:hint="eastAsia"/>
          <w:color w:val="auto"/>
          <w:sz w:val="24"/>
          <w:highlight w:val="none"/>
        </w:rPr>
        <w:t>1、评标委员会于开标前在贵州省综合评标专家库中随机抽取。</w:t>
      </w:r>
    </w:p>
    <w:p w14:paraId="3ADA1B79">
      <w:pPr>
        <w:pStyle w:val="10"/>
        <w:spacing w:line="360" w:lineRule="auto"/>
        <w:jc w:val="left"/>
        <w:rPr>
          <w:color w:val="auto"/>
          <w:sz w:val="24"/>
          <w:highlight w:val="none"/>
        </w:rPr>
      </w:pPr>
      <w:r>
        <w:rPr>
          <w:rFonts w:hint="eastAsia"/>
          <w:color w:val="auto"/>
          <w:sz w:val="24"/>
          <w:highlight w:val="none"/>
        </w:rPr>
        <w:t>2、评标由评标委员会负责，与投标供应商有利害关系的人不得进入评标委员会。</w:t>
      </w:r>
    </w:p>
    <w:p w14:paraId="4AE149A1">
      <w:pPr>
        <w:pStyle w:val="10"/>
        <w:spacing w:line="360" w:lineRule="auto"/>
        <w:jc w:val="left"/>
        <w:rPr>
          <w:color w:val="auto"/>
          <w:sz w:val="24"/>
          <w:highlight w:val="none"/>
        </w:rPr>
      </w:pPr>
      <w:r>
        <w:rPr>
          <w:rFonts w:hint="eastAsia"/>
          <w:color w:val="auto"/>
          <w:sz w:val="24"/>
          <w:highlight w:val="none"/>
        </w:rPr>
        <w:t>3、评标委员会成员名单在中标结果确定前保密。</w:t>
      </w:r>
    </w:p>
    <w:p w14:paraId="7FF75189">
      <w:pPr>
        <w:pStyle w:val="10"/>
        <w:spacing w:line="360" w:lineRule="auto"/>
        <w:jc w:val="left"/>
        <w:rPr>
          <w:color w:val="auto"/>
          <w:sz w:val="24"/>
          <w:highlight w:val="none"/>
        </w:rPr>
      </w:pPr>
      <w:r>
        <w:rPr>
          <w:rFonts w:hint="eastAsia"/>
          <w:color w:val="auto"/>
          <w:sz w:val="24"/>
          <w:highlight w:val="none"/>
        </w:rPr>
        <w:t>三、评标方法</w:t>
      </w:r>
    </w:p>
    <w:p w14:paraId="14C06D25">
      <w:pPr>
        <w:pStyle w:val="10"/>
        <w:spacing w:line="360" w:lineRule="auto"/>
        <w:jc w:val="left"/>
        <w:rPr>
          <w:color w:val="auto"/>
          <w:sz w:val="24"/>
          <w:highlight w:val="none"/>
        </w:rPr>
      </w:pPr>
      <w:r>
        <w:rPr>
          <w:rFonts w:hint="eastAsia"/>
          <w:color w:val="auto"/>
          <w:sz w:val="24"/>
          <w:highlight w:val="none"/>
        </w:rPr>
        <w:t>本次招标采用综合评分法，根据各投标供应商的技术、商务、价格得分，计算出各投标供应商的综合评分，评标委员会按照综合得分由高到低原则进行排序，推荐综合得分排名前三的中标候选人。</w:t>
      </w:r>
    </w:p>
    <w:p w14:paraId="29CA8793">
      <w:pPr>
        <w:pStyle w:val="10"/>
        <w:spacing w:line="360" w:lineRule="auto"/>
        <w:jc w:val="left"/>
        <w:rPr>
          <w:color w:val="auto"/>
          <w:sz w:val="24"/>
          <w:highlight w:val="none"/>
        </w:rPr>
      </w:pPr>
      <w:r>
        <w:rPr>
          <w:rFonts w:hint="eastAsia"/>
          <w:color w:val="auto"/>
          <w:sz w:val="24"/>
          <w:highlight w:val="none"/>
        </w:rPr>
        <w:t>四、评标标准</w:t>
      </w:r>
    </w:p>
    <w:p w14:paraId="1F0CC456">
      <w:pPr>
        <w:pStyle w:val="10"/>
        <w:spacing w:line="360" w:lineRule="auto"/>
        <w:jc w:val="left"/>
        <w:rPr>
          <w:color w:val="auto"/>
          <w:sz w:val="24"/>
          <w:highlight w:val="none"/>
        </w:rPr>
      </w:pPr>
      <w:r>
        <w:rPr>
          <w:rFonts w:hint="eastAsia"/>
          <w:color w:val="auto"/>
          <w:sz w:val="24"/>
          <w:highlight w:val="none"/>
        </w:rPr>
        <w:t>评标形式（采用以下具体步骤）</w:t>
      </w:r>
    </w:p>
    <w:p w14:paraId="6A3432DC">
      <w:pPr>
        <w:pStyle w:val="10"/>
        <w:spacing w:line="360" w:lineRule="auto"/>
        <w:jc w:val="left"/>
        <w:rPr>
          <w:color w:val="auto"/>
          <w:sz w:val="24"/>
          <w:highlight w:val="none"/>
        </w:rPr>
      </w:pPr>
      <w:r>
        <w:rPr>
          <w:rFonts w:hint="eastAsia"/>
          <w:color w:val="auto"/>
          <w:sz w:val="24"/>
          <w:highlight w:val="none"/>
        </w:rPr>
        <w:t>第一步：由本项目评标委员会对各投标文件进行符合性审查，符合要求的进入下一步评审阶段。不符合的其投标作为无效标。</w:t>
      </w:r>
    </w:p>
    <w:p w14:paraId="7BE7F65E">
      <w:pPr>
        <w:pStyle w:val="10"/>
        <w:spacing w:line="360" w:lineRule="auto"/>
        <w:jc w:val="left"/>
        <w:rPr>
          <w:color w:val="auto"/>
          <w:sz w:val="24"/>
          <w:highlight w:val="none"/>
        </w:rPr>
      </w:pPr>
      <w:r>
        <w:rPr>
          <w:rFonts w:hint="eastAsia"/>
          <w:color w:val="auto"/>
          <w:sz w:val="24"/>
          <w:highlight w:val="none"/>
        </w:rPr>
        <w:t>第二步：确定中标候选人（按评分细则对入围投标供应商给相应的评分，并计算其总得分，按各项评标因素计算各有效投标供应商的最终得分，以评分从高到低的顺序推荐前 3 名投标供应商作为中标候选人）。</w:t>
      </w:r>
    </w:p>
    <w:p w14:paraId="2CF29E26">
      <w:pPr>
        <w:pStyle w:val="10"/>
        <w:spacing w:line="360" w:lineRule="auto"/>
        <w:jc w:val="left"/>
        <w:rPr>
          <w:color w:val="auto"/>
          <w:sz w:val="24"/>
          <w:highlight w:val="none"/>
        </w:rPr>
      </w:pPr>
      <w:r>
        <w:rPr>
          <w:rFonts w:hint="eastAsia"/>
          <w:color w:val="auto"/>
          <w:sz w:val="24"/>
          <w:highlight w:val="none"/>
        </w:rPr>
        <w:t>（一）符合性审查表</w:t>
      </w:r>
    </w:p>
    <w:tbl>
      <w:tblPr>
        <w:tblStyle w:val="21"/>
        <w:tblW w:w="94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0"/>
        <w:gridCol w:w="1726"/>
        <w:gridCol w:w="5879"/>
        <w:gridCol w:w="559"/>
        <w:gridCol w:w="616"/>
      </w:tblGrid>
      <w:tr w14:paraId="69FFE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Borders>
              <w:right w:val="single" w:color="auto" w:sz="4" w:space="0"/>
            </w:tcBorders>
          </w:tcPr>
          <w:p w14:paraId="09A28CFB">
            <w:pPr>
              <w:pStyle w:val="10"/>
              <w:spacing w:line="360" w:lineRule="auto"/>
              <w:jc w:val="left"/>
              <w:rPr>
                <w:color w:val="auto"/>
                <w:sz w:val="24"/>
                <w:highlight w:val="none"/>
              </w:rPr>
            </w:pPr>
            <w:r>
              <w:rPr>
                <w:rFonts w:hint="eastAsia"/>
                <w:color w:val="auto"/>
                <w:sz w:val="24"/>
                <w:highlight w:val="none"/>
              </w:rPr>
              <w:t>序</w:t>
            </w:r>
          </w:p>
          <w:p w14:paraId="112B5D47">
            <w:pPr>
              <w:pStyle w:val="10"/>
              <w:spacing w:line="360" w:lineRule="auto"/>
              <w:jc w:val="left"/>
              <w:rPr>
                <w:color w:val="auto"/>
                <w:sz w:val="24"/>
                <w:highlight w:val="none"/>
              </w:rPr>
            </w:pPr>
            <w:r>
              <w:rPr>
                <w:rFonts w:hint="eastAsia"/>
                <w:color w:val="auto"/>
                <w:sz w:val="24"/>
                <w:highlight w:val="none"/>
              </w:rPr>
              <w:t>号</w:t>
            </w:r>
          </w:p>
        </w:tc>
        <w:tc>
          <w:tcPr>
            <w:tcW w:w="7605" w:type="dxa"/>
            <w:gridSpan w:val="2"/>
            <w:tcBorders>
              <w:top w:val="single" w:color="auto" w:sz="4" w:space="0"/>
              <w:left w:val="single" w:color="auto" w:sz="4" w:space="0"/>
              <w:bottom w:val="single" w:color="auto" w:sz="4" w:space="0"/>
              <w:tl2br w:val="single" w:color="auto" w:sz="4" w:space="0"/>
            </w:tcBorders>
          </w:tcPr>
          <w:p w14:paraId="09D3AE4F">
            <w:pPr>
              <w:pStyle w:val="10"/>
              <w:spacing w:line="360" w:lineRule="auto"/>
              <w:jc w:val="left"/>
              <w:rPr>
                <w:color w:val="auto"/>
                <w:sz w:val="24"/>
                <w:highlight w:val="none"/>
              </w:rPr>
            </w:pPr>
            <w:r>
              <w:rPr>
                <w:rFonts w:hint="eastAsia"/>
                <w:color w:val="auto"/>
                <w:sz w:val="24"/>
                <w:highlight w:val="none"/>
              </w:rPr>
              <w:t xml:space="preserve">                            投标供应商名称</w:t>
            </w:r>
          </w:p>
          <w:p w14:paraId="0EFA567B">
            <w:pPr>
              <w:pStyle w:val="10"/>
              <w:spacing w:line="360" w:lineRule="auto"/>
              <w:jc w:val="left"/>
              <w:rPr>
                <w:color w:val="auto"/>
                <w:sz w:val="24"/>
                <w:highlight w:val="none"/>
              </w:rPr>
            </w:pPr>
            <w:r>
              <w:rPr>
                <w:rFonts w:hint="eastAsia"/>
                <w:color w:val="auto"/>
                <w:sz w:val="24"/>
                <w:highlight w:val="none"/>
              </w:rPr>
              <w:t>审查内容</w:t>
            </w:r>
          </w:p>
        </w:tc>
        <w:tc>
          <w:tcPr>
            <w:tcW w:w="559" w:type="dxa"/>
          </w:tcPr>
          <w:p w14:paraId="3619225B">
            <w:pPr>
              <w:pStyle w:val="10"/>
              <w:spacing w:line="360" w:lineRule="auto"/>
              <w:jc w:val="left"/>
              <w:rPr>
                <w:color w:val="auto"/>
                <w:sz w:val="24"/>
                <w:highlight w:val="none"/>
              </w:rPr>
            </w:pPr>
            <w:r>
              <w:rPr>
                <w:color w:val="auto"/>
                <w:sz w:val="24"/>
                <w:highlight w:val="none"/>
              </w:rPr>
              <w:t>A-1</w:t>
            </w:r>
          </w:p>
        </w:tc>
        <w:tc>
          <w:tcPr>
            <w:tcW w:w="616" w:type="dxa"/>
          </w:tcPr>
          <w:p w14:paraId="7D093A9D">
            <w:pPr>
              <w:pStyle w:val="10"/>
              <w:spacing w:line="360" w:lineRule="auto"/>
              <w:jc w:val="left"/>
              <w:rPr>
                <w:color w:val="auto"/>
                <w:sz w:val="24"/>
                <w:highlight w:val="none"/>
              </w:rPr>
            </w:pPr>
            <w:r>
              <w:rPr>
                <w:color w:val="auto"/>
                <w:sz w:val="24"/>
                <w:highlight w:val="none"/>
              </w:rPr>
              <w:t>A-2</w:t>
            </w:r>
          </w:p>
        </w:tc>
      </w:tr>
      <w:tr w14:paraId="371A07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3BF7557B">
            <w:pPr>
              <w:pStyle w:val="10"/>
              <w:spacing w:line="360" w:lineRule="auto"/>
              <w:jc w:val="left"/>
              <w:rPr>
                <w:color w:val="auto"/>
                <w:sz w:val="24"/>
                <w:highlight w:val="none"/>
              </w:rPr>
            </w:pPr>
            <w:r>
              <w:rPr>
                <w:rFonts w:hint="eastAsia"/>
                <w:color w:val="auto"/>
                <w:sz w:val="24"/>
                <w:highlight w:val="none"/>
              </w:rPr>
              <w:t>1</w:t>
            </w:r>
          </w:p>
        </w:tc>
        <w:tc>
          <w:tcPr>
            <w:tcW w:w="1726" w:type="dxa"/>
            <w:tcBorders>
              <w:top w:val="single" w:color="auto" w:sz="4" w:space="0"/>
            </w:tcBorders>
            <w:vAlign w:val="center"/>
          </w:tcPr>
          <w:p w14:paraId="29ACFAC6">
            <w:pPr>
              <w:pStyle w:val="10"/>
              <w:spacing w:line="360" w:lineRule="auto"/>
              <w:jc w:val="center"/>
              <w:rPr>
                <w:color w:val="auto"/>
                <w:sz w:val="24"/>
                <w:highlight w:val="none"/>
              </w:rPr>
            </w:pPr>
            <w:r>
              <w:rPr>
                <w:rFonts w:hint="eastAsia"/>
                <w:color w:val="auto"/>
                <w:sz w:val="24"/>
                <w:highlight w:val="none"/>
              </w:rPr>
              <w:t>投标内容</w:t>
            </w:r>
          </w:p>
        </w:tc>
        <w:tc>
          <w:tcPr>
            <w:tcW w:w="5879" w:type="dxa"/>
            <w:vAlign w:val="center"/>
          </w:tcPr>
          <w:p w14:paraId="0DB87CD4">
            <w:pPr>
              <w:pStyle w:val="10"/>
              <w:spacing w:line="360" w:lineRule="auto"/>
              <w:jc w:val="center"/>
              <w:rPr>
                <w:color w:val="auto"/>
                <w:sz w:val="24"/>
                <w:highlight w:val="none"/>
              </w:rPr>
            </w:pPr>
            <w:r>
              <w:rPr>
                <w:rFonts w:hint="eastAsia"/>
                <w:color w:val="auto"/>
                <w:sz w:val="24"/>
                <w:highlight w:val="none"/>
              </w:rPr>
              <w:t>符合采购文件要求</w:t>
            </w:r>
          </w:p>
        </w:tc>
        <w:tc>
          <w:tcPr>
            <w:tcW w:w="559" w:type="dxa"/>
          </w:tcPr>
          <w:p w14:paraId="6B342595">
            <w:pPr>
              <w:pStyle w:val="10"/>
              <w:spacing w:line="360" w:lineRule="auto"/>
              <w:jc w:val="left"/>
              <w:rPr>
                <w:color w:val="auto"/>
                <w:sz w:val="24"/>
                <w:highlight w:val="none"/>
              </w:rPr>
            </w:pPr>
          </w:p>
        </w:tc>
        <w:tc>
          <w:tcPr>
            <w:tcW w:w="616" w:type="dxa"/>
          </w:tcPr>
          <w:p w14:paraId="513AC14C">
            <w:pPr>
              <w:pStyle w:val="10"/>
              <w:spacing w:line="360" w:lineRule="auto"/>
              <w:jc w:val="left"/>
              <w:rPr>
                <w:color w:val="auto"/>
                <w:sz w:val="24"/>
                <w:highlight w:val="none"/>
              </w:rPr>
            </w:pPr>
          </w:p>
        </w:tc>
      </w:tr>
      <w:tr w14:paraId="4EB22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3CDC8DA4">
            <w:pPr>
              <w:pStyle w:val="10"/>
              <w:spacing w:line="360" w:lineRule="auto"/>
              <w:jc w:val="left"/>
              <w:rPr>
                <w:color w:val="auto"/>
                <w:sz w:val="24"/>
                <w:highlight w:val="none"/>
              </w:rPr>
            </w:pPr>
            <w:r>
              <w:rPr>
                <w:rFonts w:hint="eastAsia"/>
                <w:color w:val="auto"/>
                <w:sz w:val="24"/>
                <w:highlight w:val="none"/>
              </w:rPr>
              <w:t>2</w:t>
            </w:r>
          </w:p>
        </w:tc>
        <w:tc>
          <w:tcPr>
            <w:tcW w:w="1726" w:type="dxa"/>
            <w:tcBorders>
              <w:top w:val="single" w:color="auto" w:sz="4" w:space="0"/>
            </w:tcBorders>
            <w:vAlign w:val="center"/>
          </w:tcPr>
          <w:p w14:paraId="03CCE599">
            <w:pPr>
              <w:pStyle w:val="10"/>
              <w:spacing w:line="360" w:lineRule="auto"/>
              <w:jc w:val="center"/>
              <w:rPr>
                <w:color w:val="auto"/>
                <w:sz w:val="24"/>
                <w:highlight w:val="none"/>
              </w:rPr>
            </w:pPr>
            <w:r>
              <w:rPr>
                <w:rFonts w:hint="eastAsia"/>
                <w:color w:val="auto"/>
                <w:sz w:val="24"/>
                <w:highlight w:val="none"/>
              </w:rPr>
              <w:t>服务期</w:t>
            </w:r>
          </w:p>
        </w:tc>
        <w:tc>
          <w:tcPr>
            <w:tcW w:w="5879" w:type="dxa"/>
            <w:vAlign w:val="center"/>
          </w:tcPr>
          <w:p w14:paraId="498A19CC">
            <w:pPr>
              <w:pStyle w:val="10"/>
              <w:spacing w:line="360" w:lineRule="auto"/>
              <w:jc w:val="center"/>
              <w:rPr>
                <w:color w:val="auto"/>
                <w:sz w:val="24"/>
                <w:highlight w:val="none"/>
              </w:rPr>
            </w:pPr>
            <w:r>
              <w:rPr>
                <w:rFonts w:hint="eastAsia"/>
                <w:color w:val="auto"/>
                <w:sz w:val="24"/>
                <w:highlight w:val="none"/>
              </w:rPr>
              <w:t>符合采购文件要求</w:t>
            </w:r>
          </w:p>
        </w:tc>
        <w:tc>
          <w:tcPr>
            <w:tcW w:w="559" w:type="dxa"/>
          </w:tcPr>
          <w:p w14:paraId="02793AB1">
            <w:pPr>
              <w:pStyle w:val="10"/>
              <w:spacing w:line="360" w:lineRule="auto"/>
              <w:jc w:val="left"/>
              <w:rPr>
                <w:color w:val="auto"/>
                <w:sz w:val="24"/>
                <w:highlight w:val="none"/>
              </w:rPr>
            </w:pPr>
          </w:p>
        </w:tc>
        <w:tc>
          <w:tcPr>
            <w:tcW w:w="616" w:type="dxa"/>
          </w:tcPr>
          <w:p w14:paraId="5FF497AC">
            <w:pPr>
              <w:pStyle w:val="10"/>
              <w:spacing w:line="360" w:lineRule="auto"/>
              <w:jc w:val="left"/>
              <w:rPr>
                <w:color w:val="auto"/>
                <w:sz w:val="24"/>
                <w:highlight w:val="none"/>
              </w:rPr>
            </w:pPr>
          </w:p>
        </w:tc>
      </w:tr>
      <w:tr w14:paraId="052CC3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7A8E6508">
            <w:pPr>
              <w:pStyle w:val="10"/>
              <w:spacing w:line="360" w:lineRule="auto"/>
              <w:jc w:val="left"/>
              <w:rPr>
                <w:color w:val="auto"/>
                <w:sz w:val="24"/>
                <w:highlight w:val="none"/>
              </w:rPr>
            </w:pPr>
            <w:r>
              <w:rPr>
                <w:rFonts w:hint="eastAsia"/>
                <w:color w:val="auto"/>
                <w:sz w:val="24"/>
                <w:highlight w:val="none"/>
              </w:rPr>
              <w:t>2</w:t>
            </w:r>
          </w:p>
        </w:tc>
        <w:tc>
          <w:tcPr>
            <w:tcW w:w="1726" w:type="dxa"/>
            <w:tcBorders>
              <w:top w:val="single" w:color="auto" w:sz="4" w:space="0"/>
            </w:tcBorders>
            <w:vAlign w:val="center"/>
          </w:tcPr>
          <w:p w14:paraId="46DCED4F">
            <w:pPr>
              <w:pStyle w:val="10"/>
              <w:spacing w:line="360" w:lineRule="auto"/>
              <w:jc w:val="center"/>
              <w:rPr>
                <w:color w:val="auto"/>
                <w:sz w:val="24"/>
                <w:highlight w:val="none"/>
              </w:rPr>
            </w:pPr>
            <w:r>
              <w:rPr>
                <w:rFonts w:hint="eastAsia" w:ascii="宋体" w:hAnsi="宋体" w:cs="宋体"/>
                <w:color w:val="auto"/>
                <w:sz w:val="24"/>
                <w:highlight w:val="none"/>
              </w:rPr>
              <w:t>验收标准、规范</w:t>
            </w:r>
          </w:p>
        </w:tc>
        <w:tc>
          <w:tcPr>
            <w:tcW w:w="5879" w:type="dxa"/>
            <w:vAlign w:val="center"/>
          </w:tcPr>
          <w:p w14:paraId="3F2F9003">
            <w:pPr>
              <w:pStyle w:val="10"/>
              <w:spacing w:line="360" w:lineRule="auto"/>
              <w:jc w:val="center"/>
              <w:rPr>
                <w:color w:val="auto"/>
                <w:sz w:val="24"/>
                <w:highlight w:val="none"/>
              </w:rPr>
            </w:pPr>
            <w:r>
              <w:rPr>
                <w:rFonts w:hint="eastAsia"/>
                <w:color w:val="auto"/>
                <w:sz w:val="24"/>
                <w:highlight w:val="none"/>
              </w:rPr>
              <w:t>符合采购文件要求</w:t>
            </w:r>
          </w:p>
        </w:tc>
        <w:tc>
          <w:tcPr>
            <w:tcW w:w="559" w:type="dxa"/>
          </w:tcPr>
          <w:p w14:paraId="543BBC3F">
            <w:pPr>
              <w:pStyle w:val="10"/>
              <w:spacing w:line="360" w:lineRule="auto"/>
              <w:jc w:val="left"/>
              <w:rPr>
                <w:color w:val="auto"/>
                <w:sz w:val="24"/>
                <w:highlight w:val="none"/>
              </w:rPr>
            </w:pPr>
          </w:p>
        </w:tc>
        <w:tc>
          <w:tcPr>
            <w:tcW w:w="616" w:type="dxa"/>
          </w:tcPr>
          <w:p w14:paraId="569C15E7">
            <w:pPr>
              <w:pStyle w:val="10"/>
              <w:spacing w:line="360" w:lineRule="auto"/>
              <w:jc w:val="left"/>
              <w:rPr>
                <w:color w:val="auto"/>
                <w:sz w:val="24"/>
                <w:highlight w:val="none"/>
              </w:rPr>
            </w:pPr>
          </w:p>
        </w:tc>
      </w:tr>
      <w:tr w14:paraId="383571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64C39F6C">
            <w:pPr>
              <w:pStyle w:val="10"/>
              <w:spacing w:line="360" w:lineRule="auto"/>
              <w:jc w:val="left"/>
              <w:rPr>
                <w:color w:val="auto"/>
                <w:sz w:val="24"/>
                <w:highlight w:val="none"/>
              </w:rPr>
            </w:pPr>
            <w:r>
              <w:rPr>
                <w:rFonts w:hint="eastAsia"/>
                <w:color w:val="auto"/>
                <w:sz w:val="24"/>
                <w:highlight w:val="none"/>
              </w:rPr>
              <w:t>3</w:t>
            </w:r>
          </w:p>
        </w:tc>
        <w:tc>
          <w:tcPr>
            <w:tcW w:w="1726" w:type="dxa"/>
            <w:tcBorders>
              <w:top w:val="single" w:color="auto" w:sz="4" w:space="0"/>
            </w:tcBorders>
            <w:vAlign w:val="center"/>
          </w:tcPr>
          <w:p w14:paraId="40C511F7">
            <w:pPr>
              <w:pStyle w:val="1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投标文件签署、盖章齐全完整</w:t>
            </w:r>
          </w:p>
        </w:tc>
        <w:tc>
          <w:tcPr>
            <w:tcW w:w="5879" w:type="dxa"/>
            <w:vAlign w:val="center"/>
          </w:tcPr>
          <w:p w14:paraId="065850E0">
            <w:pPr>
              <w:pStyle w:val="10"/>
              <w:spacing w:line="360" w:lineRule="auto"/>
              <w:jc w:val="center"/>
              <w:rPr>
                <w:color w:val="auto"/>
                <w:sz w:val="24"/>
                <w:highlight w:val="none"/>
              </w:rPr>
            </w:pPr>
            <w:r>
              <w:rPr>
                <w:rFonts w:hint="eastAsia"/>
                <w:color w:val="auto"/>
                <w:sz w:val="24"/>
                <w:highlight w:val="none"/>
              </w:rPr>
              <w:t>符合采购文件要求</w:t>
            </w:r>
          </w:p>
        </w:tc>
        <w:tc>
          <w:tcPr>
            <w:tcW w:w="559" w:type="dxa"/>
          </w:tcPr>
          <w:p w14:paraId="72FAAB51">
            <w:pPr>
              <w:pStyle w:val="10"/>
              <w:spacing w:line="360" w:lineRule="auto"/>
              <w:jc w:val="left"/>
              <w:rPr>
                <w:color w:val="auto"/>
                <w:sz w:val="24"/>
                <w:highlight w:val="none"/>
              </w:rPr>
            </w:pPr>
          </w:p>
        </w:tc>
        <w:tc>
          <w:tcPr>
            <w:tcW w:w="616" w:type="dxa"/>
          </w:tcPr>
          <w:p w14:paraId="00485007">
            <w:pPr>
              <w:pStyle w:val="10"/>
              <w:spacing w:line="360" w:lineRule="auto"/>
              <w:jc w:val="left"/>
              <w:rPr>
                <w:color w:val="auto"/>
                <w:sz w:val="24"/>
                <w:highlight w:val="none"/>
              </w:rPr>
            </w:pPr>
          </w:p>
        </w:tc>
      </w:tr>
      <w:tr w14:paraId="09799F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0D4A1F57">
            <w:pPr>
              <w:pStyle w:val="10"/>
              <w:spacing w:line="360" w:lineRule="auto"/>
              <w:jc w:val="left"/>
              <w:rPr>
                <w:color w:val="auto"/>
                <w:sz w:val="24"/>
                <w:highlight w:val="none"/>
              </w:rPr>
            </w:pPr>
            <w:r>
              <w:rPr>
                <w:rFonts w:hint="eastAsia"/>
                <w:color w:val="auto"/>
                <w:sz w:val="24"/>
                <w:highlight w:val="none"/>
              </w:rPr>
              <w:t>4</w:t>
            </w:r>
          </w:p>
        </w:tc>
        <w:tc>
          <w:tcPr>
            <w:tcW w:w="1726" w:type="dxa"/>
            <w:tcBorders>
              <w:top w:val="single" w:color="auto" w:sz="4" w:space="0"/>
            </w:tcBorders>
            <w:vAlign w:val="center"/>
          </w:tcPr>
          <w:p w14:paraId="10AC68FA">
            <w:pPr>
              <w:pStyle w:val="10"/>
              <w:spacing w:line="360" w:lineRule="auto"/>
              <w:jc w:val="center"/>
              <w:rPr>
                <w:color w:val="auto"/>
                <w:sz w:val="24"/>
                <w:highlight w:val="none"/>
              </w:rPr>
            </w:pPr>
            <w:r>
              <w:rPr>
                <w:rFonts w:hint="eastAsia"/>
                <w:color w:val="auto"/>
                <w:sz w:val="24"/>
                <w:highlight w:val="none"/>
              </w:rPr>
              <w:t>投标有效期</w:t>
            </w:r>
          </w:p>
        </w:tc>
        <w:tc>
          <w:tcPr>
            <w:tcW w:w="5879" w:type="dxa"/>
            <w:vAlign w:val="center"/>
          </w:tcPr>
          <w:p w14:paraId="614DCEA6">
            <w:pPr>
              <w:pStyle w:val="10"/>
              <w:spacing w:line="360" w:lineRule="auto"/>
              <w:jc w:val="center"/>
              <w:rPr>
                <w:color w:val="auto"/>
                <w:sz w:val="24"/>
                <w:highlight w:val="none"/>
              </w:rPr>
            </w:pPr>
            <w:r>
              <w:rPr>
                <w:rFonts w:hint="eastAsia"/>
                <w:color w:val="auto"/>
                <w:sz w:val="24"/>
                <w:highlight w:val="none"/>
              </w:rPr>
              <w:t>符合采购文件要求</w:t>
            </w:r>
          </w:p>
        </w:tc>
        <w:tc>
          <w:tcPr>
            <w:tcW w:w="559" w:type="dxa"/>
          </w:tcPr>
          <w:p w14:paraId="0481E7B8">
            <w:pPr>
              <w:pStyle w:val="10"/>
              <w:spacing w:line="360" w:lineRule="auto"/>
              <w:jc w:val="left"/>
              <w:rPr>
                <w:color w:val="auto"/>
                <w:sz w:val="24"/>
                <w:highlight w:val="none"/>
              </w:rPr>
            </w:pPr>
          </w:p>
        </w:tc>
        <w:tc>
          <w:tcPr>
            <w:tcW w:w="616" w:type="dxa"/>
          </w:tcPr>
          <w:p w14:paraId="01CAB6CE">
            <w:pPr>
              <w:pStyle w:val="10"/>
              <w:spacing w:line="360" w:lineRule="auto"/>
              <w:jc w:val="left"/>
              <w:rPr>
                <w:color w:val="auto"/>
                <w:sz w:val="24"/>
                <w:highlight w:val="none"/>
              </w:rPr>
            </w:pPr>
          </w:p>
        </w:tc>
      </w:tr>
      <w:tr w14:paraId="6533A1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5E6898D5">
            <w:pPr>
              <w:pStyle w:val="10"/>
              <w:spacing w:line="360" w:lineRule="auto"/>
              <w:jc w:val="left"/>
              <w:rPr>
                <w:color w:val="auto"/>
                <w:sz w:val="24"/>
                <w:highlight w:val="none"/>
              </w:rPr>
            </w:pPr>
            <w:r>
              <w:rPr>
                <w:rFonts w:hint="eastAsia"/>
                <w:color w:val="auto"/>
                <w:sz w:val="24"/>
                <w:highlight w:val="none"/>
              </w:rPr>
              <w:t>5</w:t>
            </w:r>
          </w:p>
        </w:tc>
        <w:tc>
          <w:tcPr>
            <w:tcW w:w="1726" w:type="dxa"/>
            <w:tcBorders>
              <w:top w:val="single" w:color="auto" w:sz="4" w:space="0"/>
            </w:tcBorders>
            <w:vAlign w:val="center"/>
          </w:tcPr>
          <w:p w14:paraId="239864B6">
            <w:pPr>
              <w:pStyle w:val="10"/>
              <w:spacing w:line="360" w:lineRule="auto"/>
              <w:jc w:val="center"/>
              <w:rPr>
                <w:color w:val="auto"/>
                <w:sz w:val="24"/>
                <w:highlight w:val="none"/>
              </w:rPr>
            </w:pPr>
            <w:r>
              <w:rPr>
                <w:rFonts w:hint="eastAsia" w:ascii="宋体" w:hAnsi="宋体" w:cs="宋体"/>
                <w:color w:val="auto"/>
                <w:sz w:val="24"/>
                <w:highlight w:val="none"/>
              </w:rPr>
              <w:t>报价审查</w:t>
            </w:r>
          </w:p>
        </w:tc>
        <w:tc>
          <w:tcPr>
            <w:tcW w:w="5879" w:type="dxa"/>
            <w:vAlign w:val="center"/>
          </w:tcPr>
          <w:p w14:paraId="3FAEFFCF">
            <w:pPr>
              <w:pStyle w:val="10"/>
              <w:spacing w:line="360" w:lineRule="auto"/>
              <w:jc w:val="center"/>
              <w:rPr>
                <w:color w:val="auto"/>
                <w:sz w:val="24"/>
                <w:highlight w:val="none"/>
              </w:rPr>
            </w:pPr>
            <w:r>
              <w:rPr>
                <w:rFonts w:hint="eastAsia" w:ascii="宋体" w:hAnsi="宋体" w:cs="宋体"/>
                <w:color w:val="auto"/>
                <w:sz w:val="24"/>
                <w:highlight w:val="none"/>
              </w:rPr>
              <w:t>异常低价审查</w:t>
            </w:r>
          </w:p>
        </w:tc>
        <w:tc>
          <w:tcPr>
            <w:tcW w:w="559" w:type="dxa"/>
          </w:tcPr>
          <w:p w14:paraId="425EEEA1">
            <w:pPr>
              <w:pStyle w:val="10"/>
              <w:spacing w:line="360" w:lineRule="auto"/>
              <w:jc w:val="left"/>
              <w:rPr>
                <w:color w:val="auto"/>
                <w:sz w:val="24"/>
                <w:highlight w:val="none"/>
              </w:rPr>
            </w:pPr>
          </w:p>
        </w:tc>
        <w:tc>
          <w:tcPr>
            <w:tcW w:w="616" w:type="dxa"/>
          </w:tcPr>
          <w:p w14:paraId="45DB1953">
            <w:pPr>
              <w:pStyle w:val="10"/>
              <w:spacing w:line="360" w:lineRule="auto"/>
              <w:jc w:val="left"/>
              <w:rPr>
                <w:color w:val="auto"/>
                <w:sz w:val="24"/>
                <w:highlight w:val="none"/>
              </w:rPr>
            </w:pPr>
          </w:p>
        </w:tc>
      </w:tr>
      <w:tr w14:paraId="0CB0B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6882A226">
            <w:pPr>
              <w:pStyle w:val="10"/>
              <w:spacing w:line="360" w:lineRule="auto"/>
              <w:jc w:val="left"/>
              <w:rPr>
                <w:color w:val="auto"/>
                <w:sz w:val="24"/>
                <w:highlight w:val="none"/>
              </w:rPr>
            </w:pPr>
            <w:r>
              <w:rPr>
                <w:rFonts w:hint="eastAsia"/>
                <w:color w:val="auto"/>
                <w:sz w:val="24"/>
                <w:highlight w:val="none"/>
              </w:rPr>
              <w:t>6</w:t>
            </w:r>
          </w:p>
        </w:tc>
        <w:tc>
          <w:tcPr>
            <w:tcW w:w="1726" w:type="dxa"/>
            <w:tcBorders>
              <w:top w:val="single" w:color="auto" w:sz="4" w:space="0"/>
            </w:tcBorders>
            <w:vAlign w:val="center"/>
          </w:tcPr>
          <w:p w14:paraId="2CBD8A26">
            <w:pPr>
              <w:pStyle w:val="1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5879" w:type="dxa"/>
            <w:vAlign w:val="center"/>
          </w:tcPr>
          <w:p w14:paraId="6033E37D">
            <w:pPr>
              <w:pStyle w:val="10"/>
              <w:spacing w:line="360" w:lineRule="auto"/>
              <w:jc w:val="center"/>
              <w:rPr>
                <w:rFonts w:ascii="宋体" w:hAnsi="宋体" w:cs="宋体"/>
                <w:color w:val="auto"/>
                <w:sz w:val="24"/>
                <w:highlight w:val="none"/>
              </w:rPr>
            </w:pPr>
            <w:r>
              <w:rPr>
                <w:rFonts w:hint="eastAsia"/>
                <w:color w:val="auto"/>
                <w:sz w:val="24"/>
                <w:highlight w:val="none"/>
              </w:rPr>
              <w:t>符合采购文件要求</w:t>
            </w:r>
          </w:p>
        </w:tc>
        <w:tc>
          <w:tcPr>
            <w:tcW w:w="559" w:type="dxa"/>
          </w:tcPr>
          <w:p w14:paraId="548E05F5">
            <w:pPr>
              <w:pStyle w:val="10"/>
              <w:spacing w:line="360" w:lineRule="auto"/>
              <w:jc w:val="left"/>
              <w:rPr>
                <w:color w:val="auto"/>
                <w:sz w:val="24"/>
                <w:highlight w:val="none"/>
              </w:rPr>
            </w:pPr>
          </w:p>
        </w:tc>
        <w:tc>
          <w:tcPr>
            <w:tcW w:w="616" w:type="dxa"/>
          </w:tcPr>
          <w:p w14:paraId="20E0FAC8">
            <w:pPr>
              <w:pStyle w:val="10"/>
              <w:spacing w:line="360" w:lineRule="auto"/>
              <w:jc w:val="left"/>
              <w:rPr>
                <w:color w:val="auto"/>
                <w:sz w:val="24"/>
                <w:highlight w:val="none"/>
              </w:rPr>
            </w:pPr>
          </w:p>
        </w:tc>
      </w:tr>
      <w:tr w14:paraId="5D60F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433E864B">
            <w:pPr>
              <w:pStyle w:val="10"/>
              <w:spacing w:line="360" w:lineRule="auto"/>
              <w:jc w:val="left"/>
              <w:rPr>
                <w:color w:val="auto"/>
                <w:sz w:val="24"/>
                <w:highlight w:val="none"/>
              </w:rPr>
            </w:pPr>
            <w:r>
              <w:rPr>
                <w:rFonts w:hint="eastAsia"/>
                <w:color w:val="auto"/>
                <w:sz w:val="24"/>
                <w:highlight w:val="none"/>
              </w:rPr>
              <w:t>7</w:t>
            </w:r>
          </w:p>
        </w:tc>
        <w:tc>
          <w:tcPr>
            <w:tcW w:w="1726" w:type="dxa"/>
          </w:tcPr>
          <w:p w14:paraId="5E297D6F">
            <w:pPr>
              <w:pStyle w:val="10"/>
              <w:spacing w:line="360" w:lineRule="auto"/>
              <w:jc w:val="left"/>
              <w:rPr>
                <w:color w:val="auto"/>
                <w:sz w:val="24"/>
                <w:highlight w:val="none"/>
              </w:rPr>
            </w:pPr>
            <w:r>
              <w:rPr>
                <w:rFonts w:hint="eastAsia"/>
                <w:color w:val="auto"/>
                <w:sz w:val="24"/>
                <w:highlight w:val="none"/>
              </w:rPr>
              <w:t>无效标审查</w:t>
            </w:r>
          </w:p>
        </w:tc>
        <w:tc>
          <w:tcPr>
            <w:tcW w:w="5879" w:type="dxa"/>
          </w:tcPr>
          <w:p w14:paraId="5E6BCBB3">
            <w:pPr>
              <w:pStyle w:val="10"/>
              <w:spacing w:line="360" w:lineRule="auto"/>
              <w:jc w:val="left"/>
              <w:rPr>
                <w:color w:val="auto"/>
                <w:sz w:val="24"/>
                <w:highlight w:val="none"/>
              </w:rPr>
            </w:pPr>
            <w:r>
              <w:rPr>
                <w:rFonts w:hint="eastAsia" w:ascii="宋体" w:hAnsi="宋体" w:cs="宋体"/>
                <w:color w:val="auto"/>
                <w:sz w:val="24"/>
                <w:highlight w:val="none"/>
              </w:rPr>
              <w:t>按本项目采购文件第三章第五节无效标条款规定，审查是否通过</w:t>
            </w:r>
          </w:p>
        </w:tc>
        <w:tc>
          <w:tcPr>
            <w:tcW w:w="559" w:type="dxa"/>
          </w:tcPr>
          <w:p w14:paraId="55561403">
            <w:pPr>
              <w:pStyle w:val="10"/>
              <w:spacing w:line="360" w:lineRule="auto"/>
              <w:jc w:val="left"/>
              <w:rPr>
                <w:color w:val="auto"/>
                <w:sz w:val="24"/>
                <w:highlight w:val="none"/>
              </w:rPr>
            </w:pPr>
          </w:p>
        </w:tc>
        <w:tc>
          <w:tcPr>
            <w:tcW w:w="616" w:type="dxa"/>
          </w:tcPr>
          <w:p w14:paraId="21969F37">
            <w:pPr>
              <w:pStyle w:val="10"/>
              <w:spacing w:line="360" w:lineRule="auto"/>
              <w:jc w:val="left"/>
              <w:rPr>
                <w:color w:val="auto"/>
                <w:sz w:val="24"/>
                <w:highlight w:val="none"/>
              </w:rPr>
            </w:pPr>
          </w:p>
        </w:tc>
      </w:tr>
      <w:tr w14:paraId="0D7A0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5" w:type="dxa"/>
            <w:gridSpan w:val="3"/>
          </w:tcPr>
          <w:p w14:paraId="4D6ED53B">
            <w:pPr>
              <w:pStyle w:val="10"/>
              <w:spacing w:line="360" w:lineRule="auto"/>
              <w:jc w:val="left"/>
              <w:rPr>
                <w:color w:val="auto"/>
                <w:sz w:val="24"/>
                <w:highlight w:val="none"/>
              </w:rPr>
            </w:pPr>
            <w:r>
              <w:rPr>
                <w:rFonts w:hint="eastAsia"/>
                <w:color w:val="auto"/>
                <w:sz w:val="24"/>
                <w:highlight w:val="none"/>
              </w:rPr>
              <w:t>审查结论（通过或不通过）</w:t>
            </w:r>
          </w:p>
        </w:tc>
        <w:tc>
          <w:tcPr>
            <w:tcW w:w="559" w:type="dxa"/>
          </w:tcPr>
          <w:p w14:paraId="67AF87DB">
            <w:pPr>
              <w:pStyle w:val="10"/>
              <w:spacing w:line="360" w:lineRule="auto"/>
              <w:jc w:val="left"/>
              <w:rPr>
                <w:color w:val="auto"/>
                <w:sz w:val="24"/>
                <w:highlight w:val="none"/>
              </w:rPr>
            </w:pPr>
          </w:p>
        </w:tc>
        <w:tc>
          <w:tcPr>
            <w:tcW w:w="616" w:type="dxa"/>
          </w:tcPr>
          <w:p w14:paraId="565A1F38">
            <w:pPr>
              <w:pStyle w:val="10"/>
              <w:spacing w:line="360" w:lineRule="auto"/>
              <w:jc w:val="left"/>
              <w:rPr>
                <w:color w:val="auto"/>
                <w:sz w:val="24"/>
                <w:highlight w:val="none"/>
              </w:rPr>
            </w:pPr>
          </w:p>
        </w:tc>
      </w:tr>
    </w:tbl>
    <w:p w14:paraId="12A7468A">
      <w:pPr>
        <w:pStyle w:val="10"/>
        <w:spacing w:line="360" w:lineRule="auto"/>
        <w:jc w:val="left"/>
        <w:rPr>
          <w:color w:val="auto"/>
          <w:sz w:val="24"/>
          <w:highlight w:val="none"/>
        </w:rPr>
      </w:pPr>
    </w:p>
    <w:p w14:paraId="213D9C87">
      <w:pPr>
        <w:pStyle w:val="10"/>
        <w:spacing w:line="360" w:lineRule="auto"/>
        <w:jc w:val="left"/>
        <w:rPr>
          <w:color w:val="auto"/>
          <w:sz w:val="24"/>
          <w:highlight w:val="none"/>
        </w:rPr>
      </w:pPr>
      <w:r>
        <w:rPr>
          <w:rFonts w:hint="eastAsia"/>
          <w:color w:val="auto"/>
          <w:sz w:val="24"/>
          <w:highlight w:val="none"/>
        </w:rPr>
        <w:t>（二）评分细则及各项评标因素（详见评分办法前附表）：</w:t>
      </w:r>
    </w:p>
    <w:p w14:paraId="577BE080">
      <w:pPr>
        <w:pStyle w:val="10"/>
        <w:spacing w:line="360" w:lineRule="auto"/>
        <w:jc w:val="left"/>
        <w:rPr>
          <w:color w:val="auto"/>
          <w:sz w:val="24"/>
          <w:highlight w:val="none"/>
        </w:rPr>
      </w:pPr>
      <w:r>
        <w:rPr>
          <w:rFonts w:hint="eastAsia"/>
          <w:color w:val="auto"/>
          <w:sz w:val="24"/>
          <w:highlight w:val="none"/>
        </w:rPr>
        <w:t>评分标准涉及到需提供的资料、文件等必须是真实有效的，弄虚作假者一经查实其投标将做无效投标处理，同时该投标供应商相关违法行为将提交到贵州省财政厅监督管理部门处理。</w:t>
      </w:r>
    </w:p>
    <w:p w14:paraId="1E55A7F9">
      <w:pPr>
        <w:pStyle w:val="10"/>
        <w:spacing w:line="360" w:lineRule="auto"/>
        <w:jc w:val="left"/>
        <w:rPr>
          <w:color w:val="auto"/>
          <w:sz w:val="24"/>
          <w:highlight w:val="none"/>
        </w:rPr>
      </w:pPr>
      <w:r>
        <w:rPr>
          <w:rFonts w:hint="eastAsia"/>
          <w:color w:val="auto"/>
          <w:sz w:val="24"/>
          <w:highlight w:val="none"/>
        </w:rPr>
        <w:t>（三）价格分的计算：</w:t>
      </w:r>
    </w:p>
    <w:p w14:paraId="675E2FD4">
      <w:pPr>
        <w:pStyle w:val="10"/>
        <w:spacing w:line="360" w:lineRule="auto"/>
        <w:ind w:firstLine="480" w:firstLineChars="200"/>
        <w:jc w:val="left"/>
        <w:rPr>
          <w:color w:val="auto"/>
          <w:sz w:val="24"/>
          <w:highlight w:val="none"/>
        </w:rPr>
      </w:pPr>
      <w:r>
        <w:rPr>
          <w:rFonts w:hint="eastAsia"/>
          <w:color w:val="auto"/>
          <w:sz w:val="24"/>
          <w:highlight w:val="none"/>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BFA39C">
      <w:pPr>
        <w:pStyle w:val="10"/>
        <w:spacing w:line="360" w:lineRule="auto"/>
        <w:ind w:firstLine="480" w:firstLineChars="200"/>
        <w:jc w:val="left"/>
        <w:rPr>
          <w:color w:val="auto"/>
          <w:sz w:val="24"/>
          <w:highlight w:val="none"/>
        </w:rPr>
      </w:pPr>
      <w:r>
        <w:rPr>
          <w:rFonts w:hint="eastAsia"/>
          <w:color w:val="auto"/>
          <w:sz w:val="24"/>
          <w:highlight w:val="none"/>
        </w:rPr>
        <w:t>2、价格分采用低价优先法计算，即满足采购文件要求的前提下，最低有效投标报价作为评标基准价，其价格分为满分。其余投标人价格分统一按照下列公式计算：</w:t>
      </w:r>
    </w:p>
    <w:p w14:paraId="3FE8AD8B">
      <w:pPr>
        <w:pStyle w:val="10"/>
        <w:spacing w:line="360" w:lineRule="auto"/>
        <w:ind w:firstLine="480" w:firstLineChars="200"/>
        <w:jc w:val="left"/>
        <w:rPr>
          <w:color w:val="auto"/>
          <w:sz w:val="24"/>
          <w:highlight w:val="none"/>
        </w:rPr>
      </w:pPr>
      <w:r>
        <w:rPr>
          <w:rFonts w:hint="eastAsia"/>
          <w:color w:val="auto"/>
          <w:sz w:val="24"/>
          <w:highlight w:val="none"/>
        </w:rPr>
        <w:t>投标报价得分＝（评标基准价／投标报价）×价格权值×100</w:t>
      </w:r>
    </w:p>
    <w:p w14:paraId="4F717B97">
      <w:pPr>
        <w:pStyle w:val="10"/>
        <w:spacing w:line="360" w:lineRule="auto"/>
        <w:ind w:firstLine="480" w:firstLineChars="200"/>
        <w:jc w:val="left"/>
        <w:rPr>
          <w:color w:val="auto"/>
          <w:sz w:val="24"/>
          <w:highlight w:val="none"/>
        </w:rPr>
      </w:pPr>
      <w:r>
        <w:rPr>
          <w:rFonts w:hint="eastAsia"/>
          <w:color w:val="auto"/>
          <w:sz w:val="24"/>
          <w:highlight w:val="none"/>
        </w:rPr>
        <w:t>3、评标过程中，不得去掉报价中的最高报价和最低报价。</w:t>
      </w:r>
    </w:p>
    <w:p w14:paraId="23956CFA">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4、因落实政府采购政策进行价格调整的，以调整后的价格计算评标基准价和投标报价，政府采购政策如下：</w:t>
      </w:r>
    </w:p>
    <w:p w14:paraId="7A6B6124">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（1）中小企业价格扣除10%（含监狱企业、残疾人福利性单位）</w:t>
      </w:r>
    </w:p>
    <w:p w14:paraId="59D2E73F">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在投标供应商资格审查和符合性审查均满足采购文件的前提下，根据《政府招标促进中小企业发展暂行办法》（财库〔2020〕46 号）及相关规定，本项目是否为专门面向中小企业预留采购份额项目：</w:t>
      </w:r>
      <w:r>
        <w:rPr>
          <w:rFonts w:hint="eastAsia"/>
          <w:strike/>
          <w:dstrike w:val="0"/>
          <w:color w:val="auto"/>
          <w:sz w:val="24"/>
          <w:highlight w:val="none"/>
          <w:lang w:val="en-US" w:eastAsia="zh-CN"/>
        </w:rPr>
        <w:t>否</w:t>
      </w:r>
      <w:r>
        <w:rPr>
          <w:rFonts w:hint="eastAsia"/>
          <w:strike/>
          <w:dstrike w:val="0"/>
          <w:color w:val="auto"/>
          <w:sz w:val="24"/>
          <w:highlight w:val="none"/>
        </w:rPr>
        <w:t>。</w:t>
      </w:r>
    </w:p>
    <w:p w14:paraId="0FFDADB9">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中小企业须提供中小企业声明函且声明函所载内容必须真实，如有虚假，将依法承担相应责任，包括取消成交资格、投标保证金不予退还等。中小企业划分标准依照工业和信息化部、国家统计局、国家发展和改革委员会、财政部联合下发的《关于印发中小企业划型标准规定的通知》（工信部联企业《2011》300 号）执行。</w:t>
      </w:r>
    </w:p>
    <w:p w14:paraId="3B40C92E">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根据《关于印发中小企业划型标准规定的通知》（工信部联企业《2011》300 号）行业划型标准本项目属于：</w:t>
      </w:r>
      <w:r>
        <w:rPr>
          <w:rFonts w:hint="eastAsia" w:ascii="宋体" w:hAnsi="宋体" w:cs="宋体"/>
          <w:strike/>
          <w:dstrike w:val="0"/>
          <w:snapToGrid w:val="0"/>
          <w:color w:val="auto"/>
          <w:kern w:val="0"/>
          <w:sz w:val="24"/>
          <w:highlight w:val="none"/>
          <w:u w:val="single"/>
          <w:lang w:val="en-US" w:eastAsia="zh-CN"/>
        </w:rPr>
        <w:t>物业管理业</w:t>
      </w:r>
      <w:r>
        <w:rPr>
          <w:rFonts w:hint="eastAsia"/>
          <w:strike/>
          <w:dstrike w:val="0"/>
          <w:color w:val="auto"/>
          <w:sz w:val="24"/>
          <w:highlight w:val="none"/>
        </w:rPr>
        <w:t>。</w:t>
      </w:r>
    </w:p>
    <w:p w14:paraId="18868C5A">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注：①价格扣除只针对投标报价未超过财政控制值的投标供应商有效；</w:t>
      </w:r>
    </w:p>
    <w:p w14:paraId="398A4870">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②残疾人福利性单位属于小型、微型企业的，不重复享受政策；</w:t>
      </w:r>
    </w:p>
    <w:p w14:paraId="489E2CEB">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③中小企业须提供中小企业声明函且声明函所载内容必须真实，如有虚假，将依法承担相应责任，包括取消中标资格、投标保证金不予退还等。中小企业划分标准依照工业和信息化部、国家统计局、国家发展和改革委员会、财政部联合下发的《关于印发中小企业划型标准规定的通知》（工信部联企业《2011》300 号）执行。</w:t>
      </w:r>
    </w:p>
    <w:p w14:paraId="63025A8E">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（2）监狱企业价格扣除</w:t>
      </w:r>
    </w:p>
    <w:p w14:paraId="19D9F8FF">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根据《财政部司法部关于政府采购支持监狱企业发展有关问题的通知》（财库〔2014〕68 号）及相关规定，监狱企业参加政府采购活动时，应当提供由省级以上监狱管理局、戒毒管理局（含新疆生产建设兵团）出具的属于监狱企业的证明文件。</w:t>
      </w:r>
    </w:p>
    <w:p w14:paraId="55D5AA21">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（3）残疾人福利性单位价格扣除</w:t>
      </w:r>
    </w:p>
    <w:p w14:paraId="0D166D20">
      <w:pPr>
        <w:pStyle w:val="10"/>
        <w:spacing w:line="360" w:lineRule="auto"/>
        <w:ind w:firstLine="480" w:firstLineChars="200"/>
        <w:jc w:val="left"/>
        <w:rPr>
          <w:strike/>
          <w:dstrike w:val="0"/>
          <w:color w:val="auto"/>
          <w:sz w:val="24"/>
          <w:highlight w:val="none"/>
        </w:rPr>
      </w:pPr>
      <w:r>
        <w:rPr>
          <w:rFonts w:hint="eastAsia"/>
          <w:strike/>
          <w:dstrike w:val="0"/>
          <w:color w:val="auto"/>
          <w:sz w:val="24"/>
          <w:highlight w:val="none"/>
        </w:rPr>
        <w:t>根据《三部门联合发布关于促进残疾人就业政府采购政策的通知》（财库〔2017〕141 号）及相关规定，符合条件的残疾人福利性单位在参加政府采购活动时，应当提供《残疾人福利性单位声明函》，并对声明的真实性负责。</w:t>
      </w:r>
    </w:p>
    <w:p w14:paraId="456A784B">
      <w:pPr>
        <w:pStyle w:val="10"/>
        <w:spacing w:line="360" w:lineRule="auto"/>
        <w:ind w:firstLine="480" w:firstLineChars="200"/>
        <w:jc w:val="left"/>
        <w:rPr>
          <w:color w:val="auto"/>
          <w:sz w:val="24"/>
          <w:highlight w:val="none"/>
        </w:rPr>
      </w:pPr>
      <w:r>
        <w:rPr>
          <w:rFonts w:hint="eastAsia"/>
          <w:strike/>
          <w:dstrike w:val="0"/>
          <w:color w:val="auto"/>
          <w:sz w:val="24"/>
          <w:highlight w:val="none"/>
        </w:rPr>
        <w:t>4、货物项目的价格分值占总分值的比重不得低于 30%；服务项目的价格分值占总分值的比重不得低于 10%。执行国家统一定价标准和采用固定价格采购的项目，其价格不列为评审因素。</w:t>
      </w:r>
    </w:p>
    <w:p w14:paraId="782697E0">
      <w:pPr>
        <w:pStyle w:val="10"/>
        <w:spacing w:line="360" w:lineRule="auto"/>
        <w:ind w:firstLine="480" w:firstLineChars="200"/>
        <w:jc w:val="left"/>
        <w:rPr>
          <w:color w:val="auto"/>
          <w:sz w:val="24"/>
          <w:highlight w:val="none"/>
        </w:rPr>
      </w:pPr>
      <w:r>
        <w:rPr>
          <w:rFonts w:hint="eastAsia"/>
          <w:color w:val="auto"/>
          <w:sz w:val="24"/>
          <w:highlight w:val="none"/>
        </w:rPr>
        <w:t>（四）评标总得分计算方法：</w:t>
      </w:r>
    </w:p>
    <w:p w14:paraId="1E395F49">
      <w:pPr>
        <w:pStyle w:val="10"/>
        <w:spacing w:line="360" w:lineRule="auto"/>
        <w:ind w:firstLine="480" w:firstLineChars="200"/>
        <w:jc w:val="left"/>
        <w:rPr>
          <w:color w:val="auto"/>
          <w:sz w:val="24"/>
          <w:highlight w:val="none"/>
        </w:rPr>
      </w:pPr>
      <w:r>
        <w:rPr>
          <w:rFonts w:hint="eastAsia"/>
          <w:color w:val="auto"/>
          <w:sz w:val="24"/>
          <w:highlight w:val="none"/>
        </w:rPr>
        <w:t>评标总得分＝F1×A1＋F2×A2＋……＋Fn×An</w:t>
      </w:r>
    </w:p>
    <w:p w14:paraId="2DA8C347">
      <w:pPr>
        <w:pStyle w:val="10"/>
        <w:spacing w:line="360" w:lineRule="auto"/>
        <w:ind w:firstLine="480" w:firstLineChars="200"/>
        <w:jc w:val="left"/>
        <w:rPr>
          <w:color w:val="auto"/>
          <w:sz w:val="24"/>
          <w:highlight w:val="none"/>
        </w:rPr>
      </w:pPr>
      <w:r>
        <w:rPr>
          <w:rFonts w:hint="eastAsia"/>
          <w:color w:val="auto"/>
          <w:sz w:val="24"/>
          <w:highlight w:val="none"/>
        </w:rPr>
        <w:t>F1、F2……Fn 分别为各项评审因素的得分；</w:t>
      </w:r>
    </w:p>
    <w:p w14:paraId="09297472">
      <w:pPr>
        <w:pStyle w:val="10"/>
        <w:spacing w:line="360" w:lineRule="auto"/>
        <w:ind w:firstLine="480" w:firstLineChars="200"/>
        <w:jc w:val="left"/>
        <w:rPr>
          <w:color w:val="auto"/>
          <w:sz w:val="24"/>
          <w:highlight w:val="none"/>
        </w:rPr>
      </w:pPr>
      <w:r>
        <w:rPr>
          <w:rFonts w:hint="eastAsia"/>
          <w:color w:val="auto"/>
          <w:sz w:val="24"/>
          <w:highlight w:val="none"/>
        </w:rPr>
        <w:t>A1、A2、……An 分别为各项评审因素所占的权重(A1＋A2＋……＋An＝1)。</w:t>
      </w:r>
    </w:p>
    <w:p w14:paraId="2D8D61F8">
      <w:pPr>
        <w:pStyle w:val="10"/>
        <w:spacing w:line="360" w:lineRule="auto"/>
        <w:ind w:firstLine="480" w:firstLineChars="200"/>
        <w:jc w:val="left"/>
        <w:rPr>
          <w:color w:val="auto"/>
          <w:sz w:val="24"/>
          <w:highlight w:val="none"/>
        </w:rPr>
      </w:pPr>
      <w:r>
        <w:rPr>
          <w:rFonts w:hint="eastAsia"/>
          <w:color w:val="auto"/>
          <w:sz w:val="24"/>
          <w:highlight w:val="none"/>
        </w:rPr>
        <w:t>n 为专家人数；</w:t>
      </w:r>
    </w:p>
    <w:p w14:paraId="5A914086">
      <w:pPr>
        <w:pStyle w:val="10"/>
        <w:spacing w:line="360" w:lineRule="auto"/>
        <w:ind w:firstLine="480" w:firstLineChars="200"/>
        <w:jc w:val="left"/>
        <w:rPr>
          <w:color w:val="auto"/>
          <w:sz w:val="24"/>
          <w:highlight w:val="none"/>
        </w:rPr>
      </w:pPr>
      <w:r>
        <w:rPr>
          <w:rFonts w:hint="eastAsia"/>
          <w:color w:val="auto"/>
          <w:sz w:val="24"/>
          <w:highlight w:val="none"/>
        </w:rPr>
        <w:t>注：以上打分计算最终得分保留小数两位。</w:t>
      </w:r>
    </w:p>
    <w:p w14:paraId="02FDAD65">
      <w:pPr>
        <w:pStyle w:val="10"/>
        <w:spacing w:line="360" w:lineRule="auto"/>
        <w:ind w:firstLine="480" w:firstLineChars="200"/>
        <w:jc w:val="left"/>
        <w:rPr>
          <w:color w:val="auto"/>
          <w:sz w:val="24"/>
          <w:highlight w:val="none"/>
        </w:rPr>
      </w:pPr>
      <w:r>
        <w:rPr>
          <w:rFonts w:hint="eastAsia"/>
          <w:color w:val="auto"/>
          <w:sz w:val="24"/>
          <w:highlight w:val="none"/>
        </w:rPr>
        <w:t>（五）排序原则</w:t>
      </w:r>
    </w:p>
    <w:p w14:paraId="6113C6BE">
      <w:pPr>
        <w:pStyle w:val="10"/>
        <w:spacing w:line="360" w:lineRule="auto"/>
        <w:ind w:firstLine="480" w:firstLineChars="200"/>
        <w:jc w:val="left"/>
        <w:rPr>
          <w:color w:val="auto"/>
          <w:sz w:val="24"/>
          <w:highlight w:val="none"/>
        </w:rPr>
      </w:pPr>
      <w:r>
        <w:rPr>
          <w:rFonts w:hint="eastAsia"/>
          <w:color w:val="auto"/>
          <w:sz w:val="24"/>
          <w:highlight w:val="none"/>
        </w:rPr>
        <w:t>采用综合评分法的，评标结果按评审后得分由高到低顺序排列，推荐三名中标候选人。得分相同的，按投标报价由低到高顺序排列；得分且投标报价相同的并列。投标文件满足采购文件全部实质性要求，且按照评审因素的量化指标评审得分最高的投标人为排名第一的中标候选人。</w:t>
      </w:r>
    </w:p>
    <w:p w14:paraId="594886AF">
      <w:pPr>
        <w:pStyle w:val="10"/>
        <w:spacing w:line="360" w:lineRule="auto"/>
        <w:ind w:firstLine="480" w:firstLineChars="200"/>
        <w:jc w:val="left"/>
        <w:rPr>
          <w:color w:val="auto"/>
          <w:sz w:val="24"/>
          <w:highlight w:val="none"/>
        </w:rPr>
      </w:pPr>
      <w:r>
        <w:rPr>
          <w:rFonts w:hint="eastAsia"/>
          <w:color w:val="auto"/>
          <w:sz w:val="24"/>
          <w:highlight w:val="none"/>
        </w:rPr>
        <w:t>（六）本评标办法的解释权为采购人和采购代理机构。</w:t>
      </w:r>
    </w:p>
    <w:p w14:paraId="37C47118">
      <w:pPr>
        <w:pStyle w:val="10"/>
        <w:spacing w:line="360" w:lineRule="auto"/>
        <w:ind w:firstLine="480" w:firstLineChars="200"/>
        <w:jc w:val="left"/>
        <w:rPr>
          <w:color w:val="auto"/>
          <w:sz w:val="24"/>
          <w:highlight w:val="none"/>
        </w:rPr>
      </w:pPr>
    </w:p>
    <w:p w14:paraId="32C72D55">
      <w:pPr>
        <w:pStyle w:val="10"/>
        <w:spacing w:line="360" w:lineRule="auto"/>
        <w:jc w:val="left"/>
        <w:rPr>
          <w:color w:val="auto"/>
          <w:sz w:val="24"/>
          <w:highlight w:val="none"/>
        </w:rPr>
        <w:sectPr>
          <w:footerReference r:id="rId4" w:type="default"/>
          <w:pgSz w:w="11906" w:h="16838"/>
          <w:pgMar w:top="1440" w:right="1276" w:bottom="1440" w:left="1418" w:header="851" w:footer="992" w:gutter="0"/>
          <w:cols w:space="425" w:num="1"/>
          <w:docGrid w:type="linesAndChars" w:linePitch="312" w:charSpace="0"/>
        </w:sectPr>
      </w:pPr>
    </w:p>
    <w:p w14:paraId="7CF93A9F">
      <w:pPr>
        <w:pStyle w:val="10"/>
        <w:numPr>
          <w:ilvl w:val="0"/>
          <w:numId w:val="10"/>
        </w:numPr>
        <w:spacing w:line="360" w:lineRule="auto"/>
        <w:ind w:firstLine="646" w:firstLineChars="200"/>
        <w:jc w:val="center"/>
        <w:rPr>
          <w:color w:val="auto"/>
          <w:sz w:val="32"/>
          <w:highlight w:val="none"/>
        </w:rPr>
      </w:pPr>
      <w:r>
        <w:rPr>
          <w:rFonts w:hint="eastAsia"/>
          <w:color w:val="auto"/>
          <w:sz w:val="32"/>
          <w:highlight w:val="none"/>
        </w:rPr>
        <w:t xml:space="preserve"> 采购需求</w:t>
      </w:r>
    </w:p>
    <w:p w14:paraId="7F72998F">
      <w:pPr>
        <w:pStyle w:val="10"/>
        <w:numPr>
          <w:ilvl w:val="0"/>
          <w:numId w:val="11"/>
        </w:numPr>
        <w:spacing w:after="0"/>
        <w:jc w:val="center"/>
        <w:rPr>
          <w:color w:val="auto"/>
          <w:sz w:val="32"/>
          <w:highlight w:val="none"/>
        </w:rPr>
      </w:pPr>
      <w:r>
        <w:rPr>
          <w:rFonts w:hint="eastAsia"/>
          <w:color w:val="auto"/>
          <w:sz w:val="32"/>
          <w:highlight w:val="none"/>
        </w:rPr>
        <w:t xml:space="preserve"> 服务内容</w:t>
      </w:r>
    </w:p>
    <w:p w14:paraId="720FD7D8">
      <w:pPr>
        <w:spacing w:before="234" w:line="360" w:lineRule="auto"/>
        <w:outlineLvl w:val="1"/>
        <w:rPr>
          <w:rFonts w:ascii="微软雅黑" w:hAnsi="微软雅黑" w:eastAsia="微软雅黑" w:cs="微软雅黑"/>
          <w:color w:val="auto"/>
          <w:spacing w:val="-9"/>
          <w:sz w:val="36"/>
          <w:szCs w:val="36"/>
          <w:highlight w:val="none"/>
          <w14:textOutline w14:w="7620" w14:cap="flat" w14:cmpd="sng" w14:algn="ctr">
            <w14:solidFill>
              <w14:srgbClr w14:val="000000"/>
            </w14:solidFill>
            <w14:prstDash w14:val="solid"/>
            <w14:miter w14:val="0"/>
          </w14:textOutline>
        </w:rPr>
      </w:pPr>
    </w:p>
    <w:p w14:paraId="42C06905">
      <w:pPr>
        <w:pStyle w:val="5"/>
        <w:spacing w:line="240" w:lineRule="auto"/>
        <w:jc w:val="both"/>
        <w:rPr>
          <w:rFonts w:ascii="宋体" w:hAnsi="宋体" w:eastAsia="宋体"/>
          <w:b/>
          <w:color w:val="auto"/>
          <w:sz w:val="24"/>
          <w:szCs w:val="24"/>
          <w:highlight w:val="none"/>
        </w:rPr>
      </w:pPr>
      <w:bookmarkStart w:id="0" w:name="_Toc10619584"/>
      <w:bookmarkStart w:id="1" w:name="_Toc11405460"/>
      <w:bookmarkStart w:id="2" w:name="_Toc24647"/>
      <w:r>
        <w:rPr>
          <w:rFonts w:hint="eastAsia" w:ascii="宋体" w:hAnsi="宋体" w:eastAsia="宋体"/>
          <w:b/>
          <w:color w:val="auto"/>
          <w:sz w:val="24"/>
          <w:szCs w:val="24"/>
          <w:highlight w:val="none"/>
        </w:rPr>
        <w:t>一</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后勤服务的总体情况和基本原则</w:t>
      </w:r>
      <w:bookmarkEnd w:id="0"/>
      <w:bookmarkEnd w:id="1"/>
    </w:p>
    <w:p w14:paraId="150CCFA8">
      <w:pPr>
        <w:pStyle w:val="10"/>
        <w:spacing w:line="360" w:lineRule="auto"/>
        <w:ind w:firstLine="486" w:firstLineChars="200"/>
        <w:jc w:val="left"/>
        <w:rPr>
          <w:rFonts w:hint="eastAsia"/>
          <w:color w:val="auto"/>
          <w:sz w:val="24"/>
          <w:highlight w:val="none"/>
        </w:rPr>
      </w:pPr>
      <w:r>
        <w:rPr>
          <w:rFonts w:hint="eastAsia" w:ascii="仿宋" w:hAnsi="仿宋" w:eastAsia="仿宋" w:cs="宋体"/>
          <w:b/>
          <w:bCs/>
          <w:color w:val="auto"/>
          <w:kern w:val="0"/>
          <w:sz w:val="24"/>
          <w:highlight w:val="none"/>
        </w:rPr>
        <w:t>1、</w:t>
      </w:r>
      <w:r>
        <w:rPr>
          <w:rFonts w:hint="eastAsia" w:ascii="宋体" w:hAnsi="宋体" w:cs="宋体"/>
          <w:b/>
          <w:bCs/>
          <w:color w:val="auto"/>
          <w:kern w:val="0"/>
          <w:sz w:val="24"/>
          <w:highlight w:val="none"/>
        </w:rPr>
        <w:t>项目概述：</w:t>
      </w:r>
      <w:r>
        <w:rPr>
          <w:rFonts w:hint="eastAsia"/>
          <w:color w:val="auto"/>
          <w:sz w:val="24"/>
          <w:highlight w:val="none"/>
        </w:rPr>
        <w:t>中共贵州省委党校（贵州行政学院、中共贵州省委讲师团）是省委省政府培训轮训全省领导干部的最高学府，是培养党的理论队伍，学习、研究和宣传马克思列宁主义、毛泽东思想、邓小平理论、“三个代表”重要思想、科学发展观、习近平新时代中国特色社会主义思想，推进党的思想理论建设的重要阵地，是全省哲学社会科学研究机构和新型综合智库，是省委直属事业单位，主要发挥干部培训、思想引领、理论建设、决策咨询四项核心职能作用。</w:t>
      </w:r>
    </w:p>
    <w:p w14:paraId="69AA7C2C">
      <w:pPr>
        <w:pStyle w:val="10"/>
        <w:spacing w:line="360" w:lineRule="auto"/>
        <w:ind w:firstLine="486" w:firstLineChars="200"/>
        <w:jc w:val="left"/>
        <w:rPr>
          <w:rFonts w:hint="eastAsia"/>
          <w:color w:val="auto"/>
          <w:sz w:val="24"/>
          <w:highlight w:val="none"/>
        </w:rPr>
      </w:pPr>
      <w:r>
        <w:rPr>
          <w:rFonts w:hint="eastAsia"/>
          <w:color w:val="auto"/>
          <w:sz w:val="24"/>
          <w:highlight w:val="none"/>
        </w:rPr>
        <w:t>　　中共贵州省委党校于1950年7月在邓小平同志的亲切关怀下成立。1997年7月贵州行政学院成立，校、院合署。2018年11月，按照中央、省委关于深化党和国家机构改革的统一部署，校（院）加挂贵州省委讲师团牌子，实行“一个机构、三块牌子”的运行管理体制。目前，校（院、团）共内设正处级机构34个（其中参公管理部门17个，事业部门17个），现有在职在编人数349人。专职教师中有教授24人、副教授58人，省管专家2人，享受省政府特殊津贴人员1人，博士学位人员54人，占教师总数的60%。学科门类涵盖了中共党史、哲学、公共管理等11个大类。校（院、团）桐木岭校区占地总面积1089亩，森林覆盖率达80%以上，其中76%为原生态森林，在全国省级党校（行政学院、讲师团）中占地面积最大，自然环境名列前茅。在省委省政府关心支持下，校（院、团）改扩建工程项目正分三期稳步推进。一期项目现已投入使用，二期项目即将完成，三期项目拟于2022年正式启动，并于“十四五”时期建成投入使用。项目全部建成后，学校总体培训容量预计将达2000人左右，办学规模和培训能力将实现大幅提升。</w:t>
      </w:r>
    </w:p>
    <w:p w14:paraId="39BFB799">
      <w:pPr>
        <w:spacing w:line="360" w:lineRule="auto"/>
        <w:rPr>
          <w:rFonts w:hint="eastAsia" w:ascii="Calibri" w:hAnsi="Calibri" w:eastAsia="宋体" w:cs="黑体"/>
          <w:color w:val="auto"/>
          <w:kern w:val="2"/>
          <w:sz w:val="24"/>
          <w:szCs w:val="24"/>
          <w:highlight w:val="none"/>
          <w:lang w:val="en-US" w:eastAsia="zh-CN" w:bidi="ar-SA"/>
        </w:rPr>
      </w:pPr>
      <w:r>
        <w:rPr>
          <w:rFonts w:hint="eastAsia" w:ascii="宋体" w:hAnsi="宋体" w:cs="宋体"/>
          <w:b/>
          <w:bCs/>
          <w:color w:val="auto"/>
          <w:kern w:val="0"/>
          <w:sz w:val="24"/>
          <w:highlight w:val="none"/>
        </w:rPr>
        <w:t xml:space="preserve">  2、 基本原则：</w:t>
      </w:r>
      <w:r>
        <w:rPr>
          <w:rFonts w:hint="eastAsia" w:ascii="Calibri" w:hAnsi="Calibri" w:eastAsia="宋体" w:cs="黑体"/>
          <w:color w:val="auto"/>
          <w:kern w:val="2"/>
          <w:sz w:val="24"/>
          <w:szCs w:val="24"/>
          <w:highlight w:val="none"/>
          <w:lang w:val="en-US" w:eastAsia="zh-CN" w:bidi="ar-SA"/>
        </w:rPr>
        <w:t>采购服务坚持公平、公正、公开的原则，坚持校（院、团）主导，企业服务的分权关系；坚持项目整体购买，提高管理效率的原则；坚持实施效果定期评价，评价结果与服务费用挂钩，并向社会公布的原则。</w:t>
      </w:r>
    </w:p>
    <w:p w14:paraId="38FC4855">
      <w:pPr>
        <w:pStyle w:val="5"/>
        <w:spacing w:line="240" w:lineRule="auto"/>
        <w:jc w:val="both"/>
        <w:rPr>
          <w:rFonts w:ascii="宋体" w:hAnsi="宋体" w:eastAsia="宋体"/>
          <w:b/>
          <w:color w:val="auto"/>
          <w:sz w:val="24"/>
          <w:szCs w:val="24"/>
          <w:highlight w:val="none"/>
        </w:rPr>
      </w:pPr>
      <w:r>
        <w:rPr>
          <w:rFonts w:hint="eastAsia" w:ascii="宋体" w:hAnsi="宋体" w:eastAsia="宋体"/>
          <w:b/>
          <w:color w:val="auto"/>
          <w:sz w:val="24"/>
          <w:szCs w:val="24"/>
          <w:highlight w:val="none"/>
        </w:rPr>
        <w:t>二、项目服务范围</w:t>
      </w:r>
    </w:p>
    <w:p w14:paraId="4F68381B">
      <w:pPr>
        <w:spacing w:line="500" w:lineRule="exact"/>
        <w:rPr>
          <w:rFonts w:hint="eastAsia" w:ascii="Calibri" w:hAnsi="Calibri" w:eastAsia="宋体" w:cs="黑体"/>
          <w:color w:val="auto"/>
          <w:kern w:val="2"/>
          <w:sz w:val="24"/>
          <w:szCs w:val="24"/>
          <w:highlight w:val="none"/>
          <w:lang w:val="en-US" w:eastAsia="zh-CN" w:bidi="ar-SA"/>
        </w:rPr>
      </w:pPr>
      <w:r>
        <w:rPr>
          <w:rFonts w:hint="eastAsia" w:ascii="Calibri" w:hAnsi="Calibri" w:eastAsia="宋体" w:cs="黑体"/>
          <w:color w:val="auto"/>
          <w:kern w:val="2"/>
          <w:sz w:val="24"/>
          <w:szCs w:val="24"/>
          <w:highlight w:val="none"/>
          <w:lang w:val="en-US" w:eastAsia="zh-CN" w:bidi="ar-SA"/>
        </w:rPr>
        <w:t>服务范围：花溪桐木岭校区、公有设施设备、办公室、会议室、值班室（值班岗亭）、通道走廊、楼梯、卫生间、停车场、学员宿舍、教室（多媒体）、文体中心、电梯、水电设施设备、空调设施设备、消防设施设备、生态环境维护等管理服务</w:t>
      </w:r>
      <w:r>
        <w:rPr>
          <w:rFonts w:hint="eastAsia" w:cs="黑体"/>
          <w:color w:val="auto"/>
          <w:kern w:val="2"/>
          <w:sz w:val="24"/>
          <w:szCs w:val="24"/>
          <w:highlight w:val="none"/>
          <w:lang w:val="en-US" w:eastAsia="zh-CN" w:bidi="ar-SA"/>
        </w:rPr>
        <w:t>、信息服务；</w:t>
      </w:r>
      <w:r>
        <w:rPr>
          <w:rFonts w:hint="eastAsia" w:ascii="Calibri" w:hAnsi="Calibri" w:eastAsia="宋体" w:cs="黑体"/>
          <w:color w:val="auto"/>
          <w:kern w:val="2"/>
          <w:sz w:val="24"/>
          <w:szCs w:val="24"/>
          <w:highlight w:val="none"/>
          <w:lang w:val="en-US" w:eastAsia="zh-CN" w:bidi="ar-SA"/>
        </w:rPr>
        <w:t>习近平生态文明思想主题教学基地、马克思主题教学基地、中国共产党贵州历史主题教学基地、摆脱贫困的贵州实践主题教学基地、红军长征在贵州主题教学基地</w:t>
      </w:r>
      <w:r>
        <w:rPr>
          <w:rFonts w:hint="eastAsia" w:cs="黑体"/>
          <w:color w:val="auto"/>
          <w:kern w:val="2"/>
          <w:sz w:val="24"/>
          <w:szCs w:val="24"/>
          <w:highlight w:val="none"/>
          <w:lang w:val="en-US" w:eastAsia="zh-CN" w:bidi="ar-SA"/>
        </w:rPr>
        <w:t>等六个教学</w:t>
      </w:r>
      <w:r>
        <w:rPr>
          <w:rFonts w:hint="eastAsia" w:ascii="宋体" w:hAnsi="宋体" w:eastAsia="宋体" w:cs="宋体"/>
          <w:color w:val="auto"/>
          <w:kern w:val="2"/>
          <w:sz w:val="24"/>
          <w:szCs w:val="24"/>
          <w:highlight w:val="none"/>
          <w:lang w:val="en-US" w:eastAsia="zh-CN" w:bidi="ar-SA"/>
        </w:rPr>
        <w:t>基地</w:t>
      </w:r>
      <w:r>
        <w:rPr>
          <w:rFonts w:hint="eastAsia" w:ascii="宋体" w:hAnsi="宋体" w:eastAsia="宋体" w:cs="宋体"/>
          <w:color w:val="auto"/>
          <w:sz w:val="24"/>
          <w:szCs w:val="24"/>
          <w:highlight w:val="none"/>
          <w:lang w:val="en-US" w:eastAsia="zh-CN"/>
        </w:rPr>
        <w:t>管理服务</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零星搬家服务</w:t>
      </w:r>
      <w:r>
        <w:rPr>
          <w:rFonts w:hint="eastAsia" w:ascii="宋体" w:hAnsi="宋体" w:cs="宋体"/>
          <w:color w:val="auto"/>
          <w:sz w:val="24"/>
          <w:szCs w:val="24"/>
          <w:highlight w:val="none"/>
          <w:lang w:val="en-US" w:eastAsia="zh-CN"/>
        </w:rPr>
        <w:t>；贵阳市花溪区南部污水处理厂尾水人工湿地水质净化工程管理服务</w:t>
      </w:r>
      <w:r>
        <w:rPr>
          <w:rFonts w:hint="eastAsia" w:ascii="宋体" w:hAnsi="宋体" w:eastAsia="宋体" w:cs="宋体"/>
          <w:color w:val="auto"/>
          <w:sz w:val="24"/>
          <w:szCs w:val="24"/>
          <w:highlight w:val="none"/>
          <w:lang w:val="en-US" w:eastAsia="zh-CN"/>
        </w:rPr>
        <w:t>等等。</w:t>
      </w:r>
      <w:r>
        <w:rPr>
          <w:rFonts w:hint="eastAsia" w:ascii="Calibri" w:hAnsi="Calibri" w:eastAsia="宋体" w:cs="黑体"/>
          <w:color w:val="auto"/>
          <w:kern w:val="2"/>
          <w:sz w:val="24"/>
          <w:szCs w:val="24"/>
          <w:highlight w:val="none"/>
          <w:lang w:val="en-US" w:eastAsia="zh-CN" w:bidi="ar-SA"/>
        </w:rPr>
        <w:t>具体详见下表：</w:t>
      </w:r>
    </w:p>
    <w:tbl>
      <w:tblPr>
        <w:tblStyle w:val="20"/>
        <w:tblW w:w="10830" w:type="dxa"/>
        <w:tblInd w:w="-842" w:type="dxa"/>
        <w:tblLayout w:type="fixed"/>
        <w:tblCellMar>
          <w:top w:w="0" w:type="dxa"/>
          <w:left w:w="108" w:type="dxa"/>
          <w:bottom w:w="0" w:type="dxa"/>
          <w:right w:w="108" w:type="dxa"/>
        </w:tblCellMar>
      </w:tblPr>
      <w:tblGrid>
        <w:gridCol w:w="887"/>
        <w:gridCol w:w="1807"/>
        <w:gridCol w:w="15"/>
        <w:gridCol w:w="1274"/>
        <w:gridCol w:w="992"/>
        <w:gridCol w:w="1419"/>
        <w:gridCol w:w="4436"/>
      </w:tblGrid>
      <w:tr w14:paraId="1BC56B11">
        <w:tblPrEx>
          <w:tblCellMar>
            <w:top w:w="0" w:type="dxa"/>
            <w:left w:w="108" w:type="dxa"/>
            <w:bottom w:w="0" w:type="dxa"/>
            <w:right w:w="108" w:type="dxa"/>
          </w:tblCellMar>
        </w:tblPrEx>
        <w:trPr>
          <w:trHeight w:val="499" w:hRule="atLeast"/>
        </w:trPr>
        <w:tc>
          <w:tcPr>
            <w:tcW w:w="10830"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F87CDC1">
            <w:pPr>
              <w:widowControl/>
              <w:spacing w:line="240" w:lineRule="auto"/>
              <w:jc w:val="center"/>
              <w:textAlignment w:val="center"/>
              <w:rPr>
                <w:rFonts w:hint="eastAsia" w:ascii="仿宋" w:hAnsi="仿宋" w:eastAsia="仿宋" w:cs="宋体"/>
                <w:b/>
                <w:color w:val="auto"/>
                <w:kern w:val="0"/>
                <w:sz w:val="24"/>
                <w:highlight w:val="none"/>
                <w:lang w:eastAsia="zh-CN"/>
              </w:rPr>
            </w:pPr>
            <w:r>
              <w:rPr>
                <w:rFonts w:hint="eastAsia" w:ascii="仿宋" w:hAnsi="仿宋" w:eastAsia="仿宋" w:cs="宋体"/>
                <w:b/>
                <w:color w:val="auto"/>
                <w:kern w:val="0"/>
                <w:sz w:val="24"/>
                <w:highlight w:val="none"/>
              </w:rPr>
              <w:t>贵州省委党校基本情况一览表</w:t>
            </w:r>
            <w:r>
              <w:rPr>
                <w:rFonts w:hint="eastAsia" w:ascii="仿宋" w:hAnsi="仿宋" w:eastAsia="仿宋" w:cs="宋体"/>
                <w:b/>
                <w:color w:val="auto"/>
                <w:kern w:val="0"/>
                <w:sz w:val="24"/>
                <w:highlight w:val="none"/>
                <w:lang w:eastAsia="zh-CN"/>
              </w:rPr>
              <w:t>（</w:t>
            </w:r>
            <w:r>
              <w:rPr>
                <w:rFonts w:hint="eastAsia" w:ascii="仿宋" w:hAnsi="仿宋" w:eastAsia="仿宋" w:cs="宋体"/>
                <w:b/>
                <w:color w:val="auto"/>
                <w:kern w:val="0"/>
                <w:sz w:val="24"/>
                <w:highlight w:val="none"/>
                <w:lang w:val="en-US" w:eastAsia="zh-CN"/>
              </w:rPr>
              <w:t>具体以实际为准</w:t>
            </w:r>
            <w:r>
              <w:rPr>
                <w:rFonts w:hint="eastAsia" w:ascii="仿宋" w:hAnsi="仿宋" w:eastAsia="仿宋" w:cs="宋体"/>
                <w:b/>
                <w:color w:val="auto"/>
                <w:kern w:val="0"/>
                <w:sz w:val="24"/>
                <w:highlight w:val="none"/>
                <w:lang w:eastAsia="zh-CN"/>
              </w:rPr>
              <w:t>）</w:t>
            </w:r>
          </w:p>
        </w:tc>
      </w:tr>
      <w:tr w14:paraId="432DC04D">
        <w:tblPrEx>
          <w:tblCellMar>
            <w:top w:w="0" w:type="dxa"/>
            <w:left w:w="108" w:type="dxa"/>
            <w:bottom w:w="0" w:type="dxa"/>
            <w:right w:w="108" w:type="dxa"/>
          </w:tblCellMar>
        </w:tblPrEx>
        <w:trPr>
          <w:trHeight w:val="499" w:hRule="atLeast"/>
        </w:trPr>
        <w:tc>
          <w:tcPr>
            <w:tcW w:w="10830"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142952">
            <w:pPr>
              <w:widowControl/>
              <w:spacing w:line="240" w:lineRule="auto"/>
              <w:jc w:val="left"/>
              <w:textAlignment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一、</w:t>
            </w:r>
            <w:r>
              <w:rPr>
                <w:rFonts w:hint="eastAsia" w:ascii="仿宋" w:hAnsi="仿宋" w:eastAsia="仿宋" w:cs="宋体"/>
                <w:color w:val="auto"/>
                <w:sz w:val="24"/>
                <w:highlight w:val="none"/>
              </w:rPr>
              <w:t>花溪区桐木岭校区（一期）</w:t>
            </w:r>
          </w:p>
        </w:tc>
      </w:tr>
      <w:tr w14:paraId="1C90027B">
        <w:tblPrEx>
          <w:tblCellMar>
            <w:top w:w="0" w:type="dxa"/>
            <w:left w:w="108" w:type="dxa"/>
            <w:bottom w:w="0" w:type="dxa"/>
            <w:right w:w="108" w:type="dxa"/>
          </w:tblCellMar>
        </w:tblPrEx>
        <w:trPr>
          <w:trHeight w:val="499"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E33359">
            <w:pPr>
              <w:widowControl/>
              <w:spacing w:line="240" w:lineRule="auto"/>
              <w:jc w:val="center"/>
              <w:textAlignment w:val="center"/>
              <w:rPr>
                <w:rFonts w:ascii="仿宋" w:hAnsi="仿宋" w:eastAsia="仿宋" w:cs="宋体"/>
                <w:b/>
                <w:color w:val="auto"/>
                <w:sz w:val="24"/>
                <w:highlight w:val="none"/>
              </w:rPr>
            </w:pPr>
            <w:r>
              <w:rPr>
                <w:rFonts w:hint="eastAsia" w:ascii="仿宋" w:hAnsi="仿宋" w:eastAsia="仿宋" w:cs="宋体"/>
                <w:b/>
                <w:color w:val="auto"/>
                <w:kern w:val="0"/>
                <w:sz w:val="24"/>
                <w:highlight w:val="none"/>
              </w:rPr>
              <w:t>序号</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890589">
            <w:pPr>
              <w:widowControl/>
              <w:spacing w:line="240" w:lineRule="auto"/>
              <w:jc w:val="center"/>
              <w:textAlignment w:val="center"/>
              <w:rPr>
                <w:rFonts w:ascii="仿宋" w:hAnsi="仿宋" w:eastAsia="仿宋" w:cs="宋体"/>
                <w:b/>
                <w:color w:val="auto"/>
                <w:sz w:val="24"/>
                <w:highlight w:val="none"/>
              </w:rPr>
            </w:pPr>
            <w:r>
              <w:rPr>
                <w:rFonts w:hint="eastAsia" w:ascii="仿宋" w:hAnsi="仿宋" w:eastAsia="仿宋" w:cs="宋体"/>
                <w:b/>
                <w:color w:val="auto"/>
                <w:kern w:val="0"/>
                <w:sz w:val="24"/>
                <w:highlight w:val="none"/>
              </w:rPr>
              <w:t>楼宇名称</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A5F855">
            <w:pPr>
              <w:widowControl/>
              <w:spacing w:line="240" w:lineRule="auto"/>
              <w:jc w:val="center"/>
              <w:textAlignment w:val="center"/>
              <w:rPr>
                <w:rFonts w:ascii="仿宋" w:hAnsi="仿宋" w:eastAsia="仿宋" w:cs="宋体"/>
                <w:b/>
                <w:color w:val="auto"/>
                <w:sz w:val="24"/>
                <w:highlight w:val="none"/>
              </w:rPr>
            </w:pPr>
            <w:r>
              <w:rPr>
                <w:rFonts w:hint="eastAsia" w:ascii="仿宋" w:hAnsi="仿宋" w:eastAsia="仿宋" w:cs="宋体"/>
                <w:b/>
                <w:color w:val="auto"/>
                <w:kern w:val="0"/>
                <w:sz w:val="24"/>
                <w:highlight w:val="none"/>
              </w:rPr>
              <w:t>电梯（台）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5C8A8D">
            <w:pPr>
              <w:widowControl/>
              <w:spacing w:line="240" w:lineRule="auto"/>
              <w:jc w:val="center"/>
              <w:textAlignment w:val="center"/>
              <w:rPr>
                <w:rFonts w:ascii="仿宋" w:hAnsi="仿宋" w:eastAsia="仿宋" w:cs="宋体"/>
                <w:b/>
                <w:color w:val="auto"/>
                <w:sz w:val="24"/>
                <w:highlight w:val="none"/>
              </w:rPr>
            </w:pPr>
            <w:r>
              <w:rPr>
                <w:rFonts w:hint="eastAsia" w:ascii="仿宋" w:hAnsi="仿宋" w:eastAsia="仿宋" w:cs="宋体"/>
                <w:b/>
                <w:color w:val="auto"/>
                <w:kern w:val="0"/>
                <w:sz w:val="24"/>
                <w:highlight w:val="none"/>
              </w:rPr>
              <w:t>层数</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131024">
            <w:pPr>
              <w:widowControl/>
              <w:spacing w:line="240" w:lineRule="auto"/>
              <w:jc w:val="center"/>
              <w:textAlignment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建筑面积</w:t>
            </w:r>
          </w:p>
          <w:p w14:paraId="5CE84CA9">
            <w:pPr>
              <w:widowControl/>
              <w:spacing w:line="240" w:lineRule="auto"/>
              <w:jc w:val="center"/>
              <w:textAlignment w:val="center"/>
              <w:rPr>
                <w:rFonts w:ascii="仿宋" w:hAnsi="仿宋" w:eastAsia="仿宋" w:cs="宋体"/>
                <w:b/>
                <w:color w:val="auto"/>
                <w:sz w:val="24"/>
                <w:highlight w:val="none"/>
              </w:rPr>
            </w:pPr>
            <w:r>
              <w:rPr>
                <w:rFonts w:hint="eastAsia" w:ascii="仿宋" w:hAnsi="仿宋" w:eastAsia="仿宋" w:cs="宋体"/>
                <w:b/>
                <w:color w:val="auto"/>
                <w:kern w:val="0"/>
                <w:sz w:val="24"/>
                <w:highlight w:val="none"/>
              </w:rPr>
              <w:t>（㎡）</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74C6C8">
            <w:pPr>
              <w:widowControl/>
              <w:spacing w:line="240" w:lineRule="auto"/>
              <w:jc w:val="center"/>
              <w:textAlignment w:val="center"/>
              <w:rPr>
                <w:rFonts w:ascii="仿宋" w:hAnsi="仿宋" w:eastAsia="仿宋" w:cs="宋体"/>
                <w:b/>
                <w:color w:val="auto"/>
                <w:sz w:val="24"/>
                <w:highlight w:val="none"/>
              </w:rPr>
            </w:pPr>
            <w:r>
              <w:rPr>
                <w:rFonts w:hint="eastAsia" w:ascii="仿宋" w:hAnsi="仿宋" w:eastAsia="仿宋" w:cs="宋体"/>
                <w:b/>
                <w:color w:val="auto"/>
                <w:kern w:val="0"/>
                <w:sz w:val="24"/>
                <w:highlight w:val="none"/>
              </w:rPr>
              <w:t>用途</w:t>
            </w:r>
          </w:p>
        </w:tc>
      </w:tr>
      <w:tr w14:paraId="76D9ACA2">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F19974">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EFDFF1">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行政办公大楼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E7A855">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84F4E9">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4</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79DECC">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2772</w:t>
            </w:r>
          </w:p>
        </w:tc>
        <w:tc>
          <w:tcPr>
            <w:tcW w:w="44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DFF64B">
            <w:pPr>
              <w:widowControl/>
              <w:spacing w:line="24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办公用房，办公大楼会议室2间。</w:t>
            </w:r>
          </w:p>
        </w:tc>
      </w:tr>
      <w:tr w14:paraId="4365A042">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A072B3">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2</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D24B08">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行政处楼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33B611">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F5599D">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4A6A65">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720</w:t>
            </w:r>
          </w:p>
        </w:tc>
        <w:tc>
          <w:tcPr>
            <w:tcW w:w="4436" w:type="dxa"/>
            <w:vMerge w:val="continue"/>
            <w:tcBorders>
              <w:top w:val="single" w:color="000000" w:sz="4" w:space="0"/>
              <w:left w:val="single" w:color="000000" w:sz="4" w:space="0"/>
              <w:bottom w:val="single" w:color="000000" w:sz="4" w:space="0"/>
              <w:right w:val="single" w:color="000000" w:sz="4" w:space="0"/>
            </w:tcBorders>
            <w:vAlign w:val="center"/>
          </w:tcPr>
          <w:p w14:paraId="571271EA">
            <w:pPr>
              <w:widowControl/>
              <w:spacing w:line="240" w:lineRule="auto"/>
              <w:jc w:val="left"/>
              <w:rPr>
                <w:rFonts w:ascii="仿宋" w:hAnsi="仿宋" w:eastAsia="仿宋" w:cs="宋体"/>
                <w:color w:val="auto"/>
                <w:sz w:val="24"/>
                <w:highlight w:val="none"/>
              </w:rPr>
            </w:pPr>
          </w:p>
        </w:tc>
      </w:tr>
      <w:tr w14:paraId="0C9AB1EF">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9B8086">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0EB544">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生态环境管理处</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044703">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43C282">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2</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142C0D">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180</w:t>
            </w:r>
          </w:p>
        </w:tc>
        <w:tc>
          <w:tcPr>
            <w:tcW w:w="4436" w:type="dxa"/>
            <w:tcBorders>
              <w:top w:val="single" w:color="000000" w:sz="4" w:space="0"/>
              <w:left w:val="single" w:color="000000" w:sz="4" w:space="0"/>
              <w:bottom w:val="single" w:color="000000" w:sz="4" w:space="0"/>
              <w:right w:val="single" w:color="000000" w:sz="4" w:space="0"/>
            </w:tcBorders>
            <w:vAlign w:val="center"/>
          </w:tcPr>
          <w:p w14:paraId="54DD18D4">
            <w:pPr>
              <w:widowControl/>
              <w:spacing w:line="240" w:lineRule="auto"/>
              <w:jc w:val="left"/>
              <w:rPr>
                <w:rFonts w:ascii="仿宋" w:hAnsi="仿宋" w:eastAsia="仿宋" w:cs="宋体"/>
                <w:color w:val="auto"/>
                <w:sz w:val="24"/>
                <w:highlight w:val="none"/>
              </w:rPr>
            </w:pPr>
            <w:r>
              <w:rPr>
                <w:rFonts w:ascii="仿宋" w:hAnsi="仿宋" w:eastAsia="仿宋" w:cs="宋体"/>
                <w:color w:val="auto"/>
                <w:sz w:val="24"/>
                <w:highlight w:val="none"/>
              </w:rPr>
              <w:t>办公用房</w:t>
            </w:r>
          </w:p>
        </w:tc>
      </w:tr>
      <w:tr w14:paraId="515D18DA">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1A5411">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lang w:val="en-US" w:eastAsia="zh-CN"/>
              </w:rPr>
              <w:t>4</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01C5C9">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综合楼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1DBEE6">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F66C372">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5</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7AA488">
            <w:pPr>
              <w:widowControl/>
              <w:spacing w:line="240" w:lineRule="auto"/>
              <w:jc w:val="center"/>
              <w:textAlignment w:val="center"/>
              <w:rPr>
                <w:rFonts w:ascii="仿宋" w:hAnsi="仿宋" w:eastAsia="仿宋" w:cs="宋体"/>
                <w:color w:val="auto"/>
                <w:kern w:val="0"/>
                <w:sz w:val="24"/>
                <w:highlight w:val="none"/>
              </w:rPr>
            </w:pPr>
          </w:p>
          <w:p w14:paraId="0724E422">
            <w:pPr>
              <w:widowControl/>
              <w:spacing w:line="240" w:lineRule="auto"/>
              <w:ind w:firstLine="486" w:firstLineChars="200"/>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19570</w:t>
            </w:r>
          </w:p>
          <w:p w14:paraId="6889FD88">
            <w:pPr>
              <w:widowControl/>
              <w:spacing w:line="240" w:lineRule="auto"/>
              <w:textAlignment w:val="center"/>
              <w:rPr>
                <w:rFonts w:ascii="仿宋" w:hAnsi="仿宋" w:eastAsia="仿宋" w:cs="宋体"/>
                <w:color w:val="auto"/>
                <w:sz w:val="24"/>
                <w:highlight w:val="none"/>
              </w:rPr>
            </w:pPr>
          </w:p>
        </w:tc>
        <w:tc>
          <w:tcPr>
            <w:tcW w:w="44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F23B7BC">
            <w:pPr>
              <w:widowControl/>
              <w:spacing w:line="240" w:lineRule="auto"/>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教室（讨论室）。综合楼一层：接待室1间、会议室1间、健身房1间、练工房1间、球类室1间、音乐厅1间、二层：报告厅1间（容纳420人）多功能厅（容纳11人）、多媒体教室3间、讨论室1间、三层：多媒体教室3间、讨论室5间、四层：多媒体3间、讨论室3间，五层：多媒体2间、讨论室1间、应急培训1间、多媒体保障办公室1间， 4间教室，1间视频会议室。</w:t>
            </w:r>
          </w:p>
        </w:tc>
      </w:tr>
      <w:tr w14:paraId="4E9571CF">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B85F11">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lang w:val="en-US" w:eastAsia="zh-CN"/>
              </w:rPr>
              <w:t>5</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4CADC6">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信息楼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0EAD0AE">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E562F2">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4</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9F0AAD">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2200</w:t>
            </w:r>
          </w:p>
        </w:tc>
        <w:tc>
          <w:tcPr>
            <w:tcW w:w="4436" w:type="dxa"/>
            <w:vMerge w:val="continue"/>
            <w:tcBorders>
              <w:top w:val="single" w:color="000000" w:sz="4" w:space="0"/>
              <w:left w:val="single" w:color="000000" w:sz="4" w:space="0"/>
              <w:bottom w:val="single" w:color="000000" w:sz="4" w:space="0"/>
              <w:right w:val="single" w:color="000000" w:sz="4" w:space="0"/>
            </w:tcBorders>
            <w:vAlign w:val="center"/>
          </w:tcPr>
          <w:p w14:paraId="70EAE7A4">
            <w:pPr>
              <w:widowControl/>
              <w:spacing w:line="240" w:lineRule="auto"/>
              <w:jc w:val="left"/>
              <w:rPr>
                <w:rFonts w:ascii="仿宋" w:hAnsi="仿宋" w:eastAsia="仿宋" w:cs="宋体"/>
                <w:color w:val="auto"/>
                <w:sz w:val="24"/>
                <w:highlight w:val="none"/>
              </w:rPr>
            </w:pPr>
          </w:p>
        </w:tc>
      </w:tr>
      <w:tr w14:paraId="4BBF91C9">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61A1D6">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lang w:val="en-US" w:eastAsia="zh-CN"/>
              </w:rPr>
              <w:t>6</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18F0BA">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学员1号楼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356FE7">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18C80C">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6</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0E43E1">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5423</w:t>
            </w:r>
          </w:p>
        </w:tc>
        <w:tc>
          <w:tcPr>
            <w:tcW w:w="44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301160">
            <w:pPr>
              <w:widowControl/>
              <w:spacing w:line="24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学员房（共计708个房，其中：1号楼116个房间，4个套房；2号楼208个单间；3号楼255个单间；6号#楼71个单间，自修楼58个单间，4个标间，2个套房、1间会议室、1间教室、4个讨论室。</w:t>
            </w:r>
            <w:r>
              <w:rPr>
                <w:rFonts w:hint="eastAsia" w:ascii="仿宋" w:hAnsi="仿宋" w:eastAsia="仿宋" w:cs="宋体"/>
                <w:color w:val="auto"/>
                <w:kern w:val="0"/>
                <w:sz w:val="24"/>
                <w:highlight w:val="none"/>
                <w:lang w:val="en-US" w:eastAsia="zh-CN"/>
              </w:rPr>
              <w:t>7号楼140个房间。</w:t>
            </w:r>
          </w:p>
        </w:tc>
      </w:tr>
      <w:tr w14:paraId="581A2646">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FD92EF2">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lang w:val="en-US" w:eastAsia="zh-CN"/>
              </w:rPr>
              <w:t>7</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0133240">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学员2号楼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D2FB7F">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8E7410">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6</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BD746D">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7081</w:t>
            </w:r>
          </w:p>
        </w:tc>
        <w:tc>
          <w:tcPr>
            <w:tcW w:w="4436" w:type="dxa"/>
            <w:vMerge w:val="continue"/>
            <w:tcBorders>
              <w:top w:val="single" w:color="000000" w:sz="4" w:space="0"/>
              <w:left w:val="single" w:color="000000" w:sz="4" w:space="0"/>
              <w:bottom w:val="single" w:color="000000" w:sz="4" w:space="0"/>
              <w:right w:val="single" w:color="000000" w:sz="4" w:space="0"/>
            </w:tcBorders>
            <w:vAlign w:val="center"/>
          </w:tcPr>
          <w:p w14:paraId="1F3E6FF5">
            <w:pPr>
              <w:widowControl/>
              <w:spacing w:line="240" w:lineRule="auto"/>
              <w:jc w:val="left"/>
              <w:rPr>
                <w:rFonts w:ascii="仿宋" w:hAnsi="仿宋" w:eastAsia="仿宋" w:cs="宋体"/>
                <w:color w:val="auto"/>
                <w:sz w:val="24"/>
                <w:highlight w:val="none"/>
              </w:rPr>
            </w:pPr>
          </w:p>
        </w:tc>
      </w:tr>
      <w:tr w14:paraId="13197092">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6A6B9E">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lang w:val="en-US" w:eastAsia="zh-CN"/>
              </w:rPr>
              <w:t>8</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D2F26D">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学员3号楼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98D989">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672B7B">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6</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FDECD7">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8304</w:t>
            </w:r>
          </w:p>
        </w:tc>
        <w:tc>
          <w:tcPr>
            <w:tcW w:w="4436" w:type="dxa"/>
            <w:vMerge w:val="continue"/>
            <w:tcBorders>
              <w:top w:val="single" w:color="000000" w:sz="4" w:space="0"/>
              <w:left w:val="single" w:color="000000" w:sz="4" w:space="0"/>
              <w:bottom w:val="single" w:color="000000" w:sz="4" w:space="0"/>
              <w:right w:val="single" w:color="000000" w:sz="4" w:space="0"/>
            </w:tcBorders>
            <w:vAlign w:val="center"/>
          </w:tcPr>
          <w:p w14:paraId="47EE04C0">
            <w:pPr>
              <w:widowControl/>
              <w:spacing w:line="240" w:lineRule="auto"/>
              <w:jc w:val="left"/>
              <w:rPr>
                <w:rFonts w:ascii="仿宋" w:hAnsi="仿宋" w:eastAsia="仿宋" w:cs="宋体"/>
                <w:color w:val="auto"/>
                <w:sz w:val="24"/>
                <w:highlight w:val="none"/>
              </w:rPr>
            </w:pPr>
          </w:p>
        </w:tc>
      </w:tr>
      <w:tr w14:paraId="552C3ABC">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2E2EDC">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lang w:val="en-US" w:eastAsia="zh-CN"/>
              </w:rPr>
              <w:t>9</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8470DF">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学员6号楼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87443B">
            <w:pPr>
              <w:widowControl/>
              <w:spacing w:line="240" w:lineRule="auto"/>
              <w:jc w:val="center"/>
              <w:textAlignment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594C5E">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6</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DE1768">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2511</w:t>
            </w:r>
          </w:p>
        </w:tc>
        <w:tc>
          <w:tcPr>
            <w:tcW w:w="4436" w:type="dxa"/>
            <w:vMerge w:val="continue"/>
            <w:tcBorders>
              <w:top w:val="single" w:color="000000" w:sz="4" w:space="0"/>
              <w:left w:val="single" w:color="000000" w:sz="4" w:space="0"/>
              <w:bottom w:val="single" w:color="000000" w:sz="4" w:space="0"/>
              <w:right w:val="single" w:color="000000" w:sz="4" w:space="0"/>
            </w:tcBorders>
            <w:vAlign w:val="center"/>
          </w:tcPr>
          <w:p w14:paraId="0AC9BE21">
            <w:pPr>
              <w:widowControl/>
              <w:spacing w:line="240" w:lineRule="auto"/>
              <w:jc w:val="left"/>
              <w:rPr>
                <w:rFonts w:ascii="仿宋" w:hAnsi="仿宋" w:eastAsia="仿宋" w:cs="宋体"/>
                <w:color w:val="auto"/>
                <w:sz w:val="24"/>
                <w:highlight w:val="none"/>
              </w:rPr>
            </w:pPr>
          </w:p>
        </w:tc>
      </w:tr>
      <w:tr w14:paraId="1440C594">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642035">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0</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57D6E1">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学员7号楼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85F84E">
            <w:pPr>
              <w:widowControl/>
              <w:spacing w:line="240" w:lineRule="auto"/>
              <w:jc w:val="center"/>
              <w:textAlignment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98DB61">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6</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92D7C9">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6613</w:t>
            </w:r>
          </w:p>
        </w:tc>
        <w:tc>
          <w:tcPr>
            <w:tcW w:w="4436" w:type="dxa"/>
            <w:vMerge w:val="continue"/>
            <w:tcBorders>
              <w:top w:val="single" w:color="000000" w:sz="4" w:space="0"/>
              <w:left w:val="single" w:color="000000" w:sz="4" w:space="0"/>
              <w:bottom w:val="single" w:color="000000" w:sz="4" w:space="0"/>
              <w:right w:val="single" w:color="000000" w:sz="4" w:space="0"/>
            </w:tcBorders>
            <w:vAlign w:val="center"/>
          </w:tcPr>
          <w:p w14:paraId="2A688AF6">
            <w:pPr>
              <w:widowControl/>
              <w:spacing w:line="240" w:lineRule="auto"/>
              <w:jc w:val="left"/>
              <w:rPr>
                <w:rFonts w:ascii="仿宋" w:hAnsi="仿宋" w:eastAsia="仿宋" w:cs="宋体"/>
                <w:color w:val="auto"/>
                <w:sz w:val="24"/>
                <w:highlight w:val="none"/>
              </w:rPr>
            </w:pPr>
          </w:p>
        </w:tc>
      </w:tr>
      <w:tr w14:paraId="4D0A569D">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600175">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1</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050D022">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自修楼</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3832FA7">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8F43FB">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5</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2B6603">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2870</w:t>
            </w:r>
          </w:p>
        </w:tc>
        <w:tc>
          <w:tcPr>
            <w:tcW w:w="4436" w:type="dxa"/>
            <w:vMerge w:val="continue"/>
            <w:tcBorders>
              <w:top w:val="single" w:color="000000" w:sz="4" w:space="0"/>
              <w:left w:val="single" w:color="000000" w:sz="4" w:space="0"/>
              <w:bottom w:val="single" w:color="000000" w:sz="4" w:space="0"/>
              <w:right w:val="single" w:color="000000" w:sz="4" w:space="0"/>
            </w:tcBorders>
            <w:vAlign w:val="center"/>
          </w:tcPr>
          <w:p w14:paraId="4303C52A">
            <w:pPr>
              <w:widowControl/>
              <w:spacing w:line="240" w:lineRule="auto"/>
              <w:jc w:val="left"/>
              <w:rPr>
                <w:rFonts w:ascii="仿宋" w:hAnsi="仿宋" w:eastAsia="仿宋" w:cs="宋体"/>
                <w:color w:val="auto"/>
                <w:sz w:val="24"/>
                <w:highlight w:val="none"/>
              </w:rPr>
            </w:pPr>
          </w:p>
        </w:tc>
      </w:tr>
      <w:tr w14:paraId="12C4AF10">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F30448">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2</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ADC46A">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老干处</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BF4544">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F40A32">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31DE36">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426</w:t>
            </w:r>
          </w:p>
        </w:tc>
        <w:tc>
          <w:tcPr>
            <w:tcW w:w="44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BD9B18">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办公用房</w:t>
            </w:r>
          </w:p>
        </w:tc>
      </w:tr>
      <w:tr w14:paraId="4DEFEED2">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C70787">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3</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365DAA">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车队</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1A5242">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2855B2">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02FADA2">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855</w:t>
            </w:r>
          </w:p>
        </w:tc>
        <w:tc>
          <w:tcPr>
            <w:tcW w:w="4436" w:type="dxa"/>
            <w:vMerge w:val="continue"/>
            <w:tcBorders>
              <w:top w:val="single" w:color="000000" w:sz="4" w:space="0"/>
              <w:left w:val="single" w:color="000000" w:sz="4" w:space="0"/>
              <w:bottom w:val="single" w:color="000000" w:sz="4" w:space="0"/>
              <w:right w:val="single" w:color="000000" w:sz="4" w:space="0"/>
            </w:tcBorders>
            <w:vAlign w:val="center"/>
          </w:tcPr>
          <w:p w14:paraId="0B6A31DD">
            <w:pPr>
              <w:widowControl/>
              <w:spacing w:line="240" w:lineRule="auto"/>
              <w:jc w:val="left"/>
              <w:rPr>
                <w:rFonts w:ascii="仿宋" w:hAnsi="仿宋" w:eastAsia="仿宋" w:cs="宋体"/>
                <w:color w:val="auto"/>
                <w:sz w:val="24"/>
                <w:highlight w:val="none"/>
              </w:rPr>
            </w:pPr>
          </w:p>
        </w:tc>
      </w:tr>
      <w:tr w14:paraId="49B7580C">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1EC388">
            <w:pPr>
              <w:widowControl/>
              <w:spacing w:line="240" w:lineRule="auto"/>
              <w:jc w:val="center"/>
              <w:textAlignment w:val="center"/>
              <w:rPr>
                <w:rFonts w:hint="eastAsia" w:ascii="仿宋" w:hAnsi="仿宋" w:eastAsia="仿宋" w:cs="宋体"/>
                <w:color w:val="auto"/>
                <w:sz w:val="24"/>
                <w:highlight w:val="none"/>
                <w:lang w:eastAsia="zh-CN"/>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4</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AAC4B9">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职工食堂</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DD60FCC">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274736">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5150F7">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960</w:t>
            </w:r>
          </w:p>
        </w:tc>
        <w:tc>
          <w:tcPr>
            <w:tcW w:w="4436" w:type="dxa"/>
            <w:vMerge w:val="continue"/>
            <w:tcBorders>
              <w:top w:val="single" w:color="000000" w:sz="4" w:space="0"/>
              <w:left w:val="single" w:color="000000" w:sz="4" w:space="0"/>
              <w:bottom w:val="single" w:color="000000" w:sz="4" w:space="0"/>
              <w:right w:val="single" w:color="000000" w:sz="4" w:space="0"/>
            </w:tcBorders>
            <w:vAlign w:val="center"/>
          </w:tcPr>
          <w:p w14:paraId="2C64117D">
            <w:pPr>
              <w:widowControl/>
              <w:spacing w:line="240" w:lineRule="auto"/>
              <w:jc w:val="left"/>
              <w:rPr>
                <w:rFonts w:ascii="仿宋" w:hAnsi="仿宋" w:eastAsia="仿宋" w:cs="宋体"/>
                <w:color w:val="auto"/>
                <w:sz w:val="24"/>
                <w:highlight w:val="none"/>
              </w:rPr>
            </w:pPr>
          </w:p>
        </w:tc>
      </w:tr>
      <w:tr w14:paraId="0E8595B1">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56275F">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5</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7D14F2">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1#、2#学员宿舍（一期）</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BC9A3C">
            <w:pPr>
              <w:spacing w:line="24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6</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BCE0DD">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DDCE0B">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20216</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BC2564">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学员宿舍（353间）、活动室4间。</w:t>
            </w:r>
          </w:p>
        </w:tc>
      </w:tr>
      <w:tr w14:paraId="03B76AED">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42DFC3">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6</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9C345E">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第一食堂（一期）</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5CF34C">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AD41439">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0F77C7">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5842</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B63778F">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食堂</w:t>
            </w:r>
          </w:p>
        </w:tc>
      </w:tr>
      <w:tr w14:paraId="2796EAF5">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9A087C">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7</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5AB2B6">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玻璃温室</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8E7031">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19BC4C">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70BF47">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480</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6D01E4">
            <w:pPr>
              <w:spacing w:line="240" w:lineRule="auto"/>
              <w:jc w:val="center"/>
              <w:rPr>
                <w:rFonts w:ascii="仿宋" w:hAnsi="仿宋" w:eastAsia="仿宋" w:cs="宋体"/>
                <w:color w:val="auto"/>
                <w:sz w:val="24"/>
                <w:highlight w:val="none"/>
              </w:rPr>
            </w:pPr>
          </w:p>
        </w:tc>
      </w:tr>
      <w:tr w14:paraId="584432F5">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CB965C">
            <w:pPr>
              <w:widowControl/>
              <w:spacing w:line="240" w:lineRule="auto"/>
              <w:jc w:val="center"/>
              <w:textAlignment w:val="center"/>
              <w:rPr>
                <w:rFonts w:ascii="仿宋" w:hAnsi="仿宋" w:eastAsia="仿宋" w:cs="宋体"/>
                <w:color w:val="auto"/>
                <w:kern w:val="0"/>
                <w:sz w:val="24"/>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E1DE4EA">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建筑面积小计</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eastAsia="zh-CN"/>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44C37B">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EB7B81">
            <w:pPr>
              <w:widowControl/>
              <w:spacing w:line="240" w:lineRule="auto"/>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F193068">
            <w:pPr>
              <w:widowControl/>
              <w:spacing w:line="240" w:lineRule="auto"/>
              <w:ind w:firstLine="486" w:firstLineChars="200"/>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87023</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7A028A">
            <w:pPr>
              <w:spacing w:line="240" w:lineRule="auto"/>
              <w:jc w:val="center"/>
              <w:rPr>
                <w:rFonts w:ascii="仿宋" w:hAnsi="仿宋" w:eastAsia="仿宋" w:cs="宋体"/>
                <w:color w:val="auto"/>
                <w:sz w:val="24"/>
                <w:highlight w:val="none"/>
              </w:rPr>
            </w:pPr>
          </w:p>
        </w:tc>
      </w:tr>
      <w:tr w14:paraId="39956EAA">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0B4366">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18</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AE94B0D">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道路</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A785644">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5E762A">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8501E2">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36000</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B9822C">
            <w:pPr>
              <w:spacing w:line="240" w:lineRule="auto"/>
              <w:jc w:val="center"/>
              <w:rPr>
                <w:rFonts w:ascii="仿宋" w:hAnsi="仿宋" w:eastAsia="仿宋" w:cs="宋体"/>
                <w:color w:val="auto"/>
                <w:sz w:val="24"/>
                <w:highlight w:val="none"/>
              </w:rPr>
            </w:pPr>
          </w:p>
        </w:tc>
      </w:tr>
      <w:tr w14:paraId="0062DC33">
        <w:tblPrEx>
          <w:tblCellMar>
            <w:top w:w="0" w:type="dxa"/>
            <w:left w:w="108" w:type="dxa"/>
            <w:bottom w:w="0" w:type="dxa"/>
            <w:right w:w="108" w:type="dxa"/>
          </w:tblCellMar>
        </w:tblPrEx>
        <w:trPr>
          <w:trHeight w:val="464"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BB02FD">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19</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3067549">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草坪</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571AB8">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060D41">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55FE36">
            <w:pPr>
              <w:widowControl/>
              <w:spacing w:line="240" w:lineRule="auto"/>
              <w:jc w:val="center"/>
              <w:textAlignment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70000</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79F83A">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人工草坪4万平方米，天然草坪3万平方米</w:t>
            </w:r>
          </w:p>
        </w:tc>
      </w:tr>
      <w:tr w14:paraId="3AD18365">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F8B69C">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0</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3D17C12">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景观水体</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3EDFCE7">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4BEE25">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6B7ADB">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15318</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91DA15">
            <w:pPr>
              <w:spacing w:line="240" w:lineRule="auto"/>
              <w:jc w:val="center"/>
              <w:rPr>
                <w:rFonts w:ascii="仿宋" w:hAnsi="仿宋" w:eastAsia="仿宋" w:cs="宋体"/>
                <w:color w:val="auto"/>
                <w:sz w:val="24"/>
                <w:highlight w:val="none"/>
              </w:rPr>
            </w:pPr>
          </w:p>
        </w:tc>
      </w:tr>
      <w:tr w14:paraId="34ED0774">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D13EAD">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1</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A9C834">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森林面积</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E440FB">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325161">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AC5304">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433333</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484B3A">
            <w:pPr>
              <w:spacing w:line="240" w:lineRule="auto"/>
              <w:jc w:val="center"/>
              <w:rPr>
                <w:rFonts w:ascii="仿宋" w:hAnsi="仿宋" w:eastAsia="仿宋" w:cs="宋体"/>
                <w:color w:val="auto"/>
                <w:sz w:val="24"/>
                <w:highlight w:val="none"/>
              </w:rPr>
            </w:pPr>
            <w:r>
              <w:rPr>
                <w:rFonts w:ascii="仿宋" w:hAnsi="仿宋" w:eastAsia="仿宋" w:cs="宋体"/>
                <w:color w:val="auto"/>
                <w:sz w:val="24"/>
                <w:highlight w:val="none"/>
              </w:rPr>
              <w:t>620</w:t>
            </w:r>
            <w:r>
              <w:rPr>
                <w:rFonts w:hint="eastAsia" w:ascii="仿宋" w:hAnsi="仿宋" w:eastAsia="仿宋" w:cs="宋体"/>
                <w:color w:val="auto"/>
                <w:sz w:val="24"/>
                <w:highlight w:val="none"/>
              </w:rPr>
              <w:t>亩</w:t>
            </w:r>
          </w:p>
        </w:tc>
      </w:tr>
      <w:tr w14:paraId="4047AE6E">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75476A">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2</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101F77">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步道</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339300">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991050">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13EA56">
            <w:pPr>
              <w:widowControl/>
              <w:spacing w:line="240" w:lineRule="auto"/>
              <w:jc w:val="center"/>
              <w:textAlignment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4500</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E032AD">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3公里</w:t>
            </w:r>
          </w:p>
        </w:tc>
      </w:tr>
      <w:tr w14:paraId="53562E3D">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1B06D5">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3</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6A2CFC">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广场</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599A0E3">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4A4954">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3B59AE">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6000</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B242CC">
            <w:pPr>
              <w:spacing w:line="240" w:lineRule="auto"/>
              <w:jc w:val="center"/>
              <w:rPr>
                <w:rFonts w:ascii="仿宋" w:hAnsi="仿宋" w:eastAsia="仿宋" w:cs="宋体"/>
                <w:color w:val="auto"/>
                <w:sz w:val="24"/>
                <w:highlight w:val="none"/>
              </w:rPr>
            </w:pPr>
          </w:p>
        </w:tc>
      </w:tr>
      <w:tr w14:paraId="16E1F867">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3F28DDB">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4</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836C82">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停车场</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29DEE6">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524859">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3C9BDA5">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r>
              <w:rPr>
                <w:rFonts w:ascii="仿宋" w:hAnsi="仿宋" w:eastAsia="仿宋" w:cs="宋体"/>
                <w:color w:val="auto"/>
                <w:kern w:val="0"/>
                <w:sz w:val="24"/>
                <w:highlight w:val="none"/>
              </w:rPr>
              <w:t>700</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0B84B0">
            <w:pPr>
              <w:spacing w:line="240" w:lineRule="auto"/>
              <w:jc w:val="center"/>
              <w:rPr>
                <w:rFonts w:ascii="仿宋" w:hAnsi="仿宋" w:eastAsia="仿宋" w:cs="宋体"/>
                <w:color w:val="auto"/>
                <w:sz w:val="24"/>
                <w:highlight w:val="none"/>
              </w:rPr>
            </w:pPr>
          </w:p>
        </w:tc>
      </w:tr>
      <w:tr w14:paraId="164723B7">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E12CF87">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5</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611BF9">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运动场</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F95AAD">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BD0625B">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C764A6">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500</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13A51F">
            <w:pPr>
              <w:spacing w:line="240" w:lineRule="auto"/>
              <w:jc w:val="center"/>
              <w:rPr>
                <w:rFonts w:ascii="仿宋" w:hAnsi="仿宋" w:eastAsia="仿宋" w:cs="宋体"/>
                <w:color w:val="auto"/>
                <w:sz w:val="24"/>
                <w:highlight w:val="none"/>
              </w:rPr>
            </w:pPr>
          </w:p>
        </w:tc>
      </w:tr>
      <w:tr w14:paraId="6428619D">
        <w:tblPrEx>
          <w:tblCellMar>
            <w:top w:w="0" w:type="dxa"/>
            <w:left w:w="108" w:type="dxa"/>
            <w:bottom w:w="0" w:type="dxa"/>
            <w:right w:w="108" w:type="dxa"/>
          </w:tblCellMar>
        </w:tblPrEx>
        <w:trPr>
          <w:trHeight w:val="293" w:hRule="atLeast"/>
        </w:trPr>
        <w:tc>
          <w:tcPr>
            <w:tcW w:w="27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822E4C2">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管理面积小计（㎡）</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55DA0E">
            <w:pPr>
              <w:widowControl/>
              <w:spacing w:line="240" w:lineRule="auto"/>
              <w:jc w:val="center"/>
              <w:textAlignment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647B54">
            <w:pPr>
              <w:spacing w:line="240" w:lineRule="auto"/>
              <w:jc w:val="center"/>
              <w:rPr>
                <w:rFonts w:ascii="仿宋" w:hAnsi="仿宋" w:eastAsia="仿宋" w:cs="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BF5A8F4">
            <w:pPr>
              <w:widowControl/>
              <w:spacing w:line="240" w:lineRule="auto"/>
              <w:jc w:val="center"/>
              <w:textAlignment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572351</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01B9C7">
            <w:pPr>
              <w:spacing w:line="240" w:lineRule="auto"/>
              <w:jc w:val="center"/>
              <w:rPr>
                <w:rFonts w:ascii="仿宋" w:hAnsi="仿宋" w:eastAsia="仿宋" w:cs="宋体"/>
                <w:color w:val="auto"/>
                <w:sz w:val="24"/>
                <w:highlight w:val="none"/>
              </w:rPr>
            </w:pPr>
          </w:p>
        </w:tc>
      </w:tr>
      <w:tr w14:paraId="0A285A30">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BE3DA3">
            <w:pPr>
              <w:widowControl/>
              <w:spacing w:line="240" w:lineRule="auto"/>
              <w:jc w:val="center"/>
              <w:textAlignment w:val="center"/>
              <w:rPr>
                <w:rFonts w:ascii="仿宋" w:hAnsi="仿宋" w:eastAsia="仿宋" w:cs="宋体"/>
                <w:color w:val="auto"/>
                <w:kern w:val="0"/>
                <w:sz w:val="24"/>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77F179">
            <w:pPr>
              <w:widowControl/>
              <w:spacing w:line="240" w:lineRule="auto"/>
              <w:jc w:val="center"/>
              <w:textAlignment w:val="center"/>
              <w:rPr>
                <w:rFonts w:ascii="仿宋" w:hAnsi="仿宋" w:eastAsia="仿宋" w:cs="宋体"/>
                <w:color w:val="auto"/>
                <w:kern w:val="0"/>
                <w:sz w:val="24"/>
                <w:highlight w:val="none"/>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87CD2DF">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F2FBBF">
            <w:pPr>
              <w:widowControl/>
              <w:spacing w:line="240" w:lineRule="auto"/>
              <w:jc w:val="center"/>
              <w:textAlignment w:val="center"/>
              <w:rPr>
                <w:rFonts w:ascii="仿宋" w:hAnsi="仿宋" w:eastAsia="仿宋" w:cs="宋体"/>
                <w:color w:val="auto"/>
                <w:kern w:val="0"/>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56D6B9">
            <w:pPr>
              <w:widowControl/>
              <w:spacing w:line="240" w:lineRule="auto"/>
              <w:jc w:val="center"/>
              <w:textAlignment w:val="center"/>
              <w:rPr>
                <w:rFonts w:ascii="仿宋" w:hAnsi="仿宋" w:eastAsia="仿宋" w:cs="宋体"/>
                <w:color w:val="auto"/>
                <w:kern w:val="0"/>
                <w:sz w:val="24"/>
                <w:highlight w:val="none"/>
              </w:rPr>
            </w:pP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59D4E2">
            <w:pPr>
              <w:spacing w:line="240" w:lineRule="auto"/>
              <w:jc w:val="center"/>
              <w:rPr>
                <w:rFonts w:ascii="仿宋" w:hAnsi="仿宋" w:eastAsia="仿宋" w:cs="宋体"/>
                <w:color w:val="auto"/>
                <w:sz w:val="24"/>
                <w:highlight w:val="none"/>
              </w:rPr>
            </w:pPr>
          </w:p>
        </w:tc>
      </w:tr>
      <w:tr w14:paraId="27C43605">
        <w:tblPrEx>
          <w:tblCellMar>
            <w:top w:w="0" w:type="dxa"/>
            <w:left w:w="108" w:type="dxa"/>
            <w:bottom w:w="0" w:type="dxa"/>
            <w:right w:w="108" w:type="dxa"/>
          </w:tblCellMar>
        </w:tblPrEx>
        <w:trPr>
          <w:trHeight w:val="293" w:hRule="atLeast"/>
        </w:trPr>
        <w:tc>
          <w:tcPr>
            <w:tcW w:w="10830"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7C8575">
            <w:pPr>
              <w:spacing w:line="240" w:lineRule="auto"/>
              <w:jc w:val="left"/>
              <w:rPr>
                <w:rFonts w:ascii="仿宋" w:hAnsi="仿宋" w:eastAsia="仿宋" w:cs="宋体"/>
                <w:color w:val="auto"/>
                <w:sz w:val="24"/>
                <w:highlight w:val="none"/>
              </w:rPr>
            </w:pPr>
            <w:r>
              <w:rPr>
                <w:rFonts w:hint="eastAsia" w:ascii="仿宋" w:hAnsi="仿宋" w:eastAsia="仿宋" w:cs="宋体"/>
                <w:b/>
                <w:color w:val="auto"/>
                <w:kern w:val="0"/>
                <w:sz w:val="24"/>
                <w:highlight w:val="none"/>
              </w:rPr>
              <w:t>二、</w:t>
            </w:r>
            <w:r>
              <w:rPr>
                <w:rFonts w:hint="eastAsia" w:ascii="仿宋" w:hAnsi="仿宋" w:eastAsia="仿宋" w:cs="宋体"/>
                <w:color w:val="auto"/>
                <w:sz w:val="24"/>
                <w:highlight w:val="none"/>
              </w:rPr>
              <w:t>花溪区桐木岭校区（二期）</w:t>
            </w:r>
          </w:p>
        </w:tc>
      </w:tr>
      <w:tr w14:paraId="022D8813">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768F48">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6</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79BAFD">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教学科研楼</w:t>
            </w:r>
          </w:p>
        </w:tc>
        <w:tc>
          <w:tcPr>
            <w:tcW w:w="12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3B2012">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364CE3">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1419"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61122EA8">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sz w:val="24"/>
                <w:highlight w:val="none"/>
              </w:rPr>
              <w:t>57625.59</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E74BC88">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设计有多功能教室12间，会议及研讨室22间，包括教师进修室、休息室、阅览室、应急培训室及收发档案室等各类功能用房27间，以及各类办公室95间。</w:t>
            </w:r>
          </w:p>
        </w:tc>
      </w:tr>
      <w:tr w14:paraId="5874CB06">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E43366">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7</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23808B">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报告厅一间</w:t>
            </w:r>
          </w:p>
        </w:tc>
        <w:tc>
          <w:tcPr>
            <w:tcW w:w="12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48D8DF">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C67A1A">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1419" w:type="dxa"/>
            <w:vMerge w:val="continue"/>
            <w:tcBorders>
              <w:left w:val="single" w:color="000000" w:sz="4" w:space="0"/>
              <w:right w:val="single" w:color="000000" w:sz="4" w:space="0"/>
            </w:tcBorders>
            <w:tcMar>
              <w:top w:w="15" w:type="dxa"/>
              <w:left w:w="15" w:type="dxa"/>
              <w:bottom w:w="15" w:type="dxa"/>
              <w:right w:w="15" w:type="dxa"/>
            </w:tcMar>
            <w:vAlign w:val="center"/>
          </w:tcPr>
          <w:p w14:paraId="2090AF8A">
            <w:pPr>
              <w:widowControl/>
              <w:spacing w:line="240" w:lineRule="auto"/>
              <w:jc w:val="center"/>
              <w:textAlignment w:val="center"/>
              <w:rPr>
                <w:rFonts w:ascii="仿宋" w:hAnsi="仿宋" w:eastAsia="仿宋" w:cs="宋体"/>
                <w:color w:val="auto"/>
                <w:kern w:val="0"/>
                <w:sz w:val="24"/>
                <w:highlight w:val="none"/>
              </w:rPr>
            </w:pP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BE791D">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紧邻教学科研楼右侧（原印刷厂位置），可满足同时1000人的会议及培训需求。</w:t>
            </w:r>
          </w:p>
        </w:tc>
      </w:tr>
      <w:tr w14:paraId="0F383895">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62A5DC">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28</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0617AA">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第二教学楼</w:t>
            </w:r>
          </w:p>
        </w:tc>
        <w:tc>
          <w:tcPr>
            <w:tcW w:w="12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6D1B29">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3D27AE">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419" w:type="dxa"/>
            <w:vMerge w:val="continue"/>
            <w:tcBorders>
              <w:left w:val="single" w:color="000000" w:sz="4" w:space="0"/>
              <w:right w:val="single" w:color="000000" w:sz="4" w:space="0"/>
            </w:tcBorders>
            <w:tcMar>
              <w:top w:w="15" w:type="dxa"/>
              <w:left w:w="15" w:type="dxa"/>
              <w:bottom w:w="15" w:type="dxa"/>
              <w:right w:w="15" w:type="dxa"/>
            </w:tcMar>
            <w:vAlign w:val="center"/>
          </w:tcPr>
          <w:p w14:paraId="5A20A661">
            <w:pPr>
              <w:widowControl/>
              <w:spacing w:line="240" w:lineRule="auto"/>
              <w:jc w:val="center"/>
              <w:textAlignment w:val="center"/>
              <w:rPr>
                <w:rFonts w:ascii="仿宋" w:hAnsi="仿宋" w:eastAsia="仿宋" w:cs="宋体"/>
                <w:color w:val="auto"/>
                <w:kern w:val="0"/>
                <w:sz w:val="24"/>
                <w:highlight w:val="none"/>
              </w:rPr>
            </w:pP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A361D0">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位于现图书馆西侧，由16间50人教室、5间80人教室、2间80人特色教室、2间120人多功能教室、3间200人教室及9间30至40人讨论室组成，可同时容纳2160人学习使用。</w:t>
            </w:r>
          </w:p>
        </w:tc>
      </w:tr>
      <w:tr w14:paraId="0E7C5EDF">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EE9ECF">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29</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C26F72">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人才公寓</w:t>
            </w:r>
          </w:p>
        </w:tc>
        <w:tc>
          <w:tcPr>
            <w:tcW w:w="12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DE9948">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71649E">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w:t>
            </w:r>
          </w:p>
        </w:tc>
        <w:tc>
          <w:tcPr>
            <w:tcW w:w="1419" w:type="dxa"/>
            <w:vMerge w:val="continue"/>
            <w:tcBorders>
              <w:left w:val="single" w:color="000000" w:sz="4" w:space="0"/>
              <w:right w:val="single" w:color="000000" w:sz="4" w:space="0"/>
            </w:tcBorders>
            <w:tcMar>
              <w:top w:w="15" w:type="dxa"/>
              <w:left w:w="15" w:type="dxa"/>
              <w:bottom w:w="15" w:type="dxa"/>
              <w:right w:w="15" w:type="dxa"/>
            </w:tcMar>
            <w:vAlign w:val="center"/>
          </w:tcPr>
          <w:p w14:paraId="4421BAAB">
            <w:pPr>
              <w:widowControl/>
              <w:spacing w:line="240" w:lineRule="auto"/>
              <w:jc w:val="center"/>
              <w:textAlignment w:val="center"/>
              <w:rPr>
                <w:rFonts w:ascii="仿宋" w:hAnsi="仿宋" w:eastAsia="仿宋" w:cs="宋体"/>
                <w:color w:val="auto"/>
                <w:kern w:val="0"/>
                <w:sz w:val="24"/>
                <w:highlight w:val="none"/>
              </w:rPr>
            </w:pP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A73FCA">
            <w:pPr>
              <w:spacing w:line="240" w:lineRule="auto"/>
              <w:jc w:val="center"/>
              <w:rPr>
                <w:rFonts w:ascii="仿宋" w:hAnsi="仿宋" w:eastAsia="仿宋" w:cs="宋体"/>
                <w:color w:val="auto"/>
                <w:sz w:val="24"/>
                <w:highlight w:val="none"/>
              </w:rPr>
            </w:pPr>
          </w:p>
        </w:tc>
      </w:tr>
      <w:tr w14:paraId="52CF8ECE">
        <w:tblPrEx>
          <w:tblCellMar>
            <w:top w:w="0" w:type="dxa"/>
            <w:left w:w="108" w:type="dxa"/>
            <w:bottom w:w="0" w:type="dxa"/>
            <w:right w:w="108" w:type="dxa"/>
          </w:tblCellMar>
        </w:tblPrEx>
        <w:trPr>
          <w:trHeight w:val="418"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EA908DE">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30</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257DE6">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医疗服务中心</w:t>
            </w:r>
          </w:p>
        </w:tc>
        <w:tc>
          <w:tcPr>
            <w:tcW w:w="12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150D1D">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6BAF58">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1419"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60F524FC">
            <w:pPr>
              <w:widowControl/>
              <w:spacing w:line="240" w:lineRule="auto"/>
              <w:jc w:val="center"/>
              <w:textAlignment w:val="center"/>
              <w:rPr>
                <w:rFonts w:ascii="仿宋" w:hAnsi="仿宋" w:eastAsia="仿宋" w:cs="宋体"/>
                <w:color w:val="auto"/>
                <w:kern w:val="0"/>
                <w:sz w:val="24"/>
                <w:highlight w:val="none"/>
              </w:rPr>
            </w:pP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4E3928">
            <w:pPr>
              <w:spacing w:line="240" w:lineRule="auto"/>
              <w:jc w:val="center"/>
              <w:rPr>
                <w:rFonts w:ascii="仿宋" w:hAnsi="仿宋" w:eastAsia="仿宋" w:cs="宋体"/>
                <w:color w:val="auto"/>
                <w:sz w:val="24"/>
                <w:highlight w:val="none"/>
              </w:rPr>
            </w:pPr>
          </w:p>
        </w:tc>
      </w:tr>
      <w:tr w14:paraId="4E472C79">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A0A811D">
            <w:pPr>
              <w:widowControl/>
              <w:spacing w:line="240" w:lineRule="auto"/>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3</w:t>
            </w:r>
            <w:r>
              <w:rPr>
                <w:rFonts w:hint="eastAsia" w:ascii="仿宋" w:hAnsi="仿宋" w:eastAsia="仿宋" w:cs="宋体"/>
                <w:color w:val="auto"/>
                <w:kern w:val="0"/>
                <w:sz w:val="24"/>
                <w:highlight w:val="none"/>
                <w:lang w:val="en-US" w:eastAsia="zh-CN"/>
              </w:rPr>
              <w:t>1</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81D85D0">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巡防休闲步道</w:t>
            </w:r>
          </w:p>
        </w:tc>
        <w:tc>
          <w:tcPr>
            <w:tcW w:w="12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EA2E30">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A5E9F1">
            <w:pPr>
              <w:widowControl/>
              <w:spacing w:line="240" w:lineRule="auto"/>
              <w:jc w:val="center"/>
              <w:textAlignment w:val="center"/>
              <w:rPr>
                <w:rFonts w:ascii="仿宋" w:hAnsi="仿宋" w:eastAsia="仿宋" w:cs="宋体"/>
                <w:color w:val="auto"/>
                <w:kern w:val="0"/>
                <w:sz w:val="24"/>
                <w:highlight w:val="none"/>
              </w:rPr>
            </w:pPr>
          </w:p>
        </w:tc>
        <w:tc>
          <w:tcPr>
            <w:tcW w:w="1419"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2B655FCC">
            <w:pPr>
              <w:widowControl/>
              <w:spacing w:line="240" w:lineRule="auto"/>
              <w:jc w:val="center"/>
              <w:textAlignment w:val="center"/>
              <w:rPr>
                <w:rFonts w:ascii="仿宋" w:hAnsi="仿宋" w:eastAsia="仿宋" w:cs="宋体"/>
                <w:color w:val="auto"/>
                <w:kern w:val="0"/>
                <w:sz w:val="24"/>
                <w:highlight w:val="none"/>
              </w:rPr>
            </w:pP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5F2DB3">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6.3</w:t>
            </w:r>
            <w:r>
              <w:rPr>
                <w:rFonts w:hint="eastAsia" w:ascii="仿宋" w:hAnsi="仿宋" w:eastAsia="仿宋" w:cs="宋体"/>
                <w:color w:val="auto"/>
                <w:sz w:val="24"/>
                <w:highlight w:val="none"/>
              </w:rPr>
              <w:t>公里</w:t>
            </w:r>
          </w:p>
        </w:tc>
      </w:tr>
      <w:tr w14:paraId="2326A0FF">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07B042">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32</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9E2AC0">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绿化</w:t>
            </w:r>
          </w:p>
        </w:tc>
        <w:tc>
          <w:tcPr>
            <w:tcW w:w="12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360D94">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2DF9B2">
            <w:pPr>
              <w:widowControl/>
              <w:spacing w:line="240" w:lineRule="auto"/>
              <w:jc w:val="center"/>
              <w:textAlignment w:val="center"/>
              <w:rPr>
                <w:rFonts w:ascii="仿宋" w:hAnsi="仿宋" w:eastAsia="仿宋" w:cs="宋体"/>
                <w:color w:val="auto"/>
                <w:kern w:val="0"/>
                <w:sz w:val="24"/>
                <w:highlight w:val="none"/>
              </w:rPr>
            </w:pPr>
            <w:bookmarkStart w:id="21" w:name="_GoBack"/>
            <w:bookmarkEnd w:id="21"/>
          </w:p>
        </w:tc>
        <w:tc>
          <w:tcPr>
            <w:tcW w:w="1419"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15B5B54B">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41500</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CE64E8">
            <w:pPr>
              <w:widowControl/>
              <w:spacing w:line="24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三思湖、校大门右侧绿化约21500㎡、步道1.3公里以及即将建设的五个单体周边的生态绿化、环境管护约20000㎡，</w:t>
            </w:r>
          </w:p>
        </w:tc>
      </w:tr>
      <w:tr w14:paraId="47D50FFA">
        <w:tblPrEx>
          <w:tblCellMar>
            <w:top w:w="0" w:type="dxa"/>
            <w:left w:w="108" w:type="dxa"/>
            <w:bottom w:w="0" w:type="dxa"/>
            <w:right w:w="108" w:type="dxa"/>
          </w:tblCellMar>
        </w:tblPrEx>
        <w:trPr>
          <w:trHeight w:val="293" w:hRule="atLeast"/>
        </w:trPr>
        <w:tc>
          <w:tcPr>
            <w:tcW w:w="8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94122B">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33</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51DA7C">
            <w:pPr>
              <w:widowControl/>
              <w:spacing w:line="240" w:lineRule="auto"/>
              <w:jc w:val="center"/>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贵阳市花溪区南部污水处理厂尾水人工湿地水质净化工程</w:t>
            </w:r>
          </w:p>
        </w:tc>
        <w:tc>
          <w:tcPr>
            <w:tcW w:w="12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DB1C89">
            <w:pPr>
              <w:spacing w:line="240" w:lineRule="auto"/>
              <w:jc w:val="center"/>
              <w:rPr>
                <w:rFonts w:ascii="仿宋" w:hAnsi="仿宋" w:eastAsia="仿宋" w:cs="宋体"/>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F7DF4F">
            <w:pPr>
              <w:widowControl/>
              <w:spacing w:line="240" w:lineRule="auto"/>
              <w:jc w:val="center"/>
              <w:textAlignment w:val="center"/>
              <w:rPr>
                <w:rFonts w:ascii="仿宋" w:hAnsi="仿宋" w:eastAsia="仿宋" w:cs="宋体"/>
                <w:color w:val="auto"/>
                <w:kern w:val="0"/>
                <w:sz w:val="24"/>
                <w:highlight w:val="none"/>
              </w:rPr>
            </w:pPr>
          </w:p>
        </w:tc>
        <w:tc>
          <w:tcPr>
            <w:tcW w:w="1419"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6F7D4C36">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20000.00</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62E1CE">
            <w:pPr>
              <w:widowControl/>
              <w:spacing w:line="240" w:lineRule="auto"/>
              <w:jc w:val="center"/>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贵阳市花溪区南部污水处理厂尾水人工湿地水质净化工程，稳定塘7960㎡，人工湿地20000㎡</w:t>
            </w:r>
            <w:r>
              <w:rPr>
                <w:rFonts w:hint="eastAsia" w:ascii="仿宋" w:hAnsi="仿宋" w:eastAsia="仿宋" w:cs="宋体"/>
                <w:color w:val="auto"/>
                <w:kern w:val="0"/>
                <w:sz w:val="24"/>
                <w:highlight w:val="none"/>
                <w:lang w:eastAsia="zh-CN"/>
              </w:rPr>
              <w:t>。</w:t>
            </w:r>
          </w:p>
        </w:tc>
      </w:tr>
      <w:tr w14:paraId="561C19D7">
        <w:tblPrEx>
          <w:tblCellMar>
            <w:top w:w="0" w:type="dxa"/>
            <w:left w:w="108" w:type="dxa"/>
            <w:bottom w:w="0" w:type="dxa"/>
            <w:right w:w="108" w:type="dxa"/>
          </w:tblCellMar>
        </w:tblPrEx>
        <w:trPr>
          <w:trHeight w:val="293" w:hRule="atLeast"/>
        </w:trPr>
        <w:tc>
          <w:tcPr>
            <w:tcW w:w="26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8FE54B">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管理面积小计（㎡）</w:t>
            </w:r>
          </w:p>
        </w:tc>
        <w:tc>
          <w:tcPr>
            <w:tcW w:w="12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84C0CC">
            <w:pPr>
              <w:spacing w:line="240" w:lineRule="auto"/>
              <w:jc w:val="center"/>
              <w:rPr>
                <w:rFonts w:ascii="仿宋" w:hAnsi="仿宋" w:eastAsia="仿宋" w:cs="宋体"/>
                <w:color w:val="auto"/>
                <w:kern w:val="0"/>
                <w:sz w:val="24"/>
                <w:highlight w:val="none"/>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7C01AE">
            <w:pPr>
              <w:widowControl/>
              <w:spacing w:line="240" w:lineRule="auto"/>
              <w:jc w:val="center"/>
              <w:textAlignment w:val="center"/>
              <w:rPr>
                <w:rFonts w:ascii="仿宋" w:hAnsi="仿宋" w:eastAsia="仿宋" w:cs="宋体"/>
                <w:color w:val="auto"/>
                <w:kern w:val="0"/>
                <w:sz w:val="24"/>
                <w:highlight w:val="none"/>
              </w:rPr>
            </w:pPr>
          </w:p>
        </w:tc>
        <w:tc>
          <w:tcPr>
            <w:tcW w:w="1419"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60EB9AC4">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11</w:t>
            </w:r>
            <w:r>
              <w:rPr>
                <w:rFonts w:hint="eastAsia" w:ascii="仿宋" w:hAnsi="仿宋" w:eastAsia="仿宋" w:cs="宋体"/>
                <w:color w:val="auto"/>
                <w:kern w:val="0"/>
                <w:sz w:val="24"/>
                <w:highlight w:val="none"/>
                <w:lang w:val="en-US" w:eastAsia="zh-CN"/>
              </w:rPr>
              <w:t>9125.59</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D145D9">
            <w:pPr>
              <w:spacing w:line="240" w:lineRule="auto"/>
              <w:jc w:val="center"/>
              <w:rPr>
                <w:rFonts w:ascii="仿宋" w:hAnsi="仿宋" w:eastAsia="仿宋" w:cs="宋体"/>
                <w:color w:val="auto"/>
                <w:kern w:val="0"/>
                <w:sz w:val="24"/>
                <w:highlight w:val="none"/>
              </w:rPr>
            </w:pPr>
          </w:p>
        </w:tc>
      </w:tr>
      <w:tr w14:paraId="47F87439">
        <w:tblPrEx>
          <w:tblCellMar>
            <w:top w:w="0" w:type="dxa"/>
            <w:left w:w="108" w:type="dxa"/>
            <w:bottom w:w="0" w:type="dxa"/>
            <w:right w:w="108" w:type="dxa"/>
          </w:tblCellMar>
        </w:tblPrEx>
        <w:trPr>
          <w:trHeight w:val="301" w:hRule="atLeast"/>
        </w:trPr>
        <w:tc>
          <w:tcPr>
            <w:tcW w:w="27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4CF08F">
            <w:pPr>
              <w:widowControl/>
              <w:spacing w:line="240" w:lineRule="auto"/>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管理面积合计（㎡）</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6F9ECF">
            <w:pPr>
              <w:widowControl/>
              <w:spacing w:line="240" w:lineRule="auto"/>
              <w:jc w:val="center"/>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43</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AF36AF">
            <w:pPr>
              <w:spacing w:line="240" w:lineRule="auto"/>
              <w:jc w:val="center"/>
              <w:rPr>
                <w:rFonts w:ascii="仿宋" w:hAnsi="仿宋" w:eastAsia="仿宋" w:cs="宋体"/>
                <w:color w:val="auto"/>
                <w:sz w:val="24"/>
                <w:highlight w:val="none"/>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5220E0">
            <w:pPr>
              <w:widowControl/>
              <w:spacing w:line="240" w:lineRule="auto"/>
              <w:jc w:val="center"/>
              <w:textAlignment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778499.56</w:t>
            </w:r>
          </w:p>
        </w:tc>
        <w:tc>
          <w:tcPr>
            <w:tcW w:w="44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FED7B05">
            <w:pPr>
              <w:spacing w:line="240" w:lineRule="auto"/>
              <w:jc w:val="center"/>
              <w:rPr>
                <w:rFonts w:ascii="仿宋" w:hAnsi="仿宋" w:eastAsia="仿宋" w:cs="宋体"/>
                <w:color w:val="auto"/>
                <w:sz w:val="24"/>
                <w:highlight w:val="none"/>
              </w:rPr>
            </w:pPr>
          </w:p>
        </w:tc>
      </w:tr>
    </w:tbl>
    <w:p w14:paraId="5BA7649B">
      <w:pPr>
        <w:rPr>
          <w:rFonts w:ascii="宋体" w:hAnsi="宋体" w:cs="宋体"/>
          <w:b/>
          <w:color w:val="auto"/>
          <w:sz w:val="24"/>
          <w:highlight w:val="none"/>
        </w:rPr>
      </w:pPr>
      <w:r>
        <w:rPr>
          <w:rFonts w:hint="eastAsia" w:ascii="宋体" w:hAnsi="宋体" w:cs="宋体"/>
          <w:b/>
          <w:color w:val="auto"/>
          <w:sz w:val="24"/>
          <w:highlight w:val="none"/>
        </w:rPr>
        <w:t>三、项目服务内容</w:t>
      </w:r>
    </w:p>
    <w:p w14:paraId="526FF248">
      <w:pPr>
        <w:spacing w:line="360" w:lineRule="auto"/>
        <w:ind w:firstLine="480"/>
        <w:rPr>
          <w:rFonts w:hint="eastAsia" w:ascii="Calibri" w:hAnsi="Calibri" w:eastAsia="宋体" w:cs="黑体"/>
          <w:color w:val="auto"/>
          <w:kern w:val="2"/>
          <w:sz w:val="24"/>
          <w:szCs w:val="24"/>
          <w:highlight w:val="none"/>
          <w:lang w:val="en-US" w:eastAsia="zh-CN" w:bidi="ar-SA"/>
        </w:rPr>
      </w:pPr>
      <w:r>
        <w:rPr>
          <w:rFonts w:hint="eastAsia" w:ascii="Calibri" w:hAnsi="Calibri" w:eastAsia="宋体" w:cs="黑体"/>
          <w:color w:val="auto"/>
          <w:kern w:val="2"/>
          <w:sz w:val="24"/>
          <w:szCs w:val="24"/>
          <w:highlight w:val="none"/>
          <w:lang w:val="en-US" w:eastAsia="zh-CN" w:bidi="ar-SA"/>
        </w:rPr>
        <w:t>服务内容：</w:t>
      </w:r>
    </w:p>
    <w:p w14:paraId="325988BC">
      <w:pPr>
        <w:spacing w:line="360" w:lineRule="auto"/>
        <w:ind w:firstLine="480"/>
        <w:rPr>
          <w:rFonts w:hint="eastAsia" w:ascii="Calibri" w:hAnsi="Calibri" w:eastAsia="宋体" w:cs="黑体"/>
          <w:color w:val="auto"/>
          <w:kern w:val="2"/>
          <w:sz w:val="24"/>
          <w:szCs w:val="24"/>
          <w:highlight w:val="none"/>
          <w:lang w:val="en-US" w:eastAsia="zh-CN" w:bidi="ar-SA"/>
        </w:rPr>
      </w:pPr>
      <w:r>
        <w:rPr>
          <w:rFonts w:hint="eastAsia" w:ascii="Calibri" w:hAnsi="Calibri" w:eastAsia="宋体" w:cs="黑体"/>
          <w:color w:val="auto"/>
          <w:kern w:val="2"/>
          <w:sz w:val="24"/>
          <w:szCs w:val="24"/>
          <w:highlight w:val="none"/>
          <w:lang w:val="en-US" w:eastAsia="zh-CN" w:bidi="ar-SA"/>
        </w:rPr>
        <w:t>1、综合服务：服务团队管理、客户服务、搬运服务（提供校内搬运物资、设备、办公家具等服务）、车辆保障服务（提供车场值班及车队驾驶员服务）。</w:t>
      </w:r>
    </w:p>
    <w:p w14:paraId="1B0A26BA">
      <w:pPr>
        <w:spacing w:line="360" w:lineRule="auto"/>
        <w:ind w:firstLine="480"/>
        <w:rPr>
          <w:rFonts w:hint="eastAsia" w:ascii="Calibri" w:hAnsi="Calibri" w:eastAsia="宋体" w:cs="黑体"/>
          <w:color w:val="auto"/>
          <w:kern w:val="2"/>
          <w:sz w:val="24"/>
          <w:szCs w:val="24"/>
          <w:highlight w:val="none"/>
          <w:lang w:val="en-US" w:eastAsia="zh-CN" w:bidi="ar-SA"/>
        </w:rPr>
      </w:pPr>
      <w:r>
        <w:rPr>
          <w:rFonts w:hint="eastAsia" w:ascii="Calibri" w:hAnsi="Calibri" w:eastAsia="宋体" w:cs="黑体"/>
          <w:color w:val="auto"/>
          <w:kern w:val="2"/>
          <w:sz w:val="24"/>
          <w:szCs w:val="24"/>
          <w:highlight w:val="none"/>
          <w:lang w:val="en-US" w:eastAsia="zh-CN" w:bidi="ar-SA"/>
        </w:rPr>
        <w:t>2、会议服务：会前、会中、会后服务。为全校区的各类会议室、教室、报告厅、健身房、讨论室等场所提供会务服务，如教室使用安排、教室室内布局、教室热水服务、教室多媒体使用管理、教室清洁等相关服务。</w:t>
      </w:r>
    </w:p>
    <w:p w14:paraId="4BC0F954">
      <w:pPr>
        <w:spacing w:line="360" w:lineRule="auto"/>
        <w:ind w:firstLine="480"/>
        <w:rPr>
          <w:rFonts w:hint="eastAsia" w:ascii="Calibri" w:hAnsi="Calibri" w:eastAsia="宋体" w:cs="黑体"/>
          <w:color w:val="auto"/>
          <w:kern w:val="2"/>
          <w:sz w:val="24"/>
          <w:szCs w:val="24"/>
          <w:highlight w:val="none"/>
          <w:lang w:val="en-US" w:eastAsia="zh-CN" w:bidi="ar-SA"/>
        </w:rPr>
      </w:pPr>
      <w:r>
        <w:rPr>
          <w:rFonts w:hint="eastAsia" w:ascii="Calibri" w:hAnsi="Calibri" w:eastAsia="宋体" w:cs="黑体"/>
          <w:color w:val="auto"/>
          <w:kern w:val="2"/>
          <w:sz w:val="24"/>
          <w:szCs w:val="24"/>
          <w:highlight w:val="none"/>
          <w:lang w:val="en-US" w:eastAsia="zh-CN" w:bidi="ar-SA"/>
        </w:rPr>
        <w:t>3、工程服务：包含公共设施设备的运行管理服务、会议及教学设备保障服务、电梯运行维保服务、水零星维修（不含专项材料费）、多媒体设备管理维护及信息系统的维保服务，数字校园广播、LED屏、电影播放、视频播放等相关服务；校内房屋本体及相关构筑物、机电设施设备维护、维修等。</w:t>
      </w:r>
    </w:p>
    <w:p w14:paraId="64970701">
      <w:pPr>
        <w:spacing w:line="360" w:lineRule="auto"/>
        <w:ind w:firstLine="480"/>
        <w:rPr>
          <w:rFonts w:hint="eastAsia" w:ascii="Calibri" w:hAnsi="Calibri" w:eastAsia="宋体" w:cs="黑体"/>
          <w:color w:val="auto"/>
          <w:kern w:val="2"/>
          <w:sz w:val="24"/>
          <w:szCs w:val="24"/>
          <w:highlight w:val="none"/>
          <w:lang w:val="en-US" w:eastAsia="zh-CN" w:bidi="ar-SA"/>
        </w:rPr>
      </w:pPr>
      <w:r>
        <w:rPr>
          <w:rFonts w:hint="eastAsia" w:ascii="Calibri" w:hAnsi="Calibri" w:eastAsia="宋体" w:cs="黑体"/>
          <w:color w:val="auto"/>
          <w:kern w:val="2"/>
          <w:sz w:val="24"/>
          <w:szCs w:val="24"/>
          <w:highlight w:val="none"/>
          <w:lang w:val="en-US" w:eastAsia="zh-CN" w:bidi="ar-SA"/>
        </w:rPr>
        <w:t>4、保洁服务：公共区域的保洁，包含外保洁（道路、停车场、广场、绿地、屋顶等公共区域）和内保洁（教室、讨论室、会议室以及办公楼，教学等公共区域的保洁服务）。</w:t>
      </w:r>
    </w:p>
    <w:p w14:paraId="6B07C0E1">
      <w:pPr>
        <w:spacing w:line="360" w:lineRule="auto"/>
        <w:ind w:firstLine="480"/>
        <w:rPr>
          <w:rFonts w:hint="eastAsia" w:ascii="Calibri" w:hAnsi="Calibri" w:eastAsia="宋体" w:cs="黑体"/>
          <w:color w:val="auto"/>
          <w:kern w:val="2"/>
          <w:sz w:val="24"/>
          <w:szCs w:val="24"/>
          <w:highlight w:val="none"/>
          <w:lang w:val="en-US" w:eastAsia="zh-CN" w:bidi="ar-SA"/>
        </w:rPr>
      </w:pPr>
      <w:r>
        <w:rPr>
          <w:rFonts w:hint="eastAsia" w:ascii="Calibri" w:hAnsi="Calibri" w:eastAsia="宋体" w:cs="黑体"/>
          <w:color w:val="auto"/>
          <w:kern w:val="2"/>
          <w:sz w:val="24"/>
          <w:szCs w:val="24"/>
          <w:highlight w:val="none"/>
          <w:lang w:val="en-US" w:eastAsia="zh-CN" w:bidi="ar-SA"/>
        </w:rPr>
        <w:t>5、客房服务：学员的接待入住、客房的清理、整理、布草更换、洗涤、客房设施、设备的维修、维护。</w:t>
      </w:r>
    </w:p>
    <w:p w14:paraId="537F332F">
      <w:pPr>
        <w:spacing w:line="360" w:lineRule="auto"/>
        <w:ind w:firstLine="480"/>
        <w:rPr>
          <w:rFonts w:hint="eastAsia" w:ascii="Calibri" w:hAnsi="Calibri" w:eastAsia="宋体" w:cs="黑体"/>
          <w:color w:val="auto"/>
          <w:kern w:val="2"/>
          <w:sz w:val="24"/>
          <w:szCs w:val="24"/>
          <w:highlight w:val="none"/>
          <w:lang w:val="en-US" w:eastAsia="zh-CN" w:bidi="ar-SA"/>
        </w:rPr>
      </w:pPr>
      <w:r>
        <w:rPr>
          <w:rFonts w:hint="eastAsia" w:ascii="Calibri" w:hAnsi="Calibri" w:eastAsia="宋体" w:cs="黑体"/>
          <w:color w:val="auto"/>
          <w:kern w:val="2"/>
          <w:sz w:val="24"/>
          <w:szCs w:val="24"/>
          <w:highlight w:val="none"/>
          <w:lang w:val="en-US" w:eastAsia="zh-CN" w:bidi="ar-SA"/>
        </w:rPr>
        <w:t>6、安保服务：含护林防火、校园安全管理服务及楼宇、监控值班、校园巡逻服务（24小时上班制）、校园停车引导服务。</w:t>
      </w:r>
    </w:p>
    <w:p w14:paraId="4C16D5C0">
      <w:pPr>
        <w:spacing w:line="360" w:lineRule="auto"/>
        <w:ind w:firstLine="480"/>
        <w:rPr>
          <w:rFonts w:ascii="宋体" w:hAnsi="宋体" w:cs="宋体"/>
          <w:color w:val="auto"/>
          <w:sz w:val="24"/>
          <w:highlight w:val="none"/>
        </w:rPr>
      </w:pPr>
      <w:r>
        <w:rPr>
          <w:rFonts w:hint="eastAsia" w:ascii="Calibri" w:hAnsi="Calibri" w:eastAsia="宋体" w:cs="黑体"/>
          <w:color w:val="auto"/>
          <w:kern w:val="2"/>
          <w:sz w:val="24"/>
          <w:szCs w:val="24"/>
          <w:highlight w:val="none"/>
          <w:lang w:val="en-US" w:eastAsia="zh-CN" w:bidi="ar-SA"/>
        </w:rPr>
        <w:t>7、生态环境养护：校园绿地的养护含草坪、绿篱、水体、温室、园林设备、环境设施设备、垃圾清运的管理服务。</w:t>
      </w:r>
    </w:p>
    <w:p w14:paraId="051EEA93">
      <w:pPr>
        <w:spacing w:line="360" w:lineRule="auto"/>
        <w:rPr>
          <w:rFonts w:ascii="宋体" w:hAnsi="宋体" w:cs="宋体"/>
          <w:b/>
          <w:color w:val="auto"/>
          <w:sz w:val="24"/>
          <w:highlight w:val="none"/>
        </w:rPr>
      </w:pPr>
      <w:r>
        <w:rPr>
          <w:rFonts w:hint="eastAsia" w:ascii="宋体" w:hAnsi="宋体" w:cs="宋体"/>
          <w:b/>
          <w:color w:val="auto"/>
          <w:sz w:val="24"/>
          <w:highlight w:val="none"/>
        </w:rPr>
        <w:t>四：机构设置及人员配置要求</w:t>
      </w:r>
    </w:p>
    <w:p w14:paraId="134D6349">
      <w:pPr>
        <w:spacing w:line="360" w:lineRule="auto"/>
        <w:rPr>
          <w:rFonts w:hint="eastAsia" w:ascii="宋体" w:hAnsi="宋体"/>
          <w:color w:val="auto"/>
          <w:sz w:val="24"/>
          <w:highlight w:val="none"/>
        </w:rPr>
      </w:pPr>
      <w:r>
        <w:rPr>
          <w:rFonts w:hint="eastAsia" w:ascii="宋体" w:hAnsi="宋体"/>
          <w:color w:val="auto"/>
          <w:sz w:val="24"/>
          <w:highlight w:val="none"/>
        </w:rPr>
        <w:t>结合本项目实际情况，</w:t>
      </w:r>
      <w:r>
        <w:rPr>
          <w:rFonts w:hint="eastAsia" w:ascii="宋体" w:hAnsi="宋体" w:cs="宋体"/>
          <w:color w:val="auto"/>
          <w:sz w:val="24"/>
          <w:highlight w:val="none"/>
        </w:rPr>
        <w:t>中共贵州</w:t>
      </w:r>
      <w:r>
        <w:rPr>
          <w:rFonts w:hint="eastAsia" w:ascii="宋体" w:hAnsi="宋体"/>
          <w:color w:val="auto"/>
          <w:sz w:val="24"/>
          <w:highlight w:val="none"/>
        </w:rPr>
        <w:t>省委党校后勤服务外包服务人员配置要求如下：</w:t>
      </w:r>
    </w:p>
    <w:tbl>
      <w:tblPr>
        <w:tblStyle w:val="20"/>
        <w:tblW w:w="10207"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076"/>
        <w:gridCol w:w="1417"/>
        <w:gridCol w:w="5812"/>
      </w:tblGrid>
      <w:tr w14:paraId="791D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207" w:type="dxa"/>
            <w:gridSpan w:val="4"/>
            <w:shd w:val="clear" w:color="auto" w:fill="auto"/>
            <w:vAlign w:val="center"/>
          </w:tcPr>
          <w:p w14:paraId="4463AB1D">
            <w:pPr>
              <w:spacing w:line="240" w:lineRule="auto"/>
              <w:ind w:firstLine="480"/>
              <w:jc w:val="center"/>
              <w:rPr>
                <w:rFonts w:ascii="仿宋" w:hAnsi="仿宋" w:eastAsia="仿宋"/>
                <w:color w:val="auto"/>
                <w:sz w:val="24"/>
                <w:highlight w:val="none"/>
              </w:rPr>
            </w:pPr>
            <w:r>
              <w:rPr>
                <w:rFonts w:hint="eastAsia" w:ascii="仿宋" w:hAnsi="仿宋" w:eastAsia="仿宋"/>
                <w:b/>
                <w:color w:val="auto"/>
                <w:sz w:val="28"/>
                <w:highlight w:val="none"/>
              </w:rPr>
              <w:t>中共贵州省委党校（贵州行政学院）</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后勤外包服务人员配置</w:t>
            </w:r>
          </w:p>
        </w:tc>
      </w:tr>
      <w:tr w14:paraId="7552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shd w:val="clear" w:color="auto" w:fill="auto"/>
            <w:vAlign w:val="center"/>
          </w:tcPr>
          <w:p w14:paraId="6242DAFB">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区域名称</w:t>
            </w:r>
          </w:p>
        </w:tc>
        <w:tc>
          <w:tcPr>
            <w:tcW w:w="2076" w:type="dxa"/>
            <w:shd w:val="clear" w:color="auto" w:fill="auto"/>
            <w:vAlign w:val="center"/>
          </w:tcPr>
          <w:p w14:paraId="25DE2205">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岗位名称</w:t>
            </w:r>
          </w:p>
        </w:tc>
        <w:tc>
          <w:tcPr>
            <w:tcW w:w="1417" w:type="dxa"/>
            <w:shd w:val="clear" w:color="auto" w:fill="auto"/>
            <w:noWrap/>
            <w:vAlign w:val="center"/>
          </w:tcPr>
          <w:p w14:paraId="121C3D5D">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人员配置</w:t>
            </w:r>
          </w:p>
        </w:tc>
        <w:tc>
          <w:tcPr>
            <w:tcW w:w="5812" w:type="dxa"/>
            <w:shd w:val="clear" w:color="auto" w:fill="auto"/>
            <w:vAlign w:val="center"/>
          </w:tcPr>
          <w:p w14:paraId="0D890274">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说明</w:t>
            </w:r>
          </w:p>
        </w:tc>
      </w:tr>
      <w:tr w14:paraId="6655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restart"/>
            <w:shd w:val="clear" w:color="auto" w:fill="auto"/>
            <w:vAlign w:val="center"/>
          </w:tcPr>
          <w:p w14:paraId="6E268288">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综合部</w:t>
            </w:r>
          </w:p>
        </w:tc>
        <w:tc>
          <w:tcPr>
            <w:tcW w:w="2076" w:type="dxa"/>
            <w:shd w:val="clear" w:color="auto" w:fill="auto"/>
            <w:vAlign w:val="center"/>
          </w:tcPr>
          <w:p w14:paraId="451A4CE5">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项目经理</w:t>
            </w:r>
          </w:p>
        </w:tc>
        <w:tc>
          <w:tcPr>
            <w:tcW w:w="1417" w:type="dxa"/>
            <w:shd w:val="clear" w:color="auto" w:fill="auto"/>
            <w:vAlign w:val="center"/>
          </w:tcPr>
          <w:p w14:paraId="0DD856C1">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0FDAEF68">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负责项目的全面管理</w:t>
            </w:r>
          </w:p>
        </w:tc>
      </w:tr>
      <w:tr w14:paraId="7878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2" w:type="dxa"/>
            <w:vMerge w:val="continue"/>
            <w:shd w:val="clear" w:color="auto" w:fill="auto"/>
            <w:vAlign w:val="center"/>
          </w:tcPr>
          <w:p w14:paraId="5E2773E7">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6FCE1ED7">
            <w:pPr>
              <w:widowControl/>
              <w:spacing w:line="240" w:lineRule="auto"/>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综合</w:t>
            </w:r>
            <w:r>
              <w:rPr>
                <w:rFonts w:hint="eastAsia" w:ascii="仿宋" w:hAnsi="仿宋" w:eastAsia="仿宋" w:cs="宋体"/>
                <w:color w:val="auto"/>
                <w:kern w:val="0"/>
                <w:sz w:val="24"/>
                <w:highlight w:val="none"/>
                <w:lang w:val="en-US" w:eastAsia="zh-CN"/>
              </w:rPr>
              <w:t>经理</w:t>
            </w:r>
          </w:p>
        </w:tc>
        <w:tc>
          <w:tcPr>
            <w:tcW w:w="1417" w:type="dxa"/>
            <w:shd w:val="clear" w:color="auto" w:fill="auto"/>
            <w:vAlign w:val="center"/>
          </w:tcPr>
          <w:p w14:paraId="00D993C5">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005C8702">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负责项目人事、培训、资料档案管事。人力资源管理、行政管理、采购管理、财务管理</w:t>
            </w:r>
          </w:p>
        </w:tc>
      </w:tr>
      <w:tr w14:paraId="4A36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2" w:type="dxa"/>
            <w:vMerge w:val="continue"/>
            <w:shd w:val="clear" w:color="auto" w:fill="auto"/>
            <w:vAlign w:val="center"/>
          </w:tcPr>
          <w:p w14:paraId="78D885F7">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00133945">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会议服务主管</w:t>
            </w:r>
          </w:p>
        </w:tc>
        <w:tc>
          <w:tcPr>
            <w:tcW w:w="1417" w:type="dxa"/>
            <w:shd w:val="clear" w:color="auto" w:fill="auto"/>
            <w:vAlign w:val="center"/>
          </w:tcPr>
          <w:p w14:paraId="17796496">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6A59A6E2">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负责项目会议服务的工作安排，检查、本部门人员培训。</w:t>
            </w:r>
          </w:p>
        </w:tc>
      </w:tr>
      <w:tr w14:paraId="0809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2" w:type="dxa"/>
            <w:vMerge w:val="continue"/>
            <w:shd w:val="clear" w:color="auto" w:fill="auto"/>
            <w:vAlign w:val="center"/>
          </w:tcPr>
          <w:p w14:paraId="0A9D108B">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4F31B2E1">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经理助理</w:t>
            </w:r>
          </w:p>
        </w:tc>
        <w:tc>
          <w:tcPr>
            <w:tcW w:w="1417" w:type="dxa"/>
            <w:shd w:val="clear" w:color="auto" w:fill="auto"/>
            <w:vAlign w:val="center"/>
          </w:tcPr>
          <w:p w14:paraId="4AE551DB">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095FC401">
            <w:pPr>
              <w:widowControl/>
              <w:spacing w:line="240" w:lineRule="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负责协助项目经理管理二期</w:t>
            </w:r>
            <w:r>
              <w:rPr>
                <w:rFonts w:hint="eastAsia" w:ascii="仿宋" w:hAnsi="仿宋" w:eastAsia="仿宋" w:cs="宋体"/>
                <w:color w:val="auto"/>
                <w:kern w:val="0"/>
                <w:sz w:val="24"/>
                <w:highlight w:val="none"/>
              </w:rPr>
              <w:t>物业服务区域面积8.7725万m3</w:t>
            </w:r>
            <w:r>
              <w:rPr>
                <w:rFonts w:hint="eastAsia" w:ascii="仿宋" w:hAnsi="仿宋" w:eastAsia="仿宋" w:cs="宋体"/>
                <w:color w:val="auto"/>
                <w:kern w:val="0"/>
                <w:sz w:val="24"/>
                <w:highlight w:val="none"/>
                <w:lang w:eastAsia="zh-CN"/>
              </w:rPr>
              <w:t>，</w:t>
            </w:r>
          </w:p>
        </w:tc>
      </w:tr>
      <w:tr w14:paraId="544A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2" w:type="dxa"/>
            <w:vMerge w:val="continue"/>
            <w:shd w:val="clear" w:color="auto" w:fill="auto"/>
            <w:vAlign w:val="center"/>
          </w:tcPr>
          <w:p w14:paraId="2A6B2006">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4FCBC7F1">
            <w:pPr>
              <w:widowControl/>
              <w:spacing w:line="240" w:lineRule="auto"/>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客户主管</w:t>
            </w:r>
          </w:p>
        </w:tc>
        <w:tc>
          <w:tcPr>
            <w:tcW w:w="1417" w:type="dxa"/>
            <w:shd w:val="clear" w:color="auto" w:fill="auto"/>
            <w:vAlign w:val="center"/>
          </w:tcPr>
          <w:p w14:paraId="4A2BD052">
            <w:pPr>
              <w:widowControl/>
              <w:spacing w:line="240" w:lineRule="auto"/>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w:t>
            </w:r>
          </w:p>
        </w:tc>
        <w:tc>
          <w:tcPr>
            <w:tcW w:w="5812" w:type="dxa"/>
            <w:shd w:val="clear" w:color="auto" w:fill="auto"/>
            <w:vAlign w:val="center"/>
          </w:tcPr>
          <w:p w14:paraId="3BC1C4C7">
            <w:pPr>
              <w:widowControl/>
              <w:spacing w:line="240" w:lineRule="auto"/>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负责</w:t>
            </w:r>
            <w:r>
              <w:rPr>
                <w:rFonts w:hint="eastAsia" w:ascii="仿宋" w:hAnsi="仿宋" w:eastAsia="仿宋" w:cs="宋体"/>
                <w:color w:val="auto"/>
                <w:kern w:val="0"/>
                <w:sz w:val="24"/>
                <w:highlight w:val="none"/>
              </w:rPr>
              <w:t>对来访或办事客户</w:t>
            </w:r>
            <w:r>
              <w:rPr>
                <w:rFonts w:hint="eastAsia" w:ascii="仿宋" w:hAnsi="仿宋" w:eastAsia="仿宋" w:cs="宋体"/>
                <w:color w:val="auto"/>
                <w:kern w:val="0"/>
                <w:sz w:val="24"/>
                <w:highlight w:val="none"/>
                <w:lang w:val="en-US" w:eastAsia="zh-CN"/>
              </w:rPr>
              <w:t>进行统计、管理。</w:t>
            </w:r>
          </w:p>
        </w:tc>
      </w:tr>
      <w:tr w14:paraId="2133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2" w:type="dxa"/>
            <w:vMerge w:val="continue"/>
            <w:shd w:val="clear" w:color="auto" w:fill="auto"/>
            <w:vAlign w:val="center"/>
          </w:tcPr>
          <w:p w14:paraId="32F3A3DE">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236493B6">
            <w:pPr>
              <w:widowControl/>
              <w:spacing w:line="240" w:lineRule="auto"/>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客服管理员</w:t>
            </w:r>
          </w:p>
        </w:tc>
        <w:tc>
          <w:tcPr>
            <w:tcW w:w="1417" w:type="dxa"/>
            <w:shd w:val="clear" w:color="auto" w:fill="auto"/>
            <w:vAlign w:val="center"/>
          </w:tcPr>
          <w:p w14:paraId="2562802B">
            <w:pPr>
              <w:widowControl/>
              <w:spacing w:line="240" w:lineRule="auto"/>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1</w:t>
            </w:r>
          </w:p>
        </w:tc>
        <w:tc>
          <w:tcPr>
            <w:tcW w:w="5812" w:type="dxa"/>
            <w:shd w:val="clear" w:color="auto" w:fill="auto"/>
            <w:vAlign w:val="center"/>
          </w:tcPr>
          <w:p w14:paraId="21B92C18">
            <w:pPr>
              <w:widowControl/>
              <w:spacing w:line="240" w:lineRule="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在科研教学楼，对来访或办事客户进行引领和分流</w:t>
            </w:r>
          </w:p>
        </w:tc>
      </w:tr>
      <w:tr w14:paraId="6F46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2" w:type="dxa"/>
            <w:vMerge w:val="continue"/>
            <w:shd w:val="clear" w:color="auto" w:fill="auto"/>
            <w:vAlign w:val="center"/>
          </w:tcPr>
          <w:p w14:paraId="1F54FE02">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283BF2D4">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会议服务人员</w:t>
            </w:r>
          </w:p>
        </w:tc>
        <w:tc>
          <w:tcPr>
            <w:tcW w:w="1417" w:type="dxa"/>
            <w:shd w:val="clear" w:color="auto" w:fill="auto"/>
            <w:vAlign w:val="center"/>
          </w:tcPr>
          <w:p w14:paraId="67E6168D">
            <w:pPr>
              <w:widowControl/>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1</w:t>
            </w:r>
          </w:p>
        </w:tc>
        <w:tc>
          <w:tcPr>
            <w:tcW w:w="5812" w:type="dxa"/>
            <w:shd w:val="clear" w:color="auto" w:fill="auto"/>
            <w:vAlign w:val="center"/>
          </w:tcPr>
          <w:p w14:paraId="75CE619D">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二期</w:t>
            </w:r>
            <w:r>
              <w:rPr>
                <w:rFonts w:hint="eastAsia" w:ascii="仿宋" w:hAnsi="仿宋" w:eastAsia="仿宋" w:cs="宋体"/>
                <w:color w:val="auto"/>
                <w:kern w:val="0"/>
                <w:sz w:val="24"/>
                <w:highlight w:val="none"/>
              </w:rPr>
              <w:t>教室110间教室讨论室及一个容纳1000人的报告厅</w:t>
            </w:r>
          </w:p>
        </w:tc>
      </w:tr>
      <w:tr w14:paraId="0B7E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02" w:type="dxa"/>
            <w:vMerge w:val="continue"/>
            <w:shd w:val="clear" w:color="auto" w:fill="auto"/>
            <w:vAlign w:val="center"/>
          </w:tcPr>
          <w:p w14:paraId="6F7BCCEC">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27399A59">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客服兼会议服务</w:t>
            </w:r>
          </w:p>
        </w:tc>
        <w:tc>
          <w:tcPr>
            <w:tcW w:w="1417" w:type="dxa"/>
            <w:shd w:val="clear" w:color="auto" w:fill="auto"/>
            <w:vAlign w:val="center"/>
          </w:tcPr>
          <w:p w14:paraId="2DC7399E">
            <w:pPr>
              <w:widowControl/>
              <w:spacing w:line="240" w:lineRule="auto"/>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10</w:t>
            </w:r>
          </w:p>
        </w:tc>
        <w:tc>
          <w:tcPr>
            <w:tcW w:w="5812" w:type="dxa"/>
            <w:shd w:val="clear" w:color="auto" w:fill="auto"/>
            <w:vAlign w:val="center"/>
          </w:tcPr>
          <w:p w14:paraId="7903FE91">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24小时热线电话、12小时接待值班，兼会议服务，文印服务</w:t>
            </w:r>
          </w:p>
        </w:tc>
      </w:tr>
      <w:tr w14:paraId="073E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560E74BE">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5DCF99AE">
            <w:pPr>
              <w:widowControl/>
              <w:spacing w:line="240" w:lineRule="auto"/>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车队值班</w:t>
            </w:r>
            <w:r>
              <w:rPr>
                <w:rFonts w:hint="eastAsia" w:ascii="仿宋" w:hAnsi="仿宋" w:eastAsia="仿宋" w:cs="宋体"/>
                <w:color w:val="auto"/>
                <w:kern w:val="0"/>
                <w:sz w:val="24"/>
                <w:highlight w:val="none"/>
                <w:lang w:val="en-US" w:eastAsia="zh-CN"/>
              </w:rPr>
              <w:t>兼油料管理</w:t>
            </w:r>
          </w:p>
        </w:tc>
        <w:tc>
          <w:tcPr>
            <w:tcW w:w="1417" w:type="dxa"/>
            <w:shd w:val="clear" w:color="auto" w:fill="auto"/>
            <w:vAlign w:val="center"/>
          </w:tcPr>
          <w:p w14:paraId="31EAFE5F">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3A3F877A">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车队值班及车队管理。</w:t>
            </w:r>
          </w:p>
        </w:tc>
      </w:tr>
      <w:tr w14:paraId="313E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6C794527">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7D76190F">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驾驶员</w:t>
            </w:r>
          </w:p>
        </w:tc>
        <w:tc>
          <w:tcPr>
            <w:tcW w:w="1417" w:type="dxa"/>
            <w:shd w:val="clear" w:color="auto" w:fill="auto"/>
            <w:vAlign w:val="center"/>
          </w:tcPr>
          <w:p w14:paraId="5F5D0806">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5812" w:type="dxa"/>
            <w:shd w:val="clear" w:color="auto" w:fill="auto"/>
            <w:vAlign w:val="center"/>
          </w:tcPr>
          <w:p w14:paraId="2419E41E">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车辆驾驶，其中A1照4人，B照3人。年龄50岁以下。（驾驶员的驾照等级，驾龄要求。）</w:t>
            </w:r>
          </w:p>
        </w:tc>
      </w:tr>
      <w:tr w14:paraId="6F64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8" w:type="dxa"/>
            <w:gridSpan w:val="2"/>
            <w:shd w:val="clear" w:color="auto" w:fill="auto"/>
            <w:vAlign w:val="center"/>
          </w:tcPr>
          <w:p w14:paraId="29ABC79E">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小计</w:t>
            </w:r>
          </w:p>
        </w:tc>
        <w:tc>
          <w:tcPr>
            <w:tcW w:w="1417" w:type="dxa"/>
            <w:shd w:val="clear" w:color="auto" w:fill="auto"/>
            <w:vAlign w:val="center"/>
          </w:tcPr>
          <w:p w14:paraId="156513EA">
            <w:pPr>
              <w:widowControl/>
              <w:spacing w:line="240" w:lineRule="auto"/>
              <w:jc w:val="center"/>
              <w:rPr>
                <w:rFonts w:hint="eastAsia" w:ascii="仿宋" w:hAnsi="仿宋" w:eastAsia="仿宋" w:cs="宋体"/>
                <w:b/>
                <w:bCs/>
                <w:color w:val="auto"/>
                <w:kern w:val="0"/>
                <w:sz w:val="24"/>
                <w:highlight w:val="none"/>
                <w:lang w:eastAsia="zh-CN"/>
              </w:rPr>
            </w:pPr>
            <w:r>
              <w:rPr>
                <w:rFonts w:hint="eastAsia" w:ascii="仿宋" w:hAnsi="仿宋" w:eastAsia="仿宋" w:cs="宋体"/>
                <w:b/>
                <w:bCs/>
                <w:color w:val="auto"/>
                <w:kern w:val="0"/>
                <w:sz w:val="24"/>
                <w:highlight w:val="none"/>
              </w:rPr>
              <w:t>4</w:t>
            </w:r>
            <w:r>
              <w:rPr>
                <w:rFonts w:hint="eastAsia" w:ascii="仿宋" w:hAnsi="仿宋" w:eastAsia="仿宋" w:cs="宋体"/>
                <w:b/>
                <w:bCs/>
                <w:color w:val="auto"/>
                <w:kern w:val="0"/>
                <w:sz w:val="24"/>
                <w:highlight w:val="none"/>
                <w:lang w:val="en-US" w:eastAsia="zh-CN"/>
              </w:rPr>
              <w:t>5</w:t>
            </w:r>
          </w:p>
        </w:tc>
        <w:tc>
          <w:tcPr>
            <w:tcW w:w="5812" w:type="dxa"/>
            <w:shd w:val="clear" w:color="auto" w:fill="auto"/>
            <w:vAlign w:val="center"/>
          </w:tcPr>
          <w:p w14:paraId="2E9D389E">
            <w:pPr>
              <w:widowControl/>
              <w:spacing w:line="240" w:lineRule="auto"/>
              <w:rPr>
                <w:rFonts w:ascii="仿宋" w:hAnsi="仿宋" w:eastAsia="仿宋" w:cs="宋体"/>
                <w:color w:val="auto"/>
                <w:kern w:val="0"/>
                <w:sz w:val="24"/>
                <w:highlight w:val="none"/>
              </w:rPr>
            </w:pPr>
          </w:p>
        </w:tc>
      </w:tr>
      <w:tr w14:paraId="7091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2" w:type="dxa"/>
            <w:vMerge w:val="restart"/>
            <w:shd w:val="clear" w:color="auto" w:fill="auto"/>
            <w:vAlign w:val="center"/>
          </w:tcPr>
          <w:p w14:paraId="6E4BC121">
            <w:pPr>
              <w:widowControl/>
              <w:spacing w:line="240" w:lineRule="auto"/>
              <w:jc w:val="center"/>
              <w:rPr>
                <w:rFonts w:ascii="仿宋" w:hAnsi="仿宋" w:eastAsia="仿宋" w:cs="宋体"/>
                <w:b/>
                <w:bCs/>
                <w:color w:val="auto"/>
                <w:kern w:val="0"/>
                <w:sz w:val="24"/>
                <w:highlight w:val="none"/>
              </w:rPr>
            </w:pPr>
            <w:r>
              <w:rPr>
                <w:rFonts w:hint="eastAsia" w:ascii="宋体" w:hAnsi="宋体" w:cs="宋体"/>
                <w:color w:val="auto"/>
                <w:sz w:val="24"/>
                <w:highlight w:val="none"/>
              </w:rPr>
              <w:t>工程部</w:t>
            </w:r>
          </w:p>
        </w:tc>
        <w:tc>
          <w:tcPr>
            <w:tcW w:w="2076" w:type="dxa"/>
            <w:shd w:val="clear" w:color="auto" w:fill="auto"/>
            <w:vAlign w:val="center"/>
          </w:tcPr>
          <w:p w14:paraId="465753B6">
            <w:pPr>
              <w:widowControl/>
              <w:spacing w:line="240" w:lineRule="auto"/>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工程</w:t>
            </w:r>
            <w:r>
              <w:rPr>
                <w:rFonts w:hint="eastAsia" w:ascii="仿宋" w:hAnsi="仿宋" w:eastAsia="仿宋" w:cs="宋体"/>
                <w:color w:val="auto"/>
                <w:kern w:val="0"/>
                <w:sz w:val="24"/>
                <w:highlight w:val="none"/>
                <w:lang w:val="en-US" w:eastAsia="zh-CN"/>
              </w:rPr>
              <w:t>部经理</w:t>
            </w:r>
          </w:p>
        </w:tc>
        <w:tc>
          <w:tcPr>
            <w:tcW w:w="1417" w:type="dxa"/>
            <w:shd w:val="clear" w:color="auto" w:fill="auto"/>
            <w:vAlign w:val="center"/>
          </w:tcPr>
          <w:p w14:paraId="1669933D">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68C3E462">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负责项目上工程的工作安排及检查，持证上岗</w:t>
            </w:r>
          </w:p>
        </w:tc>
      </w:tr>
      <w:tr w14:paraId="65DB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56442672">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7AEE1F7E">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网络主管</w:t>
            </w:r>
          </w:p>
        </w:tc>
        <w:tc>
          <w:tcPr>
            <w:tcW w:w="1417" w:type="dxa"/>
            <w:shd w:val="clear" w:color="auto" w:fill="auto"/>
            <w:vAlign w:val="center"/>
          </w:tcPr>
          <w:p w14:paraId="6B6BFB22">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616221F8">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负责办公信息化网络管理。</w:t>
            </w:r>
          </w:p>
        </w:tc>
      </w:tr>
      <w:tr w14:paraId="6F90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5E41FFEB">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7F82185E">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硬件工程师</w:t>
            </w:r>
          </w:p>
        </w:tc>
        <w:tc>
          <w:tcPr>
            <w:tcW w:w="1417" w:type="dxa"/>
            <w:shd w:val="clear" w:color="auto" w:fill="auto"/>
            <w:vAlign w:val="center"/>
          </w:tcPr>
          <w:p w14:paraId="1B217B27">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5812" w:type="dxa"/>
            <w:shd w:val="clear" w:color="auto" w:fill="auto"/>
            <w:vAlign w:val="center"/>
          </w:tcPr>
          <w:p w14:paraId="301AF8CB">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网络设备硬件维护（网络工程师）。</w:t>
            </w:r>
          </w:p>
        </w:tc>
      </w:tr>
      <w:tr w14:paraId="3127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22ADD407">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3AA1FF4D">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软件工程师</w:t>
            </w:r>
          </w:p>
        </w:tc>
        <w:tc>
          <w:tcPr>
            <w:tcW w:w="1417" w:type="dxa"/>
            <w:shd w:val="clear" w:color="auto" w:fill="auto"/>
            <w:vAlign w:val="center"/>
          </w:tcPr>
          <w:p w14:paraId="3D8FF9BB">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3437E001">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网络软件维护（系统分析师）。</w:t>
            </w:r>
          </w:p>
        </w:tc>
      </w:tr>
      <w:tr w14:paraId="3152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5F5FEE6F">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13541A4C">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弱电工及电教工</w:t>
            </w:r>
          </w:p>
        </w:tc>
        <w:tc>
          <w:tcPr>
            <w:tcW w:w="1417" w:type="dxa"/>
            <w:shd w:val="clear" w:color="auto" w:fill="auto"/>
            <w:vAlign w:val="center"/>
          </w:tcPr>
          <w:p w14:paraId="5823B14A">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5812" w:type="dxa"/>
            <w:shd w:val="clear" w:color="auto" w:fill="auto"/>
            <w:vAlign w:val="center"/>
          </w:tcPr>
          <w:p w14:paraId="3D5C7F72">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会议系统运行及维护，技术保障。</w:t>
            </w:r>
          </w:p>
        </w:tc>
      </w:tr>
      <w:tr w14:paraId="33EF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02" w:type="dxa"/>
            <w:vMerge w:val="continue"/>
            <w:shd w:val="clear" w:color="auto" w:fill="auto"/>
            <w:vAlign w:val="center"/>
          </w:tcPr>
          <w:p w14:paraId="50B0B973">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6326D327">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房产零星维护人员</w:t>
            </w:r>
          </w:p>
        </w:tc>
        <w:tc>
          <w:tcPr>
            <w:tcW w:w="1417" w:type="dxa"/>
            <w:shd w:val="clear" w:color="auto" w:fill="auto"/>
            <w:vAlign w:val="center"/>
          </w:tcPr>
          <w:p w14:paraId="0E60A35A">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11C9A725">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全校范围内办公用房及附属用房（玻璃、门窗、桌椅等办公设施）零星维修工作</w:t>
            </w:r>
          </w:p>
        </w:tc>
      </w:tr>
      <w:tr w14:paraId="1878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02" w:type="dxa"/>
            <w:vMerge w:val="continue"/>
            <w:shd w:val="clear" w:color="auto" w:fill="auto"/>
            <w:vAlign w:val="center"/>
          </w:tcPr>
          <w:p w14:paraId="2E8B16D8">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64B1CEF1">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动力站</w:t>
            </w:r>
          </w:p>
        </w:tc>
        <w:tc>
          <w:tcPr>
            <w:tcW w:w="1417" w:type="dxa"/>
            <w:shd w:val="clear" w:color="auto" w:fill="auto"/>
            <w:vAlign w:val="center"/>
          </w:tcPr>
          <w:p w14:paraId="20A8DD6A">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5812" w:type="dxa"/>
            <w:shd w:val="clear" w:color="auto" w:fill="auto"/>
            <w:vAlign w:val="center"/>
          </w:tcPr>
          <w:p w14:paraId="4CF3EE73">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动力站、维护保养，昼夜值班，2班倒（每班1人），持证上岗。</w:t>
            </w:r>
          </w:p>
        </w:tc>
      </w:tr>
      <w:tr w14:paraId="53C9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02" w:type="dxa"/>
            <w:vMerge w:val="continue"/>
            <w:shd w:val="clear" w:color="auto" w:fill="auto"/>
            <w:vAlign w:val="center"/>
          </w:tcPr>
          <w:p w14:paraId="33E6690F">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24BE8681">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泵房值班员</w:t>
            </w:r>
          </w:p>
        </w:tc>
        <w:tc>
          <w:tcPr>
            <w:tcW w:w="1417" w:type="dxa"/>
            <w:shd w:val="clear" w:color="auto" w:fill="auto"/>
            <w:vAlign w:val="center"/>
          </w:tcPr>
          <w:p w14:paraId="51EDB097">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0DB70368">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主要负责校（院、团）泵房设施设备管护和值班，应急抽水等。</w:t>
            </w:r>
          </w:p>
        </w:tc>
      </w:tr>
      <w:tr w14:paraId="2F7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6E138ABB">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12DD70F2">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高低压</w:t>
            </w:r>
            <w:r>
              <w:rPr>
                <w:rFonts w:hint="eastAsia" w:ascii="仿宋" w:hAnsi="仿宋" w:eastAsia="仿宋" w:cs="宋体"/>
                <w:color w:val="auto"/>
                <w:kern w:val="0"/>
                <w:sz w:val="24"/>
                <w:highlight w:val="none"/>
                <w:lang w:val="en-US" w:eastAsia="zh-CN"/>
              </w:rPr>
              <w:t>电工兼</w:t>
            </w:r>
            <w:r>
              <w:rPr>
                <w:rFonts w:hint="eastAsia" w:ascii="仿宋" w:hAnsi="仿宋" w:eastAsia="仿宋" w:cs="宋体"/>
                <w:color w:val="auto"/>
                <w:kern w:val="0"/>
                <w:sz w:val="24"/>
                <w:highlight w:val="none"/>
              </w:rPr>
              <w:t>水电</w:t>
            </w:r>
          </w:p>
        </w:tc>
        <w:tc>
          <w:tcPr>
            <w:tcW w:w="1417" w:type="dxa"/>
            <w:shd w:val="clear" w:color="auto" w:fill="auto"/>
            <w:vAlign w:val="center"/>
          </w:tcPr>
          <w:p w14:paraId="15415C42">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5812" w:type="dxa"/>
            <w:shd w:val="clear" w:color="auto" w:fill="auto"/>
            <w:vAlign w:val="center"/>
          </w:tcPr>
          <w:p w14:paraId="6584C910">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负责水、电运行检查和日常维修工作，电工持证上岗。</w:t>
            </w:r>
          </w:p>
        </w:tc>
      </w:tr>
      <w:tr w14:paraId="12C4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30B2C9C0">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0C6E06A1">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网络维护人员</w:t>
            </w:r>
          </w:p>
        </w:tc>
        <w:tc>
          <w:tcPr>
            <w:tcW w:w="1417" w:type="dxa"/>
            <w:shd w:val="clear" w:color="auto" w:fill="auto"/>
            <w:vAlign w:val="center"/>
          </w:tcPr>
          <w:p w14:paraId="63274C02">
            <w:pPr>
              <w:widowControl/>
              <w:spacing w:line="240" w:lineRule="auto"/>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lang w:val="en-US" w:eastAsia="zh-CN"/>
              </w:rPr>
              <w:t>2</w:t>
            </w:r>
          </w:p>
        </w:tc>
        <w:tc>
          <w:tcPr>
            <w:tcW w:w="5812" w:type="dxa"/>
            <w:vMerge w:val="restart"/>
            <w:shd w:val="clear" w:color="auto" w:fill="auto"/>
            <w:vAlign w:val="center"/>
          </w:tcPr>
          <w:p w14:paraId="79E5F95E">
            <w:pPr>
              <w:widowControl/>
              <w:spacing w:line="24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新增配电房2个、锅炉一个、消防加压房1个、1个报告厅及110间教室多媒体设备、5台变压器和3台箱式变压器等设施设备。</w:t>
            </w:r>
          </w:p>
        </w:tc>
      </w:tr>
      <w:tr w14:paraId="3F17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33AFDC3E">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480917DF">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高压配电管理</w:t>
            </w:r>
          </w:p>
        </w:tc>
        <w:tc>
          <w:tcPr>
            <w:tcW w:w="1417" w:type="dxa"/>
            <w:shd w:val="clear" w:color="auto" w:fill="auto"/>
            <w:vAlign w:val="center"/>
          </w:tcPr>
          <w:p w14:paraId="1B31EE00">
            <w:pPr>
              <w:widowControl/>
              <w:spacing w:line="240" w:lineRule="auto"/>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lang w:val="en-US" w:eastAsia="zh-CN"/>
              </w:rPr>
              <w:t>2</w:t>
            </w:r>
          </w:p>
        </w:tc>
        <w:tc>
          <w:tcPr>
            <w:tcW w:w="5812" w:type="dxa"/>
            <w:vMerge w:val="continue"/>
            <w:shd w:val="clear" w:color="auto" w:fill="auto"/>
            <w:vAlign w:val="center"/>
          </w:tcPr>
          <w:p w14:paraId="7B284BBE">
            <w:pPr>
              <w:widowControl/>
              <w:spacing w:line="240" w:lineRule="auto"/>
              <w:rPr>
                <w:rFonts w:ascii="仿宋" w:hAnsi="仿宋" w:eastAsia="仿宋" w:cs="宋体"/>
                <w:color w:val="auto"/>
                <w:kern w:val="0"/>
                <w:sz w:val="24"/>
                <w:highlight w:val="none"/>
              </w:rPr>
            </w:pPr>
          </w:p>
        </w:tc>
      </w:tr>
      <w:tr w14:paraId="4DC9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52994EA4">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392563C9">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会议/教学演出保障人员</w:t>
            </w:r>
          </w:p>
        </w:tc>
        <w:tc>
          <w:tcPr>
            <w:tcW w:w="1417" w:type="dxa"/>
            <w:shd w:val="clear" w:color="auto" w:fill="auto"/>
            <w:vAlign w:val="center"/>
          </w:tcPr>
          <w:p w14:paraId="0191CF37">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14</w:t>
            </w:r>
          </w:p>
        </w:tc>
        <w:tc>
          <w:tcPr>
            <w:tcW w:w="5812" w:type="dxa"/>
            <w:vMerge w:val="continue"/>
            <w:shd w:val="clear" w:color="auto" w:fill="auto"/>
            <w:vAlign w:val="center"/>
          </w:tcPr>
          <w:p w14:paraId="0DDAB828">
            <w:pPr>
              <w:widowControl/>
              <w:spacing w:line="240" w:lineRule="auto"/>
              <w:rPr>
                <w:rFonts w:ascii="仿宋" w:hAnsi="仿宋" w:eastAsia="仿宋" w:cs="宋体"/>
                <w:color w:val="auto"/>
                <w:kern w:val="0"/>
                <w:sz w:val="24"/>
                <w:highlight w:val="none"/>
              </w:rPr>
            </w:pPr>
          </w:p>
        </w:tc>
      </w:tr>
      <w:tr w14:paraId="2F2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0A670AE1">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2E2690F8">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设施设备维修人员</w:t>
            </w:r>
          </w:p>
        </w:tc>
        <w:tc>
          <w:tcPr>
            <w:tcW w:w="1417" w:type="dxa"/>
            <w:shd w:val="clear" w:color="auto" w:fill="auto"/>
            <w:vAlign w:val="center"/>
          </w:tcPr>
          <w:p w14:paraId="01F5777B">
            <w:pPr>
              <w:widowControl/>
              <w:spacing w:line="240" w:lineRule="auto"/>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lang w:val="en-US" w:eastAsia="zh-CN"/>
              </w:rPr>
              <w:t>2</w:t>
            </w:r>
          </w:p>
        </w:tc>
        <w:tc>
          <w:tcPr>
            <w:tcW w:w="5812" w:type="dxa"/>
            <w:vMerge w:val="continue"/>
            <w:shd w:val="clear" w:color="auto" w:fill="auto"/>
            <w:vAlign w:val="center"/>
          </w:tcPr>
          <w:p w14:paraId="231C05C9">
            <w:pPr>
              <w:widowControl/>
              <w:spacing w:line="240" w:lineRule="auto"/>
              <w:rPr>
                <w:rFonts w:ascii="仿宋" w:hAnsi="仿宋" w:eastAsia="仿宋" w:cs="宋体"/>
                <w:color w:val="auto"/>
                <w:kern w:val="0"/>
                <w:sz w:val="24"/>
                <w:highlight w:val="none"/>
              </w:rPr>
            </w:pPr>
          </w:p>
        </w:tc>
      </w:tr>
      <w:tr w14:paraId="6D21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8" w:type="dxa"/>
            <w:gridSpan w:val="2"/>
            <w:shd w:val="clear" w:color="auto" w:fill="auto"/>
            <w:vAlign w:val="center"/>
          </w:tcPr>
          <w:p w14:paraId="779E860F">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小计</w:t>
            </w:r>
          </w:p>
        </w:tc>
        <w:tc>
          <w:tcPr>
            <w:tcW w:w="1417" w:type="dxa"/>
            <w:shd w:val="clear" w:color="auto" w:fill="auto"/>
            <w:vAlign w:val="center"/>
          </w:tcPr>
          <w:p w14:paraId="1ADAD1F9">
            <w:pPr>
              <w:widowControl/>
              <w:spacing w:line="240" w:lineRule="auto"/>
              <w:jc w:val="center"/>
              <w:rPr>
                <w:rFonts w:hint="default" w:ascii="仿宋" w:hAnsi="仿宋" w:eastAsia="仿宋" w:cs="宋体"/>
                <w:b/>
                <w:bCs/>
                <w:color w:val="auto"/>
                <w:kern w:val="0"/>
                <w:sz w:val="24"/>
                <w:highlight w:val="none"/>
                <w:lang w:val="en-US" w:eastAsia="zh-CN"/>
              </w:rPr>
            </w:pPr>
            <w:r>
              <w:rPr>
                <w:rFonts w:hint="eastAsia" w:ascii="仿宋" w:hAnsi="仿宋" w:eastAsia="仿宋" w:cs="宋体"/>
                <w:b/>
                <w:bCs/>
                <w:color w:val="auto"/>
                <w:kern w:val="0"/>
                <w:sz w:val="24"/>
                <w:highlight w:val="none"/>
                <w:lang w:val="en-US" w:eastAsia="zh-CN"/>
              </w:rPr>
              <w:t>40</w:t>
            </w:r>
          </w:p>
        </w:tc>
        <w:tc>
          <w:tcPr>
            <w:tcW w:w="5812" w:type="dxa"/>
            <w:shd w:val="clear" w:color="auto" w:fill="auto"/>
            <w:vAlign w:val="center"/>
          </w:tcPr>
          <w:p w14:paraId="6516C22C">
            <w:pPr>
              <w:widowControl/>
              <w:spacing w:line="240" w:lineRule="auto"/>
              <w:rPr>
                <w:rFonts w:ascii="仿宋" w:hAnsi="仿宋" w:eastAsia="仿宋" w:cs="宋体"/>
                <w:color w:val="auto"/>
                <w:kern w:val="0"/>
                <w:sz w:val="24"/>
                <w:highlight w:val="none"/>
              </w:rPr>
            </w:pPr>
          </w:p>
        </w:tc>
      </w:tr>
      <w:tr w14:paraId="67E1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restart"/>
            <w:shd w:val="clear" w:color="auto" w:fill="auto"/>
            <w:vAlign w:val="center"/>
          </w:tcPr>
          <w:p w14:paraId="6C06EAFC">
            <w:pPr>
              <w:widowControl/>
              <w:spacing w:line="240" w:lineRule="auto"/>
              <w:jc w:val="center"/>
              <w:rPr>
                <w:rFonts w:ascii="仿宋" w:hAnsi="仿宋" w:eastAsia="仿宋" w:cs="宋体"/>
                <w:bCs/>
                <w:color w:val="auto"/>
                <w:kern w:val="0"/>
                <w:sz w:val="24"/>
                <w:highlight w:val="none"/>
              </w:rPr>
            </w:pPr>
            <w:r>
              <w:rPr>
                <w:rFonts w:hint="eastAsia" w:ascii="宋体" w:hAnsi="宋体" w:cs="宋体"/>
                <w:color w:val="auto"/>
                <w:sz w:val="24"/>
                <w:highlight w:val="none"/>
              </w:rPr>
              <w:t>保洁部</w:t>
            </w:r>
          </w:p>
        </w:tc>
        <w:tc>
          <w:tcPr>
            <w:tcW w:w="2076" w:type="dxa"/>
            <w:shd w:val="clear" w:color="auto" w:fill="auto"/>
            <w:vAlign w:val="center"/>
          </w:tcPr>
          <w:p w14:paraId="1004F77A">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保洁主管</w:t>
            </w:r>
          </w:p>
        </w:tc>
        <w:tc>
          <w:tcPr>
            <w:tcW w:w="1417" w:type="dxa"/>
            <w:shd w:val="clear" w:color="auto" w:fill="auto"/>
            <w:vAlign w:val="center"/>
          </w:tcPr>
          <w:p w14:paraId="0520B903">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46BEAB34">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负责项目上保洁的工作安排及检查</w:t>
            </w:r>
          </w:p>
        </w:tc>
      </w:tr>
      <w:tr w14:paraId="58B4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02" w:type="dxa"/>
            <w:vMerge w:val="continue"/>
            <w:shd w:val="clear" w:color="auto" w:fill="auto"/>
            <w:vAlign w:val="center"/>
          </w:tcPr>
          <w:p w14:paraId="7B3CC364">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3E2F3CDB">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保洁员</w:t>
            </w:r>
          </w:p>
        </w:tc>
        <w:tc>
          <w:tcPr>
            <w:tcW w:w="1417" w:type="dxa"/>
            <w:shd w:val="clear" w:color="auto" w:fill="auto"/>
            <w:vAlign w:val="center"/>
          </w:tcPr>
          <w:p w14:paraId="1872AAC1">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w:t>
            </w:r>
          </w:p>
        </w:tc>
        <w:tc>
          <w:tcPr>
            <w:tcW w:w="5812" w:type="dxa"/>
            <w:shd w:val="clear" w:color="auto" w:fill="auto"/>
            <w:vAlign w:val="center"/>
          </w:tcPr>
          <w:p w14:paraId="6A4B4CC2">
            <w:pPr>
              <w:widowControl/>
              <w:spacing w:line="24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1、综合楼5人（含室内办公保洁及教室保洁）；2、行政楼1人；信息楼1人；5号楼1人、图书馆2人（含图书归档装订）、自修楼、行政处楼共2人；</w:t>
            </w:r>
          </w:p>
        </w:tc>
      </w:tr>
      <w:tr w14:paraId="7138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2" w:type="dxa"/>
            <w:vMerge w:val="continue"/>
            <w:shd w:val="clear" w:color="auto" w:fill="auto"/>
            <w:vAlign w:val="center"/>
          </w:tcPr>
          <w:p w14:paraId="48AD09E8">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7C5D58CB">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环卫驾驶员</w:t>
            </w:r>
          </w:p>
        </w:tc>
        <w:tc>
          <w:tcPr>
            <w:tcW w:w="1417" w:type="dxa"/>
            <w:shd w:val="clear" w:color="auto" w:fill="auto"/>
            <w:vAlign w:val="center"/>
          </w:tcPr>
          <w:p w14:paraId="450DDC31">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5E6374A3">
            <w:pPr>
              <w:widowControl/>
              <w:spacing w:line="24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负责环卫垃圾清运。</w:t>
            </w:r>
          </w:p>
        </w:tc>
      </w:tr>
      <w:tr w14:paraId="284F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02" w:type="dxa"/>
            <w:vMerge w:val="continue"/>
            <w:shd w:val="clear" w:color="auto" w:fill="auto"/>
            <w:vAlign w:val="center"/>
          </w:tcPr>
          <w:p w14:paraId="6A064E3D">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1AEDBACD">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外围保洁员</w:t>
            </w:r>
          </w:p>
        </w:tc>
        <w:tc>
          <w:tcPr>
            <w:tcW w:w="1417" w:type="dxa"/>
            <w:shd w:val="clear" w:color="auto" w:fill="auto"/>
            <w:vAlign w:val="center"/>
          </w:tcPr>
          <w:p w14:paraId="68A78234">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5812" w:type="dxa"/>
            <w:shd w:val="clear" w:color="auto" w:fill="auto"/>
            <w:vAlign w:val="center"/>
          </w:tcPr>
          <w:p w14:paraId="69361C16">
            <w:pPr>
              <w:widowControl/>
              <w:spacing w:line="24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含运动场、道路、步道、广场、停车场、水面保洁、绿地保洁等外围道路.</w:t>
            </w:r>
          </w:p>
        </w:tc>
      </w:tr>
      <w:tr w14:paraId="0EF9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02" w:type="dxa"/>
            <w:vMerge w:val="continue"/>
            <w:shd w:val="clear" w:color="auto" w:fill="auto"/>
            <w:vAlign w:val="center"/>
          </w:tcPr>
          <w:p w14:paraId="488AD718">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34776E70">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环境班长</w:t>
            </w:r>
          </w:p>
        </w:tc>
        <w:tc>
          <w:tcPr>
            <w:tcW w:w="1417" w:type="dxa"/>
            <w:shd w:val="clear" w:color="auto" w:fill="auto"/>
            <w:vAlign w:val="center"/>
          </w:tcPr>
          <w:p w14:paraId="0E4EADE1">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vMerge w:val="restart"/>
            <w:shd w:val="clear" w:color="auto" w:fill="auto"/>
            <w:vAlign w:val="center"/>
          </w:tcPr>
          <w:p w14:paraId="3074F734">
            <w:pPr>
              <w:widowControl/>
              <w:spacing w:line="24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保洁服务人员配置48人，新增巡防步道约6公里、水面面积1.455万m2以及二期五个单体周边园路。新增新增巡防步道约6公里两边的绿化、三思湖、大门至综合楼绿化以及五个单体周边绿化面积共计约5.3万m2</w:t>
            </w:r>
          </w:p>
        </w:tc>
      </w:tr>
      <w:tr w14:paraId="70C8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02" w:type="dxa"/>
            <w:vMerge w:val="continue"/>
            <w:shd w:val="clear" w:color="auto" w:fill="auto"/>
            <w:vAlign w:val="center"/>
          </w:tcPr>
          <w:p w14:paraId="210B6AB3">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507ABB53">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保洁员</w:t>
            </w:r>
          </w:p>
        </w:tc>
        <w:tc>
          <w:tcPr>
            <w:tcW w:w="1417" w:type="dxa"/>
            <w:shd w:val="clear" w:color="auto" w:fill="auto"/>
            <w:vAlign w:val="center"/>
          </w:tcPr>
          <w:p w14:paraId="6A28651E">
            <w:pPr>
              <w:widowControl/>
              <w:spacing w:line="240" w:lineRule="auto"/>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47</w:t>
            </w:r>
          </w:p>
        </w:tc>
        <w:tc>
          <w:tcPr>
            <w:tcW w:w="5812" w:type="dxa"/>
            <w:vMerge w:val="continue"/>
            <w:shd w:val="clear" w:color="auto" w:fill="auto"/>
            <w:vAlign w:val="center"/>
          </w:tcPr>
          <w:p w14:paraId="64DCBE26">
            <w:pPr>
              <w:widowControl/>
              <w:spacing w:line="240" w:lineRule="auto"/>
              <w:jc w:val="left"/>
              <w:rPr>
                <w:rFonts w:ascii="仿宋" w:hAnsi="仿宋" w:eastAsia="仿宋" w:cs="宋体"/>
                <w:color w:val="auto"/>
                <w:kern w:val="0"/>
                <w:sz w:val="24"/>
                <w:highlight w:val="none"/>
              </w:rPr>
            </w:pPr>
          </w:p>
        </w:tc>
      </w:tr>
      <w:tr w14:paraId="53CE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8" w:type="dxa"/>
            <w:gridSpan w:val="2"/>
            <w:shd w:val="clear" w:color="auto" w:fill="auto"/>
            <w:vAlign w:val="center"/>
          </w:tcPr>
          <w:p w14:paraId="7356623A">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小计</w:t>
            </w:r>
          </w:p>
        </w:tc>
        <w:tc>
          <w:tcPr>
            <w:tcW w:w="1417" w:type="dxa"/>
            <w:shd w:val="clear" w:color="auto" w:fill="auto"/>
            <w:vAlign w:val="center"/>
          </w:tcPr>
          <w:p w14:paraId="7D27E497">
            <w:pPr>
              <w:widowControl/>
              <w:spacing w:line="240" w:lineRule="auto"/>
              <w:jc w:val="center"/>
              <w:rPr>
                <w:rFonts w:hint="default" w:ascii="仿宋" w:hAnsi="仿宋" w:eastAsia="仿宋" w:cs="宋体"/>
                <w:b/>
                <w:bCs/>
                <w:color w:val="auto"/>
                <w:kern w:val="0"/>
                <w:sz w:val="24"/>
                <w:highlight w:val="none"/>
                <w:lang w:val="en-US" w:eastAsia="zh-CN"/>
              </w:rPr>
            </w:pPr>
            <w:r>
              <w:rPr>
                <w:rFonts w:hint="eastAsia" w:ascii="宋体" w:hAnsi="宋体" w:eastAsia="仿宋" w:cs="宋体"/>
                <w:color w:val="auto"/>
                <w:sz w:val="24"/>
                <w:highlight w:val="none"/>
                <w:lang w:val="en-US" w:eastAsia="zh-CN"/>
              </w:rPr>
              <w:t>69</w:t>
            </w:r>
          </w:p>
        </w:tc>
        <w:tc>
          <w:tcPr>
            <w:tcW w:w="5812" w:type="dxa"/>
            <w:shd w:val="clear" w:color="auto" w:fill="auto"/>
            <w:vAlign w:val="center"/>
          </w:tcPr>
          <w:p w14:paraId="7C499EEB">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14:paraId="16BC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restart"/>
            <w:shd w:val="clear" w:color="auto" w:fill="auto"/>
            <w:vAlign w:val="center"/>
          </w:tcPr>
          <w:p w14:paraId="048C8F2F">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客房部</w:t>
            </w:r>
          </w:p>
        </w:tc>
        <w:tc>
          <w:tcPr>
            <w:tcW w:w="2076" w:type="dxa"/>
            <w:shd w:val="clear" w:color="auto" w:fill="auto"/>
            <w:vAlign w:val="center"/>
          </w:tcPr>
          <w:p w14:paraId="1DC828F7">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客房经理</w:t>
            </w:r>
          </w:p>
        </w:tc>
        <w:tc>
          <w:tcPr>
            <w:tcW w:w="1417" w:type="dxa"/>
            <w:shd w:val="clear" w:color="auto" w:fill="auto"/>
            <w:vAlign w:val="center"/>
          </w:tcPr>
          <w:p w14:paraId="171FF118">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5882514D">
            <w:pPr>
              <w:widowControl/>
              <w:spacing w:line="24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负责客房部工作的安排及接待工作</w:t>
            </w:r>
          </w:p>
        </w:tc>
      </w:tr>
      <w:tr w14:paraId="7A00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56F3B2AD">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4F13A8D3">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客房班长</w:t>
            </w:r>
          </w:p>
        </w:tc>
        <w:tc>
          <w:tcPr>
            <w:tcW w:w="1417" w:type="dxa"/>
            <w:shd w:val="clear" w:color="auto" w:fill="auto"/>
            <w:vAlign w:val="center"/>
          </w:tcPr>
          <w:p w14:paraId="5C8CE147">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5812" w:type="dxa"/>
            <w:shd w:val="clear" w:color="auto" w:fill="auto"/>
            <w:vAlign w:val="center"/>
          </w:tcPr>
          <w:p w14:paraId="62F008A7">
            <w:pPr>
              <w:widowControl/>
              <w:spacing w:line="24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协助主管负责客房的接待、管理</w:t>
            </w:r>
          </w:p>
        </w:tc>
      </w:tr>
      <w:tr w14:paraId="5F36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7F2F4A8D">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24A4164B">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客房服务员</w:t>
            </w:r>
          </w:p>
        </w:tc>
        <w:tc>
          <w:tcPr>
            <w:tcW w:w="1417" w:type="dxa"/>
            <w:shd w:val="clear" w:color="auto" w:fill="auto"/>
            <w:vAlign w:val="center"/>
          </w:tcPr>
          <w:p w14:paraId="48426173">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72</w:t>
            </w:r>
          </w:p>
        </w:tc>
        <w:tc>
          <w:tcPr>
            <w:tcW w:w="5812" w:type="dxa"/>
            <w:shd w:val="clear" w:color="auto" w:fill="auto"/>
            <w:vAlign w:val="center"/>
          </w:tcPr>
          <w:p w14:paraId="26BD078D">
            <w:pPr>
              <w:widowControl/>
              <w:spacing w:line="24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学员楼7栋，729间房，10人/栋，轮休12人</w:t>
            </w:r>
          </w:p>
        </w:tc>
      </w:tr>
      <w:tr w14:paraId="0876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6DE3E9BE">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0FC880A7">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前台接待</w:t>
            </w:r>
          </w:p>
        </w:tc>
        <w:tc>
          <w:tcPr>
            <w:tcW w:w="1417" w:type="dxa"/>
            <w:shd w:val="clear" w:color="auto" w:fill="auto"/>
            <w:vAlign w:val="center"/>
          </w:tcPr>
          <w:p w14:paraId="6AB6EEFD">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w:t>
            </w:r>
          </w:p>
        </w:tc>
        <w:tc>
          <w:tcPr>
            <w:tcW w:w="5812" w:type="dxa"/>
            <w:shd w:val="clear" w:color="auto" w:fill="auto"/>
            <w:vAlign w:val="center"/>
          </w:tcPr>
          <w:p w14:paraId="712CE72F">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学员楼7栋，2人/栋，24小时值班</w:t>
            </w:r>
          </w:p>
        </w:tc>
      </w:tr>
      <w:tr w14:paraId="0948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143B0FE1">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76B5BD14">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布草洗涤员</w:t>
            </w:r>
          </w:p>
        </w:tc>
        <w:tc>
          <w:tcPr>
            <w:tcW w:w="1417" w:type="dxa"/>
            <w:shd w:val="clear" w:color="auto" w:fill="auto"/>
            <w:vAlign w:val="center"/>
          </w:tcPr>
          <w:p w14:paraId="3B7C85D3">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5812" w:type="dxa"/>
            <w:shd w:val="clear" w:color="auto" w:fill="auto"/>
            <w:vAlign w:val="center"/>
          </w:tcPr>
          <w:p w14:paraId="7296D3E4">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负责党校布草洗涤、整理工作。</w:t>
            </w:r>
          </w:p>
        </w:tc>
      </w:tr>
      <w:tr w14:paraId="2B97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8" w:type="dxa"/>
            <w:gridSpan w:val="2"/>
            <w:shd w:val="clear" w:color="auto" w:fill="auto"/>
            <w:vAlign w:val="center"/>
          </w:tcPr>
          <w:p w14:paraId="7883F6C6">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小计</w:t>
            </w:r>
          </w:p>
        </w:tc>
        <w:tc>
          <w:tcPr>
            <w:tcW w:w="1417" w:type="dxa"/>
            <w:shd w:val="clear" w:color="auto" w:fill="auto"/>
            <w:vAlign w:val="center"/>
          </w:tcPr>
          <w:p w14:paraId="3D68205A">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99</w:t>
            </w:r>
          </w:p>
        </w:tc>
        <w:tc>
          <w:tcPr>
            <w:tcW w:w="5812" w:type="dxa"/>
            <w:shd w:val="clear" w:color="auto" w:fill="auto"/>
            <w:vAlign w:val="center"/>
          </w:tcPr>
          <w:p w14:paraId="61571CA6">
            <w:pPr>
              <w:widowControl/>
              <w:spacing w:line="240" w:lineRule="auto"/>
              <w:rPr>
                <w:rFonts w:ascii="仿宋" w:hAnsi="仿宋" w:eastAsia="仿宋" w:cs="宋体"/>
                <w:color w:val="auto"/>
                <w:kern w:val="0"/>
                <w:sz w:val="24"/>
                <w:highlight w:val="none"/>
              </w:rPr>
            </w:pPr>
          </w:p>
        </w:tc>
      </w:tr>
      <w:tr w14:paraId="5713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restart"/>
            <w:shd w:val="clear" w:color="auto" w:fill="auto"/>
            <w:vAlign w:val="center"/>
          </w:tcPr>
          <w:p w14:paraId="5090D86B">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生态环境养护部</w:t>
            </w:r>
          </w:p>
        </w:tc>
        <w:tc>
          <w:tcPr>
            <w:tcW w:w="2076" w:type="dxa"/>
            <w:shd w:val="clear" w:color="auto" w:fill="auto"/>
            <w:vAlign w:val="center"/>
          </w:tcPr>
          <w:p w14:paraId="47C7B38D">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绿化主管</w:t>
            </w:r>
          </w:p>
        </w:tc>
        <w:tc>
          <w:tcPr>
            <w:tcW w:w="1417" w:type="dxa"/>
            <w:shd w:val="clear" w:color="auto" w:fill="auto"/>
            <w:vAlign w:val="center"/>
          </w:tcPr>
          <w:p w14:paraId="30B387BD">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0243BED3">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负责校园绿化工作安排及与校生态环境管理处对接。</w:t>
            </w:r>
          </w:p>
        </w:tc>
      </w:tr>
      <w:tr w14:paraId="12AD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761E7810">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6D5E5482">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园林技师</w:t>
            </w:r>
          </w:p>
        </w:tc>
        <w:tc>
          <w:tcPr>
            <w:tcW w:w="1417" w:type="dxa"/>
            <w:shd w:val="clear" w:color="auto" w:fill="auto"/>
            <w:vAlign w:val="center"/>
          </w:tcPr>
          <w:p w14:paraId="3C704A88">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812" w:type="dxa"/>
            <w:shd w:val="clear" w:color="auto" w:fill="auto"/>
            <w:vAlign w:val="center"/>
          </w:tcPr>
          <w:p w14:paraId="614CB156">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负责校园绿化工作的技术指导。</w:t>
            </w:r>
          </w:p>
        </w:tc>
      </w:tr>
      <w:tr w14:paraId="534A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Merge w:val="continue"/>
            <w:shd w:val="clear" w:color="auto" w:fill="auto"/>
            <w:vAlign w:val="center"/>
          </w:tcPr>
          <w:p w14:paraId="17D7DF58">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7B62C90C">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绿化工</w:t>
            </w:r>
          </w:p>
        </w:tc>
        <w:tc>
          <w:tcPr>
            <w:tcW w:w="1417" w:type="dxa"/>
            <w:shd w:val="clear" w:color="auto" w:fill="auto"/>
            <w:vAlign w:val="center"/>
          </w:tcPr>
          <w:p w14:paraId="1A300351">
            <w:pPr>
              <w:widowControl/>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5812" w:type="dxa"/>
            <w:shd w:val="clear" w:color="auto" w:fill="auto"/>
            <w:vAlign w:val="center"/>
          </w:tcPr>
          <w:p w14:paraId="373772B5">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负责校园植被的施肥、浇水、喷药、修缮、养护的日常维护以及草坪修缮和路边杂草清理。</w:t>
            </w:r>
          </w:p>
        </w:tc>
      </w:tr>
      <w:tr w14:paraId="4929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8" w:type="dxa"/>
            <w:gridSpan w:val="2"/>
            <w:shd w:val="clear" w:color="auto" w:fill="auto"/>
            <w:vAlign w:val="center"/>
          </w:tcPr>
          <w:p w14:paraId="219477A2">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小计</w:t>
            </w:r>
          </w:p>
        </w:tc>
        <w:tc>
          <w:tcPr>
            <w:tcW w:w="1417" w:type="dxa"/>
            <w:shd w:val="clear" w:color="auto" w:fill="auto"/>
            <w:vAlign w:val="center"/>
          </w:tcPr>
          <w:p w14:paraId="0C44874E">
            <w:pPr>
              <w:widowControl/>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5812" w:type="dxa"/>
            <w:shd w:val="clear" w:color="auto" w:fill="auto"/>
            <w:vAlign w:val="center"/>
          </w:tcPr>
          <w:p w14:paraId="6D9AC786">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14:paraId="2F0E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2" w:type="dxa"/>
            <w:vMerge w:val="restart"/>
            <w:shd w:val="clear" w:color="auto" w:fill="auto"/>
            <w:vAlign w:val="center"/>
          </w:tcPr>
          <w:p w14:paraId="20D7ADBD">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安保部</w:t>
            </w:r>
          </w:p>
        </w:tc>
        <w:tc>
          <w:tcPr>
            <w:tcW w:w="2076" w:type="dxa"/>
            <w:shd w:val="clear" w:color="auto" w:fill="auto"/>
            <w:vAlign w:val="center"/>
          </w:tcPr>
          <w:p w14:paraId="333A50CE">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安保主管</w:t>
            </w:r>
          </w:p>
        </w:tc>
        <w:tc>
          <w:tcPr>
            <w:tcW w:w="1417" w:type="dxa"/>
            <w:shd w:val="clear" w:color="auto" w:fill="auto"/>
            <w:vAlign w:val="center"/>
          </w:tcPr>
          <w:p w14:paraId="62763FD3">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1</w:t>
            </w:r>
          </w:p>
        </w:tc>
        <w:tc>
          <w:tcPr>
            <w:tcW w:w="5812" w:type="dxa"/>
            <w:shd w:val="clear" w:color="auto" w:fill="auto"/>
            <w:vAlign w:val="center"/>
          </w:tcPr>
          <w:p w14:paraId="5D5B109B">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负责校园秩序及安全管理队伍日常管理工作，含治安、消防安全、森林防火。</w:t>
            </w:r>
          </w:p>
        </w:tc>
      </w:tr>
      <w:tr w14:paraId="34B7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2" w:type="dxa"/>
            <w:vMerge w:val="continue"/>
            <w:shd w:val="clear" w:color="auto" w:fill="auto"/>
            <w:vAlign w:val="center"/>
          </w:tcPr>
          <w:p w14:paraId="00FA8A0E">
            <w:pPr>
              <w:widowControl/>
              <w:spacing w:line="240" w:lineRule="auto"/>
              <w:jc w:val="center"/>
              <w:rPr>
                <w:rFonts w:ascii="仿宋" w:hAnsi="仿宋" w:eastAsia="仿宋" w:cs="宋体"/>
                <w:b/>
                <w:bCs/>
                <w:color w:val="auto"/>
                <w:kern w:val="0"/>
                <w:sz w:val="24"/>
                <w:highlight w:val="none"/>
              </w:rPr>
            </w:pPr>
          </w:p>
        </w:tc>
        <w:tc>
          <w:tcPr>
            <w:tcW w:w="2076" w:type="dxa"/>
            <w:shd w:val="clear" w:color="auto" w:fill="auto"/>
            <w:vAlign w:val="center"/>
          </w:tcPr>
          <w:p w14:paraId="5E66F440">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安保大门岗</w:t>
            </w:r>
          </w:p>
        </w:tc>
        <w:tc>
          <w:tcPr>
            <w:tcW w:w="1417" w:type="dxa"/>
            <w:shd w:val="clear" w:color="auto" w:fill="auto"/>
            <w:vAlign w:val="center"/>
          </w:tcPr>
          <w:p w14:paraId="3A518556">
            <w:pPr>
              <w:widowControl/>
              <w:spacing w:line="240" w:lineRule="auto"/>
              <w:jc w:val="center"/>
              <w:rPr>
                <w:rFonts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rPr>
              <w:t>8</w:t>
            </w:r>
          </w:p>
        </w:tc>
        <w:tc>
          <w:tcPr>
            <w:tcW w:w="5812" w:type="dxa"/>
            <w:shd w:val="clear" w:color="auto" w:fill="auto"/>
            <w:vAlign w:val="center"/>
          </w:tcPr>
          <w:p w14:paraId="59D8E141">
            <w:pPr>
              <w:widowControl/>
              <w:spacing w:line="240" w:lineRule="auto"/>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双岗，白班1人站岗2人管理，24小时值守。</w:t>
            </w:r>
          </w:p>
        </w:tc>
      </w:tr>
      <w:tr w14:paraId="57E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2" w:type="dxa"/>
            <w:vMerge w:val="continue"/>
            <w:shd w:val="clear" w:color="auto" w:fill="auto"/>
            <w:vAlign w:val="center"/>
          </w:tcPr>
          <w:p w14:paraId="2D039485">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6BA8DD2C">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安保次门岗</w:t>
            </w:r>
          </w:p>
        </w:tc>
        <w:tc>
          <w:tcPr>
            <w:tcW w:w="1417" w:type="dxa"/>
            <w:shd w:val="clear" w:color="auto" w:fill="auto"/>
            <w:vAlign w:val="center"/>
          </w:tcPr>
          <w:p w14:paraId="69E8B044">
            <w:pPr>
              <w:widowControl/>
              <w:spacing w:line="240" w:lineRule="auto"/>
              <w:jc w:val="center"/>
              <w:rPr>
                <w:rFonts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rPr>
              <w:t>16</w:t>
            </w:r>
          </w:p>
        </w:tc>
        <w:tc>
          <w:tcPr>
            <w:tcW w:w="5812" w:type="dxa"/>
            <w:shd w:val="clear" w:color="auto" w:fill="auto"/>
            <w:vAlign w:val="center"/>
          </w:tcPr>
          <w:p w14:paraId="7AD51919">
            <w:pPr>
              <w:widowControl/>
              <w:spacing w:line="240" w:lineRule="auto"/>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四个岗位，每岗3人，单岗，1人/班，24小时值守。</w:t>
            </w:r>
          </w:p>
        </w:tc>
      </w:tr>
      <w:tr w14:paraId="03F3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2" w:type="dxa"/>
            <w:vMerge w:val="continue"/>
            <w:shd w:val="clear" w:color="auto" w:fill="auto"/>
            <w:vAlign w:val="center"/>
          </w:tcPr>
          <w:p w14:paraId="4DAE533E">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5C19B949">
            <w:pPr>
              <w:widowControl/>
              <w:spacing w:line="240" w:lineRule="auto"/>
              <w:jc w:val="center"/>
              <w:rPr>
                <w:rFonts w:hint="default"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lang w:val="en-US" w:eastAsia="zh-CN"/>
              </w:rPr>
              <w:t>老校区监控岗</w:t>
            </w:r>
          </w:p>
        </w:tc>
        <w:tc>
          <w:tcPr>
            <w:tcW w:w="1417" w:type="dxa"/>
            <w:shd w:val="clear" w:color="auto" w:fill="auto"/>
            <w:vAlign w:val="center"/>
          </w:tcPr>
          <w:p w14:paraId="5D8E03F4">
            <w:pPr>
              <w:widowControl/>
              <w:spacing w:line="240" w:lineRule="auto"/>
              <w:jc w:val="center"/>
              <w:rPr>
                <w:rFonts w:hint="default"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lang w:val="en-US" w:eastAsia="zh-CN"/>
              </w:rPr>
              <w:t>4</w:t>
            </w:r>
          </w:p>
        </w:tc>
        <w:tc>
          <w:tcPr>
            <w:tcW w:w="5812" w:type="dxa"/>
            <w:shd w:val="clear" w:color="auto" w:fill="auto"/>
            <w:noWrap/>
            <w:vAlign w:val="center"/>
          </w:tcPr>
          <w:p w14:paraId="690ED8DB">
            <w:pPr>
              <w:widowControl/>
              <w:spacing w:line="240" w:lineRule="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单岗，1人/班，24小时值守</w:t>
            </w:r>
          </w:p>
        </w:tc>
      </w:tr>
      <w:tr w14:paraId="39B0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2" w:type="dxa"/>
            <w:vMerge w:val="continue"/>
            <w:shd w:val="clear" w:color="auto" w:fill="auto"/>
            <w:vAlign w:val="center"/>
          </w:tcPr>
          <w:p w14:paraId="63C68724">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2AE5F6EC">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家属区</w:t>
            </w:r>
          </w:p>
        </w:tc>
        <w:tc>
          <w:tcPr>
            <w:tcW w:w="1417" w:type="dxa"/>
            <w:shd w:val="clear" w:color="auto" w:fill="auto"/>
            <w:vAlign w:val="center"/>
          </w:tcPr>
          <w:p w14:paraId="69402FAC">
            <w:pPr>
              <w:widowControl/>
              <w:spacing w:line="240" w:lineRule="auto"/>
              <w:jc w:val="center"/>
              <w:rPr>
                <w:rFonts w:hint="default"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rPr>
              <w:t>6</w:t>
            </w:r>
          </w:p>
        </w:tc>
        <w:tc>
          <w:tcPr>
            <w:tcW w:w="5812" w:type="dxa"/>
            <w:shd w:val="clear" w:color="auto" w:fill="auto"/>
            <w:vAlign w:val="center"/>
          </w:tcPr>
          <w:p w14:paraId="55D19DCC">
            <w:pPr>
              <w:widowControl/>
              <w:spacing w:line="240" w:lineRule="auto"/>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2人/班，三班。24小时值守。处置突发、应急事件</w:t>
            </w:r>
          </w:p>
        </w:tc>
      </w:tr>
      <w:tr w14:paraId="1C75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2" w:type="dxa"/>
            <w:vMerge w:val="continue"/>
            <w:shd w:val="clear" w:color="auto" w:fill="auto"/>
            <w:vAlign w:val="center"/>
          </w:tcPr>
          <w:p w14:paraId="5DF30E73">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4D6B484F">
            <w:pPr>
              <w:widowControl/>
              <w:spacing w:line="240" w:lineRule="auto"/>
              <w:jc w:val="center"/>
              <w:rPr>
                <w:rFonts w:hint="default"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lang w:val="en-US" w:eastAsia="zh-CN"/>
              </w:rPr>
              <w:t>监控岗</w:t>
            </w:r>
          </w:p>
        </w:tc>
        <w:tc>
          <w:tcPr>
            <w:tcW w:w="1417" w:type="dxa"/>
            <w:shd w:val="clear" w:color="auto" w:fill="auto"/>
            <w:vAlign w:val="center"/>
          </w:tcPr>
          <w:p w14:paraId="5DAFA30E">
            <w:pPr>
              <w:widowControl/>
              <w:spacing w:line="240" w:lineRule="auto"/>
              <w:jc w:val="center"/>
              <w:rPr>
                <w:rFonts w:hint="default"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lang w:val="en-US" w:eastAsia="zh-CN"/>
              </w:rPr>
              <w:t>6</w:t>
            </w:r>
          </w:p>
        </w:tc>
        <w:tc>
          <w:tcPr>
            <w:tcW w:w="5812" w:type="dxa"/>
            <w:shd w:val="clear" w:color="auto" w:fill="auto"/>
            <w:vAlign w:val="center"/>
          </w:tcPr>
          <w:p w14:paraId="69206488">
            <w:pPr>
              <w:widowControl/>
              <w:spacing w:line="240" w:lineRule="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2人/班，三班。24小时值守。处置突发、应急事件</w:t>
            </w:r>
          </w:p>
        </w:tc>
      </w:tr>
      <w:tr w14:paraId="6E70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 w:type="dxa"/>
            <w:vMerge w:val="continue"/>
            <w:shd w:val="clear" w:color="auto" w:fill="auto"/>
            <w:vAlign w:val="center"/>
          </w:tcPr>
          <w:p w14:paraId="682B08BB">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noWrap/>
            <w:vAlign w:val="center"/>
          </w:tcPr>
          <w:p w14:paraId="4D43B83F">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校园固定岗</w:t>
            </w:r>
          </w:p>
        </w:tc>
        <w:tc>
          <w:tcPr>
            <w:tcW w:w="1417" w:type="dxa"/>
            <w:shd w:val="clear" w:color="auto" w:fill="auto"/>
            <w:vAlign w:val="center"/>
          </w:tcPr>
          <w:p w14:paraId="13CB0E49">
            <w:pPr>
              <w:widowControl/>
              <w:spacing w:line="240" w:lineRule="auto"/>
              <w:jc w:val="center"/>
              <w:rPr>
                <w:rFonts w:hint="default"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lang w:val="en-US" w:eastAsia="zh-CN"/>
              </w:rPr>
              <w:t>12</w:t>
            </w:r>
          </w:p>
        </w:tc>
        <w:tc>
          <w:tcPr>
            <w:tcW w:w="5812" w:type="dxa"/>
            <w:shd w:val="clear" w:color="auto" w:fill="auto"/>
            <w:vAlign w:val="center"/>
          </w:tcPr>
          <w:p w14:paraId="427AA755">
            <w:pPr>
              <w:widowControl/>
              <w:spacing w:line="240" w:lineRule="auto"/>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校园有4个区域固定岗亭，办公楼、综合楼、信息楼、学员6、7号楼。每岗3人，单岗，1人/班，24小时值守。</w:t>
            </w:r>
          </w:p>
        </w:tc>
      </w:tr>
      <w:tr w14:paraId="2E70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02" w:type="dxa"/>
            <w:vMerge w:val="continue"/>
            <w:shd w:val="clear" w:color="auto" w:fill="auto"/>
            <w:vAlign w:val="center"/>
          </w:tcPr>
          <w:p w14:paraId="29656EA8">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12756E31">
            <w:pPr>
              <w:widowControl/>
              <w:spacing w:line="240" w:lineRule="auto"/>
              <w:jc w:val="center"/>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校园巡逻岗</w:t>
            </w:r>
          </w:p>
        </w:tc>
        <w:tc>
          <w:tcPr>
            <w:tcW w:w="1417" w:type="dxa"/>
            <w:shd w:val="clear" w:color="auto" w:fill="auto"/>
            <w:vAlign w:val="center"/>
          </w:tcPr>
          <w:p w14:paraId="5A9838B0">
            <w:pPr>
              <w:widowControl/>
              <w:spacing w:line="240" w:lineRule="auto"/>
              <w:jc w:val="center"/>
              <w:rPr>
                <w:rFonts w:hint="default"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lang w:val="en-US" w:eastAsia="zh-CN"/>
              </w:rPr>
              <w:t>12</w:t>
            </w:r>
          </w:p>
        </w:tc>
        <w:tc>
          <w:tcPr>
            <w:tcW w:w="5812" w:type="dxa"/>
            <w:shd w:val="clear" w:color="auto" w:fill="auto"/>
            <w:vAlign w:val="center"/>
          </w:tcPr>
          <w:p w14:paraId="73F9A769">
            <w:pPr>
              <w:widowControl/>
              <w:spacing w:line="240" w:lineRule="auto"/>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3人/班，三班。24小时值守。处置突发、应急事件</w:t>
            </w:r>
          </w:p>
        </w:tc>
      </w:tr>
      <w:tr w14:paraId="22E2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 w:type="dxa"/>
            <w:vMerge w:val="continue"/>
            <w:shd w:val="clear" w:color="auto" w:fill="auto"/>
            <w:vAlign w:val="center"/>
          </w:tcPr>
          <w:p w14:paraId="32EF5721">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33393877">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固定岗</w:t>
            </w:r>
          </w:p>
        </w:tc>
        <w:tc>
          <w:tcPr>
            <w:tcW w:w="1417" w:type="dxa"/>
            <w:shd w:val="clear" w:color="auto" w:fill="auto"/>
            <w:vAlign w:val="center"/>
          </w:tcPr>
          <w:p w14:paraId="4CB37B56">
            <w:pPr>
              <w:widowControl/>
              <w:spacing w:line="24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5</w:t>
            </w:r>
          </w:p>
        </w:tc>
        <w:tc>
          <w:tcPr>
            <w:tcW w:w="5812" w:type="dxa"/>
            <w:vMerge w:val="restart"/>
            <w:shd w:val="clear" w:color="auto" w:fill="auto"/>
            <w:vAlign w:val="center"/>
          </w:tcPr>
          <w:p w14:paraId="058CF172">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安保服务人员配置16人，新增巡防步道约6公里的巡防、1个地下停车库的、2个消防室、五个单体的值守。</w:t>
            </w:r>
          </w:p>
        </w:tc>
      </w:tr>
      <w:tr w14:paraId="76CF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 w:type="dxa"/>
            <w:vMerge w:val="continue"/>
            <w:shd w:val="clear" w:color="auto" w:fill="auto"/>
            <w:vAlign w:val="center"/>
          </w:tcPr>
          <w:p w14:paraId="1D72C9A2">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7CCFF7E7">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消防管理员</w:t>
            </w:r>
          </w:p>
        </w:tc>
        <w:tc>
          <w:tcPr>
            <w:tcW w:w="1417" w:type="dxa"/>
            <w:shd w:val="clear" w:color="auto" w:fill="auto"/>
            <w:vAlign w:val="center"/>
          </w:tcPr>
          <w:p w14:paraId="758A4A15">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5812" w:type="dxa"/>
            <w:vMerge w:val="continue"/>
            <w:shd w:val="clear" w:color="auto" w:fill="auto"/>
            <w:vAlign w:val="center"/>
          </w:tcPr>
          <w:p w14:paraId="560DB0C8">
            <w:pPr>
              <w:widowControl/>
              <w:spacing w:line="240" w:lineRule="auto"/>
              <w:rPr>
                <w:rFonts w:ascii="仿宋" w:hAnsi="仿宋" w:eastAsia="仿宋" w:cs="宋体"/>
                <w:color w:val="auto"/>
                <w:kern w:val="0"/>
                <w:sz w:val="24"/>
                <w:highlight w:val="none"/>
              </w:rPr>
            </w:pPr>
          </w:p>
        </w:tc>
      </w:tr>
      <w:tr w14:paraId="683F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2" w:type="dxa"/>
            <w:vMerge w:val="continue"/>
            <w:shd w:val="clear" w:color="auto" w:fill="auto"/>
            <w:vAlign w:val="center"/>
          </w:tcPr>
          <w:p w14:paraId="6611EFAF">
            <w:pPr>
              <w:widowControl/>
              <w:spacing w:line="240" w:lineRule="auto"/>
              <w:jc w:val="left"/>
              <w:rPr>
                <w:rFonts w:ascii="仿宋" w:hAnsi="仿宋" w:eastAsia="仿宋" w:cs="宋体"/>
                <w:b/>
                <w:bCs/>
                <w:color w:val="auto"/>
                <w:kern w:val="0"/>
                <w:sz w:val="24"/>
                <w:highlight w:val="none"/>
              </w:rPr>
            </w:pPr>
          </w:p>
        </w:tc>
        <w:tc>
          <w:tcPr>
            <w:tcW w:w="2076" w:type="dxa"/>
            <w:shd w:val="clear" w:color="auto" w:fill="auto"/>
            <w:vAlign w:val="center"/>
          </w:tcPr>
          <w:p w14:paraId="5FD79768">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巡逻岗</w:t>
            </w:r>
          </w:p>
        </w:tc>
        <w:tc>
          <w:tcPr>
            <w:tcW w:w="1417" w:type="dxa"/>
            <w:shd w:val="clear" w:color="auto" w:fill="auto"/>
            <w:vAlign w:val="center"/>
          </w:tcPr>
          <w:p w14:paraId="5C90E2CC">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5812" w:type="dxa"/>
            <w:vMerge w:val="continue"/>
            <w:shd w:val="clear" w:color="auto" w:fill="auto"/>
            <w:vAlign w:val="center"/>
          </w:tcPr>
          <w:p w14:paraId="6EC9FBE2">
            <w:pPr>
              <w:widowControl/>
              <w:spacing w:line="240" w:lineRule="auto"/>
              <w:rPr>
                <w:rFonts w:ascii="仿宋" w:hAnsi="仿宋" w:eastAsia="仿宋" w:cs="宋体"/>
                <w:color w:val="auto"/>
                <w:kern w:val="0"/>
                <w:sz w:val="24"/>
                <w:highlight w:val="none"/>
              </w:rPr>
            </w:pPr>
          </w:p>
        </w:tc>
      </w:tr>
      <w:tr w14:paraId="10D6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8" w:type="dxa"/>
            <w:gridSpan w:val="2"/>
            <w:shd w:val="clear" w:color="auto" w:fill="auto"/>
            <w:vAlign w:val="center"/>
          </w:tcPr>
          <w:p w14:paraId="352A6976">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小计</w:t>
            </w:r>
          </w:p>
        </w:tc>
        <w:tc>
          <w:tcPr>
            <w:tcW w:w="1417" w:type="dxa"/>
            <w:shd w:val="clear" w:color="auto" w:fill="auto"/>
            <w:vAlign w:val="center"/>
          </w:tcPr>
          <w:p w14:paraId="2E356433">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81</w:t>
            </w:r>
          </w:p>
        </w:tc>
        <w:tc>
          <w:tcPr>
            <w:tcW w:w="5812" w:type="dxa"/>
            <w:shd w:val="clear" w:color="auto" w:fill="auto"/>
            <w:vAlign w:val="center"/>
          </w:tcPr>
          <w:p w14:paraId="54784EF6">
            <w:pPr>
              <w:widowControl/>
              <w:spacing w:line="240" w:lineRule="auto"/>
              <w:rPr>
                <w:rFonts w:ascii="仿宋" w:hAnsi="仿宋" w:eastAsia="仿宋" w:cs="宋体"/>
                <w:color w:val="auto"/>
                <w:kern w:val="0"/>
                <w:sz w:val="24"/>
                <w:highlight w:val="none"/>
              </w:rPr>
            </w:pPr>
          </w:p>
        </w:tc>
      </w:tr>
      <w:tr w14:paraId="7782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8" w:type="dxa"/>
            <w:gridSpan w:val="2"/>
            <w:shd w:val="clear" w:color="auto" w:fill="auto"/>
            <w:noWrap/>
            <w:vAlign w:val="center"/>
          </w:tcPr>
          <w:p w14:paraId="0EA5F69D">
            <w:pPr>
              <w:widowControl/>
              <w:spacing w:line="24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合计</w:t>
            </w:r>
          </w:p>
        </w:tc>
        <w:tc>
          <w:tcPr>
            <w:tcW w:w="1417" w:type="dxa"/>
            <w:shd w:val="clear" w:color="auto" w:fill="auto"/>
            <w:noWrap/>
            <w:vAlign w:val="center"/>
          </w:tcPr>
          <w:p w14:paraId="28C40E30">
            <w:pPr>
              <w:widowControl/>
              <w:spacing w:line="240" w:lineRule="auto"/>
              <w:jc w:val="center"/>
              <w:rPr>
                <w:rFonts w:hint="default" w:ascii="仿宋" w:hAnsi="仿宋" w:eastAsia="仿宋" w:cs="宋体"/>
                <w:b/>
                <w:bCs/>
                <w:color w:val="auto"/>
                <w:kern w:val="0"/>
                <w:sz w:val="24"/>
                <w:highlight w:val="none"/>
                <w:lang w:val="en-US" w:eastAsia="zh-CN"/>
              </w:rPr>
            </w:pPr>
            <w:r>
              <w:rPr>
                <w:rFonts w:hint="eastAsia" w:ascii="仿宋" w:hAnsi="仿宋" w:eastAsia="仿宋" w:cs="宋体"/>
                <w:b/>
                <w:bCs/>
                <w:color w:val="auto"/>
                <w:kern w:val="0"/>
                <w:sz w:val="24"/>
                <w:highlight w:val="none"/>
                <w:lang w:val="en-US" w:eastAsia="zh-CN"/>
              </w:rPr>
              <w:t>342</w:t>
            </w:r>
          </w:p>
        </w:tc>
        <w:tc>
          <w:tcPr>
            <w:tcW w:w="5812" w:type="dxa"/>
            <w:shd w:val="clear" w:color="auto" w:fill="auto"/>
            <w:noWrap/>
            <w:vAlign w:val="center"/>
          </w:tcPr>
          <w:p w14:paraId="7A91050A">
            <w:pPr>
              <w:widowControl/>
              <w:spacing w:line="240" w:lineRule="auto"/>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备注：总人数预计为</w:t>
            </w:r>
            <w:r>
              <w:rPr>
                <w:rFonts w:hint="eastAsia" w:ascii="仿宋" w:hAnsi="仿宋" w:eastAsia="仿宋" w:cs="宋体"/>
                <w:b/>
                <w:bCs/>
                <w:color w:val="auto"/>
                <w:kern w:val="0"/>
                <w:sz w:val="24"/>
                <w:highlight w:val="none"/>
                <w:lang w:val="en-US" w:eastAsia="zh-CN"/>
              </w:rPr>
              <w:t>342</w:t>
            </w:r>
            <w:r>
              <w:rPr>
                <w:rFonts w:hint="eastAsia" w:ascii="仿宋" w:hAnsi="仿宋" w:eastAsia="仿宋" w:cs="宋体"/>
                <w:b/>
                <w:bCs/>
                <w:color w:val="auto"/>
                <w:kern w:val="0"/>
                <w:sz w:val="24"/>
                <w:highlight w:val="none"/>
              </w:rPr>
              <w:t>人，具体总人数以党校实际情况为准，需要设置机动岗位，应对紧急情况的发生，供应商可以适当调整各部门具体人数。</w:t>
            </w:r>
          </w:p>
        </w:tc>
      </w:tr>
    </w:tbl>
    <w:p w14:paraId="4922D3C1">
      <w:pPr>
        <w:pStyle w:val="2"/>
        <w:rPr>
          <w:color w:val="auto"/>
          <w:highlight w:val="none"/>
        </w:rPr>
      </w:pPr>
    </w:p>
    <w:p w14:paraId="0EE15233">
      <w:pPr>
        <w:spacing w:line="360" w:lineRule="auto"/>
        <w:rPr>
          <w:rFonts w:ascii="宋体" w:hAnsi="宋体" w:cs="宋体"/>
          <w:b/>
          <w:color w:val="auto"/>
          <w:sz w:val="24"/>
          <w:highlight w:val="none"/>
        </w:rPr>
      </w:pPr>
      <w:r>
        <w:rPr>
          <w:rFonts w:hint="eastAsia" w:ascii="宋体" w:hAnsi="宋体" w:cs="宋体"/>
          <w:b/>
          <w:color w:val="auto"/>
          <w:sz w:val="24"/>
          <w:highlight w:val="none"/>
        </w:rPr>
        <w:t>五、物业服务标准及要求</w:t>
      </w:r>
    </w:p>
    <w:p w14:paraId="546297AC">
      <w:pPr>
        <w:spacing w:line="360" w:lineRule="auto"/>
        <w:ind w:firstLine="482"/>
        <w:outlineLvl w:val="2"/>
        <w:rPr>
          <w:rFonts w:ascii="仿宋" w:hAnsi="仿宋" w:eastAsia="仿宋" w:cs="宋体"/>
          <w:b/>
          <w:bCs/>
          <w:color w:val="auto"/>
          <w:sz w:val="24"/>
          <w:highlight w:val="none"/>
        </w:rPr>
      </w:pPr>
      <w:bookmarkStart w:id="3" w:name="_Toc11405466"/>
      <w:bookmarkStart w:id="4" w:name="_Toc10619587"/>
      <w:r>
        <w:rPr>
          <w:rFonts w:hint="eastAsia" w:ascii="仿宋" w:hAnsi="仿宋" w:eastAsia="仿宋" w:cs="宋体"/>
          <w:b/>
          <w:bCs/>
          <w:color w:val="auto"/>
          <w:sz w:val="24"/>
          <w:highlight w:val="none"/>
        </w:rPr>
        <w:t>（一）综合管理服务</w:t>
      </w:r>
      <w:bookmarkEnd w:id="3"/>
      <w:bookmarkEnd w:id="4"/>
    </w:p>
    <w:p w14:paraId="2D31AE0A">
      <w:pPr>
        <w:spacing w:line="360" w:lineRule="auto"/>
        <w:ind w:firstLine="573" w:firstLineChars="236"/>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、设置物业服务中心，公布24小时服务热线。</w:t>
      </w:r>
    </w:p>
    <w:p w14:paraId="71D243EC">
      <w:pPr>
        <w:spacing w:line="360" w:lineRule="auto"/>
        <w:ind w:firstLine="573" w:firstLineChars="236"/>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管理服务人员：项目经理持有项目经理上岗证，客房部经理必须是酒店专业毕业或有二年以上星级酒店管理经验；管理人员服装统一、佩戴标志、仪表整洁规范、文明服务；水、电等特种作业员工均应持有专业部门颁发的有效证书上岗，严格遵守操作规程及保养规范。所有工作人员身体健康，无任何传染性疾病。</w:t>
      </w:r>
    </w:p>
    <w:p w14:paraId="24411914">
      <w:pPr>
        <w:spacing w:line="360" w:lineRule="auto"/>
        <w:ind w:firstLine="573" w:firstLineChars="236"/>
        <w:rPr>
          <w:rFonts w:ascii="仿宋" w:hAnsi="仿宋" w:eastAsia="仿宋"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、服务时间：每天</w:t>
      </w:r>
      <w:r>
        <w:rPr>
          <w:rFonts w:ascii="宋体" w:hAnsi="宋体" w:cs="宋体"/>
          <w:color w:val="auto"/>
          <w:sz w:val="24"/>
          <w:highlight w:val="none"/>
        </w:rPr>
        <w:t>24</w:t>
      </w:r>
      <w:r>
        <w:rPr>
          <w:rFonts w:hint="eastAsia" w:ascii="宋体" w:hAnsi="宋体" w:cs="宋体"/>
          <w:color w:val="auto"/>
          <w:sz w:val="24"/>
          <w:highlight w:val="none"/>
        </w:rPr>
        <w:t>小时有管理人员接待业主和物业使用人，处理物业服务合同范围内的公共性事务，受理业主和物业使用人的咨询和投诉，答复率</w:t>
      </w:r>
      <w:r>
        <w:rPr>
          <w:rFonts w:ascii="宋体" w:hAnsi="宋体" w:cs="宋体"/>
          <w:color w:val="auto"/>
          <w:sz w:val="24"/>
          <w:highlight w:val="none"/>
        </w:rPr>
        <w:t>100%</w:t>
      </w:r>
      <w:r>
        <w:rPr>
          <w:rFonts w:hint="eastAsia" w:ascii="宋体" w:hAnsi="宋体" w:cs="宋体"/>
          <w:color w:val="auto"/>
          <w:sz w:val="24"/>
          <w:highlight w:val="none"/>
        </w:rPr>
        <w:t>（答复率计算公式：=（所有投诉、询问、来电件数/所有答复件数）*100%）、有效投诉处理率</w:t>
      </w:r>
      <w:r>
        <w:rPr>
          <w:rFonts w:ascii="宋体" w:hAnsi="宋体" w:cs="宋体"/>
          <w:color w:val="auto"/>
          <w:sz w:val="24"/>
          <w:highlight w:val="none"/>
        </w:rPr>
        <w:t>100%</w:t>
      </w:r>
      <w:r>
        <w:rPr>
          <w:rFonts w:hint="eastAsia" w:ascii="宋体" w:hAnsi="宋体" w:cs="宋体"/>
          <w:color w:val="auto"/>
          <w:sz w:val="24"/>
          <w:highlight w:val="none"/>
        </w:rPr>
        <w:t>（有效处理率计算公式=所有有效投诉件数/所有答复件数*100%）。</w:t>
      </w:r>
    </w:p>
    <w:p w14:paraId="15DA4787">
      <w:pPr>
        <w:spacing w:line="360" w:lineRule="auto"/>
        <w:ind w:firstLine="573" w:firstLineChars="236"/>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、日常管理与服务</w:t>
      </w:r>
    </w:p>
    <w:p w14:paraId="7F36484B">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）日常管理服务应符合国家和我省《物业管理条例》的有关规定以及物业服务合同的约定；</w:t>
      </w:r>
    </w:p>
    <w:p w14:paraId="321D55D2">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）建立物业管理区域内公用部位和公用设施设备的使用、公共秩序、环境卫生的维护以及绿 化养护等方面的规章制度；</w:t>
      </w:r>
    </w:p>
    <w:p w14:paraId="6B692137">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）物业服务合同签订规范；</w:t>
      </w:r>
    </w:p>
    <w:p w14:paraId="3323F051">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）实行</w:t>
      </w:r>
      <w:r>
        <w:rPr>
          <w:rFonts w:ascii="宋体" w:hAnsi="宋体" w:cs="宋体"/>
          <w:color w:val="auto"/>
          <w:sz w:val="24"/>
          <w:highlight w:val="none"/>
        </w:rPr>
        <w:t>24</w:t>
      </w:r>
      <w:r>
        <w:rPr>
          <w:rFonts w:hint="eastAsia" w:ascii="宋体" w:hAnsi="宋体" w:cs="宋体"/>
          <w:color w:val="auto"/>
          <w:sz w:val="24"/>
          <w:highlight w:val="none"/>
        </w:rPr>
        <w:t>小时报修值班制度；</w:t>
      </w:r>
    </w:p>
    <w:p w14:paraId="377A8080">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）学员宿舍实行</w:t>
      </w:r>
      <w:r>
        <w:rPr>
          <w:rFonts w:ascii="宋体" w:hAnsi="宋体" w:cs="宋体"/>
          <w:color w:val="auto"/>
          <w:sz w:val="24"/>
          <w:highlight w:val="none"/>
        </w:rPr>
        <w:t>24</w:t>
      </w:r>
      <w:r>
        <w:rPr>
          <w:rFonts w:hint="eastAsia" w:ascii="宋体" w:hAnsi="宋体" w:cs="宋体"/>
          <w:color w:val="auto"/>
          <w:sz w:val="24"/>
          <w:highlight w:val="none"/>
        </w:rPr>
        <w:t>小时值班服务，负责给报到学员配发房卡及楼房保洁服务；</w:t>
      </w:r>
    </w:p>
    <w:p w14:paraId="065E621E">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）对进出项目的装修车辆、装修人员实行出入证管理，对装修现场进行巡视；</w:t>
      </w:r>
    </w:p>
    <w:p w14:paraId="0E674C76">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）运用计算机对业主资料、房屋档案、设备档案、收费管理、日常办公等进行管理，建立完善的档案管理制度；</w:t>
      </w:r>
    </w:p>
    <w:p w14:paraId="44EBCF94">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）每年进行二次采购人满意度测评，覆盖率达到</w:t>
      </w:r>
      <w:r>
        <w:rPr>
          <w:rFonts w:ascii="宋体" w:hAnsi="宋体" w:cs="宋体"/>
          <w:color w:val="auto"/>
          <w:sz w:val="24"/>
          <w:highlight w:val="none"/>
        </w:rPr>
        <w:t>95%</w:t>
      </w:r>
      <w:r>
        <w:rPr>
          <w:rFonts w:hint="eastAsia" w:ascii="宋体" w:hAnsi="宋体" w:cs="宋体"/>
          <w:color w:val="auto"/>
          <w:sz w:val="24"/>
          <w:highlight w:val="none"/>
        </w:rPr>
        <w:t>以上（覆盖率计算公式：=教职员工40%、学员40%、来校访客20%/全体人员），对管理服务中的薄弱环节适时整改；</w:t>
      </w:r>
    </w:p>
    <w:p w14:paraId="7568E11F">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）节假日进行专题布置，每年组织二次以上文化活动。</w:t>
      </w:r>
    </w:p>
    <w:p w14:paraId="34E610C5">
      <w:pPr>
        <w:spacing w:line="360" w:lineRule="auto"/>
        <w:ind w:firstLine="573" w:firstLineChars="236"/>
        <w:rPr>
          <w:rFonts w:ascii="宋体" w:hAnsi="宋体" w:cs="宋体"/>
          <w:color w:val="auto"/>
          <w:sz w:val="24"/>
          <w:highlight w:val="none"/>
        </w:rPr>
      </w:pPr>
      <w:r>
        <w:rPr>
          <w:rFonts w:ascii="宋体" w:hAnsi="宋体" w:cs="宋体"/>
          <w:color w:val="auto"/>
          <w:sz w:val="24"/>
          <w:highlight w:val="none"/>
        </w:rPr>
        <w:t>5、搬运服务</w:t>
      </w:r>
    </w:p>
    <w:p w14:paraId="7E7CD960">
      <w:pPr>
        <w:spacing w:line="360" w:lineRule="auto"/>
        <w:ind w:firstLine="573" w:firstLineChars="236"/>
        <w:rPr>
          <w:rFonts w:ascii="宋体" w:hAnsi="宋体" w:cs="宋体"/>
          <w:color w:val="auto"/>
          <w:sz w:val="24"/>
          <w:highlight w:val="none"/>
        </w:rPr>
      </w:pPr>
      <w:r>
        <w:rPr>
          <w:rFonts w:ascii="宋体" w:hAnsi="宋体" w:cs="宋体"/>
          <w:color w:val="auto"/>
          <w:sz w:val="24"/>
          <w:highlight w:val="none"/>
        </w:rPr>
        <w:t>（1）按时到位，按要求进行搬运，按规定时限完成。</w:t>
      </w:r>
    </w:p>
    <w:p w14:paraId="5993E835">
      <w:pPr>
        <w:spacing w:line="360" w:lineRule="auto"/>
        <w:ind w:firstLine="573" w:firstLineChars="236"/>
        <w:rPr>
          <w:rFonts w:ascii="仿宋" w:hAnsi="仿宋" w:eastAsia="仿宋" w:cs="宋体"/>
          <w:color w:val="auto"/>
          <w:sz w:val="24"/>
          <w:highlight w:val="none"/>
        </w:rPr>
      </w:pPr>
      <w:r>
        <w:rPr>
          <w:rFonts w:ascii="宋体" w:hAnsi="宋体" w:cs="宋体"/>
          <w:color w:val="auto"/>
          <w:sz w:val="24"/>
          <w:highlight w:val="none"/>
        </w:rPr>
        <w:t>（2）在物（资）品搬运时，必须妥善保管，做好防水防潮处理。</w:t>
      </w:r>
    </w:p>
    <w:p w14:paraId="4C3089A5">
      <w:pPr>
        <w:spacing w:line="360" w:lineRule="auto"/>
        <w:ind w:firstLine="573" w:firstLineChars="236"/>
        <w:rPr>
          <w:rFonts w:ascii="宋体" w:hAnsi="宋体" w:cs="宋体"/>
          <w:color w:val="auto"/>
          <w:sz w:val="24"/>
          <w:highlight w:val="none"/>
        </w:rPr>
      </w:pPr>
      <w:r>
        <w:rPr>
          <w:rFonts w:ascii="宋体" w:hAnsi="宋体" w:cs="宋体"/>
          <w:color w:val="auto"/>
          <w:sz w:val="24"/>
          <w:highlight w:val="none"/>
        </w:rPr>
        <w:t>（3）搬运时，注意方法，要小心轻放，防止物品损坏。</w:t>
      </w:r>
    </w:p>
    <w:p w14:paraId="2D41E086">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6、车辆保障</w:t>
      </w:r>
      <w:r>
        <w:rPr>
          <w:rFonts w:ascii="宋体" w:hAnsi="宋体" w:cs="宋体"/>
          <w:color w:val="auto"/>
          <w:sz w:val="24"/>
          <w:highlight w:val="none"/>
        </w:rPr>
        <w:t>服务</w:t>
      </w:r>
    </w:p>
    <w:p w14:paraId="17A0BC86">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车场值班员服务标准：</w:t>
      </w:r>
    </w:p>
    <w:p w14:paraId="6E786D57">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（1）坚守值班岗位，严守值班纪律，严格落实24小时值班制度，不得脱岗；</w:t>
      </w:r>
    </w:p>
    <w:p w14:paraId="4DC573F6">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2）严格车辆出入场管理，车辆出入驾驶员均要在登记本上签字，值班员要核实相关手续，手续不齐严禁放行，出入场相关登记要完善，防止驾驶员公车私用，因履职不严，误时误事出现事故或被通报，由公司和驾驶员承担责任，并要求换人；</w:t>
      </w:r>
    </w:p>
    <w:p w14:paraId="7DB4FD1D">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(3)加强请示报告，提醒督导驾驶员按时归队入场，凡因事未按时入场的要及时向车队领导报告，并做好登记；</w:t>
      </w:r>
    </w:p>
    <w:p w14:paraId="1D897F15">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(4)做好车辆静态安全检查，尤其是夜间加强巡查力度，每晚就寝前必须确认安全后方可入睡，防止车辆被盗、被损等，凡因履职不到位，车辆被损、证件被盗，由物业管理公司追回补齐和赔偿修复；</w:t>
      </w:r>
    </w:p>
    <w:p w14:paraId="6292EA22">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(5)做好车队各楼道、走廊、会议室、活动室、洗漱间等及车队外围周边环境卫生保洁，确保清洁整齐。</w:t>
      </w:r>
    </w:p>
    <w:p w14:paraId="29661276">
      <w:pPr>
        <w:spacing w:line="360" w:lineRule="auto"/>
        <w:ind w:firstLine="573" w:firstLineChars="236"/>
        <w:rPr>
          <w:rFonts w:ascii="宋体" w:hAnsi="宋体" w:cs="宋体"/>
          <w:color w:val="auto"/>
          <w:sz w:val="24"/>
          <w:highlight w:val="none"/>
        </w:rPr>
      </w:pPr>
      <w:r>
        <w:rPr>
          <w:rFonts w:ascii="宋体" w:hAnsi="宋体" w:cs="宋体"/>
          <w:color w:val="auto"/>
          <w:sz w:val="24"/>
          <w:highlight w:val="none"/>
        </w:rPr>
        <w:t>驾驶员服务标准：</w:t>
      </w:r>
    </w:p>
    <w:p w14:paraId="389A27F5">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(1)服从安排、听从调遣，随时保持电话畅通，按单出车，着装整齐，仪容良好、举止文明，按时到指定位置，按规定的路线行驶，确保不误时误事。</w:t>
      </w:r>
    </w:p>
    <w:p w14:paraId="3CBB1C03">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(2)加强车辆维护保养及检修，积极协助维修人员对车辆技术鉴定及检修，动车前必须进行安全检查，严禁带故障出车，搞好车辆日常维护保养，及时排除故障。</w:t>
      </w:r>
    </w:p>
    <w:p w14:paraId="39E9312A">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(3)严格遵守交通法规及校（院、团）相关规定，严格操作规程，正确判断并果断处理突发情况，时时注意行车安全。</w:t>
      </w:r>
    </w:p>
    <w:p w14:paraId="1823229F">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(4)树好形象，文明行车、礼貌待人、热情服务，不开英雄车、霸王车，不超速驾驶和违规停车，不得酒后驾车和疲劳驾车，按时归队入库，严禁公车及油料私用。</w:t>
      </w:r>
    </w:p>
    <w:p w14:paraId="50EF16BD">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(5)爱护车辆，随时保持车身干净和室内整洁，严格按程序领用油料和配件，杜绝浪费。</w:t>
      </w:r>
    </w:p>
    <w:p w14:paraId="0988CC99">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(6)长途应急出车，确需加油及维修，必须逐级报批，经同意后，并由随车人在发票上签字说明，由车队领导签字确认，严禁弄虚作假。</w:t>
      </w:r>
    </w:p>
    <w:p w14:paraId="511469ED">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(7）每月底自行填写车辆运行公里、趟次、维修、油料消耗等相关记录，每季度结束３个工作日交上车队领导存档，加强开支核算，努力降低运行成本。</w:t>
      </w:r>
    </w:p>
    <w:p w14:paraId="4B5E9DA4">
      <w:pPr>
        <w:spacing w:line="360" w:lineRule="auto"/>
        <w:ind w:firstLine="573" w:firstLineChars="236"/>
        <w:rPr>
          <w:rFonts w:ascii="宋体" w:hAnsi="宋体" w:cs="宋体"/>
          <w:color w:val="auto"/>
          <w:sz w:val="24"/>
          <w:highlight w:val="none"/>
        </w:rPr>
      </w:pPr>
      <w:r>
        <w:rPr>
          <w:rFonts w:hint="eastAsia" w:ascii="宋体" w:hAnsi="宋体" w:cs="宋体"/>
          <w:color w:val="auto"/>
          <w:sz w:val="24"/>
          <w:highlight w:val="none"/>
        </w:rPr>
        <w:t>（8）违章及安全事故，物业管理公司和驾驶员承担有关全部责任。</w:t>
      </w:r>
    </w:p>
    <w:p w14:paraId="5B990116">
      <w:pPr>
        <w:spacing w:line="360" w:lineRule="auto"/>
        <w:ind w:firstLine="482"/>
        <w:outlineLvl w:val="2"/>
        <w:rPr>
          <w:rFonts w:ascii="仿宋" w:hAnsi="仿宋" w:eastAsia="仿宋" w:cs="宋体"/>
          <w:b/>
          <w:bCs/>
          <w:color w:val="auto"/>
          <w:sz w:val="24"/>
          <w:highlight w:val="none"/>
        </w:rPr>
      </w:pPr>
      <w:bookmarkStart w:id="5" w:name="_Toc10619588"/>
      <w:bookmarkStart w:id="6" w:name="_Toc11405467"/>
      <w:r>
        <w:rPr>
          <w:rFonts w:hint="eastAsia" w:ascii="仿宋" w:hAnsi="仿宋" w:eastAsia="仿宋" w:cs="宋体"/>
          <w:b/>
          <w:bCs/>
          <w:color w:val="auto"/>
          <w:sz w:val="24"/>
          <w:highlight w:val="none"/>
        </w:rPr>
        <w:t>（二）</w:t>
      </w:r>
      <w:bookmarkEnd w:id="5"/>
      <w:r>
        <w:rPr>
          <w:rFonts w:hint="eastAsia" w:ascii="仿宋" w:hAnsi="仿宋" w:eastAsia="仿宋" w:cs="宋体"/>
          <w:b/>
          <w:bCs/>
          <w:color w:val="auto"/>
          <w:sz w:val="24"/>
          <w:highlight w:val="none"/>
        </w:rPr>
        <w:t>教室、会议服务工作标准</w:t>
      </w:r>
      <w:bookmarkEnd w:id="6"/>
    </w:p>
    <w:p w14:paraId="0885A265">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一、教室工作流程和服务标准</w:t>
      </w:r>
    </w:p>
    <w:p w14:paraId="3A4A2FD1">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1、工作流程</w:t>
      </w:r>
    </w:p>
    <w:p w14:paraId="2BA486D9">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（1）按照教学管理部门提供的教学计划调配安排教室，在课前与教学管理部门再次确认人数、时间、服务要求等相关信息；</w:t>
      </w:r>
    </w:p>
    <w:p w14:paraId="05E0AD18">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（2）课前按需要领用和准备教具及其他材料；</w:t>
      </w:r>
    </w:p>
    <w:p w14:paraId="71D2BA3D">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（3）根据需要布置教室（包括讲台布置、桌椅摆放、音视频设备调试准备、准备进行曲等）；</w:t>
      </w:r>
    </w:p>
    <w:p w14:paraId="63976E4B">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（4）进行教室卫生清洁；</w:t>
      </w:r>
    </w:p>
    <w:p w14:paraId="19F2705E">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（5）再次检查音视频设备的完好性和可用性，发现问题及时解决，并在课前开启所有需要使用的设备；</w:t>
      </w:r>
    </w:p>
    <w:p w14:paraId="114A6EAC">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（6）授课期间服务人员随时备服，提供公共区域内开水服务、设备临时性故障排除、上网开通登记等服务；</w:t>
      </w:r>
    </w:p>
    <w:p w14:paraId="294B3E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（7）课后检查设备完好性，收回领用教具，关闭申请网络，清理维护使用过的电脑，并关闭所有设备和电源；</w:t>
      </w:r>
    </w:p>
    <w:p w14:paraId="5BCA32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（8）请使用者填写服务质量反馈意见表，收集整理反馈意见，研究并改进提升服务质量；</w:t>
      </w:r>
    </w:p>
    <w:p w14:paraId="2A8BDA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（9）进行教室内卫生保洁，关闭门窗；</w:t>
      </w:r>
    </w:p>
    <w:p w14:paraId="6A3DB7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（10）做好教室、易耗品使用情况、服务工作内容及频次的登记，建立教室服务工作档案，定期分析总结使用规律、授课教师喜好、易耗品用量统计。</w:t>
      </w:r>
    </w:p>
    <w:p w14:paraId="447F7909">
      <w:pPr>
        <w:spacing w:line="360" w:lineRule="auto"/>
        <w:rPr>
          <w:rFonts w:ascii="宋体" w:hAnsi="宋体" w:cs="宋体"/>
          <w:color w:val="auto"/>
          <w:sz w:val="24"/>
          <w:highlight w:val="none"/>
        </w:rPr>
      </w:pPr>
      <w:r>
        <w:rPr>
          <w:rFonts w:hint="eastAsia" w:ascii="宋体" w:hAnsi="宋体" w:cs="宋体"/>
          <w:color w:val="auto"/>
          <w:sz w:val="24"/>
          <w:highlight w:val="none"/>
        </w:rPr>
        <w:t>2、工作标准</w:t>
      </w:r>
    </w:p>
    <w:p w14:paraId="6206C1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（1）每学期结束前根据计划内办班教学计划、研究生教学计划、对外办班需求编排下学期教室使用计划；按照保障顺序原则协调相关部门，调整临时性教室使用需求，确保无冲突、无错漏；</w:t>
      </w:r>
    </w:p>
    <w:p w14:paraId="34FEC4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教室使用前，提前2天检查相关设备设施运行状况，发现问题及时报技术人员解决，故障排除在上课前1天内完成；教室内设备设施日常维护一周一次，由技术人员负责；故障排除和日常维护记录规范、完整、便于统计。</w:t>
      </w:r>
    </w:p>
    <w:p w14:paraId="473A88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课前1天按要求逐项布置好教室，备齐教具用品并认真进行领用登记，确保满足上课需求；课前教室布置标准为：桌、椅、讲台、讲桌表面和立面无尘无印记，抽屉内无尘无杂物，垃圾篓清空，地板无污渍灰尘，白板无污点字迹，窗帘放置整齐，玻璃洁净透明，所有用品用具按规定位置摆放，桌椅横纵整齐、宽度适宜，所需设施设备全部放置到位，经测试确保可用且效果满足需求。</w:t>
      </w:r>
    </w:p>
    <w:p w14:paraId="3E9BC695">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4）课前20分钟按操作程序打开教室和相关设备；根据服务需求迎接指引相关人员授课地点；授课期间服务人员随时备服，视需要提供相关服务；重要情况下技术人员需准备备用设备，随堂全程服务或待授课正常开始后3分钟方可离开；教室设备实施使用中临时出现故障需在3分钟排除、不能在3分钟内排出的启用备用设备，确保授课正常进行；服务员根据需求在指定区域提供服务，保持规范举止，不得扎堆闲聊、擅离岗位或做与工作无关的事；课间休息时及时为授课教师添加茶水，快速简易清理讲台及地面杂物；为公共的开水取用处及时添加或更换开水、茶叶、纸杯等用品，保清理周围环境，证开水温度不低于90℃，相关物品充足，桌面地面无水渍茶渣。</w:t>
      </w:r>
    </w:p>
    <w:p w14:paraId="53437DAD">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5）下课后按服务要求送走相关人员，待全部人员离开教室后方可清理教室，教室清理标准需达到课前备用状态；检查设备设施完好性，关闭申请网络，清理使用过的电脑，确保电脑桌面干净，无教师遗留课件，发现无法解决的问题及时报上级领导协调解决；拾到遗留物品需第一时间上交前台并认真登记，积极联系班主任寻找失主，归还时需认真核对并登记；将未使用的易耗品和需收回的教具及时交回领用处，并认真登记；关闭相关设备仪器、门窗，确保教室安全。</w:t>
      </w:r>
    </w:p>
    <w:p w14:paraId="61AF5ED7">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6）每次课后请授课教师填写服务质量反馈意见表，每班结束前请班主任、部分学员填写服务质量反馈意见表，每周统计分析，及时改进工作；每天对教室、易耗品使用情况、服务工作内容及频次进行认真登记，建立教室服务工作档案，每月进行汇总分析，总结使用规律、授课教师喜好、易耗品用量、设备设施故障损坏率及原因等。</w:t>
      </w:r>
    </w:p>
    <w:p w14:paraId="636DA7FE">
      <w:pPr>
        <w:spacing w:line="360" w:lineRule="auto"/>
        <w:ind w:firstLine="429" w:firstLineChars="177"/>
        <w:rPr>
          <w:rFonts w:ascii="宋体" w:hAnsi="宋体" w:cs="宋体"/>
          <w:color w:val="auto"/>
          <w:sz w:val="24"/>
          <w:highlight w:val="none"/>
        </w:rPr>
      </w:pPr>
    </w:p>
    <w:p w14:paraId="7E40A065">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二、会议服务工作流程及服务标准</w:t>
      </w:r>
    </w:p>
    <w:p w14:paraId="234C5587">
      <w:pPr>
        <w:spacing w:line="360" w:lineRule="auto"/>
        <w:ind w:firstLine="550" w:firstLineChars="227"/>
        <w:rPr>
          <w:rFonts w:ascii="宋体" w:hAnsi="宋体" w:cs="宋体"/>
          <w:color w:val="auto"/>
          <w:sz w:val="24"/>
          <w:highlight w:val="none"/>
        </w:rPr>
      </w:pPr>
      <w:r>
        <w:rPr>
          <w:rFonts w:hint="eastAsia" w:ascii="宋体" w:hAnsi="宋体" w:cs="宋体"/>
          <w:color w:val="auto"/>
          <w:sz w:val="24"/>
          <w:highlight w:val="none"/>
        </w:rPr>
        <w:t>1、会议服务工作流程</w:t>
      </w:r>
    </w:p>
    <w:p w14:paraId="06363018">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1）领受任务：向会议主办方确认会议名称、会议性质、参会人数、参会对象情况及名单、会期、组织形式、会议日程安排、座次表、主持人、会议活动范围、会标及场景布置需求等需提前准备的内容和注意事项；</w:t>
      </w:r>
    </w:p>
    <w:p w14:paraId="6646B4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会前准备：根据需要制作或打印电子会标、制作摆放席位牌、调试音视频设备和空调设备、按要求布置主席台、排放茶具饮品、布置会议签到台和签到簿、制作并布置会场指示或报道指示、按要求摆放茶歇、安排会前、会间休息场所及服务内容、配备相关服务人员、协调会场录音录像工作、进行会场清洁、根据需要协调相关部门和人员提供应急备服，明确应急处置方案（火灾疏散、失窃、会议室停电、电梯停电、急症救护等）、进行礼仪彩排（颁发证书、迎宾、引导等）</w:t>
      </w:r>
    </w:p>
    <w:p w14:paraId="3ECF1C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（3）会前检查：配合会议主办方进行会前检查，确认所有准备是否到位；</w:t>
      </w:r>
    </w:p>
    <w:p w14:paraId="5F41A8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（4）报到：安排服务人员完成前台咨询、签到、收费、电梯引领、会场引领、及其他相关服务引领；</w:t>
      </w:r>
    </w:p>
    <w:p w14:paraId="4E478A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（5）会场服务：按要求为主席台更换热毛巾、提供会场茶水服务、会场音视频设备全程服务、维护会场秩序、做好中途进出会场人员的引领；</w:t>
      </w:r>
    </w:p>
    <w:p w14:paraId="1F4E9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（6）应急备服：协调相关部门的相关人员在会期内做好应急备服准备，确保应急设施、物品、人员到位。</w:t>
      </w:r>
    </w:p>
    <w:p w14:paraId="6C3B84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（7）会后清理：收回会议物品（如：笔、本、纸、茶具等）、清理参会人员遗留物品并登记返还、清洁会场、撤出并归位临时加入会场的桌椅及设备、核对登记耗用物品数量，收回登记未使用完的物品；</w:t>
      </w:r>
    </w:p>
    <w:p w14:paraId="5844E6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（8）会后检查：会后检查相关设备设施完好性，关闭电源、设备及门窗；</w:t>
      </w:r>
    </w:p>
    <w:p w14:paraId="2AEF0D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（9）质量反馈：请会议主办方填写服务质量反馈意见表，收集整理服务反馈意见，研究并提升服务质量。</w:t>
      </w:r>
    </w:p>
    <w:p w14:paraId="66546C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（10）基础工作：做好会议室、易耗品使用情况、服务工作内容及频次的登记，建立会议服务工作档案，定期分析总结使用规律、主办方及重要领导喜好、易耗品用量统计。</w:t>
      </w:r>
    </w:p>
    <w:p w14:paraId="347014E6">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 xml:space="preserve">    2、会议服务工作标准</w:t>
      </w:r>
    </w:p>
    <w:p w14:paraId="0FC23E38">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1）仪容仪表及礼节礼貌：服务员上岗前按要求规范穿着工作装、佩戴工牌；女性化淡妆，短发整齐，长发规范盘起，不染艳色头发，不涂指甲，不带首饰；男性不留长发胡须，仪容仪表端庄、整洁，精神饱满；坐、立、行、蹲保持正确姿势，真诚微笑，来宾到达时热情迎候，依次接待；写规范字、讲普通话，使用礼貌用语，服务对象距离自身50cm时主动问候“早上好”、“下午好”、“晚上好”，同事之间碰面也需相互问候。</w:t>
      </w:r>
    </w:p>
    <w:p w14:paraId="1CFBFAD9">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（2）任务领受：会议任务领受过程中，与会议主办方建立良好的沟通协调关系，态度积极主动，沟通及时有效、服务任务明晰准确、在条件范围内最大限度满足服务对象需求，给会议主办方留下较好的印象。</w:t>
      </w:r>
    </w:p>
    <w:p w14:paraId="063F90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会前准备：按岗位职责、工作流程及分配任务做好会前准备，确保人员、物品、设备设施、工作环节到位，具体包括：及时、准确地制作并摆放会标、席位卡；调试音视频设备及空调设备，确保相关设备无故障隐患，试用效果良好，提供的音视频资料准确无误；会前清洁认真仔细，地面和其它物体表面无破损、无灰尘、无污渍、无蜘蛛网，会场干净整洁；会场物品放置恰当规范、整齐美观，布置符合要求；会议签到台布置及时、设置合理，签到簿规范统一，会场及报道指示摆放及时醒目；会前及会间休息场所达到备用状态，相关服务任务明确、人员配备合理、到位；相关礼仪服务彩排在会前1天内完成；录音录像及应急备服相关人员、物品及措施到位。</w:t>
      </w:r>
    </w:p>
    <w:p w14:paraId="6B0EB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（4）会前检查：主动衔接会议主办方负责人进行会前检查确认，再次确保各项物资、人员、措施到位。</w:t>
      </w:r>
    </w:p>
    <w:p w14:paraId="42490D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（5）报到及前台服务：前台接待热情周到、耐心细致；与相关工作部门衔接及时、配合默契，对突发情况和变化调整及时，处置得当；服务操作熟练，流程、姿势规范统一；参会人员报到秩序井然。</w:t>
      </w:r>
    </w:p>
    <w:p w14:paraId="1A5B92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（6）会场服务：会前30分钟准时到达会场，重大会议前6</w:t>
      </w:r>
      <w:r>
        <w:rPr>
          <w:rFonts w:ascii="宋体" w:hAnsi="宋体" w:cs="宋体"/>
          <w:color w:val="auto"/>
          <w:sz w:val="24"/>
          <w:highlight w:val="none"/>
        </w:rPr>
        <w:t>0</w:t>
      </w:r>
      <w:r>
        <w:rPr>
          <w:rFonts w:hint="eastAsia" w:ascii="宋体" w:hAnsi="宋体" w:cs="宋体"/>
          <w:color w:val="auto"/>
          <w:sz w:val="24"/>
          <w:highlight w:val="none"/>
        </w:rPr>
        <w:t>分钟，全过程技术保障，开启相关设备设施，确保音视频设备进入备用状态，会场照度和温度适宜，既满足需要又节能环保；根据会议需求技术人员随堂服务或在会议开始后3分钟，确保相关设施设备运行正常后方可撤离现场，所播放音视频资料准确及时，无迟播、早播、误播现象，会议进行中出现临时故障需在3分钟排除、不能在3分钟内排出的启用备用设备，确保会议正常进行；根据实际情况，会议开始前15至30分钟为服务对象倒上热茶（配置矿泉水的除外）、会议开始前2分钟送上热毛巾，会议开始后，热情引导参会人员入座，视服务对象饮水频率每隔15至30分钟续水一次，续水走动路线合理、动作规范统一；会场服务员根据需求在指定区域提供服务，保持规范举止，悉心观察会场情况，正确调整工作反应，及时提供相关服务；协助会议主持维护会场内、外秩序，确保会场内外秩序井然；严格遵守保密制度，不打听、不传播会议内容，保管好会间遗留或放置在会场的会议资料，不随意丢弃会议资料；相关服务人员服务热情主动、耐心周到，态度和蔼、语言文明、行为规范，无脱节断档和其它影响会议效果等情况。</w:t>
      </w:r>
    </w:p>
    <w:p w14:paraId="0E94ED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7）会后清理：会后清理及时、仔细，保洁区域无污迹；及时回收未使用的易耗品和需收回的会场物品并交回领用处，确保无遗漏无差错；及时归位临时加入会场的物品，并确保其在搬运过程中不受损坏；拾到遗留物品需第一时间上交前台并认真登记，积极联系会议主办方寻找失主，并在归还时认真核对登记；关闭相关设备仪器、门窗，确保教室安全。</w:t>
      </w:r>
    </w:p>
    <w:p w14:paraId="5BDA87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8）质量反馈及基础工作：会议结束前，请会议主办方或服务对象填写服务质量反馈意见表，每周统计分析，提出改进措施并实施；每天及时对耗用品使用情况、会议服务工作内容及频次进行认真登记，确保登记准确、规范，便于统计；建立会议服务工作档案，每月进行汇总分析，总结使用规律、满足会议主办方及主要参会领导要求、易耗品用量、设备设施故障损坏率及原因等，不断改进工作。</w:t>
      </w:r>
    </w:p>
    <w:p w14:paraId="3E1321B1">
      <w:pPr>
        <w:spacing w:line="360" w:lineRule="auto"/>
        <w:ind w:firstLine="429" w:firstLineChars="177"/>
        <w:rPr>
          <w:rFonts w:ascii="宋体" w:hAnsi="宋体" w:cs="宋体"/>
          <w:color w:val="auto"/>
          <w:sz w:val="24"/>
          <w:highlight w:val="none"/>
        </w:rPr>
      </w:pPr>
      <w:r>
        <w:rPr>
          <w:rFonts w:hint="eastAsia" w:ascii="宋体" w:hAnsi="宋体" w:cs="宋体"/>
          <w:color w:val="auto"/>
          <w:sz w:val="24"/>
          <w:highlight w:val="none"/>
        </w:rPr>
        <w:t>（9）卫生消毒：对使用的茶杯和毛巾按照配比、时间要求和操作规范逐次消毒，消毒完毕后规范存放；对会场环境和设施设备定期消毒，有效防止传染病传播；取茶使用专用茶匙，开水烧热彻底，确保茶水服务操作卫生，饮用水符合食品卫生标准。</w:t>
      </w:r>
    </w:p>
    <w:p w14:paraId="73A083EE">
      <w:pPr>
        <w:spacing w:line="360" w:lineRule="auto"/>
        <w:ind w:firstLine="482"/>
        <w:outlineLvl w:val="2"/>
        <w:rPr>
          <w:rFonts w:ascii="宋体" w:hAnsi="宋体" w:cs="宋体"/>
          <w:b/>
          <w:bCs/>
          <w:color w:val="auto"/>
          <w:sz w:val="24"/>
          <w:highlight w:val="none"/>
        </w:rPr>
      </w:pPr>
      <w:bookmarkStart w:id="7" w:name="_Toc11405468"/>
      <w:bookmarkStart w:id="8" w:name="_Toc10619589"/>
      <w:r>
        <w:rPr>
          <w:rFonts w:hint="eastAsia" w:ascii="宋体" w:hAnsi="宋体" w:cs="宋体"/>
          <w:b/>
          <w:bCs/>
          <w:color w:val="auto"/>
          <w:sz w:val="24"/>
          <w:highlight w:val="none"/>
        </w:rPr>
        <w:t>（三）工程管理服务</w:t>
      </w:r>
      <w:bookmarkEnd w:id="7"/>
      <w:bookmarkEnd w:id="8"/>
    </w:p>
    <w:p w14:paraId="1039A1B6">
      <w:pPr>
        <w:pStyle w:val="10"/>
        <w:spacing w:after="100" w:line="360" w:lineRule="auto"/>
        <w:ind w:left="142" w:leftChars="67" w:firstLine="573" w:firstLineChars="236"/>
        <w:rPr>
          <w:rFonts w:ascii="宋体" w:hAnsi="宋体"/>
          <w:color w:val="auto"/>
          <w:sz w:val="24"/>
          <w:szCs w:val="24"/>
          <w:highlight w:val="none"/>
        </w:rPr>
      </w:pPr>
      <w:r>
        <w:rPr>
          <w:rFonts w:ascii="宋体" w:hAnsi="宋体"/>
          <w:color w:val="auto"/>
          <w:sz w:val="24"/>
          <w:szCs w:val="24"/>
          <w:highlight w:val="none"/>
        </w:rPr>
        <w:t>目前省委党校的机电设备设施系统是供配电系统</w:t>
      </w:r>
      <w:r>
        <w:rPr>
          <w:rFonts w:hint="eastAsia" w:ascii="宋体" w:hAnsi="宋体"/>
          <w:color w:val="auto"/>
          <w:sz w:val="24"/>
          <w:szCs w:val="24"/>
          <w:highlight w:val="none"/>
        </w:rPr>
        <w:t>（签订合同后，由采购人相关部门配合，提供施工图纸及装修图纸）</w:t>
      </w:r>
      <w:r>
        <w:rPr>
          <w:rFonts w:ascii="宋体" w:hAnsi="宋体"/>
          <w:color w:val="auto"/>
          <w:sz w:val="24"/>
          <w:szCs w:val="24"/>
          <w:highlight w:val="none"/>
        </w:rPr>
        <w:t>、给排水系统、中央空调系统（多联机空调），信息化系统（含：办公网络系统、会议系统）</w:t>
      </w:r>
      <w:r>
        <w:rPr>
          <w:rFonts w:hint="eastAsia" w:ascii="宋体" w:hAnsi="宋体"/>
          <w:color w:val="auto"/>
          <w:sz w:val="24"/>
          <w:szCs w:val="24"/>
          <w:highlight w:val="none"/>
        </w:rPr>
        <w:t>、电梯系统</w:t>
      </w:r>
      <w:r>
        <w:rPr>
          <w:rFonts w:ascii="宋体" w:hAnsi="宋体"/>
          <w:color w:val="auto"/>
          <w:sz w:val="24"/>
          <w:szCs w:val="24"/>
          <w:highlight w:val="none"/>
        </w:rPr>
        <w:t>等组成：</w:t>
      </w:r>
    </w:p>
    <w:p w14:paraId="2789E208">
      <w:pPr>
        <w:spacing w:line="360" w:lineRule="auto"/>
        <w:ind w:left="480" w:firstLine="482"/>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、供配电系统：</w:t>
      </w:r>
    </w:p>
    <w:p w14:paraId="11533E1C">
      <w:pPr>
        <w:spacing w:line="360" w:lineRule="auto"/>
        <w:ind w:firstLine="480"/>
        <w:rPr>
          <w:rFonts w:ascii="宋体" w:hAnsi="宋体"/>
          <w:color w:val="auto"/>
          <w:sz w:val="24"/>
          <w:highlight w:val="none"/>
        </w:rPr>
      </w:pPr>
      <w:r>
        <w:rPr>
          <w:rFonts w:hint="eastAsia" w:ascii="宋体" w:hAnsi="宋体"/>
          <w:color w:val="auto"/>
          <w:sz w:val="24"/>
          <w:highlight w:val="none"/>
        </w:rPr>
        <w:t>（1）供电进线位于溪青、岩楼双回路，校</w:t>
      </w:r>
      <w:r>
        <w:rPr>
          <w:rFonts w:ascii="宋体" w:hAnsi="宋体"/>
          <w:color w:val="auto"/>
          <w:sz w:val="24"/>
          <w:highlight w:val="none"/>
        </w:rPr>
        <w:t>园总容量</w:t>
      </w:r>
      <w:r>
        <w:rPr>
          <w:rFonts w:hint="eastAsia" w:ascii="宋体" w:hAnsi="宋体"/>
          <w:color w:val="auto"/>
          <w:sz w:val="24"/>
          <w:highlight w:val="none"/>
        </w:rPr>
        <w:t>5208KVA。其</w:t>
      </w:r>
      <w:r>
        <w:rPr>
          <w:rFonts w:ascii="宋体" w:hAnsi="宋体"/>
          <w:color w:val="auto"/>
          <w:sz w:val="24"/>
          <w:highlight w:val="none"/>
        </w:rPr>
        <w:t>中</w:t>
      </w:r>
      <w:r>
        <w:rPr>
          <w:rFonts w:hint="eastAsia" w:ascii="宋体" w:hAnsi="宋体"/>
          <w:color w:val="auto"/>
          <w:sz w:val="24"/>
          <w:highlight w:val="none"/>
        </w:rPr>
        <w:t>花溪变电站（溪青线）；方位党校北面；距离</w:t>
      </w:r>
      <w:r>
        <w:rPr>
          <w:rFonts w:ascii="宋体" w:hAnsi="宋体"/>
          <w:color w:val="auto"/>
          <w:sz w:val="24"/>
          <w:highlight w:val="none"/>
        </w:rPr>
        <w:t>3</w:t>
      </w:r>
      <w:r>
        <w:rPr>
          <w:rFonts w:hint="eastAsia" w:ascii="宋体" w:hAnsi="宋体"/>
          <w:color w:val="auto"/>
          <w:sz w:val="24"/>
          <w:highlight w:val="none"/>
        </w:rPr>
        <w:t>公里；青岩变电站（岩楼线）；方位党校南面；距离</w:t>
      </w:r>
      <w:r>
        <w:rPr>
          <w:rFonts w:ascii="宋体" w:hAnsi="宋体"/>
          <w:color w:val="auto"/>
          <w:sz w:val="24"/>
          <w:highlight w:val="none"/>
        </w:rPr>
        <w:t>6</w:t>
      </w:r>
      <w:r>
        <w:rPr>
          <w:rFonts w:hint="eastAsia" w:ascii="宋体" w:hAnsi="宋体"/>
          <w:color w:val="auto"/>
          <w:sz w:val="24"/>
          <w:highlight w:val="none"/>
        </w:rPr>
        <w:t>公里。供电电压</w:t>
      </w:r>
      <w:r>
        <w:rPr>
          <w:rFonts w:ascii="宋体" w:hAnsi="宋体"/>
          <w:color w:val="auto"/>
          <w:sz w:val="24"/>
          <w:highlight w:val="none"/>
        </w:rPr>
        <w:t>10kv</w:t>
      </w:r>
      <w:r>
        <w:rPr>
          <w:rFonts w:hint="eastAsia" w:ascii="宋体" w:hAnsi="宋体"/>
          <w:color w:val="auto"/>
          <w:sz w:val="24"/>
          <w:highlight w:val="none"/>
        </w:rPr>
        <w:t>；线路规格架空绝缘导线</w:t>
      </w:r>
      <w:r>
        <w:rPr>
          <w:rFonts w:ascii="宋体" w:hAnsi="宋体"/>
          <w:color w:val="auto"/>
          <w:sz w:val="24"/>
          <w:highlight w:val="none"/>
        </w:rPr>
        <w:t>185mm</w:t>
      </w:r>
      <w:r>
        <w:rPr>
          <w:rFonts w:ascii="宋体" w:hAnsi="宋体"/>
          <w:color w:val="auto"/>
          <w:sz w:val="24"/>
          <w:highlight w:val="none"/>
          <w:vertAlign w:val="superscript"/>
        </w:rPr>
        <w:t>2</w:t>
      </w:r>
      <w:r>
        <w:rPr>
          <w:rFonts w:hint="eastAsia" w:ascii="宋体" w:hAnsi="宋体"/>
          <w:color w:val="auto"/>
          <w:sz w:val="24"/>
          <w:highlight w:val="none"/>
        </w:rPr>
        <w:t>。青溪线是主电源，校内供应变压器10台，备用电源岩楼线，有单独配电房。</w:t>
      </w:r>
    </w:p>
    <w:p w14:paraId="4759B6AB">
      <w:pPr>
        <w:spacing w:line="360" w:lineRule="auto"/>
        <w:ind w:firstLine="480"/>
        <w:rPr>
          <w:rFonts w:ascii="宋体" w:hAnsi="宋体"/>
          <w:color w:val="auto"/>
          <w:sz w:val="24"/>
          <w:highlight w:val="none"/>
        </w:rPr>
      </w:pPr>
      <w:r>
        <w:rPr>
          <w:rFonts w:hint="eastAsia" w:ascii="宋体" w:hAnsi="宋体"/>
          <w:color w:val="auto"/>
          <w:sz w:val="24"/>
          <w:highlight w:val="none"/>
        </w:rPr>
        <w:t>（2）高压配套系统：进线柜4台；PT柜1台；出线柜4台；直流屏：1台；高压配电室：综合楼10KV配电室：630KVA（2台）；地厅3号楼箱变： 1000KVA（1台）学员食堂箱变： 630KVA（1台）；办大公楼箱变： 1000KVA（1台）；自修楼箱变： 500KVA（1台）；学员6号楼变压室：  500KVA（1台）</w:t>
      </w:r>
      <w:r>
        <w:rPr>
          <w:rFonts w:ascii="宋体" w:hAnsi="宋体"/>
          <w:color w:val="auto"/>
          <w:sz w:val="24"/>
          <w:highlight w:val="none"/>
        </w:rPr>
        <w:t>；</w:t>
      </w:r>
      <w:r>
        <w:rPr>
          <w:rFonts w:hint="eastAsia" w:ascii="宋体" w:hAnsi="宋体"/>
          <w:color w:val="auto"/>
          <w:sz w:val="24"/>
          <w:highlight w:val="none"/>
        </w:rPr>
        <w:t xml:space="preserve">学员7号楼箱变： 318KVA（1台）。 </w:t>
      </w:r>
    </w:p>
    <w:p w14:paraId="67475942">
      <w:pPr>
        <w:spacing w:line="360" w:lineRule="auto"/>
        <w:ind w:firstLine="480"/>
        <w:rPr>
          <w:rFonts w:ascii="宋体" w:hAnsi="宋体"/>
          <w:color w:val="auto"/>
          <w:sz w:val="24"/>
          <w:highlight w:val="none"/>
        </w:rPr>
      </w:pPr>
      <w:r>
        <w:rPr>
          <w:rFonts w:hint="eastAsia" w:ascii="宋体" w:hAnsi="宋体"/>
          <w:color w:val="auto"/>
          <w:sz w:val="24"/>
          <w:highlight w:val="none"/>
        </w:rPr>
        <w:t>（3）低压配电室：办公大楼低压柜4台；信息管理处低压柜1台；自修楼低压柜1台；六号学员楼低压柜2台；六号学员楼低压柜2台；综合楼报告厅低压柜2台；综合楼10KV低压柜1号集装柜1台、2号集装柜1台；地厅1号楼低压柜3台；地厅2号楼低压柜3台；地厅3号楼低压柜1号集装柜1台、2号集装柜1台。</w:t>
      </w:r>
    </w:p>
    <w:p w14:paraId="022DA432">
      <w:pPr>
        <w:spacing w:line="360" w:lineRule="auto"/>
        <w:ind w:left="480" w:firstLine="482"/>
        <w:rPr>
          <w:rFonts w:ascii="宋体" w:hAnsi="宋体"/>
          <w:b/>
          <w:color w:val="auto"/>
          <w:sz w:val="24"/>
          <w:highlight w:val="none"/>
        </w:rPr>
      </w:pPr>
      <w:r>
        <w:rPr>
          <w:rFonts w:hint="eastAsia" w:ascii="宋体" w:hAnsi="宋体"/>
          <w:b/>
          <w:color w:val="auto"/>
          <w:sz w:val="24"/>
          <w:highlight w:val="none"/>
        </w:rPr>
        <w:t>2、给排水</w:t>
      </w:r>
      <w:r>
        <w:rPr>
          <w:rFonts w:ascii="宋体" w:hAnsi="宋体"/>
          <w:b/>
          <w:color w:val="auto"/>
          <w:sz w:val="24"/>
          <w:highlight w:val="none"/>
        </w:rPr>
        <w:t>系统：</w:t>
      </w:r>
    </w:p>
    <w:p w14:paraId="629073CF">
      <w:pPr>
        <w:spacing w:line="360" w:lineRule="auto"/>
        <w:ind w:firstLine="480"/>
        <w:rPr>
          <w:rFonts w:ascii="宋体" w:hAnsi="宋体"/>
          <w:color w:val="auto"/>
          <w:sz w:val="24"/>
          <w:highlight w:val="none"/>
        </w:rPr>
      </w:pPr>
      <w:r>
        <w:rPr>
          <w:rFonts w:hint="eastAsia" w:ascii="宋体" w:hAnsi="宋体"/>
          <w:color w:val="auto"/>
          <w:sz w:val="24"/>
          <w:highlight w:val="none"/>
        </w:rPr>
        <w:t>（1）校园给排水系统等设施设备。</w:t>
      </w:r>
    </w:p>
    <w:p w14:paraId="0D4C1EBA">
      <w:pPr>
        <w:tabs>
          <w:tab w:val="left" w:pos="720"/>
          <w:tab w:val="left" w:pos="900"/>
          <w:tab w:val="left" w:pos="1080"/>
          <w:tab w:val="left" w:pos="1260"/>
          <w:tab w:val="left" w:pos="1440"/>
        </w:tabs>
        <w:spacing w:line="360" w:lineRule="auto"/>
        <w:ind w:firstLine="480"/>
        <w:rPr>
          <w:rFonts w:ascii="宋体" w:hAnsi="宋体"/>
          <w:color w:val="auto"/>
          <w:sz w:val="24"/>
          <w:highlight w:val="none"/>
        </w:rPr>
      </w:pPr>
      <w:r>
        <w:rPr>
          <w:rFonts w:hint="eastAsia" w:ascii="宋体" w:hAnsi="宋体"/>
          <w:color w:val="auto"/>
          <w:sz w:val="24"/>
          <w:highlight w:val="none"/>
        </w:rPr>
        <w:t>（2）自备水源：抽水机房一座（位于下板桥）。</w:t>
      </w:r>
    </w:p>
    <w:p w14:paraId="185B2CA7">
      <w:pPr>
        <w:spacing w:line="360" w:lineRule="auto"/>
        <w:ind w:left="480" w:firstLine="482"/>
        <w:rPr>
          <w:rFonts w:ascii="宋体" w:hAnsi="宋体"/>
          <w:b/>
          <w:color w:val="auto"/>
          <w:sz w:val="24"/>
          <w:highlight w:val="none"/>
        </w:rPr>
      </w:pPr>
      <w:r>
        <w:rPr>
          <w:rFonts w:hint="eastAsia" w:ascii="宋体" w:hAnsi="宋体"/>
          <w:b/>
          <w:color w:val="auto"/>
          <w:sz w:val="24"/>
          <w:highlight w:val="none"/>
        </w:rPr>
        <w:t>3、中央空调系统（多联机空调）</w:t>
      </w:r>
      <w:r>
        <w:rPr>
          <w:rFonts w:ascii="宋体" w:hAnsi="宋体"/>
          <w:b/>
          <w:color w:val="auto"/>
          <w:sz w:val="24"/>
          <w:highlight w:val="none"/>
        </w:rPr>
        <w:t>：</w:t>
      </w:r>
    </w:p>
    <w:p w14:paraId="4DF4B67E">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空调</w:t>
      </w:r>
      <w:r>
        <w:rPr>
          <w:rFonts w:ascii="宋体" w:hAnsi="宋体"/>
          <w:color w:val="auto"/>
          <w:sz w:val="24"/>
          <w:highlight w:val="none"/>
        </w:rPr>
        <w:t>系统有</w:t>
      </w:r>
      <w:r>
        <w:rPr>
          <w:rFonts w:hint="eastAsia" w:ascii="宋体" w:hAnsi="宋体"/>
          <w:color w:val="auto"/>
          <w:sz w:val="24"/>
          <w:highlight w:val="none"/>
        </w:rPr>
        <w:t>中</w:t>
      </w:r>
      <w:r>
        <w:rPr>
          <w:rFonts w:ascii="宋体" w:hAnsi="宋体"/>
          <w:color w:val="auto"/>
          <w:sz w:val="24"/>
          <w:highlight w:val="none"/>
        </w:rPr>
        <w:t>央空调和多联机空调两种</w:t>
      </w:r>
      <w:r>
        <w:rPr>
          <w:rFonts w:hint="eastAsia" w:ascii="宋体" w:hAnsi="宋体"/>
          <w:color w:val="auto"/>
          <w:sz w:val="24"/>
          <w:highlight w:val="none"/>
        </w:rPr>
        <w:t>模式（含单体空调及所有办公区域空调）的相关设施设备，</w:t>
      </w:r>
      <w:r>
        <w:rPr>
          <w:rFonts w:hint="eastAsia" w:ascii="宋体" w:hAnsi="宋体" w:cs="宋体"/>
          <w:color w:val="auto"/>
          <w:sz w:val="24"/>
          <w:highlight w:val="none"/>
        </w:rPr>
        <w:t>一期能源站配置有：冷气机组3台，热水锅炉2台，采暖锅炉2台，冷却塔3台；二期能源站配置有：冷气机组3台，热水机组3台，冷却塔3台、无暖气片。</w:t>
      </w:r>
    </w:p>
    <w:p w14:paraId="7D59E51B">
      <w:pPr>
        <w:spacing w:line="360" w:lineRule="auto"/>
        <w:ind w:left="480" w:firstLine="482"/>
        <w:rPr>
          <w:rFonts w:ascii="宋体" w:hAnsi="宋体"/>
          <w:b/>
          <w:color w:val="auto"/>
          <w:sz w:val="24"/>
          <w:highlight w:val="none"/>
        </w:rPr>
      </w:pPr>
      <w:r>
        <w:rPr>
          <w:rFonts w:hint="eastAsia" w:ascii="宋体" w:hAnsi="宋体"/>
          <w:b/>
          <w:color w:val="auto"/>
          <w:sz w:val="24"/>
          <w:highlight w:val="none"/>
        </w:rPr>
        <w:t>4、信息</w:t>
      </w:r>
      <w:r>
        <w:rPr>
          <w:rFonts w:ascii="宋体" w:hAnsi="宋体"/>
          <w:b/>
          <w:color w:val="auto"/>
          <w:sz w:val="24"/>
          <w:highlight w:val="none"/>
        </w:rPr>
        <w:t>化</w:t>
      </w:r>
      <w:r>
        <w:rPr>
          <w:rFonts w:hint="eastAsia" w:ascii="宋体" w:hAnsi="宋体"/>
          <w:b/>
          <w:color w:val="auto"/>
          <w:sz w:val="24"/>
          <w:highlight w:val="none"/>
        </w:rPr>
        <w:t>系统（办公网络系统</w:t>
      </w:r>
      <w:r>
        <w:rPr>
          <w:rFonts w:ascii="宋体" w:hAnsi="宋体"/>
          <w:b/>
          <w:color w:val="auto"/>
          <w:sz w:val="24"/>
          <w:highlight w:val="none"/>
        </w:rPr>
        <w:t>、会议系统</w:t>
      </w:r>
      <w:r>
        <w:rPr>
          <w:rFonts w:hint="eastAsia" w:ascii="宋体" w:hAnsi="宋体"/>
          <w:b/>
          <w:color w:val="auto"/>
          <w:sz w:val="24"/>
          <w:highlight w:val="none"/>
        </w:rPr>
        <w:t>）</w:t>
      </w:r>
      <w:r>
        <w:rPr>
          <w:rFonts w:ascii="宋体" w:hAnsi="宋体"/>
          <w:b/>
          <w:color w:val="auto"/>
          <w:sz w:val="24"/>
          <w:highlight w:val="none"/>
        </w:rPr>
        <w:t>：</w:t>
      </w:r>
    </w:p>
    <w:p w14:paraId="360C9ABE">
      <w:pPr>
        <w:spacing w:line="360" w:lineRule="auto"/>
        <w:ind w:firstLine="364" w:firstLineChars="150"/>
        <w:rPr>
          <w:rFonts w:hint="eastAsia" w:ascii="宋体" w:hAnsi="宋体"/>
          <w:color w:val="auto"/>
          <w:sz w:val="24"/>
          <w:highlight w:val="none"/>
        </w:rPr>
      </w:pPr>
      <w:r>
        <w:rPr>
          <w:rFonts w:hint="eastAsia" w:ascii="宋体" w:hAnsi="宋体"/>
          <w:color w:val="auto"/>
          <w:sz w:val="24"/>
          <w:highlight w:val="none"/>
        </w:rPr>
        <w:t>（1）办公设备运维保障</w:t>
      </w:r>
    </w:p>
    <w:p w14:paraId="4C84E048">
      <w:pPr>
        <w:spacing w:line="360" w:lineRule="auto"/>
        <w:ind w:firstLine="364" w:firstLineChars="150"/>
        <w:rPr>
          <w:rFonts w:hint="eastAsia" w:ascii="宋体" w:hAnsi="宋体"/>
          <w:color w:val="auto"/>
          <w:sz w:val="24"/>
          <w:highlight w:val="none"/>
        </w:rPr>
      </w:pPr>
      <w:r>
        <w:rPr>
          <w:rFonts w:hint="eastAsia" w:ascii="宋体" w:hAnsi="宋体"/>
          <w:color w:val="auto"/>
          <w:sz w:val="24"/>
          <w:highlight w:val="none"/>
        </w:rPr>
        <w:t>负责办公区、学员宿舍区、教学区、会议区、休闲区等区域的各类办公设备（如计算机、打印机、多媒体一体机、智能门锁等）的全面运维保障工作，包括设备日常检查、定期维护、故障排除及应急修复。</w:t>
      </w:r>
    </w:p>
    <w:p w14:paraId="0626FC4A">
      <w:pPr>
        <w:spacing w:line="360" w:lineRule="auto"/>
        <w:ind w:firstLine="364" w:firstLineChars="150"/>
        <w:rPr>
          <w:rFonts w:hint="eastAsia" w:ascii="宋体" w:hAnsi="宋体"/>
          <w:color w:val="auto"/>
          <w:sz w:val="24"/>
          <w:highlight w:val="none"/>
        </w:rPr>
      </w:pPr>
      <w:r>
        <w:rPr>
          <w:rFonts w:hint="eastAsia" w:ascii="宋体" w:hAnsi="宋体"/>
          <w:color w:val="auto"/>
          <w:sz w:val="24"/>
          <w:highlight w:val="none"/>
        </w:rPr>
        <w:t>（2）多媒体系统运行保障</w:t>
      </w:r>
    </w:p>
    <w:p w14:paraId="65390A54">
      <w:pPr>
        <w:spacing w:line="360" w:lineRule="auto"/>
        <w:ind w:firstLine="364" w:firstLineChars="150"/>
        <w:rPr>
          <w:rFonts w:hint="eastAsia" w:ascii="宋体" w:hAnsi="宋体"/>
          <w:color w:val="auto"/>
          <w:sz w:val="24"/>
          <w:highlight w:val="none"/>
        </w:rPr>
      </w:pPr>
      <w:r>
        <w:rPr>
          <w:rFonts w:hint="eastAsia" w:ascii="宋体" w:hAnsi="宋体"/>
          <w:color w:val="auto"/>
          <w:sz w:val="24"/>
          <w:highlight w:val="none"/>
        </w:rPr>
        <w:t>教学楼及办公区域设备有无纸化系统、投影、音响、电脑、音乐厅、大屏监视器、高清音视频矩阵、录音、录像设备、世行教室、校园数字广播管理、视频教学播放、LED 屏的全周期运维管理：针对投影、音响、高清音视频矩阵等设备，实施会（课）前、会（课）中、会（课）后全流程保障：</w:t>
      </w:r>
    </w:p>
    <w:p w14:paraId="282FF13B">
      <w:pPr>
        <w:spacing w:line="360" w:lineRule="auto"/>
        <w:ind w:firstLine="364" w:firstLineChars="150"/>
        <w:rPr>
          <w:rFonts w:hint="eastAsia" w:ascii="宋体" w:hAnsi="宋体"/>
          <w:color w:val="auto"/>
          <w:sz w:val="24"/>
          <w:highlight w:val="none"/>
        </w:rPr>
      </w:pPr>
      <w:r>
        <w:rPr>
          <w:rFonts w:hint="eastAsia" w:ascii="宋体" w:hAnsi="宋体"/>
          <w:color w:val="auto"/>
          <w:sz w:val="24"/>
          <w:highlight w:val="none"/>
        </w:rPr>
        <w:t>会前调试：提前开机测试（如投影仪灯泡寿命检查、音响系统音质校准），确保LED屏、大屏监视器显示正常；对校园数字广播和视频教学播放系统进行内容预加载。</w:t>
      </w:r>
    </w:p>
    <w:p w14:paraId="4CCED22D">
      <w:pPr>
        <w:spacing w:line="360" w:lineRule="auto"/>
        <w:ind w:firstLine="364" w:firstLineChars="150"/>
        <w:rPr>
          <w:rFonts w:hint="eastAsia" w:ascii="宋体" w:hAnsi="宋体"/>
          <w:color w:val="auto"/>
          <w:sz w:val="24"/>
          <w:highlight w:val="none"/>
        </w:rPr>
      </w:pPr>
      <w:r>
        <w:rPr>
          <w:rFonts w:hint="eastAsia" w:ascii="宋体" w:hAnsi="宋体"/>
          <w:color w:val="auto"/>
          <w:sz w:val="24"/>
          <w:highlight w:val="none"/>
        </w:rPr>
        <w:t>会中监控：技术人员现场值守，实时处理突发故障（如音频中断时切换备用线路）。</w:t>
      </w:r>
    </w:p>
    <w:p w14:paraId="50808648">
      <w:pPr>
        <w:spacing w:line="360" w:lineRule="auto"/>
        <w:ind w:firstLine="364" w:firstLineChars="150"/>
        <w:rPr>
          <w:rFonts w:hint="eastAsia" w:ascii="宋体" w:hAnsi="宋体"/>
          <w:color w:val="auto"/>
          <w:sz w:val="24"/>
          <w:highlight w:val="none"/>
        </w:rPr>
      </w:pPr>
      <w:r>
        <w:rPr>
          <w:rFonts w:hint="eastAsia" w:ascii="宋体" w:hAnsi="宋体"/>
          <w:color w:val="auto"/>
          <w:sz w:val="24"/>
          <w:highlight w:val="none"/>
        </w:rPr>
        <w:t>会后维护：会后立即关机清洁设备（如除尘投影滤网），检查高清音视频矩阵端口连接。</w:t>
      </w:r>
    </w:p>
    <w:p w14:paraId="1C103C50">
      <w:pPr>
        <w:numPr>
          <w:ilvl w:val="0"/>
          <w:numId w:val="12"/>
        </w:numPr>
        <w:spacing w:line="360" w:lineRule="auto"/>
        <w:ind w:firstLine="364" w:firstLineChars="150"/>
        <w:rPr>
          <w:rFonts w:hint="eastAsia" w:ascii="宋体" w:hAnsi="宋体"/>
          <w:color w:val="auto"/>
          <w:sz w:val="24"/>
          <w:highlight w:val="none"/>
        </w:rPr>
      </w:pPr>
      <w:r>
        <w:rPr>
          <w:rFonts w:hint="eastAsia" w:ascii="宋体" w:hAnsi="宋体"/>
          <w:color w:val="auto"/>
          <w:sz w:val="24"/>
          <w:highlight w:val="none"/>
        </w:rPr>
        <w:t>党史馆、扶贫馆的设备管理及按学校要求进行开启及关闭。</w:t>
      </w:r>
    </w:p>
    <w:p w14:paraId="760A0D79">
      <w:pPr>
        <w:numPr>
          <w:ilvl w:val="0"/>
          <w:numId w:val="0"/>
        </w:numPr>
        <w:spacing w:line="360" w:lineRule="auto"/>
        <w:rPr>
          <w:color w:val="auto"/>
          <w:highlight w:val="none"/>
        </w:rPr>
      </w:pPr>
      <w:r>
        <w:rPr>
          <w:rFonts w:hint="eastAsia" w:ascii="宋体" w:hAnsi="宋体"/>
          <w:b/>
          <w:bCs/>
          <w:color w:val="auto"/>
          <w:sz w:val="24"/>
          <w:highlight w:val="none"/>
        </w:rPr>
        <w:t>5、办公区域（含人才公寓）共30台电梯的相关设施设备。</w:t>
      </w:r>
    </w:p>
    <w:p w14:paraId="07E2113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【共用设施设备维护管理】</w:t>
      </w:r>
    </w:p>
    <w:p w14:paraId="16523EC0">
      <w:pPr>
        <w:spacing w:line="360" w:lineRule="auto"/>
        <w:ind w:firstLine="48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、维修养护制度：在工作场所公示工作标准及岗位责任制度，执行良好，有检查记录、维修记 录、保养记录。</w:t>
      </w:r>
    </w:p>
    <w:p w14:paraId="5C75D387">
      <w:pPr>
        <w:spacing w:line="360" w:lineRule="auto"/>
        <w:ind w:firstLine="48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、物业管理区域平面分布图、楼门标识等：保持完好齐全、规范美观，有缺损及时报告更换修 补。</w:t>
      </w:r>
    </w:p>
    <w:p w14:paraId="0A1B4FA5">
      <w:pPr>
        <w:spacing w:line="360" w:lineRule="auto"/>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、房屋外檐：每周巡查一次，发现损坏按规定维修。</w:t>
      </w:r>
    </w:p>
    <w:p w14:paraId="0C594070">
      <w:pPr>
        <w:spacing w:line="360" w:lineRule="auto"/>
        <w:ind w:firstLine="48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、楼梯扶手、门窗：每周巡查一次，保持楼内公共部位门窗玻璃、配件完好，开闭灵活。</w:t>
      </w:r>
    </w:p>
    <w:p w14:paraId="3246A846">
      <w:pPr>
        <w:spacing w:line="360" w:lineRule="auto"/>
        <w:ind w:firstLine="48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10694035</wp:posOffset>
                </wp:positionV>
                <wp:extent cx="12700" cy="12700"/>
                <wp:effectExtent l="6350" t="6350" r="19050" b="9525"/>
                <wp:wrapNone/>
                <wp:docPr id="5" name="文本框 5"/>
                <wp:cNvGraphicFramePr/>
                <a:graphic xmlns:a="http://schemas.openxmlformats.org/drawingml/2006/main">
                  <a:graphicData uri="http://schemas.microsoft.com/office/word/2010/wordprocessingShape">
                    <wps:wsp>
                      <wps:cNvSpPr txBox="1"/>
                      <wps:spPr>
                        <a:xfrm>
                          <a:off x="0" y="0"/>
                          <a:ext cx="12700" cy="12700"/>
                        </a:xfrm>
                        <a:prstGeom prst="rect">
                          <a:avLst/>
                        </a:prstGeom>
                        <a:solidFill>
                          <a:srgbClr val="FFFF4C">
                            <a:alpha val="70195"/>
                          </a:srgbClr>
                        </a:solidFill>
                        <a:ln w="12700" cap="flat" cmpd="sng">
                          <a:solidFill>
                            <a:srgbClr val="000000"/>
                          </a:solidFill>
                          <a:prstDash val="solid"/>
                          <a:miter/>
                          <a:headEnd type="none" w="med" len="med"/>
                          <a:tailEnd type="none" w="med" len="med"/>
                        </a:ln>
                      </wps:spPr>
                      <wps:txbx>
                        <w:txbxContent>
                          <w:p w14:paraId="1DCABB4C">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0D509492">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wps:txbx>
                      <wps:bodyPr lIns="0" tIns="0" rIns="0" bIns="0" upright="1"/>
                    </wps:wsp>
                  </a:graphicData>
                </a:graphic>
              </wp:anchor>
            </w:drawing>
          </mc:Choice>
          <mc:Fallback>
            <w:pict>
              <v:shape id="_x0000_s1026" o:spid="_x0000_s1026" o:spt="202" type="#_x0000_t202" style="position:absolute;left:0pt;margin-left:0pt;margin-top:842.05pt;height:1pt;width:1pt;mso-position-horizontal-relative:page;mso-position-vertical-relative:page;z-index:251659264;mso-width-relative:page;mso-height-relative:page;" fillcolor="#FFFF4C" filled="t" stroked="t" coordsize="21600,21600" o:allowincell="f" o:gfxdata="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0k8IrQAAAA&#10;CAEAAA8AAAAAAAAAAQAgAAAAIgAAAGRycy9kb3ducmV2LnhtbFBLAQIUABQAAAAIAIdO4kA3ANui&#10;JQIAAHkEAAAOAAAAAAAAAAEAIAAAAB8BAABkcnMvZTJvRG9jLnhtbFBLBQYAAAAABgAGAFkBAAC2&#10;BQAAAAA=&#10;">
                <v:fill on="t" opacity="46002f" focussize="0,0"/>
                <v:stroke weight="1pt" color="#000000" joinstyle="miter"/>
                <v:imagedata o:title=""/>
                <o:lock v:ext="edit" aspectratio="f"/>
                <v:textbox inset="0mm,0mm,0mm,0mm">
                  <w:txbxContent>
                    <w:p w14:paraId="1DCABB4C">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0D509492">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v:textbox>
              </v:shape>
            </w:pict>
          </mc:Fallback>
        </mc:AlternateContent>
      </w:r>
      <w:r>
        <w:rPr>
          <w:rFonts w:ascii="宋体" w:hAnsi="宋体" w:cs="宋体"/>
          <w:color w:val="auto"/>
          <w:sz w:val="24"/>
          <w:highlight w:val="none"/>
        </w:rPr>
        <w:t>5、楼内墙地面、顶面：每周巡查一次，遇有损坏适时修补。</w:t>
      </w:r>
    </w:p>
    <w:p w14:paraId="6C9373A3">
      <w:pPr>
        <w:spacing w:line="360" w:lineRule="auto"/>
        <w:ind w:firstLine="48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、校内公共用房卫生间、雨水井、化粪井：每月检查一次，每六个月清理疏通，保持畅通，无堵塞外溢。</w:t>
      </w:r>
    </w:p>
    <w:p w14:paraId="7FE4931F">
      <w:pPr>
        <w:spacing w:line="360" w:lineRule="auto"/>
        <w:ind w:firstLine="48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、场地、道路：每月巡查一次，场地、道路平整通畅，发现损坏按规定修复。</w:t>
      </w:r>
    </w:p>
    <w:p w14:paraId="02899611">
      <w:pPr>
        <w:spacing w:line="360" w:lineRule="auto"/>
        <w:ind w:firstLine="480"/>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、安全标识：每天巡查一次，危及人身安全隐患处有明显标识，发现损坏及时修补。</w:t>
      </w:r>
    </w:p>
    <w:p w14:paraId="1F7D7EB0">
      <w:pPr>
        <w:spacing w:line="360" w:lineRule="auto"/>
        <w:ind w:firstLine="480"/>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、围墙：每周巡查一次，保持围墙完好，发现损坏按规定维修。</w:t>
      </w:r>
    </w:p>
    <w:p w14:paraId="56ACA5BD">
      <w:pPr>
        <w:spacing w:line="360" w:lineRule="auto"/>
        <w:ind w:firstLine="480"/>
        <w:rPr>
          <w:rFonts w:ascii="宋体" w:hAns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、楼道灯：接到业主或使用人报修后</w:t>
      </w:r>
      <w:r>
        <w:rPr>
          <w:rFonts w:ascii="宋体" w:hAnsi="宋体" w:cs="宋体"/>
          <w:color w:val="auto"/>
          <w:sz w:val="24"/>
          <w:highlight w:val="none"/>
        </w:rPr>
        <w:t>2</w:t>
      </w:r>
      <w:r>
        <w:rPr>
          <w:rFonts w:hint="eastAsia" w:ascii="宋体" w:hAnsi="宋体" w:cs="宋体"/>
          <w:color w:val="auto"/>
          <w:sz w:val="24"/>
          <w:highlight w:val="none"/>
        </w:rPr>
        <w:t>小时内修复，或巡查发现及时及时更换，保证完好率</w:t>
      </w:r>
      <w:r>
        <w:rPr>
          <w:rFonts w:ascii="宋体" w:hAnsi="宋体" w:cs="宋体"/>
          <w:color w:val="auto"/>
          <w:sz w:val="24"/>
          <w:highlight w:val="none"/>
        </w:rPr>
        <w:t>98%</w:t>
      </w:r>
      <w:r>
        <w:rPr>
          <w:rFonts w:hint="eastAsia" w:ascii="宋体" w:hAnsi="宋体" w:cs="宋体"/>
          <w:color w:val="auto"/>
          <w:sz w:val="24"/>
          <w:highlight w:val="none"/>
        </w:rPr>
        <w:t>以上。</w:t>
      </w:r>
    </w:p>
    <w:p w14:paraId="57399A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【设施设备维护管理】本项目设施设备包含：供配电系统、给排水系统、电梯系统、消防系统、空调系统、过滤系</w:t>
      </w:r>
      <w:r>
        <w:rPr>
          <w:rFonts w:ascii="宋体" w:hAnsi="宋体" w:cs="宋体"/>
          <w:color w:val="auto"/>
          <w:sz w:val="24"/>
          <w:highlight w:val="none"/>
        </w:rPr>
        <w:t>统、弱电智能化系统</w:t>
      </w:r>
      <w:r>
        <w:rPr>
          <w:rFonts w:hint="eastAsia" w:ascii="宋体" w:hAnsi="宋体" w:cs="宋体"/>
          <w:color w:val="auto"/>
          <w:sz w:val="24"/>
          <w:highlight w:val="none"/>
        </w:rPr>
        <w:t>。（其中：消防系统涵盖：消防联动控制系统、消防管网、消防水系统、消防联动报警系统、消防联动系统、消防设施控制系统、消防灭火系统、消防应急照明系统、消防防排烟系统、消防送风系统、消防防火分区设施、消防防火分隔设施、消防疏散指示、消防感应控制系统等。）</w:t>
      </w:r>
    </w:p>
    <w:p w14:paraId="24C432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【校内公共用房零星维修服务】</w:t>
      </w:r>
    </w:p>
    <w:p w14:paraId="25E142CA">
      <w:pPr>
        <w:pStyle w:val="10"/>
        <w:numPr>
          <w:ilvl w:val="0"/>
          <w:numId w:val="13"/>
        </w:numPr>
        <w:autoSpaceDE w:val="0"/>
        <w:autoSpaceDN w:val="0"/>
        <w:adjustRightInd w:val="0"/>
        <w:spacing w:after="100" w:line="360" w:lineRule="auto"/>
        <w:ind w:firstLine="573" w:firstLineChars="236"/>
        <w:jc w:val="left"/>
        <w:rPr>
          <w:rFonts w:ascii="宋体" w:hAnsi="宋体" w:cs="宋体"/>
          <w:color w:val="auto"/>
          <w:sz w:val="24"/>
          <w:szCs w:val="24"/>
          <w:highlight w:val="none"/>
        </w:rPr>
      </w:pPr>
      <w:r>
        <w:rPr>
          <w:rFonts w:ascii="宋体" w:hAnsi="宋体" w:cs="宋体"/>
          <w:color w:val="auto"/>
          <w:sz w:val="24"/>
          <w:szCs w:val="24"/>
          <w:highlight w:val="none"/>
        </w:rPr>
        <w:t>明确维修管理的规定细则。</w:t>
      </w:r>
    </w:p>
    <w:p w14:paraId="50F2C0C7">
      <w:pPr>
        <w:pStyle w:val="10"/>
        <w:numPr>
          <w:ilvl w:val="0"/>
          <w:numId w:val="13"/>
        </w:numPr>
        <w:autoSpaceDE w:val="0"/>
        <w:autoSpaceDN w:val="0"/>
        <w:adjustRightInd w:val="0"/>
        <w:spacing w:after="100" w:line="360" w:lineRule="auto"/>
        <w:ind w:firstLine="573" w:firstLineChars="236"/>
        <w:jc w:val="left"/>
        <w:rPr>
          <w:rFonts w:ascii="宋体" w:hAnsi="宋体" w:cs="宋体"/>
          <w:color w:val="auto"/>
          <w:sz w:val="24"/>
          <w:szCs w:val="24"/>
          <w:highlight w:val="none"/>
        </w:rPr>
      </w:pPr>
      <w:r>
        <w:rPr>
          <w:rFonts w:ascii="宋体" w:hAnsi="宋体" w:cs="宋体"/>
          <w:color w:val="auto"/>
          <w:sz w:val="24"/>
          <w:szCs w:val="24"/>
          <w:highlight w:val="none"/>
        </w:rPr>
        <w:t>校内公共用房需维修服务时，物业公司上报行政处，由行政处相关科室现场踏勘确定后，物业公司编制相应预算及维修方案，行政处相关科室根据维修预算金额、维修方案及维修范围确定是否交由物业公司实施。</w:t>
      </w:r>
    </w:p>
    <w:p w14:paraId="07865C97">
      <w:pPr>
        <w:pStyle w:val="10"/>
        <w:numPr>
          <w:ilvl w:val="0"/>
          <w:numId w:val="13"/>
        </w:numPr>
        <w:autoSpaceDE w:val="0"/>
        <w:autoSpaceDN w:val="0"/>
        <w:adjustRightInd w:val="0"/>
        <w:spacing w:after="100" w:line="360" w:lineRule="auto"/>
        <w:ind w:firstLine="573" w:firstLineChars="236"/>
        <w:jc w:val="left"/>
        <w:rPr>
          <w:rFonts w:ascii="宋体" w:hAnsi="宋体" w:cs="宋体"/>
          <w:color w:val="auto"/>
          <w:sz w:val="24"/>
          <w:szCs w:val="24"/>
          <w:highlight w:val="none"/>
        </w:rPr>
      </w:pPr>
      <w:r>
        <w:rPr>
          <w:rFonts w:ascii="宋体" w:hAnsi="宋体" w:cs="宋体"/>
          <w:color w:val="auto"/>
          <w:sz w:val="24"/>
          <w:szCs w:val="24"/>
          <w:highlight w:val="none"/>
        </w:rPr>
        <w:t>服务范围：校内公共用房的门窗维修及更换，管道疏通，屋面落叶及垃圾清理，屋面墙面紧急零星防水处理，房屋零星粉刷，办公家具维修等。</w:t>
      </w:r>
    </w:p>
    <w:p w14:paraId="7BC44F10">
      <w:pPr>
        <w:spacing w:line="360" w:lineRule="auto"/>
        <w:ind w:firstLine="729" w:firstLineChars="300"/>
        <w:rPr>
          <w:rFonts w:ascii="宋体" w:hAnsi="宋体" w:cs="宋体"/>
          <w:color w:val="auto"/>
          <w:kern w:val="0"/>
          <w:sz w:val="24"/>
          <w:highlight w:val="none"/>
        </w:rPr>
      </w:pPr>
      <w:r>
        <w:rPr>
          <w:rFonts w:hint="eastAsia" w:ascii="宋体" w:hAnsi="宋体" w:cs="宋体"/>
          <w:color w:val="auto"/>
          <w:kern w:val="0"/>
          <w:sz w:val="24"/>
          <w:highlight w:val="none"/>
        </w:rPr>
        <w:t>【供配水电系统】：</w:t>
      </w:r>
    </w:p>
    <w:p w14:paraId="17A9FA8A">
      <w:pPr>
        <w:pStyle w:val="10"/>
        <w:spacing w:after="100"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1、供电管理：</w:t>
      </w:r>
      <w:r>
        <w:rPr>
          <w:rFonts w:hint="eastAsia" w:ascii="宋体" w:hAnsi="宋体" w:cs="宋体"/>
          <w:color w:val="auto"/>
          <w:sz w:val="24"/>
          <w:szCs w:val="24"/>
          <w:highlight w:val="none"/>
        </w:rPr>
        <w:t>（签订合同后，由采购人提供相关综合布线信息）</w:t>
      </w:r>
    </w:p>
    <w:p w14:paraId="55244015">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（1）完成各配电室高低压设备运行检查工作（日巡查），高低压设备维保工作（半年）。</w:t>
      </w:r>
    </w:p>
    <w:p w14:paraId="1B35D937">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（2）做好设备运行检查记录，发现问题及时处理，不能处理的及时向上级主管部门汇报。</w:t>
      </w:r>
    </w:p>
    <w:p w14:paraId="21C26DD3">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（3）及时配合供电部门做好10KV供电运行管理、停电倒闸工作，确保正常供电。</w:t>
      </w:r>
    </w:p>
    <w:p w14:paraId="77A5F7CB">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2、重大会议、重要教学等水电保障：</w:t>
      </w:r>
    </w:p>
    <w:p w14:paraId="475C3C3F">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（1）加强与供电部门和水务公司联系，提前3日完成水电保障申请及相关协调工作。</w:t>
      </w:r>
    </w:p>
    <w:p w14:paraId="6EF79D1E">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（2）提前做好水电设备检查、维护工作，确保设备正常运行。</w:t>
      </w:r>
    </w:p>
    <w:p w14:paraId="3A9C4C91">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（3）提前做好水电突发故障应急预案，有效、及时保障会有正常供电。</w:t>
      </w:r>
    </w:p>
    <w:p w14:paraId="3301744E">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（4）做好会场应急发电保障，对接处理好应急发电车的现场投入使用，搞好应急发电工作。</w:t>
      </w:r>
    </w:p>
    <w:p w14:paraId="6D30923D">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3、用电管理：</w:t>
      </w:r>
    </w:p>
    <w:p w14:paraId="2CF61F56">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（1）加强用电管理，规范用电制度，杜绝私自乱接乱搭现象发生，提倡节约，降低能耗。</w:t>
      </w:r>
    </w:p>
    <w:p w14:paraId="2ABCF6C0">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（2）做好设备检查、维护、维修等工作，检查工作要及时、认真、负责，工作要落到实处。</w:t>
      </w:r>
    </w:p>
    <w:p w14:paraId="6BD670D2">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（3）维修工作要按照供电操作规程实施，杜绝事故发生。</w:t>
      </w:r>
    </w:p>
    <w:p w14:paraId="35598F92">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4、仪表管理（水电表）：</w:t>
      </w:r>
    </w:p>
    <w:p w14:paraId="08F98883">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（1）按月完成水电表抄报工作，完成水电消耗量统计月、季度、年度上报工作。</w:t>
      </w:r>
    </w:p>
    <w:p w14:paraId="1ABB60AE">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（2）按时完成水电费用核算、报销凭证统计上报、水电费支付办理。</w:t>
      </w:r>
    </w:p>
    <w:p w14:paraId="04D50FCF">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（3）按时完成校园内经营户水电费抄报，费用核算统计上报工作。</w:t>
      </w:r>
    </w:p>
    <w:p w14:paraId="555FE0BE">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（4）做好校园内临时施工水电使用管理，水电费用核算统计上报工作。</w:t>
      </w:r>
    </w:p>
    <w:p w14:paraId="0A208393">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（5）按要求做好水电计量器具检查、维护、效验、更换安装等工作</w:t>
      </w:r>
    </w:p>
    <w:p w14:paraId="181265BC">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5、供水管网管理：</w:t>
      </w:r>
    </w:p>
    <w:p w14:paraId="44EB964F">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（1）做好校园管网巡视检查（日巡查）。</w:t>
      </w:r>
    </w:p>
    <w:p w14:paraId="6ACFCDBB">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（2）做好管道检查、维护，发现问题及时处理，强化管理，杜绝跑冒滴</w:t>
      </w:r>
    </w:p>
    <w:p w14:paraId="70DB7F7A">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漏现象发生，按照节能减排工作要求，认真组织实施供水节能管理。</w:t>
      </w:r>
    </w:p>
    <w:p w14:paraId="2D1DC839">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（3）做好突发主管道爆管漏水故障的抢修工作。</w:t>
      </w:r>
    </w:p>
    <w:p w14:paraId="076338EF">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6、卫生洁具管理</w:t>
      </w:r>
    </w:p>
    <w:p w14:paraId="26714415">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（1）做好用水器具检查（日巡查），检查工作要到位细致。</w:t>
      </w:r>
    </w:p>
    <w:p w14:paraId="1B5452FE">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（2）维修工作要及时、认真、细致，发现问题及时处理，杜绝跑冒滴漏现象发生。</w:t>
      </w:r>
    </w:p>
    <w:p w14:paraId="10723729">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7、排污管网管理：</w:t>
      </w:r>
    </w:p>
    <w:p w14:paraId="7B8DF2ED">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（1）定期检查、清理沉沙井（3年）。</w:t>
      </w:r>
    </w:p>
    <w:p w14:paraId="239D138C">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（2）发生下水管道堵漏故障，应及时组织处理。</w:t>
      </w:r>
    </w:p>
    <w:p w14:paraId="4E026939">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（3）规范洗手间、开水间杂物、垃圾投放和收集。</w:t>
      </w:r>
    </w:p>
    <w:p w14:paraId="1ADACA64">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8、空调维修管理：</w:t>
      </w:r>
    </w:p>
    <w:p w14:paraId="4D0B625D">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（1）在检查工作中或接到报修电话，应及时赶到现场做好空调故障的检查。</w:t>
      </w:r>
    </w:p>
    <w:p w14:paraId="098C26B0">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（2）配电系统故障的应及时处理好，确保电源通畅。</w:t>
      </w:r>
    </w:p>
    <w:p w14:paraId="29541121">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（3）是空调系统故障，能处理及时处理，处理不了的，协调专业托管维修公司，由该公司处理，做好维修明细记录。</w:t>
      </w:r>
    </w:p>
    <w:p w14:paraId="5DDAE8B3">
      <w:pPr>
        <w:spacing w:line="360" w:lineRule="auto"/>
        <w:ind w:firstLine="486" w:firstLineChars="200"/>
        <w:rPr>
          <w:rFonts w:ascii="宋体" w:hAnsi="宋体" w:cs="宋体"/>
          <w:color w:val="auto"/>
          <w:sz w:val="24"/>
          <w:highlight w:val="none"/>
        </w:rPr>
      </w:pPr>
      <w:r>
        <w:rPr>
          <w:rFonts w:ascii="宋体" w:hAnsi="宋体" w:cs="宋体"/>
          <w:color w:val="auto"/>
          <w:sz w:val="24"/>
          <w:highlight w:val="none"/>
        </w:rPr>
        <w:t>9、能源站运行管理：</w:t>
      </w:r>
    </w:p>
    <w:p w14:paraId="75539874">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（1）按照锅炉运行管理操作规程实施，保障设备安全运行</w:t>
      </w:r>
      <w:r>
        <w:rPr>
          <w:rFonts w:hint="eastAsia" w:ascii="宋体" w:hAnsi="宋体" w:cs="宋体"/>
          <w:color w:val="auto"/>
          <w:sz w:val="24"/>
          <w:szCs w:val="24"/>
          <w:highlight w:val="none"/>
        </w:rPr>
        <w:t>。</w:t>
      </w:r>
    </w:p>
    <w:p w14:paraId="02A6DD48">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（2）锅炉人员必须持有效证件上岗</w:t>
      </w:r>
    </w:p>
    <w:p w14:paraId="7587342A">
      <w:pPr>
        <w:pStyle w:val="10"/>
        <w:spacing w:after="100" w:line="360" w:lineRule="auto"/>
        <w:ind w:left="1" w:firstLine="429" w:firstLineChars="177"/>
        <w:rPr>
          <w:rFonts w:ascii="宋体" w:hAnsi="宋体" w:cs="宋体"/>
          <w:color w:val="auto"/>
          <w:sz w:val="24"/>
          <w:szCs w:val="24"/>
          <w:highlight w:val="none"/>
        </w:rPr>
      </w:pPr>
      <w:r>
        <w:rPr>
          <w:rFonts w:ascii="宋体" w:hAnsi="宋体" w:cs="宋体"/>
          <w:color w:val="auto"/>
          <w:sz w:val="24"/>
          <w:szCs w:val="24"/>
          <w:highlight w:val="none"/>
        </w:rPr>
        <w:t>（3）按照学校规定，按时、按要求做好供水、供气保障工作</w:t>
      </w:r>
    </w:p>
    <w:p w14:paraId="4ECE8FB4">
      <w:pPr>
        <w:pStyle w:val="10"/>
        <w:spacing w:after="100" w:line="360" w:lineRule="auto"/>
        <w:ind w:left="1" w:firstLine="429" w:firstLineChars="177"/>
        <w:rPr>
          <w:rFonts w:ascii="仿宋" w:hAnsi="仿宋" w:eastAsia="仿宋" w:cs="宋体"/>
          <w:color w:val="auto"/>
          <w:sz w:val="24"/>
          <w:szCs w:val="24"/>
          <w:highlight w:val="none"/>
        </w:rPr>
      </w:pPr>
      <w:r>
        <w:rPr>
          <w:rFonts w:ascii="宋体" w:hAnsi="宋体" w:cs="宋体"/>
          <w:color w:val="auto"/>
          <w:sz w:val="24"/>
          <w:szCs w:val="24"/>
          <w:highlight w:val="none"/>
        </w:rPr>
        <w:t>（4）做好锅炉运行检查，发现故障及时处理，不能处理的应及时向上级主管部门汇报情况，确保锅炉正常运行。</w:t>
      </w:r>
    </w:p>
    <w:p w14:paraId="7937236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基础管理</w:t>
      </w:r>
      <w:r>
        <w:rPr>
          <w:rFonts w:hint="eastAsia" w:ascii="宋体" w:hAnsi="宋体" w:cs="宋体"/>
          <w:color w:val="auto"/>
          <w:sz w:val="24"/>
          <w:highlight w:val="none"/>
        </w:rPr>
        <w:t>】</w:t>
      </w:r>
    </w:p>
    <w:p w14:paraId="5278B71F">
      <w:pPr>
        <w:spacing w:line="360" w:lineRule="auto"/>
        <w:ind w:firstLine="48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、设备管理制度健全（安全运行操作规程、岗位职责、值班、管理、交接班制度、设备保养与 检修规程等）。</w:t>
      </w:r>
    </w:p>
    <w:p w14:paraId="3DA96568">
      <w:pPr>
        <w:spacing w:line="360" w:lineRule="auto"/>
        <w:ind w:firstLine="48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、工程设备档案管理，包括各种设备的资料、说明书、合格证、检验证、施工图、系统图、竣 工图等资料齐全。</w:t>
      </w:r>
    </w:p>
    <w:p w14:paraId="4D2D0485">
      <w:pPr>
        <w:spacing w:line="360" w:lineRule="auto"/>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、设备消防责任人、设备责任人挂牌上墙，熟悉设备基本情况、性能、操作规程。</w:t>
      </w:r>
    </w:p>
    <w:p w14:paraId="46960EC5">
      <w:pPr>
        <w:spacing w:line="360" w:lineRule="auto"/>
        <w:ind w:firstLine="48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、相关的维修人员应取得有效的上岗证，熟悉项目的供水供电系统，熟悉消防设备的操作及消 防设备应急处理流程。</w:t>
      </w:r>
    </w:p>
    <w:p w14:paraId="418B8095">
      <w:pPr>
        <w:spacing w:line="360" w:lineRule="auto"/>
        <w:ind w:firstLine="48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、相关的维修保养记录齐全。</w:t>
      </w:r>
    </w:p>
    <w:p w14:paraId="03A0EF31">
      <w:pPr>
        <w:spacing w:line="360" w:lineRule="auto"/>
        <w:ind w:firstLine="48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、设备运行、保养、维修后产生的固体废弃物、废油、废气的处理符合环保标准。</w:t>
      </w:r>
    </w:p>
    <w:p w14:paraId="0814D34D">
      <w:pPr>
        <w:spacing w:line="360" w:lineRule="auto"/>
        <w:ind w:firstLine="48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、维修人员的维修操作程序符合职业健康安全要求、操作无安全隐患，在相关机房内的作业场 所噪音控制在规定值内，否则，应给操作人员配备安全防噪设施。</w:t>
      </w:r>
    </w:p>
    <w:p w14:paraId="539E4EC1">
      <w:pPr>
        <w:spacing w:line="360" w:lineRule="auto"/>
        <w:ind w:firstLine="243" w:firstLineChars="100"/>
        <w:rPr>
          <w:rFonts w:ascii="宋体" w:hAnsi="宋体" w:cs="宋体"/>
          <w:color w:val="auto"/>
          <w:sz w:val="24"/>
          <w:highlight w:val="none"/>
        </w:rPr>
      </w:pPr>
      <w:r>
        <w:rPr>
          <w:rFonts w:hint="eastAsia" w:ascii="宋体" w:hAnsi="宋体" w:cs="宋体"/>
          <w:color w:val="auto"/>
          <w:sz w:val="24"/>
          <w:highlight w:val="none"/>
        </w:rPr>
        <w:t>【信息化维护】</w:t>
      </w:r>
    </w:p>
    <w:p w14:paraId="54F57ABF">
      <w:pPr>
        <w:spacing w:line="360" w:lineRule="auto"/>
        <w:ind w:firstLine="48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、工作范围：学校各区域电脑、多媒体、网络、一卡通、安防信息化系统等信息化设施设备及系统维护，机房及设备间专业电器设备清洁及房间卫生。</w:t>
      </w:r>
    </w:p>
    <w:p w14:paraId="6A96359A">
      <w:pPr>
        <w:spacing w:line="360" w:lineRule="auto"/>
        <w:ind w:firstLine="48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、工作内容</w:t>
      </w:r>
    </w:p>
    <w:p w14:paraId="3B662E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）按照校方要求，建立全校信息化及弱电设备标识和档案；</w:t>
      </w:r>
    </w:p>
    <w:p w14:paraId="388A64E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）按照校方要求，建立全校信息化及弱电设备的使用、管理和维护制度并做好相应维护管理台账；</w:t>
      </w:r>
    </w:p>
    <w:p w14:paraId="489FDA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）按照制度要求，承担全校信息化设备的日常使用工作</w:t>
      </w:r>
      <w:r>
        <w:rPr>
          <w:rFonts w:ascii="宋体" w:hAnsi="宋体" w:cs="宋体"/>
          <w:color w:val="auto"/>
          <w:sz w:val="24"/>
          <w:highlight w:val="none"/>
        </w:rPr>
        <w:t>;</w:t>
      </w:r>
    </w:p>
    <w:p w14:paraId="4E4DD45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）按照制度要求，做好全校信息化和弱电设备的日常管理和维护工作。</w:t>
      </w:r>
    </w:p>
    <w:p w14:paraId="1E930C1D">
      <w:pPr>
        <w:pStyle w:val="10"/>
        <w:spacing w:after="100" w:line="360" w:lineRule="auto"/>
        <w:ind w:firstLine="480"/>
        <w:rPr>
          <w:rFonts w:ascii="宋体" w:hAnsi="宋体"/>
          <w:color w:val="auto"/>
          <w:sz w:val="24"/>
          <w:szCs w:val="24"/>
          <w:highlight w:val="none"/>
        </w:rPr>
      </w:pPr>
      <w:r>
        <w:rPr>
          <w:rFonts w:ascii="宋体" w:hAnsi="宋体" w:cs="宋体"/>
          <w:color w:val="auto"/>
          <w:sz w:val="24"/>
          <w:szCs w:val="24"/>
          <w:highlight w:val="none"/>
        </w:rPr>
        <w:t>（5）按照教学安排，做好视频教学等的播放工作。</w:t>
      </w:r>
    </w:p>
    <w:p w14:paraId="0BCC79CC">
      <w:pPr>
        <w:spacing w:line="360" w:lineRule="auto"/>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、工作要求：提前做好即将使用的信息化设备准备工作，保障所有设施设备及网络的正常运行；有故障时第一时间（</w:t>
      </w:r>
      <w:r>
        <w:rPr>
          <w:rFonts w:ascii="宋体" w:hAnsi="宋体" w:cs="宋体"/>
          <w:color w:val="auto"/>
          <w:sz w:val="24"/>
          <w:highlight w:val="none"/>
        </w:rPr>
        <w:t>10</w:t>
      </w:r>
      <w:r>
        <w:rPr>
          <w:rFonts w:hint="eastAsia" w:ascii="宋体" w:hAnsi="宋体" w:cs="宋体"/>
          <w:color w:val="auto"/>
          <w:sz w:val="24"/>
          <w:highlight w:val="none"/>
        </w:rPr>
        <w:t>分钟内）及时处理，有重大会议及讲堂时设备维护员值守现场。</w:t>
      </w:r>
    </w:p>
    <w:p w14:paraId="6E9866F3">
      <w:pPr>
        <w:pStyle w:val="10"/>
        <w:spacing w:after="100"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4、维护工作含电池、零星线材、常用工具等相关耗材（</w:t>
      </w:r>
      <w:r>
        <w:rPr>
          <w:rFonts w:hint="eastAsia" w:ascii="宋体" w:hAnsi="宋体" w:cs="宋体"/>
          <w:color w:val="auto"/>
          <w:sz w:val="24"/>
          <w:szCs w:val="24"/>
          <w:highlight w:val="none"/>
        </w:rPr>
        <w:t>5</w:t>
      </w:r>
      <w:r>
        <w:rPr>
          <w:rFonts w:ascii="宋体" w:hAnsi="宋体" w:cs="宋体"/>
          <w:color w:val="auto"/>
          <w:sz w:val="24"/>
          <w:szCs w:val="24"/>
          <w:highlight w:val="none"/>
        </w:rPr>
        <w:t>00元/次以内）。</w:t>
      </w:r>
    </w:p>
    <w:p w14:paraId="62AEF85F">
      <w:pPr>
        <w:spacing w:line="360" w:lineRule="auto"/>
        <w:ind w:firstLine="482"/>
        <w:outlineLvl w:val="2"/>
        <w:rPr>
          <w:rFonts w:ascii="仿宋" w:hAnsi="仿宋" w:eastAsia="仿宋" w:cs="宋体"/>
          <w:b/>
          <w:bCs/>
          <w:color w:val="auto"/>
          <w:sz w:val="24"/>
          <w:highlight w:val="none"/>
        </w:rPr>
      </w:pPr>
      <w:bookmarkStart w:id="9" w:name="_Toc11405469"/>
      <w:bookmarkStart w:id="10" w:name="_Toc10619590"/>
      <w:r>
        <w:rPr>
          <w:rFonts w:hint="eastAsia" w:ascii="仿宋" w:hAnsi="仿宋" w:eastAsia="仿宋" w:cs="宋体"/>
          <w:b/>
          <w:bCs/>
          <w:color w:val="auto"/>
          <w:sz w:val="24"/>
          <w:highlight w:val="none"/>
        </w:rPr>
        <w:t>（四）保洁服务</w:t>
      </w:r>
      <w:bookmarkEnd w:id="9"/>
      <w:bookmarkEnd w:id="10"/>
    </w:p>
    <w:p w14:paraId="0F995638">
      <w:pPr>
        <w:spacing w:line="360" w:lineRule="auto"/>
        <w:rPr>
          <w:rFonts w:ascii="宋体" w:hAnsi="宋体" w:cs="宋体"/>
          <w:color w:val="auto"/>
          <w:sz w:val="24"/>
          <w:highlight w:val="none"/>
        </w:rPr>
      </w:pPr>
      <w:r>
        <w:rPr>
          <w:rFonts w:hint="eastAsia" w:ascii="宋体" w:hAnsi="宋体" w:cs="宋体"/>
          <w:color w:val="auto"/>
          <w:sz w:val="24"/>
          <w:highlight w:val="none"/>
        </w:rPr>
        <w:t>【楼内公共区域保洁环节和标准】</w:t>
      </w:r>
    </w:p>
    <w:p w14:paraId="574F0627">
      <w:pPr>
        <w:spacing w:line="360" w:lineRule="auto"/>
        <w:rPr>
          <w:rFonts w:ascii="宋体" w:hAnsi="宋体" w:cs="宋体"/>
          <w:color w:val="auto"/>
          <w:sz w:val="24"/>
          <w:highlight w:val="none"/>
        </w:rPr>
      </w:pPr>
      <w:r>
        <w:rPr>
          <w:rFonts w:hint="eastAsia" w:ascii="宋体" w:hAnsi="宋体" w:cs="宋体"/>
          <w:color w:val="auto"/>
          <w:sz w:val="24"/>
          <w:highlight w:val="none"/>
        </w:rPr>
        <w:t>1、保洁范围</w:t>
      </w:r>
    </w:p>
    <w:p w14:paraId="64AE20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走廊、楼梯、大厅及观景阳台卫生保洁：地面清洁、清倒痰桶、清洁木质休息台及公共区域沙发、走道楼梯、栏杆、防火门、教室和会议室玻璃及内侧墙面清洁、景观阳台地面、围墙、栏杆清洁、楼体外立面清洁。</w:t>
      </w:r>
    </w:p>
    <w:p w14:paraId="4D44D4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（2）电梯保洁：箱体及外侧门清洁、更换地垫、清洁地垫。</w:t>
      </w:r>
    </w:p>
    <w:p w14:paraId="294291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（3）公厕保洁：清洁洗手台、镜子、小便池、蹲坑、清倒垃圾篓、茶渣篓、地面清洁、清洗拖把池、补给卫生香、按要求配备卫生间用品，检查卫生洁具及水电设施完好情况。</w:t>
      </w:r>
    </w:p>
    <w:p w14:paraId="2D689E8A">
      <w:pPr>
        <w:spacing w:line="360" w:lineRule="auto"/>
        <w:rPr>
          <w:rFonts w:ascii="宋体" w:hAnsi="宋体" w:cs="宋体"/>
          <w:color w:val="auto"/>
          <w:sz w:val="24"/>
          <w:highlight w:val="none"/>
        </w:rPr>
      </w:pPr>
      <w:r>
        <w:rPr>
          <w:rFonts w:hint="eastAsia" w:ascii="宋体" w:hAnsi="宋体" w:cs="宋体"/>
          <w:color w:val="auto"/>
          <w:sz w:val="24"/>
          <w:highlight w:val="none"/>
        </w:rPr>
        <w:t>2、公共卫生保洁标准</w:t>
      </w:r>
    </w:p>
    <w:p w14:paraId="2733D7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走廊、楼梯、大厅地面清洁1天3次，确保无明显污渍；保持痰桶内烟头不超过5个；大厅木质休息台及沙发1天清洁2次；玻璃及内侧墙面一周清洁1次，达到透明光亮；观景阳台地面栏杆1天清洁1次，楼梯扶手1天清洁1次，确保无明显污渍和灰尘；楼体外立面清洗需聘请专业公司进行，每年不少于1次，确保外观干净美观；对所有部位的清洁方法和操作规程需符合清洁对象材质要求，不对其造成损害；时刻保持以上部位干净整洁。</w:t>
      </w:r>
    </w:p>
    <w:p w14:paraId="5AE71D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（2）电梯清洁需使用电梯光亮剂，每天2次，确保箱体光亮，无明显灰尘印迹；电梯地垫1天1换；电梯地垫视情况1至2个月清洗一次。</w:t>
      </w:r>
    </w:p>
    <w:p w14:paraId="516C2A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公厕保洁达到：洗手台无水渍，镜子光亮无污渍，小便池及蹲坑无污垢印迹，垃圾清倒及时，地面无积水、脚印，拖把池无污迹或茶叶堵塞，卫生香补给更换及时，按要求配备或及时收回纸巾、洗手液和小方巾，每次卫生清洁时需认真登记保洁时间、保洁人、保洁项目等，检查卫生洁具及水电设施完好情况，发现问题及时报修，并贴上停用标识；除放假无人情况，每日卫生间保洁最低不少于10次。</w:t>
      </w:r>
    </w:p>
    <w:p w14:paraId="5E0B44CC">
      <w:pPr>
        <w:spacing w:line="360" w:lineRule="auto"/>
        <w:rPr>
          <w:rFonts w:ascii="宋体" w:hAnsi="宋体"/>
          <w:color w:val="auto"/>
          <w:sz w:val="24"/>
          <w:highlight w:val="none"/>
        </w:rPr>
      </w:pPr>
      <w:r>
        <w:rPr>
          <w:rFonts w:hint="eastAsia" w:ascii="宋体" w:hAnsi="宋体" w:cs="宋体"/>
          <w:color w:val="auto"/>
          <w:sz w:val="24"/>
          <w:highlight w:val="none"/>
        </w:rPr>
        <w:t>（4）清洁操作程序根据清洁对象材质及使用情况做到规范标准、措施安全；节约用水用电，节约使用垃圾袋、专用清洁用品等耗用品，爱惜工具和公共设施；责任人对保洁情况坚持每日巡查和不定期抽查，及时纠正和监督，按规定进行考核奖惩，确保工作效果达标。</w:t>
      </w:r>
    </w:p>
    <w:p w14:paraId="6D93138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【楼外公共区域保洁环节和标准】硬化地面、主次干道每天至少清扫</w:t>
      </w:r>
      <w:r>
        <w:rPr>
          <w:rFonts w:ascii="宋体" w:hAnsi="宋体" w:cs="宋体"/>
          <w:color w:val="auto"/>
          <w:sz w:val="24"/>
          <w:highlight w:val="none"/>
        </w:rPr>
        <w:t>2</w:t>
      </w:r>
      <w:r>
        <w:rPr>
          <w:rFonts w:hint="eastAsia" w:ascii="宋体" w:hAnsi="宋体" w:cs="宋体"/>
          <w:color w:val="auto"/>
          <w:sz w:val="24"/>
          <w:highlight w:val="none"/>
        </w:rPr>
        <w:t>次，干净整洁；绿地无垃圾、纸袋等杂物；公共区域日常设专人保洁，保持干净整洁无杂物；对物业管理范围内主路、干路积水、积雪、烟花炮屑适时进行清扫；室外标识、宣传栏、信报 箱等每周至少擦拭</w:t>
      </w:r>
      <w:r>
        <w:rPr>
          <w:rFonts w:ascii="宋体" w:hAnsi="宋体" w:cs="宋体"/>
          <w:color w:val="auto"/>
          <w:sz w:val="24"/>
          <w:highlight w:val="none"/>
        </w:rPr>
        <w:t>2</w:t>
      </w:r>
      <w:r>
        <w:rPr>
          <w:rFonts w:hint="eastAsia" w:ascii="宋体" w:hAnsi="宋体" w:cs="宋体"/>
          <w:color w:val="auto"/>
          <w:sz w:val="24"/>
          <w:highlight w:val="none"/>
        </w:rPr>
        <w:t>次；路灯、楼道灯每季度至少清洁</w:t>
      </w:r>
      <w:r>
        <w:rPr>
          <w:rFonts w:ascii="宋体" w:hAnsi="宋体" w:cs="宋体"/>
          <w:color w:val="auto"/>
          <w:sz w:val="24"/>
          <w:highlight w:val="none"/>
        </w:rPr>
        <w:t>1</w:t>
      </w:r>
      <w:r>
        <w:rPr>
          <w:rFonts w:hint="eastAsia" w:ascii="宋体" w:hAnsi="宋体" w:cs="宋体"/>
          <w:color w:val="auto"/>
          <w:sz w:val="24"/>
          <w:highlight w:val="none"/>
        </w:rPr>
        <w:t>次；垃圾清运日产日清，无满溢现象；垃圾 桶、果皮箱每天清洁</w:t>
      </w:r>
      <w:r>
        <w:rPr>
          <w:rFonts w:ascii="宋体" w:hAnsi="宋体" w:cs="宋体"/>
          <w:color w:val="auto"/>
          <w:sz w:val="24"/>
          <w:highlight w:val="none"/>
        </w:rPr>
        <w:t>2</w:t>
      </w:r>
      <w:r>
        <w:rPr>
          <w:rFonts w:hint="eastAsia" w:ascii="宋体" w:hAnsi="宋体" w:cs="宋体"/>
          <w:color w:val="auto"/>
          <w:sz w:val="24"/>
          <w:highlight w:val="none"/>
        </w:rPr>
        <w:t>次</w:t>
      </w:r>
      <w:r>
        <w:rPr>
          <w:rFonts w:ascii="宋体" w:hAnsi="宋体" w:cs="宋体"/>
          <w:color w:val="auto"/>
          <w:sz w:val="24"/>
          <w:highlight w:val="none"/>
        </w:rPr>
        <w:t>,</w:t>
      </w:r>
      <w:r>
        <w:rPr>
          <w:rFonts w:hint="eastAsia" w:ascii="宋体" w:hAnsi="宋体" w:cs="宋体"/>
          <w:color w:val="auto"/>
          <w:sz w:val="24"/>
          <w:highlight w:val="none"/>
        </w:rPr>
        <w:t>夏季每天进行消毒。保持地面干净、整洁、卫生；第一次清洁卫生必须每 天上午</w:t>
      </w:r>
      <w:r>
        <w:rPr>
          <w:rFonts w:ascii="宋体" w:hAnsi="宋体" w:cs="宋体"/>
          <w:color w:val="auto"/>
          <w:sz w:val="24"/>
          <w:highlight w:val="none"/>
        </w:rPr>
        <w:t>8:30</w:t>
      </w:r>
      <w:r>
        <w:rPr>
          <w:rFonts w:hint="eastAsia" w:ascii="宋体" w:hAnsi="宋体" w:cs="宋体"/>
          <w:color w:val="auto"/>
          <w:sz w:val="24"/>
          <w:highlight w:val="none"/>
        </w:rPr>
        <w:t>分前完成。</w:t>
      </w:r>
    </w:p>
    <w:p w14:paraId="0B40DFCD">
      <w:pPr>
        <w:spacing w:line="360" w:lineRule="auto"/>
        <w:ind w:firstLine="482"/>
        <w:outlineLvl w:val="2"/>
        <w:rPr>
          <w:rFonts w:ascii="宋体" w:hAnsi="宋体" w:cs="宋体"/>
          <w:b/>
          <w:bCs/>
          <w:color w:val="auto"/>
          <w:sz w:val="24"/>
          <w:highlight w:val="none"/>
        </w:rPr>
      </w:pPr>
      <w:bookmarkStart w:id="11" w:name="_Toc11405470"/>
      <w:bookmarkStart w:id="12" w:name="_Toc10619591"/>
      <w:r>
        <w:rPr>
          <w:rFonts w:hint="eastAsia" w:ascii="宋体" w:hAnsi="宋体" w:cs="宋体"/>
          <w:b/>
          <w:bCs/>
          <w:color w:val="auto"/>
          <w:sz w:val="24"/>
          <w:highlight w:val="none"/>
        </w:rPr>
        <w:t>（五）客房服务</w:t>
      </w:r>
      <w:bookmarkEnd w:id="11"/>
      <w:bookmarkEnd w:id="12"/>
    </w:p>
    <w:p w14:paraId="3E959EF5">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【住宿服务工作标准】</w:t>
      </w:r>
    </w:p>
    <w:p w14:paraId="38AFD51C">
      <w:pPr>
        <w:spacing w:line="360" w:lineRule="auto"/>
        <w:ind w:firstLine="480"/>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、学员入住前准备工作：</w:t>
      </w:r>
    </w:p>
    <w:p w14:paraId="04FF9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1.1领取《中共贵州省委党校教学计划》（教务处制，以下简称《教学计划》。</w:t>
      </w:r>
    </w:p>
    <w:p w14:paraId="3F814ED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1.2分发《教学计划》至各住宿楼前台、餐饮服务部。</w:t>
      </w:r>
    </w:p>
    <w:p w14:paraId="05FC017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1.3将全年房间及教室做出预留，并根据临时变动做出预订更改。</w:t>
      </w:r>
    </w:p>
    <w:p w14:paraId="72E03D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1.4将提前准备好的学员入住房号分别提供给教务处、培训部、进修部、研究生部、干教院、各学员管理部门以便其安排每位学员入住。</w:t>
      </w:r>
    </w:p>
    <w:p w14:paraId="7FE0E1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1.5从教务处、财务处获取各班次收费标准提供给住宿部、餐饮部。</w:t>
      </w:r>
    </w:p>
    <w:p w14:paraId="6061DA8E">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   2、学员报到入住宿舍服务流程及标准：</w:t>
      </w:r>
    </w:p>
    <w:p w14:paraId="35CC69F8">
      <w:pPr>
        <w:spacing w:line="360" w:lineRule="auto"/>
        <w:ind w:firstLine="796" w:firstLineChars="328"/>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1迎接学员、查看名单、核对证件、找出对应房卡。</w:t>
      </w:r>
    </w:p>
    <w:p w14:paraId="5F4AE081">
      <w:pPr>
        <w:spacing w:line="360" w:lineRule="auto"/>
        <w:ind w:firstLine="729" w:firstLineChars="3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2学员刷卡缴费。</w:t>
      </w:r>
    </w:p>
    <w:p w14:paraId="7309F9D0">
      <w:pPr>
        <w:spacing w:line="360" w:lineRule="auto"/>
        <w:ind w:firstLine="729" w:firstLineChars="3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3收取押金，将房卡、发票交给学员，并提示学员结业时凭房卡退押金。</w:t>
      </w:r>
    </w:p>
    <w:p w14:paraId="79C9B1B0">
      <w:pPr>
        <w:spacing w:line="360" w:lineRule="auto"/>
        <w:ind w:firstLine="729" w:firstLineChars="3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4提醒学员入住楼栋、房号，向学员指示楼栋方向。</w:t>
      </w:r>
    </w:p>
    <w:p w14:paraId="7871D983">
      <w:pPr>
        <w:spacing w:line="360" w:lineRule="auto"/>
        <w:ind w:firstLine="796" w:firstLineChars="328"/>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5信息归档。</w:t>
      </w:r>
    </w:p>
    <w:p w14:paraId="2BD083DB">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   3、物品出租流程及服务标准：</w:t>
      </w:r>
    </w:p>
    <w:p w14:paraId="06F9726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3.1询问学员需租用的物品及数量。</w:t>
      </w:r>
    </w:p>
    <w:p w14:paraId="5DD9CB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3.2填写《物品出租单》一式两联，收取押金，提示凭物品和押金单退押金。</w:t>
      </w:r>
    </w:p>
    <w:p w14:paraId="423A99A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3.3单据存档，并在交接班记录本上做好记录。</w:t>
      </w:r>
    </w:p>
    <w:p w14:paraId="0341A9E1">
      <w:pPr>
        <w:spacing w:line="360" w:lineRule="auto"/>
        <w:ind w:firstLine="480"/>
        <w:rPr>
          <w:rFonts w:ascii="宋体" w:hAnsi="宋体" w:cs="宋体"/>
          <w:b/>
          <w:color w:val="auto"/>
          <w:sz w:val="24"/>
          <w:highlight w:val="none"/>
        </w:rPr>
      </w:pPr>
      <w:r>
        <w:rPr>
          <w:rFonts w:hint="eastAsia" w:ascii="宋体" w:hAnsi="宋体" w:cs="宋体"/>
          <w:color w:val="auto"/>
          <w:sz w:val="24"/>
          <w:highlight w:val="none"/>
        </w:rPr>
        <w:t>4</w:t>
      </w:r>
      <w:r>
        <w:rPr>
          <w:rFonts w:hint="eastAsia" w:ascii="宋体" w:hAnsi="宋体" w:cs="宋体"/>
          <w:b/>
          <w:color w:val="auto"/>
          <w:sz w:val="24"/>
          <w:highlight w:val="none"/>
        </w:rPr>
        <w:t>、贵重物品寄存、提取流程及服务标准：</w:t>
      </w:r>
    </w:p>
    <w:p w14:paraId="4512928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4.1主动提示学员寄存贵重物品。</w:t>
      </w:r>
    </w:p>
    <w:p w14:paraId="04EE163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4.2询问学员贵重物品寄存数量、种类及注意事项。</w:t>
      </w:r>
    </w:p>
    <w:p w14:paraId="4C0E366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4.3填写贵重物品寄存登记表，并请学员签字确认。</w:t>
      </w:r>
    </w:p>
    <w:p w14:paraId="3617447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4.4将学员寄存的物品放入行李室保管。</w:t>
      </w:r>
    </w:p>
    <w:p w14:paraId="2F8A5B2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4.5做好交接班记录。</w:t>
      </w:r>
    </w:p>
    <w:p w14:paraId="7226E0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4.6凭寄存单提取</w:t>
      </w:r>
    </w:p>
    <w:p w14:paraId="52500C8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【总台服务标准】 总台接待入住时，要始终提供微笑服务，熟练快速办理入住手续；退房时，3分钟后未接到楼层服务员报房间情况应先与客房经理联系；楼层服务员查房时发现房内物品一直未找到或房间很乱 要先告之结账，后再进行清点；总台在接到住客需要叫醒或其他服务时要与客人核对房间登记名字 以免误报房号；注意保持总台公共区域清洁卫生，注意爱惜爱护公共设施设备及注意维持地面整 洁。</w:t>
      </w:r>
    </w:p>
    <w:p w14:paraId="3C17BC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【客房清洁卫生及服务标准】</w:t>
      </w:r>
    </w:p>
    <w:p w14:paraId="0B434096">
      <w:pPr>
        <w:spacing w:line="360" w:lineRule="auto"/>
        <w:ind w:left="420" w:firstLine="4" w:firstLineChars="2"/>
        <w:rPr>
          <w:rFonts w:ascii="宋体" w:hAnsi="宋体" w:cs="宋体"/>
          <w:color w:val="auto"/>
          <w:sz w:val="24"/>
          <w:highlight w:val="none"/>
        </w:rPr>
      </w:pPr>
      <w:r>
        <w:rPr>
          <w:rFonts w:hint="eastAsia" w:ascii="宋体" w:hAnsi="宋体" w:cs="宋体"/>
          <w:color w:val="auto"/>
          <w:sz w:val="24"/>
          <w:highlight w:val="none"/>
        </w:rPr>
        <w:t>1.员到客房经理处领取工作表，检查布草车各类物品配备齐全。</w:t>
      </w:r>
    </w:p>
    <w:p w14:paraId="1DEEE338">
      <w:pPr>
        <w:spacing w:line="360" w:lineRule="auto"/>
        <w:ind w:left="420" w:firstLine="4" w:firstLineChars="2"/>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10694035</wp:posOffset>
                </wp:positionV>
                <wp:extent cx="12700" cy="12700"/>
                <wp:effectExtent l="6350" t="6350" r="19050" b="9525"/>
                <wp:wrapNone/>
                <wp:docPr id="2" name="文本框 2"/>
                <wp:cNvGraphicFramePr/>
                <a:graphic xmlns:a="http://schemas.openxmlformats.org/drawingml/2006/main">
                  <a:graphicData uri="http://schemas.microsoft.com/office/word/2010/wordprocessingShape">
                    <wps:wsp>
                      <wps:cNvSpPr txBox="1"/>
                      <wps:spPr>
                        <a:xfrm>
                          <a:off x="0" y="0"/>
                          <a:ext cx="12700" cy="12700"/>
                        </a:xfrm>
                        <a:prstGeom prst="rect">
                          <a:avLst/>
                        </a:prstGeom>
                        <a:solidFill>
                          <a:srgbClr val="FFFF4C">
                            <a:alpha val="70195"/>
                          </a:srgbClr>
                        </a:solidFill>
                        <a:ln w="12700" cap="flat" cmpd="sng">
                          <a:solidFill>
                            <a:srgbClr val="000000"/>
                          </a:solidFill>
                          <a:prstDash val="solid"/>
                          <a:miter/>
                          <a:headEnd type="none" w="med" len="med"/>
                          <a:tailEnd type="none" w="med" len="med"/>
                        </a:ln>
                      </wps:spPr>
                      <wps:txbx>
                        <w:txbxContent>
                          <w:p w14:paraId="2810008D">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6FFA3677">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wps:txbx>
                      <wps:bodyPr lIns="0" tIns="0" rIns="0" bIns="0" upright="1"/>
                    </wps:wsp>
                  </a:graphicData>
                </a:graphic>
              </wp:anchor>
            </w:drawing>
          </mc:Choice>
          <mc:Fallback>
            <w:pict>
              <v:shape id="_x0000_s1026" o:spid="_x0000_s1026" o:spt="202" type="#_x0000_t202" style="position:absolute;left:0pt;margin-left:0pt;margin-top:842.05pt;height:1pt;width:1pt;mso-position-horizontal-relative:page;mso-position-vertical-relative:page;z-index:251660288;mso-width-relative:page;mso-height-relative:page;" fillcolor="#FFFF4C" filled="t" stroked="t" coordsize="21600,21600" o:allowincell="f" o:gfxdata="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9JPCK0AAAAAgBAAAP&#10;AAAAAAAAAAEAIAAAACIAAABkcnMvZG93bnJldi54bWxQSwECFAAUAAAACACHTuJASbbF1CACAAB5&#10;BAAADgAAAAAAAAABACAAAAAfAQAAZHJzL2Uyb0RvYy54bWxQSwUGAAAAAAYABgBZAQAAsQUAAAAA&#10;">
                <v:fill on="t" opacity="46002f" focussize="0,0"/>
                <v:stroke weight="1pt" color="#000000" joinstyle="miter"/>
                <v:imagedata o:title=""/>
                <o:lock v:ext="edit" aspectratio="f"/>
                <v:textbox inset="0mm,0mm,0mm,0mm">
                  <w:txbxContent>
                    <w:p w14:paraId="2810008D">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6FFA3677">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v:textbox>
              </v:shape>
            </w:pict>
          </mc:Fallback>
        </mc:AlternateContent>
      </w:r>
      <w:r>
        <w:rPr>
          <w:rFonts w:hint="eastAsia" w:ascii="宋体" w:hAnsi="宋体" w:cs="宋体"/>
          <w:color w:val="auto"/>
          <w:sz w:val="24"/>
          <w:highlight w:val="none"/>
        </w:rPr>
        <w:t>2</w:t>
      </w:r>
      <w:r>
        <w:rPr>
          <w:rFonts w:ascii="宋体" w:hAnsi="宋体" w:cs="宋体"/>
          <w:color w:val="auto"/>
          <w:sz w:val="24"/>
          <w:highlight w:val="none"/>
        </w:rPr>
        <w:t>.客房的清洁必须在当天14时前完成。</w:t>
      </w:r>
    </w:p>
    <w:p w14:paraId="587F1A73">
      <w:pPr>
        <w:spacing w:line="360" w:lineRule="auto"/>
        <w:ind w:left="430" w:leftChars="202"/>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进住客房、待扫房，都必须轻叩房门或按门铃（三声），并报称“您好、服务员”。</w:t>
      </w:r>
    </w:p>
    <w:p w14:paraId="36F67BC5">
      <w:pPr>
        <w:spacing w:line="360" w:lineRule="auto"/>
        <w:ind w:left="430" w:leftChars="202"/>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.打扫住客房时，如果客人在房间</w:t>
      </w:r>
      <w:r>
        <w:rPr>
          <w:rFonts w:ascii="宋体" w:hAnsi="宋体" w:cs="宋体"/>
          <w:color w:val="auto"/>
          <w:sz w:val="24"/>
          <w:highlight w:val="none"/>
        </w:rPr>
        <w:t>,</w:t>
      </w:r>
      <w:r>
        <w:rPr>
          <w:rFonts w:hint="eastAsia" w:ascii="宋体" w:hAnsi="宋体" w:cs="宋体"/>
          <w:color w:val="auto"/>
          <w:sz w:val="24"/>
          <w:highlight w:val="none"/>
        </w:rPr>
        <w:t>服务员都必须先礼貌地问候并询问是否可以清扫房间</w:t>
      </w:r>
      <w:r>
        <w:rPr>
          <w:rFonts w:ascii="宋体" w:hAnsi="宋体" w:cs="宋体"/>
          <w:color w:val="auto"/>
          <w:sz w:val="24"/>
          <w:highlight w:val="none"/>
        </w:rPr>
        <w:t>.</w:t>
      </w:r>
      <w:r>
        <w:rPr>
          <w:rFonts w:hint="eastAsia" w:ascii="宋体" w:hAnsi="宋体" w:cs="宋体"/>
          <w:color w:val="auto"/>
          <w:sz w:val="24"/>
          <w:highlight w:val="none"/>
        </w:rPr>
        <w:t>如果客人表示要稍后清洁房间</w:t>
      </w:r>
      <w:r>
        <w:rPr>
          <w:rFonts w:ascii="宋体" w:hAnsi="宋体" w:cs="宋体"/>
          <w:color w:val="auto"/>
          <w:sz w:val="24"/>
          <w:highlight w:val="none"/>
        </w:rPr>
        <w:t>,</w:t>
      </w:r>
      <w:r>
        <w:rPr>
          <w:rFonts w:hint="eastAsia" w:ascii="宋体" w:hAnsi="宋体" w:cs="宋体"/>
          <w:color w:val="auto"/>
          <w:sz w:val="24"/>
          <w:highlight w:val="none"/>
        </w:rPr>
        <w:t>服务员遵从客人意见。</w:t>
      </w:r>
    </w:p>
    <w:p w14:paraId="2D1277CC">
      <w:pPr>
        <w:spacing w:line="360" w:lineRule="auto"/>
        <w:ind w:left="430" w:leftChars="202"/>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如果房间可以清扫</w:t>
      </w:r>
      <w:r>
        <w:rPr>
          <w:rFonts w:ascii="宋体" w:hAnsi="宋体" w:cs="宋体"/>
          <w:color w:val="auto"/>
          <w:sz w:val="24"/>
          <w:highlight w:val="none"/>
        </w:rPr>
        <w:t>,</w:t>
      </w:r>
      <w:r>
        <w:rPr>
          <w:rFonts w:hint="eastAsia" w:ascii="宋体" w:hAnsi="宋体" w:cs="宋体"/>
          <w:color w:val="auto"/>
          <w:sz w:val="24"/>
          <w:highlight w:val="none"/>
        </w:rPr>
        <w:t>服务员将房门全部打开。</w:t>
      </w:r>
    </w:p>
    <w:p w14:paraId="6C29AE3C">
      <w:pPr>
        <w:spacing w:line="360" w:lineRule="auto"/>
        <w:ind w:left="430" w:leftChars="202"/>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服务员整理房间时</w:t>
      </w:r>
      <w:r>
        <w:rPr>
          <w:rFonts w:ascii="宋体" w:hAnsi="宋体" w:cs="宋体"/>
          <w:color w:val="auto"/>
          <w:sz w:val="24"/>
          <w:highlight w:val="none"/>
        </w:rPr>
        <w:t>,</w:t>
      </w:r>
      <w:r>
        <w:rPr>
          <w:rFonts w:hint="eastAsia" w:ascii="宋体" w:hAnsi="宋体" w:cs="宋体"/>
          <w:color w:val="auto"/>
          <w:sz w:val="24"/>
          <w:highlight w:val="none"/>
        </w:rPr>
        <w:t>把所有房间用品放回原位（若是住客房，根据客人的喜好摆放）。</w:t>
      </w:r>
    </w:p>
    <w:p w14:paraId="627776F1">
      <w:pPr>
        <w:spacing w:line="360" w:lineRule="auto"/>
        <w:ind w:left="430" w:leftChars="202"/>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服务员将房间窗帘全部打开</w:t>
      </w:r>
      <w:r>
        <w:rPr>
          <w:rFonts w:ascii="宋体" w:hAnsi="宋体" w:cs="宋体"/>
          <w:color w:val="auto"/>
          <w:sz w:val="24"/>
          <w:highlight w:val="none"/>
        </w:rPr>
        <w:t>,</w:t>
      </w:r>
      <w:r>
        <w:rPr>
          <w:rFonts w:hint="eastAsia" w:ascii="宋体" w:hAnsi="宋体" w:cs="宋体"/>
          <w:color w:val="auto"/>
          <w:sz w:val="24"/>
          <w:highlight w:val="none"/>
        </w:rPr>
        <w:t>保证窗帘洁净</w:t>
      </w:r>
      <w:r>
        <w:rPr>
          <w:rFonts w:ascii="宋体" w:hAnsi="宋体" w:cs="宋体"/>
          <w:color w:val="auto"/>
          <w:sz w:val="24"/>
          <w:highlight w:val="none"/>
        </w:rPr>
        <w:t>,</w:t>
      </w:r>
      <w:r>
        <w:rPr>
          <w:rFonts w:hint="eastAsia" w:ascii="宋体" w:hAnsi="宋体" w:cs="宋体"/>
          <w:color w:val="auto"/>
          <w:sz w:val="24"/>
          <w:highlight w:val="none"/>
        </w:rPr>
        <w:t>易拉合，房间清洁完毕后</w:t>
      </w:r>
      <w:r>
        <w:rPr>
          <w:rFonts w:ascii="宋体" w:hAnsi="宋体" w:cs="宋体"/>
          <w:color w:val="auto"/>
          <w:sz w:val="24"/>
          <w:highlight w:val="none"/>
        </w:rPr>
        <w:t>,</w:t>
      </w:r>
      <w:r>
        <w:rPr>
          <w:rFonts w:hint="eastAsia" w:ascii="宋体" w:hAnsi="宋体" w:cs="宋体"/>
          <w:color w:val="auto"/>
          <w:sz w:val="24"/>
          <w:highlight w:val="none"/>
        </w:rPr>
        <w:t>闭合房间纱帘。</w:t>
      </w:r>
    </w:p>
    <w:p w14:paraId="323C76B8">
      <w:pPr>
        <w:spacing w:line="360" w:lineRule="auto"/>
        <w:ind w:left="430" w:leftChars="202"/>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服务员每次清洁卫生时</w:t>
      </w:r>
      <w:r>
        <w:rPr>
          <w:rFonts w:ascii="宋体" w:hAnsi="宋体" w:cs="宋体"/>
          <w:color w:val="auto"/>
          <w:sz w:val="24"/>
          <w:highlight w:val="none"/>
        </w:rPr>
        <w:t>,</w:t>
      </w:r>
      <w:r>
        <w:rPr>
          <w:rFonts w:hint="eastAsia" w:ascii="宋体" w:hAnsi="宋体" w:cs="宋体"/>
          <w:color w:val="auto"/>
          <w:sz w:val="24"/>
          <w:highlight w:val="none"/>
        </w:rPr>
        <w:t>检查房内各类灯具是否有损坏并报维修班。</w:t>
      </w:r>
    </w:p>
    <w:p w14:paraId="2972142A">
      <w:pPr>
        <w:spacing w:line="360" w:lineRule="auto"/>
        <w:ind w:left="430" w:leftChars="202"/>
        <w:rPr>
          <w:rFonts w:ascii="宋体" w:hAnsi="宋体" w:cs="宋体"/>
          <w:color w:val="auto"/>
          <w:sz w:val="24"/>
          <w:highlight w:val="none"/>
        </w:rPr>
      </w:pPr>
      <w:r>
        <w:rPr>
          <w:rFonts w:ascii="宋体" w:hAnsi="宋体" w:cs="宋体"/>
          <w:color w:val="auto"/>
          <w:sz w:val="24"/>
          <w:highlight w:val="none"/>
        </w:rPr>
        <w:t>9 .</w:t>
      </w:r>
      <w:r>
        <w:rPr>
          <w:rFonts w:hint="eastAsia" w:ascii="宋体" w:hAnsi="宋体" w:cs="宋体"/>
          <w:color w:val="auto"/>
          <w:sz w:val="24"/>
          <w:highlight w:val="none"/>
        </w:rPr>
        <w:t>保证房间所有灯具</w:t>
      </w:r>
      <w:r>
        <w:rPr>
          <w:rFonts w:ascii="宋体" w:hAnsi="宋体" w:cs="宋体"/>
          <w:color w:val="auto"/>
          <w:sz w:val="24"/>
          <w:highlight w:val="none"/>
        </w:rPr>
        <w:t>,</w:t>
      </w:r>
      <w:r>
        <w:rPr>
          <w:rFonts w:hint="eastAsia" w:ascii="宋体" w:hAnsi="宋体" w:cs="宋体"/>
          <w:color w:val="auto"/>
          <w:sz w:val="24"/>
          <w:highlight w:val="none"/>
        </w:rPr>
        <w:t>灯罩</w:t>
      </w:r>
      <w:r>
        <w:rPr>
          <w:rFonts w:ascii="宋体" w:hAnsi="宋体" w:cs="宋体"/>
          <w:color w:val="auto"/>
          <w:sz w:val="24"/>
          <w:highlight w:val="none"/>
        </w:rPr>
        <w:t>,</w:t>
      </w:r>
      <w:r>
        <w:rPr>
          <w:rFonts w:hint="eastAsia" w:ascii="宋体" w:hAnsi="宋体" w:cs="宋体"/>
          <w:color w:val="auto"/>
          <w:sz w:val="24"/>
          <w:highlight w:val="none"/>
        </w:rPr>
        <w:t>灯座均无灰尘。</w:t>
      </w:r>
    </w:p>
    <w:p w14:paraId="5B994918">
      <w:pPr>
        <w:spacing w:line="360" w:lineRule="auto"/>
        <w:ind w:left="430" w:leftChars="202"/>
        <w:rPr>
          <w:rFonts w:ascii="宋体" w:hAns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服务员每日倒空和清洁纸篓。</w:t>
      </w:r>
    </w:p>
    <w:p w14:paraId="4DB0E91D">
      <w:pPr>
        <w:spacing w:line="360" w:lineRule="auto"/>
        <w:ind w:left="430" w:leftChars="202"/>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服务员每日补充并更换用过的用具、杯具 。</w:t>
      </w:r>
    </w:p>
    <w:p w14:paraId="20929476">
      <w:pPr>
        <w:spacing w:line="360" w:lineRule="auto"/>
        <w:ind w:left="430" w:leftChars="202"/>
        <w:rPr>
          <w:rFonts w:ascii="宋体" w:hAnsi="宋体" w:cs="宋体"/>
          <w:color w:val="auto"/>
          <w:sz w:val="24"/>
          <w:highlight w:val="none"/>
        </w:rPr>
      </w:pPr>
      <w:r>
        <w:rPr>
          <w:rFonts w:ascii="宋体" w:hAnsi="宋体" w:cs="宋体"/>
          <w:color w:val="auto"/>
          <w:sz w:val="24"/>
          <w:highlight w:val="none"/>
        </w:rPr>
        <w:t>12.</w:t>
      </w:r>
      <w:r>
        <w:rPr>
          <w:rFonts w:hint="eastAsia" w:ascii="宋体" w:hAnsi="宋体" w:cs="宋体"/>
          <w:color w:val="auto"/>
          <w:sz w:val="24"/>
          <w:highlight w:val="none"/>
        </w:rPr>
        <w:t>服务员每日倒空和清洁所有的烟灰缸。</w:t>
      </w:r>
    </w:p>
    <w:p w14:paraId="48E0E01C">
      <w:pPr>
        <w:spacing w:line="360" w:lineRule="auto"/>
        <w:ind w:left="430" w:leftChars="202"/>
        <w:rPr>
          <w:rFonts w:ascii="宋体" w:hAnsi="宋体" w:cs="宋体"/>
          <w:color w:val="auto"/>
          <w:sz w:val="24"/>
          <w:highlight w:val="none"/>
        </w:rPr>
      </w:pPr>
      <w:r>
        <w:rPr>
          <w:rFonts w:ascii="宋体" w:hAnsi="宋体" w:cs="宋体"/>
          <w:color w:val="auto"/>
          <w:sz w:val="24"/>
          <w:highlight w:val="none"/>
        </w:rPr>
        <w:t>13.</w:t>
      </w:r>
      <w:r>
        <w:rPr>
          <w:rFonts w:hint="eastAsia" w:ascii="宋体" w:hAnsi="宋体" w:cs="宋体"/>
          <w:color w:val="auto"/>
          <w:sz w:val="24"/>
          <w:highlight w:val="none"/>
        </w:rPr>
        <w:t>服务员每天检查客房衣橱内的物品并整齐摆放。</w:t>
      </w:r>
    </w:p>
    <w:p w14:paraId="0E007DA6">
      <w:pPr>
        <w:spacing w:line="360" w:lineRule="auto"/>
        <w:ind w:left="430" w:leftChars="202"/>
        <w:rPr>
          <w:rFonts w:ascii="宋体" w:hAnsi="宋体" w:cs="宋体"/>
          <w:color w:val="auto"/>
          <w:sz w:val="24"/>
          <w:highlight w:val="none"/>
        </w:rPr>
      </w:pPr>
      <w:r>
        <w:rPr>
          <w:rFonts w:ascii="宋体" w:hAnsi="宋体" w:cs="宋体"/>
          <w:color w:val="auto"/>
          <w:sz w:val="24"/>
          <w:highlight w:val="none"/>
        </w:rPr>
        <w:t>14.</w:t>
      </w:r>
      <w:r>
        <w:rPr>
          <w:rFonts w:hint="eastAsia" w:ascii="宋体" w:hAnsi="宋体" w:cs="宋体"/>
          <w:color w:val="auto"/>
          <w:sz w:val="24"/>
          <w:highlight w:val="none"/>
        </w:rPr>
        <w:t>床铺保持平整</w:t>
      </w:r>
      <w:r>
        <w:rPr>
          <w:rFonts w:ascii="宋体" w:hAnsi="宋体" w:cs="宋体"/>
          <w:color w:val="auto"/>
          <w:sz w:val="24"/>
          <w:highlight w:val="none"/>
        </w:rPr>
        <w:t>,</w:t>
      </w:r>
      <w:r>
        <w:rPr>
          <w:rFonts w:hint="eastAsia" w:ascii="宋体" w:hAnsi="宋体" w:cs="宋体"/>
          <w:color w:val="auto"/>
          <w:sz w:val="24"/>
          <w:highlight w:val="none"/>
        </w:rPr>
        <w:t>床单</w:t>
      </w:r>
      <w:r>
        <w:rPr>
          <w:rFonts w:ascii="宋体" w:hAnsi="宋体" w:cs="宋体"/>
          <w:color w:val="auto"/>
          <w:sz w:val="24"/>
          <w:highlight w:val="none"/>
        </w:rPr>
        <w:t>,</w:t>
      </w:r>
      <w:r>
        <w:rPr>
          <w:rFonts w:hint="eastAsia" w:ascii="宋体" w:hAnsi="宋体" w:cs="宋体"/>
          <w:color w:val="auto"/>
          <w:sz w:val="24"/>
          <w:highlight w:val="none"/>
        </w:rPr>
        <w:t>枕套无污迹</w:t>
      </w:r>
      <w:r>
        <w:rPr>
          <w:rFonts w:ascii="宋体" w:hAnsi="宋体" w:cs="宋体"/>
          <w:color w:val="auto"/>
          <w:sz w:val="24"/>
          <w:highlight w:val="none"/>
        </w:rPr>
        <w:t>,</w:t>
      </w:r>
      <w:r>
        <w:rPr>
          <w:rFonts w:hint="eastAsia" w:ascii="宋体" w:hAnsi="宋体" w:cs="宋体"/>
          <w:color w:val="auto"/>
          <w:sz w:val="24"/>
          <w:highlight w:val="none"/>
        </w:rPr>
        <w:t>无破损，床上用品一客一换。</w:t>
      </w:r>
    </w:p>
    <w:p w14:paraId="0ECFF703">
      <w:pPr>
        <w:spacing w:line="360" w:lineRule="auto"/>
        <w:ind w:left="430" w:leftChars="202"/>
        <w:rPr>
          <w:rFonts w:ascii="宋体" w:hAnsi="宋体" w:cs="宋体"/>
          <w:color w:val="auto"/>
          <w:sz w:val="24"/>
          <w:highlight w:val="none"/>
        </w:rPr>
      </w:pPr>
      <w:r>
        <w:rPr>
          <w:rFonts w:ascii="宋体" w:hAnsi="宋体" w:cs="宋体"/>
          <w:color w:val="auto"/>
          <w:sz w:val="24"/>
          <w:highlight w:val="none"/>
        </w:rPr>
        <w:t>15.</w:t>
      </w:r>
      <w:r>
        <w:rPr>
          <w:rFonts w:hint="eastAsia" w:ascii="宋体" w:hAnsi="宋体" w:cs="宋体"/>
          <w:color w:val="auto"/>
          <w:sz w:val="24"/>
          <w:highlight w:val="none"/>
        </w:rPr>
        <w:t>所有墙面</w:t>
      </w:r>
      <w:r>
        <w:rPr>
          <w:rFonts w:ascii="宋体" w:hAnsi="宋体" w:cs="宋体"/>
          <w:color w:val="auto"/>
          <w:sz w:val="24"/>
          <w:highlight w:val="none"/>
        </w:rPr>
        <w:t>,</w:t>
      </w:r>
      <w:r>
        <w:rPr>
          <w:rFonts w:hint="eastAsia" w:ascii="宋体" w:hAnsi="宋体" w:cs="宋体"/>
          <w:color w:val="auto"/>
          <w:sz w:val="24"/>
          <w:highlight w:val="none"/>
        </w:rPr>
        <w:t>门扇</w:t>
      </w:r>
      <w:r>
        <w:rPr>
          <w:rFonts w:ascii="宋体" w:hAnsi="宋体" w:cs="宋体"/>
          <w:color w:val="auto"/>
          <w:sz w:val="24"/>
          <w:highlight w:val="none"/>
        </w:rPr>
        <w:t>,</w:t>
      </w:r>
      <w:r>
        <w:rPr>
          <w:rFonts w:hint="eastAsia" w:ascii="宋体" w:hAnsi="宋体" w:cs="宋体"/>
          <w:color w:val="auto"/>
          <w:sz w:val="24"/>
          <w:highlight w:val="none"/>
        </w:rPr>
        <w:t>地脚线干净清洁</w:t>
      </w:r>
      <w:r>
        <w:rPr>
          <w:rFonts w:ascii="宋体" w:hAnsi="宋体" w:cs="宋体"/>
          <w:color w:val="auto"/>
          <w:sz w:val="24"/>
          <w:highlight w:val="none"/>
        </w:rPr>
        <w:t>,</w:t>
      </w:r>
      <w:r>
        <w:rPr>
          <w:rFonts w:hint="eastAsia" w:ascii="宋体" w:hAnsi="宋体" w:cs="宋体"/>
          <w:color w:val="auto"/>
          <w:sz w:val="24"/>
          <w:highlight w:val="none"/>
        </w:rPr>
        <w:t>无破损，无毛发。</w:t>
      </w:r>
    </w:p>
    <w:p w14:paraId="50A5FB8F">
      <w:pPr>
        <w:spacing w:line="360" w:lineRule="auto"/>
        <w:ind w:left="430" w:leftChars="202"/>
        <w:rPr>
          <w:rFonts w:ascii="宋体" w:hAnsi="宋体" w:cs="宋体"/>
          <w:color w:val="auto"/>
          <w:sz w:val="24"/>
          <w:highlight w:val="none"/>
        </w:rPr>
      </w:pPr>
      <w:r>
        <w:rPr>
          <w:rFonts w:ascii="宋体" w:hAnsi="宋体" w:cs="宋体"/>
          <w:color w:val="auto"/>
          <w:sz w:val="24"/>
          <w:highlight w:val="none"/>
        </w:rPr>
        <w:t>16.</w:t>
      </w:r>
      <w:r>
        <w:rPr>
          <w:rFonts w:hint="eastAsia" w:ascii="宋体" w:hAnsi="宋体" w:cs="宋体"/>
          <w:color w:val="auto"/>
          <w:sz w:val="24"/>
          <w:highlight w:val="none"/>
        </w:rPr>
        <w:t>所有挂画清洁、无尘。</w:t>
      </w:r>
    </w:p>
    <w:p w14:paraId="00E1E6C5">
      <w:pPr>
        <w:spacing w:line="360" w:lineRule="auto"/>
        <w:ind w:left="430" w:leftChars="202"/>
        <w:rPr>
          <w:rFonts w:ascii="宋体" w:hAnsi="宋体" w:cs="宋体"/>
          <w:color w:val="auto"/>
          <w:sz w:val="24"/>
          <w:highlight w:val="none"/>
        </w:rPr>
      </w:pPr>
      <w:r>
        <w:rPr>
          <w:rFonts w:ascii="宋体" w:hAnsi="宋体" w:cs="宋体"/>
          <w:color w:val="auto"/>
          <w:sz w:val="24"/>
          <w:highlight w:val="none"/>
        </w:rPr>
        <w:t>17.</w:t>
      </w:r>
      <w:r>
        <w:rPr>
          <w:rFonts w:hint="eastAsia" w:ascii="宋体" w:hAnsi="宋体" w:cs="宋体"/>
          <w:color w:val="auto"/>
          <w:sz w:val="24"/>
          <w:highlight w:val="none"/>
        </w:rPr>
        <w:t>所有窗帘干净清洁</w:t>
      </w:r>
      <w:r>
        <w:rPr>
          <w:rFonts w:ascii="宋体" w:hAnsi="宋体" w:cs="宋体"/>
          <w:color w:val="auto"/>
          <w:sz w:val="24"/>
          <w:highlight w:val="none"/>
        </w:rPr>
        <w:t>,</w:t>
      </w:r>
      <w:r>
        <w:rPr>
          <w:rFonts w:hint="eastAsia" w:ascii="宋体" w:hAnsi="宋体" w:cs="宋体"/>
          <w:color w:val="auto"/>
          <w:sz w:val="24"/>
          <w:highlight w:val="none"/>
        </w:rPr>
        <w:t>悬挂整齐。</w:t>
      </w:r>
    </w:p>
    <w:p w14:paraId="68E102FB">
      <w:pPr>
        <w:spacing w:line="360" w:lineRule="auto"/>
        <w:ind w:left="430" w:leftChars="202"/>
        <w:rPr>
          <w:rFonts w:ascii="宋体" w:hAnsi="宋体" w:cs="宋体"/>
          <w:color w:val="auto"/>
          <w:sz w:val="24"/>
          <w:highlight w:val="none"/>
        </w:rPr>
      </w:pPr>
      <w:r>
        <w:rPr>
          <w:rFonts w:ascii="宋体" w:hAnsi="宋体" w:cs="宋体"/>
          <w:color w:val="auto"/>
          <w:sz w:val="24"/>
          <w:highlight w:val="none"/>
        </w:rPr>
        <w:t>18.</w:t>
      </w:r>
      <w:r>
        <w:rPr>
          <w:rFonts w:hint="eastAsia" w:ascii="宋体" w:hAnsi="宋体" w:cs="宋体"/>
          <w:color w:val="auto"/>
          <w:sz w:val="24"/>
          <w:highlight w:val="none"/>
        </w:rPr>
        <w:t>所有皮革</w:t>
      </w:r>
      <w:r>
        <w:rPr>
          <w:rFonts w:ascii="宋体" w:hAnsi="宋体" w:cs="宋体"/>
          <w:color w:val="auto"/>
          <w:sz w:val="24"/>
          <w:highlight w:val="none"/>
        </w:rPr>
        <w:t>,</w:t>
      </w:r>
      <w:r>
        <w:rPr>
          <w:rFonts w:hint="eastAsia" w:ascii="宋体" w:hAnsi="宋体" w:cs="宋体"/>
          <w:color w:val="auto"/>
          <w:sz w:val="24"/>
          <w:highlight w:val="none"/>
        </w:rPr>
        <w:t>布艺</w:t>
      </w:r>
      <w:r>
        <w:rPr>
          <w:rFonts w:ascii="宋体" w:hAnsi="宋体" w:cs="宋体"/>
          <w:color w:val="auto"/>
          <w:sz w:val="24"/>
          <w:highlight w:val="none"/>
        </w:rPr>
        <w:t>,</w:t>
      </w:r>
      <w:r>
        <w:rPr>
          <w:rFonts w:hint="eastAsia" w:ascii="宋体" w:hAnsi="宋体" w:cs="宋体"/>
          <w:color w:val="auto"/>
          <w:sz w:val="24"/>
          <w:highlight w:val="none"/>
        </w:rPr>
        <w:t>藤艺家私无污迹</w:t>
      </w:r>
      <w:r>
        <w:rPr>
          <w:rFonts w:ascii="宋体" w:hAnsi="宋体" w:cs="宋体"/>
          <w:color w:val="auto"/>
          <w:sz w:val="24"/>
          <w:highlight w:val="none"/>
        </w:rPr>
        <w:t>,</w:t>
      </w:r>
      <w:r>
        <w:rPr>
          <w:rFonts w:hint="eastAsia" w:ascii="宋体" w:hAnsi="宋体" w:cs="宋体"/>
          <w:color w:val="auto"/>
          <w:sz w:val="24"/>
          <w:highlight w:val="none"/>
        </w:rPr>
        <w:t>无破损。</w:t>
      </w:r>
    </w:p>
    <w:p w14:paraId="4D9582D7">
      <w:pPr>
        <w:spacing w:line="360" w:lineRule="auto"/>
        <w:ind w:left="430" w:leftChars="202"/>
        <w:rPr>
          <w:rFonts w:ascii="宋体" w:hAnsi="宋体" w:cs="宋体"/>
          <w:color w:val="auto"/>
          <w:sz w:val="24"/>
          <w:highlight w:val="none"/>
        </w:rPr>
      </w:pPr>
      <w:r>
        <w:rPr>
          <w:rFonts w:ascii="宋体" w:hAnsi="宋体" w:cs="宋体"/>
          <w:color w:val="auto"/>
          <w:sz w:val="24"/>
          <w:highlight w:val="none"/>
        </w:rPr>
        <w:t>19.</w:t>
      </w:r>
      <w:r>
        <w:rPr>
          <w:rFonts w:hint="eastAsia" w:ascii="宋体" w:hAnsi="宋体" w:cs="宋体"/>
          <w:color w:val="auto"/>
          <w:sz w:val="24"/>
          <w:highlight w:val="none"/>
        </w:rPr>
        <w:t>桌面装饰和摆设光洁无灰尘。</w:t>
      </w:r>
    </w:p>
    <w:p w14:paraId="0749A05B">
      <w:pPr>
        <w:spacing w:line="360" w:lineRule="auto"/>
        <w:ind w:left="430" w:leftChars="202"/>
        <w:rPr>
          <w:rFonts w:ascii="宋体" w:hAnsi="宋体" w:cs="宋体"/>
          <w:color w:val="auto"/>
          <w:sz w:val="24"/>
          <w:highlight w:val="none"/>
        </w:rPr>
      </w:pPr>
      <w:r>
        <w:rPr>
          <w:rFonts w:ascii="宋体" w:hAnsi="宋体" w:cs="宋体"/>
          <w:color w:val="auto"/>
          <w:sz w:val="24"/>
          <w:highlight w:val="none"/>
        </w:rPr>
        <w:t>20.</w:t>
      </w:r>
      <w:r>
        <w:rPr>
          <w:rFonts w:hint="eastAsia" w:ascii="宋体" w:hAnsi="宋体" w:cs="宋体"/>
          <w:color w:val="auto"/>
          <w:sz w:val="24"/>
          <w:highlight w:val="none"/>
        </w:rPr>
        <w:t>房间的宣传品</w:t>
      </w:r>
      <w:r>
        <w:rPr>
          <w:rFonts w:ascii="宋体" w:hAnsi="宋体" w:cs="宋体"/>
          <w:color w:val="auto"/>
          <w:sz w:val="24"/>
          <w:highlight w:val="none"/>
        </w:rPr>
        <w:t>,</w:t>
      </w:r>
      <w:r>
        <w:rPr>
          <w:rFonts w:hint="eastAsia" w:ascii="宋体" w:hAnsi="宋体" w:cs="宋体"/>
          <w:color w:val="auto"/>
          <w:sz w:val="24"/>
          <w:highlight w:val="none"/>
        </w:rPr>
        <w:t>各类指示卡和阅读物保证洁净和平整。</w:t>
      </w:r>
    </w:p>
    <w:p w14:paraId="62808FB2">
      <w:pPr>
        <w:spacing w:line="360" w:lineRule="auto"/>
        <w:ind w:left="430" w:leftChars="202"/>
        <w:rPr>
          <w:rFonts w:ascii="宋体" w:hAns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服务员在住客房内发现衣物时，替客人折叠衣物并摆放整齐</w:t>
      </w:r>
      <w:r>
        <w:rPr>
          <w:rFonts w:ascii="宋体" w:hAnsi="宋体" w:cs="宋体"/>
          <w:color w:val="auto"/>
          <w:sz w:val="24"/>
          <w:highlight w:val="none"/>
        </w:rPr>
        <w:t>.</w:t>
      </w:r>
    </w:p>
    <w:p w14:paraId="2DA29F39">
      <w:pPr>
        <w:spacing w:line="360" w:lineRule="auto"/>
        <w:ind w:left="430" w:leftChars="202"/>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rPr>
        <w:t>服务员将所有鞋子整齐地摆放在指定位置。</w:t>
      </w:r>
    </w:p>
    <w:p w14:paraId="65797697">
      <w:pPr>
        <w:spacing w:line="360" w:lineRule="auto"/>
        <w:ind w:left="430" w:leftChars="202"/>
        <w:rPr>
          <w:rFonts w:ascii="宋体" w:hAnsi="宋体" w:cs="宋体"/>
          <w:color w:val="auto"/>
          <w:sz w:val="24"/>
          <w:highlight w:val="none"/>
        </w:rPr>
      </w:pPr>
      <w:r>
        <w:rPr>
          <w:rFonts w:ascii="宋体" w:hAnsi="宋体" w:cs="宋体"/>
          <w:color w:val="auto"/>
          <w:sz w:val="24"/>
          <w:highlight w:val="none"/>
        </w:rPr>
        <w:t>23.</w:t>
      </w:r>
      <w:r>
        <w:rPr>
          <w:rFonts w:hint="eastAsia" w:ascii="宋体" w:hAnsi="宋体" w:cs="宋体"/>
          <w:color w:val="auto"/>
          <w:sz w:val="24"/>
          <w:highlight w:val="none"/>
        </w:rPr>
        <w:t>服务员在住客房避免碰触客人的任何现金或珠宝首饰，如有在工作表上注明及汇报。</w:t>
      </w:r>
    </w:p>
    <w:p w14:paraId="577911E2">
      <w:pPr>
        <w:spacing w:line="360" w:lineRule="auto"/>
        <w:ind w:left="430" w:leftChars="202"/>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服务员发现门把上挂有“清扫卫生”的指示牌时</w:t>
      </w:r>
      <w:r>
        <w:rPr>
          <w:rFonts w:ascii="宋体" w:hAnsi="宋体" w:cs="宋体"/>
          <w:color w:val="auto"/>
          <w:sz w:val="24"/>
          <w:highlight w:val="none"/>
        </w:rPr>
        <w:t>,</w:t>
      </w:r>
      <w:r>
        <w:rPr>
          <w:rFonts w:hint="eastAsia" w:ascii="宋体" w:hAnsi="宋体" w:cs="宋体"/>
          <w:color w:val="auto"/>
          <w:sz w:val="24"/>
          <w:highlight w:val="none"/>
        </w:rPr>
        <w:t>速扫；挂有卫生清洁完毕时，并把其放回原 位；当门上挂有“请勿打扰”的牌时等客人允许时再扫。</w:t>
      </w:r>
    </w:p>
    <w:p w14:paraId="787E58B2">
      <w:pPr>
        <w:spacing w:line="360" w:lineRule="auto"/>
        <w:ind w:left="430" w:leftChars="202"/>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color w:val="auto"/>
          <w:sz w:val="24"/>
          <w:highlight w:val="none"/>
        </w:rPr>
        <w:t>服务员在抹尘的同时</w:t>
      </w:r>
      <w:r>
        <w:rPr>
          <w:rFonts w:ascii="宋体" w:hAnsi="宋体" w:cs="宋体"/>
          <w:color w:val="auto"/>
          <w:sz w:val="24"/>
          <w:highlight w:val="none"/>
        </w:rPr>
        <w:t>,</w:t>
      </w:r>
      <w:r>
        <w:rPr>
          <w:rFonts w:hint="eastAsia" w:ascii="宋体" w:hAnsi="宋体" w:cs="宋体"/>
          <w:color w:val="auto"/>
          <w:sz w:val="24"/>
          <w:highlight w:val="none"/>
        </w:rPr>
        <w:t>负责检查家具</w:t>
      </w:r>
      <w:r>
        <w:rPr>
          <w:rFonts w:ascii="宋体" w:hAnsi="宋体" w:cs="宋体"/>
          <w:color w:val="auto"/>
          <w:sz w:val="24"/>
          <w:highlight w:val="none"/>
        </w:rPr>
        <w:t>,</w:t>
      </w:r>
      <w:r>
        <w:rPr>
          <w:rFonts w:hint="eastAsia" w:ascii="宋体" w:hAnsi="宋体" w:cs="宋体"/>
          <w:color w:val="auto"/>
          <w:sz w:val="24"/>
          <w:highlight w:val="none"/>
        </w:rPr>
        <w:t>空调开关</w:t>
      </w:r>
      <w:r>
        <w:rPr>
          <w:rFonts w:ascii="宋体" w:hAnsi="宋体" w:cs="宋体"/>
          <w:color w:val="auto"/>
          <w:sz w:val="24"/>
          <w:highlight w:val="none"/>
        </w:rPr>
        <w:t>,</w:t>
      </w:r>
      <w:r>
        <w:rPr>
          <w:rFonts w:hint="eastAsia" w:ascii="宋体" w:hAnsi="宋体" w:cs="宋体"/>
          <w:color w:val="auto"/>
          <w:sz w:val="24"/>
          <w:highlight w:val="none"/>
        </w:rPr>
        <w:t>电源插座，电视等设备的完好。</w:t>
      </w:r>
    </w:p>
    <w:p w14:paraId="6CE0DFC6">
      <w:pPr>
        <w:spacing w:line="360" w:lineRule="auto"/>
        <w:ind w:left="430" w:leftChars="202"/>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服务员在清理房间时，规整各类电器的电线。</w:t>
      </w:r>
    </w:p>
    <w:p w14:paraId="3B986F57">
      <w:pPr>
        <w:spacing w:line="360" w:lineRule="auto"/>
        <w:ind w:left="430" w:leftChars="202"/>
        <w:rPr>
          <w:rFonts w:ascii="宋体" w:hAnsi="宋体" w:cs="宋体"/>
          <w:color w:val="auto"/>
          <w:sz w:val="24"/>
          <w:highlight w:val="none"/>
        </w:rPr>
      </w:pPr>
      <w:r>
        <w:rPr>
          <w:rFonts w:ascii="宋体" w:hAnsi="宋体" w:cs="宋体"/>
          <w:color w:val="auto"/>
          <w:sz w:val="24"/>
          <w:highlight w:val="none"/>
        </w:rPr>
        <w:t>27.</w:t>
      </w:r>
      <w:r>
        <w:rPr>
          <w:rFonts w:hint="eastAsia" w:ascii="宋体" w:hAnsi="宋体" w:cs="宋体"/>
          <w:color w:val="auto"/>
          <w:sz w:val="24"/>
          <w:highlight w:val="none"/>
        </w:rPr>
        <w:t>服务员每日清洁绿色植物或给瓶插更换清水。</w:t>
      </w:r>
    </w:p>
    <w:p w14:paraId="72ABB3B1">
      <w:pPr>
        <w:spacing w:line="360" w:lineRule="auto"/>
        <w:ind w:left="430" w:leftChars="202"/>
        <w:rPr>
          <w:rFonts w:ascii="宋体" w:hAnsi="宋体" w:cs="宋体"/>
          <w:color w:val="auto"/>
          <w:sz w:val="24"/>
          <w:highlight w:val="none"/>
        </w:rPr>
      </w:pPr>
      <w:r>
        <w:rPr>
          <w:rFonts w:ascii="宋体" w:hAnsi="宋体" w:cs="宋体"/>
          <w:color w:val="auto"/>
          <w:sz w:val="24"/>
          <w:highlight w:val="none"/>
        </w:rPr>
        <w:t>28.</w:t>
      </w:r>
      <w:r>
        <w:rPr>
          <w:rFonts w:hint="eastAsia" w:ascii="宋体" w:hAnsi="宋体" w:cs="宋体"/>
          <w:color w:val="auto"/>
          <w:sz w:val="24"/>
          <w:highlight w:val="none"/>
        </w:rPr>
        <w:t>服务员按计划对电话进行消毒。</w:t>
      </w:r>
    </w:p>
    <w:p w14:paraId="4318AA09">
      <w:pPr>
        <w:spacing w:line="360" w:lineRule="auto"/>
        <w:ind w:left="430" w:leftChars="202"/>
        <w:rPr>
          <w:rFonts w:ascii="宋体" w:hAnsi="宋体" w:cs="宋体"/>
          <w:color w:val="auto"/>
          <w:sz w:val="24"/>
          <w:highlight w:val="none"/>
        </w:rPr>
      </w:pPr>
      <w:r>
        <w:rPr>
          <w:rFonts w:ascii="宋体" w:hAnsi="宋体" w:cs="宋体"/>
          <w:color w:val="auto"/>
          <w:sz w:val="24"/>
          <w:highlight w:val="none"/>
        </w:rPr>
        <w:t>29.</w:t>
      </w:r>
      <w:r>
        <w:rPr>
          <w:rFonts w:hint="eastAsia" w:ascii="宋体" w:hAnsi="宋体" w:cs="宋体"/>
          <w:color w:val="auto"/>
          <w:sz w:val="24"/>
          <w:highlight w:val="none"/>
        </w:rPr>
        <w:t>每日保持地面干净</w:t>
      </w:r>
      <w:r>
        <w:rPr>
          <w:rFonts w:ascii="宋体" w:hAnsi="宋体" w:cs="宋体"/>
          <w:color w:val="auto"/>
          <w:sz w:val="24"/>
          <w:highlight w:val="none"/>
        </w:rPr>
        <w:t>,</w:t>
      </w:r>
      <w:r>
        <w:rPr>
          <w:rFonts w:hint="eastAsia" w:ascii="宋体" w:hAnsi="宋体" w:cs="宋体"/>
          <w:color w:val="auto"/>
          <w:sz w:val="24"/>
          <w:highlight w:val="none"/>
        </w:rPr>
        <w:t>不留任何垃圾碎屑。</w:t>
      </w:r>
    </w:p>
    <w:p w14:paraId="05A56478">
      <w:pPr>
        <w:spacing w:line="360" w:lineRule="auto"/>
        <w:ind w:left="430" w:leftChars="202"/>
        <w:rPr>
          <w:rFonts w:ascii="宋体" w:hAnsi="宋体" w:cs="宋体"/>
          <w:color w:val="auto"/>
          <w:sz w:val="24"/>
          <w:highlight w:val="none"/>
        </w:rPr>
      </w:pPr>
      <w:r>
        <w:rPr>
          <w:rFonts w:ascii="宋体" w:hAnsi="宋体" w:cs="宋体"/>
          <w:color w:val="auto"/>
          <w:sz w:val="24"/>
          <w:highlight w:val="none"/>
        </w:rPr>
        <w:t>30.</w:t>
      </w:r>
      <w:r>
        <w:rPr>
          <w:rFonts w:hint="eastAsia" w:ascii="宋体" w:hAnsi="宋体" w:cs="宋体"/>
          <w:color w:val="auto"/>
          <w:sz w:val="24"/>
          <w:highlight w:val="none"/>
        </w:rPr>
        <w:t>服务员每日清洁阳台或窗台</w:t>
      </w:r>
      <w:r>
        <w:rPr>
          <w:rFonts w:ascii="宋体" w:hAnsi="宋体" w:cs="宋体"/>
          <w:color w:val="auto"/>
          <w:sz w:val="24"/>
          <w:highlight w:val="none"/>
        </w:rPr>
        <w:t>,</w:t>
      </w:r>
      <w:r>
        <w:rPr>
          <w:rFonts w:hint="eastAsia" w:ascii="宋体" w:hAnsi="宋体" w:cs="宋体"/>
          <w:color w:val="auto"/>
          <w:sz w:val="24"/>
          <w:highlight w:val="none"/>
        </w:rPr>
        <w:t>并保证玻璃的洁净明亮。</w:t>
      </w:r>
    </w:p>
    <w:p w14:paraId="28746F87">
      <w:pPr>
        <w:spacing w:line="360" w:lineRule="auto"/>
        <w:ind w:left="430" w:leftChars="202"/>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rPr>
        <w:t>服务员必须更换用过的房间用品</w:t>
      </w:r>
      <w:r>
        <w:rPr>
          <w:rFonts w:ascii="宋体" w:hAnsi="宋体" w:cs="宋体"/>
          <w:color w:val="auto"/>
          <w:sz w:val="24"/>
          <w:highlight w:val="none"/>
        </w:rPr>
        <w:t>(</w:t>
      </w:r>
      <w:r>
        <w:rPr>
          <w:rFonts w:hint="eastAsia" w:ascii="宋体" w:hAnsi="宋体" w:cs="宋体"/>
          <w:color w:val="auto"/>
          <w:sz w:val="24"/>
          <w:highlight w:val="none"/>
        </w:rPr>
        <w:t>如果客人有要求</w:t>
      </w:r>
      <w:r>
        <w:rPr>
          <w:rFonts w:ascii="宋体" w:hAnsi="宋体" w:cs="宋体"/>
          <w:color w:val="auto"/>
          <w:sz w:val="24"/>
          <w:highlight w:val="none"/>
        </w:rPr>
        <w:t>)</w:t>
      </w:r>
      <w:r>
        <w:rPr>
          <w:rFonts w:hint="eastAsia" w:ascii="宋体" w:hAnsi="宋体" w:cs="宋体"/>
          <w:color w:val="auto"/>
          <w:sz w:val="24"/>
          <w:highlight w:val="none"/>
        </w:rPr>
        <w:t>。</w:t>
      </w:r>
    </w:p>
    <w:p w14:paraId="7AD9F29F">
      <w:pPr>
        <w:spacing w:line="360" w:lineRule="auto"/>
        <w:ind w:left="430" w:leftChars="202"/>
        <w:rPr>
          <w:rFonts w:ascii="宋体" w:hAnsi="宋体" w:cs="宋体"/>
          <w:color w:val="auto"/>
          <w:sz w:val="24"/>
          <w:highlight w:val="none"/>
        </w:rPr>
      </w:pPr>
      <w:r>
        <w:rPr>
          <w:rFonts w:ascii="宋体" w:hAnsi="宋体" w:cs="宋体"/>
          <w:color w:val="auto"/>
          <w:sz w:val="24"/>
          <w:highlight w:val="none"/>
        </w:rPr>
        <w:t>32.</w:t>
      </w:r>
      <w:r>
        <w:rPr>
          <w:rFonts w:hint="eastAsia" w:ascii="宋体" w:hAnsi="宋体" w:cs="宋体"/>
          <w:color w:val="auto"/>
          <w:sz w:val="24"/>
          <w:highlight w:val="none"/>
        </w:rPr>
        <w:t>服务员根据客人的需要，更换用过的毛巾。</w:t>
      </w:r>
    </w:p>
    <w:p w14:paraId="7BE1E39E">
      <w:pPr>
        <w:spacing w:line="360" w:lineRule="auto"/>
        <w:ind w:left="430" w:leftChars="202"/>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新换的毛巾干净</w:t>
      </w:r>
      <w:r>
        <w:rPr>
          <w:rFonts w:ascii="宋体" w:hAnsi="宋体" w:cs="宋体"/>
          <w:color w:val="auto"/>
          <w:sz w:val="24"/>
          <w:highlight w:val="none"/>
        </w:rPr>
        <w:t>,</w:t>
      </w:r>
      <w:r>
        <w:rPr>
          <w:rFonts w:hint="eastAsia" w:ascii="宋体" w:hAnsi="宋体" w:cs="宋体"/>
          <w:color w:val="auto"/>
          <w:sz w:val="24"/>
          <w:highlight w:val="none"/>
        </w:rPr>
        <w:t>无异味</w:t>
      </w:r>
      <w:r>
        <w:rPr>
          <w:rFonts w:ascii="宋体" w:hAnsi="宋体" w:cs="宋体"/>
          <w:color w:val="auto"/>
          <w:sz w:val="24"/>
          <w:highlight w:val="none"/>
        </w:rPr>
        <w:t>.</w:t>
      </w:r>
    </w:p>
    <w:p w14:paraId="6CB6D5AE">
      <w:pPr>
        <w:spacing w:line="360" w:lineRule="auto"/>
        <w:ind w:left="430" w:leftChars="202"/>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10694035</wp:posOffset>
                </wp:positionV>
                <wp:extent cx="12700" cy="12700"/>
                <wp:effectExtent l="6350" t="6350" r="19050" b="9525"/>
                <wp:wrapNone/>
                <wp:docPr id="4" name="文本框 4"/>
                <wp:cNvGraphicFramePr/>
                <a:graphic xmlns:a="http://schemas.openxmlformats.org/drawingml/2006/main">
                  <a:graphicData uri="http://schemas.microsoft.com/office/word/2010/wordprocessingShape">
                    <wps:wsp>
                      <wps:cNvSpPr txBox="1"/>
                      <wps:spPr>
                        <a:xfrm>
                          <a:off x="0" y="0"/>
                          <a:ext cx="12700" cy="12700"/>
                        </a:xfrm>
                        <a:prstGeom prst="rect">
                          <a:avLst/>
                        </a:prstGeom>
                        <a:solidFill>
                          <a:srgbClr val="FFFF4C">
                            <a:alpha val="70195"/>
                          </a:srgbClr>
                        </a:solidFill>
                        <a:ln w="12700" cap="flat" cmpd="sng">
                          <a:solidFill>
                            <a:srgbClr val="000000"/>
                          </a:solidFill>
                          <a:prstDash val="solid"/>
                          <a:miter/>
                          <a:headEnd type="none" w="med" len="med"/>
                          <a:tailEnd type="none" w="med" len="med"/>
                        </a:ln>
                      </wps:spPr>
                      <wps:txbx>
                        <w:txbxContent>
                          <w:p w14:paraId="77E2FB1D">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45A02D81">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wps:txbx>
                      <wps:bodyPr lIns="0" tIns="0" rIns="0" bIns="0" upright="1"/>
                    </wps:wsp>
                  </a:graphicData>
                </a:graphic>
              </wp:anchor>
            </w:drawing>
          </mc:Choice>
          <mc:Fallback>
            <w:pict>
              <v:shape id="_x0000_s1026" o:spid="_x0000_s1026" o:spt="202" type="#_x0000_t202" style="position:absolute;left:0pt;margin-left:0pt;margin-top:842.05pt;height:1pt;width:1pt;mso-position-horizontal-relative:page;mso-position-vertical-relative:page;z-index:251661312;mso-width-relative:page;mso-height-relative:page;" fillcolor="#FFFF4C" filled="t" stroked="t" coordsize="21600,21600" o:allowincell="f" o:gfxdata="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STwitAAAAAIAQAA&#10;DwAAAAAAAAABACAAAAAiAAAAZHJzL2Rvd25yZXYueG1sUEsBAhQAFAAAAAgAh07iQAjkgnwhAgAA&#10;eQQAAA4AAAAAAAAAAQAgAAAAHwEAAGRycy9lMm9Eb2MueG1sUEsFBgAAAAAGAAYAWQEAALIFAAAA&#10;AA==&#10;">
                <v:fill on="t" opacity="46002f" focussize="0,0"/>
                <v:stroke weight="1pt" color="#000000" joinstyle="miter"/>
                <v:imagedata o:title=""/>
                <o:lock v:ext="edit" aspectratio="f"/>
                <v:textbox inset="0mm,0mm,0mm,0mm">
                  <w:txbxContent>
                    <w:p w14:paraId="77E2FB1D">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45A02D81">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v:textbox>
              </v:shape>
            </w:pict>
          </mc:Fallback>
        </mc:AlternateContent>
      </w:r>
      <w:r>
        <w:rPr>
          <w:rFonts w:ascii="宋体" w:hAnsi="宋体" w:cs="宋体"/>
          <w:color w:val="auto"/>
          <w:sz w:val="24"/>
          <w:highlight w:val="none"/>
        </w:rPr>
        <w:t>34.服务员按房间配备标准挂好干净的浴巾 。</w:t>
      </w:r>
    </w:p>
    <w:p w14:paraId="166032F4">
      <w:pPr>
        <w:spacing w:line="360" w:lineRule="auto"/>
        <w:ind w:left="430" w:leftChars="202"/>
        <w:rPr>
          <w:rFonts w:ascii="宋体" w:hAnsi="宋体" w:cs="宋体"/>
          <w:color w:val="auto"/>
          <w:sz w:val="24"/>
          <w:highlight w:val="none"/>
        </w:rPr>
      </w:pPr>
      <w:r>
        <w:rPr>
          <w:rFonts w:ascii="宋体" w:hAnsi="宋体" w:cs="宋体"/>
          <w:color w:val="auto"/>
          <w:sz w:val="24"/>
          <w:highlight w:val="none"/>
        </w:rPr>
        <w:t>35.</w:t>
      </w:r>
      <w:r>
        <w:rPr>
          <w:rFonts w:hint="eastAsia" w:ascii="宋体" w:hAnsi="宋体" w:cs="宋体"/>
          <w:color w:val="auto"/>
          <w:sz w:val="24"/>
          <w:highlight w:val="none"/>
        </w:rPr>
        <w:t>服务员更换或清洁卫生间的水杯。</w:t>
      </w:r>
    </w:p>
    <w:p w14:paraId="0C034983">
      <w:pPr>
        <w:spacing w:line="360" w:lineRule="auto"/>
        <w:ind w:left="430" w:leftChars="202"/>
        <w:rPr>
          <w:rFonts w:ascii="宋体" w:hAnsi="宋体" w:cs="宋体"/>
          <w:color w:val="auto"/>
          <w:sz w:val="24"/>
          <w:highlight w:val="none"/>
        </w:rPr>
      </w:pPr>
      <w:r>
        <w:rPr>
          <w:rFonts w:ascii="宋体" w:hAnsi="宋体" w:cs="宋体"/>
          <w:color w:val="auto"/>
          <w:sz w:val="24"/>
          <w:highlight w:val="none"/>
        </w:rPr>
        <w:t>36.</w:t>
      </w:r>
      <w:r>
        <w:rPr>
          <w:rFonts w:hint="eastAsia" w:ascii="宋体" w:hAnsi="宋体" w:cs="宋体"/>
          <w:color w:val="auto"/>
          <w:sz w:val="24"/>
          <w:highlight w:val="none"/>
        </w:rPr>
        <w:t>服务员每日补充厕纸和面巾纸。</w:t>
      </w:r>
    </w:p>
    <w:p w14:paraId="7D1EDA36">
      <w:pPr>
        <w:spacing w:line="360" w:lineRule="auto"/>
        <w:ind w:left="430" w:leftChars="202"/>
        <w:rPr>
          <w:rFonts w:ascii="宋体" w:hAnsi="宋体" w:cs="宋体"/>
          <w:color w:val="auto"/>
          <w:sz w:val="24"/>
          <w:highlight w:val="none"/>
        </w:rPr>
      </w:pPr>
      <w:r>
        <w:rPr>
          <w:rFonts w:ascii="宋体" w:hAnsi="宋体" w:cs="宋体"/>
          <w:color w:val="auto"/>
          <w:sz w:val="24"/>
          <w:highlight w:val="none"/>
        </w:rPr>
        <w:t>37.</w:t>
      </w:r>
      <w:r>
        <w:rPr>
          <w:rFonts w:hint="eastAsia" w:ascii="宋体" w:hAnsi="宋体" w:cs="宋体"/>
          <w:color w:val="auto"/>
          <w:sz w:val="24"/>
          <w:highlight w:val="none"/>
        </w:rPr>
        <w:t>服务员根据客人的喜好，整理客人私人的梳妆用品。</w:t>
      </w:r>
    </w:p>
    <w:p w14:paraId="6604D680">
      <w:pPr>
        <w:spacing w:line="360" w:lineRule="auto"/>
        <w:ind w:left="430" w:leftChars="202"/>
        <w:rPr>
          <w:rFonts w:ascii="宋体" w:hAnsi="宋体" w:cs="宋体"/>
          <w:color w:val="auto"/>
          <w:sz w:val="24"/>
          <w:highlight w:val="none"/>
        </w:rPr>
      </w:pPr>
      <w:r>
        <w:rPr>
          <w:rFonts w:ascii="宋体" w:hAnsi="宋体" w:cs="宋体"/>
          <w:color w:val="auto"/>
          <w:sz w:val="24"/>
          <w:highlight w:val="none"/>
        </w:rPr>
        <w:t>38.</w:t>
      </w:r>
      <w:r>
        <w:rPr>
          <w:rFonts w:hint="eastAsia" w:ascii="宋体" w:hAnsi="宋体" w:cs="宋体"/>
          <w:color w:val="auto"/>
          <w:sz w:val="24"/>
          <w:highlight w:val="none"/>
        </w:rPr>
        <w:t>服务员每次清洗卫生间时清洁浴帘，定期清洁。</w:t>
      </w:r>
    </w:p>
    <w:p w14:paraId="4B766270">
      <w:pPr>
        <w:spacing w:line="360" w:lineRule="auto"/>
        <w:ind w:left="430" w:leftChars="202"/>
        <w:rPr>
          <w:rFonts w:ascii="宋体" w:hAnsi="宋体" w:cs="宋体"/>
          <w:color w:val="auto"/>
          <w:sz w:val="24"/>
          <w:highlight w:val="none"/>
        </w:rPr>
      </w:pPr>
      <w:r>
        <w:rPr>
          <w:rFonts w:ascii="宋体" w:hAnsi="宋体" w:cs="宋体"/>
          <w:color w:val="auto"/>
          <w:sz w:val="24"/>
          <w:highlight w:val="none"/>
        </w:rPr>
        <w:t>39.</w:t>
      </w:r>
      <w:r>
        <w:rPr>
          <w:rFonts w:hint="eastAsia" w:ascii="宋体" w:hAnsi="宋体" w:cs="宋体"/>
          <w:color w:val="auto"/>
          <w:sz w:val="24"/>
          <w:highlight w:val="none"/>
        </w:rPr>
        <w:t>服务员每日对客人用过的浴缸、淋浴间清洁。</w:t>
      </w:r>
    </w:p>
    <w:p w14:paraId="487121D0">
      <w:pPr>
        <w:spacing w:line="360" w:lineRule="auto"/>
        <w:ind w:left="430" w:leftChars="202"/>
        <w:rPr>
          <w:rFonts w:ascii="宋体" w:hAnsi="宋体" w:cs="宋体"/>
          <w:color w:val="auto"/>
          <w:sz w:val="24"/>
          <w:highlight w:val="none"/>
        </w:rPr>
      </w:pPr>
      <w:r>
        <w:rPr>
          <w:rFonts w:ascii="宋体" w:hAnsi="宋体" w:cs="宋体"/>
          <w:color w:val="auto"/>
          <w:sz w:val="24"/>
          <w:highlight w:val="none"/>
        </w:rPr>
        <w:t>40.</w:t>
      </w:r>
      <w:r>
        <w:rPr>
          <w:rFonts w:hint="eastAsia" w:ascii="宋体" w:hAnsi="宋体" w:cs="宋体"/>
          <w:color w:val="auto"/>
          <w:sz w:val="24"/>
          <w:highlight w:val="none"/>
        </w:rPr>
        <w:t>卫生间地面每日保持干净</w:t>
      </w:r>
      <w:r>
        <w:rPr>
          <w:rFonts w:ascii="宋体" w:hAnsi="宋体" w:cs="宋体"/>
          <w:color w:val="auto"/>
          <w:sz w:val="24"/>
          <w:highlight w:val="none"/>
        </w:rPr>
        <w:t>,</w:t>
      </w:r>
      <w:r>
        <w:rPr>
          <w:rFonts w:hint="eastAsia" w:ascii="宋体" w:hAnsi="宋体" w:cs="宋体"/>
          <w:color w:val="auto"/>
          <w:sz w:val="24"/>
          <w:highlight w:val="none"/>
        </w:rPr>
        <w:t>无任何垃圾纸屑。</w:t>
      </w:r>
    </w:p>
    <w:p w14:paraId="69CE6897">
      <w:pPr>
        <w:spacing w:line="360" w:lineRule="auto"/>
        <w:ind w:left="430" w:leftChars="202"/>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保证座厕和厕板干净。</w:t>
      </w:r>
    </w:p>
    <w:p w14:paraId="4EFB5E29">
      <w:pPr>
        <w:spacing w:line="360" w:lineRule="auto"/>
        <w:ind w:left="430" w:leftChars="202"/>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卫生间的洗手台台面保持清洁、干爽，无任何垃圾杂屑、水迹。</w:t>
      </w:r>
    </w:p>
    <w:p w14:paraId="525438BE">
      <w:pPr>
        <w:spacing w:line="360" w:lineRule="auto"/>
        <w:ind w:left="430" w:leftChars="202"/>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服务员每日将所有浴缸、淋浴间、面盆的龙头擦拭亮净。</w:t>
      </w:r>
    </w:p>
    <w:p w14:paraId="579905EA">
      <w:pPr>
        <w:spacing w:line="360" w:lineRule="auto"/>
        <w:ind w:left="430" w:leftChars="202"/>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镜子干净、无污迹、无水迹。</w:t>
      </w:r>
    </w:p>
    <w:p w14:paraId="5779637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【走廓、楼梯等公共区域清洁卫生及服务标准】</w:t>
      </w:r>
    </w:p>
    <w:p w14:paraId="150A2C76">
      <w:pPr>
        <w:spacing w:line="360" w:lineRule="auto"/>
        <w:ind w:firstLine="48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服务员在走廓遇见客人先问好，并侧身让行。</w:t>
      </w:r>
    </w:p>
    <w:p w14:paraId="39ABC5FC">
      <w:pPr>
        <w:spacing w:line="360" w:lineRule="auto"/>
        <w:ind w:firstLine="48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服务员在与客人交谈过程中，服务员必须至少一次使用客人的姓名尊称。</w:t>
      </w:r>
    </w:p>
    <w:p w14:paraId="5F3DB93E">
      <w:pPr>
        <w:spacing w:line="360" w:lineRule="auto"/>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所有的墙面、门扇、地脚线保持干净清洁，无破损。</w:t>
      </w:r>
    </w:p>
    <w:p w14:paraId="04372797">
      <w:pPr>
        <w:spacing w:line="360" w:lineRule="auto"/>
        <w:ind w:firstLine="48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公共区域书报架上的报纸、杂志、宣传品摆放整齐。</w:t>
      </w:r>
    </w:p>
    <w:p w14:paraId="3442CEA9">
      <w:pPr>
        <w:spacing w:line="360" w:lineRule="auto"/>
        <w:ind w:firstLine="48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公共区域的石质地面、地毯、瓷砖保持清洁干净、无污迹、无破损。</w:t>
      </w:r>
    </w:p>
    <w:p w14:paraId="3DEC390C">
      <w:pPr>
        <w:spacing w:line="360" w:lineRule="auto"/>
        <w:ind w:firstLine="48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公共区域窗户、镜子保持干净、无污迹。</w:t>
      </w:r>
    </w:p>
    <w:p w14:paraId="2A51942A">
      <w:pPr>
        <w:spacing w:line="360" w:lineRule="auto"/>
        <w:ind w:firstLine="48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服务员及时移走留在走廊里的用于清洁客房的布草及清洁用具，及时清理各楼层的烟头和垃 圾。</w:t>
      </w:r>
    </w:p>
    <w:p w14:paraId="7EDD982B">
      <w:pPr>
        <w:spacing w:line="360" w:lineRule="auto"/>
        <w:ind w:firstLine="480"/>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所有灯具、灯座、灯罩均无尘。</w:t>
      </w:r>
    </w:p>
    <w:p w14:paraId="43364FE0">
      <w:pPr>
        <w:spacing w:line="360" w:lineRule="auto"/>
        <w:ind w:firstLine="480"/>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使用吸尘器等产生噪音的工具清洁走廊时，保证避开客人休息时间。</w:t>
      </w:r>
    </w:p>
    <w:p w14:paraId="3E182F19">
      <w:pPr>
        <w:spacing w:line="360" w:lineRule="auto"/>
        <w:ind w:firstLine="480"/>
        <w:rPr>
          <w:rFonts w:ascii="宋体" w:hAns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使用工作梯等攀爬工具时，及时放置指示牌，并避开客流高峰期。</w:t>
      </w:r>
    </w:p>
    <w:p w14:paraId="3DB3376D">
      <w:pPr>
        <w:spacing w:line="360" w:lineRule="auto"/>
        <w:ind w:firstLine="480"/>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所有照明灯具正常工作。</w:t>
      </w:r>
    </w:p>
    <w:p w14:paraId="118E6D2E">
      <w:pPr>
        <w:spacing w:line="360" w:lineRule="auto"/>
        <w:ind w:firstLine="480"/>
        <w:rPr>
          <w:rFonts w:ascii="宋体" w:hAnsi="宋体" w:cs="宋体"/>
          <w:color w:val="auto"/>
          <w:sz w:val="24"/>
          <w:highlight w:val="none"/>
        </w:rPr>
      </w:pPr>
      <w:r>
        <w:rPr>
          <w:rFonts w:ascii="宋体" w:hAnsi="宋体" w:cs="宋体"/>
          <w:color w:val="auto"/>
          <w:sz w:val="24"/>
          <w:highlight w:val="none"/>
        </w:rPr>
        <w:t>12.</w:t>
      </w:r>
      <w:r>
        <w:rPr>
          <w:rFonts w:hint="eastAsia" w:ascii="宋体" w:hAnsi="宋体" w:cs="宋体"/>
          <w:color w:val="auto"/>
          <w:sz w:val="24"/>
          <w:highlight w:val="none"/>
        </w:rPr>
        <w:t>花卉摆设及花瓶干净、无尘、无枯叶、无杂草、无杂物。</w:t>
      </w:r>
    </w:p>
    <w:p w14:paraId="64A4DF4E">
      <w:pPr>
        <w:spacing w:line="360" w:lineRule="auto"/>
        <w:ind w:firstLine="480"/>
        <w:rPr>
          <w:rFonts w:ascii="宋体" w:hAnsi="宋体" w:cs="宋体"/>
          <w:color w:val="auto"/>
          <w:sz w:val="24"/>
          <w:highlight w:val="none"/>
        </w:rPr>
      </w:pPr>
      <w:r>
        <w:rPr>
          <w:rFonts w:ascii="宋体" w:hAnsi="宋体" w:cs="宋体"/>
          <w:color w:val="auto"/>
          <w:sz w:val="24"/>
          <w:highlight w:val="none"/>
        </w:rPr>
        <w:t>13.</w:t>
      </w:r>
      <w:r>
        <w:rPr>
          <w:rFonts w:hint="eastAsia" w:ascii="宋体" w:hAnsi="宋体" w:cs="宋体"/>
          <w:color w:val="auto"/>
          <w:sz w:val="24"/>
          <w:highlight w:val="none"/>
        </w:rPr>
        <w:t>所有指示牌保证清洁，字迹图案清晰可辨。</w:t>
      </w:r>
    </w:p>
    <w:p w14:paraId="1479CA48">
      <w:pPr>
        <w:spacing w:line="360" w:lineRule="auto"/>
        <w:ind w:firstLine="480"/>
        <w:rPr>
          <w:rFonts w:ascii="宋体" w:hAnsi="宋体" w:cs="宋体"/>
          <w:color w:val="auto"/>
          <w:sz w:val="24"/>
          <w:highlight w:val="none"/>
        </w:rPr>
      </w:pPr>
      <w:r>
        <w:rPr>
          <w:rFonts w:ascii="宋体" w:hAnsi="宋体" w:cs="宋体"/>
          <w:color w:val="auto"/>
          <w:sz w:val="24"/>
          <w:highlight w:val="none"/>
        </w:rPr>
        <w:t>14.</w:t>
      </w:r>
      <w:r>
        <w:rPr>
          <w:rFonts w:hint="eastAsia" w:ascii="宋体" w:hAnsi="宋体" w:cs="宋体"/>
          <w:color w:val="auto"/>
          <w:sz w:val="24"/>
          <w:highlight w:val="none"/>
        </w:rPr>
        <w:t>所有走火通道及消防设施明确标出。</w:t>
      </w:r>
    </w:p>
    <w:p w14:paraId="7A0D66B5">
      <w:pPr>
        <w:spacing w:line="360" w:lineRule="auto"/>
        <w:ind w:firstLine="480"/>
        <w:rPr>
          <w:rFonts w:ascii="宋体" w:hAnsi="宋体" w:cs="宋体"/>
          <w:color w:val="auto"/>
          <w:sz w:val="24"/>
          <w:highlight w:val="none"/>
        </w:rPr>
      </w:pPr>
      <w:r>
        <w:rPr>
          <w:rFonts w:ascii="宋体" w:hAnsi="宋体" w:cs="宋体"/>
          <w:color w:val="auto"/>
          <w:sz w:val="24"/>
          <w:highlight w:val="none"/>
        </w:rPr>
        <w:t>15.</w:t>
      </w:r>
      <w:r>
        <w:rPr>
          <w:rFonts w:hint="eastAsia" w:ascii="宋体" w:hAnsi="宋体" w:cs="宋体"/>
          <w:color w:val="auto"/>
          <w:sz w:val="24"/>
          <w:highlight w:val="none"/>
        </w:rPr>
        <w:t>所有走火通道无杂物堆放，保持畅通无阻，楼梯干净、畅通。</w:t>
      </w:r>
    </w:p>
    <w:p w14:paraId="39438289">
      <w:pPr>
        <w:spacing w:line="360" w:lineRule="auto"/>
        <w:ind w:firstLine="480"/>
        <w:rPr>
          <w:rFonts w:ascii="宋体" w:hAnsi="宋体" w:cs="宋体"/>
          <w:color w:val="auto"/>
          <w:sz w:val="24"/>
          <w:highlight w:val="none"/>
        </w:rPr>
      </w:pPr>
      <w:r>
        <w:rPr>
          <w:rFonts w:ascii="宋体" w:hAnsi="宋体" w:cs="宋体"/>
          <w:color w:val="auto"/>
          <w:sz w:val="24"/>
          <w:highlight w:val="none"/>
        </w:rPr>
        <w:t>16.</w:t>
      </w:r>
      <w:r>
        <w:rPr>
          <w:rFonts w:hint="eastAsia" w:ascii="宋体" w:hAnsi="宋体" w:cs="宋体"/>
          <w:color w:val="auto"/>
          <w:sz w:val="24"/>
          <w:highlight w:val="none"/>
        </w:rPr>
        <w:t>公共区域过道墙面干净、无污迹。</w:t>
      </w:r>
    </w:p>
    <w:p w14:paraId="383822EB">
      <w:pPr>
        <w:spacing w:line="360" w:lineRule="auto"/>
        <w:ind w:firstLine="480"/>
        <w:rPr>
          <w:rFonts w:ascii="仿宋" w:hAnsi="仿宋" w:eastAsia="仿宋" w:cs="宋体"/>
          <w:color w:val="auto"/>
          <w:sz w:val="24"/>
          <w:highlight w:val="none"/>
        </w:rPr>
      </w:pPr>
      <w:r>
        <w:rPr>
          <w:rFonts w:ascii="宋体" w:hAnsi="宋体" w:cs="宋体"/>
          <w:color w:val="auto"/>
          <w:sz w:val="24"/>
          <w:highlight w:val="none"/>
        </w:rPr>
        <w:t>17.</w:t>
      </w:r>
      <w:r>
        <w:rPr>
          <w:rFonts w:hint="eastAsia" w:ascii="宋体" w:hAnsi="宋体" w:cs="宋体"/>
          <w:color w:val="auto"/>
          <w:sz w:val="24"/>
          <w:highlight w:val="none"/>
        </w:rPr>
        <w:t>所有金属器具擦拭明亮、干净。</w:t>
      </w:r>
    </w:p>
    <w:p w14:paraId="6A4E7A8E">
      <w:pPr>
        <w:spacing w:line="360" w:lineRule="auto"/>
        <w:ind w:firstLine="480"/>
        <w:rPr>
          <w:rFonts w:ascii="宋体" w:hAnsi="宋体" w:cs="宋体"/>
          <w:color w:val="auto"/>
          <w:sz w:val="24"/>
          <w:highlight w:val="none"/>
        </w:rPr>
      </w:pPr>
      <w:r>
        <w:rPr>
          <w:rFonts w:ascii="宋体" w:hAnsi="宋体" w:cs="宋体"/>
          <w:color w:val="auto"/>
          <w:sz w:val="24"/>
          <w:highlight w:val="none"/>
        </w:rPr>
        <w:t>18.</w:t>
      </w:r>
      <w:r>
        <w:rPr>
          <w:rFonts w:hint="eastAsia" w:ascii="宋体" w:hAnsi="宋体" w:cs="宋体"/>
          <w:color w:val="auto"/>
          <w:sz w:val="24"/>
          <w:highlight w:val="none"/>
        </w:rPr>
        <w:t>所有办公室、工作间避免暴露在客人面前。</w:t>
      </w:r>
    </w:p>
    <w:p w14:paraId="2A0B7079">
      <w:pPr>
        <w:spacing w:line="360" w:lineRule="auto"/>
        <w:ind w:firstLine="480"/>
        <w:rPr>
          <w:rFonts w:ascii="宋体" w:hAnsi="宋体" w:cs="宋体"/>
          <w:color w:val="auto"/>
          <w:sz w:val="24"/>
          <w:highlight w:val="none"/>
        </w:rPr>
      </w:pPr>
      <w:r>
        <w:rPr>
          <w:rFonts w:ascii="宋体" w:hAnsi="宋体" w:cs="宋体"/>
          <w:color w:val="auto"/>
          <w:sz w:val="24"/>
          <w:highlight w:val="none"/>
        </w:rPr>
        <w:t>19.</w:t>
      </w:r>
      <w:r>
        <w:rPr>
          <w:rFonts w:hint="eastAsia" w:ascii="宋体" w:hAnsi="宋体" w:cs="宋体"/>
          <w:color w:val="auto"/>
          <w:sz w:val="24"/>
          <w:highlight w:val="none"/>
        </w:rPr>
        <w:t>员工在过道走廊坚持做好“三轻“（说话轻、走路轻、操作轻）。</w:t>
      </w:r>
    </w:p>
    <w:p w14:paraId="73784FF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【客房做房标准程序】</w:t>
      </w:r>
    </w:p>
    <w:p w14:paraId="16DA291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1.车推放在客房门口，吸尘器摆放在布草车一侧。</w:t>
      </w:r>
    </w:p>
    <w:p w14:paraId="278BA2DD">
      <w:pPr>
        <w:spacing w:line="360" w:lineRule="auto"/>
        <w:ind w:firstLine="48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10694035</wp:posOffset>
                </wp:positionV>
                <wp:extent cx="12700" cy="12700"/>
                <wp:effectExtent l="6350" t="6350" r="19050" b="9525"/>
                <wp:wrapNone/>
                <wp:docPr id="3" name="文本框 3"/>
                <wp:cNvGraphicFramePr/>
                <a:graphic xmlns:a="http://schemas.openxmlformats.org/drawingml/2006/main">
                  <a:graphicData uri="http://schemas.microsoft.com/office/word/2010/wordprocessingShape">
                    <wps:wsp>
                      <wps:cNvSpPr txBox="1"/>
                      <wps:spPr>
                        <a:xfrm>
                          <a:off x="0" y="0"/>
                          <a:ext cx="12700" cy="12700"/>
                        </a:xfrm>
                        <a:prstGeom prst="rect">
                          <a:avLst/>
                        </a:prstGeom>
                        <a:solidFill>
                          <a:srgbClr val="FFFF4C">
                            <a:alpha val="70195"/>
                          </a:srgbClr>
                        </a:solidFill>
                        <a:ln w="12700" cap="flat" cmpd="sng">
                          <a:solidFill>
                            <a:srgbClr val="000000"/>
                          </a:solidFill>
                          <a:prstDash val="solid"/>
                          <a:miter/>
                          <a:headEnd type="none" w="med" len="med"/>
                          <a:tailEnd type="none" w="med" len="med"/>
                        </a:ln>
                      </wps:spPr>
                      <wps:txbx>
                        <w:txbxContent>
                          <w:p w14:paraId="77AC9AC6">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22AA16D2">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wps:txbx>
                      <wps:bodyPr lIns="0" tIns="0" rIns="0" bIns="0" upright="1"/>
                    </wps:wsp>
                  </a:graphicData>
                </a:graphic>
              </wp:anchor>
            </w:drawing>
          </mc:Choice>
          <mc:Fallback>
            <w:pict>
              <v:shape id="_x0000_s1026" o:spid="_x0000_s1026" o:spt="202" type="#_x0000_t202" style="position:absolute;left:0pt;margin-left:0pt;margin-top:842.05pt;height:1pt;width:1pt;mso-position-horizontal-relative:page;mso-position-vertical-relative:page;z-index:251662336;mso-width-relative:page;mso-height-relative:page;" fillcolor="#FFFF4C" filled="t" stroked="t" coordsize="21600,21600" o:allowincell="f" o:gfxdata="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STwitAAAAAIAQAA&#10;DwAAAAAAAAABACAAAAAiAAAAZHJzL2Rvd25yZXYueG1sUEsBAhQAFAAAAAgAh07iQHZSnAohAgAA&#10;eQQAAA4AAAAAAAAAAQAgAAAAHwEAAGRycy9lMm9Eb2MueG1sUEsFBgAAAAAGAAYAWQEAALIFAAAA&#10;AA==&#10;">
                <v:fill on="t" opacity="46002f" focussize="0,0"/>
                <v:stroke weight="1pt" color="#000000" joinstyle="miter"/>
                <v:imagedata o:title=""/>
                <o:lock v:ext="edit" aspectratio="f"/>
                <v:textbox inset="0mm,0mm,0mm,0mm">
                  <w:txbxContent>
                    <w:p w14:paraId="77AC9AC6">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22AA16D2">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v:textbox>
              </v:shape>
            </w:pict>
          </mc:Fallback>
        </mc:AlternateContent>
      </w:r>
      <w:r>
        <w:rPr>
          <w:rFonts w:hint="eastAsia" w:ascii="宋体" w:hAnsi="宋体" w:cs="宋体"/>
          <w:color w:val="auto"/>
          <w:sz w:val="24"/>
          <w:highlight w:val="none"/>
        </w:rPr>
        <w:t>2</w:t>
      </w:r>
      <w:r>
        <w:rPr>
          <w:rFonts w:ascii="宋体" w:hAnsi="宋体" w:cs="宋体"/>
          <w:color w:val="auto"/>
          <w:sz w:val="24"/>
          <w:highlight w:val="none"/>
        </w:rPr>
        <w:t>.先轻敲门两次，两次三下、相隔 5 秒，自报身份——服务员）</w:t>
      </w:r>
      <w:r>
        <w:rPr>
          <w:rFonts w:hint="eastAsia" w:ascii="宋体" w:hAnsi="宋体" w:cs="宋体"/>
          <w:color w:val="auto"/>
          <w:sz w:val="24"/>
          <w:highlight w:val="none"/>
        </w:rPr>
        <w:t>。</w:t>
      </w:r>
    </w:p>
    <w:p w14:paraId="46E28778">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缓慢把门推开，吸附于门吸上。</w:t>
      </w:r>
    </w:p>
    <w:p w14:paraId="6593F067">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把工作车、吸尘器推进房内，填写进房时间。</w:t>
      </w:r>
    </w:p>
    <w:p w14:paraId="34AE3850">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拉开窗帘、关灯、开抽风、开空调除异味。</w:t>
      </w:r>
    </w:p>
    <w:p w14:paraId="6AB24468">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把清洁用具放入卫生间云石台靠边一侧。</w:t>
      </w:r>
    </w:p>
    <w:p w14:paraId="5546E19F">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把卫生间垃圾桶的垃圾清理倒入工作车上的垃圾袋内。</w:t>
      </w:r>
    </w:p>
    <w:p w14:paraId="1EBB321E">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用过的巾类、浴衣检查清楚后放到工作车的布草袋内。</w:t>
      </w:r>
    </w:p>
    <w:p w14:paraId="67765E22">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用清洁剂喷洒三遍、以便清洁剂与污渍反应。</w:t>
      </w:r>
    </w:p>
    <w:p w14:paraId="701FF142">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检查遗留物品。</w:t>
      </w:r>
    </w:p>
    <w:p w14:paraId="50A04058">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 xml:space="preserve">撤布草：将2张床拉出离床头板 </w:t>
      </w:r>
      <w:r>
        <w:rPr>
          <w:rFonts w:ascii="宋体" w:hAnsi="宋体" w:cs="宋体"/>
          <w:color w:val="auto"/>
          <w:sz w:val="24"/>
          <w:highlight w:val="none"/>
        </w:rPr>
        <w:t xml:space="preserve">50 </w:t>
      </w:r>
      <w:r>
        <w:rPr>
          <w:rFonts w:hint="eastAsia" w:ascii="宋体" w:hAnsi="宋体" w:cs="宋体"/>
          <w:color w:val="auto"/>
          <w:sz w:val="24"/>
          <w:highlight w:val="none"/>
        </w:rPr>
        <w:t xml:space="preserve">公分后，先撤 </w:t>
      </w:r>
      <w:r>
        <w:rPr>
          <w:rFonts w:ascii="宋体" w:hAnsi="宋体" w:cs="宋体"/>
          <w:color w:val="auto"/>
          <w:sz w:val="24"/>
          <w:highlight w:val="none"/>
        </w:rPr>
        <w:t xml:space="preserve">B </w:t>
      </w:r>
      <w:r>
        <w:rPr>
          <w:rFonts w:hint="eastAsia" w:ascii="宋体" w:hAnsi="宋体" w:cs="宋体"/>
          <w:color w:val="auto"/>
          <w:sz w:val="24"/>
          <w:highlight w:val="none"/>
        </w:rPr>
        <w:t xml:space="preserve">床、后撤 </w:t>
      </w:r>
      <w:r>
        <w:rPr>
          <w:rFonts w:ascii="宋体" w:hAnsi="宋体" w:cs="宋体"/>
          <w:color w:val="auto"/>
          <w:sz w:val="24"/>
          <w:highlight w:val="none"/>
        </w:rPr>
        <w:t xml:space="preserve">A </w:t>
      </w:r>
      <w:r>
        <w:rPr>
          <w:rFonts w:hint="eastAsia" w:ascii="宋体" w:hAnsi="宋体" w:cs="宋体"/>
          <w:color w:val="auto"/>
          <w:sz w:val="24"/>
          <w:highlight w:val="none"/>
        </w:rPr>
        <w:t xml:space="preserve">床逐张撤床上布草；床 上用品按规定摆放于圈椅和 </w:t>
      </w:r>
      <w:r>
        <w:rPr>
          <w:rFonts w:ascii="宋体" w:hAnsi="宋体" w:cs="宋体"/>
          <w:color w:val="auto"/>
          <w:sz w:val="24"/>
          <w:highlight w:val="none"/>
        </w:rPr>
        <w:t xml:space="preserve">B </w:t>
      </w:r>
      <w:r>
        <w:rPr>
          <w:rFonts w:hint="eastAsia" w:ascii="宋体" w:hAnsi="宋体" w:cs="宋体"/>
          <w:color w:val="auto"/>
          <w:sz w:val="24"/>
          <w:highlight w:val="none"/>
        </w:rPr>
        <w:t>床上。</w:t>
      </w:r>
    </w:p>
    <w:p w14:paraId="5D48EF14">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12.</w:t>
      </w:r>
      <w:r>
        <w:rPr>
          <w:rFonts w:hint="eastAsia" w:ascii="宋体" w:hAnsi="宋体" w:cs="宋体"/>
          <w:color w:val="auto"/>
          <w:sz w:val="24"/>
          <w:highlight w:val="none"/>
        </w:rPr>
        <w:t>脏布草撤好、分类放在工作车上，同时将用过的杯具撤出，水壶放在卫生间云石台面待清洗。</w:t>
      </w:r>
    </w:p>
    <w:p w14:paraId="42B9092A">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13.</w:t>
      </w:r>
      <w:r>
        <w:rPr>
          <w:rFonts w:hint="eastAsia" w:ascii="宋体" w:hAnsi="宋体" w:cs="宋体"/>
          <w:color w:val="auto"/>
          <w:sz w:val="24"/>
          <w:highlight w:val="none"/>
        </w:rPr>
        <w:t xml:space="preserve">床单、枕套、被套放于 </w:t>
      </w:r>
      <w:r>
        <w:rPr>
          <w:rFonts w:ascii="宋体" w:hAnsi="宋体" w:cs="宋体"/>
          <w:color w:val="auto"/>
          <w:sz w:val="24"/>
          <w:highlight w:val="none"/>
        </w:rPr>
        <w:t xml:space="preserve">B </w:t>
      </w:r>
      <w:r>
        <w:rPr>
          <w:rFonts w:hint="eastAsia" w:ascii="宋体" w:hAnsi="宋体" w:cs="宋体"/>
          <w:color w:val="auto"/>
          <w:sz w:val="24"/>
          <w:highlight w:val="none"/>
        </w:rPr>
        <w:t>床和圈椅上。</w:t>
      </w:r>
    </w:p>
    <w:p w14:paraId="344703AE">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14.</w:t>
      </w:r>
      <w:r>
        <w:rPr>
          <w:rFonts w:hint="eastAsia" w:ascii="宋体" w:hAnsi="宋体" w:cs="宋体"/>
          <w:color w:val="auto"/>
          <w:sz w:val="24"/>
          <w:highlight w:val="none"/>
        </w:rPr>
        <w:t xml:space="preserve">铺 </w:t>
      </w:r>
      <w:r>
        <w:rPr>
          <w:rFonts w:ascii="宋体" w:hAnsi="宋体" w:cs="宋体"/>
          <w:color w:val="auto"/>
          <w:sz w:val="24"/>
          <w:highlight w:val="none"/>
        </w:rPr>
        <w:t xml:space="preserve">A </w:t>
      </w:r>
      <w:r>
        <w:rPr>
          <w:rFonts w:hint="eastAsia" w:ascii="宋体" w:hAnsi="宋体" w:cs="宋体"/>
          <w:color w:val="auto"/>
          <w:sz w:val="24"/>
          <w:highlight w:val="none"/>
        </w:rPr>
        <w:t>床，床单分底面、正面，三线重叠、底面平整。</w:t>
      </w:r>
    </w:p>
    <w:p w14:paraId="4BFFF7A7">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15.</w:t>
      </w:r>
      <w:r>
        <w:rPr>
          <w:rFonts w:hint="eastAsia" w:ascii="宋体" w:hAnsi="宋体" w:cs="宋体"/>
          <w:color w:val="auto"/>
          <w:sz w:val="24"/>
          <w:highlight w:val="none"/>
        </w:rPr>
        <w:t>沿两侧下摆等距、包成直角，要求结实、对称、饱满。</w:t>
      </w:r>
    </w:p>
    <w:p w14:paraId="383563EC">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16.</w:t>
      </w:r>
      <w:r>
        <w:rPr>
          <w:rFonts w:hint="eastAsia" w:ascii="宋体" w:hAnsi="宋体" w:cs="宋体"/>
          <w:color w:val="auto"/>
          <w:sz w:val="24"/>
          <w:highlight w:val="none"/>
        </w:rPr>
        <w:t xml:space="preserve">被套，四角包满、平整，被子反折宽度约 </w:t>
      </w:r>
      <w:r>
        <w:rPr>
          <w:rFonts w:ascii="宋体" w:hAnsi="宋体" w:cs="宋体"/>
          <w:color w:val="auto"/>
          <w:sz w:val="24"/>
          <w:highlight w:val="none"/>
        </w:rPr>
        <w:t>40</w:t>
      </w:r>
      <w:r>
        <w:rPr>
          <w:rFonts w:hint="eastAsia" w:ascii="宋体" w:hAnsi="宋体" w:cs="宋体"/>
          <w:color w:val="auto"/>
          <w:sz w:val="24"/>
          <w:highlight w:val="none"/>
        </w:rPr>
        <w:t>公分。</w:t>
      </w:r>
    </w:p>
    <w:p w14:paraId="63AE0315">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17.</w:t>
      </w:r>
      <w:r>
        <w:rPr>
          <w:rFonts w:hint="eastAsia" w:ascii="宋体" w:hAnsi="宋体" w:cs="宋体"/>
          <w:color w:val="auto"/>
          <w:sz w:val="24"/>
          <w:highlight w:val="none"/>
        </w:rPr>
        <w:t>角边不重叠、枕芯不外露、枕头饱满开口与床头柜方向相反。</w:t>
      </w:r>
    </w:p>
    <w:p w14:paraId="651F9072">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18.</w:t>
      </w:r>
      <w:r>
        <w:rPr>
          <w:rFonts w:hint="eastAsia" w:ascii="宋体" w:hAnsi="宋体" w:cs="宋体"/>
          <w:color w:val="auto"/>
          <w:sz w:val="24"/>
          <w:highlight w:val="none"/>
        </w:rPr>
        <w:t>单、被子、枕头的中线要三线合一，四角饱满床面平整。</w:t>
      </w:r>
    </w:p>
    <w:p w14:paraId="0D97AB0E">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19.</w:t>
      </w:r>
      <w:r>
        <w:rPr>
          <w:rFonts w:hint="eastAsia" w:ascii="宋体" w:hAnsi="宋体" w:cs="宋体"/>
          <w:color w:val="auto"/>
          <w:sz w:val="24"/>
          <w:highlight w:val="none"/>
        </w:rPr>
        <w:t>将用过的皂头及牙具梳子等可回收物品放进工作车回收袋。</w:t>
      </w:r>
    </w:p>
    <w:p w14:paraId="33AE87C5">
      <w:pPr>
        <w:spacing w:line="360" w:lineRule="auto"/>
        <w:ind w:left="430" w:leftChars="202" w:firstLine="2"/>
        <w:rPr>
          <w:rFonts w:ascii="仿宋" w:hAnsi="仿宋" w:cs="宋体"/>
          <w:color w:val="auto"/>
          <w:sz w:val="24"/>
          <w:highlight w:val="none"/>
        </w:rPr>
      </w:pPr>
      <w:r>
        <w:rPr>
          <w:rFonts w:ascii="宋体" w:hAnsi="宋体" w:cs="宋体"/>
          <w:color w:val="auto"/>
          <w:sz w:val="24"/>
          <w:highlight w:val="none"/>
        </w:rPr>
        <w:t>20.</w:t>
      </w:r>
      <w:r>
        <w:rPr>
          <w:rFonts w:hint="eastAsia" w:ascii="宋体" w:hAnsi="宋体" w:cs="宋体"/>
          <w:color w:val="auto"/>
          <w:sz w:val="24"/>
          <w:highlight w:val="none"/>
        </w:rPr>
        <w:t>水壶并清洗抹干净，清洁烟缸，洗抹布。</w:t>
      </w:r>
    </w:p>
    <w:p w14:paraId="05505664">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用清洁剂全面抹刷三缸。</w:t>
      </w:r>
    </w:p>
    <w:p w14:paraId="49937D50">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rPr>
        <w:t>洁用具分开使用，全面洗擦三缸并对浴缸、淋浴房以上四格瓷砖墙面清洗、清洗防滑垫（面 盆、浴缸、淋浴、用浴缸刷，马桶用专用毛球，防滑垫用硬刷）。</w:t>
      </w:r>
    </w:p>
    <w:p w14:paraId="10C53B85">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23.</w:t>
      </w:r>
      <w:r>
        <w:rPr>
          <w:rFonts w:hint="eastAsia" w:ascii="宋体" w:hAnsi="宋体" w:cs="宋体"/>
          <w:color w:val="auto"/>
          <w:sz w:val="24"/>
          <w:highlight w:val="none"/>
        </w:rPr>
        <w:t>硬刷刷洗地板。</w:t>
      </w:r>
    </w:p>
    <w:p w14:paraId="14A48FEF">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检查冲水系统、水龙头、花洒。</w:t>
      </w:r>
    </w:p>
    <w:p w14:paraId="442140DF">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color w:val="auto"/>
          <w:sz w:val="24"/>
          <w:highlight w:val="none"/>
        </w:rPr>
        <w:t>盆干净、活塞提起。</w:t>
      </w:r>
    </w:p>
    <w:p w14:paraId="22B347FC">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缸干净，活塞提起，防滑垫干净无积水。</w:t>
      </w:r>
    </w:p>
    <w:p w14:paraId="4540E4C1">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27.</w:t>
      </w:r>
      <w:r>
        <w:rPr>
          <w:rFonts w:hint="eastAsia" w:ascii="宋体" w:hAnsi="宋体" w:cs="宋体"/>
          <w:color w:val="auto"/>
          <w:sz w:val="24"/>
          <w:highlight w:val="none"/>
        </w:rPr>
        <w:t>浴房干净、地漏无堵塞。</w:t>
      </w:r>
    </w:p>
    <w:p w14:paraId="67DFE28A">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28.</w:t>
      </w:r>
      <w:r>
        <w:rPr>
          <w:rFonts w:hint="eastAsia" w:ascii="宋体" w:hAnsi="宋体" w:cs="宋体"/>
          <w:color w:val="auto"/>
          <w:sz w:val="24"/>
          <w:highlight w:val="none"/>
        </w:rPr>
        <w:t>桶干净无污渍。</w:t>
      </w:r>
    </w:p>
    <w:p w14:paraId="4744BBB4">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29.</w:t>
      </w:r>
      <w:r>
        <w:rPr>
          <w:rFonts w:hint="eastAsia" w:ascii="宋体" w:hAnsi="宋体" w:cs="宋体"/>
          <w:color w:val="auto"/>
          <w:sz w:val="24"/>
          <w:highlight w:val="none"/>
        </w:rPr>
        <w:t>地面、台面干净、无污渍、无尘。</w:t>
      </w:r>
    </w:p>
    <w:p w14:paraId="6344A79C">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30.</w:t>
      </w:r>
      <w:r>
        <w:rPr>
          <w:rFonts w:hint="eastAsia" w:ascii="宋体" w:hAnsi="宋体" w:cs="宋体"/>
          <w:color w:val="auto"/>
          <w:sz w:val="24"/>
          <w:highlight w:val="none"/>
        </w:rPr>
        <w:t>不锈钢发亮、无水渍。</w:t>
      </w:r>
    </w:p>
    <w:p w14:paraId="37B42B0E">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rPr>
        <w:t>玻璃、镜子干净、明亮，无水渍。</w:t>
      </w:r>
    </w:p>
    <w:p w14:paraId="361BF32F">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32.</w:t>
      </w:r>
      <w:r>
        <w:rPr>
          <w:rFonts w:hint="eastAsia" w:ascii="宋体" w:hAnsi="宋体" w:cs="宋体"/>
          <w:color w:val="auto"/>
          <w:sz w:val="24"/>
          <w:highlight w:val="none"/>
        </w:rPr>
        <w:t>卫生间干净无异味。</w:t>
      </w:r>
    </w:p>
    <w:p w14:paraId="4C311D74">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10694035</wp:posOffset>
                </wp:positionV>
                <wp:extent cx="12700" cy="12700"/>
                <wp:effectExtent l="6350" t="6350" r="19050" b="9525"/>
                <wp:wrapNone/>
                <wp:docPr id="6" name="文本框 6"/>
                <wp:cNvGraphicFramePr/>
                <a:graphic xmlns:a="http://schemas.openxmlformats.org/drawingml/2006/main">
                  <a:graphicData uri="http://schemas.microsoft.com/office/word/2010/wordprocessingShape">
                    <wps:wsp>
                      <wps:cNvSpPr txBox="1"/>
                      <wps:spPr>
                        <a:xfrm>
                          <a:off x="0" y="0"/>
                          <a:ext cx="12700" cy="12700"/>
                        </a:xfrm>
                        <a:prstGeom prst="rect">
                          <a:avLst/>
                        </a:prstGeom>
                        <a:solidFill>
                          <a:srgbClr val="FFFF4C">
                            <a:alpha val="70195"/>
                          </a:srgbClr>
                        </a:solidFill>
                        <a:ln w="12700" cap="flat" cmpd="sng">
                          <a:solidFill>
                            <a:srgbClr val="000000"/>
                          </a:solidFill>
                          <a:prstDash val="solid"/>
                          <a:miter/>
                          <a:headEnd type="none" w="med" len="med"/>
                          <a:tailEnd type="none" w="med" len="med"/>
                        </a:ln>
                      </wps:spPr>
                      <wps:txbx>
                        <w:txbxContent>
                          <w:p w14:paraId="2D848343">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45009EDE">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wps:txbx>
                      <wps:bodyPr lIns="0" tIns="0" rIns="0" bIns="0" upright="1"/>
                    </wps:wsp>
                  </a:graphicData>
                </a:graphic>
              </wp:anchor>
            </w:drawing>
          </mc:Choice>
          <mc:Fallback>
            <w:pict>
              <v:shape id="_x0000_s1026" o:spid="_x0000_s1026" o:spt="202" type="#_x0000_t202" style="position:absolute;left:0pt;margin-left:0pt;margin-top:842.05pt;height:1pt;width:1pt;mso-position-horizontal-relative:page;mso-position-vertical-relative:page;z-index:251663360;mso-width-relative:page;mso-height-relative:page;" fillcolor="#FFFF4C" filled="t" stroked="t" coordsize="21600,21600" o:allowincell="f" o:gfxdata="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STwitAAAAAIAQAA&#10;DwAAAAAAAAABACAAAAAiAAAAZHJzL2Rvd25yZXYueG1sUEsBAhQAFAAAAAgAh07iQDcqQBshAgAA&#10;eQQAAA4AAAAAAAAAAQAgAAAAHwEAAGRycy9lMm9Eb2MueG1sUEsFBgAAAAAGAAYAWQEAALIFAAAA&#10;AA==&#10;">
                <v:fill on="t" opacity="46002f" focussize="0,0"/>
                <v:stroke weight="1pt" color="#000000" joinstyle="miter"/>
                <v:imagedata o:title=""/>
                <o:lock v:ext="edit" aspectratio="f"/>
                <v:textbox inset="0mm,0mm,0mm,0mm">
                  <w:txbxContent>
                    <w:p w14:paraId="2D848343">
                      <w:pPr>
                        <w:pStyle w:val="19"/>
                        <w:kinsoku w:val="0"/>
                        <w:overflowPunct w:val="0"/>
                        <w:autoSpaceDE w:val="0"/>
                        <w:autoSpaceDN w:val="0"/>
                        <w:adjustRightInd w:val="0"/>
                        <w:spacing w:before="92" w:beforeAutospacing="0" w:after="0" w:afterAutospacing="0"/>
                        <w:ind w:left="40" w:right="38" w:firstLine="400"/>
                        <w:jc w:val="right"/>
                        <w:rPr>
                          <w:rFonts w:ascii="Arial" w:hAnsi="Arial" w:cs="Arial"/>
                          <w:sz w:val="20"/>
                          <w:szCs w:val="20"/>
                        </w:rPr>
                      </w:pPr>
                      <w:r>
                        <w:rPr>
                          <w:rFonts w:ascii="Arial" w:hAnsi="Arial" w:cs="Arial"/>
                          <w:sz w:val="20"/>
                          <w:szCs w:val="20"/>
                        </w:rPr>
                        <w:t>--------------------------------------------</w:t>
                      </w:r>
                    </w:p>
                    <w:p w14:paraId="45009EDE">
                      <w:pPr>
                        <w:pStyle w:val="19"/>
                        <w:kinsoku w:val="0"/>
                        <w:overflowPunct w:val="0"/>
                        <w:autoSpaceDE w:val="0"/>
                        <w:autoSpaceDN w:val="0"/>
                        <w:adjustRightInd w:val="0"/>
                        <w:spacing w:before="7" w:beforeAutospacing="0" w:after="0" w:afterAutospacing="0" w:line="330" w:lineRule="atLeast"/>
                        <w:ind w:left="40" w:right="38" w:firstLine="320"/>
                        <w:jc w:val="right"/>
                        <w:rPr>
                          <w:rFonts w:ascii="Arial" w:hAnsi="Arial" w:cs="Arial"/>
                          <w:sz w:val="16"/>
                          <w:szCs w:val="16"/>
                        </w:rPr>
                      </w:pPr>
                    </w:p>
                  </w:txbxContent>
                </v:textbox>
              </v:shape>
            </w:pict>
          </mc:Fallback>
        </mc:AlternateContent>
      </w:r>
      <w:r>
        <w:rPr>
          <w:rFonts w:ascii="宋体" w:hAnsi="宋体" w:cs="宋体"/>
          <w:color w:val="auto"/>
          <w:sz w:val="24"/>
          <w:highlight w:val="none"/>
        </w:rPr>
        <w:t>33.将清洁用具放回工作车上</w:t>
      </w:r>
      <w:r>
        <w:rPr>
          <w:rFonts w:hint="eastAsia" w:ascii="宋体" w:hAnsi="宋体" w:cs="宋体"/>
          <w:color w:val="auto"/>
          <w:sz w:val="24"/>
          <w:highlight w:val="none"/>
        </w:rPr>
        <w:t>。</w:t>
      </w:r>
    </w:p>
    <w:p w14:paraId="6F552BE0">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备干湿两种抹布，抹以下位置：门铃、把手始抹起（按顺时针方向由上而下，从里到外抹一 圈）；房门、框及正背面；衣柜内外；托盘、冷热水壶；写字台、台灯、镜子镜框、电视机、电视 柜；两张围椅、茶几；玻璃窗、窗台、地角线；床头柜、床头灯、抽屉内物品；床头板边沿；电话 柜、电话、遥控器、地角线；行李柜；抹卫生间门框及门板。</w:t>
      </w:r>
    </w:p>
    <w:p w14:paraId="5D551978">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35.</w:t>
      </w:r>
      <w:r>
        <w:rPr>
          <w:rFonts w:hint="eastAsia" w:ascii="宋体" w:hAnsi="宋体" w:cs="宋体"/>
          <w:color w:val="auto"/>
          <w:sz w:val="24"/>
          <w:highlight w:val="none"/>
        </w:rPr>
        <w:t>抹过的家私要按标准化规范复原、并检查设备、设施。</w:t>
      </w:r>
    </w:p>
    <w:p w14:paraId="7D29199F">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36.</w:t>
      </w:r>
      <w:r>
        <w:rPr>
          <w:rFonts w:hint="eastAsia" w:ascii="宋体" w:hAnsi="宋体" w:cs="宋体"/>
          <w:color w:val="auto"/>
          <w:sz w:val="24"/>
          <w:highlight w:val="none"/>
        </w:rPr>
        <w:t>如有电脑的房间进行电脑桌、电脑除尘。</w:t>
      </w:r>
    </w:p>
    <w:p w14:paraId="01B4F53E">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37.</w:t>
      </w:r>
      <w:r>
        <w:rPr>
          <w:rFonts w:hint="eastAsia" w:ascii="宋体" w:hAnsi="宋体" w:cs="宋体"/>
          <w:color w:val="auto"/>
          <w:sz w:val="24"/>
          <w:highlight w:val="none"/>
        </w:rPr>
        <w:t>补充用品：巾类按规定摆放标准；防滑垫和地巾摆放标准；补充一次性用品；补充漱口杯； 卷纸、面巾、手纸并按规定折口；装垃圾袋；衣柜物品齐全（衣架、擦鞋工具）；文具补充齐全； 补充更换消毒茶杯、茶叶、咖啡；火柴、信纸、铅笔；拖鞋等房间所有物品。</w:t>
      </w:r>
    </w:p>
    <w:p w14:paraId="46ED5BEB">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38.</w:t>
      </w:r>
      <w:r>
        <w:rPr>
          <w:rFonts w:hint="eastAsia" w:ascii="宋体" w:hAnsi="宋体" w:cs="宋体"/>
          <w:color w:val="auto"/>
          <w:sz w:val="24"/>
          <w:highlight w:val="none"/>
        </w:rPr>
        <w:t xml:space="preserve">拉合房间窗纱帘，厚帘打开约 </w:t>
      </w:r>
      <w:r>
        <w:rPr>
          <w:rFonts w:ascii="宋体" w:hAnsi="宋体" w:cs="宋体"/>
          <w:color w:val="auto"/>
          <w:sz w:val="24"/>
          <w:highlight w:val="none"/>
        </w:rPr>
        <w:t xml:space="preserve">30 </w:t>
      </w:r>
      <w:r>
        <w:rPr>
          <w:rFonts w:hint="eastAsia" w:ascii="宋体" w:hAnsi="宋体" w:cs="宋体"/>
          <w:color w:val="auto"/>
          <w:sz w:val="24"/>
          <w:highlight w:val="none"/>
        </w:rPr>
        <w:t>公分宽度。</w:t>
      </w:r>
    </w:p>
    <w:p w14:paraId="5F6AB8AF">
      <w:pPr>
        <w:spacing w:line="360" w:lineRule="auto"/>
        <w:ind w:left="430" w:leftChars="202" w:firstLine="2"/>
        <w:rPr>
          <w:rFonts w:ascii="仿宋" w:hAnsi="仿宋" w:cs="宋体"/>
          <w:color w:val="auto"/>
          <w:sz w:val="24"/>
          <w:highlight w:val="none"/>
        </w:rPr>
      </w:pPr>
      <w:r>
        <w:rPr>
          <w:rFonts w:ascii="宋体" w:hAnsi="宋体" w:cs="宋体"/>
          <w:color w:val="auto"/>
          <w:sz w:val="24"/>
          <w:highlight w:val="none"/>
        </w:rPr>
        <w:t>39.</w:t>
      </w:r>
      <w:r>
        <w:rPr>
          <w:rFonts w:hint="eastAsia" w:ascii="宋体" w:hAnsi="宋体" w:cs="宋体"/>
          <w:color w:val="auto"/>
          <w:sz w:val="24"/>
          <w:highlight w:val="none"/>
        </w:rPr>
        <w:t>把空调及灯关上。</w:t>
      </w:r>
    </w:p>
    <w:p w14:paraId="4735E591">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40.</w:t>
      </w:r>
      <w:r>
        <w:rPr>
          <w:rFonts w:hint="eastAsia" w:ascii="宋体" w:hAnsi="宋体" w:cs="宋体"/>
          <w:color w:val="auto"/>
          <w:sz w:val="24"/>
          <w:highlight w:val="none"/>
        </w:rPr>
        <w:t>环顾房间是否有遗漏。</w:t>
      </w:r>
    </w:p>
    <w:p w14:paraId="336FFE73">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填写离房时间及其他情况。</w:t>
      </w:r>
    </w:p>
    <w:p w14:paraId="75E20F7D">
      <w:pPr>
        <w:spacing w:line="360" w:lineRule="auto"/>
        <w:ind w:left="430" w:leftChars="202" w:firstLine="2"/>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关房门。</w:t>
      </w:r>
    </w:p>
    <w:p w14:paraId="5F739F5E">
      <w:pPr>
        <w:spacing w:line="360" w:lineRule="auto"/>
        <w:ind w:firstLine="482"/>
        <w:outlineLvl w:val="2"/>
        <w:rPr>
          <w:rFonts w:ascii="宋体" w:hAnsi="宋体" w:cs="宋体"/>
          <w:b/>
          <w:bCs/>
          <w:color w:val="auto"/>
          <w:sz w:val="24"/>
          <w:highlight w:val="none"/>
        </w:rPr>
      </w:pPr>
      <w:bookmarkStart w:id="13" w:name="_Toc11405471"/>
      <w:bookmarkStart w:id="14" w:name="_Toc10619592"/>
      <w:r>
        <w:rPr>
          <w:rFonts w:hint="eastAsia" w:ascii="宋体" w:hAnsi="宋体" w:cs="宋体"/>
          <w:b/>
          <w:bCs/>
          <w:color w:val="auto"/>
          <w:sz w:val="24"/>
          <w:highlight w:val="none"/>
        </w:rPr>
        <w:t>（六）安保服务</w:t>
      </w:r>
      <w:bookmarkEnd w:id="13"/>
      <w:bookmarkEnd w:id="14"/>
    </w:p>
    <w:p w14:paraId="72A8B4A8">
      <w:pPr>
        <w:pStyle w:val="10"/>
        <w:spacing w:after="100" w:line="360" w:lineRule="auto"/>
        <w:ind w:firstLine="482"/>
        <w:rPr>
          <w:rFonts w:ascii="宋体" w:hAnsi="宋体"/>
          <w:b/>
          <w:color w:val="auto"/>
          <w:sz w:val="24"/>
          <w:szCs w:val="24"/>
          <w:highlight w:val="none"/>
        </w:rPr>
      </w:pPr>
      <w:r>
        <w:rPr>
          <w:rFonts w:ascii="宋体" w:hAnsi="宋体"/>
          <w:b/>
          <w:color w:val="auto"/>
          <w:sz w:val="24"/>
          <w:szCs w:val="24"/>
          <w:highlight w:val="none"/>
        </w:rPr>
        <w:t>【保安人员要求】</w:t>
      </w:r>
    </w:p>
    <w:p w14:paraId="3D9417DD">
      <w:pPr>
        <w:spacing w:line="360" w:lineRule="auto"/>
        <w:ind w:firstLine="480"/>
        <w:rPr>
          <w:rFonts w:ascii="宋体" w:hAnsi="宋体"/>
          <w:color w:val="auto"/>
          <w:sz w:val="24"/>
          <w:highlight w:val="none"/>
        </w:rPr>
      </w:pPr>
      <w:r>
        <w:rPr>
          <w:rFonts w:hint="eastAsia" w:ascii="宋体" w:hAnsi="宋体"/>
          <w:color w:val="auto"/>
          <w:sz w:val="24"/>
          <w:highlight w:val="none"/>
        </w:rPr>
        <w:t>政审合格，责任心强、身体健康，五官端正具备初中以上文化，男性身高1.65米以上，女性身高1.58米以上，经过专业培训年龄50岁以下（其中20—30岁、30—40岁、40—50岁各占33%）。</w:t>
      </w:r>
    </w:p>
    <w:p w14:paraId="72D480B2">
      <w:pPr>
        <w:spacing w:line="360" w:lineRule="auto"/>
        <w:ind w:firstLine="482"/>
        <w:rPr>
          <w:rFonts w:ascii="宋体" w:hAnsi="宋体"/>
          <w:b/>
          <w:color w:val="auto"/>
          <w:sz w:val="24"/>
          <w:highlight w:val="none"/>
        </w:rPr>
      </w:pPr>
      <w:r>
        <w:rPr>
          <w:rFonts w:ascii="宋体" w:hAnsi="宋体"/>
          <w:b/>
          <w:color w:val="auto"/>
          <w:sz w:val="24"/>
          <w:highlight w:val="none"/>
        </w:rPr>
        <w:t>【</w:t>
      </w:r>
      <w:r>
        <w:rPr>
          <w:rFonts w:hint="eastAsia" w:ascii="宋体" w:hAnsi="宋体"/>
          <w:b/>
          <w:color w:val="auto"/>
          <w:kern w:val="0"/>
          <w:sz w:val="24"/>
          <w:highlight w:val="none"/>
        </w:rPr>
        <w:t>岗位设置</w:t>
      </w:r>
      <w:r>
        <w:rPr>
          <w:rFonts w:ascii="宋体" w:hAnsi="宋体"/>
          <w:b/>
          <w:color w:val="auto"/>
          <w:sz w:val="24"/>
          <w:highlight w:val="none"/>
        </w:rPr>
        <w:t>】</w:t>
      </w:r>
    </w:p>
    <w:p w14:paraId="27B471D3">
      <w:pPr>
        <w:pStyle w:val="10"/>
        <w:spacing w:after="100"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1、安保主管:负责保安队伍日常管理工作，含治安、消防安全。</w:t>
      </w:r>
    </w:p>
    <w:p w14:paraId="48514B11">
      <w:pPr>
        <w:pStyle w:val="10"/>
        <w:spacing w:after="100"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2、大门岗：双岗，白班1人站岗2人管理，24小时值守。</w:t>
      </w:r>
    </w:p>
    <w:p w14:paraId="491871D7">
      <w:pPr>
        <w:pStyle w:val="10"/>
        <w:spacing w:after="100" w:line="360" w:lineRule="auto"/>
        <w:ind w:firstLine="480"/>
        <w:rPr>
          <w:rFonts w:ascii="宋体" w:hAnsi="宋体"/>
          <w:color w:val="auto"/>
          <w:sz w:val="24"/>
          <w:szCs w:val="24"/>
          <w:highlight w:val="none"/>
        </w:rPr>
      </w:pPr>
      <w:r>
        <w:rPr>
          <w:rFonts w:ascii="宋体" w:hAnsi="宋体" w:cs="宋体"/>
          <w:color w:val="auto"/>
          <w:sz w:val="24"/>
          <w:szCs w:val="24"/>
          <w:highlight w:val="none"/>
        </w:rPr>
        <w:t>3、次门岗: 四个岗位：校园南区侧门 、一期工程项目侧门、离退休工作处主干道侧门、C1、C2栋主干道侧门，每岗3人，单岗，1人/班，24小时值守。</w:t>
      </w:r>
    </w:p>
    <w:p w14:paraId="3BD05CC7">
      <w:pPr>
        <w:pStyle w:val="10"/>
        <w:spacing w:after="100" w:line="360" w:lineRule="auto"/>
        <w:ind w:firstLine="480"/>
        <w:rPr>
          <w:rFonts w:ascii="宋体" w:hAnsi="宋体"/>
          <w:color w:val="auto"/>
          <w:sz w:val="24"/>
          <w:szCs w:val="24"/>
          <w:highlight w:val="none"/>
        </w:rPr>
      </w:pPr>
      <w:r>
        <w:rPr>
          <w:rFonts w:ascii="宋体" w:hAnsi="宋体" w:cs="宋体"/>
          <w:color w:val="auto"/>
          <w:sz w:val="24"/>
          <w:szCs w:val="24"/>
          <w:highlight w:val="none"/>
        </w:rPr>
        <w:t>4、监控岗:   消防、安全监控一体。双岗，持证上岗，24小时值守。</w:t>
      </w:r>
    </w:p>
    <w:p w14:paraId="4DAE5B58">
      <w:pPr>
        <w:pStyle w:val="10"/>
        <w:spacing w:after="100" w:line="360" w:lineRule="auto"/>
        <w:ind w:firstLine="480"/>
        <w:rPr>
          <w:rFonts w:ascii="宋体" w:hAnsi="宋体"/>
          <w:color w:val="auto"/>
          <w:sz w:val="24"/>
          <w:szCs w:val="24"/>
          <w:highlight w:val="none"/>
        </w:rPr>
      </w:pPr>
      <w:r>
        <w:rPr>
          <w:rFonts w:ascii="宋体" w:hAnsi="宋体" w:cs="宋体"/>
          <w:color w:val="auto"/>
          <w:sz w:val="24"/>
          <w:szCs w:val="24"/>
          <w:highlight w:val="none"/>
        </w:rPr>
        <w:t>5、校园固定岗:校园有4个区域固定岗亭，办公楼、综合楼、信息楼、学员6、六、七号楼。每岗3人，单岗，1人/班，24小时值守。</w:t>
      </w:r>
    </w:p>
    <w:p w14:paraId="4545CC69">
      <w:pPr>
        <w:pStyle w:val="10"/>
        <w:spacing w:after="100" w:line="360" w:lineRule="auto"/>
        <w:ind w:firstLine="480"/>
        <w:rPr>
          <w:rFonts w:ascii="宋体" w:hAnsi="宋体"/>
          <w:color w:val="auto"/>
          <w:sz w:val="24"/>
          <w:szCs w:val="24"/>
          <w:highlight w:val="none"/>
        </w:rPr>
      </w:pPr>
      <w:r>
        <w:rPr>
          <w:rFonts w:ascii="宋体" w:hAnsi="宋体" w:cs="宋体"/>
          <w:color w:val="auto"/>
          <w:sz w:val="24"/>
          <w:szCs w:val="24"/>
          <w:highlight w:val="none"/>
        </w:rPr>
        <w:t>7、校园巡逻队:3人/班，三班。24小时值守。处置突发、应急事件</w:t>
      </w:r>
      <w:r>
        <w:rPr>
          <w:rFonts w:hint="eastAsia" w:ascii="宋体" w:hAnsi="宋体" w:cs="宋体"/>
          <w:color w:val="auto"/>
          <w:sz w:val="24"/>
          <w:szCs w:val="24"/>
          <w:highlight w:val="none"/>
        </w:rPr>
        <w:t>。</w:t>
      </w:r>
    </w:p>
    <w:p w14:paraId="236059FC">
      <w:pPr>
        <w:pStyle w:val="10"/>
        <w:spacing w:after="100" w:line="360" w:lineRule="auto"/>
        <w:ind w:firstLine="480"/>
        <w:rPr>
          <w:rFonts w:ascii="宋体" w:hAnsi="宋体"/>
          <w:color w:val="auto"/>
          <w:sz w:val="24"/>
          <w:szCs w:val="24"/>
          <w:highlight w:val="none"/>
        </w:rPr>
      </w:pPr>
      <w:r>
        <w:rPr>
          <w:rFonts w:ascii="宋体" w:hAnsi="宋体" w:cs="宋体"/>
          <w:color w:val="auto"/>
          <w:sz w:val="24"/>
          <w:szCs w:val="24"/>
          <w:highlight w:val="none"/>
        </w:rPr>
        <w:t>8、森林巡防:  校园森林防火巡查。（由生态环境管理处管理）</w:t>
      </w:r>
      <w:r>
        <w:rPr>
          <w:rFonts w:hint="eastAsia" w:ascii="宋体" w:hAnsi="宋体" w:cs="宋体"/>
          <w:color w:val="auto"/>
          <w:sz w:val="24"/>
          <w:szCs w:val="24"/>
          <w:highlight w:val="none"/>
        </w:rPr>
        <w:t>。</w:t>
      </w:r>
    </w:p>
    <w:p w14:paraId="00FEFAAE">
      <w:pPr>
        <w:pStyle w:val="10"/>
        <w:spacing w:after="100"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9、校园北区（家属区）:2人/班，三班。24小时值守。处置突发、应急事件</w:t>
      </w:r>
      <w:r>
        <w:rPr>
          <w:rFonts w:hint="eastAsia" w:ascii="宋体" w:hAnsi="宋体" w:cs="宋体"/>
          <w:color w:val="auto"/>
          <w:sz w:val="24"/>
          <w:szCs w:val="24"/>
          <w:highlight w:val="none"/>
        </w:rPr>
        <w:t>。</w:t>
      </w:r>
    </w:p>
    <w:p w14:paraId="2274519F">
      <w:pPr>
        <w:pStyle w:val="10"/>
        <w:spacing w:after="100"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10、科研教学楼固定岗:停车场出入口各2人，1人巡逻巡查。</w:t>
      </w:r>
    </w:p>
    <w:p w14:paraId="7444DF3D">
      <w:pPr>
        <w:pStyle w:val="10"/>
        <w:spacing w:after="100"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11、森林巡防:校园森林、步道巡逻6人（两班）。</w:t>
      </w:r>
    </w:p>
    <w:p w14:paraId="2544F822">
      <w:pPr>
        <w:pStyle w:val="10"/>
        <w:spacing w:after="100"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2</w:t>
      </w:r>
      <w:r>
        <w:rPr>
          <w:rFonts w:ascii="宋体" w:hAnsi="宋体" w:cs="宋体"/>
          <w:color w:val="auto"/>
          <w:sz w:val="24"/>
          <w:szCs w:val="24"/>
          <w:highlight w:val="none"/>
        </w:rPr>
        <w:t>、油榨街校区:负责24小时治安、消防监控值守。</w:t>
      </w:r>
    </w:p>
    <w:p w14:paraId="6D087B0F">
      <w:pPr>
        <w:pStyle w:val="10"/>
        <w:spacing w:after="100" w:line="360" w:lineRule="auto"/>
        <w:ind w:firstLine="482"/>
        <w:rPr>
          <w:rFonts w:ascii="宋体" w:hAnsi="宋体" w:cs="宋体"/>
          <w:b/>
          <w:color w:val="auto"/>
          <w:sz w:val="24"/>
          <w:szCs w:val="24"/>
          <w:highlight w:val="none"/>
        </w:rPr>
      </w:pPr>
      <w:r>
        <w:rPr>
          <w:rFonts w:ascii="宋体" w:hAnsi="宋体" w:cs="宋体"/>
          <w:b/>
          <w:color w:val="auto"/>
          <w:sz w:val="24"/>
          <w:szCs w:val="24"/>
          <w:highlight w:val="none"/>
        </w:rPr>
        <w:t>【保安业务服务】</w:t>
      </w:r>
    </w:p>
    <w:p w14:paraId="21E55447">
      <w:pPr>
        <w:pStyle w:val="10"/>
        <w:spacing w:after="100" w:line="360" w:lineRule="auto"/>
        <w:ind w:firstLine="480"/>
        <w:rPr>
          <w:rFonts w:ascii="宋体" w:hAnsi="宋体"/>
          <w:color w:val="auto"/>
          <w:sz w:val="24"/>
          <w:szCs w:val="24"/>
          <w:highlight w:val="none"/>
        </w:rPr>
      </w:pPr>
      <w:r>
        <w:rPr>
          <w:rFonts w:ascii="宋体" w:hAnsi="宋体"/>
          <w:color w:val="auto"/>
          <w:sz w:val="24"/>
          <w:szCs w:val="24"/>
          <w:highlight w:val="none"/>
        </w:rPr>
        <w:t>投标供应商负责协助学校的安保工作，按采购人要求依法开展安全保卫工作，保证采购人教育、教学的的正常开展。</w:t>
      </w:r>
    </w:p>
    <w:p w14:paraId="55030CDD">
      <w:pPr>
        <w:spacing w:line="360" w:lineRule="auto"/>
        <w:ind w:firstLine="480"/>
        <w:rPr>
          <w:rFonts w:ascii="宋体" w:hAnsi="宋体"/>
          <w:color w:val="auto"/>
          <w:sz w:val="24"/>
          <w:highlight w:val="none"/>
        </w:rPr>
      </w:pPr>
      <w:r>
        <w:rPr>
          <w:rFonts w:hint="eastAsia" w:ascii="宋体" w:hAnsi="宋体" w:cs="Arial"/>
          <w:color w:val="auto"/>
          <w:kern w:val="0"/>
          <w:sz w:val="24"/>
          <w:highlight w:val="none"/>
        </w:rPr>
        <w:t>（1）</w:t>
      </w:r>
      <w:r>
        <w:rPr>
          <w:rFonts w:hint="eastAsia" w:ascii="宋体" w:hAnsi="宋体"/>
          <w:color w:val="auto"/>
          <w:sz w:val="24"/>
          <w:highlight w:val="none"/>
        </w:rPr>
        <w:t>依法开展防火、防盗、防破坏等工作；</w:t>
      </w:r>
    </w:p>
    <w:p w14:paraId="0C69DD31">
      <w:pPr>
        <w:spacing w:line="360" w:lineRule="auto"/>
        <w:ind w:firstLine="480"/>
        <w:rPr>
          <w:rFonts w:ascii="仿宋" w:hAnsi="仿宋" w:eastAsia="仿宋"/>
          <w:color w:val="auto"/>
          <w:sz w:val="24"/>
          <w:highlight w:val="none"/>
        </w:rPr>
      </w:pPr>
      <w:r>
        <w:rPr>
          <w:rFonts w:hint="eastAsia" w:ascii="宋体" w:hAnsi="宋体" w:cs="Arial"/>
          <w:color w:val="auto"/>
          <w:kern w:val="0"/>
          <w:sz w:val="24"/>
          <w:highlight w:val="none"/>
        </w:rPr>
        <w:t>（2）</w:t>
      </w:r>
      <w:r>
        <w:rPr>
          <w:rFonts w:hint="eastAsia" w:ascii="宋体" w:hAnsi="宋体"/>
          <w:color w:val="auto"/>
          <w:sz w:val="24"/>
          <w:highlight w:val="none"/>
        </w:rPr>
        <w:t>负责门卫管理工作，严格人员出入、车辆检查验证；</w:t>
      </w:r>
    </w:p>
    <w:p w14:paraId="31C9BB39">
      <w:pPr>
        <w:spacing w:line="360" w:lineRule="auto"/>
        <w:ind w:firstLine="480"/>
        <w:rPr>
          <w:rFonts w:ascii="宋体" w:hAnsi="宋体"/>
          <w:color w:val="auto"/>
          <w:sz w:val="24"/>
          <w:highlight w:val="none"/>
        </w:rPr>
      </w:pPr>
      <w:r>
        <w:rPr>
          <w:rFonts w:hint="eastAsia" w:ascii="宋体" w:hAnsi="宋体" w:cs="Arial"/>
          <w:color w:val="auto"/>
          <w:kern w:val="0"/>
          <w:sz w:val="24"/>
          <w:highlight w:val="none"/>
        </w:rPr>
        <w:t>（3）</w:t>
      </w:r>
      <w:r>
        <w:rPr>
          <w:rFonts w:hint="eastAsia" w:ascii="宋体" w:hAnsi="宋体"/>
          <w:color w:val="auto"/>
          <w:sz w:val="24"/>
          <w:highlight w:val="none"/>
        </w:rPr>
        <w:t>负责巡逻检查，对重点部位</w:t>
      </w:r>
      <w:r>
        <w:rPr>
          <w:rFonts w:hint="eastAsia" w:ascii="宋体" w:hAnsi="宋体"/>
          <w:color w:val="auto"/>
          <w:spacing w:val="-4"/>
          <w:sz w:val="24"/>
          <w:highlight w:val="none"/>
        </w:rPr>
        <w:t>重点保护；</w:t>
      </w:r>
    </w:p>
    <w:p w14:paraId="1A05ACED">
      <w:pPr>
        <w:spacing w:line="360" w:lineRule="auto"/>
        <w:ind w:firstLine="480"/>
        <w:rPr>
          <w:rFonts w:ascii="宋体" w:hAnsi="宋体"/>
          <w:color w:val="auto"/>
          <w:sz w:val="24"/>
          <w:highlight w:val="none"/>
        </w:rPr>
      </w:pPr>
      <w:r>
        <w:rPr>
          <w:rFonts w:hint="eastAsia" w:ascii="宋体" w:hAnsi="宋体" w:cs="Arial"/>
          <w:color w:val="auto"/>
          <w:kern w:val="0"/>
          <w:sz w:val="24"/>
          <w:highlight w:val="none"/>
        </w:rPr>
        <w:t>（4）</w:t>
      </w:r>
      <w:r>
        <w:rPr>
          <w:rFonts w:hint="eastAsia" w:ascii="宋体" w:hAnsi="宋体"/>
          <w:color w:val="auto"/>
          <w:sz w:val="24"/>
          <w:highlight w:val="none"/>
        </w:rPr>
        <w:t>负责维护正常教学、生活秩序，及时制止各类治安纠纷；</w:t>
      </w:r>
    </w:p>
    <w:p w14:paraId="48CFF83E">
      <w:pPr>
        <w:spacing w:line="360" w:lineRule="auto"/>
        <w:ind w:firstLine="480"/>
        <w:rPr>
          <w:rFonts w:ascii="宋体" w:hAnsi="宋体"/>
          <w:color w:val="auto"/>
          <w:sz w:val="24"/>
          <w:highlight w:val="none"/>
        </w:rPr>
      </w:pPr>
      <w:r>
        <w:rPr>
          <w:rFonts w:hint="eastAsia" w:ascii="宋体" w:hAnsi="宋体"/>
          <w:color w:val="auto"/>
          <w:sz w:val="24"/>
          <w:highlight w:val="none"/>
        </w:rPr>
        <w:t>（5）负责校园</w:t>
      </w:r>
      <w:r>
        <w:rPr>
          <w:rFonts w:hint="eastAsia" w:ascii="宋体" w:hAnsi="宋体" w:cs="Arial"/>
          <w:color w:val="auto"/>
          <w:kern w:val="0"/>
          <w:sz w:val="24"/>
          <w:highlight w:val="none"/>
        </w:rPr>
        <w:t>道路交通安全管理；</w:t>
      </w:r>
    </w:p>
    <w:p w14:paraId="112BDC8A">
      <w:pPr>
        <w:spacing w:line="360" w:lineRule="auto"/>
        <w:ind w:firstLine="480"/>
        <w:rPr>
          <w:rFonts w:ascii="宋体" w:hAnsi="宋体"/>
          <w:color w:val="auto"/>
          <w:sz w:val="24"/>
          <w:highlight w:val="none"/>
        </w:rPr>
      </w:pPr>
      <w:r>
        <w:rPr>
          <w:rFonts w:hint="eastAsia" w:ascii="宋体" w:hAnsi="宋体" w:cs="Arial"/>
          <w:color w:val="auto"/>
          <w:kern w:val="0"/>
          <w:sz w:val="24"/>
          <w:highlight w:val="none"/>
        </w:rPr>
        <w:t>（6）承担紧急情况下的应急救援；在工作中不能正常执行时，第一时间报相关部门及采购人有关部门；</w:t>
      </w:r>
    </w:p>
    <w:p w14:paraId="2FC0A2F3">
      <w:pPr>
        <w:spacing w:line="360" w:lineRule="auto"/>
        <w:ind w:firstLine="480"/>
        <w:rPr>
          <w:rFonts w:ascii="宋体" w:hAnsi="宋体" w:cs="Arial"/>
          <w:color w:val="auto"/>
          <w:kern w:val="0"/>
          <w:sz w:val="24"/>
          <w:highlight w:val="none"/>
        </w:rPr>
      </w:pPr>
      <w:r>
        <w:rPr>
          <w:rFonts w:hint="eastAsia" w:ascii="宋体" w:hAnsi="宋体"/>
          <w:color w:val="auto"/>
          <w:sz w:val="24"/>
          <w:highlight w:val="none"/>
        </w:rPr>
        <w:t>（7）接受采购人安全保卫管理部门安排临时性</w:t>
      </w:r>
      <w:r>
        <w:rPr>
          <w:rFonts w:hint="eastAsia" w:ascii="宋体" w:hAnsi="宋体" w:cs="Arial"/>
          <w:color w:val="auto"/>
          <w:kern w:val="0"/>
          <w:sz w:val="24"/>
          <w:highlight w:val="none"/>
        </w:rPr>
        <w:t>的其他工作任务，但超出合同约定部分由采购人适当给予上岗队员生活补贴和增加合同内容。</w:t>
      </w:r>
    </w:p>
    <w:p w14:paraId="2280F880">
      <w:pPr>
        <w:pStyle w:val="10"/>
        <w:spacing w:after="100" w:line="360" w:lineRule="auto"/>
        <w:ind w:firstLine="482"/>
        <w:rPr>
          <w:rFonts w:ascii="宋体" w:hAnsi="宋体"/>
          <w:b/>
          <w:color w:val="auto"/>
          <w:sz w:val="24"/>
          <w:szCs w:val="24"/>
          <w:highlight w:val="none"/>
        </w:rPr>
      </w:pPr>
      <w:r>
        <w:rPr>
          <w:rFonts w:ascii="宋体" w:hAnsi="宋体"/>
          <w:b/>
          <w:color w:val="auto"/>
          <w:sz w:val="24"/>
          <w:szCs w:val="24"/>
          <w:highlight w:val="none"/>
        </w:rPr>
        <w:t>【项目服务要求】</w:t>
      </w:r>
    </w:p>
    <w:p w14:paraId="33180CD7">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1、供应商派驻的保安人员在校方工作期间，必须持证上岗并遵守校方的相关制度和有关规定且做到：</w:t>
      </w:r>
    </w:p>
    <w:p w14:paraId="2D268A6C">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（1）严格执行国家法律法规和安全管理规章制度，执法守法，依法开展保卫工作。</w:t>
      </w:r>
    </w:p>
    <w:p w14:paraId="2EDD2116">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（2）遵守值勤纪律，服从工作安排，认真履行工作职责， 服装整齐清洁，保持良好精神风貌，坚守岗位，不徇私枉法。工作时间严禁饮酒、看书报、玩手机、脱岗、睡岗等。</w:t>
      </w:r>
    </w:p>
    <w:p w14:paraId="1E4215EB">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（3）工作态度和蔼，讲究文明礼貌，主动为员工和外来人员排优解难。及时处理发生的各类治安纠纷。维护校区内正常工作秩序。</w:t>
      </w:r>
    </w:p>
    <w:p w14:paraId="270D2F6E">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（4）值班人员巡逻检查频次应满足每2小时不少于1次要求，每日做好安防、消防设施设备的检查。</w:t>
      </w:r>
    </w:p>
    <w:p w14:paraId="09F83A5E">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（5）按时上下班，每班提前10—15分钟交接班，接班人未接班交班人不得离岗。做好值班记录和交班记录，并保持记录的真实性和完整性。</w:t>
      </w:r>
    </w:p>
    <w:p w14:paraId="007A3992">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（6）安全技防设施发出报警时，值班人员应跑步在三分钟内进入现场查明情况，发现异常情况立即采取有效措施处理并向采购人报告。</w:t>
      </w:r>
    </w:p>
    <w:p w14:paraId="266B63AC">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2、供应商应指定专人负责协调和处理解决因保安工作出现的一切问题，对保安人员提出的安全隐患应及时给予解决。</w:t>
      </w:r>
    </w:p>
    <w:p w14:paraId="04C73654">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3、供应商应定期对派驻人员进行日常性的管理教育、业务培训，队列训练，制定学习内容和训练计划，不断提高服务质量，采购人有权对保安执勤情况进行检查、监督和业务指导。若有不称职的保安人员，经教育不改者，采购人有权要求调换，投标供应商无条件更换。</w:t>
      </w:r>
    </w:p>
    <w:p w14:paraId="5B0D3045">
      <w:pPr>
        <w:spacing w:line="360" w:lineRule="auto"/>
        <w:ind w:firstLine="480"/>
        <w:rPr>
          <w:rFonts w:ascii="仿宋" w:hAnsi="仿宋" w:eastAsia="仿宋" w:cs="Arial"/>
          <w:color w:val="auto"/>
          <w:kern w:val="0"/>
          <w:sz w:val="24"/>
          <w:highlight w:val="none"/>
        </w:rPr>
      </w:pPr>
      <w:r>
        <w:rPr>
          <w:rFonts w:hint="eastAsia" w:ascii="宋体" w:hAnsi="宋体" w:cs="Arial"/>
          <w:color w:val="auto"/>
          <w:kern w:val="0"/>
          <w:sz w:val="24"/>
          <w:highlight w:val="none"/>
        </w:rPr>
        <w:t>4、供应商对其安排到校方指定工作区域的保安人员的人身安全全权负责。发生人员伤亡事故，投标供应商负责承担全部责任。</w:t>
      </w:r>
    </w:p>
    <w:p w14:paraId="4476419F">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5、保持与采购人联系，配合协调解决执勤管理中存在的问题。</w:t>
      </w:r>
    </w:p>
    <w:p w14:paraId="7721C7F3">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6、因供应商保安人员的行为不当，导致发生群体性事件，一切后果由供应商负责。</w:t>
      </w:r>
    </w:p>
    <w:p w14:paraId="0F2A34CA">
      <w:pPr>
        <w:spacing w:line="360" w:lineRule="auto"/>
        <w:ind w:firstLine="480"/>
        <w:rPr>
          <w:rFonts w:ascii="宋体" w:hAnsi="宋体" w:cs="Arial"/>
          <w:color w:val="auto"/>
          <w:kern w:val="0"/>
          <w:sz w:val="24"/>
          <w:highlight w:val="none"/>
        </w:rPr>
      </w:pPr>
      <w:r>
        <w:rPr>
          <w:rFonts w:hint="eastAsia" w:ascii="宋体" w:hAnsi="宋体" w:cs="Arial"/>
          <w:color w:val="auto"/>
          <w:kern w:val="0"/>
          <w:sz w:val="24"/>
          <w:highlight w:val="none"/>
        </w:rPr>
        <w:t>7、供应商派驻的保安人员发生劳资纠纷，由供应商负责处理并承担责任。</w:t>
      </w:r>
    </w:p>
    <w:p w14:paraId="44513A18">
      <w:pPr>
        <w:spacing w:line="360" w:lineRule="auto"/>
        <w:ind w:firstLine="480"/>
        <w:rPr>
          <w:rFonts w:ascii="宋体" w:hAnsi="宋体"/>
          <w:color w:val="auto"/>
          <w:sz w:val="24"/>
          <w:highlight w:val="none"/>
        </w:rPr>
      </w:pPr>
      <w:r>
        <w:rPr>
          <w:rFonts w:hint="eastAsia" w:ascii="宋体" w:hAnsi="宋体" w:cs="Arial"/>
          <w:color w:val="auto"/>
          <w:kern w:val="0"/>
          <w:sz w:val="24"/>
          <w:highlight w:val="none"/>
        </w:rPr>
        <w:t>8、</w:t>
      </w:r>
      <w:r>
        <w:rPr>
          <w:rFonts w:hint="eastAsia" w:ascii="宋体" w:hAnsi="宋体"/>
          <w:color w:val="auto"/>
          <w:sz w:val="24"/>
          <w:highlight w:val="none"/>
        </w:rPr>
        <w:t>在服务区域内因安保人员失职或不按安保相关操作规程执行勤务造成校方损失由供应商方据实赔偿并扣当月安保服务费5%。服务区域内发生刑事或治安案件造成的损失，由投标供应商负相应责任。</w:t>
      </w:r>
    </w:p>
    <w:p w14:paraId="0990A9B1">
      <w:pPr>
        <w:spacing w:line="360" w:lineRule="auto"/>
        <w:ind w:firstLine="480"/>
        <w:rPr>
          <w:rFonts w:ascii="宋体" w:hAnsi="宋体"/>
          <w:color w:val="auto"/>
          <w:sz w:val="24"/>
          <w:highlight w:val="none"/>
        </w:rPr>
      </w:pPr>
      <w:r>
        <w:rPr>
          <w:rFonts w:hint="eastAsia" w:ascii="宋体" w:hAnsi="宋体"/>
          <w:color w:val="auto"/>
          <w:sz w:val="24"/>
          <w:highlight w:val="none"/>
        </w:rPr>
        <w:t>9、供应商必须按照《劳动法》及贵阳市的有关规定认真履行劳动合同，落实好派驻保安人员的合法权益。</w:t>
      </w:r>
    </w:p>
    <w:p w14:paraId="14DE94CE">
      <w:pPr>
        <w:spacing w:line="360" w:lineRule="auto"/>
        <w:ind w:firstLine="480"/>
        <w:rPr>
          <w:rFonts w:ascii="宋体" w:hAnsi="宋体" w:cs="Arial"/>
          <w:color w:val="auto"/>
          <w:kern w:val="0"/>
          <w:sz w:val="24"/>
          <w:highlight w:val="none"/>
        </w:rPr>
      </w:pPr>
      <w:r>
        <w:rPr>
          <w:rFonts w:hint="eastAsia" w:ascii="宋体" w:hAnsi="宋体"/>
          <w:color w:val="auto"/>
          <w:sz w:val="24"/>
          <w:highlight w:val="none"/>
        </w:rPr>
        <w:t>10、</w:t>
      </w:r>
      <w:r>
        <w:rPr>
          <w:rFonts w:hint="eastAsia" w:ascii="宋体" w:hAnsi="宋体" w:cs="Arial"/>
          <w:color w:val="auto"/>
          <w:kern w:val="0"/>
          <w:sz w:val="24"/>
          <w:highlight w:val="none"/>
        </w:rPr>
        <w:t>供应商派驻的保安人员不享受采购人的一切福利。</w:t>
      </w:r>
    </w:p>
    <w:p w14:paraId="6F960E08">
      <w:pPr>
        <w:spacing w:line="360" w:lineRule="auto"/>
        <w:ind w:firstLine="480"/>
        <w:rPr>
          <w:rFonts w:ascii="宋体" w:hAnsi="宋体"/>
          <w:color w:val="auto"/>
          <w:sz w:val="24"/>
          <w:highlight w:val="none"/>
        </w:rPr>
      </w:pPr>
      <w:r>
        <w:rPr>
          <w:rFonts w:hint="eastAsia" w:ascii="宋体" w:hAnsi="宋体" w:cs="Arial"/>
          <w:color w:val="auto"/>
          <w:kern w:val="0"/>
          <w:sz w:val="24"/>
          <w:highlight w:val="none"/>
        </w:rPr>
        <w:t>11、</w:t>
      </w:r>
      <w:r>
        <w:rPr>
          <w:rFonts w:hint="eastAsia" w:ascii="宋体" w:hAnsi="宋体"/>
          <w:color w:val="auto"/>
          <w:sz w:val="24"/>
          <w:highlight w:val="none"/>
        </w:rPr>
        <w:t>供应商应为安保人员配备制服及基本安保装备，各种管理制度上墙；有计划对安保员开展在岗学习、培训、监督和管理，确保服务工作的优质高效。</w:t>
      </w:r>
    </w:p>
    <w:p w14:paraId="3CD0C572">
      <w:pPr>
        <w:spacing w:line="360" w:lineRule="auto"/>
        <w:ind w:firstLine="480"/>
        <w:rPr>
          <w:rFonts w:ascii="宋体" w:hAnsi="宋体" w:cs="Arial"/>
          <w:color w:val="auto"/>
          <w:kern w:val="0"/>
          <w:sz w:val="24"/>
          <w:highlight w:val="none"/>
        </w:rPr>
      </w:pPr>
      <w:r>
        <w:rPr>
          <w:rFonts w:hint="eastAsia" w:ascii="宋体" w:hAnsi="宋体"/>
          <w:color w:val="auto"/>
          <w:sz w:val="24"/>
          <w:highlight w:val="none"/>
        </w:rPr>
        <w:t>12、</w:t>
      </w:r>
      <w:r>
        <w:rPr>
          <w:rFonts w:hint="eastAsia" w:ascii="宋体" w:hAnsi="宋体"/>
          <w:color w:val="auto"/>
          <w:kern w:val="0"/>
          <w:sz w:val="24"/>
          <w:highlight w:val="none"/>
        </w:rPr>
        <w:t>学校举办大型活动和出现突发情况时要及时增派保安力量协助学校维护秩序。</w:t>
      </w:r>
    </w:p>
    <w:p w14:paraId="371E1D33">
      <w:pPr>
        <w:spacing w:line="360" w:lineRule="auto"/>
        <w:ind w:firstLine="482"/>
        <w:outlineLvl w:val="2"/>
        <w:rPr>
          <w:rFonts w:ascii="宋体" w:hAnsi="宋体" w:cs="宋体"/>
          <w:b/>
          <w:bCs/>
          <w:color w:val="auto"/>
          <w:sz w:val="24"/>
          <w:highlight w:val="none"/>
        </w:rPr>
      </w:pPr>
      <w:bookmarkStart w:id="15" w:name="_Toc10619593"/>
      <w:bookmarkStart w:id="16" w:name="_Toc11405472"/>
      <w:r>
        <w:rPr>
          <w:rFonts w:hint="eastAsia" w:ascii="宋体" w:hAnsi="宋体" w:cs="宋体"/>
          <w:b/>
          <w:bCs/>
          <w:color w:val="auto"/>
          <w:sz w:val="24"/>
          <w:highlight w:val="none"/>
        </w:rPr>
        <w:t>（七）绿化服务</w:t>
      </w:r>
      <w:bookmarkEnd w:id="15"/>
      <w:bookmarkEnd w:id="16"/>
    </w:p>
    <w:p w14:paraId="23FA7490">
      <w:pPr>
        <w:spacing w:line="360" w:lineRule="auto"/>
        <w:ind w:firstLine="480"/>
        <w:rPr>
          <w:rFonts w:ascii="宋体" w:hAnsi="宋体"/>
          <w:color w:val="auto"/>
          <w:sz w:val="24"/>
          <w:highlight w:val="none"/>
        </w:rPr>
      </w:pPr>
      <w:r>
        <w:rPr>
          <w:rFonts w:hint="eastAsia" w:ascii="宋体" w:hAnsi="宋体"/>
          <w:color w:val="auto"/>
          <w:sz w:val="24"/>
          <w:highlight w:val="none"/>
        </w:rPr>
        <w:t>1、建立管理制度：制定《园林绿化管理规定》、按合同约定制定《作业标准及作业流程》等管理制度；制定年度绿化养护计划，对服务区域内绿化养护内容及标准进行计划管理。年度计划须分解为季度、月度、周计划，落实到岗并有相应实施记录；建立基础台账，对服务区域内的植物种类、数量、位置（树木须登记接管时的胸径）等进行造册建档管理。绘制绿化平面布置图及明细表；对灭虫药品等实行安全使用、领用登记等管理，防止安全事故的发生。</w:t>
      </w:r>
    </w:p>
    <w:p w14:paraId="1B7092AF">
      <w:pPr>
        <w:spacing w:line="360" w:lineRule="auto"/>
        <w:ind w:firstLine="480"/>
        <w:rPr>
          <w:rFonts w:ascii="宋体" w:hAnsi="宋体"/>
          <w:color w:val="auto"/>
          <w:sz w:val="24"/>
          <w:highlight w:val="none"/>
        </w:rPr>
      </w:pPr>
      <w:r>
        <w:rPr>
          <w:rFonts w:hint="eastAsia" w:ascii="宋体" w:hAnsi="宋体"/>
          <w:color w:val="auto"/>
          <w:sz w:val="24"/>
          <w:highlight w:val="none"/>
        </w:rPr>
        <w:t>2、园林绿化养护规范</w:t>
      </w:r>
    </w:p>
    <w:p w14:paraId="4335ABD6">
      <w:pPr>
        <w:spacing w:line="360" w:lineRule="auto"/>
        <w:ind w:firstLine="480"/>
        <w:rPr>
          <w:rFonts w:ascii="宋体" w:hAnsi="宋体"/>
          <w:color w:val="auto"/>
          <w:sz w:val="24"/>
          <w:highlight w:val="none"/>
        </w:rPr>
      </w:pPr>
      <w:r>
        <w:rPr>
          <w:rFonts w:hint="eastAsia" w:ascii="宋体" w:hAnsi="宋体"/>
          <w:color w:val="auto"/>
          <w:sz w:val="24"/>
          <w:highlight w:val="none"/>
        </w:rPr>
        <w:t>（1）草坪：定期修剪、除杂草、杀虫。草坪养护质量标准按国家或行业有关标准执行。单处枯死面积不得大于 3 平方米。</w:t>
      </w:r>
    </w:p>
    <w:p w14:paraId="0790EFF5">
      <w:pPr>
        <w:spacing w:line="360" w:lineRule="auto"/>
        <w:ind w:firstLine="480"/>
        <w:rPr>
          <w:rFonts w:ascii="宋体" w:hAnsi="宋体"/>
          <w:color w:val="auto"/>
          <w:sz w:val="24"/>
          <w:highlight w:val="none"/>
        </w:rPr>
      </w:pPr>
      <w:r>
        <w:rPr>
          <w:rFonts w:hint="eastAsia" w:ascii="宋体" w:hAnsi="宋体"/>
          <w:color w:val="auto"/>
          <w:sz w:val="24"/>
          <w:highlight w:val="none"/>
        </w:rPr>
        <w:t>（2）乔木：定期松土、施肥、修枝防治病虫害。保持生长正常，及时修剪枯枝。大型树木须作防风安全保护。</w:t>
      </w:r>
    </w:p>
    <w:p w14:paraId="0020AE08">
      <w:pPr>
        <w:spacing w:line="360" w:lineRule="auto"/>
        <w:ind w:firstLine="480"/>
        <w:rPr>
          <w:rFonts w:ascii="宋体" w:hAnsi="宋体"/>
          <w:color w:val="auto"/>
          <w:sz w:val="24"/>
          <w:highlight w:val="none"/>
        </w:rPr>
      </w:pPr>
      <w:r>
        <w:rPr>
          <w:rFonts w:hint="eastAsia" w:ascii="宋体" w:hAnsi="宋体"/>
          <w:color w:val="auto"/>
          <w:sz w:val="24"/>
          <w:highlight w:val="none"/>
        </w:rPr>
        <w:t>（3）灌木：定期松土、施肥、防治病虫害，修剪成型，徒长枝不得超过 20 公分。保持生长正常，枯死枝超过 1/2 须更换。</w:t>
      </w:r>
    </w:p>
    <w:p w14:paraId="3822A528">
      <w:pPr>
        <w:spacing w:line="360" w:lineRule="auto"/>
        <w:ind w:firstLine="480"/>
        <w:rPr>
          <w:rFonts w:ascii="宋体" w:hAnsi="宋体"/>
          <w:color w:val="auto"/>
          <w:sz w:val="24"/>
          <w:highlight w:val="none"/>
        </w:rPr>
      </w:pPr>
      <w:r>
        <w:rPr>
          <w:rFonts w:hint="eastAsia" w:ascii="宋体" w:hAnsi="宋体"/>
          <w:color w:val="auto"/>
          <w:sz w:val="24"/>
          <w:highlight w:val="none"/>
        </w:rPr>
        <w:t>（4）假山、雕塑：假山须明示危险标志，做好安全防护。雕塑须定期清洁，保持完好。</w:t>
      </w:r>
    </w:p>
    <w:p w14:paraId="2CEE9DB6">
      <w:pPr>
        <w:spacing w:line="360" w:lineRule="auto"/>
        <w:ind w:firstLine="480"/>
        <w:rPr>
          <w:rFonts w:ascii="仿宋" w:hAnsi="仿宋" w:eastAsia="仿宋"/>
          <w:color w:val="auto"/>
          <w:sz w:val="24"/>
          <w:highlight w:val="none"/>
        </w:rPr>
      </w:pPr>
      <w:r>
        <w:rPr>
          <w:rFonts w:hint="eastAsia" w:ascii="宋体" w:hAnsi="宋体"/>
          <w:color w:val="auto"/>
          <w:sz w:val="24"/>
          <w:highlight w:val="none"/>
        </w:rPr>
        <w:t>3、防冻措施：冬季到来之前（气温≤5℃时）须对热带植物（如棕榈、铁树等）进行防冻保护。</w:t>
      </w:r>
    </w:p>
    <w:p w14:paraId="1CDC44B2">
      <w:pPr>
        <w:spacing w:line="360" w:lineRule="auto"/>
        <w:ind w:firstLine="480"/>
        <w:rPr>
          <w:rFonts w:ascii="宋体" w:hAnsi="宋体"/>
          <w:color w:val="auto"/>
          <w:sz w:val="24"/>
          <w:highlight w:val="none"/>
        </w:rPr>
      </w:pPr>
      <w:r>
        <w:rPr>
          <w:rFonts w:hint="eastAsia" w:ascii="宋体" w:hAnsi="宋体"/>
          <w:color w:val="auto"/>
          <w:sz w:val="24"/>
          <w:highlight w:val="none"/>
        </w:rPr>
        <w:t>4、安全措施：喷洒杀虫剂、农药时，须提前告知采购人和学员，内容包括区域、内容、时间、注意事项等，并做好防护措施。</w:t>
      </w:r>
    </w:p>
    <w:p w14:paraId="18EE0D8D">
      <w:pPr>
        <w:spacing w:line="360" w:lineRule="auto"/>
        <w:ind w:firstLine="486" w:firstLineChars="200"/>
        <w:outlineLvl w:val="2"/>
        <w:rPr>
          <w:rFonts w:ascii="宋体" w:hAnsi="宋体" w:cs="宋体"/>
          <w:b/>
          <w:bCs/>
          <w:color w:val="auto"/>
          <w:sz w:val="24"/>
          <w:highlight w:val="none"/>
        </w:rPr>
      </w:pPr>
      <w:bookmarkStart w:id="17" w:name="_Toc11405473"/>
      <w:r>
        <w:rPr>
          <w:rFonts w:hint="eastAsia" w:ascii="宋体" w:hAnsi="宋体" w:cs="宋体"/>
          <w:b/>
          <w:bCs/>
          <w:color w:val="auto"/>
          <w:sz w:val="24"/>
          <w:highlight w:val="none"/>
        </w:rPr>
        <w:t>（八）文体服务</w:t>
      </w:r>
      <w:bookmarkEnd w:id="17"/>
    </w:p>
    <w:p w14:paraId="14F11331">
      <w:pPr>
        <w:tabs>
          <w:tab w:val="left" w:pos="0"/>
        </w:tabs>
        <w:spacing w:line="360" w:lineRule="auto"/>
        <w:ind w:firstLine="243" w:firstLineChars="100"/>
        <w:jc w:val="left"/>
        <w:rPr>
          <w:rFonts w:ascii="宋体" w:hAnsi="宋体" w:cs="宋体"/>
          <w:b/>
          <w:bCs/>
          <w:color w:val="auto"/>
          <w:sz w:val="24"/>
          <w:highlight w:val="none"/>
        </w:rPr>
      </w:pPr>
      <w:r>
        <w:rPr>
          <w:rFonts w:hint="eastAsia" w:ascii="宋体" w:hAnsi="宋体" w:cs="宋体"/>
          <w:b/>
          <w:bCs/>
          <w:color w:val="auto"/>
          <w:sz w:val="24"/>
          <w:highlight w:val="none"/>
        </w:rPr>
        <w:t>1、接待前的准备工作</w:t>
      </w:r>
    </w:p>
    <w:p w14:paraId="0AFD81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（1）领取《中共贵州省委党校教学计划》，了解学期班次、学员人数情况，有针对性地制定服务工作计划。</w:t>
      </w:r>
    </w:p>
    <w:p w14:paraId="26C2069F">
      <w:pPr>
        <w:spacing w:line="360" w:lineRule="auto"/>
        <w:ind w:firstLine="486" w:firstLineChars="200"/>
        <w:rPr>
          <w:rFonts w:ascii="宋体" w:hAnsi="宋体" w:cs="宋体"/>
          <w:color w:val="auto"/>
          <w:sz w:val="24"/>
          <w:highlight w:val="none"/>
        </w:rPr>
      </w:pPr>
      <w:r>
        <w:rPr>
          <w:rFonts w:hint="eastAsia" w:ascii="宋体" w:hAnsi="宋体" w:cs="宋体"/>
          <w:color w:val="auto"/>
          <w:sz w:val="24"/>
          <w:highlight w:val="none"/>
        </w:rPr>
        <w:t>（2）检查文体活动场馆安全、卫生保洁及文体设施器材完好情况，发现问题及时处理或上报整改，做到文体活动开展安全、文明、有序。</w:t>
      </w:r>
    </w:p>
    <w:p w14:paraId="3C7F38CB">
      <w:pPr>
        <w:spacing w:line="360" w:lineRule="auto"/>
        <w:ind w:firstLine="486" w:firstLineChars="200"/>
        <w:rPr>
          <w:rFonts w:ascii="宋体" w:hAnsi="宋体" w:cs="宋体"/>
          <w:color w:val="auto"/>
          <w:sz w:val="24"/>
          <w:highlight w:val="none"/>
        </w:rPr>
      </w:pPr>
      <w:r>
        <w:rPr>
          <w:rFonts w:hint="eastAsia" w:ascii="宋体" w:hAnsi="宋体" w:cs="宋体"/>
          <w:color w:val="auto"/>
          <w:sz w:val="24"/>
          <w:highlight w:val="none"/>
        </w:rPr>
        <w:t>（3）保证业务工作电话通畅，接受服务对象咨询了解情况。</w:t>
      </w:r>
    </w:p>
    <w:p w14:paraId="7F9D8E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（4）在充分听取甲方单位意见基础上，结合学校实际和特点，制定《校院文体活动管理办法》，完善建章立制工作。</w:t>
      </w:r>
    </w:p>
    <w:p w14:paraId="0674793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2、开展服务接待的流程及标准</w:t>
      </w:r>
    </w:p>
    <w:p w14:paraId="3603C6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（1）迎接活动人员，登记姓名、核对证件、了解服务需求、填写服务单据。要求服务人员礼貌、热情、周到。</w:t>
      </w:r>
    </w:p>
    <w:p w14:paraId="71165F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（2）提示活动人员开展文体活动注意事项。</w:t>
      </w:r>
    </w:p>
    <w:p w14:paraId="7B4266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（3）活动人员需租用文体器材，填写《文体器材出租单》一式两联，收取押金，提示凭器材和押金单退押金。</w:t>
      </w:r>
    </w:p>
    <w:p w14:paraId="52E82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（4）单据存档，并在交班记录上做好记录。</w:t>
      </w:r>
    </w:p>
    <w:p w14:paraId="6234646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3、服务接待后的流程及标准</w:t>
      </w:r>
    </w:p>
    <w:p w14:paraId="223AD9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（1）清洁服务场所、检查设施完好情况，办结服务单据，做好交班记录。</w:t>
      </w:r>
    </w:p>
    <w:p w14:paraId="4F3B7F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（2）收集整理服务对象反馈意见建议，提出改进工作的合理化意见建议。</w:t>
      </w:r>
    </w:p>
    <w:p w14:paraId="4E9183FC">
      <w:pPr>
        <w:spacing w:line="360" w:lineRule="auto"/>
        <w:rPr>
          <w:rFonts w:ascii="仿宋" w:hAnsi="仿宋" w:eastAsia="仿宋" w:cs="宋体"/>
          <w:color w:val="auto"/>
          <w:sz w:val="24"/>
          <w:highlight w:val="none"/>
        </w:rPr>
      </w:pPr>
      <w:r>
        <w:rPr>
          <w:rFonts w:hint="eastAsia" w:ascii="宋体" w:hAnsi="宋体" w:cs="宋体"/>
          <w:color w:val="auto"/>
          <w:sz w:val="24"/>
          <w:highlight w:val="none"/>
        </w:rPr>
        <w:t xml:space="preserve">    （3）每日工作情况上报部门主管，做好台账管理工作</w:t>
      </w:r>
      <w:r>
        <w:rPr>
          <w:rFonts w:hint="eastAsia" w:ascii="仿宋" w:hAnsi="仿宋" w:eastAsia="仿宋" w:cs="宋体"/>
          <w:color w:val="auto"/>
          <w:sz w:val="24"/>
          <w:highlight w:val="none"/>
        </w:rPr>
        <w:t>。</w:t>
      </w:r>
    </w:p>
    <w:p w14:paraId="4EF7B311">
      <w:pPr>
        <w:pStyle w:val="2"/>
        <w:spacing w:line="360" w:lineRule="auto"/>
        <w:rPr>
          <w:color w:val="auto"/>
          <w:highlight w:val="none"/>
        </w:rPr>
      </w:pPr>
    </w:p>
    <w:p w14:paraId="409A9F34">
      <w:pPr>
        <w:spacing w:line="360" w:lineRule="auto"/>
        <w:rPr>
          <w:rFonts w:ascii="宋体" w:hAnsi="宋体" w:cs="宋体"/>
          <w:b/>
          <w:color w:val="auto"/>
          <w:sz w:val="24"/>
          <w:highlight w:val="none"/>
        </w:rPr>
      </w:pPr>
      <w:r>
        <w:rPr>
          <w:rFonts w:hint="eastAsia" w:ascii="宋体" w:hAnsi="宋体" w:cs="宋体"/>
          <w:b/>
          <w:color w:val="auto"/>
          <w:sz w:val="24"/>
          <w:highlight w:val="none"/>
        </w:rPr>
        <w:t>六、物业服务考核标准及办法</w:t>
      </w:r>
    </w:p>
    <w:p w14:paraId="3333A387">
      <w:pPr>
        <w:pStyle w:val="41"/>
        <w:spacing w:after="120" w:line="360" w:lineRule="auto"/>
        <w:rPr>
          <w:rFonts w:ascii="宋体" w:hAnsi="宋体"/>
          <w:color w:val="auto"/>
          <w:sz w:val="24"/>
          <w:szCs w:val="24"/>
          <w:highlight w:val="none"/>
        </w:rPr>
      </w:pPr>
      <w:r>
        <w:rPr>
          <w:rFonts w:hint="eastAsia" w:ascii="宋体" w:hAnsi="宋体" w:cs="宋体"/>
          <w:bCs/>
          <w:color w:val="auto"/>
          <w:sz w:val="24"/>
          <w:szCs w:val="24"/>
          <w:highlight w:val="none"/>
        </w:rPr>
        <w:t>中共贵州省委党校后勤服务外包物业管理服务项目</w:t>
      </w:r>
      <w:r>
        <w:rPr>
          <w:rFonts w:hint="eastAsia" w:ascii="宋体" w:hAnsi="宋体"/>
          <w:color w:val="auto"/>
          <w:sz w:val="24"/>
          <w:szCs w:val="24"/>
          <w:highlight w:val="none"/>
        </w:rPr>
        <w:t>评价验收标准</w:t>
      </w:r>
    </w:p>
    <w:p w14:paraId="14745E41">
      <w:pPr>
        <w:spacing w:line="360" w:lineRule="auto"/>
        <w:rPr>
          <w:rFonts w:ascii="黑体" w:hAnsi="黑体" w:eastAsia="黑体" w:cs="黑体"/>
          <w:b/>
          <w:color w:val="auto"/>
          <w:sz w:val="24"/>
          <w:highlight w:val="none"/>
        </w:rPr>
      </w:pPr>
      <w:r>
        <w:rPr>
          <w:rFonts w:hint="eastAsia" w:ascii="黑体" w:hAnsi="黑体" w:eastAsia="黑体" w:cs="黑体"/>
          <w:b/>
          <w:color w:val="auto"/>
          <w:sz w:val="24"/>
          <w:highlight w:val="none"/>
        </w:rPr>
        <w:t>考核细则</w:t>
      </w:r>
    </w:p>
    <w:p w14:paraId="310C0631">
      <w:pPr>
        <w:numPr>
          <w:ilvl w:val="0"/>
          <w:numId w:val="0"/>
        </w:numPr>
        <w:autoSpaceDE w:val="0"/>
        <w:autoSpaceDN w:val="0"/>
        <w:adjustRightInd w:val="0"/>
        <w:spacing w:before="0" w:beforeAutospacing="0" w:after="0" w:afterAutospacing="0" w:line="360" w:lineRule="auto"/>
        <w:ind w:firstLine="486" w:firstLineChars="200"/>
        <w:textAlignment w:val="baseline"/>
        <w:rPr>
          <w:rFonts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甲方根据</w:t>
      </w:r>
      <w:r>
        <w:rPr>
          <w:rFonts w:hint="eastAsia" w:hAnsi="宋体"/>
          <w:color w:val="auto"/>
          <w:sz w:val="24"/>
          <w:highlight w:val="none"/>
        </w:rPr>
        <w:t>此附件对乙方日常工作进行</w:t>
      </w:r>
      <w:r>
        <w:rPr>
          <w:rFonts w:hint="eastAsia" w:ascii="宋体" w:hAnsi="宋体"/>
          <w:color w:val="auto"/>
          <w:sz w:val="24"/>
          <w:highlight w:val="none"/>
        </w:rPr>
        <w:t>考核。</w:t>
      </w:r>
      <w:r>
        <w:rPr>
          <w:rFonts w:hint="eastAsia" w:hAnsi="宋体"/>
          <w:color w:val="auto"/>
          <w:sz w:val="24"/>
          <w:highlight w:val="none"/>
        </w:rPr>
        <w:t>月度考核最终得分在70分以上为良好；</w:t>
      </w:r>
    </w:p>
    <w:p w14:paraId="569FF8FC">
      <w:pPr>
        <w:numPr>
          <w:ilvl w:val="0"/>
          <w:numId w:val="0"/>
        </w:numPr>
        <w:autoSpaceDE w:val="0"/>
        <w:autoSpaceDN w:val="0"/>
        <w:adjustRightInd w:val="0"/>
        <w:spacing w:before="0" w:beforeAutospacing="0" w:after="0" w:afterAutospacing="0" w:line="360" w:lineRule="auto"/>
        <w:ind w:firstLine="486" w:firstLineChars="200"/>
        <w:textAlignment w:val="baseline"/>
        <w:rPr>
          <w:rFonts w:hAnsi="宋体"/>
          <w:color w:val="auto"/>
          <w:sz w:val="24"/>
          <w:highlight w:val="none"/>
        </w:rPr>
      </w:pPr>
      <w:r>
        <w:rPr>
          <w:rFonts w:hint="eastAsia" w:hAnsi="宋体"/>
          <w:color w:val="auto"/>
          <w:sz w:val="24"/>
          <w:highlight w:val="none"/>
          <w:lang w:val="en-US" w:eastAsia="zh-CN"/>
        </w:rPr>
        <w:t>2、</w:t>
      </w:r>
      <w:r>
        <w:rPr>
          <w:rFonts w:hint="eastAsia" w:hAnsi="宋体"/>
          <w:color w:val="auto"/>
          <w:sz w:val="24"/>
          <w:highlight w:val="none"/>
        </w:rPr>
        <w:t>考核方式为月度考核；</w:t>
      </w:r>
    </w:p>
    <w:p w14:paraId="7F98DF3D">
      <w:pPr>
        <w:autoSpaceDE w:val="0"/>
        <w:autoSpaceDN w:val="0"/>
        <w:adjustRightInd w:val="0"/>
        <w:spacing w:line="360" w:lineRule="auto"/>
        <w:ind w:firstLine="486" w:firstLineChars="200"/>
        <w:textAlignment w:val="baseline"/>
        <w:rPr>
          <w:rFonts w:ascii="宋体" w:hAnsi="宋体"/>
          <w:color w:val="auto"/>
          <w:sz w:val="24"/>
          <w:highlight w:val="none"/>
        </w:rPr>
      </w:pPr>
      <w:r>
        <w:rPr>
          <w:rFonts w:hint="eastAsia" w:hAnsi="宋体"/>
          <w:color w:val="auto"/>
          <w:sz w:val="24"/>
          <w:highlight w:val="none"/>
        </w:rPr>
        <w:t>3、评价考核细则如下：</w:t>
      </w:r>
    </w:p>
    <w:p w14:paraId="1B287B63">
      <w:pPr>
        <w:spacing w:line="360" w:lineRule="auto"/>
        <w:ind w:firstLine="486" w:firstLineChars="200"/>
        <w:rPr>
          <w:rFonts w:hAnsi="宋体"/>
          <w:color w:val="auto"/>
          <w:sz w:val="24"/>
          <w:highlight w:val="none"/>
        </w:rPr>
      </w:pPr>
      <w:r>
        <w:rPr>
          <w:rFonts w:hint="eastAsia" w:hAnsi="宋体"/>
          <w:color w:val="auto"/>
          <w:sz w:val="24"/>
          <w:highlight w:val="none"/>
        </w:rPr>
        <w:t>（1）考核成绩由甲方分管校领导任组长，行政处、财务处、校办公室、生态环境管理处、保卫处、信息管理处、教务处、教师进修学院、学员部、进修处、机关纪委组成的中共贵州省委党校后勤服务外包物业管理服务考核领导小组进行考核评分（80分）及随机调查方式（20分）进行统计评分组成。</w:t>
      </w:r>
    </w:p>
    <w:p w14:paraId="06B639D4">
      <w:pPr>
        <w:spacing w:line="360" w:lineRule="auto"/>
        <w:ind w:firstLine="486" w:firstLineChars="200"/>
        <w:rPr>
          <w:rFonts w:ascii="宋体" w:hAnsi="宋体"/>
          <w:color w:val="auto"/>
          <w:sz w:val="24"/>
          <w:highlight w:val="none"/>
        </w:rPr>
      </w:pPr>
      <w:r>
        <w:rPr>
          <w:rFonts w:hint="eastAsia" w:hAnsi="宋体"/>
          <w:color w:val="auto"/>
          <w:sz w:val="24"/>
          <w:highlight w:val="none"/>
        </w:rPr>
        <w:t>（2）</w:t>
      </w:r>
      <w:r>
        <w:rPr>
          <w:rFonts w:hint="eastAsia" w:ascii="宋体" w:hAnsi="宋体"/>
          <w:color w:val="auto"/>
          <w:sz w:val="24"/>
          <w:highlight w:val="none"/>
        </w:rPr>
        <w:t>考核领导小组按照考核标准与分值（见下表），在每</w:t>
      </w:r>
      <w:r>
        <w:rPr>
          <w:rFonts w:hint="eastAsia" w:hAnsi="宋体"/>
          <w:color w:val="auto"/>
          <w:sz w:val="24"/>
          <w:highlight w:val="none"/>
        </w:rPr>
        <w:t>月第一周进行上月度</w:t>
      </w:r>
      <w:r>
        <w:rPr>
          <w:rFonts w:hint="eastAsia" w:ascii="宋体" w:hAnsi="宋体"/>
          <w:color w:val="auto"/>
          <w:sz w:val="24"/>
          <w:highlight w:val="none"/>
        </w:rPr>
        <w:t>考核，以定期或不定期两种方式对乙方进行</w:t>
      </w:r>
      <w:r>
        <w:rPr>
          <w:rFonts w:hint="eastAsia" w:hAnsi="宋体"/>
          <w:color w:val="auto"/>
          <w:sz w:val="24"/>
          <w:highlight w:val="none"/>
        </w:rPr>
        <w:t>检查</w:t>
      </w:r>
      <w:r>
        <w:rPr>
          <w:rFonts w:hint="eastAsia" w:ascii="宋体" w:hAnsi="宋体"/>
          <w:color w:val="auto"/>
          <w:sz w:val="24"/>
          <w:highlight w:val="none"/>
        </w:rPr>
        <w:t>考核</w:t>
      </w:r>
      <w:r>
        <w:rPr>
          <w:rFonts w:hint="eastAsia" w:hAnsi="宋体"/>
          <w:color w:val="auto"/>
          <w:sz w:val="24"/>
          <w:highlight w:val="none"/>
        </w:rPr>
        <w:t>，获得</w:t>
      </w:r>
      <w:r>
        <w:rPr>
          <w:rFonts w:ascii="宋体" w:hAnsi="宋体"/>
          <w:color w:val="auto"/>
          <w:sz w:val="24"/>
          <w:highlight w:val="none"/>
        </w:rPr>
        <w:t>考核</w:t>
      </w:r>
      <w:r>
        <w:rPr>
          <w:rFonts w:hint="eastAsia" w:hAnsi="宋体"/>
          <w:color w:val="auto"/>
          <w:sz w:val="24"/>
          <w:highlight w:val="none"/>
        </w:rPr>
        <w:t>分值</w:t>
      </w:r>
      <w:r>
        <w:rPr>
          <w:rFonts w:ascii="宋体" w:hAnsi="宋体"/>
          <w:color w:val="auto"/>
          <w:sz w:val="24"/>
          <w:highlight w:val="none"/>
        </w:rPr>
        <w:t>结果</w:t>
      </w:r>
      <w:r>
        <w:rPr>
          <w:rFonts w:hint="eastAsia" w:ascii="宋体" w:hAnsi="宋体"/>
          <w:color w:val="auto"/>
          <w:sz w:val="24"/>
          <w:highlight w:val="none"/>
        </w:rPr>
        <w:t>。</w:t>
      </w:r>
    </w:p>
    <w:p w14:paraId="1F4CE8E6">
      <w:pPr>
        <w:spacing w:line="360" w:lineRule="auto"/>
        <w:rPr>
          <w:rFonts w:hint="eastAsia" w:ascii="宋体" w:hAnsi="宋体"/>
          <w:color w:val="auto"/>
          <w:sz w:val="24"/>
          <w:highlight w:val="none"/>
        </w:rPr>
      </w:pPr>
      <w:r>
        <w:rPr>
          <w:rFonts w:hint="eastAsia" w:hAnsi="宋体"/>
          <w:color w:val="auto"/>
          <w:sz w:val="24"/>
          <w:highlight w:val="none"/>
        </w:rPr>
        <w:t>（3）</w:t>
      </w:r>
      <w:r>
        <w:rPr>
          <w:rFonts w:hint="eastAsia" w:ascii="宋体" w:hAnsi="宋体"/>
          <w:color w:val="auto"/>
          <w:sz w:val="24"/>
          <w:highlight w:val="none"/>
        </w:rPr>
        <w:t>随机随时向</w:t>
      </w:r>
      <w:r>
        <w:rPr>
          <w:rFonts w:hint="eastAsia" w:hAnsi="宋体"/>
          <w:color w:val="auto"/>
          <w:sz w:val="24"/>
          <w:highlight w:val="none"/>
        </w:rPr>
        <w:t>甲方工作人员和入住学员</w:t>
      </w:r>
      <w:r>
        <w:rPr>
          <w:rFonts w:hint="eastAsia" w:ascii="宋体" w:hAnsi="宋体"/>
          <w:color w:val="auto"/>
          <w:sz w:val="24"/>
          <w:highlight w:val="none"/>
        </w:rPr>
        <w:t>发放《物业管理服务质量调查问卷》（见下表）进行</w:t>
      </w:r>
      <w:r>
        <w:rPr>
          <w:rFonts w:hint="eastAsia" w:hAnsi="宋体"/>
          <w:color w:val="auto"/>
          <w:sz w:val="24"/>
          <w:highlight w:val="none"/>
        </w:rPr>
        <w:t>问卷</w:t>
      </w:r>
      <w:r>
        <w:rPr>
          <w:rFonts w:hint="eastAsia" w:ascii="宋体" w:hAnsi="宋体"/>
          <w:color w:val="auto"/>
          <w:sz w:val="24"/>
          <w:highlight w:val="none"/>
        </w:rPr>
        <w:t>调查，调查人数为20人，得分取平均值。</w:t>
      </w:r>
    </w:p>
    <w:p w14:paraId="0FE451CA">
      <w:pPr>
        <w:pStyle w:val="2"/>
        <w:rPr>
          <w:rFonts w:hint="eastAsia" w:ascii="宋体" w:hAnsi="宋体"/>
          <w:color w:val="auto"/>
          <w:sz w:val="24"/>
          <w:highlight w:val="none"/>
        </w:rPr>
      </w:pPr>
    </w:p>
    <w:p w14:paraId="3909CAC2">
      <w:pPr>
        <w:pStyle w:val="2"/>
        <w:rPr>
          <w:rFonts w:hint="eastAsia" w:ascii="宋体" w:hAnsi="宋体"/>
          <w:color w:val="auto"/>
          <w:sz w:val="24"/>
          <w:highlight w:val="none"/>
        </w:rPr>
      </w:pPr>
    </w:p>
    <w:p w14:paraId="5702096E">
      <w:pPr>
        <w:pStyle w:val="2"/>
        <w:spacing w:line="360" w:lineRule="auto"/>
        <w:ind w:left="0" w:leftChars="0" w:firstLine="0" w:firstLineChars="0"/>
        <w:rPr>
          <w:color w:val="auto"/>
          <w:highlight w:val="none"/>
        </w:rPr>
      </w:pPr>
    </w:p>
    <w:p w14:paraId="716A7F11">
      <w:pPr>
        <w:ind w:firstLine="646" w:firstLineChars="200"/>
        <w:jc w:val="center"/>
        <w:rPr>
          <w:rFonts w:ascii="宋体" w:hAnsi="宋体"/>
          <w:b/>
          <w:color w:val="auto"/>
          <w:sz w:val="32"/>
          <w:szCs w:val="32"/>
          <w:highlight w:val="none"/>
        </w:rPr>
      </w:pPr>
      <w:r>
        <w:rPr>
          <w:rFonts w:hint="eastAsia" w:ascii="宋体" w:hAnsi="宋体"/>
          <w:b/>
          <w:color w:val="auto"/>
          <w:sz w:val="32"/>
          <w:szCs w:val="32"/>
          <w:highlight w:val="none"/>
        </w:rPr>
        <w:t>后勤服务外包物业管理服务考核评分表</w:t>
      </w:r>
    </w:p>
    <w:tbl>
      <w:tblPr>
        <w:tblStyle w:val="20"/>
        <w:tblpPr w:leftFromText="180" w:rightFromText="180" w:vertAnchor="text" w:horzAnchor="page" w:tblpX="1143" w:tblpY="4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399"/>
        <w:gridCol w:w="933"/>
        <w:gridCol w:w="1299"/>
        <w:gridCol w:w="1919"/>
        <w:gridCol w:w="1669"/>
      </w:tblGrid>
      <w:tr w14:paraId="701B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78" w:type="dxa"/>
          </w:tcPr>
          <w:p w14:paraId="53014186">
            <w:pPr>
              <w:rPr>
                <w:rFonts w:ascii="宋体" w:hAnsi="宋体"/>
                <w:color w:val="auto"/>
                <w:sz w:val="24"/>
                <w:highlight w:val="none"/>
              </w:rPr>
            </w:pPr>
            <w:r>
              <w:rPr>
                <w:rFonts w:hint="eastAsia" w:ascii="宋体" w:hAnsi="宋体"/>
                <w:color w:val="auto"/>
                <w:sz w:val="24"/>
                <w:highlight w:val="none"/>
              </w:rPr>
              <w:t>序号</w:t>
            </w:r>
          </w:p>
        </w:tc>
        <w:tc>
          <w:tcPr>
            <w:tcW w:w="3399" w:type="dxa"/>
            <w:vAlign w:val="center"/>
          </w:tcPr>
          <w:p w14:paraId="6B93D13B">
            <w:pPr>
              <w:jc w:val="center"/>
              <w:rPr>
                <w:rFonts w:ascii="宋体" w:hAnsi="宋体"/>
                <w:color w:val="auto"/>
                <w:sz w:val="24"/>
                <w:highlight w:val="none"/>
              </w:rPr>
            </w:pPr>
            <w:r>
              <w:rPr>
                <w:rFonts w:hint="eastAsia" w:ascii="宋体" w:hAnsi="宋体"/>
                <w:color w:val="auto"/>
                <w:sz w:val="24"/>
                <w:highlight w:val="none"/>
              </w:rPr>
              <w:t>考核内容（详见考核细则）</w:t>
            </w:r>
          </w:p>
        </w:tc>
        <w:tc>
          <w:tcPr>
            <w:tcW w:w="933" w:type="dxa"/>
            <w:vAlign w:val="center"/>
          </w:tcPr>
          <w:p w14:paraId="709B81ED">
            <w:pPr>
              <w:jc w:val="center"/>
              <w:rPr>
                <w:rFonts w:ascii="宋体" w:hAnsi="宋体"/>
                <w:color w:val="auto"/>
                <w:sz w:val="24"/>
                <w:highlight w:val="none"/>
              </w:rPr>
            </w:pPr>
            <w:r>
              <w:rPr>
                <w:rFonts w:hint="eastAsia" w:ascii="宋体" w:hAnsi="宋体"/>
                <w:color w:val="auto"/>
                <w:sz w:val="24"/>
                <w:highlight w:val="none"/>
              </w:rPr>
              <w:t>考核标准</w:t>
            </w:r>
          </w:p>
        </w:tc>
        <w:tc>
          <w:tcPr>
            <w:tcW w:w="1299" w:type="dxa"/>
            <w:vAlign w:val="center"/>
          </w:tcPr>
          <w:p w14:paraId="53E2173B">
            <w:pPr>
              <w:jc w:val="center"/>
              <w:rPr>
                <w:rFonts w:ascii="宋体" w:hAnsi="宋体"/>
                <w:color w:val="auto"/>
                <w:sz w:val="24"/>
                <w:highlight w:val="none"/>
              </w:rPr>
            </w:pPr>
            <w:r>
              <w:rPr>
                <w:rFonts w:hint="eastAsia" w:ascii="宋体" w:hAnsi="宋体"/>
                <w:color w:val="auto"/>
                <w:sz w:val="24"/>
                <w:highlight w:val="none"/>
              </w:rPr>
              <w:t>考核成绩</w:t>
            </w:r>
          </w:p>
        </w:tc>
        <w:tc>
          <w:tcPr>
            <w:tcW w:w="1919" w:type="dxa"/>
            <w:vAlign w:val="center"/>
          </w:tcPr>
          <w:p w14:paraId="0BB91331">
            <w:pPr>
              <w:jc w:val="center"/>
              <w:rPr>
                <w:rFonts w:ascii="宋体" w:hAnsi="宋体"/>
                <w:color w:val="auto"/>
                <w:sz w:val="24"/>
                <w:highlight w:val="none"/>
              </w:rPr>
            </w:pPr>
            <w:r>
              <w:rPr>
                <w:rFonts w:hint="eastAsia" w:ascii="宋体" w:hAnsi="宋体"/>
                <w:color w:val="auto"/>
                <w:sz w:val="24"/>
                <w:highlight w:val="none"/>
              </w:rPr>
              <w:t>考核部门</w:t>
            </w:r>
          </w:p>
        </w:tc>
        <w:tc>
          <w:tcPr>
            <w:tcW w:w="1669" w:type="dxa"/>
            <w:vAlign w:val="center"/>
          </w:tcPr>
          <w:p w14:paraId="591A7889">
            <w:pPr>
              <w:jc w:val="center"/>
              <w:rPr>
                <w:rFonts w:ascii="宋体" w:hAnsi="宋体"/>
                <w:color w:val="auto"/>
                <w:sz w:val="24"/>
                <w:highlight w:val="none"/>
              </w:rPr>
            </w:pPr>
            <w:r>
              <w:rPr>
                <w:rFonts w:hint="eastAsia" w:ascii="宋体" w:hAnsi="宋体"/>
                <w:color w:val="auto"/>
                <w:sz w:val="24"/>
                <w:highlight w:val="none"/>
              </w:rPr>
              <w:t>签  字</w:t>
            </w:r>
          </w:p>
        </w:tc>
      </w:tr>
      <w:tr w14:paraId="5774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8" w:type="dxa"/>
            <w:vAlign w:val="center"/>
          </w:tcPr>
          <w:p w14:paraId="0D555809">
            <w:pPr>
              <w:jc w:val="center"/>
              <w:rPr>
                <w:rFonts w:ascii="宋体" w:hAnsi="宋体"/>
                <w:color w:val="auto"/>
                <w:sz w:val="24"/>
                <w:highlight w:val="none"/>
              </w:rPr>
            </w:pPr>
            <w:r>
              <w:rPr>
                <w:rFonts w:hint="eastAsia" w:ascii="宋体" w:hAnsi="宋体"/>
                <w:color w:val="auto"/>
                <w:sz w:val="24"/>
                <w:highlight w:val="none"/>
              </w:rPr>
              <w:t>1</w:t>
            </w:r>
          </w:p>
        </w:tc>
        <w:tc>
          <w:tcPr>
            <w:tcW w:w="3399" w:type="dxa"/>
            <w:vAlign w:val="center"/>
          </w:tcPr>
          <w:p w14:paraId="5A09A4E4">
            <w:pPr>
              <w:rPr>
                <w:rFonts w:ascii="宋体" w:hAnsi="宋体"/>
                <w:color w:val="auto"/>
                <w:sz w:val="24"/>
                <w:highlight w:val="none"/>
              </w:rPr>
            </w:pPr>
            <w:r>
              <w:rPr>
                <w:rFonts w:hint="eastAsia" w:ascii="宋体" w:hAnsi="宋体"/>
                <w:color w:val="auto"/>
                <w:sz w:val="24"/>
                <w:highlight w:val="none"/>
              </w:rPr>
              <w:t>综合管理服务</w:t>
            </w:r>
          </w:p>
        </w:tc>
        <w:tc>
          <w:tcPr>
            <w:tcW w:w="933" w:type="dxa"/>
            <w:vAlign w:val="center"/>
          </w:tcPr>
          <w:p w14:paraId="09834513">
            <w:pPr>
              <w:jc w:val="center"/>
              <w:rPr>
                <w:rFonts w:ascii="宋体" w:hAnsi="宋体"/>
                <w:color w:val="auto"/>
                <w:sz w:val="24"/>
                <w:highlight w:val="none"/>
              </w:rPr>
            </w:pPr>
            <w:r>
              <w:rPr>
                <w:rFonts w:hint="eastAsia" w:ascii="宋体" w:hAnsi="宋体"/>
                <w:color w:val="auto"/>
                <w:sz w:val="24"/>
                <w:highlight w:val="none"/>
              </w:rPr>
              <w:t>10分</w:t>
            </w:r>
          </w:p>
        </w:tc>
        <w:tc>
          <w:tcPr>
            <w:tcW w:w="1299" w:type="dxa"/>
            <w:vAlign w:val="center"/>
          </w:tcPr>
          <w:p w14:paraId="3618B6B7">
            <w:pPr>
              <w:jc w:val="center"/>
              <w:rPr>
                <w:rFonts w:ascii="宋体" w:hAnsi="宋体"/>
                <w:color w:val="auto"/>
                <w:sz w:val="24"/>
                <w:highlight w:val="none"/>
              </w:rPr>
            </w:pPr>
          </w:p>
        </w:tc>
        <w:tc>
          <w:tcPr>
            <w:tcW w:w="1919" w:type="dxa"/>
            <w:vAlign w:val="center"/>
          </w:tcPr>
          <w:p w14:paraId="794C745A">
            <w:pPr>
              <w:rPr>
                <w:rFonts w:ascii="宋体" w:hAnsi="宋体"/>
                <w:color w:val="auto"/>
                <w:sz w:val="24"/>
                <w:highlight w:val="none"/>
              </w:rPr>
            </w:pPr>
            <w:r>
              <w:rPr>
                <w:rFonts w:hint="eastAsia" w:ascii="宋体" w:hAnsi="宋体"/>
                <w:color w:val="auto"/>
                <w:sz w:val="24"/>
                <w:highlight w:val="none"/>
              </w:rPr>
              <w:t>分管校领导</w:t>
            </w:r>
          </w:p>
        </w:tc>
        <w:tc>
          <w:tcPr>
            <w:tcW w:w="1669" w:type="dxa"/>
            <w:vAlign w:val="center"/>
          </w:tcPr>
          <w:p w14:paraId="4FC329D0">
            <w:pPr>
              <w:jc w:val="center"/>
              <w:rPr>
                <w:rFonts w:ascii="宋体" w:hAnsi="宋体"/>
                <w:color w:val="auto"/>
                <w:sz w:val="24"/>
                <w:highlight w:val="none"/>
              </w:rPr>
            </w:pPr>
          </w:p>
        </w:tc>
      </w:tr>
      <w:tr w14:paraId="1981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8" w:type="dxa"/>
            <w:vAlign w:val="center"/>
          </w:tcPr>
          <w:p w14:paraId="1C9E7991">
            <w:pPr>
              <w:jc w:val="center"/>
              <w:rPr>
                <w:rFonts w:ascii="宋体" w:hAnsi="宋体"/>
                <w:color w:val="auto"/>
                <w:sz w:val="24"/>
                <w:highlight w:val="none"/>
              </w:rPr>
            </w:pPr>
            <w:r>
              <w:rPr>
                <w:rFonts w:hint="eastAsia" w:ascii="宋体" w:hAnsi="宋体"/>
                <w:color w:val="auto"/>
                <w:sz w:val="24"/>
                <w:highlight w:val="none"/>
              </w:rPr>
              <w:t>2</w:t>
            </w:r>
          </w:p>
        </w:tc>
        <w:tc>
          <w:tcPr>
            <w:tcW w:w="3399" w:type="dxa"/>
            <w:vAlign w:val="center"/>
          </w:tcPr>
          <w:p w14:paraId="0077A490">
            <w:pPr>
              <w:rPr>
                <w:rFonts w:ascii="宋体" w:hAnsi="宋体"/>
                <w:color w:val="auto"/>
                <w:sz w:val="24"/>
                <w:highlight w:val="none"/>
              </w:rPr>
            </w:pPr>
            <w:r>
              <w:rPr>
                <w:rFonts w:hint="eastAsia" w:ascii="宋体" w:hAnsi="宋体"/>
                <w:color w:val="auto"/>
                <w:sz w:val="24"/>
                <w:highlight w:val="none"/>
              </w:rPr>
              <w:t>客房及会务、工程维修服务</w:t>
            </w:r>
          </w:p>
        </w:tc>
        <w:tc>
          <w:tcPr>
            <w:tcW w:w="933" w:type="dxa"/>
            <w:vAlign w:val="center"/>
          </w:tcPr>
          <w:p w14:paraId="0BCF3946">
            <w:pPr>
              <w:jc w:val="center"/>
              <w:rPr>
                <w:rFonts w:ascii="宋体" w:hAnsi="宋体"/>
                <w:color w:val="auto"/>
                <w:sz w:val="24"/>
                <w:highlight w:val="none"/>
              </w:rPr>
            </w:pPr>
            <w:r>
              <w:rPr>
                <w:rFonts w:hint="eastAsia" w:ascii="宋体" w:hAnsi="宋体"/>
                <w:color w:val="auto"/>
                <w:sz w:val="24"/>
                <w:highlight w:val="none"/>
              </w:rPr>
              <w:t>10分</w:t>
            </w:r>
          </w:p>
        </w:tc>
        <w:tc>
          <w:tcPr>
            <w:tcW w:w="1299" w:type="dxa"/>
            <w:vAlign w:val="center"/>
          </w:tcPr>
          <w:p w14:paraId="305423F0">
            <w:pPr>
              <w:jc w:val="center"/>
              <w:rPr>
                <w:rFonts w:ascii="宋体" w:hAnsi="宋体"/>
                <w:color w:val="auto"/>
                <w:sz w:val="24"/>
                <w:highlight w:val="none"/>
              </w:rPr>
            </w:pPr>
          </w:p>
        </w:tc>
        <w:tc>
          <w:tcPr>
            <w:tcW w:w="1919" w:type="dxa"/>
            <w:vAlign w:val="center"/>
          </w:tcPr>
          <w:p w14:paraId="2EB2A0B6">
            <w:pPr>
              <w:rPr>
                <w:rFonts w:ascii="宋体" w:hAnsi="宋体"/>
                <w:color w:val="auto"/>
                <w:sz w:val="24"/>
                <w:highlight w:val="none"/>
              </w:rPr>
            </w:pPr>
            <w:r>
              <w:rPr>
                <w:rFonts w:hint="eastAsia" w:ascii="宋体" w:hAnsi="宋体"/>
                <w:color w:val="auto"/>
                <w:sz w:val="24"/>
                <w:highlight w:val="none"/>
              </w:rPr>
              <w:t>行政处</w:t>
            </w:r>
          </w:p>
        </w:tc>
        <w:tc>
          <w:tcPr>
            <w:tcW w:w="1669" w:type="dxa"/>
            <w:vAlign w:val="center"/>
          </w:tcPr>
          <w:p w14:paraId="2C004CA5">
            <w:pPr>
              <w:jc w:val="center"/>
              <w:rPr>
                <w:rFonts w:ascii="宋体" w:hAnsi="宋体"/>
                <w:color w:val="auto"/>
                <w:sz w:val="24"/>
                <w:highlight w:val="none"/>
              </w:rPr>
            </w:pPr>
          </w:p>
        </w:tc>
      </w:tr>
      <w:tr w14:paraId="558D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8" w:type="dxa"/>
            <w:vAlign w:val="center"/>
          </w:tcPr>
          <w:p w14:paraId="0B505E2D">
            <w:pPr>
              <w:jc w:val="center"/>
              <w:rPr>
                <w:rFonts w:ascii="宋体" w:hAnsi="宋体"/>
                <w:color w:val="auto"/>
                <w:sz w:val="24"/>
                <w:highlight w:val="none"/>
              </w:rPr>
            </w:pPr>
            <w:r>
              <w:rPr>
                <w:rFonts w:hint="eastAsia" w:ascii="宋体" w:hAnsi="宋体"/>
                <w:color w:val="auto"/>
                <w:sz w:val="24"/>
                <w:highlight w:val="none"/>
              </w:rPr>
              <w:t>3</w:t>
            </w:r>
          </w:p>
        </w:tc>
        <w:tc>
          <w:tcPr>
            <w:tcW w:w="3399" w:type="dxa"/>
            <w:vAlign w:val="center"/>
          </w:tcPr>
          <w:p w14:paraId="5111C627">
            <w:pPr>
              <w:rPr>
                <w:rFonts w:ascii="宋体" w:hAnsi="宋体"/>
                <w:color w:val="auto"/>
                <w:sz w:val="24"/>
                <w:highlight w:val="none"/>
              </w:rPr>
            </w:pPr>
            <w:r>
              <w:rPr>
                <w:rFonts w:hint="eastAsia" w:ascii="宋体" w:hAnsi="宋体"/>
                <w:color w:val="auto"/>
                <w:sz w:val="24"/>
                <w:highlight w:val="none"/>
              </w:rPr>
              <w:t>护林防火巡查、生态环境服务</w:t>
            </w:r>
          </w:p>
        </w:tc>
        <w:tc>
          <w:tcPr>
            <w:tcW w:w="933" w:type="dxa"/>
            <w:vAlign w:val="center"/>
          </w:tcPr>
          <w:p w14:paraId="67783BD6">
            <w:pPr>
              <w:jc w:val="center"/>
              <w:rPr>
                <w:rFonts w:ascii="宋体" w:hAnsi="宋体"/>
                <w:color w:val="auto"/>
                <w:sz w:val="24"/>
                <w:highlight w:val="none"/>
              </w:rPr>
            </w:pPr>
            <w:r>
              <w:rPr>
                <w:rFonts w:hint="eastAsia" w:ascii="宋体" w:hAnsi="宋体"/>
                <w:color w:val="auto"/>
                <w:sz w:val="24"/>
                <w:highlight w:val="none"/>
              </w:rPr>
              <w:t>10分</w:t>
            </w:r>
          </w:p>
        </w:tc>
        <w:tc>
          <w:tcPr>
            <w:tcW w:w="1299" w:type="dxa"/>
            <w:vAlign w:val="center"/>
          </w:tcPr>
          <w:p w14:paraId="528B804F">
            <w:pPr>
              <w:jc w:val="center"/>
              <w:rPr>
                <w:rFonts w:ascii="宋体" w:hAnsi="宋体"/>
                <w:color w:val="auto"/>
                <w:sz w:val="24"/>
                <w:highlight w:val="none"/>
              </w:rPr>
            </w:pPr>
          </w:p>
        </w:tc>
        <w:tc>
          <w:tcPr>
            <w:tcW w:w="1919" w:type="dxa"/>
            <w:vAlign w:val="center"/>
          </w:tcPr>
          <w:p w14:paraId="0338C637">
            <w:pPr>
              <w:rPr>
                <w:rFonts w:ascii="宋体" w:hAnsi="宋体"/>
                <w:color w:val="auto"/>
                <w:sz w:val="24"/>
                <w:highlight w:val="none"/>
              </w:rPr>
            </w:pPr>
            <w:r>
              <w:rPr>
                <w:rFonts w:hint="eastAsia" w:ascii="宋体" w:hAnsi="宋体"/>
                <w:color w:val="auto"/>
                <w:sz w:val="24"/>
                <w:highlight w:val="none"/>
              </w:rPr>
              <w:t>生态环境管理处</w:t>
            </w:r>
          </w:p>
        </w:tc>
        <w:tc>
          <w:tcPr>
            <w:tcW w:w="1669" w:type="dxa"/>
            <w:vAlign w:val="center"/>
          </w:tcPr>
          <w:p w14:paraId="3DF330D1">
            <w:pPr>
              <w:jc w:val="center"/>
              <w:rPr>
                <w:rFonts w:ascii="宋体" w:hAnsi="宋体"/>
                <w:color w:val="auto"/>
                <w:sz w:val="24"/>
                <w:highlight w:val="none"/>
              </w:rPr>
            </w:pPr>
          </w:p>
        </w:tc>
      </w:tr>
      <w:tr w14:paraId="6D46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8" w:type="dxa"/>
            <w:vAlign w:val="center"/>
          </w:tcPr>
          <w:p w14:paraId="1ED0B14C">
            <w:pPr>
              <w:jc w:val="center"/>
              <w:rPr>
                <w:rFonts w:ascii="宋体" w:hAnsi="宋体"/>
                <w:color w:val="auto"/>
                <w:sz w:val="24"/>
                <w:highlight w:val="none"/>
              </w:rPr>
            </w:pPr>
            <w:r>
              <w:rPr>
                <w:rFonts w:hint="eastAsia" w:ascii="宋体" w:hAnsi="宋体"/>
                <w:color w:val="auto"/>
                <w:sz w:val="24"/>
                <w:highlight w:val="none"/>
              </w:rPr>
              <w:t>4</w:t>
            </w:r>
          </w:p>
        </w:tc>
        <w:tc>
          <w:tcPr>
            <w:tcW w:w="3399" w:type="dxa"/>
            <w:vAlign w:val="center"/>
          </w:tcPr>
          <w:p w14:paraId="52EAC6F2">
            <w:pPr>
              <w:rPr>
                <w:rFonts w:ascii="宋体" w:hAnsi="宋体"/>
                <w:color w:val="auto"/>
                <w:sz w:val="24"/>
                <w:highlight w:val="none"/>
              </w:rPr>
            </w:pPr>
            <w:r>
              <w:rPr>
                <w:rFonts w:hint="eastAsia" w:ascii="宋体" w:hAnsi="宋体"/>
                <w:color w:val="auto"/>
                <w:sz w:val="24"/>
                <w:highlight w:val="none"/>
              </w:rPr>
              <w:t>安保服务</w:t>
            </w:r>
          </w:p>
        </w:tc>
        <w:tc>
          <w:tcPr>
            <w:tcW w:w="933" w:type="dxa"/>
            <w:vAlign w:val="center"/>
          </w:tcPr>
          <w:p w14:paraId="27FB7F76">
            <w:pPr>
              <w:jc w:val="center"/>
              <w:rPr>
                <w:rFonts w:ascii="宋体" w:hAnsi="宋体"/>
                <w:color w:val="auto"/>
                <w:sz w:val="24"/>
                <w:highlight w:val="none"/>
              </w:rPr>
            </w:pPr>
            <w:r>
              <w:rPr>
                <w:rFonts w:hint="eastAsia" w:ascii="宋体" w:hAnsi="宋体"/>
                <w:color w:val="auto"/>
                <w:sz w:val="24"/>
                <w:highlight w:val="none"/>
              </w:rPr>
              <w:t>10分</w:t>
            </w:r>
          </w:p>
        </w:tc>
        <w:tc>
          <w:tcPr>
            <w:tcW w:w="1299" w:type="dxa"/>
            <w:vAlign w:val="center"/>
          </w:tcPr>
          <w:p w14:paraId="43C9F4DD">
            <w:pPr>
              <w:jc w:val="center"/>
              <w:rPr>
                <w:rFonts w:ascii="宋体" w:hAnsi="宋体"/>
                <w:color w:val="auto"/>
                <w:sz w:val="24"/>
                <w:highlight w:val="none"/>
              </w:rPr>
            </w:pPr>
          </w:p>
        </w:tc>
        <w:tc>
          <w:tcPr>
            <w:tcW w:w="1919" w:type="dxa"/>
            <w:vAlign w:val="center"/>
          </w:tcPr>
          <w:p w14:paraId="5EBBC89D">
            <w:pPr>
              <w:rPr>
                <w:rFonts w:ascii="宋体" w:hAnsi="宋体"/>
                <w:color w:val="auto"/>
                <w:sz w:val="24"/>
                <w:highlight w:val="none"/>
              </w:rPr>
            </w:pPr>
            <w:r>
              <w:rPr>
                <w:rFonts w:hint="eastAsia" w:ascii="宋体" w:hAnsi="宋体"/>
                <w:color w:val="auto"/>
                <w:sz w:val="24"/>
                <w:highlight w:val="none"/>
              </w:rPr>
              <w:t>保卫处</w:t>
            </w:r>
          </w:p>
        </w:tc>
        <w:tc>
          <w:tcPr>
            <w:tcW w:w="1669" w:type="dxa"/>
            <w:vAlign w:val="center"/>
          </w:tcPr>
          <w:p w14:paraId="1311515B">
            <w:pPr>
              <w:jc w:val="center"/>
              <w:rPr>
                <w:rFonts w:ascii="宋体" w:hAnsi="宋体"/>
                <w:color w:val="auto"/>
                <w:sz w:val="24"/>
                <w:highlight w:val="none"/>
              </w:rPr>
            </w:pPr>
          </w:p>
        </w:tc>
      </w:tr>
      <w:tr w14:paraId="1B0D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8" w:type="dxa"/>
            <w:vAlign w:val="center"/>
          </w:tcPr>
          <w:p w14:paraId="30074DC0">
            <w:pPr>
              <w:jc w:val="center"/>
              <w:rPr>
                <w:rFonts w:ascii="宋体" w:hAnsi="宋体"/>
                <w:color w:val="auto"/>
                <w:sz w:val="24"/>
                <w:highlight w:val="none"/>
              </w:rPr>
            </w:pPr>
            <w:r>
              <w:rPr>
                <w:rFonts w:hint="eastAsia" w:ascii="宋体" w:hAnsi="宋体"/>
                <w:color w:val="auto"/>
                <w:sz w:val="24"/>
                <w:highlight w:val="none"/>
              </w:rPr>
              <w:t>5</w:t>
            </w:r>
          </w:p>
        </w:tc>
        <w:tc>
          <w:tcPr>
            <w:tcW w:w="3399" w:type="dxa"/>
            <w:vAlign w:val="center"/>
          </w:tcPr>
          <w:p w14:paraId="6BF9AC59">
            <w:pPr>
              <w:rPr>
                <w:rFonts w:ascii="宋体" w:hAnsi="宋体"/>
                <w:color w:val="auto"/>
                <w:sz w:val="24"/>
                <w:highlight w:val="none"/>
              </w:rPr>
            </w:pPr>
            <w:r>
              <w:rPr>
                <w:rFonts w:hint="eastAsia" w:ascii="宋体" w:hAnsi="宋体"/>
                <w:color w:val="auto"/>
                <w:sz w:val="24"/>
                <w:highlight w:val="none"/>
              </w:rPr>
              <w:t>信息技术设备综合管理服务</w:t>
            </w:r>
          </w:p>
        </w:tc>
        <w:tc>
          <w:tcPr>
            <w:tcW w:w="933" w:type="dxa"/>
            <w:vAlign w:val="center"/>
          </w:tcPr>
          <w:p w14:paraId="28008D62">
            <w:pPr>
              <w:jc w:val="center"/>
              <w:rPr>
                <w:rFonts w:ascii="宋体" w:hAnsi="宋体"/>
                <w:color w:val="auto"/>
                <w:sz w:val="24"/>
                <w:highlight w:val="none"/>
              </w:rPr>
            </w:pPr>
            <w:r>
              <w:rPr>
                <w:rFonts w:hint="eastAsia" w:ascii="宋体" w:hAnsi="宋体"/>
                <w:color w:val="auto"/>
                <w:sz w:val="24"/>
                <w:highlight w:val="none"/>
              </w:rPr>
              <w:t>10分</w:t>
            </w:r>
          </w:p>
        </w:tc>
        <w:tc>
          <w:tcPr>
            <w:tcW w:w="1299" w:type="dxa"/>
            <w:vAlign w:val="center"/>
          </w:tcPr>
          <w:p w14:paraId="79EADA74">
            <w:pPr>
              <w:jc w:val="center"/>
              <w:rPr>
                <w:rFonts w:ascii="宋体" w:hAnsi="宋体"/>
                <w:color w:val="auto"/>
                <w:sz w:val="24"/>
                <w:highlight w:val="none"/>
              </w:rPr>
            </w:pPr>
          </w:p>
        </w:tc>
        <w:tc>
          <w:tcPr>
            <w:tcW w:w="1919" w:type="dxa"/>
            <w:vAlign w:val="center"/>
          </w:tcPr>
          <w:p w14:paraId="76022AE8">
            <w:pPr>
              <w:rPr>
                <w:rFonts w:ascii="宋体" w:hAnsi="宋体"/>
                <w:color w:val="auto"/>
                <w:sz w:val="24"/>
                <w:highlight w:val="none"/>
              </w:rPr>
            </w:pPr>
            <w:r>
              <w:rPr>
                <w:rFonts w:hint="eastAsia" w:ascii="宋体" w:hAnsi="宋体"/>
                <w:color w:val="auto"/>
                <w:sz w:val="24"/>
                <w:highlight w:val="none"/>
              </w:rPr>
              <w:t>信息管理处</w:t>
            </w:r>
          </w:p>
        </w:tc>
        <w:tc>
          <w:tcPr>
            <w:tcW w:w="1669" w:type="dxa"/>
            <w:vAlign w:val="center"/>
          </w:tcPr>
          <w:p w14:paraId="60BE42B3">
            <w:pPr>
              <w:jc w:val="center"/>
              <w:rPr>
                <w:rFonts w:ascii="宋体" w:hAnsi="宋体"/>
                <w:color w:val="auto"/>
                <w:sz w:val="24"/>
                <w:highlight w:val="none"/>
              </w:rPr>
            </w:pPr>
          </w:p>
        </w:tc>
      </w:tr>
      <w:tr w14:paraId="240E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8" w:type="dxa"/>
            <w:vAlign w:val="center"/>
          </w:tcPr>
          <w:p w14:paraId="6BBF0E21">
            <w:pPr>
              <w:jc w:val="center"/>
              <w:rPr>
                <w:rFonts w:ascii="宋体" w:hAnsi="宋体"/>
                <w:color w:val="auto"/>
                <w:sz w:val="24"/>
                <w:highlight w:val="none"/>
              </w:rPr>
            </w:pPr>
            <w:r>
              <w:rPr>
                <w:rFonts w:hint="eastAsia" w:ascii="宋体" w:hAnsi="宋体"/>
                <w:color w:val="auto"/>
                <w:sz w:val="24"/>
                <w:highlight w:val="none"/>
              </w:rPr>
              <w:t>6</w:t>
            </w:r>
          </w:p>
        </w:tc>
        <w:tc>
          <w:tcPr>
            <w:tcW w:w="3399" w:type="dxa"/>
            <w:vAlign w:val="center"/>
          </w:tcPr>
          <w:p w14:paraId="2D69017F">
            <w:pPr>
              <w:rPr>
                <w:rFonts w:ascii="宋体" w:hAnsi="宋体"/>
                <w:color w:val="auto"/>
                <w:sz w:val="24"/>
                <w:highlight w:val="none"/>
              </w:rPr>
            </w:pPr>
            <w:r>
              <w:rPr>
                <w:rFonts w:hint="eastAsia" w:ascii="宋体" w:hAnsi="宋体"/>
                <w:color w:val="auto"/>
                <w:sz w:val="24"/>
                <w:highlight w:val="none"/>
              </w:rPr>
              <w:t>综合管理服务</w:t>
            </w:r>
          </w:p>
        </w:tc>
        <w:tc>
          <w:tcPr>
            <w:tcW w:w="933" w:type="dxa"/>
            <w:vAlign w:val="center"/>
          </w:tcPr>
          <w:p w14:paraId="438A6EB7">
            <w:pPr>
              <w:jc w:val="center"/>
              <w:rPr>
                <w:rFonts w:ascii="宋体" w:hAnsi="宋体"/>
                <w:color w:val="auto"/>
                <w:sz w:val="24"/>
                <w:highlight w:val="none"/>
              </w:rPr>
            </w:pPr>
            <w:r>
              <w:rPr>
                <w:rFonts w:hint="eastAsia" w:ascii="宋体" w:hAnsi="宋体"/>
                <w:color w:val="auto"/>
                <w:sz w:val="24"/>
                <w:highlight w:val="none"/>
              </w:rPr>
              <w:t>5分</w:t>
            </w:r>
          </w:p>
        </w:tc>
        <w:tc>
          <w:tcPr>
            <w:tcW w:w="1299" w:type="dxa"/>
            <w:vAlign w:val="center"/>
          </w:tcPr>
          <w:p w14:paraId="1D6C0E08">
            <w:pPr>
              <w:jc w:val="center"/>
              <w:rPr>
                <w:rFonts w:ascii="宋体" w:hAnsi="宋体"/>
                <w:color w:val="auto"/>
                <w:sz w:val="24"/>
                <w:highlight w:val="none"/>
              </w:rPr>
            </w:pPr>
          </w:p>
        </w:tc>
        <w:tc>
          <w:tcPr>
            <w:tcW w:w="1919" w:type="dxa"/>
            <w:vAlign w:val="center"/>
          </w:tcPr>
          <w:p w14:paraId="3FA27329">
            <w:pPr>
              <w:rPr>
                <w:rFonts w:ascii="宋体" w:hAnsi="宋体"/>
                <w:color w:val="auto"/>
                <w:sz w:val="24"/>
                <w:highlight w:val="none"/>
              </w:rPr>
            </w:pPr>
            <w:r>
              <w:rPr>
                <w:rFonts w:ascii="宋体" w:hAnsi="宋体"/>
                <w:color w:val="auto"/>
                <w:sz w:val="24"/>
                <w:highlight w:val="none"/>
              </w:rPr>
              <w:t>财务处</w:t>
            </w:r>
          </w:p>
        </w:tc>
        <w:tc>
          <w:tcPr>
            <w:tcW w:w="1669" w:type="dxa"/>
            <w:vAlign w:val="center"/>
          </w:tcPr>
          <w:p w14:paraId="376BBC51">
            <w:pPr>
              <w:jc w:val="center"/>
              <w:rPr>
                <w:rFonts w:ascii="宋体" w:hAnsi="宋体"/>
                <w:color w:val="auto"/>
                <w:sz w:val="24"/>
                <w:highlight w:val="none"/>
              </w:rPr>
            </w:pPr>
          </w:p>
        </w:tc>
      </w:tr>
      <w:tr w14:paraId="04D9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8" w:type="dxa"/>
            <w:vAlign w:val="center"/>
          </w:tcPr>
          <w:p w14:paraId="75434ECD">
            <w:pPr>
              <w:jc w:val="center"/>
              <w:rPr>
                <w:rFonts w:ascii="宋体" w:hAnsi="宋体"/>
                <w:color w:val="auto"/>
                <w:sz w:val="24"/>
                <w:highlight w:val="none"/>
              </w:rPr>
            </w:pPr>
            <w:r>
              <w:rPr>
                <w:rFonts w:hint="eastAsia" w:ascii="宋体" w:hAnsi="宋体"/>
                <w:color w:val="auto"/>
                <w:sz w:val="24"/>
                <w:highlight w:val="none"/>
              </w:rPr>
              <w:t>7</w:t>
            </w:r>
          </w:p>
        </w:tc>
        <w:tc>
          <w:tcPr>
            <w:tcW w:w="3399" w:type="dxa"/>
            <w:vAlign w:val="center"/>
          </w:tcPr>
          <w:p w14:paraId="6391CD82">
            <w:pPr>
              <w:rPr>
                <w:rFonts w:ascii="宋体" w:hAnsi="宋体"/>
                <w:color w:val="auto"/>
                <w:sz w:val="24"/>
                <w:highlight w:val="none"/>
              </w:rPr>
            </w:pPr>
            <w:r>
              <w:rPr>
                <w:rFonts w:hint="eastAsia" w:ascii="宋体" w:hAnsi="宋体"/>
                <w:color w:val="auto"/>
                <w:sz w:val="24"/>
                <w:highlight w:val="none"/>
              </w:rPr>
              <w:t>综合管理服务</w:t>
            </w:r>
          </w:p>
        </w:tc>
        <w:tc>
          <w:tcPr>
            <w:tcW w:w="933" w:type="dxa"/>
            <w:vAlign w:val="center"/>
          </w:tcPr>
          <w:p w14:paraId="0289A419">
            <w:pPr>
              <w:jc w:val="center"/>
              <w:rPr>
                <w:rFonts w:ascii="宋体" w:hAnsi="宋体"/>
                <w:color w:val="auto"/>
                <w:sz w:val="24"/>
                <w:highlight w:val="none"/>
              </w:rPr>
            </w:pPr>
            <w:r>
              <w:rPr>
                <w:rFonts w:hint="eastAsia" w:ascii="宋体" w:hAnsi="宋体"/>
                <w:color w:val="auto"/>
                <w:sz w:val="24"/>
                <w:highlight w:val="none"/>
              </w:rPr>
              <w:t>5分</w:t>
            </w:r>
          </w:p>
        </w:tc>
        <w:tc>
          <w:tcPr>
            <w:tcW w:w="1299" w:type="dxa"/>
            <w:vAlign w:val="center"/>
          </w:tcPr>
          <w:p w14:paraId="6BC889B5">
            <w:pPr>
              <w:jc w:val="center"/>
              <w:rPr>
                <w:rFonts w:ascii="宋体" w:hAnsi="宋体"/>
                <w:color w:val="auto"/>
                <w:sz w:val="24"/>
                <w:highlight w:val="none"/>
              </w:rPr>
            </w:pPr>
          </w:p>
        </w:tc>
        <w:tc>
          <w:tcPr>
            <w:tcW w:w="1919" w:type="dxa"/>
            <w:vAlign w:val="center"/>
          </w:tcPr>
          <w:p w14:paraId="55B1B729">
            <w:pPr>
              <w:rPr>
                <w:rFonts w:ascii="宋体" w:hAnsi="宋体"/>
                <w:color w:val="auto"/>
                <w:sz w:val="24"/>
                <w:highlight w:val="none"/>
              </w:rPr>
            </w:pPr>
            <w:r>
              <w:rPr>
                <w:rFonts w:hint="eastAsia" w:ascii="宋体" w:hAnsi="宋体"/>
                <w:color w:val="auto"/>
                <w:sz w:val="24"/>
                <w:highlight w:val="none"/>
              </w:rPr>
              <w:t>校办公室</w:t>
            </w:r>
          </w:p>
        </w:tc>
        <w:tc>
          <w:tcPr>
            <w:tcW w:w="1669" w:type="dxa"/>
            <w:vAlign w:val="center"/>
          </w:tcPr>
          <w:p w14:paraId="3983ECCB">
            <w:pPr>
              <w:jc w:val="center"/>
              <w:rPr>
                <w:rFonts w:ascii="宋体" w:hAnsi="宋体"/>
                <w:color w:val="auto"/>
                <w:sz w:val="24"/>
                <w:highlight w:val="none"/>
              </w:rPr>
            </w:pPr>
          </w:p>
        </w:tc>
      </w:tr>
      <w:tr w14:paraId="5CD3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8" w:type="dxa"/>
            <w:vAlign w:val="center"/>
          </w:tcPr>
          <w:p w14:paraId="2343606C">
            <w:pPr>
              <w:jc w:val="center"/>
              <w:rPr>
                <w:rFonts w:ascii="宋体" w:hAnsi="宋体"/>
                <w:color w:val="auto"/>
                <w:sz w:val="24"/>
                <w:highlight w:val="none"/>
              </w:rPr>
            </w:pPr>
            <w:r>
              <w:rPr>
                <w:rFonts w:hint="eastAsia" w:ascii="宋体" w:hAnsi="宋体"/>
                <w:color w:val="auto"/>
                <w:sz w:val="24"/>
                <w:highlight w:val="none"/>
              </w:rPr>
              <w:t>8</w:t>
            </w:r>
          </w:p>
        </w:tc>
        <w:tc>
          <w:tcPr>
            <w:tcW w:w="3399" w:type="dxa"/>
            <w:vAlign w:val="center"/>
          </w:tcPr>
          <w:p w14:paraId="3C33313D">
            <w:pPr>
              <w:rPr>
                <w:rFonts w:ascii="宋体" w:hAnsi="宋体"/>
                <w:color w:val="auto"/>
                <w:sz w:val="24"/>
                <w:highlight w:val="none"/>
              </w:rPr>
            </w:pPr>
            <w:r>
              <w:rPr>
                <w:rFonts w:hint="eastAsia" w:ascii="宋体" w:hAnsi="宋体"/>
                <w:color w:val="auto"/>
                <w:sz w:val="24"/>
                <w:highlight w:val="none"/>
              </w:rPr>
              <w:t>综合管理服务</w:t>
            </w:r>
          </w:p>
        </w:tc>
        <w:tc>
          <w:tcPr>
            <w:tcW w:w="933" w:type="dxa"/>
            <w:vAlign w:val="center"/>
          </w:tcPr>
          <w:p w14:paraId="262D4FAA">
            <w:pPr>
              <w:jc w:val="center"/>
              <w:rPr>
                <w:rFonts w:ascii="宋体" w:hAnsi="宋体"/>
                <w:color w:val="auto"/>
                <w:sz w:val="24"/>
                <w:highlight w:val="none"/>
              </w:rPr>
            </w:pPr>
            <w:r>
              <w:rPr>
                <w:rFonts w:hint="eastAsia" w:ascii="宋体" w:hAnsi="宋体"/>
                <w:color w:val="auto"/>
                <w:sz w:val="24"/>
                <w:highlight w:val="none"/>
              </w:rPr>
              <w:t>5分</w:t>
            </w:r>
          </w:p>
        </w:tc>
        <w:tc>
          <w:tcPr>
            <w:tcW w:w="1299" w:type="dxa"/>
            <w:vAlign w:val="center"/>
          </w:tcPr>
          <w:p w14:paraId="42ABEE38">
            <w:pPr>
              <w:jc w:val="center"/>
              <w:rPr>
                <w:rFonts w:ascii="宋体" w:hAnsi="宋体"/>
                <w:color w:val="auto"/>
                <w:sz w:val="24"/>
                <w:highlight w:val="none"/>
              </w:rPr>
            </w:pPr>
          </w:p>
        </w:tc>
        <w:tc>
          <w:tcPr>
            <w:tcW w:w="1919" w:type="dxa"/>
            <w:vAlign w:val="center"/>
          </w:tcPr>
          <w:p w14:paraId="22D253CE">
            <w:pPr>
              <w:rPr>
                <w:rFonts w:ascii="宋体" w:hAnsi="宋体"/>
                <w:color w:val="auto"/>
                <w:sz w:val="24"/>
                <w:highlight w:val="none"/>
              </w:rPr>
            </w:pPr>
            <w:r>
              <w:rPr>
                <w:rFonts w:hint="eastAsia" w:ascii="宋体" w:hAnsi="宋体"/>
                <w:color w:val="auto"/>
                <w:sz w:val="24"/>
                <w:highlight w:val="none"/>
              </w:rPr>
              <w:t>教务处</w:t>
            </w:r>
          </w:p>
        </w:tc>
        <w:tc>
          <w:tcPr>
            <w:tcW w:w="1669" w:type="dxa"/>
            <w:vAlign w:val="center"/>
          </w:tcPr>
          <w:p w14:paraId="5D5D5E87">
            <w:pPr>
              <w:jc w:val="center"/>
              <w:rPr>
                <w:rFonts w:ascii="宋体" w:hAnsi="宋体"/>
                <w:color w:val="auto"/>
                <w:sz w:val="24"/>
                <w:highlight w:val="none"/>
              </w:rPr>
            </w:pPr>
          </w:p>
        </w:tc>
      </w:tr>
      <w:tr w14:paraId="2243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8" w:type="dxa"/>
            <w:vAlign w:val="center"/>
          </w:tcPr>
          <w:p w14:paraId="1C29040A">
            <w:pPr>
              <w:jc w:val="center"/>
              <w:rPr>
                <w:rFonts w:ascii="宋体" w:hAnsi="宋体"/>
                <w:color w:val="auto"/>
                <w:sz w:val="24"/>
                <w:highlight w:val="none"/>
              </w:rPr>
            </w:pPr>
            <w:r>
              <w:rPr>
                <w:rFonts w:hint="eastAsia" w:ascii="宋体" w:hAnsi="宋体"/>
                <w:color w:val="auto"/>
                <w:sz w:val="24"/>
                <w:highlight w:val="none"/>
              </w:rPr>
              <w:t>9</w:t>
            </w:r>
          </w:p>
        </w:tc>
        <w:tc>
          <w:tcPr>
            <w:tcW w:w="3399" w:type="dxa"/>
            <w:vAlign w:val="center"/>
          </w:tcPr>
          <w:p w14:paraId="18857F98">
            <w:pPr>
              <w:rPr>
                <w:rFonts w:ascii="宋体" w:hAnsi="宋体"/>
                <w:color w:val="auto"/>
                <w:sz w:val="24"/>
                <w:highlight w:val="none"/>
              </w:rPr>
            </w:pPr>
            <w:r>
              <w:rPr>
                <w:rFonts w:hint="eastAsia" w:ascii="宋体" w:hAnsi="宋体"/>
                <w:color w:val="auto"/>
                <w:sz w:val="24"/>
                <w:highlight w:val="none"/>
              </w:rPr>
              <w:t>综合管理服务</w:t>
            </w:r>
          </w:p>
        </w:tc>
        <w:tc>
          <w:tcPr>
            <w:tcW w:w="933" w:type="dxa"/>
            <w:vAlign w:val="center"/>
          </w:tcPr>
          <w:p w14:paraId="0EF90F9E">
            <w:pPr>
              <w:jc w:val="center"/>
              <w:rPr>
                <w:rFonts w:ascii="宋体" w:hAnsi="宋体"/>
                <w:color w:val="auto"/>
                <w:sz w:val="24"/>
                <w:highlight w:val="none"/>
              </w:rPr>
            </w:pPr>
            <w:r>
              <w:rPr>
                <w:rFonts w:hint="eastAsia" w:ascii="宋体" w:hAnsi="宋体"/>
                <w:color w:val="auto"/>
                <w:sz w:val="24"/>
                <w:highlight w:val="none"/>
              </w:rPr>
              <w:t>5分</w:t>
            </w:r>
          </w:p>
        </w:tc>
        <w:tc>
          <w:tcPr>
            <w:tcW w:w="1299" w:type="dxa"/>
            <w:vAlign w:val="center"/>
          </w:tcPr>
          <w:p w14:paraId="3820EFAD">
            <w:pPr>
              <w:jc w:val="center"/>
              <w:rPr>
                <w:rFonts w:ascii="宋体" w:hAnsi="宋体"/>
                <w:color w:val="auto"/>
                <w:sz w:val="24"/>
                <w:highlight w:val="none"/>
              </w:rPr>
            </w:pPr>
          </w:p>
        </w:tc>
        <w:tc>
          <w:tcPr>
            <w:tcW w:w="1919" w:type="dxa"/>
            <w:vAlign w:val="center"/>
          </w:tcPr>
          <w:p w14:paraId="1375F46A">
            <w:pPr>
              <w:rPr>
                <w:rFonts w:ascii="宋体" w:hAnsi="宋体"/>
                <w:color w:val="auto"/>
                <w:sz w:val="24"/>
                <w:highlight w:val="none"/>
              </w:rPr>
            </w:pPr>
            <w:r>
              <w:rPr>
                <w:rFonts w:hint="eastAsia" w:ascii="宋体" w:hAnsi="宋体"/>
                <w:color w:val="auto"/>
                <w:sz w:val="24"/>
                <w:highlight w:val="none"/>
              </w:rPr>
              <w:t>学员部</w:t>
            </w:r>
          </w:p>
        </w:tc>
        <w:tc>
          <w:tcPr>
            <w:tcW w:w="1669" w:type="dxa"/>
            <w:vAlign w:val="center"/>
          </w:tcPr>
          <w:p w14:paraId="3E941E97">
            <w:pPr>
              <w:jc w:val="center"/>
              <w:rPr>
                <w:rFonts w:ascii="宋体" w:hAnsi="宋体"/>
                <w:color w:val="auto"/>
                <w:sz w:val="24"/>
                <w:highlight w:val="none"/>
              </w:rPr>
            </w:pPr>
          </w:p>
        </w:tc>
      </w:tr>
      <w:tr w14:paraId="28BA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78" w:type="dxa"/>
            <w:vAlign w:val="center"/>
          </w:tcPr>
          <w:p w14:paraId="268B95FE">
            <w:pPr>
              <w:jc w:val="center"/>
              <w:rPr>
                <w:rFonts w:ascii="宋体" w:hAnsi="宋体"/>
                <w:color w:val="auto"/>
                <w:sz w:val="24"/>
                <w:highlight w:val="none"/>
              </w:rPr>
            </w:pPr>
            <w:r>
              <w:rPr>
                <w:rFonts w:hint="eastAsia" w:ascii="宋体" w:hAnsi="宋体"/>
                <w:color w:val="auto"/>
                <w:sz w:val="24"/>
                <w:highlight w:val="none"/>
              </w:rPr>
              <w:t>10</w:t>
            </w:r>
          </w:p>
        </w:tc>
        <w:tc>
          <w:tcPr>
            <w:tcW w:w="3399" w:type="dxa"/>
            <w:vAlign w:val="center"/>
          </w:tcPr>
          <w:p w14:paraId="0FA16442">
            <w:pPr>
              <w:rPr>
                <w:rFonts w:ascii="宋体" w:hAnsi="宋体"/>
                <w:color w:val="auto"/>
                <w:sz w:val="24"/>
                <w:highlight w:val="none"/>
              </w:rPr>
            </w:pPr>
            <w:r>
              <w:rPr>
                <w:rFonts w:hint="eastAsia" w:ascii="宋体" w:hAnsi="宋体"/>
                <w:color w:val="auto"/>
                <w:sz w:val="24"/>
                <w:highlight w:val="none"/>
              </w:rPr>
              <w:t>综合管理服务</w:t>
            </w:r>
          </w:p>
        </w:tc>
        <w:tc>
          <w:tcPr>
            <w:tcW w:w="933" w:type="dxa"/>
            <w:vAlign w:val="center"/>
          </w:tcPr>
          <w:p w14:paraId="085484AC">
            <w:pPr>
              <w:jc w:val="center"/>
              <w:rPr>
                <w:rFonts w:ascii="宋体" w:hAnsi="宋体"/>
                <w:color w:val="auto"/>
                <w:sz w:val="24"/>
                <w:highlight w:val="none"/>
              </w:rPr>
            </w:pPr>
            <w:r>
              <w:rPr>
                <w:rFonts w:hint="eastAsia" w:ascii="宋体" w:hAnsi="宋体"/>
                <w:color w:val="auto"/>
                <w:sz w:val="24"/>
                <w:highlight w:val="none"/>
              </w:rPr>
              <w:t>5分</w:t>
            </w:r>
          </w:p>
        </w:tc>
        <w:tc>
          <w:tcPr>
            <w:tcW w:w="1299" w:type="dxa"/>
            <w:vAlign w:val="center"/>
          </w:tcPr>
          <w:p w14:paraId="709492B5">
            <w:pPr>
              <w:jc w:val="center"/>
              <w:rPr>
                <w:rFonts w:ascii="宋体" w:hAnsi="宋体"/>
                <w:color w:val="auto"/>
                <w:sz w:val="24"/>
                <w:highlight w:val="none"/>
              </w:rPr>
            </w:pPr>
          </w:p>
        </w:tc>
        <w:tc>
          <w:tcPr>
            <w:tcW w:w="1919" w:type="dxa"/>
            <w:vAlign w:val="center"/>
          </w:tcPr>
          <w:p w14:paraId="3725BBC7">
            <w:pPr>
              <w:rPr>
                <w:rFonts w:ascii="宋体" w:hAnsi="宋体"/>
                <w:color w:val="auto"/>
                <w:sz w:val="24"/>
                <w:highlight w:val="none"/>
              </w:rPr>
            </w:pPr>
            <w:r>
              <w:rPr>
                <w:rFonts w:hint="eastAsia" w:ascii="宋体" w:hAnsi="宋体"/>
                <w:color w:val="auto"/>
                <w:sz w:val="24"/>
                <w:highlight w:val="none"/>
              </w:rPr>
              <w:t>进修处</w:t>
            </w:r>
          </w:p>
        </w:tc>
        <w:tc>
          <w:tcPr>
            <w:tcW w:w="1669" w:type="dxa"/>
            <w:vAlign w:val="center"/>
          </w:tcPr>
          <w:p w14:paraId="73C1DD75">
            <w:pPr>
              <w:jc w:val="center"/>
              <w:rPr>
                <w:rFonts w:ascii="宋体" w:hAnsi="宋体"/>
                <w:color w:val="auto"/>
                <w:sz w:val="24"/>
                <w:highlight w:val="none"/>
              </w:rPr>
            </w:pPr>
          </w:p>
        </w:tc>
      </w:tr>
      <w:tr w14:paraId="59E8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78" w:type="dxa"/>
            <w:vAlign w:val="center"/>
          </w:tcPr>
          <w:p w14:paraId="7D851751">
            <w:pPr>
              <w:jc w:val="center"/>
              <w:rPr>
                <w:rFonts w:ascii="宋体" w:hAnsi="宋体"/>
                <w:color w:val="auto"/>
                <w:sz w:val="24"/>
                <w:highlight w:val="none"/>
              </w:rPr>
            </w:pPr>
            <w:r>
              <w:rPr>
                <w:rFonts w:hint="eastAsia" w:ascii="宋体" w:hAnsi="宋体"/>
                <w:color w:val="auto"/>
                <w:sz w:val="24"/>
                <w:highlight w:val="none"/>
              </w:rPr>
              <w:t>11</w:t>
            </w:r>
          </w:p>
        </w:tc>
        <w:tc>
          <w:tcPr>
            <w:tcW w:w="3399" w:type="dxa"/>
            <w:vAlign w:val="center"/>
          </w:tcPr>
          <w:p w14:paraId="1B402916">
            <w:pPr>
              <w:rPr>
                <w:rFonts w:ascii="宋体" w:hAnsi="宋体"/>
                <w:color w:val="auto"/>
                <w:sz w:val="24"/>
                <w:highlight w:val="none"/>
              </w:rPr>
            </w:pPr>
            <w:r>
              <w:rPr>
                <w:rFonts w:hint="eastAsia" w:ascii="宋体" w:hAnsi="宋体"/>
                <w:color w:val="auto"/>
                <w:sz w:val="24"/>
                <w:highlight w:val="none"/>
              </w:rPr>
              <w:t>综合管理服务</w:t>
            </w:r>
          </w:p>
        </w:tc>
        <w:tc>
          <w:tcPr>
            <w:tcW w:w="933" w:type="dxa"/>
            <w:vAlign w:val="center"/>
          </w:tcPr>
          <w:p w14:paraId="5304826B">
            <w:pPr>
              <w:jc w:val="center"/>
              <w:rPr>
                <w:rFonts w:ascii="宋体" w:hAnsi="宋体"/>
                <w:color w:val="auto"/>
                <w:sz w:val="24"/>
                <w:highlight w:val="none"/>
              </w:rPr>
            </w:pPr>
            <w:r>
              <w:rPr>
                <w:rFonts w:hint="eastAsia" w:ascii="宋体" w:hAnsi="宋体"/>
                <w:color w:val="auto"/>
                <w:sz w:val="24"/>
                <w:highlight w:val="none"/>
              </w:rPr>
              <w:t>5分</w:t>
            </w:r>
          </w:p>
        </w:tc>
        <w:tc>
          <w:tcPr>
            <w:tcW w:w="1299" w:type="dxa"/>
            <w:vAlign w:val="center"/>
          </w:tcPr>
          <w:p w14:paraId="35C82C03">
            <w:pPr>
              <w:jc w:val="center"/>
              <w:rPr>
                <w:rFonts w:ascii="宋体" w:hAnsi="宋体"/>
                <w:color w:val="auto"/>
                <w:sz w:val="24"/>
                <w:highlight w:val="none"/>
              </w:rPr>
            </w:pPr>
          </w:p>
        </w:tc>
        <w:tc>
          <w:tcPr>
            <w:tcW w:w="1919" w:type="dxa"/>
            <w:vAlign w:val="center"/>
          </w:tcPr>
          <w:p w14:paraId="724D34B6">
            <w:pPr>
              <w:rPr>
                <w:rFonts w:ascii="宋体" w:hAnsi="宋体"/>
                <w:color w:val="auto"/>
                <w:sz w:val="24"/>
                <w:highlight w:val="none"/>
              </w:rPr>
            </w:pPr>
            <w:r>
              <w:rPr>
                <w:rFonts w:hint="eastAsia" w:ascii="宋体" w:hAnsi="宋体"/>
                <w:color w:val="auto"/>
                <w:sz w:val="24"/>
                <w:highlight w:val="none"/>
              </w:rPr>
              <w:t>教师进修学院</w:t>
            </w:r>
          </w:p>
        </w:tc>
        <w:tc>
          <w:tcPr>
            <w:tcW w:w="1669" w:type="dxa"/>
            <w:vAlign w:val="center"/>
          </w:tcPr>
          <w:p w14:paraId="16ED74B3">
            <w:pPr>
              <w:jc w:val="center"/>
              <w:rPr>
                <w:rFonts w:ascii="宋体" w:hAnsi="宋体"/>
                <w:color w:val="auto"/>
                <w:sz w:val="24"/>
                <w:highlight w:val="none"/>
              </w:rPr>
            </w:pPr>
          </w:p>
        </w:tc>
      </w:tr>
      <w:tr w14:paraId="5DD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78" w:type="dxa"/>
            <w:vAlign w:val="center"/>
          </w:tcPr>
          <w:p w14:paraId="1F76E1E9">
            <w:pPr>
              <w:jc w:val="center"/>
              <w:rPr>
                <w:rFonts w:ascii="宋体" w:hAnsi="宋体"/>
                <w:color w:val="auto"/>
                <w:sz w:val="24"/>
                <w:highlight w:val="none"/>
              </w:rPr>
            </w:pPr>
          </w:p>
        </w:tc>
        <w:tc>
          <w:tcPr>
            <w:tcW w:w="3399" w:type="dxa"/>
            <w:vAlign w:val="center"/>
          </w:tcPr>
          <w:p w14:paraId="1EFDE32B">
            <w:pPr>
              <w:rPr>
                <w:rFonts w:ascii="宋体" w:hAnsi="宋体"/>
                <w:color w:val="auto"/>
                <w:sz w:val="24"/>
                <w:highlight w:val="none"/>
              </w:rPr>
            </w:pPr>
          </w:p>
        </w:tc>
        <w:tc>
          <w:tcPr>
            <w:tcW w:w="933" w:type="dxa"/>
            <w:vAlign w:val="center"/>
          </w:tcPr>
          <w:p w14:paraId="1B7FB2EE">
            <w:pPr>
              <w:jc w:val="center"/>
              <w:rPr>
                <w:rFonts w:ascii="宋体" w:hAnsi="宋体"/>
                <w:color w:val="auto"/>
                <w:sz w:val="24"/>
                <w:highlight w:val="none"/>
              </w:rPr>
            </w:pPr>
          </w:p>
        </w:tc>
        <w:tc>
          <w:tcPr>
            <w:tcW w:w="1299" w:type="dxa"/>
            <w:vAlign w:val="center"/>
          </w:tcPr>
          <w:p w14:paraId="19B10027">
            <w:pPr>
              <w:jc w:val="center"/>
              <w:rPr>
                <w:rFonts w:ascii="宋体" w:hAnsi="宋体"/>
                <w:color w:val="auto"/>
                <w:sz w:val="24"/>
                <w:highlight w:val="none"/>
              </w:rPr>
            </w:pPr>
          </w:p>
        </w:tc>
        <w:tc>
          <w:tcPr>
            <w:tcW w:w="1919" w:type="dxa"/>
            <w:vAlign w:val="center"/>
          </w:tcPr>
          <w:p w14:paraId="1113A714">
            <w:pPr>
              <w:rPr>
                <w:rFonts w:ascii="宋体" w:hAnsi="宋体"/>
                <w:color w:val="auto"/>
                <w:sz w:val="24"/>
                <w:highlight w:val="none"/>
              </w:rPr>
            </w:pPr>
          </w:p>
        </w:tc>
        <w:tc>
          <w:tcPr>
            <w:tcW w:w="1669" w:type="dxa"/>
            <w:vAlign w:val="center"/>
          </w:tcPr>
          <w:p w14:paraId="378D6805">
            <w:pPr>
              <w:jc w:val="center"/>
              <w:rPr>
                <w:rFonts w:ascii="宋体" w:hAnsi="宋体"/>
                <w:color w:val="auto"/>
                <w:sz w:val="24"/>
                <w:highlight w:val="none"/>
              </w:rPr>
            </w:pPr>
          </w:p>
        </w:tc>
      </w:tr>
      <w:tr w14:paraId="7730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78" w:type="dxa"/>
          </w:tcPr>
          <w:p w14:paraId="34707768">
            <w:pPr>
              <w:rPr>
                <w:rFonts w:ascii="宋体" w:hAnsi="宋体"/>
                <w:color w:val="auto"/>
                <w:sz w:val="24"/>
                <w:highlight w:val="none"/>
              </w:rPr>
            </w:pPr>
            <w:r>
              <w:rPr>
                <w:rFonts w:hint="eastAsia" w:ascii="宋体" w:hAnsi="宋体"/>
                <w:color w:val="auto"/>
                <w:sz w:val="24"/>
                <w:highlight w:val="none"/>
              </w:rPr>
              <w:t>合计：</w:t>
            </w:r>
          </w:p>
        </w:tc>
        <w:tc>
          <w:tcPr>
            <w:tcW w:w="3399" w:type="dxa"/>
            <w:vAlign w:val="center"/>
          </w:tcPr>
          <w:p w14:paraId="05ECBCC3">
            <w:pPr>
              <w:jc w:val="center"/>
              <w:rPr>
                <w:rFonts w:ascii="宋体" w:hAnsi="宋体"/>
                <w:color w:val="auto"/>
                <w:sz w:val="24"/>
                <w:highlight w:val="none"/>
              </w:rPr>
            </w:pPr>
          </w:p>
        </w:tc>
        <w:tc>
          <w:tcPr>
            <w:tcW w:w="933" w:type="dxa"/>
            <w:vAlign w:val="center"/>
          </w:tcPr>
          <w:p w14:paraId="4CC3194B">
            <w:pPr>
              <w:jc w:val="center"/>
              <w:rPr>
                <w:rFonts w:ascii="宋体" w:hAnsi="宋体"/>
                <w:color w:val="auto"/>
                <w:sz w:val="24"/>
                <w:highlight w:val="none"/>
              </w:rPr>
            </w:pPr>
            <w:r>
              <w:rPr>
                <w:rFonts w:hint="eastAsia" w:ascii="宋体" w:hAnsi="宋体"/>
                <w:color w:val="auto"/>
                <w:sz w:val="24"/>
                <w:highlight w:val="none"/>
              </w:rPr>
              <w:t>80分</w:t>
            </w:r>
          </w:p>
        </w:tc>
        <w:tc>
          <w:tcPr>
            <w:tcW w:w="1299" w:type="dxa"/>
            <w:vAlign w:val="center"/>
          </w:tcPr>
          <w:p w14:paraId="5C852CE0">
            <w:pPr>
              <w:jc w:val="center"/>
              <w:rPr>
                <w:rFonts w:ascii="宋体" w:hAnsi="宋体"/>
                <w:color w:val="auto"/>
                <w:sz w:val="24"/>
                <w:highlight w:val="none"/>
              </w:rPr>
            </w:pPr>
          </w:p>
        </w:tc>
        <w:tc>
          <w:tcPr>
            <w:tcW w:w="1919" w:type="dxa"/>
            <w:vAlign w:val="center"/>
          </w:tcPr>
          <w:p w14:paraId="3CD375BA">
            <w:pPr>
              <w:jc w:val="center"/>
              <w:rPr>
                <w:rFonts w:ascii="宋体" w:hAnsi="宋体"/>
                <w:color w:val="auto"/>
                <w:sz w:val="24"/>
                <w:highlight w:val="none"/>
              </w:rPr>
            </w:pPr>
          </w:p>
        </w:tc>
        <w:tc>
          <w:tcPr>
            <w:tcW w:w="1669" w:type="dxa"/>
            <w:vAlign w:val="center"/>
          </w:tcPr>
          <w:p w14:paraId="76B6291D">
            <w:pPr>
              <w:jc w:val="center"/>
              <w:rPr>
                <w:rFonts w:ascii="宋体" w:hAnsi="宋体"/>
                <w:color w:val="auto"/>
                <w:sz w:val="24"/>
                <w:highlight w:val="none"/>
              </w:rPr>
            </w:pPr>
          </w:p>
        </w:tc>
      </w:tr>
    </w:tbl>
    <w:p w14:paraId="6744C3D7">
      <w:pPr>
        <w:ind w:firstLine="486" w:firstLineChars="200"/>
        <w:rPr>
          <w:rFonts w:ascii="宋体" w:hAnsi="宋体"/>
          <w:color w:val="auto"/>
          <w:sz w:val="24"/>
          <w:highlight w:val="none"/>
        </w:rPr>
      </w:pPr>
    </w:p>
    <w:p w14:paraId="07765826">
      <w:pPr>
        <w:ind w:firstLine="486" w:firstLineChars="200"/>
        <w:jc w:val="center"/>
        <w:rPr>
          <w:rFonts w:ascii="宋体" w:hAnsi="宋体"/>
          <w:color w:val="auto"/>
          <w:sz w:val="24"/>
          <w:highlight w:val="none"/>
        </w:rPr>
      </w:pPr>
    </w:p>
    <w:p w14:paraId="5BF407E8">
      <w:pPr>
        <w:ind w:firstLine="486" w:firstLineChars="200"/>
        <w:jc w:val="right"/>
        <w:rPr>
          <w:rFonts w:ascii="宋体" w:hAnsi="宋体"/>
          <w:color w:val="auto"/>
          <w:sz w:val="24"/>
          <w:highlight w:val="none"/>
        </w:rPr>
      </w:pPr>
      <w:r>
        <w:rPr>
          <w:rFonts w:hint="eastAsia" w:ascii="宋体" w:hAnsi="宋体"/>
          <w:color w:val="auto"/>
          <w:sz w:val="24"/>
          <w:highlight w:val="none"/>
        </w:rPr>
        <w:t>中共贵州省委党校后勤服务外包</w:t>
      </w:r>
    </w:p>
    <w:p w14:paraId="7B12917A">
      <w:pPr>
        <w:ind w:firstLine="486" w:firstLineChars="200"/>
        <w:jc w:val="right"/>
        <w:rPr>
          <w:rFonts w:ascii="宋体" w:hAnsi="宋体"/>
          <w:color w:val="auto"/>
          <w:sz w:val="24"/>
          <w:highlight w:val="none"/>
        </w:rPr>
      </w:pPr>
      <w:r>
        <w:rPr>
          <w:rFonts w:hint="eastAsia" w:ascii="宋体" w:hAnsi="宋体"/>
          <w:color w:val="auto"/>
          <w:sz w:val="24"/>
          <w:highlight w:val="none"/>
        </w:rPr>
        <w:t>物业管理服务考核领导小组</w:t>
      </w:r>
    </w:p>
    <w:p w14:paraId="293EFAD8">
      <w:pPr>
        <w:ind w:firstLine="486" w:firstLineChars="200"/>
        <w:jc w:val="right"/>
        <w:rPr>
          <w:rFonts w:ascii="宋体" w:hAnsi="宋体"/>
          <w:color w:val="auto"/>
          <w:sz w:val="24"/>
          <w:highlight w:val="none"/>
        </w:rPr>
      </w:pPr>
      <w:r>
        <w:rPr>
          <w:rFonts w:hint="eastAsia" w:ascii="宋体" w:hAnsi="宋体"/>
          <w:color w:val="auto"/>
          <w:sz w:val="24"/>
          <w:highlight w:val="none"/>
        </w:rPr>
        <w:t xml:space="preserve">      年  月  日</w:t>
      </w:r>
    </w:p>
    <w:p w14:paraId="5EA786CE">
      <w:pPr>
        <w:ind w:firstLine="646" w:firstLineChars="200"/>
        <w:jc w:val="center"/>
        <w:rPr>
          <w:rFonts w:hint="eastAsia" w:ascii="宋体" w:hAnsi="宋体"/>
          <w:b/>
          <w:color w:val="auto"/>
          <w:sz w:val="32"/>
          <w:szCs w:val="32"/>
          <w:highlight w:val="none"/>
        </w:rPr>
      </w:pPr>
    </w:p>
    <w:p w14:paraId="0449F759">
      <w:pPr>
        <w:ind w:firstLine="646" w:firstLineChars="200"/>
        <w:jc w:val="center"/>
        <w:rPr>
          <w:rFonts w:hint="eastAsia" w:ascii="宋体" w:hAnsi="宋体"/>
          <w:b/>
          <w:color w:val="auto"/>
          <w:sz w:val="32"/>
          <w:szCs w:val="32"/>
          <w:highlight w:val="none"/>
        </w:rPr>
      </w:pPr>
    </w:p>
    <w:p w14:paraId="3868A08D">
      <w:pPr>
        <w:ind w:firstLine="646" w:firstLineChars="200"/>
        <w:jc w:val="center"/>
        <w:rPr>
          <w:rFonts w:hint="eastAsia" w:ascii="宋体" w:hAnsi="宋体"/>
          <w:b/>
          <w:color w:val="auto"/>
          <w:sz w:val="32"/>
          <w:szCs w:val="32"/>
          <w:highlight w:val="none"/>
        </w:rPr>
      </w:pPr>
    </w:p>
    <w:p w14:paraId="3F1DE233">
      <w:pPr>
        <w:ind w:firstLine="646" w:firstLineChars="200"/>
        <w:jc w:val="center"/>
        <w:rPr>
          <w:rFonts w:hint="eastAsia" w:ascii="宋体" w:hAnsi="宋体"/>
          <w:b/>
          <w:color w:val="auto"/>
          <w:sz w:val="32"/>
          <w:szCs w:val="32"/>
          <w:highlight w:val="none"/>
        </w:rPr>
      </w:pPr>
    </w:p>
    <w:p w14:paraId="45DBECE7">
      <w:pPr>
        <w:ind w:firstLine="646" w:firstLineChars="200"/>
        <w:jc w:val="center"/>
        <w:rPr>
          <w:rFonts w:ascii="宋体" w:hAnsi="宋体"/>
          <w:b/>
          <w:color w:val="auto"/>
          <w:sz w:val="32"/>
          <w:szCs w:val="32"/>
          <w:highlight w:val="none"/>
        </w:rPr>
      </w:pPr>
      <w:r>
        <w:rPr>
          <w:rFonts w:hint="eastAsia" w:ascii="宋体" w:hAnsi="宋体"/>
          <w:b/>
          <w:color w:val="auto"/>
          <w:sz w:val="32"/>
          <w:szCs w:val="32"/>
          <w:highlight w:val="none"/>
        </w:rPr>
        <w:t>《安全考核内容及评分细则》</w:t>
      </w:r>
    </w:p>
    <w:tbl>
      <w:tblPr>
        <w:tblStyle w:val="20"/>
        <w:tblW w:w="0" w:type="auto"/>
        <w:jc w:val="center"/>
        <w:tblLayout w:type="fixed"/>
        <w:tblCellMar>
          <w:top w:w="15" w:type="dxa"/>
          <w:left w:w="15" w:type="dxa"/>
          <w:bottom w:w="15" w:type="dxa"/>
          <w:right w:w="15" w:type="dxa"/>
        </w:tblCellMar>
      </w:tblPr>
      <w:tblGrid>
        <w:gridCol w:w="510"/>
        <w:gridCol w:w="3600"/>
        <w:gridCol w:w="987"/>
        <w:gridCol w:w="2976"/>
        <w:gridCol w:w="1985"/>
      </w:tblGrid>
      <w:tr w14:paraId="46367DFB">
        <w:tblPrEx>
          <w:tblCellMar>
            <w:top w:w="15" w:type="dxa"/>
            <w:left w:w="15" w:type="dxa"/>
            <w:bottom w:w="15" w:type="dxa"/>
            <w:right w:w="15"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7F57DA7">
            <w:pPr>
              <w:spacing w:line="360" w:lineRule="exact"/>
              <w:rPr>
                <w:color w:val="auto"/>
                <w:highlight w:val="none"/>
              </w:rPr>
            </w:pPr>
            <w:r>
              <w:rPr>
                <w:color w:val="auto"/>
                <w:highlight w:val="none"/>
              </w:rPr>
              <w:t>序</w:t>
            </w:r>
          </w:p>
          <w:p w14:paraId="47DCE214">
            <w:pPr>
              <w:spacing w:line="360" w:lineRule="exact"/>
              <w:rPr>
                <w:color w:val="auto"/>
                <w:highlight w:val="none"/>
              </w:rPr>
            </w:pPr>
            <w:r>
              <w:rPr>
                <w:rFonts w:hint="eastAsia"/>
                <w:color w:val="auto"/>
                <w:highlight w:val="none"/>
              </w:rPr>
              <w:t>号</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77AA661">
            <w:pPr>
              <w:spacing w:line="360" w:lineRule="exact"/>
              <w:jc w:val="center"/>
              <w:rPr>
                <w:color w:val="auto"/>
                <w:highlight w:val="none"/>
              </w:rPr>
            </w:pPr>
            <w:r>
              <w:rPr>
                <w:rFonts w:hint="eastAsia"/>
                <w:color w:val="auto"/>
                <w:highlight w:val="none"/>
              </w:rPr>
              <w:t>考核内容</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330D726">
            <w:pPr>
              <w:spacing w:line="360" w:lineRule="exact"/>
              <w:jc w:val="center"/>
              <w:rPr>
                <w:color w:val="auto"/>
                <w:highlight w:val="none"/>
              </w:rPr>
            </w:pPr>
            <w:r>
              <w:rPr>
                <w:rFonts w:hint="eastAsia"/>
                <w:color w:val="auto"/>
                <w:highlight w:val="none"/>
              </w:rPr>
              <w:t>总分值</w:t>
            </w:r>
          </w:p>
          <w:p w14:paraId="530C75C9">
            <w:pPr>
              <w:spacing w:line="360" w:lineRule="exact"/>
              <w:jc w:val="center"/>
              <w:rPr>
                <w:color w:val="auto"/>
                <w:highlight w:val="none"/>
              </w:rPr>
            </w:pPr>
            <w:r>
              <w:rPr>
                <w:rFonts w:hint="eastAsia"/>
                <w:color w:val="auto"/>
                <w:highlight w:val="none"/>
              </w:rPr>
              <w:t>(100分)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B93ED46">
            <w:pPr>
              <w:spacing w:line="360" w:lineRule="exact"/>
              <w:jc w:val="center"/>
              <w:rPr>
                <w:color w:val="auto"/>
                <w:highlight w:val="none"/>
              </w:rPr>
            </w:pPr>
            <w:r>
              <w:rPr>
                <w:rFonts w:hint="eastAsia"/>
                <w:color w:val="auto"/>
                <w:highlight w:val="none"/>
              </w:rPr>
              <w:t>评分细则</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7CD15FA">
            <w:pPr>
              <w:spacing w:line="360" w:lineRule="exact"/>
              <w:jc w:val="center"/>
              <w:rPr>
                <w:color w:val="auto"/>
                <w:highlight w:val="none"/>
              </w:rPr>
            </w:pPr>
            <w:r>
              <w:rPr>
                <w:rFonts w:hint="eastAsia"/>
                <w:color w:val="auto"/>
                <w:highlight w:val="none"/>
              </w:rPr>
              <w:t>备注</w:t>
            </w:r>
          </w:p>
        </w:tc>
      </w:tr>
      <w:tr w14:paraId="481489EA">
        <w:tblPrEx>
          <w:tblCellMar>
            <w:top w:w="15" w:type="dxa"/>
            <w:left w:w="15" w:type="dxa"/>
            <w:bottom w:w="15" w:type="dxa"/>
            <w:right w:w="15" w:type="dxa"/>
          </w:tblCellMar>
        </w:tblPrEx>
        <w:trPr>
          <w:trHeight w:val="175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14:paraId="096AABE1">
            <w:pPr>
              <w:spacing w:line="360" w:lineRule="exact"/>
              <w:jc w:val="center"/>
              <w:rPr>
                <w:color w:val="auto"/>
                <w:highlight w:val="none"/>
              </w:rPr>
            </w:pPr>
          </w:p>
          <w:p w14:paraId="5DDD2E1E">
            <w:pPr>
              <w:spacing w:line="360" w:lineRule="exact"/>
              <w:jc w:val="center"/>
              <w:rPr>
                <w:color w:val="auto"/>
                <w:highlight w:val="none"/>
              </w:rPr>
            </w:pPr>
            <w:r>
              <w:rPr>
                <w:rFonts w:hint="eastAsia"/>
                <w:color w:val="auto"/>
                <w:highlight w:val="none"/>
              </w:rPr>
              <w:t>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F26A2D4">
            <w:pPr>
              <w:spacing w:line="360" w:lineRule="exact"/>
              <w:jc w:val="left"/>
              <w:rPr>
                <w:color w:val="auto"/>
                <w:highlight w:val="none"/>
              </w:rPr>
            </w:pPr>
            <w:r>
              <w:rPr>
                <w:rFonts w:hint="eastAsia"/>
                <w:color w:val="auto"/>
                <w:highlight w:val="none"/>
              </w:rPr>
              <w:t>所招聘的安保队员要经过严格的政审和体检，所有秩序维护人员年龄不得超过50周岁，形象良好、身体健康，不得有吸毒及犯罪前科、传染病、精神正常，队员名单及个人信息报党校保卫处审查、备案，信息变更时要立即上报，缺岗人员及时补上。</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130626C">
            <w:pPr>
              <w:spacing w:line="360" w:lineRule="exact"/>
              <w:jc w:val="center"/>
              <w:rPr>
                <w:color w:val="auto"/>
                <w:highlight w:val="none"/>
              </w:rPr>
            </w:pPr>
            <w:r>
              <w:rPr>
                <w:rFonts w:hint="eastAsia"/>
                <w:color w:val="auto"/>
                <w:highlight w:val="none"/>
              </w:rPr>
              <w:t>10分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27ADAA0">
            <w:pPr>
              <w:spacing w:line="360" w:lineRule="exact"/>
              <w:rPr>
                <w:color w:val="auto"/>
                <w:highlight w:val="none"/>
              </w:rPr>
            </w:pPr>
            <w:r>
              <w:rPr>
                <w:rFonts w:hint="eastAsia"/>
                <w:color w:val="auto"/>
                <w:highlight w:val="none"/>
              </w:rPr>
              <w:t>每发现一人不符合扣1分，缺岗一人扣1分，新进队员未进行政审，使用特殊案底人员发现一人扣2分，并清理出队伍；未提供体检报告发现一人扣1分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02F2F9F">
            <w:pPr>
              <w:spacing w:line="360" w:lineRule="exact"/>
              <w:rPr>
                <w:color w:val="auto"/>
                <w:highlight w:val="none"/>
              </w:rPr>
            </w:pPr>
            <w:r>
              <w:rPr>
                <w:rFonts w:hint="eastAsia"/>
                <w:color w:val="auto"/>
                <w:highlight w:val="none"/>
              </w:rPr>
              <w:t>缺岗人员给7天的</w:t>
            </w:r>
          </w:p>
          <w:p w14:paraId="0C147B9F">
            <w:pPr>
              <w:spacing w:line="360" w:lineRule="exact"/>
              <w:rPr>
                <w:color w:val="auto"/>
                <w:highlight w:val="none"/>
              </w:rPr>
            </w:pPr>
            <w:r>
              <w:rPr>
                <w:rFonts w:hint="eastAsia"/>
                <w:color w:val="auto"/>
                <w:highlight w:val="none"/>
              </w:rPr>
              <w:t>增补时间，增补后</w:t>
            </w:r>
          </w:p>
          <w:p w14:paraId="15E45964">
            <w:pPr>
              <w:spacing w:line="360" w:lineRule="exact"/>
              <w:rPr>
                <w:color w:val="auto"/>
                <w:highlight w:val="none"/>
              </w:rPr>
            </w:pPr>
            <w:r>
              <w:rPr>
                <w:rFonts w:hint="eastAsia"/>
                <w:color w:val="auto"/>
                <w:highlight w:val="none"/>
              </w:rPr>
              <w:t>物管将相关手续及</w:t>
            </w:r>
          </w:p>
          <w:p w14:paraId="38F65108">
            <w:pPr>
              <w:spacing w:line="360" w:lineRule="exact"/>
              <w:rPr>
                <w:color w:val="auto"/>
                <w:highlight w:val="none"/>
              </w:rPr>
            </w:pPr>
            <w:r>
              <w:rPr>
                <w:rFonts w:hint="eastAsia"/>
                <w:color w:val="auto"/>
                <w:highlight w:val="none"/>
              </w:rPr>
              <w:t>增补人员资料上报</w:t>
            </w:r>
          </w:p>
          <w:p w14:paraId="3374FDE5">
            <w:pPr>
              <w:spacing w:line="360" w:lineRule="exact"/>
              <w:rPr>
                <w:color w:val="auto"/>
                <w:highlight w:val="none"/>
              </w:rPr>
            </w:pPr>
            <w:r>
              <w:rPr>
                <w:rFonts w:hint="eastAsia"/>
                <w:color w:val="auto"/>
                <w:highlight w:val="none"/>
              </w:rPr>
              <w:t>保卫处。</w:t>
            </w:r>
          </w:p>
          <w:p w14:paraId="21DAC2FF">
            <w:pPr>
              <w:spacing w:line="360" w:lineRule="exact"/>
              <w:rPr>
                <w:color w:val="auto"/>
                <w:highlight w:val="none"/>
              </w:rPr>
            </w:pPr>
            <w:r>
              <w:rPr>
                <w:rFonts w:hint="eastAsia"/>
                <w:color w:val="auto"/>
                <w:highlight w:val="none"/>
              </w:rPr>
              <w:t>体检材料应由县级</w:t>
            </w:r>
          </w:p>
          <w:p w14:paraId="756A24E8">
            <w:pPr>
              <w:spacing w:line="360" w:lineRule="exact"/>
              <w:rPr>
                <w:color w:val="auto"/>
                <w:highlight w:val="none"/>
              </w:rPr>
            </w:pPr>
            <w:r>
              <w:rPr>
                <w:rFonts w:hint="eastAsia"/>
                <w:color w:val="auto"/>
                <w:highlight w:val="none"/>
              </w:rPr>
              <w:t>以上医院出具。</w:t>
            </w:r>
          </w:p>
        </w:tc>
      </w:tr>
      <w:tr w14:paraId="081B5B4A">
        <w:tblPrEx>
          <w:tblCellMar>
            <w:top w:w="15" w:type="dxa"/>
            <w:left w:w="15" w:type="dxa"/>
            <w:bottom w:w="15" w:type="dxa"/>
            <w:right w:w="15"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14:paraId="76D62C11">
            <w:pPr>
              <w:spacing w:line="360" w:lineRule="exact"/>
              <w:jc w:val="center"/>
              <w:rPr>
                <w:color w:val="auto"/>
                <w:highlight w:val="none"/>
              </w:rPr>
            </w:pPr>
          </w:p>
          <w:p w14:paraId="0AA7A0FD">
            <w:pPr>
              <w:spacing w:line="360" w:lineRule="exact"/>
              <w:jc w:val="center"/>
              <w:rPr>
                <w:color w:val="auto"/>
                <w:highlight w:val="none"/>
              </w:rPr>
            </w:pPr>
          </w:p>
          <w:p w14:paraId="357A26D6">
            <w:pPr>
              <w:spacing w:line="360" w:lineRule="exact"/>
              <w:jc w:val="center"/>
              <w:rPr>
                <w:color w:val="auto"/>
                <w:highlight w:val="none"/>
              </w:rPr>
            </w:pPr>
          </w:p>
          <w:p w14:paraId="6E31C5DA">
            <w:pPr>
              <w:spacing w:line="360" w:lineRule="exact"/>
              <w:jc w:val="center"/>
              <w:rPr>
                <w:color w:val="auto"/>
                <w:highlight w:val="none"/>
              </w:rPr>
            </w:pPr>
          </w:p>
          <w:p w14:paraId="1B116DDB">
            <w:pPr>
              <w:spacing w:line="360" w:lineRule="exact"/>
              <w:jc w:val="center"/>
              <w:rPr>
                <w:color w:val="auto"/>
                <w:highlight w:val="none"/>
              </w:rPr>
            </w:pPr>
            <w:r>
              <w:rPr>
                <w:rFonts w:hint="eastAsia"/>
                <w:color w:val="auto"/>
                <w:highlight w:val="none"/>
              </w:rPr>
              <w:t>2</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2DFE10E">
            <w:pPr>
              <w:spacing w:line="360" w:lineRule="exact"/>
              <w:rPr>
                <w:color w:val="auto"/>
                <w:highlight w:val="none"/>
              </w:rPr>
            </w:pPr>
            <w:r>
              <w:rPr>
                <w:rFonts w:hint="eastAsia"/>
                <w:color w:val="auto"/>
                <w:highlight w:val="none"/>
              </w:rPr>
              <w:t>秩序维护员须着装整齐，训练有素，语言规范，文明执勤，敢于同不法行为做斗争。通讯设备必须保持通畅，执勤装备齐全。</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DA301E4">
            <w:pPr>
              <w:spacing w:line="360" w:lineRule="exact"/>
              <w:jc w:val="center"/>
              <w:rPr>
                <w:color w:val="auto"/>
                <w:highlight w:val="none"/>
              </w:rPr>
            </w:pPr>
            <w:r>
              <w:rPr>
                <w:rFonts w:hint="eastAsia"/>
                <w:color w:val="auto"/>
                <w:highlight w:val="none"/>
              </w:rPr>
              <w:t>10分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F4B25C0">
            <w:pPr>
              <w:spacing w:line="360" w:lineRule="exact"/>
              <w:rPr>
                <w:color w:val="auto"/>
                <w:highlight w:val="none"/>
              </w:rPr>
            </w:pPr>
            <w:r>
              <w:rPr>
                <w:rFonts w:hint="eastAsia"/>
                <w:color w:val="auto"/>
                <w:highlight w:val="none"/>
              </w:rPr>
              <w:t>岗位人员着装不整，装备不齐，一人次扣1分；处突、防暴事件到位不及时（5分钟内不到位）扣2分，处置不力造成不良影响扣3分；服务意识差，态度生硬，被教职工学员投诉，一经查实一次扣3分；教职工、学员反映队员不作为的，经核实一次扣1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FF48360">
            <w:pPr>
              <w:spacing w:line="360" w:lineRule="exact"/>
              <w:rPr>
                <w:color w:val="auto"/>
                <w:highlight w:val="none"/>
              </w:rPr>
            </w:pPr>
            <w:r>
              <w:rPr>
                <w:rFonts w:hint="eastAsia"/>
                <w:color w:val="auto"/>
                <w:highlight w:val="none"/>
              </w:rPr>
              <w:t>各岗点要配齐相应的通讯、防护、救火等设施设备</w:t>
            </w:r>
          </w:p>
        </w:tc>
      </w:tr>
      <w:tr w14:paraId="10C00E4A">
        <w:tblPrEx>
          <w:tblCellMar>
            <w:top w:w="15" w:type="dxa"/>
            <w:left w:w="15" w:type="dxa"/>
            <w:bottom w:w="15" w:type="dxa"/>
            <w:right w:w="15" w:type="dxa"/>
          </w:tblCellMar>
        </w:tblPrEx>
        <w:trPr>
          <w:trHeight w:val="1053"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14:paraId="6C0A2EC4">
            <w:pPr>
              <w:spacing w:line="360" w:lineRule="exact"/>
              <w:jc w:val="center"/>
              <w:rPr>
                <w:color w:val="auto"/>
                <w:highlight w:val="none"/>
              </w:rPr>
            </w:pPr>
          </w:p>
          <w:p w14:paraId="535CC1AB">
            <w:pPr>
              <w:spacing w:line="360" w:lineRule="exact"/>
              <w:jc w:val="center"/>
              <w:rPr>
                <w:color w:val="auto"/>
                <w:highlight w:val="none"/>
              </w:rPr>
            </w:pPr>
          </w:p>
          <w:p w14:paraId="7E6B66E4">
            <w:pPr>
              <w:spacing w:line="360" w:lineRule="exact"/>
              <w:jc w:val="center"/>
              <w:rPr>
                <w:color w:val="auto"/>
                <w:highlight w:val="none"/>
              </w:rPr>
            </w:pPr>
            <w:r>
              <w:rPr>
                <w:rFonts w:hint="eastAsia"/>
                <w:color w:val="auto"/>
                <w:highlight w:val="none"/>
              </w:rPr>
              <w:t>3</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5421E1E">
            <w:pPr>
              <w:spacing w:line="360" w:lineRule="exact"/>
              <w:jc w:val="left"/>
              <w:rPr>
                <w:color w:val="auto"/>
                <w:highlight w:val="none"/>
              </w:rPr>
            </w:pPr>
            <w:r>
              <w:rPr>
                <w:rFonts w:hint="eastAsia"/>
                <w:color w:val="auto"/>
                <w:highlight w:val="none"/>
              </w:rPr>
              <w:t>实行24小时值班巡逻制度，各值班岗点认真履行岗位职责，严禁脱岗、睡岗、酒后上岗等现象发生。</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9DA4381">
            <w:pPr>
              <w:spacing w:line="360" w:lineRule="exact"/>
              <w:jc w:val="center"/>
              <w:rPr>
                <w:color w:val="auto"/>
                <w:highlight w:val="none"/>
              </w:rPr>
            </w:pPr>
            <w:r>
              <w:rPr>
                <w:rFonts w:hint="eastAsia"/>
                <w:color w:val="auto"/>
                <w:highlight w:val="none"/>
              </w:rPr>
              <w:t>10分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3860EE3A">
            <w:pPr>
              <w:spacing w:line="360" w:lineRule="exact"/>
              <w:rPr>
                <w:color w:val="auto"/>
                <w:highlight w:val="none"/>
              </w:rPr>
            </w:pPr>
            <w:r>
              <w:rPr>
                <w:rFonts w:hint="eastAsia"/>
                <w:color w:val="auto"/>
                <w:highlight w:val="none"/>
              </w:rPr>
              <w:t>缺岗一次扣2分，睡岗一次扣1分，酒后上岗的扣5分，并严肃处理。值班及巡逻记录不全或未记录的，每处扣1分。在岗人员定岗身兼两岗每次扣3分；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87CE496">
            <w:pPr>
              <w:spacing w:line="360" w:lineRule="exact"/>
              <w:rPr>
                <w:color w:val="auto"/>
                <w:highlight w:val="none"/>
              </w:rPr>
            </w:pPr>
            <w:r>
              <w:rPr>
                <w:rFonts w:hint="eastAsia"/>
                <w:color w:val="auto"/>
                <w:highlight w:val="none"/>
              </w:rPr>
              <w:t>脱岗15分钟作为缺</w:t>
            </w:r>
          </w:p>
          <w:p w14:paraId="370B689E">
            <w:pPr>
              <w:spacing w:line="360" w:lineRule="exact"/>
              <w:rPr>
                <w:color w:val="auto"/>
                <w:highlight w:val="none"/>
              </w:rPr>
            </w:pPr>
            <w:r>
              <w:rPr>
                <w:rFonts w:hint="eastAsia"/>
                <w:color w:val="auto"/>
                <w:highlight w:val="none"/>
              </w:rPr>
              <w:t>岗处理。按各岗位职责认真执行</w:t>
            </w:r>
          </w:p>
        </w:tc>
      </w:tr>
      <w:tr w14:paraId="494D4F62">
        <w:tblPrEx>
          <w:tblCellMar>
            <w:top w:w="15" w:type="dxa"/>
            <w:left w:w="15" w:type="dxa"/>
            <w:bottom w:w="15" w:type="dxa"/>
            <w:right w:w="15"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14:paraId="78EBA060">
            <w:pPr>
              <w:spacing w:line="360" w:lineRule="exact"/>
              <w:jc w:val="center"/>
              <w:rPr>
                <w:color w:val="auto"/>
                <w:highlight w:val="none"/>
              </w:rPr>
            </w:pPr>
          </w:p>
          <w:p w14:paraId="306238CC">
            <w:pPr>
              <w:spacing w:line="360" w:lineRule="exact"/>
              <w:jc w:val="center"/>
              <w:rPr>
                <w:color w:val="auto"/>
                <w:highlight w:val="none"/>
              </w:rPr>
            </w:pPr>
          </w:p>
          <w:p w14:paraId="38E86F82">
            <w:pPr>
              <w:spacing w:line="360" w:lineRule="exact"/>
              <w:jc w:val="center"/>
              <w:rPr>
                <w:color w:val="auto"/>
                <w:highlight w:val="none"/>
              </w:rPr>
            </w:pPr>
          </w:p>
          <w:p w14:paraId="5369FB58">
            <w:pPr>
              <w:spacing w:line="360" w:lineRule="exact"/>
              <w:jc w:val="center"/>
              <w:rPr>
                <w:color w:val="auto"/>
                <w:highlight w:val="none"/>
              </w:rPr>
            </w:pPr>
            <w:r>
              <w:rPr>
                <w:rFonts w:hint="eastAsia"/>
                <w:color w:val="auto"/>
                <w:highlight w:val="none"/>
              </w:rPr>
              <w:t>4</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3AB282B">
            <w:pPr>
              <w:spacing w:line="360" w:lineRule="exact"/>
              <w:rPr>
                <w:color w:val="auto"/>
                <w:highlight w:val="none"/>
              </w:rPr>
            </w:pPr>
          </w:p>
          <w:p w14:paraId="20ED94E5">
            <w:pPr>
              <w:spacing w:line="360" w:lineRule="exact"/>
              <w:rPr>
                <w:color w:val="auto"/>
                <w:highlight w:val="none"/>
              </w:rPr>
            </w:pPr>
            <w:r>
              <w:rPr>
                <w:rFonts w:hint="eastAsia"/>
                <w:color w:val="auto"/>
                <w:highlight w:val="none"/>
              </w:rPr>
              <w:t>学校大门、侧门管理有序。</w:t>
            </w:r>
            <w:r>
              <w:rPr>
                <w:rFonts w:hint="eastAsia" w:ascii="宋体" w:hAnsi="宋体"/>
                <w:color w:val="auto"/>
                <w:highlight w:val="none"/>
              </w:rPr>
              <w:t>对来访、施工、办事人员、车辆进行询问、核实、登记,</w:t>
            </w:r>
            <w:r>
              <w:rPr>
                <w:rFonts w:hint="eastAsia"/>
                <w:color w:val="auto"/>
                <w:highlight w:val="none"/>
              </w:rPr>
              <w:t>对车辆开展停车引导服务，维护正常的车辆停放秩序；对出校物资进行查验，要有关部门出具的放行条。</w:t>
            </w:r>
          </w:p>
          <w:p w14:paraId="0B7F21DF">
            <w:pPr>
              <w:spacing w:line="360" w:lineRule="exact"/>
              <w:rPr>
                <w:color w:val="auto"/>
                <w:highlight w:val="none"/>
              </w:rPr>
            </w:pP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4763AB7">
            <w:pPr>
              <w:spacing w:line="360" w:lineRule="exact"/>
              <w:jc w:val="center"/>
              <w:rPr>
                <w:color w:val="auto"/>
                <w:highlight w:val="none"/>
              </w:rPr>
            </w:pPr>
          </w:p>
          <w:p w14:paraId="0CA499EB">
            <w:pPr>
              <w:spacing w:line="360" w:lineRule="exact"/>
              <w:jc w:val="center"/>
              <w:rPr>
                <w:color w:val="auto"/>
                <w:highlight w:val="none"/>
              </w:rPr>
            </w:pPr>
            <w:r>
              <w:rPr>
                <w:rFonts w:hint="eastAsia"/>
                <w:color w:val="auto"/>
                <w:highlight w:val="none"/>
              </w:rPr>
              <w:t>10分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D1E295E">
            <w:pPr>
              <w:spacing w:line="360" w:lineRule="exact"/>
              <w:rPr>
                <w:color w:val="auto"/>
                <w:highlight w:val="none"/>
              </w:rPr>
            </w:pPr>
          </w:p>
          <w:p w14:paraId="651D3B05">
            <w:pPr>
              <w:spacing w:line="360" w:lineRule="exact"/>
              <w:rPr>
                <w:color w:val="auto"/>
                <w:highlight w:val="none"/>
              </w:rPr>
            </w:pPr>
            <w:r>
              <w:rPr>
                <w:rFonts w:hint="eastAsia"/>
                <w:color w:val="auto"/>
                <w:highlight w:val="none"/>
              </w:rPr>
              <w:t>外来人员、车辆未进行询问、未登记进入办公区域的，发现一次每次扣1分。门岗周边有车辆乱停乱放造成交通堵塞的，扣2分；出校物资未按规程进行查验、核实造成损失的扣5分；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AA9CDF2">
            <w:pPr>
              <w:spacing w:line="360" w:lineRule="exact"/>
              <w:rPr>
                <w:color w:val="auto"/>
                <w:highlight w:val="none"/>
              </w:rPr>
            </w:pPr>
          </w:p>
          <w:p w14:paraId="42A1E141">
            <w:pPr>
              <w:spacing w:line="360" w:lineRule="exact"/>
              <w:rPr>
                <w:color w:val="auto"/>
                <w:highlight w:val="none"/>
              </w:rPr>
            </w:pPr>
            <w:r>
              <w:rPr>
                <w:rFonts w:hint="eastAsia"/>
                <w:color w:val="auto"/>
                <w:highlight w:val="none"/>
              </w:rPr>
              <w:t>按保卫处制定的方案执行。</w:t>
            </w:r>
          </w:p>
        </w:tc>
      </w:tr>
      <w:tr w14:paraId="5FB5C649">
        <w:tblPrEx>
          <w:tblCellMar>
            <w:top w:w="15" w:type="dxa"/>
            <w:left w:w="15" w:type="dxa"/>
            <w:bottom w:w="15" w:type="dxa"/>
            <w:right w:w="15" w:type="dxa"/>
          </w:tblCellMar>
        </w:tblPrEx>
        <w:trPr>
          <w:trHeight w:val="1512"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14:paraId="1ACBF576">
            <w:pPr>
              <w:spacing w:line="360" w:lineRule="exact"/>
              <w:jc w:val="center"/>
              <w:rPr>
                <w:color w:val="auto"/>
                <w:highlight w:val="none"/>
              </w:rPr>
            </w:pPr>
          </w:p>
          <w:p w14:paraId="45B786A4">
            <w:pPr>
              <w:spacing w:line="360" w:lineRule="exact"/>
              <w:jc w:val="center"/>
              <w:rPr>
                <w:color w:val="auto"/>
                <w:highlight w:val="none"/>
              </w:rPr>
            </w:pPr>
          </w:p>
          <w:p w14:paraId="57B1CAA0">
            <w:pPr>
              <w:spacing w:line="360" w:lineRule="exact"/>
              <w:jc w:val="center"/>
              <w:rPr>
                <w:color w:val="auto"/>
                <w:highlight w:val="none"/>
              </w:rPr>
            </w:pPr>
          </w:p>
          <w:p w14:paraId="43F4F0BE">
            <w:pPr>
              <w:spacing w:line="360" w:lineRule="exact"/>
              <w:jc w:val="center"/>
              <w:rPr>
                <w:color w:val="auto"/>
                <w:highlight w:val="none"/>
              </w:rPr>
            </w:pPr>
            <w:r>
              <w:rPr>
                <w:rFonts w:hint="eastAsia"/>
                <w:color w:val="auto"/>
                <w:highlight w:val="none"/>
              </w:rPr>
              <w:t>5</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A992E1E">
            <w:pPr>
              <w:spacing w:line="360" w:lineRule="exact"/>
              <w:rPr>
                <w:color w:val="auto"/>
                <w:highlight w:val="none"/>
              </w:rPr>
            </w:pPr>
            <w:r>
              <w:rPr>
                <w:rFonts w:hint="eastAsia"/>
                <w:color w:val="auto"/>
                <w:highlight w:val="none"/>
              </w:rPr>
              <w:t>做好闲杂人员管控，学校范围内发现流动叫卖、摆摊设点、拾荒、推销等闲杂人员，立即清理出校，保证校院正常的教学、工作、生活秩序。</w:t>
            </w:r>
          </w:p>
          <w:p w14:paraId="70A10583">
            <w:pPr>
              <w:spacing w:line="360" w:lineRule="exact"/>
              <w:rPr>
                <w:color w:val="auto"/>
                <w:highlight w:val="none"/>
              </w:rPr>
            </w:pPr>
            <w:r>
              <w:rPr>
                <w:rFonts w:hint="eastAsia"/>
                <w:color w:val="auto"/>
                <w:highlight w:val="none"/>
              </w:rPr>
              <w:t>发现人员践踏草坪,在草坪中嬉戏、打闹、闲坐的，发现人员在水体旁戏水的应立即制止</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E566CC4">
            <w:pPr>
              <w:spacing w:line="360" w:lineRule="exact"/>
              <w:jc w:val="center"/>
              <w:rPr>
                <w:color w:val="auto"/>
                <w:highlight w:val="none"/>
              </w:rPr>
            </w:pPr>
            <w:r>
              <w:rPr>
                <w:rFonts w:hint="eastAsia"/>
                <w:color w:val="auto"/>
                <w:highlight w:val="none"/>
              </w:rPr>
              <w:t>10分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AE9001E">
            <w:pPr>
              <w:spacing w:line="360" w:lineRule="exact"/>
              <w:rPr>
                <w:color w:val="auto"/>
                <w:highlight w:val="none"/>
              </w:rPr>
            </w:pPr>
            <w:r>
              <w:rPr>
                <w:rFonts w:hint="eastAsia"/>
                <w:color w:val="auto"/>
                <w:highlight w:val="none"/>
              </w:rPr>
              <w:t>发现在校内摆摊设点、流动叫卖，乱贴、乱画及拾荒、推销等闲杂人员，一次扣2分。</w:t>
            </w:r>
          </w:p>
          <w:p w14:paraId="10F5B37B">
            <w:pPr>
              <w:spacing w:line="360" w:lineRule="exact"/>
              <w:rPr>
                <w:color w:val="auto"/>
                <w:highlight w:val="none"/>
              </w:rPr>
            </w:pPr>
            <w:r>
              <w:rPr>
                <w:rFonts w:hint="eastAsia"/>
                <w:color w:val="auto"/>
                <w:highlight w:val="none"/>
              </w:rPr>
              <w:t>发现人员在水体旁戏水未制止，一次扣2分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44F06EB">
            <w:pPr>
              <w:spacing w:line="360" w:lineRule="exact"/>
              <w:rPr>
                <w:color w:val="auto"/>
                <w:highlight w:val="none"/>
              </w:rPr>
            </w:pPr>
            <w:r>
              <w:rPr>
                <w:rFonts w:hint="eastAsia"/>
                <w:color w:val="auto"/>
                <w:highlight w:val="none"/>
              </w:rPr>
              <w:t>秩序队员在得到保</w:t>
            </w:r>
          </w:p>
          <w:p w14:paraId="50C5FC7C">
            <w:pPr>
              <w:spacing w:line="360" w:lineRule="exact"/>
              <w:rPr>
                <w:color w:val="auto"/>
                <w:highlight w:val="none"/>
              </w:rPr>
            </w:pPr>
            <w:r>
              <w:rPr>
                <w:rFonts w:hint="eastAsia"/>
                <w:color w:val="auto"/>
                <w:highlight w:val="none"/>
              </w:rPr>
              <w:t>卫处通知后应立即处理，并及时反馈处置结果，未处理和汇报者按扣分要求扣分。</w:t>
            </w:r>
          </w:p>
        </w:tc>
      </w:tr>
      <w:tr w14:paraId="3513C9AF">
        <w:tblPrEx>
          <w:tblCellMar>
            <w:top w:w="15" w:type="dxa"/>
            <w:left w:w="15" w:type="dxa"/>
            <w:bottom w:w="15" w:type="dxa"/>
            <w:right w:w="15"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14:paraId="7C9A00D6">
            <w:pPr>
              <w:spacing w:line="360" w:lineRule="exact"/>
              <w:jc w:val="center"/>
              <w:rPr>
                <w:color w:val="auto"/>
                <w:highlight w:val="none"/>
              </w:rPr>
            </w:pPr>
          </w:p>
          <w:p w14:paraId="30947671">
            <w:pPr>
              <w:spacing w:line="360" w:lineRule="exact"/>
              <w:jc w:val="center"/>
              <w:rPr>
                <w:color w:val="auto"/>
                <w:highlight w:val="none"/>
              </w:rPr>
            </w:pPr>
            <w:r>
              <w:rPr>
                <w:rFonts w:hint="eastAsia"/>
                <w:color w:val="auto"/>
                <w:highlight w:val="none"/>
              </w:rPr>
              <w:t>6</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385DEE4D">
            <w:pPr>
              <w:spacing w:line="360" w:lineRule="exact"/>
              <w:rPr>
                <w:color w:val="auto"/>
                <w:highlight w:val="none"/>
              </w:rPr>
            </w:pPr>
            <w:r>
              <w:rPr>
                <w:rFonts w:hint="eastAsia"/>
                <w:color w:val="auto"/>
                <w:highlight w:val="none"/>
              </w:rPr>
              <w:t>积极配合党校保卫处做好重大活动安全保卫</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5989B6F">
            <w:pPr>
              <w:spacing w:line="360" w:lineRule="exact"/>
              <w:jc w:val="center"/>
              <w:rPr>
                <w:color w:val="auto"/>
                <w:highlight w:val="none"/>
              </w:rPr>
            </w:pPr>
            <w:r>
              <w:rPr>
                <w:rFonts w:hint="eastAsia"/>
                <w:color w:val="auto"/>
                <w:highlight w:val="none"/>
              </w:rPr>
              <w:t>10分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3B406919">
            <w:pPr>
              <w:spacing w:line="360" w:lineRule="exact"/>
              <w:rPr>
                <w:color w:val="auto"/>
                <w:highlight w:val="none"/>
              </w:rPr>
            </w:pPr>
            <w:r>
              <w:rPr>
                <w:rFonts w:hint="eastAsia"/>
                <w:color w:val="auto"/>
                <w:highlight w:val="none"/>
              </w:rPr>
              <w:t>严格按保卫处要求进行秩序维护，合理配置安保人员，未按要求发现一处扣1分。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3E25A86F">
            <w:pPr>
              <w:spacing w:line="360" w:lineRule="exact"/>
              <w:rPr>
                <w:color w:val="auto"/>
                <w:highlight w:val="none"/>
              </w:rPr>
            </w:pPr>
            <w:r>
              <w:rPr>
                <w:rFonts w:hint="eastAsia"/>
                <w:color w:val="auto"/>
                <w:highlight w:val="none"/>
              </w:rPr>
              <w:t>按保卫处制定的方</w:t>
            </w:r>
          </w:p>
          <w:p w14:paraId="3D2BF7A6">
            <w:pPr>
              <w:spacing w:line="360" w:lineRule="exact"/>
              <w:rPr>
                <w:color w:val="auto"/>
                <w:highlight w:val="none"/>
              </w:rPr>
            </w:pPr>
            <w:r>
              <w:rPr>
                <w:rFonts w:hint="eastAsia"/>
                <w:color w:val="auto"/>
                <w:highlight w:val="none"/>
              </w:rPr>
              <w:t>案执行。</w:t>
            </w:r>
          </w:p>
        </w:tc>
      </w:tr>
      <w:tr w14:paraId="0619F828">
        <w:tblPrEx>
          <w:tblCellMar>
            <w:top w:w="15" w:type="dxa"/>
            <w:left w:w="15" w:type="dxa"/>
            <w:bottom w:w="15" w:type="dxa"/>
            <w:right w:w="15"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14:paraId="2003C9D1">
            <w:pPr>
              <w:spacing w:line="360" w:lineRule="exact"/>
              <w:jc w:val="center"/>
              <w:rPr>
                <w:color w:val="auto"/>
                <w:highlight w:val="none"/>
              </w:rPr>
            </w:pPr>
          </w:p>
          <w:p w14:paraId="4711F299">
            <w:pPr>
              <w:spacing w:line="360" w:lineRule="exact"/>
              <w:jc w:val="center"/>
              <w:rPr>
                <w:color w:val="auto"/>
                <w:highlight w:val="none"/>
              </w:rPr>
            </w:pPr>
            <w:r>
              <w:rPr>
                <w:rFonts w:hint="eastAsia"/>
                <w:color w:val="auto"/>
                <w:highlight w:val="none"/>
              </w:rPr>
              <w:t>7</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79E8D04">
            <w:pPr>
              <w:spacing w:line="360" w:lineRule="exact"/>
              <w:rPr>
                <w:color w:val="auto"/>
                <w:highlight w:val="none"/>
              </w:rPr>
            </w:pPr>
            <w:r>
              <w:rPr>
                <w:rFonts w:hint="eastAsia"/>
                <w:color w:val="auto"/>
                <w:highlight w:val="none"/>
              </w:rPr>
              <w:t>消防控制室应按消防规范要求配备管理人员，值班人员要具备熟练掌握消防设备的能力。</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1715A1C">
            <w:pPr>
              <w:spacing w:line="360" w:lineRule="exact"/>
              <w:jc w:val="center"/>
              <w:rPr>
                <w:color w:val="auto"/>
                <w:highlight w:val="none"/>
              </w:rPr>
            </w:pPr>
            <w:r>
              <w:rPr>
                <w:rFonts w:hint="eastAsia"/>
                <w:color w:val="auto"/>
                <w:highlight w:val="none"/>
              </w:rPr>
              <w:t>5分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342ACED">
            <w:pPr>
              <w:spacing w:line="360" w:lineRule="exact"/>
              <w:rPr>
                <w:color w:val="auto"/>
                <w:highlight w:val="none"/>
              </w:rPr>
            </w:pPr>
            <w:r>
              <w:rPr>
                <w:rFonts w:hint="eastAsia"/>
                <w:color w:val="auto"/>
                <w:highlight w:val="none"/>
              </w:rPr>
              <w:t>消防管理人员无证一人次扣1分，依次累计；检查发现未熟练掌握消防基本技能者，一次扣1分。扣完为止.</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F5F5C69">
            <w:pPr>
              <w:spacing w:line="360" w:lineRule="exact"/>
              <w:rPr>
                <w:color w:val="auto"/>
                <w:highlight w:val="none"/>
              </w:rPr>
            </w:pPr>
            <w:r>
              <w:rPr>
                <w:rFonts w:hint="eastAsia"/>
                <w:color w:val="auto"/>
                <w:highlight w:val="none"/>
              </w:rPr>
              <w:t>按消防控制室管理规范要求落实执行。</w:t>
            </w:r>
          </w:p>
        </w:tc>
      </w:tr>
      <w:tr w14:paraId="764F6AF5">
        <w:tblPrEx>
          <w:tblCellMar>
            <w:top w:w="15" w:type="dxa"/>
            <w:left w:w="15" w:type="dxa"/>
            <w:bottom w:w="15" w:type="dxa"/>
            <w:right w:w="15"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14:paraId="74D082D8">
            <w:pPr>
              <w:spacing w:line="360" w:lineRule="exact"/>
              <w:jc w:val="center"/>
              <w:rPr>
                <w:color w:val="auto"/>
                <w:highlight w:val="none"/>
              </w:rPr>
            </w:pPr>
          </w:p>
          <w:p w14:paraId="0C2796D3">
            <w:pPr>
              <w:spacing w:line="360" w:lineRule="exact"/>
              <w:jc w:val="center"/>
              <w:rPr>
                <w:color w:val="auto"/>
                <w:highlight w:val="none"/>
              </w:rPr>
            </w:pPr>
          </w:p>
          <w:p w14:paraId="123C6B6B">
            <w:pPr>
              <w:spacing w:line="360" w:lineRule="exact"/>
              <w:jc w:val="center"/>
              <w:rPr>
                <w:color w:val="auto"/>
                <w:highlight w:val="none"/>
              </w:rPr>
            </w:pPr>
            <w:r>
              <w:rPr>
                <w:rFonts w:hint="eastAsia"/>
                <w:color w:val="auto"/>
                <w:highlight w:val="none"/>
              </w:rPr>
              <w:t>8</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291FB8A2">
            <w:pPr>
              <w:spacing w:line="360" w:lineRule="exact"/>
              <w:rPr>
                <w:color w:val="auto"/>
                <w:highlight w:val="none"/>
              </w:rPr>
            </w:pPr>
            <w:r>
              <w:rPr>
                <w:rFonts w:hint="eastAsia"/>
                <w:color w:val="auto"/>
                <w:highlight w:val="none"/>
              </w:rPr>
              <w:t>每月对消防、监控、门禁设施设备进行检查，确保设备正常运行使用，发现问题及时上报，立即处置</w:t>
            </w:r>
          </w:p>
          <w:p w14:paraId="16B15829">
            <w:pPr>
              <w:spacing w:line="360" w:lineRule="exact"/>
              <w:rPr>
                <w:color w:val="auto"/>
                <w:highlight w:val="none"/>
              </w:rPr>
            </w:pP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F16F0DA">
            <w:pPr>
              <w:spacing w:line="360" w:lineRule="exact"/>
              <w:jc w:val="center"/>
              <w:rPr>
                <w:color w:val="auto"/>
                <w:highlight w:val="none"/>
              </w:rPr>
            </w:pPr>
            <w:r>
              <w:rPr>
                <w:rFonts w:hint="eastAsia"/>
                <w:color w:val="auto"/>
                <w:highlight w:val="none"/>
              </w:rPr>
              <w:t>10分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0195978">
            <w:pPr>
              <w:spacing w:line="360" w:lineRule="exact"/>
              <w:rPr>
                <w:color w:val="auto"/>
                <w:highlight w:val="none"/>
              </w:rPr>
            </w:pPr>
            <w:r>
              <w:rPr>
                <w:rFonts w:hint="eastAsia"/>
                <w:color w:val="auto"/>
                <w:highlight w:val="none"/>
              </w:rPr>
              <w:t>未及时检查上交统计结果每次扣1分，商铺及食堂等经营户内通道不在考核之列，但有汇报、配合检查和上报义务，无汇报和配合检查发现一次扣1分。</w:t>
            </w:r>
          </w:p>
          <w:p w14:paraId="4F0A4BDD">
            <w:pPr>
              <w:spacing w:line="360" w:lineRule="exact"/>
              <w:rPr>
                <w:color w:val="auto"/>
                <w:highlight w:val="none"/>
              </w:rPr>
            </w:pPr>
            <w:r>
              <w:rPr>
                <w:rFonts w:hint="eastAsia"/>
                <w:color w:val="auto"/>
                <w:highlight w:val="none"/>
              </w:rPr>
              <w:t>因设备故障，未发现或未及时报修造成恶劣影响的扣5分。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A21622B">
            <w:pPr>
              <w:spacing w:line="360" w:lineRule="exact"/>
              <w:rPr>
                <w:color w:val="auto"/>
                <w:highlight w:val="none"/>
              </w:rPr>
            </w:pPr>
            <w:r>
              <w:rPr>
                <w:rFonts w:hint="eastAsia"/>
                <w:color w:val="auto"/>
                <w:highlight w:val="none"/>
              </w:rPr>
              <w:t>设备发现异常及时上报保卫处，立即处置</w:t>
            </w:r>
          </w:p>
        </w:tc>
      </w:tr>
      <w:tr w14:paraId="1E5FDDCA">
        <w:tblPrEx>
          <w:tblCellMar>
            <w:top w:w="15" w:type="dxa"/>
            <w:left w:w="15" w:type="dxa"/>
            <w:bottom w:w="15" w:type="dxa"/>
            <w:right w:w="15"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5D60BC2">
            <w:pPr>
              <w:spacing w:line="360" w:lineRule="exact"/>
              <w:jc w:val="center"/>
              <w:rPr>
                <w:color w:val="auto"/>
                <w:highlight w:val="none"/>
              </w:rPr>
            </w:pPr>
            <w:r>
              <w:rPr>
                <w:rFonts w:hint="eastAsia"/>
                <w:color w:val="auto"/>
                <w:highlight w:val="none"/>
              </w:rPr>
              <w:t>9</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3A8D64C9">
            <w:pPr>
              <w:spacing w:line="360" w:lineRule="exact"/>
              <w:rPr>
                <w:color w:val="auto"/>
                <w:highlight w:val="none"/>
              </w:rPr>
            </w:pPr>
            <w:r>
              <w:rPr>
                <w:rFonts w:hint="eastAsia"/>
                <w:color w:val="auto"/>
                <w:highlight w:val="none"/>
              </w:rPr>
              <w:t>每季度对员工开展消防应知应会知识教育，组织开展消防演练，消防设施设备操作训练等，使员工具备处置初起火灾的能力</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C38AAEA">
            <w:pPr>
              <w:spacing w:line="360" w:lineRule="exact"/>
              <w:jc w:val="center"/>
              <w:rPr>
                <w:color w:val="auto"/>
                <w:highlight w:val="none"/>
              </w:rPr>
            </w:pPr>
            <w:r>
              <w:rPr>
                <w:rFonts w:hint="eastAsia"/>
                <w:color w:val="auto"/>
                <w:highlight w:val="none"/>
              </w:rPr>
              <w:t>10分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258980C7">
            <w:pPr>
              <w:spacing w:line="360" w:lineRule="exact"/>
              <w:rPr>
                <w:color w:val="auto"/>
                <w:highlight w:val="none"/>
              </w:rPr>
            </w:pPr>
            <w:r>
              <w:rPr>
                <w:rFonts w:hint="eastAsia"/>
                <w:color w:val="auto"/>
                <w:highlight w:val="none"/>
              </w:rPr>
              <w:t>每季度未组织开展学习教育，扣2分；每季度未组织消防演练，扣2分，随时抽查员工，未掌握消防设施设备使用方法的每人扣1分。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9EAB420">
            <w:pPr>
              <w:spacing w:line="360" w:lineRule="exact"/>
              <w:rPr>
                <w:color w:val="auto"/>
                <w:highlight w:val="none"/>
              </w:rPr>
            </w:pPr>
            <w:r>
              <w:rPr>
                <w:rFonts w:hint="eastAsia"/>
                <w:color w:val="auto"/>
                <w:highlight w:val="none"/>
              </w:rPr>
              <w:t>制定训练计划或演练实施方案</w:t>
            </w:r>
          </w:p>
        </w:tc>
      </w:tr>
      <w:tr w14:paraId="6169A1BC">
        <w:tblPrEx>
          <w:tblCellMar>
            <w:top w:w="15" w:type="dxa"/>
            <w:left w:w="15" w:type="dxa"/>
            <w:bottom w:w="15" w:type="dxa"/>
            <w:right w:w="15"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5D798B1">
            <w:pPr>
              <w:spacing w:line="360" w:lineRule="exact"/>
              <w:jc w:val="center"/>
              <w:rPr>
                <w:color w:val="auto"/>
                <w:highlight w:val="none"/>
              </w:rPr>
            </w:pPr>
            <w:r>
              <w:rPr>
                <w:rFonts w:hint="eastAsia"/>
                <w:color w:val="auto"/>
                <w:highlight w:val="none"/>
              </w:rPr>
              <w:t>10</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C317379">
            <w:pPr>
              <w:spacing w:line="360" w:lineRule="exact"/>
              <w:rPr>
                <w:color w:val="auto"/>
                <w:highlight w:val="none"/>
              </w:rPr>
            </w:pPr>
            <w:r>
              <w:rPr>
                <w:rFonts w:hint="eastAsia"/>
                <w:color w:val="auto"/>
                <w:highlight w:val="none"/>
              </w:rPr>
              <w:t>对全校重点部位开展安全例行检查</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DAA435D">
            <w:pPr>
              <w:spacing w:line="360" w:lineRule="exact"/>
              <w:jc w:val="center"/>
              <w:rPr>
                <w:color w:val="auto"/>
                <w:highlight w:val="none"/>
              </w:rPr>
            </w:pPr>
            <w:r>
              <w:rPr>
                <w:rFonts w:hint="eastAsia"/>
                <w:color w:val="auto"/>
                <w:highlight w:val="none"/>
              </w:rPr>
              <w:t>5分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A84D8B1">
            <w:pPr>
              <w:spacing w:line="360" w:lineRule="exact"/>
              <w:rPr>
                <w:color w:val="auto"/>
                <w:highlight w:val="none"/>
              </w:rPr>
            </w:pPr>
            <w:r>
              <w:rPr>
                <w:rFonts w:hint="eastAsia"/>
                <w:color w:val="auto"/>
                <w:highlight w:val="none"/>
              </w:rPr>
              <w:t>发现安全隐患未上报，一次扣2分。没有记录，扣1分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E1B6E1B">
            <w:pPr>
              <w:spacing w:line="360" w:lineRule="exact"/>
              <w:rPr>
                <w:color w:val="auto"/>
                <w:highlight w:val="none"/>
              </w:rPr>
            </w:pPr>
            <w:r>
              <w:rPr>
                <w:rFonts w:hint="eastAsia"/>
                <w:color w:val="auto"/>
                <w:highlight w:val="none"/>
              </w:rPr>
              <w:t>要有方案并落实执行</w:t>
            </w:r>
          </w:p>
        </w:tc>
      </w:tr>
      <w:tr w14:paraId="63D4B793">
        <w:tblPrEx>
          <w:tblCellMar>
            <w:top w:w="15" w:type="dxa"/>
            <w:left w:w="15" w:type="dxa"/>
            <w:bottom w:w="15" w:type="dxa"/>
            <w:right w:w="15"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11276E3">
            <w:pPr>
              <w:spacing w:line="360" w:lineRule="exact"/>
              <w:jc w:val="center"/>
              <w:rPr>
                <w:color w:val="auto"/>
                <w:highlight w:val="none"/>
              </w:rPr>
            </w:pPr>
            <w:r>
              <w:rPr>
                <w:rFonts w:hint="eastAsia"/>
                <w:color w:val="auto"/>
                <w:highlight w:val="none"/>
              </w:rPr>
              <w:t>11</w:t>
            </w:r>
          </w:p>
        </w:tc>
        <w:tc>
          <w:tcPr>
            <w:tcW w:w="360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4239E54">
            <w:pPr>
              <w:spacing w:line="360" w:lineRule="exact"/>
              <w:rPr>
                <w:color w:val="auto"/>
                <w:highlight w:val="none"/>
              </w:rPr>
            </w:pPr>
            <w:r>
              <w:rPr>
                <w:rFonts w:hint="eastAsia"/>
                <w:color w:val="auto"/>
                <w:highlight w:val="none"/>
              </w:rPr>
              <w:t>秩序维护人员必须忠于职守,做好公共设施设备监管，确保公共财物安全。财物被盗根据责任大小给与赔偿。</w:t>
            </w:r>
          </w:p>
        </w:tc>
        <w:tc>
          <w:tcPr>
            <w:tcW w:w="98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46A2A97">
            <w:pPr>
              <w:spacing w:line="360" w:lineRule="exact"/>
              <w:jc w:val="center"/>
              <w:rPr>
                <w:color w:val="auto"/>
                <w:highlight w:val="none"/>
              </w:rPr>
            </w:pPr>
            <w:r>
              <w:rPr>
                <w:rFonts w:hint="eastAsia"/>
                <w:color w:val="auto"/>
                <w:highlight w:val="none"/>
              </w:rPr>
              <w:t>10分</w:t>
            </w:r>
          </w:p>
        </w:tc>
        <w:tc>
          <w:tcPr>
            <w:tcW w:w="2976"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3F1D6D5C">
            <w:pPr>
              <w:spacing w:line="360" w:lineRule="exact"/>
              <w:rPr>
                <w:color w:val="auto"/>
                <w:highlight w:val="none"/>
              </w:rPr>
            </w:pPr>
            <w:r>
              <w:rPr>
                <w:rFonts w:hint="eastAsia"/>
                <w:color w:val="auto"/>
                <w:highlight w:val="none"/>
              </w:rPr>
              <w:t>执勤不力，防范措施不当，未履行职责造成学校公共设施破坏或被盗，按规定赔偿后并每次扣3分。</w:t>
            </w:r>
          </w:p>
        </w:tc>
        <w:tc>
          <w:tcPr>
            <w:tcW w:w="198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A7266FF">
            <w:pPr>
              <w:spacing w:line="360" w:lineRule="exact"/>
              <w:rPr>
                <w:color w:val="auto"/>
                <w:highlight w:val="none"/>
              </w:rPr>
            </w:pPr>
            <w:r>
              <w:rPr>
                <w:rFonts w:hint="eastAsia"/>
                <w:color w:val="auto"/>
                <w:highlight w:val="none"/>
              </w:rPr>
              <w:t>珠宝、首饰、现金</w:t>
            </w:r>
            <w:r>
              <w:rPr>
                <w:rFonts w:hint="eastAsia"/>
                <w:color w:val="auto"/>
                <w:highlight w:val="none"/>
              </w:rPr>
              <w:br w:type="textWrapping"/>
            </w:r>
            <w:r>
              <w:rPr>
                <w:rFonts w:hint="eastAsia"/>
                <w:color w:val="auto"/>
                <w:highlight w:val="none"/>
              </w:rPr>
              <w:t>等私人物件不在考</w:t>
            </w:r>
            <w:r>
              <w:rPr>
                <w:rFonts w:hint="eastAsia"/>
                <w:color w:val="auto"/>
                <w:highlight w:val="none"/>
              </w:rPr>
              <w:br w:type="textWrapping"/>
            </w:r>
            <w:r>
              <w:rPr>
                <w:rFonts w:hint="eastAsia"/>
                <w:color w:val="auto"/>
                <w:highlight w:val="none"/>
              </w:rPr>
              <w:t>校之列。考核只针</w:t>
            </w:r>
            <w:r>
              <w:rPr>
                <w:rFonts w:hint="eastAsia"/>
                <w:color w:val="auto"/>
                <w:highlight w:val="none"/>
              </w:rPr>
              <w:br w:type="textWrapping"/>
            </w:r>
            <w:r>
              <w:rPr>
                <w:rFonts w:hint="eastAsia"/>
                <w:color w:val="auto"/>
                <w:highlight w:val="none"/>
              </w:rPr>
              <w:t>对学校配备之设备、设施，办公用品，公共区域设施等</w:t>
            </w:r>
          </w:p>
        </w:tc>
      </w:tr>
    </w:tbl>
    <w:p w14:paraId="30ED3311">
      <w:pPr>
        <w:pStyle w:val="2"/>
        <w:ind w:left="0" w:leftChars="0" w:firstLine="0" w:firstLineChars="0"/>
        <w:rPr>
          <w:color w:val="auto"/>
          <w:highlight w:val="none"/>
        </w:rPr>
      </w:pPr>
    </w:p>
    <w:p w14:paraId="15D841B5">
      <w:pPr>
        <w:jc w:val="center"/>
        <w:rPr>
          <w:b/>
          <w:color w:val="auto"/>
          <w:sz w:val="32"/>
          <w:szCs w:val="32"/>
          <w:highlight w:val="none"/>
        </w:rPr>
      </w:pPr>
      <w:r>
        <w:rPr>
          <w:rFonts w:hint="eastAsia"/>
          <w:b/>
          <w:color w:val="auto"/>
          <w:sz w:val="32"/>
          <w:szCs w:val="32"/>
          <w:highlight w:val="none"/>
        </w:rPr>
        <w:t>《楼房管理及会务考核内容及评分细则》</w:t>
      </w:r>
    </w:p>
    <w:tbl>
      <w:tblPr>
        <w:tblStyle w:val="20"/>
        <w:tblpPr w:leftFromText="180" w:rightFromText="180" w:vertAnchor="text" w:horzAnchor="page" w:tblpX="1130" w:tblpY="199"/>
        <w:tblOverlap w:val="never"/>
        <w:tblW w:w="9655" w:type="dxa"/>
        <w:tblInd w:w="0" w:type="dxa"/>
        <w:tblLayout w:type="fixed"/>
        <w:tblCellMar>
          <w:top w:w="15" w:type="dxa"/>
          <w:left w:w="15" w:type="dxa"/>
          <w:bottom w:w="15" w:type="dxa"/>
          <w:right w:w="15" w:type="dxa"/>
        </w:tblCellMar>
      </w:tblPr>
      <w:tblGrid>
        <w:gridCol w:w="4029"/>
        <w:gridCol w:w="1409"/>
        <w:gridCol w:w="4217"/>
      </w:tblGrid>
      <w:tr w14:paraId="26BDEB06">
        <w:tblPrEx>
          <w:tblCellMar>
            <w:top w:w="15" w:type="dxa"/>
            <w:left w:w="15" w:type="dxa"/>
            <w:bottom w:w="15" w:type="dxa"/>
            <w:right w:w="15" w:type="dxa"/>
          </w:tblCellMar>
        </w:tblPrEx>
        <w:trPr>
          <w:trHeight w:val="414"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232A7AD8">
            <w:pPr>
              <w:jc w:val="center"/>
              <w:rPr>
                <w:color w:val="auto"/>
                <w:highlight w:val="none"/>
              </w:rPr>
            </w:pPr>
            <w:r>
              <w:rPr>
                <w:rFonts w:hint="eastAsia"/>
                <w:color w:val="auto"/>
                <w:highlight w:val="none"/>
              </w:rPr>
              <w:t>考核内容</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077EA71">
            <w:pPr>
              <w:jc w:val="center"/>
              <w:rPr>
                <w:color w:val="auto"/>
                <w:highlight w:val="none"/>
              </w:rPr>
            </w:pPr>
            <w:r>
              <w:rPr>
                <w:rFonts w:hint="eastAsia"/>
                <w:color w:val="auto"/>
                <w:highlight w:val="none"/>
              </w:rPr>
              <w:t>分值（100分）</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591FDA2">
            <w:pPr>
              <w:jc w:val="center"/>
              <w:rPr>
                <w:color w:val="auto"/>
                <w:highlight w:val="none"/>
              </w:rPr>
            </w:pPr>
            <w:r>
              <w:rPr>
                <w:rFonts w:hint="eastAsia"/>
                <w:color w:val="auto"/>
                <w:highlight w:val="none"/>
              </w:rPr>
              <w:t>评分细则</w:t>
            </w:r>
          </w:p>
        </w:tc>
      </w:tr>
      <w:tr w14:paraId="1C329E0E">
        <w:tblPrEx>
          <w:tblCellMar>
            <w:top w:w="15" w:type="dxa"/>
            <w:left w:w="15" w:type="dxa"/>
            <w:bottom w:w="15" w:type="dxa"/>
            <w:right w:w="15" w:type="dxa"/>
          </w:tblCellMar>
        </w:tblPrEx>
        <w:trPr>
          <w:trHeight w:val="405"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8562B9E">
            <w:pPr>
              <w:jc w:val="left"/>
              <w:rPr>
                <w:color w:val="auto"/>
                <w:highlight w:val="none"/>
              </w:rPr>
            </w:pPr>
            <w:r>
              <w:rPr>
                <w:rFonts w:hint="eastAsia"/>
                <w:color w:val="auto"/>
                <w:highlight w:val="none"/>
              </w:rPr>
              <w:t>1、建立建全各项管理制度，各岗位工作有具体措施。</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5E41072">
            <w:pPr>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D5ED085">
            <w:pPr>
              <w:jc w:val="left"/>
              <w:rPr>
                <w:color w:val="auto"/>
                <w:highlight w:val="none"/>
              </w:rPr>
            </w:pPr>
            <w:r>
              <w:rPr>
                <w:rFonts w:hint="eastAsia"/>
                <w:color w:val="auto"/>
                <w:highlight w:val="none"/>
              </w:rPr>
              <w:t>工作程序、质量保证等制度每发现一处不完整规范扣0.1:未制定具体的落实措施扣0.2分。</w:t>
            </w:r>
          </w:p>
        </w:tc>
      </w:tr>
      <w:tr w14:paraId="789335D5">
        <w:tblPrEx>
          <w:tblCellMar>
            <w:top w:w="15" w:type="dxa"/>
            <w:left w:w="15" w:type="dxa"/>
            <w:bottom w:w="15" w:type="dxa"/>
            <w:right w:w="15" w:type="dxa"/>
          </w:tblCellMar>
        </w:tblPrEx>
        <w:trPr>
          <w:trHeight w:val="405"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B703B27">
            <w:pPr>
              <w:spacing w:line="320" w:lineRule="exact"/>
              <w:jc w:val="left"/>
              <w:rPr>
                <w:color w:val="auto"/>
                <w:highlight w:val="none"/>
              </w:rPr>
            </w:pPr>
            <w:r>
              <w:rPr>
                <w:rFonts w:hint="eastAsia"/>
                <w:color w:val="auto"/>
                <w:highlight w:val="none"/>
              </w:rPr>
              <w:t>2、学员楼管理人员统一着装，佩戴明显标</w:t>
            </w:r>
            <w:r>
              <w:rPr>
                <w:rFonts w:hint="eastAsia"/>
                <w:color w:val="auto"/>
                <w:highlight w:val="none"/>
              </w:rPr>
              <w:br w:type="textWrapping"/>
            </w:r>
            <w:r>
              <w:rPr>
                <w:rFonts w:hint="eastAsia"/>
                <w:color w:val="auto"/>
                <w:highlight w:val="none"/>
              </w:rPr>
              <w:t>志，工作规范，工作时间不做与工作无</w:t>
            </w:r>
            <w:r>
              <w:rPr>
                <w:rFonts w:hint="eastAsia"/>
                <w:color w:val="auto"/>
                <w:highlight w:val="none"/>
              </w:rPr>
              <w:br w:type="textWrapping"/>
            </w:r>
            <w:r>
              <w:rPr>
                <w:rFonts w:hint="eastAsia"/>
                <w:color w:val="auto"/>
                <w:highlight w:val="none"/>
              </w:rPr>
              <w:t>关的事情。</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3BD9675">
            <w:pPr>
              <w:spacing w:line="320" w:lineRule="exact"/>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DF67BD3">
            <w:pPr>
              <w:spacing w:line="320" w:lineRule="exact"/>
              <w:jc w:val="left"/>
              <w:rPr>
                <w:color w:val="auto"/>
                <w:highlight w:val="none"/>
              </w:rPr>
            </w:pPr>
            <w:r>
              <w:rPr>
                <w:rFonts w:hint="eastAsia"/>
                <w:color w:val="auto"/>
                <w:highlight w:val="none"/>
              </w:rPr>
              <w:t>未统一着装、佩戴标志,发现一次不符合扣0.1分，发现在值班室炒菜、洗衣、看电视、玩手机等做与工作无关事情扣0.2分。</w:t>
            </w:r>
          </w:p>
        </w:tc>
      </w:tr>
      <w:tr w14:paraId="6DE2DE07">
        <w:tblPrEx>
          <w:tblCellMar>
            <w:top w:w="15" w:type="dxa"/>
            <w:left w:w="15" w:type="dxa"/>
            <w:bottom w:w="15" w:type="dxa"/>
            <w:right w:w="15" w:type="dxa"/>
          </w:tblCellMar>
        </w:tblPrEx>
        <w:trPr>
          <w:trHeight w:val="405"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82227B5">
            <w:pPr>
              <w:spacing w:line="320" w:lineRule="exact"/>
              <w:jc w:val="left"/>
              <w:rPr>
                <w:color w:val="auto"/>
                <w:highlight w:val="none"/>
              </w:rPr>
            </w:pPr>
            <w:r>
              <w:rPr>
                <w:rFonts w:hint="eastAsia"/>
                <w:color w:val="auto"/>
                <w:highlight w:val="none"/>
              </w:rPr>
              <w:t>3、档案资料齐全，分类成册，管理完善，</w:t>
            </w:r>
            <w:r>
              <w:rPr>
                <w:rFonts w:hint="eastAsia"/>
                <w:color w:val="auto"/>
                <w:highlight w:val="none"/>
              </w:rPr>
              <w:br w:type="textWrapping"/>
            </w:r>
            <w:r>
              <w:rPr>
                <w:rFonts w:hint="eastAsia"/>
                <w:color w:val="auto"/>
                <w:highlight w:val="none"/>
              </w:rPr>
              <w:t>查阅方便，记录完善。</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DBDCF0D">
            <w:pPr>
              <w:spacing w:line="320" w:lineRule="exact"/>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9310FA1">
            <w:pPr>
              <w:spacing w:line="320" w:lineRule="exact"/>
              <w:jc w:val="left"/>
              <w:rPr>
                <w:color w:val="auto"/>
                <w:highlight w:val="none"/>
              </w:rPr>
            </w:pPr>
            <w:r>
              <w:rPr>
                <w:rFonts w:hint="eastAsia"/>
                <w:color w:val="auto"/>
                <w:highlight w:val="none"/>
              </w:rPr>
              <w:t>记录每发现一项不齐全或不完善扣0.1分，扣完为止。</w:t>
            </w:r>
          </w:p>
        </w:tc>
      </w:tr>
      <w:tr w14:paraId="2DF60CAF">
        <w:tblPrEx>
          <w:tblCellMar>
            <w:top w:w="15" w:type="dxa"/>
            <w:left w:w="15" w:type="dxa"/>
            <w:bottom w:w="15" w:type="dxa"/>
            <w:right w:w="15" w:type="dxa"/>
          </w:tblCellMar>
        </w:tblPrEx>
        <w:trPr>
          <w:trHeight w:val="405"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D603A16">
            <w:pPr>
              <w:spacing w:line="320" w:lineRule="exact"/>
              <w:jc w:val="left"/>
              <w:rPr>
                <w:color w:val="auto"/>
                <w:highlight w:val="none"/>
              </w:rPr>
            </w:pPr>
            <w:r>
              <w:rPr>
                <w:rFonts w:hint="eastAsia"/>
                <w:color w:val="auto"/>
                <w:highlight w:val="none"/>
              </w:rPr>
              <w:t>4、对求助、问询、质疑、投诉等各类信</w:t>
            </w:r>
            <w:r>
              <w:rPr>
                <w:rFonts w:hint="eastAsia"/>
                <w:color w:val="auto"/>
                <w:highlight w:val="none"/>
              </w:rPr>
              <w:br w:type="textWrapping"/>
            </w:r>
            <w:r>
              <w:rPr>
                <w:rFonts w:hint="eastAsia"/>
                <w:color w:val="auto"/>
                <w:highlight w:val="none"/>
              </w:rPr>
              <w:t>包的收集,有记录,及时反馈并及时处理。</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E961176">
            <w:pPr>
              <w:spacing w:line="320" w:lineRule="exact"/>
              <w:jc w:val="center"/>
              <w:rPr>
                <w:color w:val="auto"/>
                <w:highlight w:val="none"/>
              </w:rPr>
            </w:pPr>
            <w:r>
              <w:rPr>
                <w:rFonts w:hint="eastAsia"/>
                <w:color w:val="auto"/>
                <w:highlight w:val="none"/>
              </w:rPr>
              <w:t>10</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3EF50F53">
            <w:pPr>
              <w:spacing w:line="320" w:lineRule="exact"/>
              <w:jc w:val="left"/>
              <w:rPr>
                <w:color w:val="auto"/>
                <w:highlight w:val="none"/>
              </w:rPr>
            </w:pPr>
            <w:r>
              <w:rPr>
                <w:rFonts w:hint="eastAsia"/>
                <w:color w:val="auto"/>
                <w:highlight w:val="none"/>
              </w:rPr>
              <w:t>发现一处处理和反馈不及时扣0.1分,信息没有记录每次扣0.1分。</w:t>
            </w:r>
          </w:p>
        </w:tc>
      </w:tr>
      <w:tr w14:paraId="23B6E178">
        <w:tblPrEx>
          <w:tblCellMar>
            <w:top w:w="15" w:type="dxa"/>
            <w:left w:w="15" w:type="dxa"/>
            <w:bottom w:w="15" w:type="dxa"/>
            <w:right w:w="15" w:type="dxa"/>
          </w:tblCellMar>
        </w:tblPrEx>
        <w:trPr>
          <w:trHeight w:val="405"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C3BFE8A">
            <w:pPr>
              <w:spacing w:line="320" w:lineRule="exact"/>
              <w:jc w:val="left"/>
              <w:rPr>
                <w:color w:val="auto"/>
                <w:highlight w:val="none"/>
              </w:rPr>
            </w:pPr>
            <w:r>
              <w:rPr>
                <w:rFonts w:hint="eastAsia"/>
                <w:color w:val="auto"/>
                <w:highlight w:val="none"/>
              </w:rPr>
              <w:t>5、建立学员楼值班制度，岗位24小时有</w:t>
            </w:r>
            <w:r>
              <w:rPr>
                <w:rFonts w:hint="eastAsia"/>
                <w:color w:val="auto"/>
                <w:highlight w:val="none"/>
              </w:rPr>
              <w:br w:type="textWrapping"/>
            </w:r>
            <w:r>
              <w:rPr>
                <w:rFonts w:hint="eastAsia"/>
                <w:color w:val="auto"/>
                <w:highlight w:val="none"/>
              </w:rPr>
              <w:t>人，查岗需挂牌说明。</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574D7A6">
            <w:pPr>
              <w:spacing w:line="320" w:lineRule="exact"/>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BB28975">
            <w:pPr>
              <w:spacing w:line="320" w:lineRule="exact"/>
              <w:jc w:val="left"/>
              <w:rPr>
                <w:color w:val="auto"/>
                <w:highlight w:val="none"/>
              </w:rPr>
            </w:pPr>
            <w:r>
              <w:rPr>
                <w:rFonts w:hint="eastAsia"/>
                <w:color w:val="auto"/>
                <w:highlight w:val="none"/>
              </w:rPr>
              <w:t>没有值班制度的扣0.1，查岗无人一次扣0.2分。在岗睡觉一次扣0.2分.</w:t>
            </w:r>
          </w:p>
        </w:tc>
      </w:tr>
      <w:tr w14:paraId="1BA13702">
        <w:tblPrEx>
          <w:tblCellMar>
            <w:top w:w="15" w:type="dxa"/>
            <w:left w:w="15" w:type="dxa"/>
            <w:bottom w:w="15" w:type="dxa"/>
            <w:right w:w="15" w:type="dxa"/>
          </w:tblCellMar>
        </w:tblPrEx>
        <w:trPr>
          <w:trHeight w:val="405"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42F4DE4">
            <w:pPr>
              <w:spacing w:line="320" w:lineRule="exact"/>
              <w:jc w:val="left"/>
              <w:rPr>
                <w:color w:val="auto"/>
                <w:highlight w:val="none"/>
              </w:rPr>
            </w:pPr>
            <w:r>
              <w:rPr>
                <w:rFonts w:hint="eastAsia"/>
                <w:color w:val="auto"/>
                <w:highlight w:val="none"/>
              </w:rPr>
              <w:t>6、定期向校方对接部门发放物业管理服务工作征求意见单，对合理的建议及时整改,满意率达90%以上。</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AC6379E">
            <w:pPr>
              <w:spacing w:line="320" w:lineRule="exact"/>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F6F85C6">
            <w:pPr>
              <w:spacing w:line="320" w:lineRule="exact"/>
              <w:jc w:val="left"/>
              <w:rPr>
                <w:color w:val="auto"/>
                <w:highlight w:val="none"/>
              </w:rPr>
            </w:pPr>
            <w:r>
              <w:rPr>
                <w:rFonts w:hint="eastAsia"/>
                <w:color w:val="auto"/>
                <w:highlight w:val="none"/>
              </w:rPr>
              <w:t>整改不及时一次扣0.5分,整改后满意率达不到90%每次扣0.5分。</w:t>
            </w:r>
          </w:p>
        </w:tc>
      </w:tr>
      <w:tr w14:paraId="2E1ECA36">
        <w:tblPrEx>
          <w:tblCellMar>
            <w:top w:w="15" w:type="dxa"/>
            <w:left w:w="15" w:type="dxa"/>
            <w:bottom w:w="15" w:type="dxa"/>
            <w:right w:w="15" w:type="dxa"/>
          </w:tblCellMar>
        </w:tblPrEx>
        <w:trPr>
          <w:trHeight w:val="676"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5A223F7">
            <w:pPr>
              <w:spacing w:line="320" w:lineRule="exact"/>
              <w:jc w:val="left"/>
              <w:rPr>
                <w:color w:val="auto"/>
                <w:highlight w:val="none"/>
              </w:rPr>
            </w:pPr>
            <w:r>
              <w:rPr>
                <w:rFonts w:hint="eastAsia"/>
                <w:color w:val="auto"/>
                <w:highlight w:val="none"/>
              </w:rPr>
              <w:t>7、配合党校的各项工作及时，能按要求顺利协助各项接待、会务服务，确保学员入住和会议召开。</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24DAB0F4">
            <w:pPr>
              <w:spacing w:line="320" w:lineRule="exact"/>
              <w:jc w:val="center"/>
              <w:rPr>
                <w:color w:val="auto"/>
                <w:highlight w:val="none"/>
              </w:rPr>
            </w:pPr>
            <w:r>
              <w:rPr>
                <w:rFonts w:hint="eastAsia"/>
                <w:color w:val="auto"/>
                <w:highlight w:val="none"/>
              </w:rPr>
              <w:t>10</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B5759BA">
            <w:pPr>
              <w:spacing w:line="320" w:lineRule="exact"/>
              <w:jc w:val="left"/>
              <w:rPr>
                <w:color w:val="auto"/>
                <w:highlight w:val="none"/>
              </w:rPr>
            </w:pPr>
            <w:r>
              <w:rPr>
                <w:rFonts w:hint="eastAsia"/>
                <w:color w:val="auto"/>
                <w:highlight w:val="none"/>
              </w:rPr>
              <w:t>发现一次不合格扣0.5分,扣完为止。</w:t>
            </w:r>
          </w:p>
        </w:tc>
      </w:tr>
      <w:tr w14:paraId="6619D8F8">
        <w:tblPrEx>
          <w:tblCellMar>
            <w:top w:w="15" w:type="dxa"/>
            <w:left w:w="15" w:type="dxa"/>
            <w:bottom w:w="15" w:type="dxa"/>
            <w:right w:w="15" w:type="dxa"/>
          </w:tblCellMar>
        </w:tblPrEx>
        <w:trPr>
          <w:trHeight w:val="583"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261FBF7">
            <w:pPr>
              <w:spacing w:line="320" w:lineRule="exact"/>
              <w:jc w:val="left"/>
              <w:rPr>
                <w:color w:val="auto"/>
                <w:highlight w:val="none"/>
              </w:rPr>
            </w:pPr>
            <w:r>
              <w:rPr>
                <w:rFonts w:hint="eastAsia"/>
                <w:color w:val="auto"/>
                <w:highlight w:val="none"/>
              </w:rPr>
              <w:t>8、楼房管理值班室秩序井然。环境干净,定期(每月一次)对公寓公共区或进行消毒。</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71E31561">
            <w:pPr>
              <w:spacing w:line="320" w:lineRule="exact"/>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4B5E0DB">
            <w:pPr>
              <w:spacing w:line="320" w:lineRule="exact"/>
              <w:jc w:val="left"/>
              <w:rPr>
                <w:color w:val="auto"/>
                <w:highlight w:val="none"/>
              </w:rPr>
            </w:pPr>
            <w:r>
              <w:rPr>
                <w:rFonts w:hint="eastAsia"/>
                <w:color w:val="auto"/>
                <w:highlight w:val="none"/>
              </w:rPr>
              <w:t>发现一次不合格扣0.5分,扣完为止。</w:t>
            </w:r>
          </w:p>
        </w:tc>
      </w:tr>
      <w:tr w14:paraId="1AF87331">
        <w:tblPrEx>
          <w:tblCellMar>
            <w:top w:w="15" w:type="dxa"/>
            <w:left w:w="15" w:type="dxa"/>
            <w:bottom w:w="15" w:type="dxa"/>
            <w:right w:w="15" w:type="dxa"/>
          </w:tblCellMar>
        </w:tblPrEx>
        <w:trPr>
          <w:trHeight w:val="700"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8151AD6">
            <w:pPr>
              <w:spacing w:line="320" w:lineRule="exact"/>
              <w:jc w:val="left"/>
              <w:rPr>
                <w:color w:val="auto"/>
                <w:highlight w:val="none"/>
              </w:rPr>
            </w:pPr>
            <w:r>
              <w:rPr>
                <w:rFonts w:hint="eastAsia"/>
                <w:color w:val="auto"/>
                <w:highlight w:val="none"/>
              </w:rPr>
              <w:t>9、排查学员楼房间,发现使用违章电器及危险品,及时采取措施。</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5A2733B">
            <w:pPr>
              <w:spacing w:line="320" w:lineRule="exact"/>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2B6F3E68">
            <w:pPr>
              <w:spacing w:line="320" w:lineRule="exact"/>
              <w:jc w:val="left"/>
              <w:rPr>
                <w:color w:val="auto"/>
                <w:highlight w:val="none"/>
              </w:rPr>
            </w:pPr>
            <w:r>
              <w:rPr>
                <w:rFonts w:hint="eastAsia"/>
                <w:color w:val="auto"/>
                <w:highlight w:val="none"/>
              </w:rPr>
              <w:t>未定期检查,发现学员楼使用违章电器1次扣1分,扣完为止,不按规定送电每次扣5分。</w:t>
            </w:r>
          </w:p>
        </w:tc>
      </w:tr>
      <w:tr w14:paraId="10DD446D">
        <w:tblPrEx>
          <w:tblCellMar>
            <w:top w:w="15" w:type="dxa"/>
            <w:left w:w="15" w:type="dxa"/>
            <w:bottom w:w="15" w:type="dxa"/>
            <w:right w:w="15" w:type="dxa"/>
          </w:tblCellMar>
        </w:tblPrEx>
        <w:trPr>
          <w:trHeight w:val="405"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2749131D">
            <w:pPr>
              <w:spacing w:line="320" w:lineRule="exact"/>
              <w:jc w:val="left"/>
              <w:rPr>
                <w:color w:val="auto"/>
                <w:highlight w:val="none"/>
              </w:rPr>
            </w:pPr>
            <w:r>
              <w:rPr>
                <w:rFonts w:hint="eastAsia"/>
                <w:color w:val="auto"/>
                <w:highlight w:val="none"/>
              </w:rPr>
              <w:t>10.认真做好学员楼中心安排的房间核查、</w:t>
            </w:r>
            <w:r>
              <w:rPr>
                <w:rFonts w:hint="eastAsia"/>
                <w:color w:val="auto"/>
                <w:highlight w:val="none"/>
              </w:rPr>
              <w:br w:type="textWrapping"/>
            </w:r>
            <w:r>
              <w:rPr>
                <w:rFonts w:hint="eastAsia"/>
                <w:color w:val="auto"/>
                <w:highlight w:val="none"/>
              </w:rPr>
              <w:t>消防检查以及各项工作。</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F50B18D">
            <w:pPr>
              <w:spacing w:line="320" w:lineRule="exact"/>
              <w:jc w:val="center"/>
              <w:rPr>
                <w:color w:val="auto"/>
                <w:highlight w:val="none"/>
              </w:rPr>
            </w:pPr>
            <w:r>
              <w:rPr>
                <w:rFonts w:hint="eastAsia"/>
                <w:color w:val="auto"/>
                <w:highlight w:val="none"/>
              </w:rPr>
              <w:t>10</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27AA5971">
            <w:pPr>
              <w:spacing w:line="320" w:lineRule="exact"/>
              <w:jc w:val="left"/>
              <w:rPr>
                <w:color w:val="auto"/>
                <w:highlight w:val="none"/>
              </w:rPr>
            </w:pPr>
            <w:r>
              <w:rPr>
                <w:rFonts w:hint="eastAsia"/>
                <w:color w:val="auto"/>
                <w:highlight w:val="none"/>
              </w:rPr>
              <w:t>发现一次不合格扣0.1分,扣完为止。</w:t>
            </w:r>
          </w:p>
        </w:tc>
      </w:tr>
      <w:tr w14:paraId="75508E50">
        <w:tblPrEx>
          <w:tblCellMar>
            <w:top w:w="15" w:type="dxa"/>
            <w:left w:w="15" w:type="dxa"/>
            <w:bottom w:w="15" w:type="dxa"/>
            <w:right w:w="15" w:type="dxa"/>
          </w:tblCellMar>
        </w:tblPrEx>
        <w:trPr>
          <w:trHeight w:val="405"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592067F8">
            <w:pPr>
              <w:spacing w:line="320" w:lineRule="exact"/>
              <w:jc w:val="left"/>
              <w:rPr>
                <w:color w:val="auto"/>
                <w:highlight w:val="none"/>
              </w:rPr>
            </w:pPr>
            <w:r>
              <w:rPr>
                <w:rFonts w:hint="eastAsia"/>
                <w:color w:val="auto"/>
                <w:highlight w:val="none"/>
              </w:rPr>
              <w:t>11、学员楼内发生偷盗、火灾等突发问题</w:t>
            </w:r>
            <w:r>
              <w:rPr>
                <w:rFonts w:hint="eastAsia"/>
                <w:color w:val="auto"/>
                <w:highlight w:val="none"/>
              </w:rPr>
              <w:br w:type="textWrapping"/>
            </w:r>
            <w:r>
              <w:rPr>
                <w:rFonts w:hint="eastAsia"/>
                <w:color w:val="auto"/>
                <w:highlight w:val="none"/>
              </w:rPr>
              <w:t>及时处理并报告相关部门。</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C6B9E15">
            <w:pPr>
              <w:spacing w:line="320" w:lineRule="exact"/>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A9B343C">
            <w:pPr>
              <w:spacing w:line="320" w:lineRule="exact"/>
              <w:jc w:val="left"/>
              <w:rPr>
                <w:color w:val="auto"/>
                <w:highlight w:val="none"/>
              </w:rPr>
            </w:pPr>
            <w:r>
              <w:rPr>
                <w:rFonts w:hint="eastAsia"/>
                <w:color w:val="auto"/>
                <w:highlight w:val="none"/>
              </w:rPr>
              <w:t>未处理或及时上报发现一次扣0.5分,扣完为止。</w:t>
            </w:r>
          </w:p>
        </w:tc>
      </w:tr>
      <w:tr w14:paraId="4A0C8BEE">
        <w:tblPrEx>
          <w:tblCellMar>
            <w:top w:w="15" w:type="dxa"/>
            <w:left w:w="15" w:type="dxa"/>
            <w:bottom w:w="15" w:type="dxa"/>
            <w:right w:w="15" w:type="dxa"/>
          </w:tblCellMar>
        </w:tblPrEx>
        <w:trPr>
          <w:trHeight w:val="859"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48D1A22">
            <w:pPr>
              <w:spacing w:line="320" w:lineRule="exact"/>
              <w:jc w:val="left"/>
              <w:rPr>
                <w:color w:val="auto"/>
                <w:highlight w:val="none"/>
              </w:rPr>
            </w:pPr>
            <w:r>
              <w:rPr>
                <w:rFonts w:hint="eastAsia"/>
                <w:color w:val="auto"/>
                <w:highlight w:val="none"/>
              </w:rPr>
              <w:t>12、认真巡查学员在学员楼内是否违反党校规章制度,及时制止打架、喝酒、闹事、打麻将等情况并登记上报。</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7016A6D">
            <w:pPr>
              <w:spacing w:line="320" w:lineRule="exact"/>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DB90AF1">
            <w:pPr>
              <w:spacing w:line="320" w:lineRule="exact"/>
              <w:jc w:val="left"/>
              <w:rPr>
                <w:color w:val="auto"/>
                <w:highlight w:val="none"/>
              </w:rPr>
            </w:pPr>
            <w:r>
              <w:rPr>
                <w:rFonts w:hint="eastAsia"/>
                <w:color w:val="auto"/>
                <w:highlight w:val="none"/>
              </w:rPr>
              <w:t>发现一次不合格扣0.5 分,扣完为止。</w:t>
            </w:r>
          </w:p>
        </w:tc>
      </w:tr>
      <w:tr w14:paraId="5FAA7F02">
        <w:tblPrEx>
          <w:tblCellMar>
            <w:top w:w="15" w:type="dxa"/>
            <w:left w:w="15" w:type="dxa"/>
            <w:bottom w:w="15" w:type="dxa"/>
            <w:right w:w="15" w:type="dxa"/>
          </w:tblCellMar>
        </w:tblPrEx>
        <w:trPr>
          <w:trHeight w:val="90"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1F80BD7">
            <w:pPr>
              <w:spacing w:line="320" w:lineRule="exact"/>
              <w:jc w:val="left"/>
              <w:rPr>
                <w:color w:val="auto"/>
                <w:highlight w:val="none"/>
              </w:rPr>
            </w:pPr>
            <w:r>
              <w:rPr>
                <w:rFonts w:hint="eastAsia"/>
                <w:color w:val="auto"/>
                <w:highlight w:val="none"/>
              </w:rPr>
              <w:t>13、垃圾定时清理，不超出垃圾桶、不隔夜，卫生间无异味。走廊过道每天要日拖,公共洗手间要清洗,大厅门窗无灰尘、蛛网。</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E8F910A">
            <w:pPr>
              <w:spacing w:line="320" w:lineRule="exact"/>
              <w:jc w:val="center"/>
              <w:rPr>
                <w:color w:val="auto"/>
                <w:highlight w:val="none"/>
              </w:rPr>
            </w:pPr>
            <w:r>
              <w:rPr>
                <w:rFonts w:hint="eastAsia"/>
                <w:color w:val="auto"/>
                <w:highlight w:val="none"/>
              </w:rPr>
              <w:t>10</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75D3EEB">
            <w:pPr>
              <w:spacing w:line="320" w:lineRule="exact"/>
              <w:jc w:val="left"/>
              <w:rPr>
                <w:color w:val="auto"/>
                <w:highlight w:val="none"/>
              </w:rPr>
            </w:pPr>
            <w:r>
              <w:rPr>
                <w:rFonts w:hint="eastAsia"/>
                <w:color w:val="auto"/>
                <w:highlight w:val="none"/>
              </w:rPr>
              <w:t>发现一次不合格扣0.2分,扣完为止。</w:t>
            </w:r>
          </w:p>
        </w:tc>
      </w:tr>
      <w:tr w14:paraId="041B3730">
        <w:tblPrEx>
          <w:tblCellMar>
            <w:top w:w="15" w:type="dxa"/>
            <w:left w:w="15" w:type="dxa"/>
            <w:bottom w:w="15" w:type="dxa"/>
            <w:right w:w="15" w:type="dxa"/>
          </w:tblCellMar>
        </w:tblPrEx>
        <w:trPr>
          <w:trHeight w:val="405"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F5C49EA">
            <w:pPr>
              <w:spacing w:line="320" w:lineRule="exact"/>
              <w:jc w:val="left"/>
              <w:rPr>
                <w:color w:val="auto"/>
                <w:highlight w:val="none"/>
              </w:rPr>
            </w:pPr>
            <w:r>
              <w:rPr>
                <w:rFonts w:hint="eastAsia"/>
                <w:color w:val="auto"/>
                <w:highlight w:val="none"/>
              </w:rPr>
              <w:t>14.楼梯、地面无垃圾(烟盒大以上)五处。</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40539DC9">
            <w:pPr>
              <w:spacing w:line="320" w:lineRule="exact"/>
              <w:jc w:val="center"/>
              <w:rPr>
                <w:color w:val="auto"/>
                <w:highlight w:val="none"/>
              </w:rPr>
            </w:pPr>
            <w:r>
              <w:rPr>
                <w:rFonts w:hint="eastAsia"/>
                <w:color w:val="auto"/>
                <w:highlight w:val="none"/>
              </w:rPr>
              <w:t>5</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17EA36CD">
            <w:pPr>
              <w:spacing w:line="320" w:lineRule="exact"/>
              <w:jc w:val="left"/>
              <w:rPr>
                <w:color w:val="auto"/>
                <w:highlight w:val="none"/>
              </w:rPr>
            </w:pPr>
            <w:r>
              <w:rPr>
                <w:rFonts w:hint="eastAsia"/>
                <w:color w:val="auto"/>
                <w:highlight w:val="none"/>
              </w:rPr>
              <w:t>发现一次不合格扣0.2分,扣完为止。</w:t>
            </w:r>
          </w:p>
        </w:tc>
      </w:tr>
      <w:tr w14:paraId="5B15C83D">
        <w:tblPrEx>
          <w:tblCellMar>
            <w:top w:w="15" w:type="dxa"/>
            <w:left w:w="15" w:type="dxa"/>
            <w:bottom w:w="15" w:type="dxa"/>
            <w:right w:w="15" w:type="dxa"/>
          </w:tblCellMar>
        </w:tblPrEx>
        <w:trPr>
          <w:trHeight w:val="594" w:hRule="atLeast"/>
        </w:trPr>
        <w:tc>
          <w:tcPr>
            <w:tcW w:w="402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234BFFCA">
            <w:pPr>
              <w:spacing w:line="320" w:lineRule="exact"/>
              <w:jc w:val="left"/>
              <w:rPr>
                <w:color w:val="auto"/>
                <w:highlight w:val="none"/>
              </w:rPr>
            </w:pPr>
            <w:r>
              <w:rPr>
                <w:rFonts w:hint="eastAsia"/>
                <w:color w:val="auto"/>
                <w:highlight w:val="none"/>
              </w:rPr>
              <w:t>15、各学员楼值班室必须设门岗，每岗至少有1人当班，严格遵守楼房开关门时间表。</w:t>
            </w:r>
          </w:p>
        </w:tc>
        <w:tc>
          <w:tcPr>
            <w:tcW w:w="1409"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06F34BFF">
            <w:pPr>
              <w:spacing w:line="320" w:lineRule="exact"/>
              <w:jc w:val="center"/>
              <w:rPr>
                <w:color w:val="auto"/>
                <w:highlight w:val="none"/>
              </w:rPr>
            </w:pPr>
            <w:r>
              <w:rPr>
                <w:rFonts w:hint="eastAsia"/>
                <w:color w:val="auto"/>
                <w:highlight w:val="none"/>
              </w:rPr>
              <w:t>10</w:t>
            </w:r>
          </w:p>
        </w:tc>
        <w:tc>
          <w:tcPr>
            <w:tcW w:w="4217"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14:paraId="6AB5B820">
            <w:pPr>
              <w:spacing w:line="320" w:lineRule="exact"/>
              <w:jc w:val="left"/>
              <w:rPr>
                <w:color w:val="auto"/>
                <w:highlight w:val="none"/>
              </w:rPr>
            </w:pPr>
            <w:r>
              <w:rPr>
                <w:rFonts w:hint="eastAsia"/>
                <w:color w:val="auto"/>
                <w:highlight w:val="none"/>
              </w:rPr>
              <w:t>发现在工作时间关门，发现一次扣0.1分。</w:t>
            </w:r>
          </w:p>
          <w:p w14:paraId="29F8C90A">
            <w:pPr>
              <w:spacing w:line="320" w:lineRule="exact"/>
              <w:jc w:val="left"/>
              <w:rPr>
                <w:color w:val="auto"/>
                <w:highlight w:val="none"/>
              </w:rPr>
            </w:pPr>
            <w:r>
              <w:rPr>
                <w:rFonts w:hint="eastAsia"/>
                <w:color w:val="auto"/>
                <w:highlight w:val="none"/>
              </w:rPr>
              <w:t>发现夜间未关门一次扣0.2分。</w:t>
            </w:r>
          </w:p>
        </w:tc>
      </w:tr>
    </w:tbl>
    <w:p w14:paraId="362AADEA">
      <w:pPr>
        <w:pStyle w:val="2"/>
        <w:rPr>
          <w:color w:val="auto"/>
          <w:highlight w:val="none"/>
        </w:rPr>
      </w:pPr>
    </w:p>
    <w:p w14:paraId="32D7CDDF">
      <w:pPr>
        <w:pStyle w:val="2"/>
        <w:rPr>
          <w:color w:val="auto"/>
          <w:highlight w:val="none"/>
        </w:rPr>
      </w:pPr>
    </w:p>
    <w:p w14:paraId="3C411863">
      <w:pPr>
        <w:ind w:firstLine="486" w:firstLineChars="200"/>
        <w:jc w:val="center"/>
        <w:rPr>
          <w:b/>
          <w:color w:val="auto"/>
          <w:sz w:val="32"/>
          <w:szCs w:val="32"/>
          <w:highlight w:val="none"/>
        </w:rPr>
      </w:pPr>
      <w:r>
        <w:rPr>
          <w:rFonts w:ascii="宋体" w:hAnsi="宋体"/>
          <w:color w:val="auto"/>
          <w:sz w:val="24"/>
          <w:highlight w:val="none"/>
        </w:rPr>
        <w:br w:type="page"/>
      </w:r>
    </w:p>
    <w:tbl>
      <w:tblPr>
        <w:tblStyle w:val="20"/>
        <w:tblpPr w:leftFromText="180" w:rightFromText="180" w:vertAnchor="page" w:horzAnchor="page" w:tblpX="1161" w:tblpY="1488"/>
        <w:tblOverlap w:val="never"/>
        <w:tblW w:w="9679" w:type="dxa"/>
        <w:tblInd w:w="0" w:type="dxa"/>
        <w:tblLayout w:type="fixed"/>
        <w:tblCellMar>
          <w:top w:w="0" w:type="dxa"/>
          <w:left w:w="0" w:type="dxa"/>
          <w:bottom w:w="0" w:type="dxa"/>
          <w:right w:w="0" w:type="dxa"/>
        </w:tblCellMar>
      </w:tblPr>
      <w:tblGrid>
        <w:gridCol w:w="3984"/>
        <w:gridCol w:w="1276"/>
        <w:gridCol w:w="4419"/>
      </w:tblGrid>
      <w:tr w14:paraId="56CFE359">
        <w:tblPrEx>
          <w:tblCellMar>
            <w:top w:w="0" w:type="dxa"/>
            <w:left w:w="0" w:type="dxa"/>
            <w:bottom w:w="0" w:type="dxa"/>
            <w:right w:w="0" w:type="dxa"/>
          </w:tblCellMar>
        </w:tblPrEx>
        <w:trPr>
          <w:trHeight w:val="280" w:hRule="atLeast"/>
        </w:trPr>
        <w:tc>
          <w:tcPr>
            <w:tcW w:w="9679" w:type="dxa"/>
            <w:gridSpan w:val="3"/>
            <w:tcBorders>
              <w:top w:val="nil"/>
              <w:left w:val="nil"/>
              <w:bottom w:val="single" w:color="auto" w:sz="4" w:space="0"/>
              <w:right w:val="nil"/>
            </w:tcBorders>
            <w:tcMar>
              <w:top w:w="15" w:type="dxa"/>
              <w:left w:w="15" w:type="dxa"/>
              <w:right w:w="15" w:type="dxa"/>
            </w:tcMar>
            <w:vAlign w:val="center"/>
          </w:tcPr>
          <w:p w14:paraId="460D3C47">
            <w:pPr>
              <w:widowControl/>
              <w:spacing w:line="520" w:lineRule="exact"/>
              <w:jc w:val="center"/>
              <w:textAlignment w:val="center"/>
              <w:rPr>
                <w:rFonts w:ascii="宋体" w:hAnsi="宋体"/>
                <w:b/>
                <w:color w:val="auto"/>
                <w:highlight w:val="none"/>
              </w:rPr>
            </w:pPr>
            <w:r>
              <w:rPr>
                <w:rFonts w:hint="eastAsia" w:ascii="宋体" w:hAnsi="宋体"/>
                <w:b/>
                <w:color w:val="auto"/>
                <w:kern w:val="0"/>
                <w:sz w:val="32"/>
                <w:szCs w:val="32"/>
                <w:highlight w:val="none"/>
              </w:rPr>
              <w:t>《信息网络设施设备维修维护、保养考核内容及评分细则》</w:t>
            </w:r>
          </w:p>
        </w:tc>
      </w:tr>
      <w:tr w14:paraId="6321EF3A">
        <w:tblPrEx>
          <w:tblCellMar>
            <w:top w:w="0" w:type="dxa"/>
            <w:left w:w="0" w:type="dxa"/>
            <w:bottom w:w="0" w:type="dxa"/>
            <w:right w:w="0" w:type="dxa"/>
          </w:tblCellMar>
        </w:tblPrEx>
        <w:trPr>
          <w:trHeight w:val="729" w:hRule="atLeast"/>
        </w:trPr>
        <w:tc>
          <w:tcPr>
            <w:tcW w:w="398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D3164">
            <w:pPr>
              <w:spacing w:line="520" w:lineRule="exact"/>
              <w:jc w:val="center"/>
              <w:rPr>
                <w:rFonts w:ascii="宋体" w:hAnsi="宋体"/>
                <w:color w:val="auto"/>
                <w:highlight w:val="none"/>
              </w:rPr>
            </w:pPr>
            <w:r>
              <w:rPr>
                <w:rFonts w:hint="eastAsia" w:ascii="宋体" w:hAnsi="宋体"/>
                <w:color w:val="auto"/>
                <w:highlight w:val="none"/>
              </w:rPr>
              <w:t>考核内容</w:t>
            </w:r>
          </w:p>
        </w:tc>
        <w:tc>
          <w:tcPr>
            <w:tcW w:w="1276"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103C7">
            <w:pPr>
              <w:spacing w:line="520" w:lineRule="exact"/>
              <w:jc w:val="center"/>
              <w:rPr>
                <w:rFonts w:ascii="宋体" w:hAnsi="宋体"/>
                <w:color w:val="auto"/>
                <w:highlight w:val="none"/>
              </w:rPr>
            </w:pPr>
            <w:r>
              <w:rPr>
                <w:rFonts w:hint="eastAsia" w:ascii="宋体" w:hAnsi="宋体"/>
                <w:color w:val="auto"/>
                <w:highlight w:val="none"/>
              </w:rPr>
              <w:t>分值</w:t>
            </w:r>
            <w:r>
              <w:rPr>
                <w:rFonts w:hint="eastAsia" w:ascii="宋体" w:hAnsi="宋体"/>
                <w:color w:val="auto"/>
                <w:highlight w:val="none"/>
              </w:rPr>
              <w:br w:type="textWrapping"/>
            </w:r>
            <w:r>
              <w:rPr>
                <w:rFonts w:hint="eastAsia" w:ascii="宋体" w:hAnsi="宋体"/>
                <w:color w:val="auto"/>
                <w:highlight w:val="none"/>
              </w:rPr>
              <w:t>(总分100分)</w:t>
            </w:r>
          </w:p>
        </w:tc>
        <w:tc>
          <w:tcPr>
            <w:tcW w:w="441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F8BE95">
            <w:pPr>
              <w:spacing w:line="520" w:lineRule="exact"/>
              <w:jc w:val="center"/>
              <w:rPr>
                <w:rFonts w:ascii="宋体" w:hAnsi="宋体"/>
                <w:color w:val="auto"/>
                <w:highlight w:val="none"/>
              </w:rPr>
            </w:pPr>
            <w:r>
              <w:rPr>
                <w:rFonts w:hint="eastAsia" w:ascii="宋体" w:hAnsi="宋体"/>
                <w:color w:val="auto"/>
                <w:highlight w:val="none"/>
              </w:rPr>
              <w:t>评分细则</w:t>
            </w:r>
          </w:p>
        </w:tc>
      </w:tr>
      <w:tr w14:paraId="2DCCE80C">
        <w:tblPrEx>
          <w:tblCellMar>
            <w:top w:w="0" w:type="dxa"/>
            <w:left w:w="0" w:type="dxa"/>
            <w:bottom w:w="0" w:type="dxa"/>
            <w:right w:w="0" w:type="dxa"/>
          </w:tblCellMar>
        </w:tblPrEx>
        <w:trPr>
          <w:trHeight w:val="956" w:hRule="atLeast"/>
        </w:trPr>
        <w:tc>
          <w:tcPr>
            <w:tcW w:w="3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33CCE">
            <w:pPr>
              <w:spacing w:line="520" w:lineRule="exact"/>
              <w:ind w:left="213" w:leftChars="100"/>
              <w:rPr>
                <w:rFonts w:ascii="宋体" w:hAnsi="宋体"/>
                <w:color w:val="auto"/>
                <w:highlight w:val="none"/>
              </w:rPr>
            </w:pPr>
            <w:r>
              <w:rPr>
                <w:rFonts w:hint="eastAsia" w:ascii="宋体" w:hAnsi="宋体"/>
                <w:color w:val="auto"/>
                <w:highlight w:val="none"/>
              </w:rPr>
              <w:t>1.执行党校有关工程维修管理的文件和规定,积极配合相关部门的管理工作。</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D6D6D">
            <w:pPr>
              <w:spacing w:line="520" w:lineRule="exact"/>
              <w:jc w:val="center"/>
              <w:rPr>
                <w:rFonts w:ascii="宋体" w:hAnsi="宋体"/>
                <w:color w:val="auto"/>
                <w:highlight w:val="none"/>
              </w:rPr>
            </w:pPr>
            <w:r>
              <w:rPr>
                <w:rFonts w:hint="eastAsia" w:ascii="宋体" w:hAnsi="宋体"/>
                <w:color w:val="auto"/>
                <w:highlight w:val="none"/>
              </w:rPr>
              <w:t>10</w:t>
            </w:r>
          </w:p>
        </w:tc>
        <w:tc>
          <w:tcPr>
            <w:tcW w:w="4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1284E">
            <w:pPr>
              <w:spacing w:line="520" w:lineRule="exact"/>
              <w:ind w:left="213" w:leftChars="100"/>
              <w:rPr>
                <w:rFonts w:ascii="宋体" w:hAnsi="宋体"/>
                <w:color w:val="auto"/>
                <w:highlight w:val="none"/>
              </w:rPr>
            </w:pPr>
            <w:r>
              <w:rPr>
                <w:rFonts w:hint="eastAsia" w:ascii="宋体" w:hAnsi="宋体"/>
                <w:color w:val="auto"/>
                <w:highlight w:val="none"/>
              </w:rPr>
              <w:t>不认真执行党校有关文件和规定1次扣1分,不积极配合行政部门的管理工作,1次扣0.5分。</w:t>
            </w:r>
          </w:p>
        </w:tc>
      </w:tr>
      <w:tr w14:paraId="0B3B617A">
        <w:tblPrEx>
          <w:tblCellMar>
            <w:top w:w="0" w:type="dxa"/>
            <w:left w:w="0" w:type="dxa"/>
            <w:bottom w:w="0" w:type="dxa"/>
            <w:right w:w="0" w:type="dxa"/>
          </w:tblCellMar>
        </w:tblPrEx>
        <w:trPr>
          <w:trHeight w:val="672" w:hRule="atLeast"/>
        </w:trPr>
        <w:tc>
          <w:tcPr>
            <w:tcW w:w="3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C9845">
            <w:pPr>
              <w:spacing w:line="520" w:lineRule="exact"/>
              <w:ind w:left="213" w:leftChars="100"/>
              <w:rPr>
                <w:rFonts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加强信息管理管理。明确岗位职责、操作流程，建立健全管理制度。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1ECE3">
            <w:pPr>
              <w:spacing w:line="520" w:lineRule="exact"/>
              <w:jc w:val="center"/>
              <w:rPr>
                <w:rFonts w:ascii="宋体" w:hAnsi="宋体"/>
                <w:color w:val="auto"/>
                <w:highlight w:val="none"/>
              </w:rPr>
            </w:pPr>
            <w:r>
              <w:rPr>
                <w:rFonts w:hint="eastAsia" w:ascii="宋体" w:hAnsi="宋体"/>
                <w:color w:val="auto"/>
                <w:highlight w:val="none"/>
              </w:rPr>
              <w:t>5</w:t>
            </w:r>
          </w:p>
        </w:tc>
        <w:tc>
          <w:tcPr>
            <w:tcW w:w="4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0323D">
            <w:pPr>
              <w:spacing w:line="520" w:lineRule="exact"/>
              <w:ind w:left="213" w:leftChars="100"/>
              <w:rPr>
                <w:rFonts w:ascii="宋体" w:hAnsi="宋体"/>
                <w:color w:val="auto"/>
                <w:highlight w:val="none"/>
              </w:rPr>
            </w:pPr>
            <w:r>
              <w:rPr>
                <w:rFonts w:hint="eastAsia" w:ascii="宋体" w:hAnsi="宋体"/>
                <w:color w:val="auto"/>
                <w:highlight w:val="none"/>
              </w:rPr>
              <w:t>相应管理制度缺失的,每项扣 1分。</w:t>
            </w:r>
          </w:p>
        </w:tc>
      </w:tr>
      <w:tr w14:paraId="07B08231">
        <w:tblPrEx>
          <w:tblCellMar>
            <w:top w:w="0" w:type="dxa"/>
            <w:left w:w="0" w:type="dxa"/>
            <w:bottom w:w="0" w:type="dxa"/>
            <w:right w:w="0" w:type="dxa"/>
          </w:tblCellMar>
        </w:tblPrEx>
        <w:trPr>
          <w:trHeight w:val="990" w:hRule="atLeast"/>
        </w:trPr>
        <w:tc>
          <w:tcPr>
            <w:tcW w:w="3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ADBBC">
            <w:pPr>
              <w:spacing w:line="520" w:lineRule="exact"/>
              <w:ind w:left="213" w:leftChars="100"/>
              <w:rPr>
                <w:rFonts w:ascii="宋体" w:hAnsi="宋体"/>
                <w:color w:val="auto"/>
                <w:highlight w:val="none"/>
              </w:rPr>
            </w:pPr>
            <w:r>
              <w:rPr>
                <w:rFonts w:hint="eastAsia" w:ascii="宋体" w:hAnsi="宋体"/>
                <w:color w:val="auto"/>
                <w:highlight w:val="none"/>
              </w:rPr>
              <w:t>3.工作时间穿着维修专业工作服,佩戴工作证(牌)。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A64CD">
            <w:pPr>
              <w:spacing w:line="520" w:lineRule="exact"/>
              <w:jc w:val="center"/>
              <w:rPr>
                <w:rFonts w:ascii="宋体" w:hAnsi="宋体"/>
                <w:color w:val="auto"/>
                <w:highlight w:val="none"/>
              </w:rPr>
            </w:pPr>
            <w:r>
              <w:rPr>
                <w:rFonts w:hint="eastAsia" w:ascii="宋体" w:hAnsi="宋体"/>
                <w:color w:val="auto"/>
                <w:highlight w:val="none"/>
              </w:rPr>
              <w:t>5</w:t>
            </w:r>
          </w:p>
        </w:tc>
        <w:tc>
          <w:tcPr>
            <w:tcW w:w="4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FFA08">
            <w:pPr>
              <w:spacing w:line="520" w:lineRule="exact"/>
              <w:ind w:left="213" w:leftChars="100"/>
              <w:rPr>
                <w:rFonts w:ascii="宋体" w:hAnsi="宋体"/>
                <w:color w:val="auto"/>
                <w:highlight w:val="none"/>
              </w:rPr>
            </w:pPr>
            <w:r>
              <w:rPr>
                <w:rFonts w:hint="eastAsia" w:ascii="宋体" w:hAnsi="宋体"/>
                <w:color w:val="auto"/>
                <w:highlight w:val="none"/>
              </w:rPr>
              <w:t>未穿戴维修工作服或未佩戴工作证(牌),发现1次扣0.5分。</w:t>
            </w:r>
          </w:p>
        </w:tc>
      </w:tr>
      <w:tr w14:paraId="296A6630">
        <w:tblPrEx>
          <w:tblCellMar>
            <w:top w:w="0" w:type="dxa"/>
            <w:left w:w="0" w:type="dxa"/>
            <w:bottom w:w="0" w:type="dxa"/>
            <w:right w:w="0" w:type="dxa"/>
          </w:tblCellMar>
        </w:tblPrEx>
        <w:trPr>
          <w:trHeight w:val="905" w:hRule="atLeast"/>
        </w:trPr>
        <w:tc>
          <w:tcPr>
            <w:tcW w:w="3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01222">
            <w:pPr>
              <w:spacing w:line="520" w:lineRule="exact"/>
              <w:ind w:left="213" w:leftChars="100"/>
              <w:rPr>
                <w:rFonts w:ascii="宋体" w:hAnsi="宋体"/>
                <w:color w:val="auto"/>
                <w:highlight w:val="none"/>
              </w:rPr>
            </w:pPr>
            <w:r>
              <w:rPr>
                <w:rFonts w:hint="eastAsia" w:ascii="宋体" w:hAnsi="宋体"/>
                <w:color w:val="auto"/>
                <w:highlight w:val="none"/>
              </w:rPr>
              <w:t>4.设施设备标识和档案建立情况；设备的使用、管理、维护制度及管理维护台账的建立情况。</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8E27B">
            <w:pPr>
              <w:spacing w:line="520" w:lineRule="exact"/>
              <w:jc w:val="center"/>
              <w:rPr>
                <w:rFonts w:ascii="宋体" w:hAnsi="宋体"/>
                <w:color w:val="auto"/>
                <w:highlight w:val="none"/>
              </w:rPr>
            </w:pPr>
            <w:r>
              <w:rPr>
                <w:rFonts w:hint="eastAsia" w:ascii="宋体" w:hAnsi="宋体"/>
                <w:color w:val="auto"/>
                <w:highlight w:val="none"/>
              </w:rPr>
              <w:t>10</w:t>
            </w:r>
          </w:p>
        </w:tc>
        <w:tc>
          <w:tcPr>
            <w:tcW w:w="4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B3BFD">
            <w:pPr>
              <w:spacing w:line="520" w:lineRule="exact"/>
              <w:ind w:left="213" w:leftChars="100"/>
              <w:rPr>
                <w:rFonts w:ascii="宋体" w:hAnsi="宋体"/>
                <w:color w:val="auto"/>
                <w:highlight w:val="none"/>
              </w:rPr>
            </w:pPr>
            <w:r>
              <w:rPr>
                <w:rFonts w:hint="eastAsia" w:ascii="宋体" w:hAnsi="宋体"/>
                <w:color w:val="auto"/>
                <w:highlight w:val="none"/>
              </w:rPr>
              <w:t>1、标识和档案建立规范不完整，缺一项扣0.5分；管理维护制度及台账建立不规范不完整，一项扣0.5分；2、缺失项多不得分。</w:t>
            </w:r>
          </w:p>
        </w:tc>
      </w:tr>
      <w:tr w14:paraId="6AD53226">
        <w:tblPrEx>
          <w:tblCellMar>
            <w:top w:w="0" w:type="dxa"/>
            <w:left w:w="0" w:type="dxa"/>
            <w:bottom w:w="0" w:type="dxa"/>
            <w:right w:w="0" w:type="dxa"/>
          </w:tblCellMar>
        </w:tblPrEx>
        <w:trPr>
          <w:trHeight w:val="960" w:hRule="atLeast"/>
        </w:trPr>
        <w:tc>
          <w:tcPr>
            <w:tcW w:w="3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D2FE1">
            <w:pPr>
              <w:spacing w:line="520" w:lineRule="exact"/>
              <w:rPr>
                <w:rFonts w:ascii="宋体" w:hAnsi="宋体"/>
                <w:color w:val="auto"/>
                <w:highlight w:val="none"/>
              </w:rPr>
            </w:pPr>
            <w:r>
              <w:rPr>
                <w:rFonts w:hint="eastAsia" w:ascii="宋体" w:hAnsi="宋体"/>
                <w:color w:val="auto"/>
                <w:highlight w:val="none"/>
              </w:rPr>
              <w:t>5.相关工作人员配置情况及工作能力。</w:t>
            </w:r>
          </w:p>
          <w:p w14:paraId="409EDDFA">
            <w:pPr>
              <w:spacing w:line="520" w:lineRule="exact"/>
              <w:ind w:left="213" w:leftChars="100"/>
              <w:rPr>
                <w:rFonts w:ascii="宋体" w:hAnsi="宋体"/>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BD164">
            <w:pPr>
              <w:spacing w:line="520" w:lineRule="exact"/>
              <w:jc w:val="center"/>
              <w:rPr>
                <w:rFonts w:ascii="宋体" w:hAnsi="宋体"/>
                <w:color w:val="auto"/>
                <w:highlight w:val="none"/>
              </w:rPr>
            </w:pPr>
            <w:r>
              <w:rPr>
                <w:rFonts w:hint="eastAsia" w:ascii="宋体" w:hAnsi="宋体"/>
                <w:color w:val="auto"/>
                <w:highlight w:val="none"/>
              </w:rPr>
              <w:t>10</w:t>
            </w:r>
          </w:p>
        </w:tc>
        <w:tc>
          <w:tcPr>
            <w:tcW w:w="4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D4497">
            <w:pPr>
              <w:spacing w:line="520" w:lineRule="exact"/>
              <w:ind w:left="213" w:leftChars="100"/>
              <w:rPr>
                <w:rFonts w:ascii="宋体" w:hAnsi="宋体"/>
                <w:color w:val="auto"/>
                <w:highlight w:val="none"/>
              </w:rPr>
            </w:pPr>
            <w:r>
              <w:rPr>
                <w:rFonts w:hint="eastAsia" w:ascii="宋体" w:hAnsi="宋体"/>
                <w:color w:val="auto"/>
                <w:highlight w:val="none"/>
              </w:rPr>
              <w:t>1、相关工作人员配置不足，缺一人扣0.5分2、人员配置不满足技术要求1人扣0.5分；3、人员配置严重不足，不能满足工作需求不得分。</w:t>
            </w:r>
          </w:p>
        </w:tc>
      </w:tr>
      <w:tr w14:paraId="631D6B02">
        <w:tblPrEx>
          <w:tblCellMar>
            <w:top w:w="0" w:type="dxa"/>
            <w:left w:w="0" w:type="dxa"/>
            <w:bottom w:w="0" w:type="dxa"/>
            <w:right w:w="0" w:type="dxa"/>
          </w:tblCellMar>
        </w:tblPrEx>
        <w:trPr>
          <w:trHeight w:val="960" w:hRule="atLeast"/>
        </w:trPr>
        <w:tc>
          <w:tcPr>
            <w:tcW w:w="3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CD8B0">
            <w:pPr>
              <w:spacing w:line="520" w:lineRule="exact"/>
              <w:ind w:left="213" w:leftChars="100"/>
              <w:rPr>
                <w:rFonts w:ascii="宋体" w:hAnsi="宋体"/>
                <w:color w:val="auto"/>
                <w:highlight w:val="none"/>
              </w:rPr>
            </w:pPr>
            <w:r>
              <w:rPr>
                <w:rFonts w:hint="eastAsia"/>
                <w:color w:val="auto"/>
                <w:highlight w:val="none"/>
              </w:rPr>
              <w:t>6.响应时间，解决问题时间，服务投诉</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531DC">
            <w:pPr>
              <w:spacing w:line="520" w:lineRule="exact"/>
              <w:jc w:val="center"/>
              <w:rPr>
                <w:color w:val="auto"/>
                <w:highlight w:val="none"/>
              </w:rPr>
            </w:pPr>
            <w:r>
              <w:rPr>
                <w:rFonts w:hint="eastAsia"/>
                <w:color w:val="auto"/>
                <w:highlight w:val="none"/>
              </w:rPr>
              <w:t>10</w:t>
            </w:r>
          </w:p>
        </w:tc>
        <w:tc>
          <w:tcPr>
            <w:tcW w:w="4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AE5B6">
            <w:pPr>
              <w:numPr>
                <w:ilvl w:val="0"/>
                <w:numId w:val="14"/>
              </w:numPr>
              <w:spacing w:before="0" w:beforeAutospacing="0" w:after="0" w:afterAutospacing="0" w:line="520" w:lineRule="exact"/>
              <w:rPr>
                <w:color w:val="auto"/>
                <w:highlight w:val="none"/>
              </w:rPr>
            </w:pPr>
            <w:r>
              <w:rPr>
                <w:rFonts w:hint="eastAsia"/>
                <w:color w:val="auto"/>
                <w:highlight w:val="none"/>
              </w:rPr>
              <w:t>响应时间：需即时响应的紧急故障或操作需求每次未即时响应扣减1分,一般性故障每次响应如超过20分钟扣减1分,扣减可累计至全部扣完为止。</w:t>
            </w:r>
          </w:p>
          <w:p w14:paraId="7A60B379">
            <w:pPr>
              <w:numPr>
                <w:ilvl w:val="0"/>
                <w:numId w:val="14"/>
              </w:numPr>
              <w:spacing w:before="0" w:beforeAutospacing="0" w:after="0" w:afterAutospacing="0" w:line="520" w:lineRule="exact"/>
              <w:rPr>
                <w:color w:val="auto"/>
                <w:highlight w:val="none"/>
              </w:rPr>
            </w:pPr>
            <w:r>
              <w:rPr>
                <w:rFonts w:hint="eastAsia"/>
                <w:color w:val="auto"/>
                <w:highlight w:val="none"/>
              </w:rPr>
              <w:t>解决故障时间：每次如非外部因素（如设备无货等）导致的问题解决时长，简单故障（如更换网线、重装系统等）超过8小时、严重故障（如需调试交换机、新安装软件系统调试、需更换大量设备等）超过48小时的每次扣减1分,扣减可累计至全部扣完为止；</w:t>
            </w:r>
          </w:p>
          <w:p w14:paraId="49A4FBEB">
            <w:pPr>
              <w:spacing w:line="520" w:lineRule="exact"/>
              <w:rPr>
                <w:rFonts w:ascii="宋体" w:hAnsi="宋体"/>
                <w:color w:val="auto"/>
                <w:highlight w:val="none"/>
              </w:rPr>
            </w:pPr>
            <w:r>
              <w:rPr>
                <w:rFonts w:hint="eastAsia"/>
                <w:color w:val="auto"/>
                <w:highlight w:val="none"/>
              </w:rPr>
              <w:t>3、服务投诉：接到投诉后，如核实属于工作人员失职或工作不到位问题的，视严重程度给予0.5--1分扣减，扣减可累计至全部扣完为止。</w:t>
            </w:r>
          </w:p>
        </w:tc>
      </w:tr>
      <w:tr w14:paraId="2D720ED7">
        <w:tblPrEx>
          <w:tblCellMar>
            <w:top w:w="0" w:type="dxa"/>
            <w:left w:w="0" w:type="dxa"/>
            <w:bottom w:w="0" w:type="dxa"/>
            <w:right w:w="0" w:type="dxa"/>
          </w:tblCellMar>
        </w:tblPrEx>
        <w:trPr>
          <w:trHeight w:val="980" w:hRule="atLeast"/>
        </w:trPr>
        <w:tc>
          <w:tcPr>
            <w:tcW w:w="3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CEA8C">
            <w:pPr>
              <w:spacing w:line="520" w:lineRule="exact"/>
              <w:ind w:left="213" w:leftChars="100"/>
              <w:rPr>
                <w:rFonts w:ascii="宋体" w:hAnsi="宋体"/>
                <w:color w:val="auto"/>
                <w:highlight w:val="none"/>
              </w:rPr>
            </w:pPr>
            <w:r>
              <w:rPr>
                <w:rFonts w:hint="eastAsia" w:ascii="宋体" w:hAnsi="宋体"/>
                <w:color w:val="auto"/>
                <w:highlight w:val="none"/>
              </w:rPr>
              <w:t>7.管理维护工作的规范性，服务态度和质量。</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21AE0">
            <w:pPr>
              <w:spacing w:line="520" w:lineRule="exact"/>
              <w:ind w:firstLine="639" w:firstLineChars="300"/>
              <w:rPr>
                <w:rFonts w:ascii="宋体" w:hAnsi="宋体"/>
                <w:color w:val="auto"/>
                <w:highlight w:val="none"/>
              </w:rPr>
            </w:pPr>
            <w:r>
              <w:rPr>
                <w:rFonts w:hint="eastAsia" w:ascii="宋体" w:hAnsi="宋体"/>
                <w:color w:val="auto"/>
                <w:highlight w:val="none"/>
              </w:rPr>
              <w:t>10</w:t>
            </w:r>
          </w:p>
        </w:tc>
        <w:tc>
          <w:tcPr>
            <w:tcW w:w="4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31178">
            <w:pPr>
              <w:spacing w:line="520" w:lineRule="exact"/>
              <w:rPr>
                <w:rFonts w:ascii="宋体" w:hAnsi="宋体"/>
                <w:color w:val="auto"/>
                <w:highlight w:val="none"/>
              </w:rPr>
            </w:pPr>
            <w:r>
              <w:rPr>
                <w:rFonts w:hint="eastAsia"/>
                <w:color w:val="auto"/>
                <w:highlight w:val="none"/>
              </w:rPr>
              <w:t>1、</w:t>
            </w:r>
            <w:r>
              <w:rPr>
                <w:rFonts w:hint="eastAsia" w:ascii="宋体" w:hAnsi="宋体"/>
                <w:color w:val="auto"/>
                <w:highlight w:val="none"/>
              </w:rPr>
              <w:t>管理维护工作规范，服务态度和质量好得10分；2、基本规范，态度和质量较好得8.5分；3、不规范，态度和质量较差不得分。</w:t>
            </w:r>
          </w:p>
        </w:tc>
      </w:tr>
      <w:tr w14:paraId="66D4B522">
        <w:tblPrEx>
          <w:tblCellMar>
            <w:top w:w="0" w:type="dxa"/>
            <w:left w:w="0" w:type="dxa"/>
            <w:bottom w:w="0" w:type="dxa"/>
            <w:right w:w="0" w:type="dxa"/>
          </w:tblCellMar>
        </w:tblPrEx>
        <w:trPr>
          <w:trHeight w:val="397" w:hRule="atLeast"/>
        </w:trPr>
        <w:tc>
          <w:tcPr>
            <w:tcW w:w="3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16FE8">
            <w:pPr>
              <w:spacing w:line="520" w:lineRule="exact"/>
              <w:ind w:firstLine="213" w:firstLineChars="100"/>
              <w:rPr>
                <w:rFonts w:ascii="宋体" w:hAnsi="宋体"/>
                <w:color w:val="auto"/>
                <w:highlight w:val="none"/>
              </w:rPr>
            </w:pPr>
            <w:r>
              <w:rPr>
                <w:rFonts w:hint="eastAsia"/>
                <w:color w:val="auto"/>
                <w:highlight w:val="none"/>
              </w:rPr>
              <w:t>8.因工作失误造成影响</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91CAB">
            <w:pPr>
              <w:spacing w:line="520" w:lineRule="exact"/>
              <w:ind w:firstLine="639" w:firstLineChars="300"/>
              <w:rPr>
                <w:rFonts w:ascii="宋体" w:hAnsi="宋体"/>
                <w:color w:val="auto"/>
                <w:highlight w:val="none"/>
              </w:rPr>
            </w:pPr>
            <w:r>
              <w:rPr>
                <w:rFonts w:hint="eastAsia" w:ascii="宋体" w:hAnsi="宋体"/>
                <w:color w:val="auto"/>
                <w:highlight w:val="none"/>
              </w:rPr>
              <w:t>10</w:t>
            </w:r>
          </w:p>
        </w:tc>
        <w:tc>
          <w:tcPr>
            <w:tcW w:w="4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EB8D9">
            <w:pPr>
              <w:spacing w:line="520" w:lineRule="exact"/>
              <w:rPr>
                <w:rFonts w:ascii="宋体" w:hAnsi="宋体"/>
                <w:color w:val="auto"/>
                <w:highlight w:val="none"/>
              </w:rPr>
            </w:pPr>
            <w:r>
              <w:rPr>
                <w:rFonts w:hint="eastAsia"/>
                <w:color w:val="auto"/>
                <w:highlight w:val="none"/>
              </w:rPr>
              <w:t>因工作失误对学校工作造成一般性影响，每次从上述总得分中再扣减1分；造成重大影响，每次从上述总得分中再扣减3分。</w:t>
            </w:r>
          </w:p>
        </w:tc>
      </w:tr>
      <w:tr w14:paraId="28824072">
        <w:tblPrEx>
          <w:tblCellMar>
            <w:top w:w="0" w:type="dxa"/>
            <w:left w:w="0" w:type="dxa"/>
            <w:bottom w:w="0" w:type="dxa"/>
            <w:right w:w="0" w:type="dxa"/>
          </w:tblCellMar>
        </w:tblPrEx>
        <w:trPr>
          <w:trHeight w:val="827" w:hRule="atLeast"/>
        </w:trPr>
        <w:tc>
          <w:tcPr>
            <w:tcW w:w="3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F0C30">
            <w:pPr>
              <w:spacing w:line="520" w:lineRule="exact"/>
              <w:ind w:left="213" w:leftChars="100"/>
              <w:rPr>
                <w:rFonts w:ascii="宋体" w:hAnsi="宋体"/>
                <w:color w:val="auto"/>
                <w:highlight w:val="none"/>
              </w:rPr>
            </w:pPr>
            <w:r>
              <w:rPr>
                <w:rFonts w:hint="eastAsia" w:ascii="宋体" w:hAnsi="宋体"/>
                <w:color w:val="auto"/>
                <w:highlight w:val="none"/>
              </w:rPr>
              <w:t>9.及时检查设施设备、发现问题及时维修。</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DC425">
            <w:pPr>
              <w:spacing w:line="520" w:lineRule="exact"/>
              <w:jc w:val="center"/>
              <w:rPr>
                <w:rFonts w:ascii="宋体" w:hAnsi="宋体"/>
                <w:color w:val="auto"/>
                <w:highlight w:val="none"/>
              </w:rPr>
            </w:pPr>
            <w:r>
              <w:rPr>
                <w:rFonts w:hint="eastAsia" w:ascii="宋体" w:hAnsi="宋体"/>
                <w:color w:val="auto"/>
                <w:highlight w:val="none"/>
              </w:rPr>
              <w:t>10</w:t>
            </w:r>
          </w:p>
        </w:tc>
        <w:tc>
          <w:tcPr>
            <w:tcW w:w="4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92B09">
            <w:pPr>
              <w:spacing w:line="520" w:lineRule="exact"/>
              <w:ind w:left="213" w:leftChars="100"/>
              <w:rPr>
                <w:rFonts w:ascii="宋体" w:hAnsi="宋体"/>
                <w:color w:val="auto"/>
                <w:highlight w:val="none"/>
              </w:rPr>
            </w:pPr>
            <w:r>
              <w:rPr>
                <w:rFonts w:hint="eastAsia" w:ascii="宋体" w:hAnsi="宋体"/>
                <w:color w:val="auto"/>
                <w:highlight w:val="none"/>
              </w:rPr>
              <w:t>没有发现或没有及时维修的1次扣0.1分。</w:t>
            </w:r>
          </w:p>
        </w:tc>
      </w:tr>
      <w:tr w14:paraId="71F14C9F">
        <w:tblPrEx>
          <w:tblCellMar>
            <w:top w:w="0" w:type="dxa"/>
            <w:left w:w="0" w:type="dxa"/>
            <w:bottom w:w="0" w:type="dxa"/>
            <w:right w:w="0" w:type="dxa"/>
          </w:tblCellMar>
        </w:tblPrEx>
        <w:trPr>
          <w:trHeight w:val="683" w:hRule="atLeast"/>
        </w:trPr>
        <w:tc>
          <w:tcPr>
            <w:tcW w:w="39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12EEB90">
            <w:pPr>
              <w:spacing w:line="520" w:lineRule="exact"/>
              <w:ind w:left="213" w:leftChars="100"/>
              <w:rPr>
                <w:rFonts w:ascii="宋体" w:hAnsi="宋体"/>
                <w:color w:val="auto"/>
                <w:highlight w:val="none"/>
              </w:rPr>
            </w:pP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维修质量良好,不出现人为失误造成的教学故障</w:t>
            </w:r>
          </w:p>
        </w:tc>
        <w:tc>
          <w:tcPr>
            <w:tcW w:w="127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E812624">
            <w:pPr>
              <w:spacing w:line="520" w:lineRule="exact"/>
              <w:jc w:val="center"/>
              <w:rPr>
                <w:rFonts w:ascii="宋体" w:hAnsi="宋体"/>
                <w:color w:val="auto"/>
                <w:highlight w:val="none"/>
              </w:rPr>
            </w:pPr>
            <w:r>
              <w:rPr>
                <w:rFonts w:hint="eastAsia" w:ascii="宋体" w:hAnsi="宋体"/>
                <w:color w:val="auto"/>
                <w:highlight w:val="none"/>
              </w:rPr>
              <w:t>10</w:t>
            </w:r>
          </w:p>
        </w:tc>
        <w:tc>
          <w:tcPr>
            <w:tcW w:w="44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AB01DDC">
            <w:pPr>
              <w:spacing w:line="520" w:lineRule="exact"/>
              <w:ind w:left="213" w:leftChars="100"/>
              <w:rPr>
                <w:rFonts w:ascii="宋体" w:hAnsi="宋体"/>
                <w:color w:val="auto"/>
                <w:highlight w:val="none"/>
              </w:rPr>
            </w:pPr>
            <w:r>
              <w:rPr>
                <w:rFonts w:hint="eastAsia" w:ascii="宋体" w:hAnsi="宋体"/>
                <w:color w:val="auto"/>
                <w:highlight w:val="none"/>
              </w:rPr>
              <w:t>出现人为失误造成的故障，1次扣0.5分。</w:t>
            </w:r>
          </w:p>
        </w:tc>
      </w:tr>
      <w:tr w14:paraId="775355D8">
        <w:tblPrEx>
          <w:tblCellMar>
            <w:top w:w="0" w:type="dxa"/>
            <w:left w:w="0" w:type="dxa"/>
            <w:bottom w:w="0" w:type="dxa"/>
            <w:right w:w="0" w:type="dxa"/>
          </w:tblCellMar>
        </w:tblPrEx>
        <w:trPr>
          <w:trHeight w:val="870" w:hRule="atLeast"/>
        </w:trPr>
        <w:tc>
          <w:tcPr>
            <w:tcW w:w="39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F42344">
            <w:pPr>
              <w:spacing w:line="520" w:lineRule="exact"/>
              <w:ind w:left="213" w:leftChars="100"/>
              <w:rPr>
                <w:rFonts w:ascii="宋体" w:hAnsi="宋体"/>
                <w:color w:val="auto"/>
                <w:highlight w:val="none"/>
              </w:rPr>
            </w:pPr>
            <w:r>
              <w:rPr>
                <w:rFonts w:hint="eastAsia" w:ascii="宋体" w:hAnsi="宋体"/>
                <w:color w:val="auto"/>
                <w:highlight w:val="none"/>
              </w:rPr>
              <w:t>11.加强安全责任宣传，加强职工安全责任意识,职工无违反安全操作,造成事故。</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2F237D">
            <w:pPr>
              <w:spacing w:line="520" w:lineRule="exact"/>
              <w:jc w:val="center"/>
              <w:rPr>
                <w:rFonts w:ascii="宋体" w:hAnsi="宋体"/>
                <w:color w:val="auto"/>
                <w:highlight w:val="none"/>
              </w:rPr>
            </w:pPr>
            <w:r>
              <w:rPr>
                <w:rFonts w:hint="eastAsia" w:ascii="宋体" w:hAnsi="宋体"/>
                <w:color w:val="auto"/>
                <w:highlight w:val="none"/>
              </w:rPr>
              <w:t>10</w:t>
            </w:r>
          </w:p>
        </w:tc>
        <w:tc>
          <w:tcPr>
            <w:tcW w:w="44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6E18EB">
            <w:pPr>
              <w:spacing w:line="520" w:lineRule="exact"/>
              <w:ind w:left="213" w:leftChars="100"/>
              <w:rPr>
                <w:rFonts w:ascii="宋体" w:hAnsi="宋体"/>
                <w:color w:val="auto"/>
                <w:highlight w:val="none"/>
              </w:rPr>
            </w:pPr>
            <w:r>
              <w:rPr>
                <w:rFonts w:hint="eastAsia" w:ascii="宋体" w:hAnsi="宋体"/>
                <w:color w:val="auto"/>
                <w:highlight w:val="none"/>
              </w:rPr>
              <w:t>违反操作规程造成事故的，1次1</w:t>
            </w:r>
            <w:r>
              <w:rPr>
                <w:rFonts w:hint="eastAsia" w:ascii="宋体" w:hAnsi="宋体"/>
                <w:color w:val="auto"/>
                <w:highlight w:val="none"/>
              </w:rPr>
              <w:br w:type="textWrapping"/>
            </w:r>
            <w:r>
              <w:rPr>
                <w:rFonts w:hint="eastAsia" w:ascii="宋体" w:hAnsi="宋体"/>
                <w:color w:val="auto"/>
                <w:highlight w:val="none"/>
              </w:rPr>
              <w:t>分。</w:t>
            </w:r>
          </w:p>
        </w:tc>
      </w:tr>
      <w:tr w14:paraId="35B38842">
        <w:tblPrEx>
          <w:tblCellMar>
            <w:top w:w="0" w:type="dxa"/>
            <w:left w:w="0" w:type="dxa"/>
            <w:bottom w:w="0" w:type="dxa"/>
            <w:right w:w="0" w:type="dxa"/>
          </w:tblCellMar>
        </w:tblPrEx>
        <w:trPr>
          <w:trHeight w:val="820" w:hRule="atLeast"/>
        </w:trPr>
        <w:tc>
          <w:tcPr>
            <w:tcW w:w="9679" w:type="dxa"/>
            <w:gridSpan w:val="3"/>
            <w:tcBorders>
              <w:top w:val="single" w:color="auto" w:sz="4" w:space="0"/>
              <w:left w:val="nil"/>
              <w:bottom w:val="nil"/>
              <w:right w:val="nil"/>
            </w:tcBorders>
            <w:tcMar>
              <w:top w:w="15" w:type="dxa"/>
              <w:left w:w="15" w:type="dxa"/>
              <w:right w:w="15" w:type="dxa"/>
            </w:tcMar>
            <w:vAlign w:val="center"/>
          </w:tcPr>
          <w:p w14:paraId="1C7C9295">
            <w:pPr>
              <w:widowControl/>
              <w:spacing w:line="520" w:lineRule="exact"/>
              <w:jc w:val="center"/>
              <w:textAlignment w:val="center"/>
              <w:rPr>
                <w:rFonts w:ascii="宋体" w:hAnsi="宋体"/>
                <w:color w:val="auto"/>
                <w:highlight w:val="none"/>
              </w:rPr>
            </w:pPr>
          </w:p>
        </w:tc>
      </w:tr>
    </w:tbl>
    <w:p w14:paraId="3AA9E109">
      <w:pPr>
        <w:jc w:val="center"/>
        <w:rPr>
          <w:rFonts w:ascii="仿宋" w:hAnsi="仿宋" w:eastAsia="仿宋"/>
          <w:b/>
          <w:bCs/>
          <w:color w:val="auto"/>
          <w:kern w:val="0"/>
          <w:sz w:val="32"/>
          <w:szCs w:val="32"/>
          <w:highlight w:val="none"/>
        </w:rPr>
      </w:pPr>
    </w:p>
    <w:p w14:paraId="68DD3CCA">
      <w:pPr>
        <w:jc w:val="center"/>
        <w:rPr>
          <w:rFonts w:ascii="仿宋" w:hAnsi="仿宋" w:eastAsia="仿宋"/>
          <w:b/>
          <w:bCs/>
          <w:color w:val="auto"/>
          <w:kern w:val="0"/>
          <w:sz w:val="32"/>
          <w:szCs w:val="32"/>
          <w:highlight w:val="none"/>
        </w:rPr>
      </w:pPr>
    </w:p>
    <w:p w14:paraId="49C29FEA">
      <w:pPr>
        <w:pStyle w:val="2"/>
        <w:rPr>
          <w:color w:val="auto"/>
          <w:highlight w:val="none"/>
        </w:rPr>
      </w:pPr>
    </w:p>
    <w:p w14:paraId="5BDA48B8">
      <w:pPr>
        <w:jc w:val="center"/>
        <w:rPr>
          <w:rFonts w:ascii="仿宋" w:hAnsi="仿宋" w:eastAsia="仿宋"/>
          <w:b/>
          <w:bCs/>
          <w:color w:val="auto"/>
          <w:kern w:val="0"/>
          <w:sz w:val="32"/>
          <w:szCs w:val="32"/>
          <w:highlight w:val="none"/>
        </w:rPr>
      </w:pPr>
    </w:p>
    <w:p w14:paraId="506BC150">
      <w:pPr>
        <w:jc w:val="center"/>
        <w:rPr>
          <w:rFonts w:ascii="仿宋" w:hAnsi="仿宋" w:eastAsia="仿宋"/>
          <w:b/>
          <w:bCs/>
          <w:color w:val="auto"/>
          <w:kern w:val="0"/>
          <w:sz w:val="32"/>
          <w:szCs w:val="32"/>
          <w:highlight w:val="none"/>
        </w:rPr>
      </w:pPr>
    </w:p>
    <w:p w14:paraId="7211AD83">
      <w:pPr>
        <w:jc w:val="center"/>
        <w:rPr>
          <w:rFonts w:ascii="仿宋" w:hAnsi="仿宋" w:eastAsia="仿宋"/>
          <w:b/>
          <w:bCs/>
          <w:color w:val="auto"/>
          <w:kern w:val="0"/>
          <w:sz w:val="32"/>
          <w:szCs w:val="32"/>
          <w:highlight w:val="none"/>
        </w:rPr>
      </w:pPr>
    </w:p>
    <w:tbl>
      <w:tblPr>
        <w:tblStyle w:val="20"/>
        <w:tblW w:w="9781" w:type="dxa"/>
        <w:jc w:val="center"/>
        <w:tblLayout w:type="fixed"/>
        <w:tblCellMar>
          <w:top w:w="0" w:type="dxa"/>
          <w:left w:w="0" w:type="dxa"/>
          <w:bottom w:w="0" w:type="dxa"/>
          <w:right w:w="0" w:type="dxa"/>
        </w:tblCellMar>
      </w:tblPr>
      <w:tblGrid>
        <w:gridCol w:w="5055"/>
        <w:gridCol w:w="1681"/>
        <w:gridCol w:w="3045"/>
      </w:tblGrid>
      <w:tr w14:paraId="1C92C6B5">
        <w:tblPrEx>
          <w:tblCellMar>
            <w:top w:w="0" w:type="dxa"/>
            <w:left w:w="0" w:type="dxa"/>
            <w:bottom w:w="0" w:type="dxa"/>
            <w:right w:w="0" w:type="dxa"/>
          </w:tblCellMar>
        </w:tblPrEx>
        <w:trPr>
          <w:trHeight w:val="260" w:hRule="atLeast"/>
          <w:jc w:val="center"/>
        </w:trPr>
        <w:tc>
          <w:tcPr>
            <w:tcW w:w="9781" w:type="dxa"/>
            <w:gridSpan w:val="3"/>
            <w:tcBorders>
              <w:top w:val="nil"/>
              <w:left w:val="nil"/>
              <w:bottom w:val="single" w:color="auto" w:sz="4" w:space="0"/>
              <w:right w:val="nil"/>
            </w:tcBorders>
            <w:tcMar>
              <w:top w:w="15" w:type="dxa"/>
              <w:left w:w="15" w:type="dxa"/>
              <w:right w:w="15" w:type="dxa"/>
            </w:tcMar>
            <w:vAlign w:val="center"/>
          </w:tcPr>
          <w:p w14:paraId="3E029E27">
            <w:pPr>
              <w:widowControl/>
              <w:jc w:val="center"/>
              <w:textAlignment w:val="center"/>
              <w:rPr>
                <w:rFonts w:ascii="宋体" w:hAnsi="宋体" w:cs="等线"/>
                <w:b/>
                <w:color w:val="auto"/>
                <w:sz w:val="24"/>
                <w:highlight w:val="none"/>
              </w:rPr>
            </w:pPr>
            <w:r>
              <w:rPr>
                <w:rFonts w:hint="eastAsia" w:ascii="宋体" w:hAnsi="宋体" w:cs="等线"/>
                <w:b/>
                <w:color w:val="auto"/>
                <w:kern w:val="0"/>
                <w:sz w:val="32"/>
                <w:szCs w:val="32"/>
                <w:highlight w:val="none"/>
              </w:rPr>
              <w:t>《环境卫生考核内容及评分细则》</w:t>
            </w:r>
          </w:p>
        </w:tc>
      </w:tr>
      <w:tr w14:paraId="70533525">
        <w:tblPrEx>
          <w:tblCellMar>
            <w:top w:w="0" w:type="dxa"/>
            <w:left w:w="0" w:type="dxa"/>
            <w:bottom w:w="0" w:type="dxa"/>
            <w:right w:w="0" w:type="dxa"/>
          </w:tblCellMar>
        </w:tblPrEx>
        <w:trPr>
          <w:trHeight w:val="800" w:hRule="atLeast"/>
          <w:jc w:val="center"/>
        </w:trPr>
        <w:tc>
          <w:tcPr>
            <w:tcW w:w="50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20E95C6">
            <w:pPr>
              <w:jc w:val="center"/>
              <w:rPr>
                <w:rFonts w:ascii="宋体" w:hAnsi="宋体"/>
                <w:color w:val="auto"/>
                <w:highlight w:val="none"/>
              </w:rPr>
            </w:pPr>
            <w:r>
              <w:rPr>
                <w:rFonts w:hint="eastAsia" w:ascii="宋体" w:hAnsi="宋体"/>
                <w:color w:val="auto"/>
                <w:highlight w:val="none"/>
              </w:rPr>
              <w:t>考核内容</w:t>
            </w:r>
          </w:p>
        </w:tc>
        <w:tc>
          <w:tcPr>
            <w:tcW w:w="16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61185B6">
            <w:pPr>
              <w:jc w:val="center"/>
              <w:rPr>
                <w:rFonts w:ascii="宋体" w:hAnsi="宋体"/>
                <w:color w:val="auto"/>
                <w:highlight w:val="none"/>
              </w:rPr>
            </w:pPr>
            <w:r>
              <w:rPr>
                <w:rFonts w:hint="eastAsia" w:ascii="宋体" w:hAnsi="宋体"/>
                <w:color w:val="auto"/>
                <w:highlight w:val="none"/>
              </w:rPr>
              <w:t>分值</w:t>
            </w:r>
            <w:r>
              <w:rPr>
                <w:rFonts w:hint="eastAsia" w:ascii="宋体" w:hAnsi="宋体"/>
                <w:color w:val="auto"/>
                <w:highlight w:val="none"/>
              </w:rPr>
              <w:br w:type="textWrapping"/>
            </w:r>
            <w:r>
              <w:rPr>
                <w:rFonts w:hint="eastAsia" w:ascii="宋体" w:hAnsi="宋体"/>
                <w:color w:val="auto"/>
                <w:highlight w:val="none"/>
              </w:rPr>
              <w:t>(总分100分)</w:t>
            </w:r>
          </w:p>
        </w:tc>
        <w:tc>
          <w:tcPr>
            <w:tcW w:w="304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C87345">
            <w:pPr>
              <w:jc w:val="center"/>
              <w:rPr>
                <w:rFonts w:ascii="宋体" w:hAnsi="宋体"/>
                <w:color w:val="auto"/>
                <w:highlight w:val="none"/>
              </w:rPr>
            </w:pPr>
            <w:r>
              <w:rPr>
                <w:rFonts w:hint="eastAsia" w:ascii="宋体" w:hAnsi="宋体"/>
                <w:color w:val="auto"/>
                <w:highlight w:val="none"/>
              </w:rPr>
              <w:t>评分细则</w:t>
            </w:r>
          </w:p>
        </w:tc>
      </w:tr>
      <w:tr w14:paraId="19F96EA8">
        <w:tblPrEx>
          <w:tblCellMar>
            <w:top w:w="0" w:type="dxa"/>
            <w:left w:w="0" w:type="dxa"/>
            <w:bottom w:w="0" w:type="dxa"/>
            <w:right w:w="0" w:type="dxa"/>
          </w:tblCellMar>
        </w:tblPrEx>
        <w:trPr>
          <w:trHeight w:val="1410" w:hRule="atLeast"/>
          <w:jc w:val="center"/>
        </w:trPr>
        <w:tc>
          <w:tcPr>
            <w:tcW w:w="50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147E851">
            <w:pPr>
              <w:ind w:left="213" w:leftChars="100"/>
              <w:rPr>
                <w:rFonts w:ascii="宋体" w:hAnsi="宋体"/>
                <w:color w:val="auto"/>
                <w:highlight w:val="none"/>
              </w:rPr>
            </w:pPr>
            <w:r>
              <w:rPr>
                <w:rFonts w:hint="eastAsia" w:ascii="宋体" w:hAnsi="宋体"/>
                <w:color w:val="auto"/>
                <w:highlight w:val="none"/>
              </w:rPr>
              <w:t>1、执行党校有关卫生的文件和规定,积极配合相关部门的卫生管理工作。</w:t>
            </w:r>
          </w:p>
        </w:tc>
        <w:tc>
          <w:tcPr>
            <w:tcW w:w="168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5A9F0D5">
            <w:pPr>
              <w:jc w:val="center"/>
              <w:rPr>
                <w:rFonts w:ascii="宋体" w:hAnsi="宋体"/>
                <w:color w:val="auto"/>
                <w:highlight w:val="none"/>
              </w:rPr>
            </w:pPr>
            <w:r>
              <w:rPr>
                <w:rFonts w:hint="eastAsia" w:ascii="宋体" w:hAnsi="宋体"/>
                <w:color w:val="auto"/>
                <w:highlight w:val="none"/>
              </w:rPr>
              <w:t>10</w:t>
            </w:r>
          </w:p>
        </w:tc>
        <w:tc>
          <w:tcPr>
            <w:tcW w:w="30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ED75331">
            <w:pPr>
              <w:ind w:left="213" w:leftChars="100"/>
              <w:rPr>
                <w:rFonts w:ascii="宋体" w:hAnsi="宋体"/>
                <w:color w:val="auto"/>
                <w:highlight w:val="none"/>
              </w:rPr>
            </w:pPr>
            <w:r>
              <w:rPr>
                <w:rFonts w:hint="eastAsia" w:ascii="宋体" w:hAnsi="宋体"/>
                <w:color w:val="auto"/>
                <w:highlight w:val="none"/>
              </w:rPr>
              <w:t>不认真执行党校有关卫生的文件和规定1次扣1分。不积极配合行政部门的卫生管理工作1次扣0.5分。</w:t>
            </w:r>
          </w:p>
        </w:tc>
      </w:tr>
      <w:tr w14:paraId="3279DD12">
        <w:tblPrEx>
          <w:tblCellMar>
            <w:top w:w="0" w:type="dxa"/>
            <w:left w:w="0" w:type="dxa"/>
            <w:bottom w:w="0" w:type="dxa"/>
            <w:right w:w="0" w:type="dxa"/>
          </w:tblCellMar>
        </w:tblPrEx>
        <w:trPr>
          <w:trHeight w:val="770" w:hRule="atLeast"/>
          <w:jc w:val="center"/>
        </w:trPr>
        <w:tc>
          <w:tcPr>
            <w:tcW w:w="5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EF936">
            <w:pPr>
              <w:ind w:left="213" w:leftChars="100"/>
              <w:rPr>
                <w:rFonts w:ascii="宋体" w:hAnsi="宋体"/>
                <w:color w:val="auto"/>
                <w:highlight w:val="none"/>
              </w:rPr>
            </w:pPr>
            <w:r>
              <w:rPr>
                <w:rFonts w:hint="eastAsia" w:ascii="宋体" w:hAnsi="宋体"/>
                <w:color w:val="auto"/>
                <w:highlight w:val="none"/>
              </w:rPr>
              <w:t>2、加强卫生基础管理,建立健全管理制度，努力提高自身管理水平。</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6670D">
            <w:pPr>
              <w:jc w:val="center"/>
              <w:rPr>
                <w:rFonts w:ascii="宋体" w:hAnsi="宋体"/>
                <w:color w:val="auto"/>
                <w:highlight w:val="none"/>
              </w:rPr>
            </w:pPr>
            <w:r>
              <w:rPr>
                <w:rFonts w:hint="eastAsia" w:ascii="宋体" w:hAnsi="宋体"/>
                <w:color w:val="auto"/>
                <w:highlight w:val="none"/>
              </w:rPr>
              <w:t>6</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5B4A9">
            <w:pPr>
              <w:ind w:left="213" w:leftChars="100"/>
              <w:rPr>
                <w:rFonts w:ascii="宋体" w:hAnsi="宋体"/>
                <w:color w:val="auto"/>
                <w:highlight w:val="none"/>
              </w:rPr>
            </w:pPr>
            <w:r>
              <w:rPr>
                <w:rFonts w:hint="eastAsia" w:ascii="宋体" w:hAnsi="宋体"/>
                <w:color w:val="auto"/>
                <w:highlight w:val="none"/>
              </w:rPr>
              <w:t>相应管理制度不建立健全的一项扣1分。</w:t>
            </w:r>
          </w:p>
        </w:tc>
      </w:tr>
      <w:tr w14:paraId="5BC44B0F">
        <w:tblPrEx>
          <w:tblCellMar>
            <w:top w:w="0" w:type="dxa"/>
            <w:left w:w="0" w:type="dxa"/>
            <w:bottom w:w="0" w:type="dxa"/>
            <w:right w:w="0" w:type="dxa"/>
          </w:tblCellMar>
        </w:tblPrEx>
        <w:trPr>
          <w:trHeight w:val="720" w:hRule="atLeast"/>
          <w:jc w:val="center"/>
        </w:trPr>
        <w:tc>
          <w:tcPr>
            <w:tcW w:w="5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25FA0">
            <w:pPr>
              <w:ind w:left="213" w:leftChars="100"/>
              <w:rPr>
                <w:rFonts w:ascii="宋体" w:hAnsi="宋体"/>
                <w:color w:val="auto"/>
                <w:highlight w:val="none"/>
              </w:rPr>
            </w:pPr>
            <w:r>
              <w:rPr>
                <w:rFonts w:hint="eastAsia" w:ascii="宋体" w:hAnsi="宋体"/>
                <w:color w:val="auto"/>
                <w:highlight w:val="none"/>
              </w:rPr>
              <w:t>3、合理安排校园卫生保洁，保持校园环境卫生整洁。</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7AD9C">
            <w:pPr>
              <w:jc w:val="center"/>
              <w:rPr>
                <w:rFonts w:ascii="宋体" w:hAnsi="宋体"/>
                <w:color w:val="auto"/>
                <w:highlight w:val="none"/>
              </w:rPr>
            </w:pPr>
            <w:r>
              <w:rPr>
                <w:rFonts w:hint="eastAsia" w:ascii="宋体" w:hAnsi="宋体"/>
                <w:color w:val="auto"/>
                <w:highlight w:val="none"/>
              </w:rPr>
              <w:t>10</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40FC8">
            <w:pPr>
              <w:ind w:left="213" w:leftChars="100"/>
              <w:rPr>
                <w:rFonts w:ascii="宋体" w:hAnsi="宋体"/>
                <w:color w:val="auto"/>
                <w:highlight w:val="none"/>
              </w:rPr>
            </w:pPr>
            <w:r>
              <w:rPr>
                <w:rFonts w:hint="eastAsia" w:ascii="宋体" w:hAnsi="宋体"/>
                <w:color w:val="auto"/>
                <w:highlight w:val="none"/>
              </w:rPr>
              <w:t>因卫生安排不合理造成党校卫生死角,发现1次扣0.1分。</w:t>
            </w:r>
          </w:p>
        </w:tc>
      </w:tr>
      <w:tr w14:paraId="79126C95">
        <w:tblPrEx>
          <w:tblCellMar>
            <w:top w:w="0" w:type="dxa"/>
            <w:left w:w="0" w:type="dxa"/>
            <w:bottom w:w="0" w:type="dxa"/>
            <w:right w:w="0" w:type="dxa"/>
          </w:tblCellMar>
        </w:tblPrEx>
        <w:trPr>
          <w:trHeight w:val="880" w:hRule="atLeast"/>
          <w:jc w:val="center"/>
        </w:trPr>
        <w:tc>
          <w:tcPr>
            <w:tcW w:w="5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194D7">
            <w:pPr>
              <w:ind w:left="213" w:leftChars="100"/>
              <w:rPr>
                <w:rFonts w:ascii="宋体" w:hAnsi="宋体"/>
                <w:color w:val="auto"/>
                <w:highlight w:val="none"/>
              </w:rPr>
            </w:pPr>
            <w:r>
              <w:rPr>
                <w:rFonts w:hint="eastAsia" w:ascii="宋体" w:hAnsi="宋体"/>
                <w:color w:val="auto"/>
                <w:highlight w:val="none"/>
              </w:rPr>
              <w:t>4、清洁卫生有专职的清洁人员和明确的责任范围，实行标准化清洁、保洁。</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AF72A">
            <w:pPr>
              <w:jc w:val="center"/>
              <w:rPr>
                <w:rFonts w:ascii="宋体" w:hAnsi="宋体"/>
                <w:color w:val="auto"/>
                <w:highlight w:val="none"/>
              </w:rPr>
            </w:pPr>
            <w:r>
              <w:rPr>
                <w:rFonts w:hint="eastAsia" w:ascii="宋体" w:hAnsi="宋体"/>
                <w:color w:val="auto"/>
                <w:highlight w:val="none"/>
              </w:rPr>
              <w:t>6</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B20F1">
            <w:pPr>
              <w:ind w:left="213" w:leftChars="100"/>
              <w:rPr>
                <w:rFonts w:ascii="宋体" w:hAnsi="宋体"/>
                <w:color w:val="auto"/>
                <w:highlight w:val="none"/>
              </w:rPr>
            </w:pPr>
            <w:r>
              <w:rPr>
                <w:rFonts w:hint="eastAsia" w:ascii="宋体" w:hAnsi="宋体"/>
                <w:color w:val="auto"/>
                <w:highlight w:val="none"/>
              </w:rPr>
              <w:t>无专职清洁人员和责任范围的1处扣1分,未实行标准化保洁的1处扣0.1分。要有标准化标准</w:t>
            </w:r>
          </w:p>
        </w:tc>
      </w:tr>
      <w:tr w14:paraId="320194A1">
        <w:tblPrEx>
          <w:tblCellMar>
            <w:top w:w="0" w:type="dxa"/>
            <w:left w:w="0" w:type="dxa"/>
            <w:bottom w:w="0" w:type="dxa"/>
            <w:right w:w="0" w:type="dxa"/>
          </w:tblCellMar>
        </w:tblPrEx>
        <w:trPr>
          <w:trHeight w:val="1380" w:hRule="atLeast"/>
          <w:jc w:val="center"/>
        </w:trPr>
        <w:tc>
          <w:tcPr>
            <w:tcW w:w="5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80067">
            <w:pPr>
              <w:ind w:left="213" w:leftChars="100"/>
              <w:rPr>
                <w:rFonts w:ascii="宋体" w:hAnsi="宋体"/>
                <w:color w:val="auto"/>
                <w:highlight w:val="none"/>
              </w:rPr>
            </w:pPr>
            <w:r>
              <w:rPr>
                <w:rFonts w:hint="eastAsia" w:ascii="宋体" w:hAnsi="宋体"/>
                <w:color w:val="auto"/>
                <w:highlight w:val="none"/>
              </w:rPr>
              <w:t>5、垃圾日产日清,每天上下午二次定时收集，定时清运,每月进行二次卫生消毒灭杀。办公楼、教学楼道、暑假期进行卫生活毒灭杀。</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8B4F1">
            <w:pPr>
              <w:jc w:val="center"/>
              <w:rPr>
                <w:rFonts w:ascii="宋体" w:hAnsi="宋体"/>
                <w:color w:val="auto"/>
                <w:highlight w:val="none"/>
              </w:rPr>
            </w:pPr>
            <w:r>
              <w:rPr>
                <w:rFonts w:hint="eastAsia" w:ascii="宋体" w:hAnsi="宋体"/>
                <w:color w:val="auto"/>
                <w:highlight w:val="none"/>
              </w:rPr>
              <w:t>10</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7B4EA">
            <w:pPr>
              <w:ind w:left="213" w:leftChars="100"/>
              <w:rPr>
                <w:rFonts w:ascii="宋体" w:hAnsi="宋体"/>
                <w:color w:val="auto"/>
                <w:highlight w:val="none"/>
              </w:rPr>
            </w:pPr>
            <w:r>
              <w:rPr>
                <w:rFonts w:hint="eastAsia" w:ascii="宋体" w:hAnsi="宋体"/>
                <w:color w:val="auto"/>
                <w:highlight w:val="none"/>
              </w:rPr>
              <w:t>不日产日清或定时的1次扣0.1分,未按期进行卫生消毒灭杀1次扣0.1分,</w:t>
            </w:r>
          </w:p>
        </w:tc>
      </w:tr>
      <w:tr w14:paraId="4E4EF17E">
        <w:tblPrEx>
          <w:tblCellMar>
            <w:top w:w="0" w:type="dxa"/>
            <w:left w:w="0" w:type="dxa"/>
            <w:bottom w:w="0" w:type="dxa"/>
            <w:right w:w="0" w:type="dxa"/>
          </w:tblCellMar>
        </w:tblPrEx>
        <w:trPr>
          <w:trHeight w:val="1163" w:hRule="atLeast"/>
          <w:jc w:val="center"/>
        </w:trPr>
        <w:tc>
          <w:tcPr>
            <w:tcW w:w="5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1BBF0">
            <w:pPr>
              <w:ind w:left="213" w:leftChars="100"/>
              <w:rPr>
                <w:rFonts w:ascii="宋体" w:hAnsi="宋体"/>
                <w:color w:val="auto"/>
                <w:highlight w:val="none"/>
              </w:rPr>
            </w:pPr>
            <w:r>
              <w:rPr>
                <w:rFonts w:hint="eastAsia" w:ascii="宋体" w:hAnsi="宋体"/>
                <w:color w:val="auto"/>
                <w:highlight w:val="none"/>
              </w:rPr>
              <w:t>6、校内广场、道路、绿化地、人行道等公共场所目视地而无杂物、无明显污渍,路面垃圾滞留时间不能超过2小时。</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AC4A2">
            <w:pPr>
              <w:jc w:val="center"/>
              <w:rPr>
                <w:rFonts w:ascii="宋体" w:hAnsi="宋体"/>
                <w:color w:val="auto"/>
                <w:highlight w:val="none"/>
              </w:rPr>
            </w:pPr>
            <w:r>
              <w:rPr>
                <w:rFonts w:hint="eastAsia" w:ascii="宋体" w:hAnsi="宋体"/>
                <w:color w:val="auto"/>
                <w:highlight w:val="none"/>
              </w:rPr>
              <w:t>10</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E91AF">
            <w:pPr>
              <w:ind w:left="213" w:leftChars="100"/>
              <w:rPr>
                <w:rFonts w:ascii="宋体" w:hAnsi="宋体"/>
                <w:color w:val="auto"/>
                <w:highlight w:val="none"/>
              </w:rPr>
            </w:pPr>
            <w:r>
              <w:rPr>
                <w:rFonts w:hint="eastAsia" w:ascii="宋体" w:hAnsi="宋体"/>
                <w:color w:val="auto"/>
                <w:highlight w:val="none"/>
              </w:rPr>
              <w:t>公共场所目视地面有杂物、有明显污渍1次扣0.1分,路面垃圾滞留时间超过2小时以上的1次扣0.1分</w:t>
            </w:r>
          </w:p>
        </w:tc>
      </w:tr>
      <w:tr w14:paraId="75CBE161">
        <w:tblPrEx>
          <w:tblCellMar>
            <w:top w:w="0" w:type="dxa"/>
            <w:left w:w="0" w:type="dxa"/>
            <w:bottom w:w="0" w:type="dxa"/>
            <w:right w:w="0" w:type="dxa"/>
          </w:tblCellMar>
        </w:tblPrEx>
        <w:trPr>
          <w:trHeight w:val="1070" w:hRule="atLeast"/>
          <w:jc w:val="center"/>
        </w:trPr>
        <w:tc>
          <w:tcPr>
            <w:tcW w:w="5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56B2A">
            <w:pPr>
              <w:ind w:left="213" w:leftChars="100"/>
              <w:rPr>
                <w:rFonts w:ascii="宋体" w:hAnsi="宋体"/>
                <w:color w:val="auto"/>
                <w:highlight w:val="none"/>
              </w:rPr>
            </w:pPr>
            <w:r>
              <w:rPr>
                <w:rFonts w:hint="eastAsia" w:ascii="宋体" w:hAnsi="宋体"/>
                <w:color w:val="auto"/>
                <w:highlight w:val="none"/>
              </w:rPr>
              <w:t>7、学院教学楼及其它建筑物内的公共部位(包括楼顶)目视地而无杂物、无明显青苔,墙体无蜘蛛网</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69366">
            <w:pPr>
              <w:jc w:val="center"/>
              <w:rPr>
                <w:rFonts w:ascii="宋体" w:hAnsi="宋体"/>
                <w:color w:val="auto"/>
                <w:highlight w:val="none"/>
              </w:rPr>
            </w:pPr>
            <w:r>
              <w:rPr>
                <w:rFonts w:hint="eastAsia" w:ascii="宋体" w:hAnsi="宋体"/>
                <w:color w:val="auto"/>
                <w:highlight w:val="none"/>
              </w:rPr>
              <w:t>10</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B6C17">
            <w:pPr>
              <w:ind w:left="213" w:leftChars="100"/>
              <w:rPr>
                <w:rFonts w:ascii="宋体" w:hAnsi="宋体"/>
                <w:color w:val="auto"/>
                <w:highlight w:val="none"/>
              </w:rPr>
            </w:pPr>
            <w:r>
              <w:rPr>
                <w:rFonts w:hint="eastAsia" w:ascii="宋体" w:hAnsi="宋体"/>
                <w:color w:val="auto"/>
                <w:highlight w:val="none"/>
              </w:rPr>
              <w:t>视地面有杂物、有明显污渍1次扣0.1分,有蜘蛛网1次扣0.1分。</w:t>
            </w:r>
          </w:p>
        </w:tc>
      </w:tr>
      <w:tr w14:paraId="54D8F63A">
        <w:tblPrEx>
          <w:tblCellMar>
            <w:top w:w="0" w:type="dxa"/>
            <w:left w:w="0" w:type="dxa"/>
            <w:bottom w:w="0" w:type="dxa"/>
            <w:right w:w="0" w:type="dxa"/>
          </w:tblCellMar>
        </w:tblPrEx>
        <w:trPr>
          <w:jc w:val="center"/>
        </w:trPr>
        <w:tc>
          <w:tcPr>
            <w:tcW w:w="5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553C8">
            <w:pPr>
              <w:ind w:left="213" w:leftChars="100"/>
              <w:rPr>
                <w:rFonts w:ascii="宋体" w:hAnsi="宋体"/>
                <w:color w:val="auto"/>
                <w:highlight w:val="none"/>
              </w:rPr>
            </w:pPr>
            <w:r>
              <w:rPr>
                <w:rFonts w:hint="eastAsia" w:ascii="宋体" w:hAnsi="宋体"/>
                <w:color w:val="auto"/>
                <w:highlight w:val="none"/>
              </w:rPr>
              <w:t>8、路灯、监控、警示牌、宣传标识牌每周一次保洁、果皮箱、垃圾桶等每天保洁一次,无蜘蛛网。苍蝇,蚊虫及乱贴小广告等现象。</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8719C">
            <w:pPr>
              <w:jc w:val="center"/>
              <w:rPr>
                <w:rFonts w:ascii="宋体" w:hAnsi="宋体"/>
                <w:color w:val="auto"/>
                <w:highlight w:val="none"/>
              </w:rPr>
            </w:pPr>
            <w:r>
              <w:rPr>
                <w:rFonts w:hint="eastAsia" w:ascii="宋体" w:hAnsi="宋体"/>
                <w:color w:val="auto"/>
                <w:highlight w:val="none"/>
              </w:rPr>
              <w:t>10</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06266">
            <w:pPr>
              <w:ind w:left="213" w:leftChars="100"/>
              <w:rPr>
                <w:rFonts w:ascii="宋体" w:hAnsi="宋体"/>
                <w:color w:val="auto"/>
                <w:highlight w:val="none"/>
              </w:rPr>
            </w:pPr>
            <w:r>
              <w:rPr>
                <w:rFonts w:hint="eastAsia" w:ascii="宋体" w:hAnsi="宋体"/>
                <w:color w:val="auto"/>
                <w:highlight w:val="none"/>
              </w:rPr>
              <w:t>有蜘蛛网、苍蝇、蚊虫及乱贴小广告等现象或未按期进行保洁1次扣0.1分,</w:t>
            </w:r>
          </w:p>
        </w:tc>
      </w:tr>
      <w:tr w14:paraId="0CA8BF56">
        <w:tblPrEx>
          <w:tblCellMar>
            <w:top w:w="0" w:type="dxa"/>
            <w:left w:w="0" w:type="dxa"/>
            <w:bottom w:w="0" w:type="dxa"/>
            <w:right w:w="0" w:type="dxa"/>
          </w:tblCellMar>
        </w:tblPrEx>
        <w:trPr>
          <w:trHeight w:val="1710" w:hRule="atLeast"/>
          <w:jc w:val="center"/>
        </w:trPr>
        <w:tc>
          <w:tcPr>
            <w:tcW w:w="50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955C1E6">
            <w:pPr>
              <w:ind w:left="213" w:leftChars="100"/>
              <w:rPr>
                <w:rFonts w:ascii="宋体" w:hAnsi="宋体"/>
                <w:color w:val="auto"/>
                <w:highlight w:val="none"/>
              </w:rPr>
            </w:pPr>
            <w:r>
              <w:rPr>
                <w:rFonts w:hint="eastAsia" w:ascii="宋体" w:hAnsi="宋体"/>
                <w:color w:val="auto"/>
                <w:highlight w:val="none"/>
              </w:rPr>
              <w:t>9、学院数学楼及其它公共部分的外栅栏 (3米以下)由乙方负责卫生。室内和走道卫生由乙方负责。扶梯扶手每周3次保洁。无明显污渍,无蜘蛛网</w:t>
            </w:r>
          </w:p>
        </w:tc>
        <w:tc>
          <w:tcPr>
            <w:tcW w:w="168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A5305AB">
            <w:pPr>
              <w:jc w:val="center"/>
              <w:rPr>
                <w:rFonts w:ascii="宋体" w:hAnsi="宋体"/>
                <w:color w:val="auto"/>
                <w:highlight w:val="none"/>
              </w:rPr>
            </w:pPr>
            <w:r>
              <w:rPr>
                <w:rFonts w:hint="eastAsia" w:ascii="宋体" w:hAnsi="宋体"/>
                <w:color w:val="auto"/>
                <w:highlight w:val="none"/>
              </w:rPr>
              <w:t>8</w:t>
            </w:r>
          </w:p>
        </w:tc>
        <w:tc>
          <w:tcPr>
            <w:tcW w:w="30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E321836">
            <w:pPr>
              <w:ind w:left="213" w:leftChars="100"/>
              <w:rPr>
                <w:rFonts w:ascii="宋体" w:hAnsi="宋体"/>
                <w:color w:val="auto"/>
                <w:highlight w:val="none"/>
              </w:rPr>
            </w:pPr>
            <w:r>
              <w:rPr>
                <w:rFonts w:hint="eastAsia" w:ascii="宋体" w:hAnsi="宋体"/>
                <w:color w:val="auto"/>
                <w:highlight w:val="none"/>
              </w:rPr>
              <w:t>有明显污渍或蜘蛛网1次扣0.1分</w:t>
            </w:r>
          </w:p>
        </w:tc>
      </w:tr>
      <w:tr w14:paraId="0E2F0F9F">
        <w:tblPrEx>
          <w:tblCellMar>
            <w:top w:w="0" w:type="dxa"/>
            <w:left w:w="0" w:type="dxa"/>
            <w:bottom w:w="0" w:type="dxa"/>
            <w:right w:w="0" w:type="dxa"/>
          </w:tblCellMar>
        </w:tblPrEx>
        <w:trPr>
          <w:trHeight w:val="830" w:hRule="atLeast"/>
          <w:jc w:val="center"/>
        </w:trPr>
        <w:tc>
          <w:tcPr>
            <w:tcW w:w="5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F5DB6D">
            <w:pPr>
              <w:ind w:left="213" w:leftChars="100"/>
              <w:rPr>
                <w:rFonts w:ascii="宋体" w:hAnsi="宋体"/>
                <w:color w:val="auto"/>
                <w:highlight w:val="none"/>
              </w:rPr>
            </w:pPr>
            <w:r>
              <w:rPr>
                <w:rFonts w:hint="eastAsia" w:ascii="宋体" w:hAnsi="宋体"/>
                <w:color w:val="auto"/>
                <w:highlight w:val="none"/>
              </w:rPr>
              <w:t>10、学校如果发生停水时，要保证学</w:t>
            </w:r>
            <w:r>
              <w:rPr>
                <w:rFonts w:hint="eastAsia" w:ascii="宋体" w:hAnsi="宋体"/>
                <w:color w:val="auto"/>
                <w:highlight w:val="none"/>
              </w:rPr>
              <w:br w:type="textWrapping"/>
            </w:r>
            <w:r>
              <w:rPr>
                <w:rFonts w:hint="eastAsia" w:ascii="宋体" w:hAnsi="宋体"/>
                <w:color w:val="auto"/>
                <w:highlight w:val="none"/>
              </w:rPr>
              <w:t>校环境卫生用水。</w:t>
            </w:r>
          </w:p>
        </w:tc>
        <w:tc>
          <w:tcPr>
            <w:tcW w:w="16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476818">
            <w:pPr>
              <w:jc w:val="center"/>
              <w:rPr>
                <w:rFonts w:ascii="宋体" w:hAnsi="宋体"/>
                <w:color w:val="auto"/>
                <w:highlight w:val="none"/>
              </w:rPr>
            </w:pPr>
            <w:r>
              <w:rPr>
                <w:rFonts w:hint="eastAsia" w:ascii="宋体" w:hAnsi="宋体"/>
                <w:color w:val="auto"/>
                <w:highlight w:val="none"/>
              </w:rPr>
              <w:t>2</w:t>
            </w:r>
          </w:p>
        </w:tc>
        <w:tc>
          <w:tcPr>
            <w:tcW w:w="30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C12E86">
            <w:pPr>
              <w:ind w:left="213" w:leftChars="100"/>
              <w:rPr>
                <w:rFonts w:ascii="宋体" w:hAnsi="宋体"/>
                <w:color w:val="auto"/>
                <w:highlight w:val="none"/>
              </w:rPr>
            </w:pPr>
            <w:r>
              <w:rPr>
                <w:rFonts w:hint="eastAsia" w:ascii="宋体" w:hAnsi="宋体"/>
                <w:color w:val="auto"/>
                <w:highlight w:val="none"/>
              </w:rPr>
              <w:t>发生停水时,发现未及时提供环境卫生用水情况1次扣2分</w:t>
            </w:r>
          </w:p>
        </w:tc>
      </w:tr>
      <w:tr w14:paraId="78A135A1">
        <w:tblPrEx>
          <w:tblCellMar>
            <w:top w:w="0" w:type="dxa"/>
            <w:left w:w="0" w:type="dxa"/>
            <w:bottom w:w="0" w:type="dxa"/>
            <w:right w:w="0" w:type="dxa"/>
          </w:tblCellMar>
        </w:tblPrEx>
        <w:trPr>
          <w:trHeight w:val="700" w:hRule="atLeast"/>
          <w:jc w:val="center"/>
        </w:trPr>
        <w:tc>
          <w:tcPr>
            <w:tcW w:w="9781" w:type="dxa"/>
            <w:gridSpan w:val="3"/>
            <w:tcBorders>
              <w:top w:val="single" w:color="auto" w:sz="4" w:space="0"/>
              <w:left w:val="nil"/>
              <w:bottom w:val="nil"/>
              <w:right w:val="nil"/>
            </w:tcBorders>
            <w:tcMar>
              <w:top w:w="15" w:type="dxa"/>
              <w:left w:w="15" w:type="dxa"/>
              <w:right w:w="15" w:type="dxa"/>
            </w:tcMar>
            <w:vAlign w:val="center"/>
          </w:tcPr>
          <w:p w14:paraId="045D0B09">
            <w:pPr>
              <w:pStyle w:val="2"/>
              <w:ind w:left="0" w:leftChars="0" w:firstLine="0" w:firstLineChars="0"/>
              <w:rPr>
                <w:color w:val="auto"/>
                <w:highlight w:val="none"/>
              </w:rPr>
            </w:pPr>
          </w:p>
          <w:tbl>
            <w:tblPr>
              <w:tblStyle w:val="20"/>
              <w:tblW w:w="9781" w:type="dxa"/>
              <w:jc w:val="center"/>
              <w:tblLayout w:type="fixed"/>
              <w:tblCellMar>
                <w:top w:w="0" w:type="dxa"/>
                <w:left w:w="0" w:type="dxa"/>
                <w:bottom w:w="0" w:type="dxa"/>
                <w:right w:w="0" w:type="dxa"/>
              </w:tblCellMar>
            </w:tblPr>
            <w:tblGrid>
              <w:gridCol w:w="4961"/>
              <w:gridCol w:w="1266"/>
              <w:gridCol w:w="3554"/>
            </w:tblGrid>
            <w:tr w14:paraId="1647E8BD">
              <w:tblPrEx>
                <w:tblCellMar>
                  <w:top w:w="0" w:type="dxa"/>
                  <w:left w:w="0" w:type="dxa"/>
                  <w:bottom w:w="0" w:type="dxa"/>
                  <w:right w:w="0" w:type="dxa"/>
                </w:tblCellMar>
              </w:tblPrEx>
              <w:trPr>
                <w:trHeight w:val="280" w:hRule="atLeast"/>
                <w:jc w:val="center"/>
              </w:trPr>
              <w:tc>
                <w:tcPr>
                  <w:tcW w:w="9781" w:type="dxa"/>
                  <w:gridSpan w:val="3"/>
                  <w:tcBorders>
                    <w:top w:val="nil"/>
                    <w:left w:val="nil"/>
                    <w:bottom w:val="single" w:color="auto" w:sz="4" w:space="0"/>
                    <w:right w:val="nil"/>
                  </w:tcBorders>
                  <w:tcMar>
                    <w:top w:w="15" w:type="dxa"/>
                    <w:left w:w="15" w:type="dxa"/>
                    <w:right w:w="15" w:type="dxa"/>
                  </w:tcMar>
                  <w:vAlign w:val="center"/>
                </w:tcPr>
                <w:p w14:paraId="02C476B5">
                  <w:pPr>
                    <w:widowControl/>
                    <w:jc w:val="center"/>
                    <w:textAlignment w:val="center"/>
                    <w:rPr>
                      <w:rFonts w:ascii="宋体" w:hAnsi="宋体" w:cs="等线"/>
                      <w:b/>
                      <w:color w:val="auto"/>
                      <w:sz w:val="24"/>
                      <w:highlight w:val="none"/>
                    </w:rPr>
                  </w:pPr>
                  <w:r>
                    <w:rPr>
                      <w:rFonts w:hint="eastAsia" w:ascii="宋体" w:hAnsi="宋体" w:cs="等线"/>
                      <w:b/>
                      <w:color w:val="auto"/>
                      <w:kern w:val="0"/>
                      <w:sz w:val="32"/>
                      <w:szCs w:val="32"/>
                      <w:highlight w:val="none"/>
                    </w:rPr>
                    <w:t>《生态绿化考核内容及评分细则》</w:t>
                  </w:r>
                </w:p>
              </w:tc>
            </w:tr>
            <w:tr w14:paraId="5DF2ADC8">
              <w:tblPrEx>
                <w:tblCellMar>
                  <w:top w:w="0" w:type="dxa"/>
                  <w:left w:w="0" w:type="dxa"/>
                  <w:bottom w:w="0" w:type="dxa"/>
                  <w:right w:w="0" w:type="dxa"/>
                </w:tblCellMar>
              </w:tblPrEx>
              <w:trPr>
                <w:trHeight w:val="880" w:hRule="atLeast"/>
                <w:jc w:val="center"/>
              </w:trPr>
              <w:tc>
                <w:tcPr>
                  <w:tcW w:w="496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5FC4DD9">
                  <w:pPr>
                    <w:widowControl/>
                    <w:spacing w:line="360" w:lineRule="exact"/>
                    <w:jc w:val="center"/>
                    <w:textAlignment w:val="center"/>
                    <w:rPr>
                      <w:rFonts w:ascii="宋体" w:hAnsi="宋体"/>
                      <w:color w:val="auto"/>
                      <w:highlight w:val="none"/>
                    </w:rPr>
                  </w:pPr>
                  <w:r>
                    <w:rPr>
                      <w:rFonts w:hint="eastAsia" w:ascii="宋体" w:hAnsi="宋体"/>
                      <w:color w:val="auto"/>
                      <w:kern w:val="0"/>
                      <w:highlight w:val="none"/>
                    </w:rPr>
                    <w:t>考核内容</w:t>
                  </w:r>
                </w:p>
              </w:tc>
              <w:tc>
                <w:tcPr>
                  <w:tcW w:w="126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19BCFAD">
                  <w:pPr>
                    <w:widowControl/>
                    <w:spacing w:line="360" w:lineRule="exact"/>
                    <w:jc w:val="center"/>
                    <w:textAlignment w:val="center"/>
                    <w:rPr>
                      <w:rFonts w:ascii="宋体" w:hAnsi="宋体"/>
                      <w:color w:val="auto"/>
                      <w:highlight w:val="none"/>
                    </w:rPr>
                  </w:pPr>
                  <w:r>
                    <w:rPr>
                      <w:rFonts w:hint="eastAsia" w:ascii="宋体" w:hAnsi="宋体"/>
                      <w:color w:val="auto"/>
                      <w:kern w:val="0"/>
                      <w:highlight w:val="none"/>
                    </w:rPr>
                    <w:t>分值</w:t>
                  </w:r>
                  <w:r>
                    <w:rPr>
                      <w:rFonts w:hint="eastAsia" w:ascii="宋体" w:hAnsi="宋体"/>
                      <w:color w:val="auto"/>
                      <w:kern w:val="0"/>
                      <w:highlight w:val="none"/>
                    </w:rPr>
                    <w:br w:type="textWrapping"/>
                  </w:r>
                  <w:r>
                    <w:rPr>
                      <w:rFonts w:hint="eastAsia" w:ascii="宋体" w:hAnsi="宋体"/>
                      <w:color w:val="auto"/>
                      <w:kern w:val="0"/>
                      <w:highlight w:val="none"/>
                    </w:rPr>
                    <w:t>(总分100分)</w:t>
                  </w:r>
                </w:p>
              </w:tc>
              <w:tc>
                <w:tcPr>
                  <w:tcW w:w="355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344DB75">
                  <w:pPr>
                    <w:widowControl/>
                    <w:spacing w:line="360" w:lineRule="exact"/>
                    <w:jc w:val="center"/>
                    <w:textAlignment w:val="center"/>
                    <w:rPr>
                      <w:rFonts w:ascii="宋体" w:hAnsi="宋体"/>
                      <w:color w:val="auto"/>
                      <w:highlight w:val="none"/>
                    </w:rPr>
                  </w:pPr>
                  <w:r>
                    <w:rPr>
                      <w:rFonts w:hint="eastAsia" w:ascii="宋体" w:hAnsi="宋体"/>
                      <w:color w:val="auto"/>
                      <w:kern w:val="0"/>
                      <w:highlight w:val="none"/>
                    </w:rPr>
                    <w:t>评分绍则</w:t>
                  </w:r>
                </w:p>
              </w:tc>
            </w:tr>
            <w:tr w14:paraId="0995FDEA">
              <w:tblPrEx>
                <w:tblCellMar>
                  <w:top w:w="0" w:type="dxa"/>
                  <w:left w:w="0" w:type="dxa"/>
                  <w:bottom w:w="0" w:type="dxa"/>
                  <w:right w:w="0" w:type="dxa"/>
                </w:tblCellMar>
              </w:tblPrEx>
              <w:trPr>
                <w:trHeight w:val="965"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D5191">
                  <w:pPr>
                    <w:spacing w:line="360" w:lineRule="exact"/>
                    <w:rPr>
                      <w:color w:val="auto"/>
                      <w:highlight w:val="none"/>
                    </w:rPr>
                  </w:pPr>
                  <w:r>
                    <w:rPr>
                      <w:rFonts w:hint="eastAsia"/>
                      <w:color w:val="auto"/>
                      <w:highlight w:val="none"/>
                    </w:rPr>
                    <w:t>1、执行党校有关园林绿化管理的文件和</w:t>
                  </w:r>
                </w:p>
                <w:p w14:paraId="323483E6">
                  <w:pPr>
                    <w:spacing w:line="360" w:lineRule="exact"/>
                    <w:rPr>
                      <w:color w:val="auto"/>
                      <w:highlight w:val="none"/>
                    </w:rPr>
                  </w:pPr>
                  <w:r>
                    <w:rPr>
                      <w:rFonts w:hint="eastAsia"/>
                      <w:color w:val="auto"/>
                      <w:highlight w:val="none"/>
                    </w:rPr>
                    <w:t>规定,积极配合生态环境管理处的工作。</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E6C0F">
                  <w:pPr>
                    <w:spacing w:line="360" w:lineRule="exact"/>
                    <w:jc w:val="center"/>
                    <w:rPr>
                      <w:color w:val="auto"/>
                      <w:highlight w:val="none"/>
                    </w:rPr>
                  </w:pPr>
                  <w:r>
                    <w:rPr>
                      <w:rFonts w:hint="eastAsia"/>
                      <w:color w:val="auto"/>
                      <w:highlight w:val="none"/>
                    </w:rPr>
                    <w:t>10</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A3934">
                  <w:pPr>
                    <w:spacing w:line="360" w:lineRule="exact"/>
                    <w:rPr>
                      <w:color w:val="auto"/>
                      <w:highlight w:val="none"/>
                    </w:rPr>
                  </w:pPr>
                  <w:r>
                    <w:rPr>
                      <w:rFonts w:hint="eastAsia"/>
                      <w:color w:val="auto"/>
                      <w:highlight w:val="none"/>
                    </w:rPr>
                    <w:t>不认真执行当下有关绿化管理的文件和规定1次扣1分,不积极配合生态环境管理处的管理工作1次打0.5分。</w:t>
                  </w:r>
                </w:p>
              </w:tc>
            </w:tr>
            <w:tr w14:paraId="0D800AD1">
              <w:tblPrEx>
                <w:tblCellMar>
                  <w:top w:w="0" w:type="dxa"/>
                  <w:left w:w="0" w:type="dxa"/>
                  <w:bottom w:w="0" w:type="dxa"/>
                  <w:right w:w="0" w:type="dxa"/>
                </w:tblCellMar>
              </w:tblPrEx>
              <w:trPr>
                <w:trHeight w:val="800"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00700">
                  <w:pPr>
                    <w:spacing w:line="360" w:lineRule="exact"/>
                    <w:rPr>
                      <w:color w:val="auto"/>
                      <w:highlight w:val="none"/>
                    </w:rPr>
                  </w:pPr>
                  <w:r>
                    <w:rPr>
                      <w:rFonts w:hint="eastAsia"/>
                      <w:color w:val="auto"/>
                      <w:highlight w:val="none"/>
                    </w:rPr>
                    <w:t>2、加强基础管理和护林防火巡查,明确岗位职责，提高自身绿化养护技能和应急处理能力。</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8D8DE">
                  <w:pPr>
                    <w:spacing w:line="360" w:lineRule="exact"/>
                    <w:jc w:val="center"/>
                    <w:rPr>
                      <w:color w:val="auto"/>
                      <w:highlight w:val="none"/>
                    </w:rPr>
                  </w:pPr>
                  <w:r>
                    <w:rPr>
                      <w:rFonts w:hint="eastAsia"/>
                      <w:color w:val="auto"/>
                      <w:highlight w:val="none"/>
                    </w:rPr>
                    <w:t>8</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111A0">
                  <w:pPr>
                    <w:spacing w:line="360" w:lineRule="exact"/>
                    <w:rPr>
                      <w:color w:val="auto"/>
                      <w:highlight w:val="none"/>
                    </w:rPr>
                  </w:pPr>
                  <w:r>
                    <w:rPr>
                      <w:rFonts w:hint="eastAsia"/>
                      <w:color w:val="auto"/>
                      <w:highlight w:val="none"/>
                    </w:rPr>
                    <w:t>相应管理制度缺失的,每一项扣1分。</w:t>
                  </w:r>
                </w:p>
              </w:tc>
            </w:tr>
            <w:tr w14:paraId="7F99B8A7">
              <w:tblPrEx>
                <w:tblCellMar>
                  <w:top w:w="0" w:type="dxa"/>
                  <w:left w:w="0" w:type="dxa"/>
                  <w:bottom w:w="0" w:type="dxa"/>
                  <w:right w:w="0" w:type="dxa"/>
                </w:tblCellMar>
              </w:tblPrEx>
              <w:trPr>
                <w:trHeight w:val="820"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483F5">
                  <w:pPr>
                    <w:spacing w:line="360" w:lineRule="exact"/>
                    <w:rPr>
                      <w:color w:val="auto"/>
                      <w:highlight w:val="none"/>
                    </w:rPr>
                  </w:pPr>
                  <w:r>
                    <w:rPr>
                      <w:rFonts w:hint="eastAsia"/>
                      <w:color w:val="auto"/>
                      <w:highlight w:val="none"/>
                    </w:rPr>
                    <w:t>3、工作时间穿戴园林专业工作服，佩戴工作证(牌)。</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B2D45">
                  <w:pPr>
                    <w:spacing w:line="360" w:lineRule="exact"/>
                    <w:jc w:val="center"/>
                    <w:rPr>
                      <w:color w:val="auto"/>
                      <w:highlight w:val="none"/>
                    </w:rPr>
                  </w:pPr>
                  <w:r>
                    <w:rPr>
                      <w:rFonts w:hint="eastAsia"/>
                      <w:color w:val="auto"/>
                      <w:highlight w:val="none"/>
                    </w:rPr>
                    <w:t>6</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569EF">
                  <w:pPr>
                    <w:spacing w:line="360" w:lineRule="exact"/>
                    <w:rPr>
                      <w:color w:val="auto"/>
                      <w:highlight w:val="none"/>
                    </w:rPr>
                  </w:pPr>
                  <w:r>
                    <w:rPr>
                      <w:rFonts w:hint="eastAsia"/>
                      <w:color w:val="auto"/>
                      <w:highlight w:val="none"/>
                    </w:rPr>
                    <w:t>未穿戴园林专业工作服或未佩戴工作证(牌),发现一次扣0.5分。</w:t>
                  </w:r>
                </w:p>
              </w:tc>
            </w:tr>
            <w:tr w14:paraId="3C6B2510">
              <w:tblPrEx>
                <w:tblCellMar>
                  <w:top w:w="0" w:type="dxa"/>
                  <w:left w:w="0" w:type="dxa"/>
                  <w:bottom w:w="0" w:type="dxa"/>
                  <w:right w:w="0" w:type="dxa"/>
                </w:tblCellMar>
              </w:tblPrEx>
              <w:trPr>
                <w:trHeight w:val="800"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A77BE">
                  <w:pPr>
                    <w:spacing w:line="360" w:lineRule="exact"/>
                    <w:rPr>
                      <w:color w:val="auto"/>
                      <w:highlight w:val="none"/>
                    </w:rPr>
                  </w:pPr>
                  <w:r>
                    <w:rPr>
                      <w:rFonts w:hint="eastAsia"/>
                      <w:color w:val="auto"/>
                      <w:highlight w:val="none"/>
                    </w:rPr>
                    <w:t>4、上班时间准时,不迟到、不只退。</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D0312">
                  <w:pPr>
                    <w:spacing w:line="360" w:lineRule="exact"/>
                    <w:jc w:val="center"/>
                    <w:rPr>
                      <w:color w:val="auto"/>
                      <w:highlight w:val="none"/>
                    </w:rPr>
                  </w:pPr>
                  <w:r>
                    <w:rPr>
                      <w:rFonts w:hint="eastAsia"/>
                      <w:color w:val="auto"/>
                      <w:highlight w:val="none"/>
                    </w:rPr>
                    <w:t>6</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6E75C">
                  <w:pPr>
                    <w:spacing w:line="360" w:lineRule="exact"/>
                    <w:rPr>
                      <w:color w:val="auto"/>
                      <w:highlight w:val="none"/>
                    </w:rPr>
                  </w:pPr>
                  <w:r>
                    <w:rPr>
                      <w:rFonts w:hint="eastAsia"/>
                      <w:color w:val="auto"/>
                      <w:highlight w:val="none"/>
                    </w:rPr>
                    <w:t>无故旷工一次扣2分,迟到、早退发现一次扣0.5分。</w:t>
                  </w:r>
                </w:p>
              </w:tc>
            </w:tr>
            <w:tr w14:paraId="6ABFD144">
              <w:tblPrEx>
                <w:tblCellMar>
                  <w:top w:w="0" w:type="dxa"/>
                  <w:left w:w="0" w:type="dxa"/>
                  <w:bottom w:w="0" w:type="dxa"/>
                  <w:right w:w="0" w:type="dxa"/>
                </w:tblCellMar>
              </w:tblPrEx>
              <w:trPr>
                <w:trHeight w:val="1295"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EA06B">
                  <w:pPr>
                    <w:spacing w:line="360" w:lineRule="exact"/>
                    <w:rPr>
                      <w:color w:val="auto"/>
                      <w:highlight w:val="none"/>
                    </w:rPr>
                  </w:pPr>
                  <w:r>
                    <w:rPr>
                      <w:rFonts w:hint="eastAsia"/>
                      <w:color w:val="auto"/>
                      <w:highlight w:val="none"/>
                    </w:rPr>
                    <w:t>5、行道树生长态势良好，无明显枯枝。树穴杂章清理及时，无杂物。树穴每年松土2次。清运多余土1次。保持表土低于树穴5cm。</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2AE6A">
                  <w:pPr>
                    <w:spacing w:line="360" w:lineRule="exact"/>
                    <w:jc w:val="center"/>
                    <w:rPr>
                      <w:color w:val="auto"/>
                      <w:highlight w:val="none"/>
                    </w:rPr>
                  </w:pPr>
                  <w:r>
                    <w:rPr>
                      <w:rFonts w:hint="eastAsia"/>
                      <w:color w:val="auto"/>
                      <w:highlight w:val="none"/>
                    </w:rPr>
                    <w:t>10</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01C8F">
                  <w:pPr>
                    <w:spacing w:line="360" w:lineRule="exact"/>
                    <w:rPr>
                      <w:color w:val="auto"/>
                      <w:highlight w:val="none"/>
                    </w:rPr>
                  </w:pPr>
                  <w:r>
                    <w:rPr>
                      <w:rFonts w:hint="eastAsia"/>
                      <w:color w:val="auto"/>
                      <w:highlight w:val="none"/>
                    </w:rPr>
                    <w:t>明显枯枝0.5分/株，有明显杂草扣0.5分/处，有杂物扣0.5分/处。没有及时做好树穴的松土及清运工作扣0.5分/栋。</w:t>
                  </w:r>
                </w:p>
              </w:tc>
            </w:tr>
            <w:tr w14:paraId="3F43EDE0">
              <w:tblPrEx>
                <w:tblCellMar>
                  <w:top w:w="0" w:type="dxa"/>
                  <w:left w:w="0" w:type="dxa"/>
                  <w:bottom w:w="0" w:type="dxa"/>
                  <w:right w:w="0" w:type="dxa"/>
                </w:tblCellMar>
              </w:tblPrEx>
              <w:trPr>
                <w:trHeight w:val="1285"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3026D">
                  <w:pPr>
                    <w:spacing w:line="360" w:lineRule="exact"/>
                    <w:rPr>
                      <w:color w:val="auto"/>
                      <w:highlight w:val="none"/>
                    </w:rPr>
                  </w:pPr>
                  <w:r>
                    <w:rPr>
                      <w:rFonts w:hint="eastAsia"/>
                      <w:color w:val="auto"/>
                      <w:highlight w:val="none"/>
                    </w:rPr>
                    <w:t>6、及时防治和控制病虫害的发生。要求行道树无死株、缺株。被损行道数及时扶正,倾斜度不超过10度。</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DB695">
                  <w:pPr>
                    <w:spacing w:line="360" w:lineRule="exact"/>
                    <w:jc w:val="center"/>
                    <w:rPr>
                      <w:color w:val="auto"/>
                      <w:highlight w:val="none"/>
                    </w:rPr>
                  </w:pPr>
                  <w:r>
                    <w:rPr>
                      <w:rFonts w:hint="eastAsia"/>
                      <w:color w:val="auto"/>
                      <w:highlight w:val="none"/>
                    </w:rPr>
                    <w:t>10</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30B52">
                  <w:pPr>
                    <w:spacing w:line="360" w:lineRule="exact"/>
                    <w:rPr>
                      <w:color w:val="auto"/>
                      <w:highlight w:val="none"/>
                    </w:rPr>
                  </w:pPr>
                  <w:r>
                    <w:rPr>
                      <w:rFonts w:hint="eastAsia"/>
                      <w:color w:val="auto"/>
                      <w:highlight w:val="none"/>
                    </w:rPr>
                    <w:t>每次抽查50株,发现有明显病虫,危害率在10%至15％内0.5分。树木减少一株扣1分。倾斜超过10度扣0.5分/株。</w:t>
                  </w:r>
                </w:p>
              </w:tc>
            </w:tr>
            <w:tr w14:paraId="72C35D75">
              <w:tblPrEx>
                <w:tblCellMar>
                  <w:top w:w="0" w:type="dxa"/>
                  <w:left w:w="0" w:type="dxa"/>
                  <w:bottom w:w="0" w:type="dxa"/>
                  <w:right w:w="0" w:type="dxa"/>
                </w:tblCellMar>
              </w:tblPrEx>
              <w:trPr>
                <w:trHeight w:val="780"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77F7F">
                  <w:pPr>
                    <w:spacing w:line="360" w:lineRule="exact"/>
                    <w:rPr>
                      <w:color w:val="auto"/>
                      <w:highlight w:val="none"/>
                    </w:rPr>
                  </w:pPr>
                  <w:r>
                    <w:rPr>
                      <w:rFonts w:hint="eastAsia"/>
                      <w:color w:val="auto"/>
                      <w:highlight w:val="none"/>
                    </w:rPr>
                    <w:t>7、及时做好行道树抹芽(每年2-3次以上)，整枝(每年1次以上)。</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EF59D">
                  <w:pPr>
                    <w:spacing w:line="360" w:lineRule="exact"/>
                    <w:jc w:val="center"/>
                    <w:rPr>
                      <w:color w:val="auto"/>
                      <w:highlight w:val="none"/>
                    </w:rPr>
                  </w:pPr>
                  <w:r>
                    <w:rPr>
                      <w:rFonts w:hint="eastAsia"/>
                      <w:color w:val="auto"/>
                      <w:highlight w:val="none"/>
                    </w:rPr>
                    <w:t>10</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D3AEE">
                  <w:pPr>
                    <w:spacing w:line="360" w:lineRule="exact"/>
                    <w:rPr>
                      <w:color w:val="auto"/>
                      <w:highlight w:val="none"/>
                    </w:rPr>
                  </w:pPr>
                  <w:r>
                    <w:rPr>
                      <w:rFonts w:hint="eastAsia"/>
                      <w:color w:val="auto"/>
                      <w:highlight w:val="none"/>
                    </w:rPr>
                    <w:t>未及时做好行道树抹芽。整枝扣0.5分/株。</w:t>
                  </w:r>
                </w:p>
              </w:tc>
            </w:tr>
            <w:tr w14:paraId="25CDA7E4">
              <w:tblPrEx>
                <w:tblCellMar>
                  <w:top w:w="0" w:type="dxa"/>
                  <w:left w:w="0" w:type="dxa"/>
                  <w:bottom w:w="0" w:type="dxa"/>
                  <w:right w:w="0" w:type="dxa"/>
                </w:tblCellMar>
              </w:tblPrEx>
              <w:trPr>
                <w:trHeight w:val="1500"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DE086">
                  <w:pPr>
                    <w:spacing w:line="360" w:lineRule="exact"/>
                    <w:rPr>
                      <w:color w:val="auto"/>
                      <w:highlight w:val="none"/>
                    </w:rPr>
                  </w:pPr>
                  <w:r>
                    <w:rPr>
                      <w:rFonts w:hint="eastAsia"/>
                      <w:color w:val="auto"/>
                      <w:highlight w:val="none"/>
                    </w:rPr>
                    <w:t>8、缺株和死株及时补植，补植苗木的规格要和原来一样。</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48385">
                  <w:pPr>
                    <w:spacing w:line="360" w:lineRule="exact"/>
                    <w:jc w:val="center"/>
                    <w:rPr>
                      <w:color w:val="auto"/>
                      <w:highlight w:val="none"/>
                    </w:rPr>
                  </w:pPr>
                  <w:r>
                    <w:rPr>
                      <w:rFonts w:hint="eastAsia"/>
                      <w:color w:val="auto"/>
                      <w:highlight w:val="none"/>
                    </w:rPr>
                    <w:t>10</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EDE59">
                  <w:pPr>
                    <w:spacing w:line="360" w:lineRule="exact"/>
                    <w:rPr>
                      <w:color w:val="auto"/>
                      <w:highlight w:val="none"/>
                    </w:rPr>
                  </w:pPr>
                  <w:r>
                    <w:rPr>
                      <w:rFonts w:hint="eastAsia"/>
                      <w:color w:val="auto"/>
                      <w:highlight w:val="none"/>
                    </w:rPr>
                    <w:t>每次抽查100平方米,病虫害危害率在10%军15%内0.5分。小面积的灌木、草坪、花卉等植被的补植由乙方负责。残缺一处扣0.2分,死株扣0.2分/株。</w:t>
                  </w:r>
                </w:p>
              </w:tc>
            </w:tr>
            <w:tr w14:paraId="545E163D">
              <w:tblPrEx>
                <w:tblCellMar>
                  <w:top w:w="0" w:type="dxa"/>
                  <w:left w:w="0" w:type="dxa"/>
                  <w:bottom w:w="0" w:type="dxa"/>
                  <w:right w:w="0" w:type="dxa"/>
                </w:tblCellMar>
              </w:tblPrEx>
              <w:trPr>
                <w:trHeight w:val="1222"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57F7C">
                  <w:pPr>
                    <w:spacing w:line="360" w:lineRule="exact"/>
                    <w:rPr>
                      <w:color w:val="auto"/>
                      <w:highlight w:val="none"/>
                    </w:rPr>
                  </w:pPr>
                  <w:r>
                    <w:rPr>
                      <w:rFonts w:hint="eastAsia"/>
                      <w:color w:val="auto"/>
                      <w:highlight w:val="none"/>
                    </w:rPr>
                    <w:t>9、绿篱修剪，应促其分枝，保持全株枝叶丰满整齐，棱角分明线条清晰，符合设计、景观要求(不能超过平整而5cm)。</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542FC">
                  <w:pPr>
                    <w:spacing w:line="360" w:lineRule="exact"/>
                    <w:jc w:val="center"/>
                    <w:rPr>
                      <w:color w:val="auto"/>
                      <w:highlight w:val="none"/>
                    </w:rPr>
                  </w:pPr>
                  <w:r>
                    <w:rPr>
                      <w:rFonts w:hint="eastAsia"/>
                      <w:color w:val="auto"/>
                      <w:highlight w:val="none"/>
                    </w:rPr>
                    <w:t>10</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42F7B">
                  <w:pPr>
                    <w:spacing w:line="360" w:lineRule="exact"/>
                    <w:rPr>
                      <w:color w:val="auto"/>
                      <w:highlight w:val="none"/>
                    </w:rPr>
                  </w:pPr>
                  <w:r>
                    <w:rPr>
                      <w:rFonts w:hint="eastAsia"/>
                      <w:color w:val="auto"/>
                      <w:highlight w:val="none"/>
                    </w:rPr>
                    <w:t>发现徒长枝长度超过5cm，绿篱每米扣0.5分，色块m²扣0.5分，整形树种扣0.5分/株。</w:t>
                  </w:r>
                </w:p>
              </w:tc>
            </w:tr>
            <w:tr w14:paraId="2987ED87">
              <w:tblPrEx>
                <w:tblCellMar>
                  <w:top w:w="0" w:type="dxa"/>
                  <w:left w:w="0" w:type="dxa"/>
                  <w:bottom w:w="0" w:type="dxa"/>
                  <w:right w:w="0" w:type="dxa"/>
                </w:tblCellMar>
              </w:tblPrEx>
              <w:trPr>
                <w:trHeight w:val="1220"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2E3FC">
                  <w:pPr>
                    <w:widowControl/>
                    <w:spacing w:line="360" w:lineRule="exact"/>
                    <w:textAlignment w:val="center"/>
                    <w:rPr>
                      <w:rFonts w:ascii="宋体" w:hAnsi="宋体"/>
                      <w:color w:val="auto"/>
                      <w:highlight w:val="none"/>
                    </w:rPr>
                  </w:pPr>
                  <w:r>
                    <w:rPr>
                      <w:rFonts w:hint="eastAsia" w:ascii="宋体" w:hAnsi="宋体"/>
                      <w:color w:val="auto"/>
                      <w:kern w:val="0"/>
                      <w:highlight w:val="none"/>
                    </w:rPr>
                    <w:t>10、温室盆花长势良好，绿地花草养护良好,无明显枯枝残花,无明显杂草。</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3A378">
                  <w:pPr>
                    <w:widowControl/>
                    <w:spacing w:line="360" w:lineRule="exact"/>
                    <w:jc w:val="center"/>
                    <w:textAlignment w:val="center"/>
                    <w:rPr>
                      <w:rFonts w:ascii="宋体" w:hAnsi="宋体"/>
                      <w:color w:val="auto"/>
                      <w:highlight w:val="none"/>
                    </w:rPr>
                  </w:pPr>
                  <w:r>
                    <w:rPr>
                      <w:rFonts w:hint="eastAsia" w:ascii="宋体" w:hAnsi="宋体"/>
                      <w:color w:val="auto"/>
                      <w:kern w:val="0"/>
                      <w:highlight w:val="none"/>
                    </w:rPr>
                    <w:t>10</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4E4F6">
                  <w:pPr>
                    <w:widowControl/>
                    <w:spacing w:line="360" w:lineRule="exact"/>
                    <w:textAlignment w:val="center"/>
                    <w:rPr>
                      <w:rFonts w:ascii="宋体" w:hAnsi="宋体"/>
                      <w:color w:val="auto"/>
                      <w:highlight w:val="none"/>
                    </w:rPr>
                  </w:pPr>
                  <w:r>
                    <w:rPr>
                      <w:rFonts w:hint="eastAsia" w:ascii="宋体" w:hAnsi="宋体"/>
                      <w:color w:val="auto"/>
                      <w:kern w:val="0"/>
                      <w:highlight w:val="none"/>
                    </w:rPr>
                    <w:t>草花养护不好扣0.5分/处,明显死亡扣1分/m²。明显杂草扣0.5分/m²，裸地扣0.5分/m²。</w:t>
                  </w:r>
                </w:p>
              </w:tc>
            </w:tr>
            <w:tr w14:paraId="26C84779">
              <w:tblPrEx>
                <w:tblCellMar>
                  <w:top w:w="0" w:type="dxa"/>
                  <w:left w:w="0" w:type="dxa"/>
                  <w:bottom w:w="0" w:type="dxa"/>
                  <w:right w:w="0" w:type="dxa"/>
                </w:tblCellMar>
              </w:tblPrEx>
              <w:trPr>
                <w:trHeight w:val="548" w:hRule="atLeast"/>
                <w:jc w:val="center"/>
              </w:trPr>
              <w:tc>
                <w:tcPr>
                  <w:tcW w:w="4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4B2F7">
                  <w:pPr>
                    <w:widowControl/>
                    <w:spacing w:line="360" w:lineRule="exact"/>
                    <w:textAlignment w:val="center"/>
                    <w:rPr>
                      <w:rFonts w:ascii="宋体" w:hAnsi="宋体"/>
                      <w:color w:val="auto"/>
                      <w:highlight w:val="none"/>
                    </w:rPr>
                  </w:pPr>
                  <w:r>
                    <w:rPr>
                      <w:rFonts w:hint="eastAsia" w:ascii="宋体" w:hAnsi="宋体"/>
                      <w:color w:val="auto"/>
                      <w:kern w:val="0"/>
                      <w:highlight w:val="none"/>
                    </w:rPr>
                    <w:t>11.草坪、灌木要及时修剪,草坪高度在10厘米左右。</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3A593">
                  <w:pPr>
                    <w:widowControl/>
                    <w:spacing w:line="360" w:lineRule="exact"/>
                    <w:jc w:val="center"/>
                    <w:textAlignment w:val="center"/>
                    <w:rPr>
                      <w:rFonts w:ascii="宋体" w:hAnsi="宋体"/>
                      <w:color w:val="auto"/>
                      <w:highlight w:val="none"/>
                    </w:rPr>
                  </w:pPr>
                  <w:r>
                    <w:rPr>
                      <w:rFonts w:hint="eastAsia" w:ascii="宋体" w:hAnsi="宋体"/>
                      <w:color w:val="auto"/>
                      <w:kern w:val="0"/>
                      <w:highlight w:val="none"/>
                    </w:rPr>
                    <w:t>10</w:t>
                  </w:r>
                </w:p>
              </w:tc>
              <w:tc>
                <w:tcPr>
                  <w:tcW w:w="3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E0292">
                  <w:pPr>
                    <w:widowControl/>
                    <w:spacing w:line="360" w:lineRule="exact"/>
                    <w:textAlignment w:val="center"/>
                    <w:rPr>
                      <w:rFonts w:ascii="宋体" w:hAnsi="宋体"/>
                      <w:color w:val="auto"/>
                      <w:highlight w:val="none"/>
                    </w:rPr>
                  </w:pPr>
                  <w:r>
                    <w:rPr>
                      <w:rFonts w:hint="eastAsia" w:ascii="宋体" w:hAnsi="宋体"/>
                      <w:color w:val="auto"/>
                      <w:kern w:val="0"/>
                      <w:highlight w:val="none"/>
                    </w:rPr>
                    <w:t>没有及时修剪扣0.1分/m²。</w:t>
                  </w:r>
                </w:p>
              </w:tc>
            </w:tr>
          </w:tbl>
          <w:p w14:paraId="78FAD2E6">
            <w:pPr>
              <w:pStyle w:val="2"/>
              <w:rPr>
                <w:color w:val="auto"/>
                <w:highlight w:val="none"/>
              </w:rPr>
            </w:pPr>
          </w:p>
        </w:tc>
      </w:tr>
    </w:tbl>
    <w:p w14:paraId="647BA770">
      <w:pPr>
        <w:jc w:val="center"/>
        <w:rPr>
          <w:rFonts w:ascii="宋体" w:hAnsi="宋体"/>
          <w:b/>
          <w:bCs/>
          <w:color w:val="auto"/>
          <w:sz w:val="32"/>
          <w:szCs w:val="32"/>
          <w:highlight w:val="none"/>
        </w:rPr>
      </w:pPr>
      <w:r>
        <w:rPr>
          <w:rFonts w:ascii="仿宋" w:hAnsi="仿宋" w:eastAsia="仿宋"/>
          <w:b/>
          <w:bCs/>
          <w:color w:val="auto"/>
          <w:kern w:val="0"/>
          <w:sz w:val="32"/>
          <w:szCs w:val="32"/>
          <w:highlight w:val="none"/>
        </w:rPr>
        <w:br w:type="page"/>
      </w:r>
      <w:r>
        <w:rPr>
          <w:rFonts w:hint="eastAsia" w:ascii="宋体" w:hAnsi="宋体"/>
          <w:b/>
          <w:bCs/>
          <w:color w:val="auto"/>
          <w:kern w:val="0"/>
          <w:sz w:val="32"/>
          <w:szCs w:val="32"/>
          <w:highlight w:val="none"/>
        </w:rPr>
        <w:t>工程管理标准及考核细则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6891"/>
        <w:gridCol w:w="932"/>
      </w:tblGrid>
      <w:tr w14:paraId="71F7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46" w:type="dxa"/>
            <w:vAlign w:val="center"/>
          </w:tcPr>
          <w:p w14:paraId="78712C3A">
            <w:pPr>
              <w:spacing w:line="480" w:lineRule="exact"/>
              <w:jc w:val="center"/>
              <w:rPr>
                <w:rFonts w:ascii="宋体" w:hAnsi="宋体"/>
                <w:b/>
                <w:color w:val="auto"/>
                <w:highlight w:val="none"/>
              </w:rPr>
            </w:pPr>
            <w:r>
              <w:rPr>
                <w:rFonts w:hint="eastAsia" w:ascii="宋体" w:hAnsi="宋体"/>
                <w:b/>
                <w:color w:val="auto"/>
                <w:highlight w:val="none"/>
              </w:rPr>
              <w:t>项  目</w:t>
            </w:r>
          </w:p>
        </w:tc>
        <w:tc>
          <w:tcPr>
            <w:tcW w:w="6891" w:type="dxa"/>
            <w:vAlign w:val="center"/>
          </w:tcPr>
          <w:p w14:paraId="27906213">
            <w:pPr>
              <w:spacing w:line="480" w:lineRule="exact"/>
              <w:jc w:val="center"/>
              <w:rPr>
                <w:rFonts w:ascii="宋体" w:hAnsi="宋体"/>
                <w:b/>
                <w:color w:val="auto"/>
                <w:highlight w:val="none"/>
              </w:rPr>
            </w:pPr>
            <w:r>
              <w:rPr>
                <w:rFonts w:hint="eastAsia" w:ascii="宋体" w:hAnsi="宋体"/>
                <w:b/>
                <w:color w:val="auto"/>
                <w:highlight w:val="none"/>
              </w:rPr>
              <w:t>考核内容</w:t>
            </w:r>
          </w:p>
        </w:tc>
        <w:tc>
          <w:tcPr>
            <w:tcW w:w="932" w:type="dxa"/>
            <w:vAlign w:val="center"/>
          </w:tcPr>
          <w:p w14:paraId="1194BCF3">
            <w:pPr>
              <w:spacing w:line="480" w:lineRule="exact"/>
              <w:jc w:val="center"/>
              <w:rPr>
                <w:rFonts w:ascii="宋体" w:hAnsi="宋体"/>
                <w:b/>
                <w:color w:val="auto"/>
                <w:highlight w:val="none"/>
              </w:rPr>
            </w:pPr>
            <w:r>
              <w:rPr>
                <w:rFonts w:hint="eastAsia" w:ascii="宋体" w:hAnsi="宋体"/>
                <w:b/>
                <w:color w:val="auto"/>
                <w:highlight w:val="none"/>
              </w:rPr>
              <w:t>评分</w:t>
            </w:r>
          </w:p>
          <w:p w14:paraId="53841C57">
            <w:pPr>
              <w:spacing w:line="480" w:lineRule="exact"/>
              <w:jc w:val="center"/>
              <w:rPr>
                <w:rFonts w:ascii="宋体" w:hAnsi="宋体"/>
                <w:b/>
                <w:color w:val="auto"/>
                <w:highlight w:val="none"/>
              </w:rPr>
            </w:pPr>
            <w:r>
              <w:rPr>
                <w:rFonts w:hint="eastAsia" w:ascii="宋体" w:hAnsi="宋体"/>
                <w:b/>
                <w:color w:val="auto"/>
                <w:highlight w:val="none"/>
              </w:rPr>
              <w:t>标准</w:t>
            </w:r>
          </w:p>
        </w:tc>
      </w:tr>
      <w:tr w14:paraId="3F09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46" w:type="dxa"/>
            <w:vMerge w:val="restart"/>
            <w:vAlign w:val="center"/>
          </w:tcPr>
          <w:p w14:paraId="1E51506C">
            <w:pPr>
              <w:spacing w:line="480" w:lineRule="exact"/>
              <w:jc w:val="center"/>
              <w:rPr>
                <w:rFonts w:ascii="宋体" w:hAnsi="宋体"/>
                <w:color w:val="auto"/>
                <w:highlight w:val="none"/>
              </w:rPr>
            </w:pPr>
            <w:r>
              <w:rPr>
                <w:rFonts w:hint="eastAsia" w:ascii="宋体" w:hAnsi="宋体"/>
                <w:color w:val="auto"/>
                <w:highlight w:val="none"/>
              </w:rPr>
              <w:t xml:space="preserve">基础管理（5分） </w:t>
            </w:r>
          </w:p>
        </w:tc>
        <w:tc>
          <w:tcPr>
            <w:tcW w:w="6891" w:type="dxa"/>
            <w:vAlign w:val="center"/>
          </w:tcPr>
          <w:p w14:paraId="4326D550">
            <w:pPr>
              <w:numPr>
                <w:ilvl w:val="0"/>
                <w:numId w:val="15"/>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遵纪守法，安全生产意识强，无违章作业现象</w:t>
            </w:r>
          </w:p>
        </w:tc>
        <w:tc>
          <w:tcPr>
            <w:tcW w:w="932" w:type="dxa"/>
            <w:vMerge w:val="restart"/>
            <w:vAlign w:val="center"/>
          </w:tcPr>
          <w:p w14:paraId="58F23243">
            <w:pPr>
              <w:spacing w:line="480" w:lineRule="exact"/>
              <w:rPr>
                <w:rFonts w:ascii="宋体" w:hAnsi="宋体"/>
                <w:color w:val="auto"/>
                <w:highlight w:val="none"/>
              </w:rPr>
            </w:pPr>
            <w:r>
              <w:rPr>
                <w:rFonts w:hint="eastAsia" w:ascii="宋体" w:hAnsi="宋体"/>
                <w:color w:val="auto"/>
                <w:highlight w:val="none"/>
              </w:rPr>
              <w:t>不符合要求人/</w:t>
            </w:r>
            <w:r>
              <w:rPr>
                <w:rFonts w:ascii="宋体" w:hAnsi="宋体"/>
                <w:color w:val="auto"/>
                <w:kern w:val="0"/>
                <w:highlight w:val="none"/>
              </w:rPr>
              <w:t>次/</w:t>
            </w:r>
            <w:r>
              <w:rPr>
                <w:rFonts w:hint="eastAsia" w:ascii="宋体" w:hAnsi="宋体"/>
                <w:color w:val="auto"/>
                <w:kern w:val="0"/>
                <w:highlight w:val="none"/>
              </w:rPr>
              <w:t>-1</w:t>
            </w:r>
            <w:r>
              <w:rPr>
                <w:rFonts w:ascii="宋体" w:hAnsi="宋体"/>
                <w:color w:val="auto"/>
                <w:kern w:val="0"/>
                <w:highlight w:val="none"/>
              </w:rPr>
              <w:t>分</w:t>
            </w:r>
          </w:p>
        </w:tc>
      </w:tr>
      <w:tr w14:paraId="02EF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46" w:type="dxa"/>
            <w:vMerge w:val="continue"/>
            <w:vAlign w:val="center"/>
          </w:tcPr>
          <w:p w14:paraId="7E8EC449">
            <w:pPr>
              <w:spacing w:line="480" w:lineRule="exact"/>
              <w:jc w:val="center"/>
              <w:rPr>
                <w:rFonts w:ascii="宋体" w:hAnsi="宋体"/>
                <w:color w:val="auto"/>
                <w:highlight w:val="none"/>
              </w:rPr>
            </w:pPr>
          </w:p>
        </w:tc>
        <w:tc>
          <w:tcPr>
            <w:tcW w:w="6891" w:type="dxa"/>
            <w:vAlign w:val="center"/>
          </w:tcPr>
          <w:p w14:paraId="27C3245B">
            <w:pPr>
              <w:numPr>
                <w:ilvl w:val="0"/>
                <w:numId w:val="15"/>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持证上岗，身体健康，合法用工，无违法犯罪记录</w:t>
            </w:r>
          </w:p>
        </w:tc>
        <w:tc>
          <w:tcPr>
            <w:tcW w:w="932" w:type="dxa"/>
            <w:vMerge w:val="continue"/>
            <w:vAlign w:val="center"/>
          </w:tcPr>
          <w:p w14:paraId="04B608C5">
            <w:pPr>
              <w:spacing w:line="480" w:lineRule="exact"/>
              <w:rPr>
                <w:rFonts w:ascii="宋体" w:hAnsi="宋体"/>
                <w:color w:val="auto"/>
                <w:highlight w:val="none"/>
              </w:rPr>
            </w:pPr>
          </w:p>
        </w:tc>
      </w:tr>
      <w:tr w14:paraId="00DD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6" w:type="dxa"/>
            <w:vMerge w:val="restart"/>
            <w:vAlign w:val="center"/>
          </w:tcPr>
          <w:p w14:paraId="605C096D">
            <w:pPr>
              <w:spacing w:line="480" w:lineRule="exact"/>
              <w:jc w:val="center"/>
              <w:rPr>
                <w:rFonts w:ascii="宋体" w:hAnsi="宋体"/>
                <w:color w:val="auto"/>
                <w:highlight w:val="none"/>
              </w:rPr>
            </w:pPr>
            <w:r>
              <w:rPr>
                <w:rFonts w:hint="eastAsia" w:ascii="宋体" w:hAnsi="宋体"/>
                <w:color w:val="auto"/>
                <w:highlight w:val="none"/>
              </w:rPr>
              <w:t>值班及交接班</w:t>
            </w:r>
          </w:p>
          <w:p w14:paraId="6B0EDC8D">
            <w:pPr>
              <w:spacing w:line="480" w:lineRule="exact"/>
              <w:jc w:val="center"/>
              <w:rPr>
                <w:rFonts w:ascii="宋体" w:hAnsi="宋体"/>
                <w:color w:val="auto"/>
                <w:highlight w:val="none"/>
              </w:rPr>
            </w:pPr>
            <w:r>
              <w:rPr>
                <w:rFonts w:hint="eastAsia" w:ascii="宋体" w:hAnsi="宋体"/>
                <w:color w:val="auto"/>
                <w:highlight w:val="none"/>
              </w:rPr>
              <w:t xml:space="preserve">（5分）  </w:t>
            </w:r>
          </w:p>
        </w:tc>
        <w:tc>
          <w:tcPr>
            <w:tcW w:w="6891" w:type="dxa"/>
            <w:vAlign w:val="center"/>
          </w:tcPr>
          <w:p w14:paraId="233903F6">
            <w:pPr>
              <w:numPr>
                <w:ilvl w:val="0"/>
                <w:numId w:val="1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建立24小时电话值班制度（根据项目情况确定）</w:t>
            </w:r>
          </w:p>
        </w:tc>
        <w:tc>
          <w:tcPr>
            <w:tcW w:w="932" w:type="dxa"/>
            <w:vMerge w:val="restart"/>
            <w:vAlign w:val="center"/>
          </w:tcPr>
          <w:p w14:paraId="6F24ACA3">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次/-1分</w:t>
            </w:r>
          </w:p>
        </w:tc>
      </w:tr>
      <w:tr w14:paraId="0C14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53CC5FC4">
            <w:pPr>
              <w:spacing w:line="480" w:lineRule="exact"/>
              <w:jc w:val="center"/>
              <w:rPr>
                <w:rFonts w:ascii="宋体" w:hAnsi="宋体"/>
                <w:color w:val="auto"/>
                <w:highlight w:val="none"/>
              </w:rPr>
            </w:pPr>
          </w:p>
        </w:tc>
        <w:tc>
          <w:tcPr>
            <w:tcW w:w="6891" w:type="dxa"/>
            <w:vAlign w:val="center"/>
          </w:tcPr>
          <w:p w14:paraId="751E7A33">
            <w:pPr>
              <w:numPr>
                <w:ilvl w:val="0"/>
                <w:numId w:val="1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值班记录准确规范，包括值岗工作设备设施运行情况交接、工具和钥匙交接等</w:t>
            </w:r>
          </w:p>
        </w:tc>
        <w:tc>
          <w:tcPr>
            <w:tcW w:w="932" w:type="dxa"/>
            <w:vMerge w:val="continue"/>
            <w:vAlign w:val="center"/>
          </w:tcPr>
          <w:p w14:paraId="74669B3A">
            <w:pPr>
              <w:spacing w:line="480" w:lineRule="exact"/>
              <w:rPr>
                <w:rFonts w:ascii="宋体" w:hAnsi="宋体"/>
                <w:color w:val="auto"/>
                <w:highlight w:val="none"/>
              </w:rPr>
            </w:pPr>
          </w:p>
        </w:tc>
      </w:tr>
      <w:tr w14:paraId="133B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7FF260D0">
            <w:pPr>
              <w:spacing w:line="480" w:lineRule="exact"/>
              <w:jc w:val="center"/>
              <w:rPr>
                <w:rFonts w:ascii="宋体" w:hAnsi="宋体"/>
                <w:color w:val="auto"/>
                <w:highlight w:val="none"/>
              </w:rPr>
            </w:pPr>
          </w:p>
        </w:tc>
        <w:tc>
          <w:tcPr>
            <w:tcW w:w="6891" w:type="dxa"/>
            <w:vAlign w:val="center"/>
          </w:tcPr>
          <w:p w14:paraId="60584435">
            <w:pPr>
              <w:numPr>
                <w:ilvl w:val="0"/>
                <w:numId w:val="1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有交接班时间和内容要求，有交接班记录</w:t>
            </w:r>
          </w:p>
        </w:tc>
        <w:tc>
          <w:tcPr>
            <w:tcW w:w="932" w:type="dxa"/>
            <w:vMerge w:val="continue"/>
            <w:vAlign w:val="center"/>
          </w:tcPr>
          <w:p w14:paraId="1B6603FE">
            <w:pPr>
              <w:spacing w:line="480" w:lineRule="exact"/>
              <w:rPr>
                <w:rFonts w:ascii="宋体" w:hAnsi="宋体"/>
                <w:color w:val="auto"/>
                <w:highlight w:val="none"/>
              </w:rPr>
            </w:pPr>
          </w:p>
        </w:tc>
      </w:tr>
      <w:tr w14:paraId="5CC1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2A21C190">
            <w:pPr>
              <w:spacing w:line="480" w:lineRule="exact"/>
              <w:jc w:val="center"/>
              <w:rPr>
                <w:rFonts w:ascii="宋体" w:hAnsi="宋体"/>
                <w:color w:val="auto"/>
                <w:highlight w:val="none"/>
              </w:rPr>
            </w:pPr>
          </w:p>
        </w:tc>
        <w:tc>
          <w:tcPr>
            <w:tcW w:w="6891" w:type="dxa"/>
            <w:vAlign w:val="center"/>
          </w:tcPr>
          <w:p w14:paraId="6BEDAC38">
            <w:pPr>
              <w:numPr>
                <w:ilvl w:val="0"/>
                <w:numId w:val="1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岗位环境良好，岗位巡查记录完整</w:t>
            </w:r>
          </w:p>
        </w:tc>
        <w:tc>
          <w:tcPr>
            <w:tcW w:w="932" w:type="dxa"/>
            <w:vMerge w:val="continue"/>
            <w:vAlign w:val="center"/>
          </w:tcPr>
          <w:p w14:paraId="3C31F411">
            <w:pPr>
              <w:spacing w:line="480" w:lineRule="exact"/>
              <w:rPr>
                <w:rFonts w:ascii="宋体" w:hAnsi="宋体"/>
                <w:color w:val="auto"/>
                <w:highlight w:val="none"/>
              </w:rPr>
            </w:pPr>
          </w:p>
        </w:tc>
      </w:tr>
      <w:tr w14:paraId="557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46" w:type="dxa"/>
            <w:vMerge w:val="continue"/>
            <w:vAlign w:val="center"/>
          </w:tcPr>
          <w:p w14:paraId="3ACE1819">
            <w:pPr>
              <w:spacing w:line="480" w:lineRule="exact"/>
              <w:jc w:val="center"/>
              <w:rPr>
                <w:rFonts w:ascii="宋体" w:hAnsi="宋体"/>
                <w:color w:val="auto"/>
                <w:highlight w:val="none"/>
              </w:rPr>
            </w:pPr>
          </w:p>
        </w:tc>
        <w:tc>
          <w:tcPr>
            <w:tcW w:w="6891" w:type="dxa"/>
            <w:vAlign w:val="center"/>
          </w:tcPr>
          <w:p w14:paraId="41243673">
            <w:pPr>
              <w:numPr>
                <w:ilvl w:val="0"/>
                <w:numId w:val="1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恶劣天气、突发情况等必须坚守岗位处理完成才能交接班离开</w:t>
            </w:r>
          </w:p>
        </w:tc>
        <w:tc>
          <w:tcPr>
            <w:tcW w:w="932" w:type="dxa"/>
            <w:vMerge w:val="continue"/>
            <w:vAlign w:val="center"/>
          </w:tcPr>
          <w:p w14:paraId="24B943E7">
            <w:pPr>
              <w:spacing w:line="480" w:lineRule="exact"/>
              <w:rPr>
                <w:rFonts w:ascii="宋体" w:hAnsi="宋体"/>
                <w:color w:val="auto"/>
                <w:highlight w:val="none"/>
              </w:rPr>
            </w:pPr>
          </w:p>
        </w:tc>
      </w:tr>
      <w:tr w14:paraId="2B58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restart"/>
            <w:vAlign w:val="center"/>
          </w:tcPr>
          <w:p w14:paraId="782BD287">
            <w:pPr>
              <w:spacing w:line="480" w:lineRule="exact"/>
              <w:jc w:val="center"/>
              <w:rPr>
                <w:rFonts w:ascii="宋体" w:hAnsi="宋体"/>
                <w:color w:val="auto"/>
                <w:highlight w:val="none"/>
              </w:rPr>
            </w:pPr>
            <w:r>
              <w:rPr>
                <w:rFonts w:hint="eastAsia" w:ascii="宋体" w:hAnsi="宋体"/>
                <w:color w:val="auto"/>
                <w:highlight w:val="none"/>
              </w:rPr>
              <w:t xml:space="preserve">仪容仪表（5分）   </w:t>
            </w:r>
          </w:p>
        </w:tc>
        <w:tc>
          <w:tcPr>
            <w:tcW w:w="6891" w:type="dxa"/>
            <w:vAlign w:val="center"/>
          </w:tcPr>
          <w:p w14:paraId="758682DC">
            <w:pPr>
              <w:numPr>
                <w:ilvl w:val="0"/>
                <w:numId w:val="17"/>
              </w:numPr>
              <w:tabs>
                <w:tab w:val="left" w:pos="252"/>
              </w:tabs>
              <w:spacing w:before="0" w:beforeAutospacing="0" w:after="0" w:afterAutospacing="0" w:line="480" w:lineRule="exact"/>
              <w:ind w:left="252" w:hanging="252"/>
              <w:rPr>
                <w:rFonts w:ascii="宋体" w:hAnsi="宋体"/>
                <w:color w:val="auto"/>
                <w:kern w:val="0"/>
                <w:highlight w:val="none"/>
              </w:rPr>
            </w:pPr>
            <w:r>
              <w:rPr>
                <w:rFonts w:ascii="宋体" w:hAnsi="宋体"/>
                <w:color w:val="auto"/>
                <w:kern w:val="0"/>
                <w:highlight w:val="none"/>
              </w:rPr>
              <w:t>按规定统一着装、</w:t>
            </w:r>
            <w:r>
              <w:rPr>
                <w:rFonts w:hint="eastAsia" w:ascii="宋体" w:hAnsi="宋体"/>
                <w:color w:val="auto"/>
                <w:kern w:val="0"/>
                <w:highlight w:val="none"/>
              </w:rPr>
              <w:t>佩戴</w:t>
            </w:r>
            <w:r>
              <w:rPr>
                <w:rFonts w:ascii="宋体" w:hAnsi="宋体"/>
                <w:color w:val="auto"/>
                <w:kern w:val="0"/>
                <w:highlight w:val="none"/>
              </w:rPr>
              <w:t>工牌</w:t>
            </w:r>
            <w:r>
              <w:rPr>
                <w:rFonts w:hint="eastAsia" w:ascii="宋体" w:hAnsi="宋体"/>
                <w:color w:val="auto"/>
                <w:kern w:val="0"/>
                <w:highlight w:val="none"/>
              </w:rPr>
              <w:t>、穿电工鞋</w:t>
            </w:r>
          </w:p>
        </w:tc>
        <w:tc>
          <w:tcPr>
            <w:tcW w:w="932" w:type="dxa"/>
            <w:vMerge w:val="restart"/>
            <w:vAlign w:val="center"/>
          </w:tcPr>
          <w:p w14:paraId="16EF38DA">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人/次/-1分</w:t>
            </w:r>
          </w:p>
        </w:tc>
      </w:tr>
      <w:tr w14:paraId="53E4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556E3B31">
            <w:pPr>
              <w:spacing w:line="480" w:lineRule="exact"/>
              <w:jc w:val="center"/>
              <w:rPr>
                <w:rFonts w:ascii="宋体" w:hAnsi="宋体"/>
                <w:color w:val="auto"/>
                <w:highlight w:val="none"/>
              </w:rPr>
            </w:pPr>
          </w:p>
        </w:tc>
        <w:tc>
          <w:tcPr>
            <w:tcW w:w="6891" w:type="dxa"/>
            <w:vAlign w:val="center"/>
          </w:tcPr>
          <w:p w14:paraId="4CCAA5F4">
            <w:pPr>
              <w:numPr>
                <w:ilvl w:val="0"/>
                <w:numId w:val="17"/>
              </w:numPr>
              <w:tabs>
                <w:tab w:val="left" w:pos="252"/>
              </w:tabs>
              <w:spacing w:before="0" w:beforeAutospacing="0" w:after="0" w:afterAutospacing="0" w:line="480" w:lineRule="exact"/>
              <w:ind w:left="252" w:hanging="252"/>
              <w:rPr>
                <w:rFonts w:ascii="宋体" w:hAnsi="宋体"/>
                <w:color w:val="auto"/>
                <w:kern w:val="0"/>
                <w:highlight w:val="none"/>
              </w:rPr>
            </w:pPr>
            <w:r>
              <w:rPr>
                <w:rFonts w:hint="eastAsia" w:ascii="宋体" w:hAnsi="宋体"/>
                <w:color w:val="auto"/>
                <w:kern w:val="0"/>
                <w:highlight w:val="none"/>
              </w:rPr>
              <w:t>讲究个人卫生，指甲修剪整齐，不得留长指甲、勾肩搭背、</w:t>
            </w:r>
          </w:p>
        </w:tc>
        <w:tc>
          <w:tcPr>
            <w:tcW w:w="932" w:type="dxa"/>
            <w:vMerge w:val="continue"/>
            <w:vAlign w:val="center"/>
          </w:tcPr>
          <w:p w14:paraId="2F3C5126">
            <w:pPr>
              <w:spacing w:line="480" w:lineRule="exact"/>
              <w:rPr>
                <w:rFonts w:ascii="宋体" w:hAnsi="宋体"/>
                <w:color w:val="auto"/>
                <w:highlight w:val="none"/>
              </w:rPr>
            </w:pPr>
          </w:p>
        </w:tc>
      </w:tr>
      <w:tr w14:paraId="0561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22CF1FF0">
            <w:pPr>
              <w:spacing w:line="480" w:lineRule="exact"/>
              <w:jc w:val="center"/>
              <w:rPr>
                <w:rFonts w:ascii="宋体" w:hAnsi="宋体"/>
                <w:color w:val="auto"/>
                <w:highlight w:val="none"/>
              </w:rPr>
            </w:pPr>
          </w:p>
        </w:tc>
        <w:tc>
          <w:tcPr>
            <w:tcW w:w="6891" w:type="dxa"/>
            <w:vAlign w:val="center"/>
          </w:tcPr>
          <w:p w14:paraId="13267915">
            <w:pPr>
              <w:numPr>
                <w:ilvl w:val="0"/>
                <w:numId w:val="17"/>
              </w:numPr>
              <w:tabs>
                <w:tab w:val="left" w:pos="252"/>
              </w:tabs>
              <w:spacing w:before="0" w:beforeAutospacing="0" w:after="0" w:afterAutospacing="0" w:line="480" w:lineRule="exact"/>
              <w:ind w:left="252" w:hanging="252"/>
              <w:rPr>
                <w:rFonts w:ascii="宋体" w:hAnsi="宋体"/>
                <w:color w:val="auto"/>
                <w:kern w:val="0"/>
                <w:highlight w:val="none"/>
              </w:rPr>
            </w:pPr>
            <w:r>
              <w:rPr>
                <w:rFonts w:hint="eastAsia" w:ascii="宋体" w:hAnsi="宋体"/>
                <w:color w:val="auto"/>
                <w:kern w:val="0"/>
                <w:highlight w:val="none"/>
              </w:rPr>
              <w:t>非工作所需或眼疾，不得佩带有色眼镜</w:t>
            </w:r>
          </w:p>
        </w:tc>
        <w:tc>
          <w:tcPr>
            <w:tcW w:w="932" w:type="dxa"/>
            <w:vMerge w:val="continue"/>
            <w:vAlign w:val="center"/>
          </w:tcPr>
          <w:p w14:paraId="0F343958">
            <w:pPr>
              <w:spacing w:line="480" w:lineRule="exact"/>
              <w:rPr>
                <w:rFonts w:ascii="宋体" w:hAnsi="宋体"/>
                <w:color w:val="auto"/>
                <w:highlight w:val="none"/>
              </w:rPr>
            </w:pPr>
          </w:p>
        </w:tc>
      </w:tr>
      <w:tr w14:paraId="0C3A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2372B9F2">
            <w:pPr>
              <w:spacing w:line="480" w:lineRule="exact"/>
              <w:jc w:val="center"/>
              <w:rPr>
                <w:rFonts w:ascii="宋体" w:hAnsi="宋体"/>
                <w:color w:val="auto"/>
                <w:highlight w:val="none"/>
              </w:rPr>
            </w:pPr>
          </w:p>
        </w:tc>
        <w:tc>
          <w:tcPr>
            <w:tcW w:w="6891" w:type="dxa"/>
            <w:vAlign w:val="center"/>
          </w:tcPr>
          <w:p w14:paraId="4D3165FE">
            <w:pPr>
              <w:numPr>
                <w:ilvl w:val="0"/>
                <w:numId w:val="17"/>
              </w:numPr>
              <w:tabs>
                <w:tab w:val="left" w:pos="252"/>
              </w:tabs>
              <w:spacing w:before="0" w:beforeAutospacing="0" w:after="0" w:afterAutospacing="0" w:line="480" w:lineRule="exact"/>
              <w:ind w:left="252" w:hanging="252"/>
              <w:rPr>
                <w:rFonts w:ascii="宋体" w:hAnsi="宋体"/>
                <w:color w:val="auto"/>
                <w:kern w:val="0"/>
                <w:highlight w:val="none"/>
              </w:rPr>
            </w:pPr>
            <w:r>
              <w:rPr>
                <w:rFonts w:hint="eastAsia" w:ascii="宋体" w:hAnsi="宋体"/>
                <w:color w:val="auto"/>
                <w:kern w:val="0"/>
                <w:highlight w:val="none"/>
              </w:rPr>
              <w:t>头发前不过眉，发脚侧不过耳，后不过领，不得染黑色以外颜色的头发</w:t>
            </w:r>
          </w:p>
        </w:tc>
        <w:tc>
          <w:tcPr>
            <w:tcW w:w="932" w:type="dxa"/>
            <w:vMerge w:val="continue"/>
            <w:vAlign w:val="center"/>
          </w:tcPr>
          <w:p w14:paraId="0F505706">
            <w:pPr>
              <w:spacing w:line="480" w:lineRule="exact"/>
              <w:rPr>
                <w:rFonts w:ascii="宋体" w:hAnsi="宋体"/>
                <w:color w:val="auto"/>
                <w:highlight w:val="none"/>
              </w:rPr>
            </w:pPr>
          </w:p>
        </w:tc>
      </w:tr>
      <w:tr w14:paraId="0491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56D57575">
            <w:pPr>
              <w:spacing w:line="480" w:lineRule="exact"/>
              <w:jc w:val="center"/>
              <w:rPr>
                <w:rFonts w:ascii="宋体" w:hAnsi="宋体"/>
                <w:color w:val="auto"/>
                <w:highlight w:val="none"/>
              </w:rPr>
            </w:pPr>
          </w:p>
        </w:tc>
        <w:tc>
          <w:tcPr>
            <w:tcW w:w="6891" w:type="dxa"/>
            <w:vAlign w:val="center"/>
          </w:tcPr>
          <w:p w14:paraId="443C55BD">
            <w:pPr>
              <w:numPr>
                <w:ilvl w:val="0"/>
                <w:numId w:val="17"/>
              </w:numPr>
              <w:tabs>
                <w:tab w:val="left" w:pos="252"/>
              </w:tabs>
              <w:spacing w:before="0" w:beforeAutospacing="0" w:after="0" w:afterAutospacing="0" w:line="480" w:lineRule="exact"/>
              <w:ind w:left="252" w:hanging="252"/>
              <w:rPr>
                <w:rFonts w:ascii="宋体" w:hAnsi="宋体"/>
                <w:color w:val="auto"/>
                <w:highlight w:val="none"/>
              </w:rPr>
            </w:pPr>
            <w:r>
              <w:rPr>
                <w:rFonts w:ascii="宋体" w:hAnsi="宋体"/>
                <w:color w:val="auto"/>
                <w:kern w:val="0"/>
                <w:highlight w:val="none"/>
              </w:rPr>
              <w:t>纽扣扣好、拉链拉好、不卷衣袖裤腿、不赤脚、穿拖鞋、背心出入工作场所</w:t>
            </w:r>
          </w:p>
        </w:tc>
        <w:tc>
          <w:tcPr>
            <w:tcW w:w="932" w:type="dxa"/>
            <w:vMerge w:val="continue"/>
            <w:vAlign w:val="center"/>
          </w:tcPr>
          <w:p w14:paraId="4B52DACE">
            <w:pPr>
              <w:spacing w:line="480" w:lineRule="exact"/>
              <w:rPr>
                <w:rFonts w:ascii="宋体" w:hAnsi="宋体"/>
                <w:color w:val="auto"/>
                <w:highlight w:val="none"/>
              </w:rPr>
            </w:pPr>
          </w:p>
        </w:tc>
      </w:tr>
      <w:tr w14:paraId="6B4E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restart"/>
            <w:vAlign w:val="center"/>
          </w:tcPr>
          <w:p w14:paraId="6E1B762D">
            <w:pPr>
              <w:spacing w:line="480" w:lineRule="exact"/>
              <w:jc w:val="center"/>
              <w:rPr>
                <w:rFonts w:ascii="宋体" w:hAnsi="宋体"/>
                <w:color w:val="auto"/>
                <w:highlight w:val="none"/>
              </w:rPr>
            </w:pPr>
            <w:r>
              <w:rPr>
                <w:rFonts w:hint="eastAsia" w:ascii="宋体" w:hAnsi="宋体"/>
                <w:color w:val="auto"/>
                <w:highlight w:val="none"/>
              </w:rPr>
              <w:t xml:space="preserve">行为举止（5分）   </w:t>
            </w:r>
          </w:p>
        </w:tc>
        <w:tc>
          <w:tcPr>
            <w:tcW w:w="6891" w:type="dxa"/>
            <w:vAlign w:val="center"/>
          </w:tcPr>
          <w:p w14:paraId="085219C9">
            <w:pPr>
              <w:numPr>
                <w:ilvl w:val="0"/>
                <w:numId w:val="18"/>
              </w:numPr>
              <w:tabs>
                <w:tab w:val="left" w:pos="252"/>
              </w:tabs>
              <w:spacing w:before="0" w:beforeAutospacing="0" w:after="0" w:afterAutospacing="0" w:line="480" w:lineRule="exact"/>
              <w:ind w:left="252" w:hanging="252"/>
              <w:rPr>
                <w:rFonts w:ascii="宋体" w:hAnsi="宋体"/>
                <w:color w:val="auto"/>
                <w:highlight w:val="none"/>
              </w:rPr>
            </w:pPr>
            <w:r>
              <w:rPr>
                <w:rFonts w:hint="eastAsia" w:ascii="宋体" w:hAnsi="宋体"/>
                <w:color w:val="auto"/>
                <w:highlight w:val="none"/>
              </w:rPr>
              <w:t>举止</w:t>
            </w:r>
            <w:r>
              <w:rPr>
                <w:rFonts w:ascii="宋体" w:hAnsi="宋体"/>
                <w:color w:val="auto"/>
                <w:highlight w:val="none"/>
              </w:rPr>
              <w:t>文明</w:t>
            </w:r>
            <w:r>
              <w:rPr>
                <w:rFonts w:hint="eastAsia" w:ascii="宋体" w:hAnsi="宋体"/>
                <w:color w:val="auto"/>
                <w:highlight w:val="none"/>
              </w:rPr>
              <w:t>，服务中表情自然，精神振作、姿态良好</w:t>
            </w:r>
          </w:p>
        </w:tc>
        <w:tc>
          <w:tcPr>
            <w:tcW w:w="932" w:type="dxa"/>
            <w:vMerge w:val="restart"/>
            <w:vAlign w:val="center"/>
          </w:tcPr>
          <w:p w14:paraId="354E42CF">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次/-1分</w:t>
            </w:r>
          </w:p>
        </w:tc>
      </w:tr>
      <w:tr w14:paraId="0C2A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3369F86B">
            <w:pPr>
              <w:spacing w:line="480" w:lineRule="exact"/>
              <w:jc w:val="center"/>
              <w:rPr>
                <w:rFonts w:ascii="宋体" w:hAnsi="宋体"/>
                <w:color w:val="auto"/>
                <w:highlight w:val="none"/>
              </w:rPr>
            </w:pPr>
          </w:p>
        </w:tc>
        <w:tc>
          <w:tcPr>
            <w:tcW w:w="6891" w:type="dxa"/>
            <w:vAlign w:val="center"/>
          </w:tcPr>
          <w:p w14:paraId="58763755">
            <w:pPr>
              <w:numPr>
                <w:ilvl w:val="0"/>
                <w:numId w:val="18"/>
              </w:numPr>
              <w:tabs>
                <w:tab w:val="left" w:pos="252"/>
              </w:tabs>
              <w:spacing w:before="0" w:beforeAutospacing="0" w:after="0" w:afterAutospacing="0" w:line="480" w:lineRule="exact"/>
              <w:ind w:left="252" w:hanging="252"/>
              <w:rPr>
                <w:rFonts w:ascii="宋体" w:hAnsi="宋体"/>
                <w:color w:val="auto"/>
                <w:highlight w:val="none"/>
              </w:rPr>
            </w:pPr>
            <w:r>
              <w:rPr>
                <w:rFonts w:hint="eastAsia" w:ascii="宋体" w:hAnsi="宋体"/>
                <w:color w:val="auto"/>
                <w:highlight w:val="none"/>
              </w:rPr>
              <w:t>上班时禁止打瞌睡，不擅自离岗、串岗</w:t>
            </w:r>
          </w:p>
        </w:tc>
        <w:tc>
          <w:tcPr>
            <w:tcW w:w="932" w:type="dxa"/>
            <w:vMerge w:val="continue"/>
            <w:vAlign w:val="center"/>
          </w:tcPr>
          <w:p w14:paraId="20BD8DCE">
            <w:pPr>
              <w:spacing w:line="480" w:lineRule="exact"/>
              <w:rPr>
                <w:rFonts w:ascii="宋体" w:hAnsi="宋体"/>
                <w:color w:val="auto"/>
                <w:highlight w:val="none"/>
              </w:rPr>
            </w:pPr>
          </w:p>
        </w:tc>
      </w:tr>
      <w:tr w14:paraId="22DA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1684A68E">
            <w:pPr>
              <w:spacing w:line="480" w:lineRule="exact"/>
              <w:jc w:val="center"/>
              <w:rPr>
                <w:rFonts w:ascii="宋体" w:hAnsi="宋体"/>
                <w:color w:val="auto"/>
                <w:highlight w:val="none"/>
              </w:rPr>
            </w:pPr>
          </w:p>
        </w:tc>
        <w:tc>
          <w:tcPr>
            <w:tcW w:w="6891" w:type="dxa"/>
            <w:vAlign w:val="center"/>
          </w:tcPr>
          <w:p w14:paraId="45264FE6">
            <w:pPr>
              <w:numPr>
                <w:ilvl w:val="0"/>
                <w:numId w:val="18"/>
              </w:numPr>
              <w:tabs>
                <w:tab w:val="left" w:pos="252"/>
              </w:tabs>
              <w:spacing w:before="0" w:beforeAutospacing="0" w:after="0" w:afterAutospacing="0" w:line="480" w:lineRule="exact"/>
              <w:ind w:left="252" w:hanging="252"/>
              <w:rPr>
                <w:rFonts w:ascii="宋体" w:hAnsi="宋体"/>
                <w:color w:val="auto"/>
                <w:highlight w:val="none"/>
              </w:rPr>
            </w:pPr>
            <w:r>
              <w:rPr>
                <w:rFonts w:ascii="宋体" w:hAnsi="宋体"/>
                <w:color w:val="auto"/>
                <w:highlight w:val="none"/>
              </w:rPr>
              <w:t>严禁行为不检及发表对公司或客户不利之言论</w:t>
            </w:r>
            <w:r>
              <w:rPr>
                <w:rFonts w:hint="eastAsia" w:ascii="宋体" w:hAnsi="宋体"/>
                <w:color w:val="auto"/>
                <w:highlight w:val="none"/>
              </w:rPr>
              <w:t>、不允许做私活</w:t>
            </w:r>
          </w:p>
        </w:tc>
        <w:tc>
          <w:tcPr>
            <w:tcW w:w="932" w:type="dxa"/>
            <w:vMerge w:val="continue"/>
            <w:vAlign w:val="center"/>
          </w:tcPr>
          <w:p w14:paraId="50543552">
            <w:pPr>
              <w:spacing w:line="480" w:lineRule="exact"/>
              <w:rPr>
                <w:rFonts w:ascii="宋体" w:hAnsi="宋体"/>
                <w:color w:val="auto"/>
                <w:highlight w:val="none"/>
              </w:rPr>
            </w:pPr>
          </w:p>
        </w:tc>
      </w:tr>
      <w:tr w14:paraId="0C8A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restart"/>
            <w:vAlign w:val="center"/>
          </w:tcPr>
          <w:p w14:paraId="5983089D">
            <w:pPr>
              <w:spacing w:line="480" w:lineRule="exact"/>
              <w:jc w:val="center"/>
              <w:rPr>
                <w:rFonts w:ascii="宋体" w:hAnsi="宋体"/>
                <w:color w:val="auto"/>
                <w:highlight w:val="none"/>
              </w:rPr>
            </w:pPr>
            <w:r>
              <w:rPr>
                <w:rFonts w:hint="eastAsia" w:ascii="宋体" w:hAnsi="宋体"/>
                <w:color w:val="auto"/>
                <w:highlight w:val="none"/>
              </w:rPr>
              <w:t>文明服务（5分）</w:t>
            </w:r>
          </w:p>
        </w:tc>
        <w:tc>
          <w:tcPr>
            <w:tcW w:w="6891" w:type="dxa"/>
            <w:vAlign w:val="center"/>
          </w:tcPr>
          <w:p w14:paraId="4820E424">
            <w:pPr>
              <w:numPr>
                <w:ilvl w:val="0"/>
                <w:numId w:val="19"/>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不以任何理由与客户发生纠纷</w:t>
            </w:r>
          </w:p>
        </w:tc>
        <w:tc>
          <w:tcPr>
            <w:tcW w:w="932" w:type="dxa"/>
            <w:vMerge w:val="restart"/>
            <w:vAlign w:val="center"/>
          </w:tcPr>
          <w:p w14:paraId="01DDD0AD">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次/-1分</w:t>
            </w:r>
          </w:p>
        </w:tc>
      </w:tr>
      <w:tr w14:paraId="0533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06593AC9">
            <w:pPr>
              <w:spacing w:line="480" w:lineRule="exact"/>
              <w:jc w:val="center"/>
              <w:rPr>
                <w:rFonts w:ascii="宋体" w:hAnsi="宋体"/>
                <w:color w:val="auto"/>
                <w:highlight w:val="none"/>
              </w:rPr>
            </w:pPr>
          </w:p>
        </w:tc>
        <w:tc>
          <w:tcPr>
            <w:tcW w:w="6891" w:type="dxa"/>
            <w:vAlign w:val="center"/>
          </w:tcPr>
          <w:p w14:paraId="19E535B2">
            <w:pPr>
              <w:numPr>
                <w:ilvl w:val="0"/>
                <w:numId w:val="19"/>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规范使用礼貌用语，不讲粗话、脏话</w:t>
            </w:r>
          </w:p>
        </w:tc>
        <w:tc>
          <w:tcPr>
            <w:tcW w:w="932" w:type="dxa"/>
            <w:vMerge w:val="continue"/>
            <w:vAlign w:val="center"/>
          </w:tcPr>
          <w:p w14:paraId="4E93334E">
            <w:pPr>
              <w:spacing w:line="480" w:lineRule="exact"/>
              <w:rPr>
                <w:rFonts w:ascii="宋体" w:hAnsi="宋体"/>
                <w:color w:val="auto"/>
                <w:highlight w:val="none"/>
              </w:rPr>
            </w:pPr>
          </w:p>
        </w:tc>
      </w:tr>
      <w:tr w14:paraId="7687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31ED3CE">
            <w:pPr>
              <w:spacing w:line="480" w:lineRule="exact"/>
              <w:jc w:val="center"/>
              <w:rPr>
                <w:rFonts w:ascii="宋体" w:hAnsi="宋体"/>
                <w:color w:val="auto"/>
                <w:highlight w:val="none"/>
              </w:rPr>
            </w:pPr>
          </w:p>
        </w:tc>
        <w:tc>
          <w:tcPr>
            <w:tcW w:w="6891" w:type="dxa"/>
            <w:vAlign w:val="center"/>
          </w:tcPr>
          <w:p w14:paraId="183F3EFE">
            <w:pPr>
              <w:numPr>
                <w:ilvl w:val="0"/>
                <w:numId w:val="19"/>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礼貌待人，微笑服务，客户和上级来访应起立相待，主动打招呼</w:t>
            </w:r>
          </w:p>
        </w:tc>
        <w:tc>
          <w:tcPr>
            <w:tcW w:w="932" w:type="dxa"/>
            <w:vMerge w:val="continue"/>
            <w:vAlign w:val="center"/>
          </w:tcPr>
          <w:p w14:paraId="2BCF8F85">
            <w:pPr>
              <w:spacing w:line="480" w:lineRule="exact"/>
              <w:rPr>
                <w:rFonts w:ascii="宋体" w:hAnsi="宋体"/>
                <w:color w:val="auto"/>
                <w:highlight w:val="none"/>
              </w:rPr>
            </w:pPr>
          </w:p>
        </w:tc>
      </w:tr>
      <w:tr w14:paraId="62FE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B617083">
            <w:pPr>
              <w:spacing w:line="480" w:lineRule="exact"/>
              <w:jc w:val="center"/>
              <w:rPr>
                <w:rFonts w:ascii="宋体" w:hAnsi="宋体"/>
                <w:color w:val="auto"/>
                <w:highlight w:val="none"/>
              </w:rPr>
            </w:pPr>
          </w:p>
        </w:tc>
        <w:tc>
          <w:tcPr>
            <w:tcW w:w="6891" w:type="dxa"/>
            <w:vAlign w:val="center"/>
          </w:tcPr>
          <w:p w14:paraId="6203ACD3">
            <w:pPr>
              <w:numPr>
                <w:ilvl w:val="0"/>
                <w:numId w:val="19"/>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说话语调亲切、自然，对客户的提问解释耐心</w:t>
            </w:r>
          </w:p>
        </w:tc>
        <w:tc>
          <w:tcPr>
            <w:tcW w:w="932" w:type="dxa"/>
            <w:vMerge w:val="continue"/>
            <w:vAlign w:val="center"/>
          </w:tcPr>
          <w:p w14:paraId="73A7C67F">
            <w:pPr>
              <w:spacing w:line="480" w:lineRule="exact"/>
              <w:rPr>
                <w:rFonts w:ascii="宋体" w:hAnsi="宋体"/>
                <w:color w:val="auto"/>
                <w:highlight w:val="none"/>
              </w:rPr>
            </w:pPr>
          </w:p>
        </w:tc>
      </w:tr>
      <w:tr w14:paraId="1724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46" w:type="dxa"/>
            <w:vMerge w:val="restart"/>
            <w:vAlign w:val="center"/>
          </w:tcPr>
          <w:p w14:paraId="6540205A">
            <w:pPr>
              <w:spacing w:line="480" w:lineRule="exact"/>
              <w:jc w:val="center"/>
              <w:rPr>
                <w:rFonts w:ascii="宋体" w:hAnsi="宋体"/>
                <w:color w:val="auto"/>
                <w:highlight w:val="none"/>
              </w:rPr>
            </w:pPr>
            <w:r>
              <w:rPr>
                <w:rFonts w:hint="eastAsia" w:ascii="宋体" w:hAnsi="宋体"/>
                <w:color w:val="auto"/>
                <w:highlight w:val="none"/>
              </w:rPr>
              <w:t>业务知识及培训  （5分）</w:t>
            </w:r>
          </w:p>
        </w:tc>
        <w:tc>
          <w:tcPr>
            <w:tcW w:w="6891" w:type="dxa"/>
            <w:vAlign w:val="center"/>
          </w:tcPr>
          <w:p w14:paraId="59DA20B2">
            <w:pPr>
              <w:numPr>
                <w:ilvl w:val="0"/>
                <w:numId w:val="20"/>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掌握项目应知应会情况</w:t>
            </w:r>
          </w:p>
        </w:tc>
        <w:tc>
          <w:tcPr>
            <w:tcW w:w="932" w:type="dxa"/>
            <w:vMerge w:val="restart"/>
            <w:vAlign w:val="center"/>
          </w:tcPr>
          <w:p w14:paraId="44454583">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次/-1分</w:t>
            </w:r>
          </w:p>
        </w:tc>
      </w:tr>
      <w:tr w14:paraId="19BA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2AEC983">
            <w:pPr>
              <w:spacing w:line="480" w:lineRule="exact"/>
              <w:jc w:val="center"/>
              <w:rPr>
                <w:rFonts w:ascii="宋体" w:hAnsi="宋体"/>
                <w:color w:val="auto"/>
                <w:highlight w:val="none"/>
              </w:rPr>
            </w:pPr>
          </w:p>
        </w:tc>
        <w:tc>
          <w:tcPr>
            <w:tcW w:w="6891" w:type="dxa"/>
            <w:vAlign w:val="center"/>
          </w:tcPr>
          <w:p w14:paraId="3C66927B">
            <w:pPr>
              <w:numPr>
                <w:ilvl w:val="0"/>
                <w:numId w:val="20"/>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掌握本岗位职责及应知应会</w:t>
            </w:r>
          </w:p>
        </w:tc>
        <w:tc>
          <w:tcPr>
            <w:tcW w:w="932" w:type="dxa"/>
            <w:vMerge w:val="continue"/>
            <w:vAlign w:val="center"/>
          </w:tcPr>
          <w:p w14:paraId="1F7FD66B">
            <w:pPr>
              <w:spacing w:line="480" w:lineRule="exact"/>
              <w:rPr>
                <w:rFonts w:ascii="宋体" w:hAnsi="宋体"/>
                <w:color w:val="auto"/>
                <w:highlight w:val="none"/>
              </w:rPr>
            </w:pPr>
          </w:p>
        </w:tc>
      </w:tr>
      <w:tr w14:paraId="651C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71F2BAEE">
            <w:pPr>
              <w:spacing w:line="480" w:lineRule="exact"/>
              <w:jc w:val="center"/>
              <w:rPr>
                <w:rFonts w:ascii="宋体" w:hAnsi="宋体"/>
                <w:color w:val="auto"/>
                <w:highlight w:val="none"/>
              </w:rPr>
            </w:pPr>
          </w:p>
        </w:tc>
        <w:tc>
          <w:tcPr>
            <w:tcW w:w="6891" w:type="dxa"/>
            <w:vAlign w:val="center"/>
          </w:tcPr>
          <w:p w14:paraId="3DCC4124">
            <w:pPr>
              <w:numPr>
                <w:ilvl w:val="0"/>
                <w:numId w:val="20"/>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熟练操作本岗位工作</w:t>
            </w:r>
          </w:p>
        </w:tc>
        <w:tc>
          <w:tcPr>
            <w:tcW w:w="932" w:type="dxa"/>
            <w:vMerge w:val="continue"/>
            <w:vAlign w:val="center"/>
          </w:tcPr>
          <w:p w14:paraId="764BC73E">
            <w:pPr>
              <w:spacing w:line="480" w:lineRule="exact"/>
              <w:rPr>
                <w:rFonts w:ascii="宋体" w:hAnsi="宋体"/>
                <w:color w:val="auto"/>
                <w:highlight w:val="none"/>
              </w:rPr>
            </w:pPr>
          </w:p>
        </w:tc>
      </w:tr>
      <w:tr w14:paraId="4FBA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33C772D7">
            <w:pPr>
              <w:spacing w:line="480" w:lineRule="exact"/>
              <w:jc w:val="center"/>
              <w:rPr>
                <w:rFonts w:ascii="宋体" w:hAnsi="宋体"/>
                <w:color w:val="auto"/>
                <w:highlight w:val="none"/>
              </w:rPr>
            </w:pPr>
          </w:p>
        </w:tc>
        <w:tc>
          <w:tcPr>
            <w:tcW w:w="6891" w:type="dxa"/>
            <w:vAlign w:val="center"/>
          </w:tcPr>
          <w:p w14:paraId="3054ECDB">
            <w:pPr>
              <w:numPr>
                <w:ilvl w:val="0"/>
                <w:numId w:val="20"/>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培训有计划,培训工作认真落实，无随意实施和更改计划现象，培训记录完整</w:t>
            </w:r>
          </w:p>
        </w:tc>
        <w:tc>
          <w:tcPr>
            <w:tcW w:w="932" w:type="dxa"/>
            <w:vMerge w:val="continue"/>
            <w:vAlign w:val="center"/>
          </w:tcPr>
          <w:p w14:paraId="0C093EF7">
            <w:pPr>
              <w:spacing w:line="480" w:lineRule="exact"/>
              <w:rPr>
                <w:rFonts w:ascii="宋体" w:hAnsi="宋体"/>
                <w:color w:val="auto"/>
                <w:highlight w:val="none"/>
              </w:rPr>
            </w:pPr>
          </w:p>
        </w:tc>
      </w:tr>
      <w:tr w14:paraId="797A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46" w:type="dxa"/>
            <w:vMerge w:val="continue"/>
            <w:vAlign w:val="center"/>
          </w:tcPr>
          <w:p w14:paraId="05AB84D3">
            <w:pPr>
              <w:spacing w:line="480" w:lineRule="exact"/>
              <w:jc w:val="center"/>
              <w:rPr>
                <w:rFonts w:ascii="宋体" w:hAnsi="宋体"/>
                <w:color w:val="auto"/>
                <w:highlight w:val="none"/>
              </w:rPr>
            </w:pPr>
          </w:p>
        </w:tc>
        <w:tc>
          <w:tcPr>
            <w:tcW w:w="6891" w:type="dxa"/>
            <w:vAlign w:val="center"/>
          </w:tcPr>
          <w:p w14:paraId="5CE6D14F">
            <w:pPr>
              <w:numPr>
                <w:ilvl w:val="0"/>
                <w:numId w:val="20"/>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培训效果良好，培训达到操作上岗</w:t>
            </w:r>
          </w:p>
        </w:tc>
        <w:tc>
          <w:tcPr>
            <w:tcW w:w="932" w:type="dxa"/>
            <w:vMerge w:val="continue"/>
            <w:vAlign w:val="center"/>
          </w:tcPr>
          <w:p w14:paraId="21543909">
            <w:pPr>
              <w:spacing w:line="480" w:lineRule="exact"/>
              <w:rPr>
                <w:rFonts w:ascii="宋体" w:hAnsi="宋体"/>
                <w:color w:val="auto"/>
                <w:highlight w:val="none"/>
              </w:rPr>
            </w:pPr>
          </w:p>
        </w:tc>
      </w:tr>
      <w:tr w14:paraId="4BB7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restart"/>
            <w:vAlign w:val="center"/>
          </w:tcPr>
          <w:p w14:paraId="730877E4">
            <w:pPr>
              <w:spacing w:line="480" w:lineRule="exact"/>
              <w:jc w:val="center"/>
              <w:rPr>
                <w:rFonts w:ascii="宋体" w:hAnsi="宋体"/>
                <w:color w:val="auto"/>
                <w:highlight w:val="none"/>
              </w:rPr>
            </w:pPr>
            <w:r>
              <w:rPr>
                <w:rFonts w:hint="eastAsia" w:ascii="宋体" w:hAnsi="宋体"/>
                <w:color w:val="auto"/>
                <w:highlight w:val="none"/>
              </w:rPr>
              <w:t>设备运行管理    （20分）</w:t>
            </w:r>
          </w:p>
        </w:tc>
        <w:tc>
          <w:tcPr>
            <w:tcW w:w="6891" w:type="dxa"/>
            <w:vAlign w:val="center"/>
          </w:tcPr>
          <w:p w14:paraId="7F91984E">
            <w:pPr>
              <w:numPr>
                <w:ilvl w:val="0"/>
                <w:numId w:val="21"/>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机房来访凭通知予以进入，做好登记，全程陪同，不许离开</w:t>
            </w:r>
          </w:p>
        </w:tc>
        <w:tc>
          <w:tcPr>
            <w:tcW w:w="932" w:type="dxa"/>
            <w:vMerge w:val="restart"/>
            <w:vAlign w:val="center"/>
          </w:tcPr>
          <w:p w14:paraId="4BC25EB8">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次/-1分</w:t>
            </w:r>
          </w:p>
        </w:tc>
      </w:tr>
      <w:tr w14:paraId="352D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3268FC79">
            <w:pPr>
              <w:spacing w:line="480" w:lineRule="exact"/>
              <w:jc w:val="center"/>
              <w:rPr>
                <w:rFonts w:ascii="宋体" w:hAnsi="宋体"/>
                <w:color w:val="auto"/>
                <w:highlight w:val="none"/>
              </w:rPr>
            </w:pPr>
          </w:p>
        </w:tc>
        <w:tc>
          <w:tcPr>
            <w:tcW w:w="6891" w:type="dxa"/>
            <w:vAlign w:val="center"/>
          </w:tcPr>
          <w:p w14:paraId="0C279C2E">
            <w:pPr>
              <w:numPr>
                <w:ilvl w:val="0"/>
                <w:numId w:val="21"/>
              </w:numPr>
              <w:tabs>
                <w:tab w:val="left" w:pos="252"/>
              </w:tabs>
              <w:spacing w:before="0" w:beforeAutospacing="0" w:after="0" w:afterAutospacing="0" w:line="480" w:lineRule="exact"/>
              <w:ind w:left="252" w:hanging="252"/>
              <w:rPr>
                <w:rFonts w:ascii="宋体" w:hAnsi="宋体"/>
                <w:color w:val="auto"/>
                <w:highlight w:val="none"/>
              </w:rPr>
            </w:pPr>
            <w:r>
              <w:rPr>
                <w:rFonts w:hint="eastAsia" w:ascii="宋体" w:hAnsi="宋体"/>
                <w:color w:val="auto"/>
                <w:highlight w:val="none"/>
              </w:rPr>
              <w:t>定期对各设施设备进行巡查做好记录、健全设备台帐</w:t>
            </w:r>
          </w:p>
        </w:tc>
        <w:tc>
          <w:tcPr>
            <w:tcW w:w="932" w:type="dxa"/>
            <w:vMerge w:val="continue"/>
            <w:vAlign w:val="center"/>
          </w:tcPr>
          <w:p w14:paraId="3162EE0E">
            <w:pPr>
              <w:spacing w:line="480" w:lineRule="exact"/>
              <w:rPr>
                <w:rFonts w:ascii="宋体" w:hAnsi="宋体"/>
                <w:color w:val="auto"/>
                <w:highlight w:val="none"/>
              </w:rPr>
            </w:pPr>
          </w:p>
        </w:tc>
      </w:tr>
      <w:tr w14:paraId="1438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4B095249">
            <w:pPr>
              <w:spacing w:line="480" w:lineRule="exact"/>
              <w:jc w:val="center"/>
              <w:rPr>
                <w:rFonts w:ascii="宋体" w:hAnsi="宋体"/>
                <w:color w:val="auto"/>
                <w:highlight w:val="none"/>
              </w:rPr>
            </w:pPr>
          </w:p>
        </w:tc>
        <w:tc>
          <w:tcPr>
            <w:tcW w:w="6891" w:type="dxa"/>
            <w:vAlign w:val="center"/>
          </w:tcPr>
          <w:p w14:paraId="35A6383C">
            <w:pPr>
              <w:numPr>
                <w:ilvl w:val="0"/>
                <w:numId w:val="21"/>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每月定期对设备设施进行维护保养，做好记录</w:t>
            </w:r>
          </w:p>
        </w:tc>
        <w:tc>
          <w:tcPr>
            <w:tcW w:w="932" w:type="dxa"/>
            <w:vMerge w:val="continue"/>
            <w:vAlign w:val="center"/>
          </w:tcPr>
          <w:p w14:paraId="0666322E">
            <w:pPr>
              <w:spacing w:line="480" w:lineRule="exact"/>
              <w:rPr>
                <w:rFonts w:ascii="宋体" w:hAnsi="宋体"/>
                <w:color w:val="auto"/>
                <w:highlight w:val="none"/>
              </w:rPr>
            </w:pPr>
          </w:p>
        </w:tc>
      </w:tr>
      <w:tr w14:paraId="622C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68447D2">
            <w:pPr>
              <w:spacing w:line="480" w:lineRule="exact"/>
              <w:jc w:val="center"/>
              <w:rPr>
                <w:rFonts w:ascii="宋体" w:hAnsi="宋体"/>
                <w:color w:val="auto"/>
                <w:highlight w:val="none"/>
              </w:rPr>
            </w:pPr>
          </w:p>
        </w:tc>
        <w:tc>
          <w:tcPr>
            <w:tcW w:w="6891" w:type="dxa"/>
            <w:vAlign w:val="center"/>
          </w:tcPr>
          <w:p w14:paraId="36576456">
            <w:pPr>
              <w:numPr>
                <w:ilvl w:val="0"/>
                <w:numId w:val="21"/>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使用信息化软件进行工程维修服务记录</w:t>
            </w:r>
          </w:p>
        </w:tc>
        <w:tc>
          <w:tcPr>
            <w:tcW w:w="932" w:type="dxa"/>
            <w:vMerge w:val="continue"/>
            <w:vAlign w:val="center"/>
          </w:tcPr>
          <w:p w14:paraId="6678A5E8">
            <w:pPr>
              <w:spacing w:line="480" w:lineRule="exact"/>
              <w:rPr>
                <w:rFonts w:ascii="宋体" w:hAnsi="宋体"/>
                <w:color w:val="auto"/>
                <w:highlight w:val="none"/>
              </w:rPr>
            </w:pPr>
          </w:p>
        </w:tc>
      </w:tr>
      <w:tr w14:paraId="34C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54A1A175">
            <w:pPr>
              <w:spacing w:line="480" w:lineRule="exact"/>
              <w:jc w:val="center"/>
              <w:rPr>
                <w:rFonts w:ascii="宋体" w:hAnsi="宋体"/>
                <w:color w:val="auto"/>
                <w:highlight w:val="none"/>
              </w:rPr>
            </w:pPr>
          </w:p>
        </w:tc>
        <w:tc>
          <w:tcPr>
            <w:tcW w:w="6891" w:type="dxa"/>
            <w:vAlign w:val="center"/>
          </w:tcPr>
          <w:p w14:paraId="1FE6B2FB">
            <w:pPr>
              <w:numPr>
                <w:ilvl w:val="0"/>
                <w:numId w:val="21"/>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定期开关、切换、调整设备运行模式</w:t>
            </w:r>
          </w:p>
        </w:tc>
        <w:tc>
          <w:tcPr>
            <w:tcW w:w="932" w:type="dxa"/>
            <w:vMerge w:val="continue"/>
            <w:vAlign w:val="center"/>
          </w:tcPr>
          <w:p w14:paraId="2F6BF7C6">
            <w:pPr>
              <w:spacing w:line="480" w:lineRule="exact"/>
              <w:rPr>
                <w:rFonts w:ascii="宋体" w:hAnsi="宋体"/>
                <w:color w:val="auto"/>
                <w:highlight w:val="none"/>
              </w:rPr>
            </w:pPr>
          </w:p>
        </w:tc>
      </w:tr>
      <w:tr w14:paraId="6778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52FDEF31">
            <w:pPr>
              <w:spacing w:line="480" w:lineRule="exact"/>
              <w:jc w:val="center"/>
              <w:rPr>
                <w:rFonts w:ascii="宋体" w:hAnsi="宋体"/>
                <w:color w:val="auto"/>
                <w:highlight w:val="none"/>
              </w:rPr>
            </w:pPr>
          </w:p>
        </w:tc>
        <w:tc>
          <w:tcPr>
            <w:tcW w:w="6891" w:type="dxa"/>
            <w:vAlign w:val="center"/>
          </w:tcPr>
          <w:p w14:paraId="5FB40FD6">
            <w:pPr>
              <w:numPr>
                <w:ilvl w:val="0"/>
                <w:numId w:val="21"/>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发生紧急情况，按应急预案采取合适处置措施，避免设备和人身安全</w:t>
            </w:r>
          </w:p>
        </w:tc>
        <w:tc>
          <w:tcPr>
            <w:tcW w:w="932" w:type="dxa"/>
            <w:vMerge w:val="continue"/>
            <w:vAlign w:val="center"/>
          </w:tcPr>
          <w:p w14:paraId="15866424">
            <w:pPr>
              <w:spacing w:line="480" w:lineRule="exact"/>
              <w:rPr>
                <w:rFonts w:ascii="宋体" w:hAnsi="宋体"/>
                <w:color w:val="auto"/>
                <w:highlight w:val="none"/>
              </w:rPr>
            </w:pPr>
          </w:p>
        </w:tc>
      </w:tr>
      <w:tr w14:paraId="453F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restart"/>
            <w:vAlign w:val="center"/>
          </w:tcPr>
          <w:p w14:paraId="21798957">
            <w:pPr>
              <w:spacing w:line="480" w:lineRule="exact"/>
              <w:jc w:val="center"/>
              <w:rPr>
                <w:rFonts w:ascii="宋体" w:hAnsi="宋体"/>
                <w:color w:val="auto"/>
                <w:highlight w:val="none"/>
              </w:rPr>
            </w:pPr>
            <w:r>
              <w:rPr>
                <w:rFonts w:hint="eastAsia" w:ascii="宋体" w:hAnsi="宋体"/>
                <w:color w:val="auto"/>
                <w:highlight w:val="none"/>
              </w:rPr>
              <w:t>综合维修服务    （20分）</w:t>
            </w:r>
          </w:p>
        </w:tc>
        <w:tc>
          <w:tcPr>
            <w:tcW w:w="6891" w:type="dxa"/>
            <w:vAlign w:val="center"/>
          </w:tcPr>
          <w:p w14:paraId="700653E9">
            <w:pPr>
              <w:numPr>
                <w:ilvl w:val="0"/>
                <w:numId w:val="22"/>
              </w:numPr>
              <w:tabs>
                <w:tab w:val="left" w:pos="252"/>
              </w:tabs>
              <w:spacing w:before="0" w:beforeAutospacing="0" w:after="0" w:afterAutospacing="0" w:line="480" w:lineRule="exact"/>
              <w:ind w:left="252" w:hanging="252"/>
              <w:rPr>
                <w:rFonts w:ascii="宋体" w:hAnsi="宋体"/>
                <w:color w:val="auto"/>
                <w:highlight w:val="none"/>
              </w:rPr>
            </w:pPr>
            <w:r>
              <w:rPr>
                <w:rFonts w:hint="eastAsia" w:ascii="宋体" w:hAnsi="宋体"/>
                <w:color w:val="auto"/>
                <w:highlight w:val="none"/>
              </w:rPr>
              <w:t>每天进行公共责任区域设施设备等设备设施的巡查和记录</w:t>
            </w:r>
          </w:p>
        </w:tc>
        <w:tc>
          <w:tcPr>
            <w:tcW w:w="932" w:type="dxa"/>
            <w:vMerge w:val="restart"/>
            <w:vAlign w:val="center"/>
          </w:tcPr>
          <w:p w14:paraId="7453DADF">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次/-1分</w:t>
            </w:r>
          </w:p>
        </w:tc>
      </w:tr>
      <w:tr w14:paraId="3E58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374866F">
            <w:pPr>
              <w:spacing w:line="480" w:lineRule="exact"/>
              <w:jc w:val="center"/>
              <w:rPr>
                <w:rFonts w:ascii="宋体" w:hAnsi="宋体"/>
                <w:color w:val="auto"/>
                <w:highlight w:val="none"/>
              </w:rPr>
            </w:pPr>
          </w:p>
        </w:tc>
        <w:tc>
          <w:tcPr>
            <w:tcW w:w="6891" w:type="dxa"/>
            <w:vAlign w:val="center"/>
          </w:tcPr>
          <w:p w14:paraId="30456AD2">
            <w:pPr>
              <w:numPr>
                <w:ilvl w:val="0"/>
                <w:numId w:val="22"/>
              </w:numPr>
              <w:tabs>
                <w:tab w:val="left" w:pos="252"/>
              </w:tabs>
              <w:spacing w:before="0" w:beforeAutospacing="0" w:after="0" w:afterAutospacing="0" w:line="480" w:lineRule="exact"/>
              <w:ind w:left="252" w:hanging="252"/>
              <w:rPr>
                <w:rFonts w:ascii="宋体" w:hAnsi="宋体"/>
                <w:color w:val="auto"/>
                <w:highlight w:val="none"/>
              </w:rPr>
            </w:pPr>
            <w:r>
              <w:rPr>
                <w:rFonts w:hint="eastAsia" w:ascii="宋体" w:hAnsi="宋体"/>
                <w:color w:val="auto"/>
                <w:highlight w:val="none"/>
              </w:rPr>
              <w:t>对巡查发现的问题及时予以处理</w:t>
            </w:r>
          </w:p>
        </w:tc>
        <w:tc>
          <w:tcPr>
            <w:tcW w:w="932" w:type="dxa"/>
            <w:vMerge w:val="continue"/>
            <w:vAlign w:val="center"/>
          </w:tcPr>
          <w:p w14:paraId="108B854F">
            <w:pPr>
              <w:spacing w:line="480" w:lineRule="exact"/>
              <w:rPr>
                <w:rFonts w:ascii="宋体" w:hAnsi="宋体"/>
                <w:color w:val="auto"/>
                <w:highlight w:val="none"/>
              </w:rPr>
            </w:pPr>
          </w:p>
        </w:tc>
      </w:tr>
      <w:tr w14:paraId="7468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C4F16DC">
            <w:pPr>
              <w:spacing w:line="480" w:lineRule="exact"/>
              <w:jc w:val="center"/>
              <w:rPr>
                <w:rFonts w:ascii="宋体" w:hAnsi="宋体"/>
                <w:color w:val="auto"/>
                <w:highlight w:val="none"/>
              </w:rPr>
            </w:pPr>
          </w:p>
        </w:tc>
        <w:tc>
          <w:tcPr>
            <w:tcW w:w="6891" w:type="dxa"/>
            <w:vAlign w:val="center"/>
          </w:tcPr>
          <w:p w14:paraId="1BABD787">
            <w:pPr>
              <w:numPr>
                <w:ilvl w:val="0"/>
                <w:numId w:val="22"/>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收到派工通知，根据派工单情况，分轻重缓急立即接单领料处理、小修不过夜。</w:t>
            </w:r>
          </w:p>
        </w:tc>
        <w:tc>
          <w:tcPr>
            <w:tcW w:w="932" w:type="dxa"/>
            <w:vMerge w:val="continue"/>
            <w:vAlign w:val="center"/>
          </w:tcPr>
          <w:p w14:paraId="30B28F45">
            <w:pPr>
              <w:spacing w:line="480" w:lineRule="exact"/>
              <w:rPr>
                <w:rFonts w:ascii="宋体" w:hAnsi="宋体"/>
                <w:color w:val="auto"/>
                <w:highlight w:val="none"/>
              </w:rPr>
            </w:pPr>
          </w:p>
        </w:tc>
      </w:tr>
      <w:tr w14:paraId="70E0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2B112930">
            <w:pPr>
              <w:spacing w:line="480" w:lineRule="exact"/>
              <w:jc w:val="center"/>
              <w:rPr>
                <w:rFonts w:ascii="宋体" w:hAnsi="宋体"/>
                <w:color w:val="auto"/>
                <w:highlight w:val="none"/>
              </w:rPr>
            </w:pPr>
          </w:p>
        </w:tc>
        <w:tc>
          <w:tcPr>
            <w:tcW w:w="6891" w:type="dxa"/>
            <w:vAlign w:val="center"/>
          </w:tcPr>
          <w:p w14:paraId="7CAE243B">
            <w:pPr>
              <w:numPr>
                <w:ilvl w:val="0"/>
                <w:numId w:val="22"/>
              </w:numPr>
              <w:tabs>
                <w:tab w:val="left" w:pos="252"/>
              </w:tabs>
              <w:spacing w:before="0" w:beforeAutospacing="0" w:after="0" w:afterAutospacing="0" w:line="480" w:lineRule="exact"/>
              <w:ind w:left="252" w:hanging="252"/>
              <w:rPr>
                <w:rFonts w:ascii="宋体" w:hAnsi="宋体"/>
                <w:color w:val="auto"/>
                <w:highlight w:val="none"/>
              </w:rPr>
            </w:pPr>
            <w:r>
              <w:rPr>
                <w:rFonts w:hint="eastAsia" w:ascii="宋体" w:hAnsi="宋体"/>
                <w:color w:val="auto"/>
                <w:highlight w:val="none"/>
              </w:rPr>
              <w:t>领料必须凭单，出库必须登记</w:t>
            </w:r>
          </w:p>
        </w:tc>
        <w:tc>
          <w:tcPr>
            <w:tcW w:w="932" w:type="dxa"/>
            <w:vMerge w:val="continue"/>
            <w:vAlign w:val="center"/>
          </w:tcPr>
          <w:p w14:paraId="110A2DB4">
            <w:pPr>
              <w:spacing w:line="480" w:lineRule="exact"/>
              <w:rPr>
                <w:rFonts w:ascii="宋体" w:hAnsi="宋体"/>
                <w:color w:val="auto"/>
                <w:highlight w:val="none"/>
              </w:rPr>
            </w:pPr>
          </w:p>
        </w:tc>
      </w:tr>
      <w:tr w14:paraId="13F2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3266DFBB">
            <w:pPr>
              <w:spacing w:line="480" w:lineRule="exact"/>
              <w:jc w:val="center"/>
              <w:rPr>
                <w:rFonts w:ascii="宋体" w:hAnsi="宋体"/>
                <w:color w:val="auto"/>
                <w:highlight w:val="none"/>
              </w:rPr>
            </w:pPr>
          </w:p>
        </w:tc>
        <w:tc>
          <w:tcPr>
            <w:tcW w:w="6891" w:type="dxa"/>
            <w:vAlign w:val="center"/>
          </w:tcPr>
          <w:p w14:paraId="309D8BBD">
            <w:pPr>
              <w:numPr>
                <w:ilvl w:val="0"/>
                <w:numId w:val="22"/>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使用信息化软件进行综合维修接单、反馈、处理、登记（根据项目情况确定）</w:t>
            </w:r>
          </w:p>
        </w:tc>
        <w:tc>
          <w:tcPr>
            <w:tcW w:w="932" w:type="dxa"/>
            <w:vMerge w:val="continue"/>
            <w:vAlign w:val="center"/>
          </w:tcPr>
          <w:p w14:paraId="640D3335">
            <w:pPr>
              <w:spacing w:line="480" w:lineRule="exact"/>
              <w:rPr>
                <w:rFonts w:ascii="宋体" w:hAnsi="宋体"/>
                <w:color w:val="auto"/>
                <w:highlight w:val="none"/>
              </w:rPr>
            </w:pPr>
          </w:p>
        </w:tc>
      </w:tr>
      <w:tr w14:paraId="0A8F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restart"/>
            <w:vAlign w:val="center"/>
          </w:tcPr>
          <w:p w14:paraId="433B53D5">
            <w:pPr>
              <w:spacing w:line="480" w:lineRule="exact"/>
              <w:rPr>
                <w:rFonts w:ascii="宋体" w:hAnsi="宋体"/>
                <w:color w:val="auto"/>
                <w:highlight w:val="none"/>
              </w:rPr>
            </w:pPr>
            <w:r>
              <w:rPr>
                <w:rFonts w:hint="eastAsia" w:ascii="宋体" w:hAnsi="宋体"/>
                <w:color w:val="auto"/>
                <w:highlight w:val="none"/>
              </w:rPr>
              <w:t>外包方监管（10分）</w:t>
            </w:r>
          </w:p>
        </w:tc>
        <w:tc>
          <w:tcPr>
            <w:tcW w:w="6891" w:type="dxa"/>
            <w:vAlign w:val="center"/>
          </w:tcPr>
          <w:p w14:paraId="12142D39">
            <w:pPr>
              <w:numPr>
                <w:ilvl w:val="0"/>
                <w:numId w:val="23"/>
              </w:numPr>
              <w:tabs>
                <w:tab w:val="left" w:pos="252"/>
              </w:tabs>
              <w:spacing w:before="0" w:beforeAutospacing="0" w:after="0" w:afterAutospacing="0" w:line="480" w:lineRule="exact"/>
              <w:ind w:left="252" w:hanging="252"/>
              <w:rPr>
                <w:rFonts w:ascii="宋体" w:hAnsi="宋体"/>
                <w:color w:val="auto"/>
                <w:highlight w:val="none"/>
              </w:rPr>
            </w:pPr>
            <w:r>
              <w:rPr>
                <w:rFonts w:hint="eastAsia" w:ascii="宋体" w:hAnsi="宋体"/>
                <w:color w:val="auto"/>
                <w:highlight w:val="none"/>
              </w:rPr>
              <w:t>建立健全管理制度、建立特种设备责任制；明确专人维护、保持设备运行完好</w:t>
            </w:r>
          </w:p>
        </w:tc>
        <w:tc>
          <w:tcPr>
            <w:tcW w:w="932" w:type="dxa"/>
            <w:vMerge w:val="restart"/>
            <w:vAlign w:val="center"/>
          </w:tcPr>
          <w:p w14:paraId="064018AE">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次/-1分</w:t>
            </w:r>
          </w:p>
        </w:tc>
      </w:tr>
      <w:tr w14:paraId="69BC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2A79DB83">
            <w:pPr>
              <w:spacing w:line="480" w:lineRule="exact"/>
              <w:jc w:val="center"/>
              <w:rPr>
                <w:rFonts w:ascii="宋体" w:hAnsi="宋体"/>
                <w:color w:val="auto"/>
                <w:highlight w:val="none"/>
              </w:rPr>
            </w:pPr>
          </w:p>
        </w:tc>
        <w:tc>
          <w:tcPr>
            <w:tcW w:w="6891" w:type="dxa"/>
            <w:vAlign w:val="center"/>
          </w:tcPr>
          <w:p w14:paraId="22EDFD30">
            <w:pPr>
              <w:numPr>
                <w:ilvl w:val="0"/>
                <w:numId w:val="23"/>
              </w:numPr>
              <w:tabs>
                <w:tab w:val="left" w:pos="252"/>
              </w:tabs>
              <w:spacing w:before="0" w:beforeAutospacing="0" w:after="0" w:afterAutospacing="0" w:line="480" w:lineRule="exact"/>
              <w:ind w:left="252" w:hanging="252"/>
              <w:rPr>
                <w:rFonts w:ascii="宋体" w:hAnsi="宋体"/>
                <w:color w:val="auto"/>
                <w:highlight w:val="none"/>
              </w:rPr>
            </w:pPr>
            <w:r>
              <w:rPr>
                <w:rFonts w:hint="eastAsia" w:ascii="宋体" w:hAnsi="宋体"/>
                <w:color w:val="auto"/>
                <w:highlight w:val="none"/>
              </w:rPr>
              <w:t>维护保养公司有24小时值班电话，保修电话保持畅通，按照约定时间赶赴现场处理</w:t>
            </w:r>
          </w:p>
        </w:tc>
        <w:tc>
          <w:tcPr>
            <w:tcW w:w="932" w:type="dxa"/>
            <w:vMerge w:val="continue"/>
            <w:vAlign w:val="center"/>
          </w:tcPr>
          <w:p w14:paraId="212B5440">
            <w:pPr>
              <w:spacing w:line="480" w:lineRule="exact"/>
              <w:rPr>
                <w:rFonts w:ascii="宋体" w:hAnsi="宋体"/>
                <w:color w:val="auto"/>
                <w:highlight w:val="none"/>
              </w:rPr>
            </w:pPr>
          </w:p>
        </w:tc>
      </w:tr>
      <w:tr w14:paraId="51EF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534B8BA3">
            <w:pPr>
              <w:spacing w:line="480" w:lineRule="exact"/>
              <w:jc w:val="center"/>
              <w:rPr>
                <w:rFonts w:ascii="宋体" w:hAnsi="宋体"/>
                <w:color w:val="auto"/>
                <w:highlight w:val="none"/>
              </w:rPr>
            </w:pPr>
          </w:p>
        </w:tc>
        <w:tc>
          <w:tcPr>
            <w:tcW w:w="6891" w:type="dxa"/>
            <w:vAlign w:val="center"/>
          </w:tcPr>
          <w:p w14:paraId="4E495BAE">
            <w:pPr>
              <w:numPr>
                <w:ilvl w:val="0"/>
                <w:numId w:val="23"/>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电梯每一年组织一次困人演练，演练组织到位，记录详细</w:t>
            </w:r>
          </w:p>
        </w:tc>
        <w:tc>
          <w:tcPr>
            <w:tcW w:w="932" w:type="dxa"/>
            <w:vMerge w:val="continue"/>
            <w:vAlign w:val="center"/>
          </w:tcPr>
          <w:p w14:paraId="524F2733">
            <w:pPr>
              <w:spacing w:line="480" w:lineRule="exact"/>
              <w:rPr>
                <w:rFonts w:ascii="宋体" w:hAnsi="宋体"/>
                <w:color w:val="auto"/>
                <w:highlight w:val="none"/>
              </w:rPr>
            </w:pPr>
          </w:p>
        </w:tc>
      </w:tr>
      <w:tr w14:paraId="6285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484C1F36">
            <w:pPr>
              <w:spacing w:line="480" w:lineRule="exact"/>
              <w:jc w:val="center"/>
              <w:rPr>
                <w:rFonts w:ascii="宋体" w:hAnsi="宋体"/>
                <w:color w:val="auto"/>
                <w:highlight w:val="none"/>
              </w:rPr>
            </w:pPr>
          </w:p>
        </w:tc>
        <w:tc>
          <w:tcPr>
            <w:tcW w:w="6891" w:type="dxa"/>
            <w:vAlign w:val="center"/>
          </w:tcPr>
          <w:p w14:paraId="673525D8">
            <w:pPr>
              <w:numPr>
                <w:ilvl w:val="0"/>
                <w:numId w:val="23"/>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例行维护保养计划每月25日提交，完工提交工作记录和报告</w:t>
            </w:r>
          </w:p>
        </w:tc>
        <w:tc>
          <w:tcPr>
            <w:tcW w:w="932" w:type="dxa"/>
            <w:vMerge w:val="continue"/>
            <w:vAlign w:val="center"/>
          </w:tcPr>
          <w:p w14:paraId="21F59637">
            <w:pPr>
              <w:spacing w:line="480" w:lineRule="exact"/>
              <w:rPr>
                <w:rFonts w:ascii="宋体" w:hAnsi="宋体"/>
                <w:color w:val="auto"/>
                <w:highlight w:val="none"/>
              </w:rPr>
            </w:pPr>
          </w:p>
        </w:tc>
      </w:tr>
      <w:tr w14:paraId="42E7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188B8F42">
            <w:pPr>
              <w:spacing w:line="480" w:lineRule="exact"/>
              <w:jc w:val="center"/>
              <w:rPr>
                <w:rFonts w:ascii="宋体" w:hAnsi="宋体"/>
                <w:color w:val="auto"/>
                <w:highlight w:val="none"/>
              </w:rPr>
            </w:pPr>
          </w:p>
        </w:tc>
        <w:tc>
          <w:tcPr>
            <w:tcW w:w="6891" w:type="dxa"/>
            <w:vAlign w:val="center"/>
          </w:tcPr>
          <w:p w14:paraId="069B5356">
            <w:pPr>
              <w:numPr>
                <w:ilvl w:val="0"/>
                <w:numId w:val="23"/>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故障保修必须做好记录，配件记录必须完整</w:t>
            </w:r>
          </w:p>
        </w:tc>
        <w:tc>
          <w:tcPr>
            <w:tcW w:w="932" w:type="dxa"/>
            <w:vMerge w:val="continue"/>
            <w:vAlign w:val="center"/>
          </w:tcPr>
          <w:p w14:paraId="16E34D5F">
            <w:pPr>
              <w:spacing w:line="480" w:lineRule="exact"/>
              <w:rPr>
                <w:rFonts w:ascii="宋体" w:hAnsi="宋体"/>
                <w:color w:val="auto"/>
                <w:highlight w:val="none"/>
              </w:rPr>
            </w:pPr>
          </w:p>
        </w:tc>
      </w:tr>
      <w:tr w14:paraId="03AB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79808C81">
            <w:pPr>
              <w:spacing w:line="480" w:lineRule="exact"/>
              <w:jc w:val="center"/>
              <w:rPr>
                <w:rFonts w:ascii="宋体" w:hAnsi="宋体"/>
                <w:color w:val="auto"/>
                <w:highlight w:val="none"/>
              </w:rPr>
            </w:pPr>
          </w:p>
        </w:tc>
        <w:tc>
          <w:tcPr>
            <w:tcW w:w="6891" w:type="dxa"/>
            <w:vAlign w:val="center"/>
          </w:tcPr>
          <w:p w14:paraId="4FBDAFBD">
            <w:pPr>
              <w:numPr>
                <w:ilvl w:val="0"/>
                <w:numId w:val="23"/>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维护保养作业必须做好安全警示和防护措施</w:t>
            </w:r>
          </w:p>
        </w:tc>
        <w:tc>
          <w:tcPr>
            <w:tcW w:w="932" w:type="dxa"/>
            <w:vMerge w:val="continue"/>
            <w:vAlign w:val="center"/>
          </w:tcPr>
          <w:p w14:paraId="6EE4220E">
            <w:pPr>
              <w:spacing w:line="480" w:lineRule="exact"/>
              <w:rPr>
                <w:rFonts w:ascii="宋体" w:hAnsi="宋体"/>
                <w:color w:val="auto"/>
                <w:highlight w:val="none"/>
              </w:rPr>
            </w:pPr>
          </w:p>
        </w:tc>
      </w:tr>
      <w:tr w14:paraId="02AB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4B34B189">
            <w:pPr>
              <w:spacing w:line="480" w:lineRule="exact"/>
              <w:jc w:val="center"/>
              <w:rPr>
                <w:rFonts w:ascii="宋体" w:hAnsi="宋体"/>
                <w:color w:val="auto"/>
                <w:highlight w:val="none"/>
              </w:rPr>
            </w:pPr>
          </w:p>
        </w:tc>
        <w:tc>
          <w:tcPr>
            <w:tcW w:w="6891" w:type="dxa"/>
            <w:vAlign w:val="center"/>
          </w:tcPr>
          <w:p w14:paraId="1AC15D51">
            <w:pPr>
              <w:numPr>
                <w:ilvl w:val="0"/>
                <w:numId w:val="23"/>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维护保养检验检测报告合格有效</w:t>
            </w:r>
          </w:p>
        </w:tc>
        <w:tc>
          <w:tcPr>
            <w:tcW w:w="932" w:type="dxa"/>
            <w:vMerge w:val="continue"/>
            <w:vAlign w:val="center"/>
          </w:tcPr>
          <w:p w14:paraId="186A3A2F">
            <w:pPr>
              <w:spacing w:line="480" w:lineRule="exact"/>
              <w:rPr>
                <w:rFonts w:ascii="宋体" w:hAnsi="宋体"/>
                <w:color w:val="auto"/>
                <w:highlight w:val="none"/>
              </w:rPr>
            </w:pPr>
          </w:p>
        </w:tc>
      </w:tr>
      <w:tr w14:paraId="29D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46EBA866">
            <w:pPr>
              <w:spacing w:line="480" w:lineRule="exact"/>
              <w:jc w:val="center"/>
              <w:rPr>
                <w:rFonts w:ascii="宋体" w:hAnsi="宋体"/>
                <w:color w:val="auto"/>
                <w:highlight w:val="none"/>
              </w:rPr>
            </w:pPr>
          </w:p>
        </w:tc>
        <w:tc>
          <w:tcPr>
            <w:tcW w:w="6891" w:type="dxa"/>
            <w:vAlign w:val="center"/>
          </w:tcPr>
          <w:p w14:paraId="1199098B">
            <w:pPr>
              <w:numPr>
                <w:ilvl w:val="0"/>
                <w:numId w:val="23"/>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维护保养单位和作业人员资质齐全有效</w:t>
            </w:r>
          </w:p>
        </w:tc>
        <w:tc>
          <w:tcPr>
            <w:tcW w:w="932" w:type="dxa"/>
            <w:vMerge w:val="continue"/>
            <w:vAlign w:val="center"/>
          </w:tcPr>
          <w:p w14:paraId="37FAA3D0">
            <w:pPr>
              <w:spacing w:line="480" w:lineRule="exact"/>
              <w:rPr>
                <w:rFonts w:ascii="宋体" w:hAnsi="宋体"/>
                <w:color w:val="auto"/>
                <w:highlight w:val="none"/>
              </w:rPr>
            </w:pPr>
          </w:p>
        </w:tc>
      </w:tr>
      <w:tr w14:paraId="15A7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46" w:type="dxa"/>
            <w:vMerge w:val="continue"/>
            <w:vAlign w:val="center"/>
          </w:tcPr>
          <w:p w14:paraId="2FCD18D8">
            <w:pPr>
              <w:spacing w:line="480" w:lineRule="exact"/>
              <w:jc w:val="center"/>
              <w:rPr>
                <w:rFonts w:ascii="宋体" w:hAnsi="宋体"/>
                <w:color w:val="auto"/>
                <w:highlight w:val="none"/>
              </w:rPr>
            </w:pPr>
          </w:p>
        </w:tc>
        <w:tc>
          <w:tcPr>
            <w:tcW w:w="6891" w:type="dxa"/>
            <w:vAlign w:val="center"/>
          </w:tcPr>
          <w:p w14:paraId="3D76BCF2">
            <w:pPr>
              <w:numPr>
                <w:ilvl w:val="0"/>
                <w:numId w:val="23"/>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报修维修、紧急救援、综合服务、投诉处理、故障停运控制、零配件更换与提供等满足约定要求</w:t>
            </w:r>
          </w:p>
        </w:tc>
        <w:tc>
          <w:tcPr>
            <w:tcW w:w="932" w:type="dxa"/>
            <w:vAlign w:val="center"/>
          </w:tcPr>
          <w:p w14:paraId="7CC9E4BD">
            <w:pPr>
              <w:spacing w:line="480" w:lineRule="exact"/>
              <w:rPr>
                <w:rFonts w:ascii="宋体" w:hAnsi="宋体"/>
                <w:color w:val="auto"/>
                <w:highlight w:val="none"/>
              </w:rPr>
            </w:pPr>
          </w:p>
        </w:tc>
      </w:tr>
      <w:tr w14:paraId="42CE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51805A1D">
            <w:pPr>
              <w:spacing w:line="480" w:lineRule="exact"/>
              <w:jc w:val="center"/>
              <w:rPr>
                <w:rFonts w:ascii="宋体" w:hAnsi="宋体"/>
                <w:color w:val="auto"/>
                <w:highlight w:val="none"/>
              </w:rPr>
            </w:pPr>
          </w:p>
        </w:tc>
        <w:tc>
          <w:tcPr>
            <w:tcW w:w="6891" w:type="dxa"/>
            <w:vAlign w:val="center"/>
          </w:tcPr>
          <w:p w14:paraId="5497444D">
            <w:pPr>
              <w:numPr>
                <w:ilvl w:val="0"/>
                <w:numId w:val="23"/>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服从甲方的管理</w:t>
            </w:r>
          </w:p>
        </w:tc>
        <w:tc>
          <w:tcPr>
            <w:tcW w:w="932" w:type="dxa"/>
            <w:vAlign w:val="center"/>
          </w:tcPr>
          <w:p w14:paraId="0176A7E2">
            <w:pPr>
              <w:spacing w:line="480" w:lineRule="exact"/>
              <w:rPr>
                <w:rFonts w:ascii="宋体" w:hAnsi="宋体"/>
                <w:color w:val="auto"/>
                <w:highlight w:val="none"/>
              </w:rPr>
            </w:pPr>
          </w:p>
        </w:tc>
      </w:tr>
      <w:tr w14:paraId="07B3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restart"/>
            <w:vAlign w:val="center"/>
          </w:tcPr>
          <w:p w14:paraId="072B8EBC">
            <w:pPr>
              <w:spacing w:line="480" w:lineRule="exact"/>
              <w:jc w:val="center"/>
              <w:rPr>
                <w:rFonts w:ascii="宋体" w:hAnsi="宋体"/>
                <w:color w:val="auto"/>
                <w:highlight w:val="none"/>
              </w:rPr>
            </w:pPr>
            <w:r>
              <w:rPr>
                <w:rFonts w:hint="eastAsia" w:ascii="宋体" w:hAnsi="宋体"/>
                <w:color w:val="auto"/>
                <w:highlight w:val="none"/>
              </w:rPr>
              <w:t xml:space="preserve"> 节能管理 （5分）</w:t>
            </w:r>
          </w:p>
        </w:tc>
        <w:tc>
          <w:tcPr>
            <w:tcW w:w="6891" w:type="dxa"/>
            <w:vAlign w:val="center"/>
          </w:tcPr>
          <w:p w14:paraId="3B9A5847">
            <w:pPr>
              <w:numPr>
                <w:ilvl w:val="0"/>
                <w:numId w:val="24"/>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采取管理手段，根据季节、时间段调整设备运行模式节水节电</w:t>
            </w:r>
          </w:p>
        </w:tc>
        <w:tc>
          <w:tcPr>
            <w:tcW w:w="932" w:type="dxa"/>
            <w:vMerge w:val="restart"/>
            <w:vAlign w:val="center"/>
          </w:tcPr>
          <w:p w14:paraId="19A030A1">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次/-1分</w:t>
            </w:r>
          </w:p>
        </w:tc>
      </w:tr>
      <w:tr w14:paraId="0487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5FCDF1CD">
            <w:pPr>
              <w:spacing w:line="480" w:lineRule="exact"/>
              <w:jc w:val="center"/>
              <w:rPr>
                <w:rFonts w:ascii="宋体" w:hAnsi="宋体"/>
                <w:color w:val="auto"/>
                <w:highlight w:val="none"/>
              </w:rPr>
            </w:pPr>
          </w:p>
        </w:tc>
        <w:tc>
          <w:tcPr>
            <w:tcW w:w="6891" w:type="dxa"/>
            <w:vAlign w:val="center"/>
          </w:tcPr>
          <w:p w14:paraId="1139CFD4">
            <w:pPr>
              <w:numPr>
                <w:ilvl w:val="0"/>
                <w:numId w:val="24"/>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机房照明保持正常，车库分时间段和区域进行控制，公共区域适开适关</w:t>
            </w:r>
          </w:p>
        </w:tc>
        <w:tc>
          <w:tcPr>
            <w:tcW w:w="932" w:type="dxa"/>
            <w:vMerge w:val="continue"/>
            <w:vAlign w:val="center"/>
          </w:tcPr>
          <w:p w14:paraId="4E128739">
            <w:pPr>
              <w:spacing w:line="480" w:lineRule="exact"/>
              <w:rPr>
                <w:rFonts w:ascii="宋体" w:hAnsi="宋体"/>
                <w:color w:val="auto"/>
                <w:highlight w:val="none"/>
              </w:rPr>
            </w:pPr>
          </w:p>
        </w:tc>
      </w:tr>
      <w:tr w14:paraId="62D3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13976071">
            <w:pPr>
              <w:spacing w:line="480" w:lineRule="exact"/>
              <w:jc w:val="center"/>
              <w:rPr>
                <w:rFonts w:ascii="宋体" w:hAnsi="宋体"/>
                <w:color w:val="auto"/>
                <w:highlight w:val="none"/>
              </w:rPr>
            </w:pPr>
          </w:p>
        </w:tc>
        <w:tc>
          <w:tcPr>
            <w:tcW w:w="6891" w:type="dxa"/>
            <w:vAlign w:val="center"/>
          </w:tcPr>
          <w:p w14:paraId="597A881F">
            <w:pPr>
              <w:numPr>
                <w:ilvl w:val="0"/>
                <w:numId w:val="24"/>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每月抄录水电气表，统计分析</w:t>
            </w:r>
          </w:p>
        </w:tc>
        <w:tc>
          <w:tcPr>
            <w:tcW w:w="932" w:type="dxa"/>
            <w:vMerge w:val="continue"/>
            <w:vAlign w:val="center"/>
          </w:tcPr>
          <w:p w14:paraId="2D35CFB5">
            <w:pPr>
              <w:spacing w:line="480" w:lineRule="exact"/>
              <w:rPr>
                <w:rFonts w:ascii="宋体" w:hAnsi="宋体"/>
                <w:color w:val="auto"/>
                <w:highlight w:val="none"/>
              </w:rPr>
            </w:pPr>
          </w:p>
        </w:tc>
      </w:tr>
      <w:tr w14:paraId="3FB8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77B4AA7">
            <w:pPr>
              <w:spacing w:line="480" w:lineRule="exact"/>
              <w:jc w:val="center"/>
              <w:rPr>
                <w:rFonts w:ascii="宋体" w:hAnsi="宋体"/>
                <w:color w:val="auto"/>
                <w:highlight w:val="none"/>
              </w:rPr>
            </w:pPr>
          </w:p>
        </w:tc>
        <w:tc>
          <w:tcPr>
            <w:tcW w:w="6891" w:type="dxa"/>
            <w:vAlign w:val="center"/>
          </w:tcPr>
          <w:p w14:paraId="2DC5BF80">
            <w:pPr>
              <w:numPr>
                <w:ilvl w:val="0"/>
                <w:numId w:val="24"/>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严禁室内长流水和跑冒滴漏</w:t>
            </w:r>
          </w:p>
        </w:tc>
        <w:tc>
          <w:tcPr>
            <w:tcW w:w="932" w:type="dxa"/>
            <w:vMerge w:val="continue"/>
            <w:vAlign w:val="center"/>
          </w:tcPr>
          <w:p w14:paraId="66959162">
            <w:pPr>
              <w:spacing w:line="480" w:lineRule="exact"/>
              <w:rPr>
                <w:rFonts w:ascii="宋体" w:hAnsi="宋体"/>
                <w:color w:val="auto"/>
                <w:highlight w:val="none"/>
              </w:rPr>
            </w:pPr>
          </w:p>
        </w:tc>
      </w:tr>
      <w:tr w14:paraId="34BE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restart"/>
            <w:vAlign w:val="center"/>
          </w:tcPr>
          <w:p w14:paraId="3D6196D5">
            <w:pPr>
              <w:spacing w:line="480" w:lineRule="exact"/>
              <w:jc w:val="center"/>
              <w:rPr>
                <w:rFonts w:ascii="宋体" w:hAnsi="宋体"/>
                <w:color w:val="auto"/>
                <w:highlight w:val="none"/>
              </w:rPr>
            </w:pPr>
            <w:r>
              <w:rPr>
                <w:rFonts w:hint="eastAsia" w:ascii="宋体" w:hAnsi="宋体"/>
                <w:color w:val="auto"/>
                <w:highlight w:val="none"/>
              </w:rPr>
              <w:t xml:space="preserve"> 应急预案（5分）</w:t>
            </w:r>
          </w:p>
        </w:tc>
        <w:tc>
          <w:tcPr>
            <w:tcW w:w="6891" w:type="dxa"/>
            <w:vAlign w:val="center"/>
          </w:tcPr>
          <w:p w14:paraId="5DC57EA0">
            <w:pPr>
              <w:numPr>
                <w:ilvl w:val="0"/>
                <w:numId w:val="25"/>
              </w:numPr>
              <w:tabs>
                <w:tab w:val="left" w:pos="252"/>
              </w:tabs>
              <w:spacing w:before="0" w:beforeAutospacing="0" w:after="0" w:afterAutospacing="0" w:line="480" w:lineRule="exact"/>
              <w:ind w:left="252" w:hanging="252"/>
              <w:rPr>
                <w:rFonts w:ascii="宋体" w:hAnsi="宋体"/>
                <w:color w:val="auto"/>
                <w:highlight w:val="none"/>
              </w:rPr>
            </w:pPr>
            <w:r>
              <w:rPr>
                <w:rFonts w:hint="eastAsia" w:ascii="宋体" w:hAnsi="宋体"/>
                <w:color w:val="auto"/>
                <w:highlight w:val="none"/>
              </w:rPr>
              <w:t>安全应急预案齐全，涵盖电梯困人解救、触电、浸水、停电等方面</w:t>
            </w:r>
          </w:p>
        </w:tc>
        <w:tc>
          <w:tcPr>
            <w:tcW w:w="932" w:type="dxa"/>
            <w:vMerge w:val="restart"/>
            <w:vAlign w:val="center"/>
          </w:tcPr>
          <w:p w14:paraId="152778FE">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次/-1分</w:t>
            </w:r>
          </w:p>
        </w:tc>
      </w:tr>
      <w:tr w14:paraId="0239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01363149">
            <w:pPr>
              <w:spacing w:line="480" w:lineRule="exact"/>
              <w:jc w:val="center"/>
              <w:rPr>
                <w:rFonts w:ascii="宋体" w:hAnsi="宋体"/>
                <w:color w:val="auto"/>
                <w:highlight w:val="none"/>
              </w:rPr>
            </w:pPr>
          </w:p>
        </w:tc>
        <w:tc>
          <w:tcPr>
            <w:tcW w:w="6891" w:type="dxa"/>
            <w:vAlign w:val="center"/>
          </w:tcPr>
          <w:p w14:paraId="0D6C2B90">
            <w:pPr>
              <w:numPr>
                <w:ilvl w:val="0"/>
                <w:numId w:val="25"/>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建立设备安全事件应急小组，职责清晰，成员熟练掌握</w:t>
            </w:r>
          </w:p>
        </w:tc>
        <w:tc>
          <w:tcPr>
            <w:tcW w:w="932" w:type="dxa"/>
            <w:vMerge w:val="continue"/>
            <w:vAlign w:val="center"/>
          </w:tcPr>
          <w:p w14:paraId="7B59C4F3">
            <w:pPr>
              <w:spacing w:line="480" w:lineRule="exact"/>
              <w:rPr>
                <w:rFonts w:ascii="宋体" w:hAnsi="宋体"/>
                <w:color w:val="auto"/>
                <w:highlight w:val="none"/>
              </w:rPr>
            </w:pPr>
          </w:p>
        </w:tc>
      </w:tr>
      <w:tr w14:paraId="24C4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0662DD76">
            <w:pPr>
              <w:spacing w:line="480" w:lineRule="exact"/>
              <w:jc w:val="center"/>
              <w:rPr>
                <w:rFonts w:ascii="宋体" w:hAnsi="宋体"/>
                <w:color w:val="auto"/>
                <w:highlight w:val="none"/>
              </w:rPr>
            </w:pPr>
          </w:p>
        </w:tc>
        <w:tc>
          <w:tcPr>
            <w:tcW w:w="6891" w:type="dxa"/>
            <w:vAlign w:val="center"/>
          </w:tcPr>
          <w:p w14:paraId="3FAC5E52">
            <w:pPr>
              <w:spacing w:line="480" w:lineRule="exact"/>
              <w:rPr>
                <w:rFonts w:ascii="宋体" w:hAnsi="宋体"/>
                <w:color w:val="auto"/>
                <w:highlight w:val="none"/>
              </w:rPr>
            </w:pPr>
            <w:r>
              <w:rPr>
                <w:rFonts w:hint="eastAsia" w:ascii="宋体" w:hAnsi="宋体"/>
                <w:color w:val="auto"/>
                <w:highlight w:val="none"/>
              </w:rPr>
              <w:t>3</w:t>
            </w:r>
            <w:r>
              <w:rPr>
                <w:rFonts w:ascii="宋体" w:hAnsi="宋体"/>
                <w:color w:val="auto"/>
                <w:highlight w:val="none"/>
              </w:rPr>
              <w:t xml:space="preserve">. </w:t>
            </w:r>
            <w:r>
              <w:rPr>
                <w:rFonts w:hint="eastAsia" w:ascii="宋体" w:hAnsi="宋体"/>
                <w:color w:val="auto"/>
                <w:highlight w:val="none"/>
              </w:rPr>
              <w:t>组织演练，模拟应急事件处理测试</w:t>
            </w:r>
          </w:p>
        </w:tc>
        <w:tc>
          <w:tcPr>
            <w:tcW w:w="932" w:type="dxa"/>
            <w:vMerge w:val="continue"/>
            <w:vAlign w:val="center"/>
          </w:tcPr>
          <w:p w14:paraId="75E7462F">
            <w:pPr>
              <w:spacing w:line="480" w:lineRule="exact"/>
              <w:rPr>
                <w:rFonts w:ascii="宋体" w:hAnsi="宋体"/>
                <w:color w:val="auto"/>
                <w:highlight w:val="none"/>
              </w:rPr>
            </w:pPr>
          </w:p>
        </w:tc>
      </w:tr>
      <w:tr w14:paraId="7093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restart"/>
            <w:vAlign w:val="center"/>
          </w:tcPr>
          <w:p w14:paraId="1C410510">
            <w:pPr>
              <w:spacing w:line="480" w:lineRule="exact"/>
              <w:jc w:val="center"/>
              <w:rPr>
                <w:rFonts w:ascii="宋体" w:hAnsi="宋体"/>
                <w:color w:val="auto"/>
                <w:highlight w:val="none"/>
              </w:rPr>
            </w:pPr>
            <w:r>
              <w:rPr>
                <w:rFonts w:hint="eastAsia" w:ascii="宋体" w:hAnsi="宋体"/>
                <w:color w:val="auto"/>
                <w:highlight w:val="none"/>
              </w:rPr>
              <w:t>其他   （10分）</w:t>
            </w:r>
          </w:p>
        </w:tc>
        <w:tc>
          <w:tcPr>
            <w:tcW w:w="6891" w:type="dxa"/>
          </w:tcPr>
          <w:p w14:paraId="76A89004">
            <w:pPr>
              <w:numPr>
                <w:ilvl w:val="0"/>
                <w:numId w:val="2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无因重大服务质量问题致客户有效投诉</w:t>
            </w:r>
          </w:p>
        </w:tc>
        <w:tc>
          <w:tcPr>
            <w:tcW w:w="932" w:type="dxa"/>
            <w:vMerge w:val="restart"/>
            <w:vAlign w:val="center"/>
          </w:tcPr>
          <w:p w14:paraId="33A3981E">
            <w:pPr>
              <w:spacing w:line="480" w:lineRule="exact"/>
              <w:rPr>
                <w:rFonts w:ascii="宋体" w:hAnsi="宋体"/>
                <w:color w:val="auto"/>
                <w:highlight w:val="none"/>
              </w:rPr>
            </w:pPr>
            <w:r>
              <w:rPr>
                <w:rFonts w:hint="eastAsia" w:ascii="宋体" w:hAnsi="宋体"/>
                <w:color w:val="auto"/>
                <w:highlight w:val="none"/>
              </w:rPr>
              <w:t>不符合要求</w:t>
            </w:r>
            <w:r>
              <w:rPr>
                <w:rFonts w:ascii="宋体" w:hAnsi="宋体"/>
                <w:color w:val="auto"/>
                <w:kern w:val="0"/>
                <w:highlight w:val="none"/>
              </w:rPr>
              <w:t>次/-</w:t>
            </w:r>
            <w:r>
              <w:rPr>
                <w:rFonts w:hint="eastAsia" w:ascii="宋体" w:hAnsi="宋体"/>
                <w:color w:val="auto"/>
                <w:kern w:val="0"/>
                <w:highlight w:val="none"/>
              </w:rPr>
              <w:t>1</w:t>
            </w:r>
            <w:r>
              <w:rPr>
                <w:rFonts w:ascii="宋体" w:hAnsi="宋体"/>
                <w:color w:val="auto"/>
                <w:kern w:val="0"/>
                <w:highlight w:val="none"/>
              </w:rPr>
              <w:t>分</w:t>
            </w:r>
          </w:p>
        </w:tc>
      </w:tr>
      <w:tr w14:paraId="770C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F581CE6">
            <w:pPr>
              <w:spacing w:line="480" w:lineRule="exact"/>
              <w:jc w:val="center"/>
              <w:rPr>
                <w:rFonts w:ascii="宋体" w:hAnsi="宋体"/>
                <w:color w:val="auto"/>
                <w:highlight w:val="none"/>
              </w:rPr>
            </w:pPr>
          </w:p>
        </w:tc>
        <w:tc>
          <w:tcPr>
            <w:tcW w:w="6891" w:type="dxa"/>
          </w:tcPr>
          <w:p w14:paraId="439A692D">
            <w:pPr>
              <w:numPr>
                <w:ilvl w:val="0"/>
                <w:numId w:val="2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无</w:t>
            </w:r>
            <w:r>
              <w:rPr>
                <w:rFonts w:ascii="宋体" w:hAnsi="宋体"/>
                <w:color w:val="auto"/>
                <w:highlight w:val="none"/>
              </w:rPr>
              <w:t>用馈赠、贿赂甲方人员或公司监督人员</w:t>
            </w:r>
          </w:p>
        </w:tc>
        <w:tc>
          <w:tcPr>
            <w:tcW w:w="932" w:type="dxa"/>
            <w:vMerge w:val="continue"/>
            <w:vAlign w:val="center"/>
          </w:tcPr>
          <w:p w14:paraId="0FA40268">
            <w:pPr>
              <w:spacing w:line="480" w:lineRule="exact"/>
              <w:rPr>
                <w:rFonts w:ascii="宋体" w:hAnsi="宋体"/>
                <w:color w:val="auto"/>
                <w:highlight w:val="none"/>
              </w:rPr>
            </w:pPr>
          </w:p>
        </w:tc>
      </w:tr>
      <w:tr w14:paraId="5244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0D7C290C">
            <w:pPr>
              <w:spacing w:line="480" w:lineRule="exact"/>
              <w:jc w:val="center"/>
              <w:rPr>
                <w:rFonts w:ascii="宋体" w:hAnsi="宋体"/>
                <w:color w:val="auto"/>
                <w:highlight w:val="none"/>
              </w:rPr>
            </w:pPr>
          </w:p>
        </w:tc>
        <w:tc>
          <w:tcPr>
            <w:tcW w:w="6891" w:type="dxa"/>
          </w:tcPr>
          <w:p w14:paraId="12057C40">
            <w:pPr>
              <w:numPr>
                <w:ilvl w:val="0"/>
                <w:numId w:val="2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无</w:t>
            </w:r>
            <w:r>
              <w:rPr>
                <w:rFonts w:ascii="宋体" w:hAnsi="宋体"/>
                <w:color w:val="auto"/>
                <w:highlight w:val="none"/>
              </w:rPr>
              <w:t>私自拿用、盗窃甲方及其员工或</w:t>
            </w:r>
            <w:r>
              <w:rPr>
                <w:rFonts w:hint="eastAsia" w:ascii="宋体" w:hAnsi="宋体"/>
                <w:color w:val="auto"/>
                <w:highlight w:val="none"/>
              </w:rPr>
              <w:t>公司及员工</w:t>
            </w:r>
            <w:r>
              <w:rPr>
                <w:rFonts w:ascii="宋体" w:hAnsi="宋体"/>
                <w:color w:val="auto"/>
                <w:highlight w:val="none"/>
              </w:rPr>
              <w:t>物品</w:t>
            </w:r>
          </w:p>
        </w:tc>
        <w:tc>
          <w:tcPr>
            <w:tcW w:w="932" w:type="dxa"/>
            <w:vMerge w:val="continue"/>
            <w:vAlign w:val="center"/>
          </w:tcPr>
          <w:p w14:paraId="52975E48">
            <w:pPr>
              <w:spacing w:line="480" w:lineRule="exact"/>
              <w:rPr>
                <w:rFonts w:ascii="宋体" w:hAnsi="宋体"/>
                <w:color w:val="auto"/>
                <w:highlight w:val="none"/>
              </w:rPr>
            </w:pPr>
          </w:p>
        </w:tc>
      </w:tr>
      <w:tr w14:paraId="5957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10049358">
            <w:pPr>
              <w:spacing w:line="480" w:lineRule="exact"/>
              <w:jc w:val="center"/>
              <w:rPr>
                <w:rFonts w:ascii="宋体" w:hAnsi="宋体"/>
                <w:color w:val="auto"/>
                <w:highlight w:val="none"/>
              </w:rPr>
            </w:pPr>
          </w:p>
        </w:tc>
        <w:tc>
          <w:tcPr>
            <w:tcW w:w="6891" w:type="dxa"/>
          </w:tcPr>
          <w:p w14:paraId="2AB9CA45">
            <w:pPr>
              <w:numPr>
                <w:ilvl w:val="0"/>
                <w:numId w:val="2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无员工安全生产管理不到位，作业存在严重安全隐患的</w:t>
            </w:r>
          </w:p>
        </w:tc>
        <w:tc>
          <w:tcPr>
            <w:tcW w:w="932" w:type="dxa"/>
            <w:vMerge w:val="continue"/>
            <w:vAlign w:val="center"/>
          </w:tcPr>
          <w:p w14:paraId="0FB469CE">
            <w:pPr>
              <w:spacing w:line="480" w:lineRule="exact"/>
              <w:rPr>
                <w:rFonts w:ascii="宋体" w:hAnsi="宋体"/>
                <w:color w:val="auto"/>
                <w:highlight w:val="none"/>
              </w:rPr>
            </w:pPr>
          </w:p>
        </w:tc>
      </w:tr>
      <w:tr w14:paraId="0AEE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9627A6E">
            <w:pPr>
              <w:spacing w:line="480" w:lineRule="exact"/>
              <w:jc w:val="center"/>
              <w:rPr>
                <w:rFonts w:ascii="宋体" w:hAnsi="宋体"/>
                <w:color w:val="auto"/>
                <w:highlight w:val="none"/>
              </w:rPr>
            </w:pPr>
          </w:p>
        </w:tc>
        <w:tc>
          <w:tcPr>
            <w:tcW w:w="6891" w:type="dxa"/>
          </w:tcPr>
          <w:p w14:paraId="466C8F7A">
            <w:pPr>
              <w:numPr>
                <w:ilvl w:val="0"/>
                <w:numId w:val="2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kern w:val="0"/>
                <w:highlight w:val="none"/>
              </w:rPr>
              <w:t>无当班负责人缺少巡视检查记录</w:t>
            </w:r>
          </w:p>
        </w:tc>
        <w:tc>
          <w:tcPr>
            <w:tcW w:w="932" w:type="dxa"/>
            <w:vMerge w:val="continue"/>
            <w:vAlign w:val="center"/>
          </w:tcPr>
          <w:p w14:paraId="2953D8E1">
            <w:pPr>
              <w:spacing w:line="480" w:lineRule="exact"/>
              <w:rPr>
                <w:rFonts w:ascii="宋体" w:hAnsi="宋体"/>
                <w:color w:val="auto"/>
                <w:highlight w:val="none"/>
              </w:rPr>
            </w:pPr>
          </w:p>
        </w:tc>
      </w:tr>
      <w:tr w14:paraId="2C7A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9A23AAB">
            <w:pPr>
              <w:spacing w:line="480" w:lineRule="exact"/>
              <w:jc w:val="center"/>
              <w:rPr>
                <w:rFonts w:ascii="宋体" w:hAnsi="宋体"/>
                <w:color w:val="auto"/>
                <w:highlight w:val="none"/>
              </w:rPr>
            </w:pPr>
          </w:p>
        </w:tc>
        <w:tc>
          <w:tcPr>
            <w:tcW w:w="6891" w:type="dxa"/>
          </w:tcPr>
          <w:p w14:paraId="3881F0D6">
            <w:pPr>
              <w:numPr>
                <w:ilvl w:val="0"/>
                <w:numId w:val="26"/>
              </w:numPr>
              <w:tabs>
                <w:tab w:val="left" w:pos="252"/>
              </w:tabs>
              <w:spacing w:before="0" w:beforeAutospacing="0" w:after="0" w:afterAutospacing="0" w:line="480" w:lineRule="exact"/>
              <w:ind w:left="252" w:hanging="252"/>
              <w:rPr>
                <w:rFonts w:ascii="宋体" w:hAnsi="宋体"/>
                <w:color w:val="auto"/>
                <w:kern w:val="0"/>
                <w:highlight w:val="none"/>
              </w:rPr>
            </w:pPr>
            <w:r>
              <w:rPr>
                <w:rFonts w:hint="eastAsia" w:ascii="宋体" w:hAnsi="宋体"/>
                <w:color w:val="auto"/>
                <w:highlight w:val="none"/>
              </w:rPr>
              <w:t>无</w:t>
            </w:r>
            <w:r>
              <w:rPr>
                <w:rFonts w:ascii="宋体" w:hAnsi="宋体"/>
                <w:color w:val="auto"/>
                <w:highlight w:val="none"/>
              </w:rPr>
              <w:t>对</w:t>
            </w:r>
            <w:r>
              <w:rPr>
                <w:rFonts w:hint="eastAsia" w:ascii="宋体" w:hAnsi="宋体"/>
                <w:color w:val="auto"/>
                <w:highlight w:val="none"/>
              </w:rPr>
              <w:t>工程维修</w:t>
            </w:r>
            <w:r>
              <w:rPr>
                <w:rFonts w:ascii="宋体" w:hAnsi="宋体"/>
                <w:color w:val="auto"/>
                <w:highlight w:val="none"/>
              </w:rPr>
              <w:t>服务质量的有效投诉</w:t>
            </w:r>
            <w:r>
              <w:rPr>
                <w:rFonts w:hint="eastAsia" w:ascii="宋体" w:hAnsi="宋体"/>
                <w:color w:val="auto"/>
                <w:highlight w:val="none"/>
              </w:rPr>
              <w:t>（</w:t>
            </w:r>
            <w:r>
              <w:rPr>
                <w:rFonts w:ascii="宋体" w:hAnsi="宋体"/>
                <w:color w:val="auto"/>
                <w:highlight w:val="none"/>
              </w:rPr>
              <w:t>经甲方和乙方现场主管人员验证属实）</w:t>
            </w:r>
          </w:p>
        </w:tc>
        <w:tc>
          <w:tcPr>
            <w:tcW w:w="932" w:type="dxa"/>
            <w:vMerge w:val="continue"/>
            <w:vAlign w:val="center"/>
          </w:tcPr>
          <w:p w14:paraId="756CFC1C">
            <w:pPr>
              <w:spacing w:line="480" w:lineRule="exact"/>
              <w:rPr>
                <w:rFonts w:ascii="宋体" w:hAnsi="宋体"/>
                <w:color w:val="auto"/>
                <w:highlight w:val="none"/>
              </w:rPr>
            </w:pPr>
          </w:p>
        </w:tc>
      </w:tr>
      <w:tr w14:paraId="644A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53F104CF">
            <w:pPr>
              <w:spacing w:line="480" w:lineRule="exact"/>
              <w:jc w:val="center"/>
              <w:rPr>
                <w:rFonts w:ascii="宋体" w:hAnsi="宋体"/>
                <w:color w:val="auto"/>
                <w:highlight w:val="none"/>
              </w:rPr>
            </w:pPr>
          </w:p>
        </w:tc>
        <w:tc>
          <w:tcPr>
            <w:tcW w:w="6891" w:type="dxa"/>
          </w:tcPr>
          <w:p w14:paraId="177D54D9">
            <w:pPr>
              <w:numPr>
                <w:ilvl w:val="0"/>
                <w:numId w:val="26"/>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kern w:val="0"/>
                <w:highlight w:val="none"/>
              </w:rPr>
              <w:t>无当班所属区域内发生设备、技术等有关事宜未汇报责任部门的</w:t>
            </w:r>
          </w:p>
        </w:tc>
        <w:tc>
          <w:tcPr>
            <w:tcW w:w="932" w:type="dxa"/>
            <w:vMerge w:val="continue"/>
            <w:vAlign w:val="center"/>
          </w:tcPr>
          <w:p w14:paraId="4106611C">
            <w:pPr>
              <w:spacing w:line="480" w:lineRule="exact"/>
              <w:rPr>
                <w:rFonts w:ascii="宋体" w:hAnsi="宋体"/>
                <w:color w:val="auto"/>
                <w:highlight w:val="none"/>
              </w:rPr>
            </w:pPr>
          </w:p>
        </w:tc>
      </w:tr>
      <w:tr w14:paraId="2D5C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6" w:type="dxa"/>
            <w:vMerge w:val="continue"/>
            <w:vAlign w:val="center"/>
          </w:tcPr>
          <w:p w14:paraId="6ED4166A">
            <w:pPr>
              <w:spacing w:line="480" w:lineRule="exact"/>
              <w:jc w:val="center"/>
              <w:rPr>
                <w:rFonts w:ascii="宋体" w:hAnsi="宋体"/>
                <w:color w:val="auto"/>
                <w:highlight w:val="none"/>
              </w:rPr>
            </w:pPr>
          </w:p>
        </w:tc>
        <w:tc>
          <w:tcPr>
            <w:tcW w:w="6891" w:type="dxa"/>
          </w:tcPr>
          <w:p w14:paraId="267AF47D">
            <w:pPr>
              <w:numPr>
                <w:ilvl w:val="0"/>
                <w:numId w:val="26"/>
              </w:numPr>
              <w:tabs>
                <w:tab w:val="left" w:pos="252"/>
              </w:tabs>
              <w:spacing w:before="0" w:beforeAutospacing="0" w:after="0" w:afterAutospacing="0" w:line="480" w:lineRule="exact"/>
              <w:rPr>
                <w:rFonts w:ascii="宋体" w:hAnsi="宋体"/>
                <w:color w:val="auto"/>
                <w:kern w:val="0"/>
                <w:highlight w:val="none"/>
              </w:rPr>
            </w:pPr>
            <w:r>
              <w:rPr>
                <w:rFonts w:hint="eastAsia" w:ascii="宋体" w:hAnsi="宋体"/>
                <w:color w:val="auto"/>
                <w:kern w:val="0"/>
                <w:highlight w:val="none"/>
              </w:rPr>
              <w:t>无未根据工作需要及时调整班次或安排加班造成不利影响的</w:t>
            </w:r>
          </w:p>
        </w:tc>
        <w:tc>
          <w:tcPr>
            <w:tcW w:w="932" w:type="dxa"/>
            <w:vMerge w:val="continue"/>
            <w:vAlign w:val="center"/>
          </w:tcPr>
          <w:p w14:paraId="50D65ACA">
            <w:pPr>
              <w:spacing w:line="480" w:lineRule="exact"/>
              <w:rPr>
                <w:rFonts w:ascii="宋体" w:hAnsi="宋体"/>
                <w:color w:val="auto"/>
                <w:highlight w:val="none"/>
              </w:rPr>
            </w:pPr>
          </w:p>
        </w:tc>
      </w:tr>
      <w:tr w14:paraId="6E8B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46" w:type="dxa"/>
            <w:vMerge w:val="restart"/>
            <w:vAlign w:val="center"/>
          </w:tcPr>
          <w:p w14:paraId="1CEB4769">
            <w:pPr>
              <w:spacing w:line="480" w:lineRule="exact"/>
              <w:jc w:val="center"/>
              <w:rPr>
                <w:rFonts w:ascii="宋体" w:hAnsi="宋体"/>
                <w:color w:val="auto"/>
                <w:highlight w:val="none"/>
              </w:rPr>
            </w:pPr>
            <w:r>
              <w:rPr>
                <w:rFonts w:ascii="宋体" w:hAnsi="宋体" w:cs="Courier New"/>
                <w:color w:val="auto"/>
                <w:kern w:val="0"/>
                <w:highlight w:val="none"/>
              </w:rPr>
              <w:t>加分事项</w:t>
            </w:r>
          </w:p>
        </w:tc>
        <w:tc>
          <w:tcPr>
            <w:tcW w:w="6891" w:type="dxa"/>
            <w:vAlign w:val="center"/>
          </w:tcPr>
          <w:p w14:paraId="5D2BFDAE">
            <w:pPr>
              <w:numPr>
                <w:ilvl w:val="0"/>
                <w:numId w:val="27"/>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尽心尽责阻止甲方利益受损</w:t>
            </w:r>
          </w:p>
        </w:tc>
        <w:tc>
          <w:tcPr>
            <w:tcW w:w="932" w:type="dxa"/>
            <w:vMerge w:val="restart"/>
            <w:vAlign w:val="center"/>
          </w:tcPr>
          <w:p w14:paraId="4AE74D0B">
            <w:pPr>
              <w:spacing w:line="480" w:lineRule="exact"/>
              <w:rPr>
                <w:rFonts w:ascii="宋体" w:hAnsi="宋体"/>
                <w:color w:val="auto"/>
                <w:highlight w:val="none"/>
              </w:rPr>
            </w:pPr>
            <w:r>
              <w:rPr>
                <w:rFonts w:hint="eastAsia" w:ascii="宋体" w:hAnsi="宋体"/>
                <w:color w:val="auto"/>
                <w:highlight w:val="none"/>
              </w:rPr>
              <w:t>次/5分</w:t>
            </w:r>
          </w:p>
        </w:tc>
      </w:tr>
      <w:tr w14:paraId="4EED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6" w:type="dxa"/>
            <w:vMerge w:val="continue"/>
            <w:vAlign w:val="center"/>
          </w:tcPr>
          <w:p w14:paraId="6C9AA352">
            <w:pPr>
              <w:spacing w:line="480" w:lineRule="exact"/>
              <w:jc w:val="center"/>
              <w:rPr>
                <w:rFonts w:ascii="宋体" w:hAnsi="宋体" w:cs="Courier New"/>
                <w:color w:val="auto"/>
                <w:kern w:val="0"/>
                <w:highlight w:val="none"/>
              </w:rPr>
            </w:pPr>
          </w:p>
        </w:tc>
        <w:tc>
          <w:tcPr>
            <w:tcW w:w="6891" w:type="dxa"/>
            <w:vAlign w:val="center"/>
          </w:tcPr>
          <w:p w14:paraId="22B2BF39">
            <w:pPr>
              <w:numPr>
                <w:ilvl w:val="0"/>
                <w:numId w:val="27"/>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为维护设备和人身安全/遇突发事件拼力抢救</w:t>
            </w:r>
          </w:p>
        </w:tc>
        <w:tc>
          <w:tcPr>
            <w:tcW w:w="932" w:type="dxa"/>
            <w:vMerge w:val="continue"/>
            <w:vAlign w:val="center"/>
          </w:tcPr>
          <w:p w14:paraId="1939E61F">
            <w:pPr>
              <w:spacing w:line="480" w:lineRule="exact"/>
              <w:rPr>
                <w:rFonts w:ascii="宋体" w:hAnsi="宋体"/>
                <w:color w:val="auto"/>
                <w:highlight w:val="none"/>
              </w:rPr>
            </w:pPr>
          </w:p>
        </w:tc>
      </w:tr>
      <w:tr w14:paraId="20E3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46" w:type="dxa"/>
            <w:vMerge w:val="continue"/>
            <w:vAlign w:val="center"/>
          </w:tcPr>
          <w:p w14:paraId="4CB8AE86">
            <w:pPr>
              <w:spacing w:line="480" w:lineRule="exact"/>
              <w:jc w:val="center"/>
              <w:rPr>
                <w:rFonts w:ascii="宋体" w:hAnsi="宋体" w:cs="Courier New"/>
                <w:color w:val="auto"/>
                <w:kern w:val="0"/>
                <w:highlight w:val="none"/>
              </w:rPr>
            </w:pPr>
          </w:p>
        </w:tc>
        <w:tc>
          <w:tcPr>
            <w:tcW w:w="6891" w:type="dxa"/>
            <w:vAlign w:val="center"/>
          </w:tcPr>
          <w:p w14:paraId="465AF6D9">
            <w:pPr>
              <w:numPr>
                <w:ilvl w:val="0"/>
                <w:numId w:val="27"/>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临时交办任务完成良好</w:t>
            </w:r>
          </w:p>
        </w:tc>
        <w:tc>
          <w:tcPr>
            <w:tcW w:w="932" w:type="dxa"/>
            <w:vMerge w:val="continue"/>
            <w:vAlign w:val="center"/>
          </w:tcPr>
          <w:p w14:paraId="10E9DCB8">
            <w:pPr>
              <w:spacing w:line="480" w:lineRule="exact"/>
              <w:rPr>
                <w:rFonts w:ascii="宋体" w:hAnsi="宋体"/>
                <w:color w:val="auto"/>
                <w:highlight w:val="none"/>
              </w:rPr>
            </w:pPr>
          </w:p>
        </w:tc>
      </w:tr>
      <w:tr w14:paraId="20E1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46" w:type="dxa"/>
            <w:vMerge w:val="continue"/>
            <w:vAlign w:val="center"/>
          </w:tcPr>
          <w:p w14:paraId="16367783">
            <w:pPr>
              <w:spacing w:line="480" w:lineRule="exact"/>
              <w:jc w:val="center"/>
              <w:rPr>
                <w:rFonts w:ascii="宋体" w:hAnsi="宋体" w:cs="Courier New"/>
                <w:color w:val="auto"/>
                <w:kern w:val="0"/>
                <w:highlight w:val="none"/>
              </w:rPr>
            </w:pPr>
          </w:p>
        </w:tc>
        <w:tc>
          <w:tcPr>
            <w:tcW w:w="6891" w:type="dxa"/>
            <w:vAlign w:val="center"/>
          </w:tcPr>
          <w:p w14:paraId="7732AF23">
            <w:pPr>
              <w:numPr>
                <w:ilvl w:val="0"/>
                <w:numId w:val="27"/>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受到业主方或甲方表扬的</w:t>
            </w:r>
          </w:p>
        </w:tc>
        <w:tc>
          <w:tcPr>
            <w:tcW w:w="932" w:type="dxa"/>
            <w:vMerge w:val="continue"/>
            <w:vAlign w:val="center"/>
          </w:tcPr>
          <w:p w14:paraId="6724C706">
            <w:pPr>
              <w:spacing w:line="480" w:lineRule="exact"/>
              <w:rPr>
                <w:rFonts w:ascii="宋体" w:hAnsi="宋体"/>
                <w:color w:val="auto"/>
                <w:highlight w:val="none"/>
              </w:rPr>
            </w:pPr>
          </w:p>
        </w:tc>
      </w:tr>
      <w:tr w14:paraId="5420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46" w:type="dxa"/>
            <w:vMerge w:val="continue"/>
            <w:vAlign w:val="center"/>
          </w:tcPr>
          <w:p w14:paraId="3F669F8B">
            <w:pPr>
              <w:spacing w:line="480" w:lineRule="exact"/>
              <w:jc w:val="center"/>
              <w:rPr>
                <w:rFonts w:ascii="宋体" w:hAnsi="宋体" w:cs="Courier New"/>
                <w:color w:val="auto"/>
                <w:kern w:val="0"/>
                <w:highlight w:val="none"/>
              </w:rPr>
            </w:pPr>
          </w:p>
        </w:tc>
        <w:tc>
          <w:tcPr>
            <w:tcW w:w="6891" w:type="dxa"/>
            <w:vAlign w:val="center"/>
          </w:tcPr>
          <w:p w14:paraId="5E2D1F93">
            <w:pPr>
              <w:numPr>
                <w:ilvl w:val="0"/>
                <w:numId w:val="27"/>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节能方面有突出贡献的（满足业主方的节能标准、在业主方考核节能标准、每年度节能降耗下浮3%）</w:t>
            </w:r>
          </w:p>
        </w:tc>
        <w:tc>
          <w:tcPr>
            <w:tcW w:w="932" w:type="dxa"/>
            <w:vMerge w:val="continue"/>
            <w:vAlign w:val="center"/>
          </w:tcPr>
          <w:p w14:paraId="5BC5B526">
            <w:pPr>
              <w:spacing w:line="480" w:lineRule="exact"/>
              <w:rPr>
                <w:rFonts w:ascii="宋体" w:hAnsi="宋体"/>
                <w:color w:val="auto"/>
                <w:highlight w:val="none"/>
              </w:rPr>
            </w:pPr>
          </w:p>
        </w:tc>
      </w:tr>
      <w:tr w14:paraId="072D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46" w:type="dxa"/>
            <w:vMerge w:val="continue"/>
            <w:vAlign w:val="center"/>
          </w:tcPr>
          <w:p w14:paraId="703BBBD9">
            <w:pPr>
              <w:spacing w:line="480" w:lineRule="exact"/>
              <w:jc w:val="center"/>
              <w:rPr>
                <w:rFonts w:ascii="宋体" w:hAnsi="宋体" w:cs="Courier New"/>
                <w:color w:val="auto"/>
                <w:kern w:val="0"/>
                <w:highlight w:val="none"/>
              </w:rPr>
            </w:pPr>
          </w:p>
        </w:tc>
        <w:tc>
          <w:tcPr>
            <w:tcW w:w="6891" w:type="dxa"/>
            <w:vAlign w:val="center"/>
          </w:tcPr>
          <w:p w14:paraId="5B1E84CD">
            <w:pPr>
              <w:numPr>
                <w:ilvl w:val="0"/>
                <w:numId w:val="27"/>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积极配合业主方完成工程意外的工作受到甲方表扬的。</w:t>
            </w:r>
          </w:p>
        </w:tc>
        <w:tc>
          <w:tcPr>
            <w:tcW w:w="932" w:type="dxa"/>
            <w:vMerge w:val="continue"/>
            <w:vAlign w:val="center"/>
          </w:tcPr>
          <w:p w14:paraId="7F7E3191">
            <w:pPr>
              <w:spacing w:line="480" w:lineRule="exact"/>
              <w:rPr>
                <w:rFonts w:ascii="宋体" w:hAnsi="宋体"/>
                <w:color w:val="auto"/>
                <w:highlight w:val="none"/>
              </w:rPr>
            </w:pPr>
          </w:p>
        </w:tc>
      </w:tr>
      <w:tr w14:paraId="297C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46" w:type="dxa"/>
            <w:vAlign w:val="center"/>
          </w:tcPr>
          <w:p w14:paraId="42F14872">
            <w:pPr>
              <w:spacing w:line="480" w:lineRule="exact"/>
              <w:jc w:val="center"/>
              <w:rPr>
                <w:rFonts w:ascii="宋体" w:hAnsi="宋体" w:cs="Courier New"/>
                <w:color w:val="auto"/>
                <w:kern w:val="0"/>
                <w:highlight w:val="none"/>
              </w:rPr>
            </w:pPr>
          </w:p>
        </w:tc>
        <w:tc>
          <w:tcPr>
            <w:tcW w:w="6891" w:type="dxa"/>
            <w:vAlign w:val="center"/>
          </w:tcPr>
          <w:p w14:paraId="56C7BD73">
            <w:pPr>
              <w:numPr>
                <w:ilvl w:val="0"/>
                <w:numId w:val="27"/>
              </w:numPr>
              <w:tabs>
                <w:tab w:val="left" w:pos="252"/>
              </w:tabs>
              <w:spacing w:before="0" w:beforeAutospacing="0" w:after="0" w:afterAutospacing="0" w:line="480" w:lineRule="exact"/>
              <w:rPr>
                <w:rFonts w:ascii="宋体" w:hAnsi="宋体"/>
                <w:color w:val="auto"/>
                <w:highlight w:val="none"/>
              </w:rPr>
            </w:pPr>
            <w:r>
              <w:rPr>
                <w:rFonts w:hint="eastAsia" w:ascii="宋体" w:hAnsi="宋体"/>
                <w:color w:val="auto"/>
                <w:highlight w:val="none"/>
              </w:rPr>
              <w:t>提出合理化建议的、</w:t>
            </w:r>
          </w:p>
        </w:tc>
        <w:tc>
          <w:tcPr>
            <w:tcW w:w="932" w:type="dxa"/>
            <w:vMerge w:val="continue"/>
            <w:vAlign w:val="center"/>
          </w:tcPr>
          <w:p w14:paraId="4F43B6D0">
            <w:pPr>
              <w:spacing w:line="480" w:lineRule="exact"/>
              <w:rPr>
                <w:rFonts w:ascii="宋体" w:hAnsi="宋体"/>
                <w:color w:val="auto"/>
                <w:highlight w:val="none"/>
              </w:rPr>
            </w:pPr>
          </w:p>
        </w:tc>
      </w:tr>
    </w:tbl>
    <w:p w14:paraId="1BA2FFD9">
      <w:pPr>
        <w:jc w:val="center"/>
        <w:rPr>
          <w:rFonts w:ascii="宋体" w:hAnsi="宋体"/>
          <w:b/>
          <w:color w:val="auto"/>
          <w:sz w:val="32"/>
          <w:szCs w:val="32"/>
          <w:highlight w:val="none"/>
        </w:rPr>
      </w:pPr>
      <w:r>
        <w:rPr>
          <w:rFonts w:hint="eastAsia" w:ascii="宋体" w:hAnsi="宋体"/>
          <w:b/>
          <w:color w:val="auto"/>
          <w:sz w:val="32"/>
          <w:szCs w:val="32"/>
          <w:highlight w:val="none"/>
        </w:rPr>
        <w:t>后勤服务外包满意度调查表（满分为100分）</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
        <w:gridCol w:w="2655"/>
        <w:gridCol w:w="961"/>
        <w:gridCol w:w="1017"/>
        <w:gridCol w:w="911"/>
        <w:gridCol w:w="983"/>
        <w:gridCol w:w="1100"/>
        <w:gridCol w:w="873"/>
      </w:tblGrid>
      <w:tr w14:paraId="503C2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0" w:hRule="atLeast"/>
          <w:tblHeader/>
          <w:jc w:val="center"/>
        </w:trPr>
        <w:tc>
          <w:tcPr>
            <w:tcW w:w="928" w:type="dxa"/>
            <w:vMerge w:val="restart"/>
            <w:tcBorders>
              <w:top w:val="single" w:color="auto" w:sz="2" w:space="0"/>
              <w:left w:val="single" w:color="auto" w:sz="2" w:space="0"/>
              <w:right w:val="single" w:color="auto" w:sz="2" w:space="0"/>
            </w:tcBorders>
            <w:vAlign w:val="center"/>
          </w:tcPr>
          <w:p w14:paraId="272A5C81">
            <w:pPr>
              <w:jc w:val="center"/>
              <w:rPr>
                <w:rFonts w:ascii="宋体" w:hAnsi="宋体"/>
                <w:b/>
                <w:bCs/>
                <w:color w:val="auto"/>
                <w:sz w:val="22"/>
                <w:szCs w:val="22"/>
                <w:highlight w:val="none"/>
              </w:rPr>
            </w:pPr>
            <w:r>
              <w:rPr>
                <w:rFonts w:hint="eastAsia" w:ascii="宋体" w:hAnsi="宋体"/>
                <w:b/>
                <w:bCs/>
                <w:color w:val="auto"/>
                <w:sz w:val="22"/>
                <w:szCs w:val="22"/>
                <w:highlight w:val="none"/>
              </w:rPr>
              <w:t>类别</w:t>
            </w:r>
          </w:p>
        </w:tc>
        <w:tc>
          <w:tcPr>
            <w:tcW w:w="2655" w:type="dxa"/>
            <w:vMerge w:val="restart"/>
            <w:tcBorders>
              <w:top w:val="single" w:color="auto" w:sz="2" w:space="0"/>
              <w:left w:val="single" w:color="auto" w:sz="2" w:space="0"/>
              <w:right w:val="single" w:color="auto" w:sz="2" w:space="0"/>
            </w:tcBorders>
            <w:vAlign w:val="center"/>
          </w:tcPr>
          <w:p w14:paraId="51BCCC93">
            <w:pPr>
              <w:jc w:val="center"/>
              <w:rPr>
                <w:rFonts w:ascii="宋体" w:hAnsi="宋体"/>
                <w:b/>
                <w:bCs/>
                <w:color w:val="auto"/>
                <w:sz w:val="22"/>
                <w:szCs w:val="22"/>
                <w:highlight w:val="none"/>
              </w:rPr>
            </w:pPr>
            <w:r>
              <w:rPr>
                <w:rFonts w:hint="eastAsia" w:ascii="宋体" w:hAnsi="宋体"/>
                <w:b/>
                <w:bCs/>
                <w:color w:val="auto"/>
                <w:sz w:val="22"/>
                <w:szCs w:val="22"/>
                <w:highlight w:val="none"/>
              </w:rPr>
              <w:t>评价项目</w:t>
            </w:r>
          </w:p>
        </w:tc>
        <w:tc>
          <w:tcPr>
            <w:tcW w:w="961" w:type="dxa"/>
            <w:vMerge w:val="restart"/>
            <w:tcBorders>
              <w:top w:val="single" w:color="auto" w:sz="2" w:space="0"/>
              <w:left w:val="single" w:color="auto" w:sz="2" w:space="0"/>
              <w:right w:val="single" w:color="auto" w:sz="2" w:space="0"/>
            </w:tcBorders>
            <w:vAlign w:val="center"/>
          </w:tcPr>
          <w:p w14:paraId="3B30D9D1">
            <w:pPr>
              <w:jc w:val="center"/>
              <w:rPr>
                <w:rFonts w:ascii="宋体" w:hAnsi="宋体"/>
                <w:b/>
                <w:bCs/>
                <w:color w:val="auto"/>
                <w:sz w:val="22"/>
                <w:szCs w:val="22"/>
                <w:highlight w:val="none"/>
              </w:rPr>
            </w:pPr>
            <w:r>
              <w:rPr>
                <w:rFonts w:hint="eastAsia" w:ascii="宋体" w:hAnsi="宋体"/>
                <w:b/>
                <w:bCs/>
                <w:color w:val="auto"/>
                <w:sz w:val="22"/>
                <w:szCs w:val="22"/>
                <w:highlight w:val="none"/>
              </w:rPr>
              <w:t>分值（分）</w:t>
            </w:r>
          </w:p>
        </w:tc>
        <w:tc>
          <w:tcPr>
            <w:tcW w:w="4884" w:type="dxa"/>
            <w:gridSpan w:val="5"/>
            <w:tcBorders>
              <w:top w:val="single" w:color="auto" w:sz="2" w:space="0"/>
              <w:left w:val="single" w:color="auto" w:sz="2" w:space="0"/>
              <w:bottom w:val="single" w:color="auto" w:sz="4" w:space="0"/>
              <w:right w:val="single" w:color="auto" w:sz="2" w:space="0"/>
            </w:tcBorders>
            <w:vAlign w:val="center"/>
          </w:tcPr>
          <w:p w14:paraId="59B11959">
            <w:pPr>
              <w:jc w:val="center"/>
              <w:rPr>
                <w:rFonts w:ascii="宋体" w:hAnsi="宋体"/>
                <w:b/>
                <w:bCs/>
                <w:color w:val="auto"/>
                <w:sz w:val="22"/>
                <w:szCs w:val="22"/>
                <w:highlight w:val="none"/>
              </w:rPr>
            </w:pPr>
            <w:r>
              <w:rPr>
                <w:rFonts w:hint="eastAsia" w:ascii="宋体" w:hAnsi="宋体"/>
                <w:b/>
                <w:bCs/>
                <w:color w:val="auto"/>
                <w:sz w:val="22"/>
                <w:szCs w:val="22"/>
                <w:highlight w:val="none"/>
              </w:rPr>
              <w:t>满    意   度</w:t>
            </w:r>
          </w:p>
        </w:tc>
      </w:tr>
      <w:tr w14:paraId="54C69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5" w:hRule="atLeast"/>
          <w:tblHeader/>
          <w:jc w:val="center"/>
        </w:trPr>
        <w:tc>
          <w:tcPr>
            <w:tcW w:w="928" w:type="dxa"/>
            <w:vMerge w:val="continue"/>
            <w:tcBorders>
              <w:left w:val="single" w:color="auto" w:sz="2" w:space="0"/>
              <w:bottom w:val="single" w:color="auto" w:sz="2" w:space="0"/>
              <w:right w:val="single" w:color="auto" w:sz="2" w:space="0"/>
            </w:tcBorders>
            <w:vAlign w:val="center"/>
          </w:tcPr>
          <w:p w14:paraId="09E4C5CF">
            <w:pPr>
              <w:jc w:val="center"/>
              <w:rPr>
                <w:rFonts w:ascii="宋体" w:hAnsi="宋体"/>
                <w:b/>
                <w:bCs/>
                <w:color w:val="auto"/>
                <w:sz w:val="22"/>
                <w:szCs w:val="22"/>
                <w:highlight w:val="none"/>
              </w:rPr>
            </w:pPr>
          </w:p>
        </w:tc>
        <w:tc>
          <w:tcPr>
            <w:tcW w:w="2655" w:type="dxa"/>
            <w:vMerge w:val="continue"/>
            <w:tcBorders>
              <w:left w:val="single" w:color="auto" w:sz="2" w:space="0"/>
              <w:bottom w:val="single" w:color="auto" w:sz="2" w:space="0"/>
              <w:right w:val="single" w:color="auto" w:sz="2" w:space="0"/>
            </w:tcBorders>
            <w:vAlign w:val="center"/>
          </w:tcPr>
          <w:p w14:paraId="0169CA15">
            <w:pPr>
              <w:jc w:val="center"/>
              <w:rPr>
                <w:rFonts w:ascii="宋体" w:hAnsi="宋体"/>
                <w:b/>
                <w:bCs/>
                <w:color w:val="auto"/>
                <w:sz w:val="22"/>
                <w:szCs w:val="22"/>
                <w:highlight w:val="none"/>
              </w:rPr>
            </w:pPr>
          </w:p>
        </w:tc>
        <w:tc>
          <w:tcPr>
            <w:tcW w:w="961" w:type="dxa"/>
            <w:vMerge w:val="continue"/>
            <w:tcBorders>
              <w:left w:val="single" w:color="auto" w:sz="2" w:space="0"/>
              <w:right w:val="single" w:color="auto" w:sz="2" w:space="0"/>
            </w:tcBorders>
            <w:vAlign w:val="center"/>
          </w:tcPr>
          <w:p w14:paraId="500E2B19">
            <w:pPr>
              <w:jc w:val="center"/>
              <w:rPr>
                <w:rFonts w:ascii="宋体" w:hAnsi="宋体"/>
                <w:b/>
                <w:bCs/>
                <w:color w:val="auto"/>
                <w:sz w:val="22"/>
                <w:szCs w:val="22"/>
                <w:highlight w:val="none"/>
              </w:rPr>
            </w:pPr>
          </w:p>
        </w:tc>
        <w:tc>
          <w:tcPr>
            <w:tcW w:w="1017" w:type="dxa"/>
            <w:tcBorders>
              <w:top w:val="single" w:color="auto" w:sz="4" w:space="0"/>
              <w:left w:val="single" w:color="auto" w:sz="2" w:space="0"/>
              <w:right w:val="single" w:color="auto" w:sz="4" w:space="0"/>
            </w:tcBorders>
            <w:vAlign w:val="center"/>
          </w:tcPr>
          <w:p w14:paraId="21725996">
            <w:pPr>
              <w:jc w:val="center"/>
              <w:rPr>
                <w:rFonts w:ascii="宋体" w:hAnsi="宋体"/>
                <w:b/>
                <w:bCs/>
                <w:color w:val="auto"/>
                <w:sz w:val="22"/>
                <w:szCs w:val="22"/>
                <w:highlight w:val="none"/>
              </w:rPr>
            </w:pPr>
            <w:r>
              <w:rPr>
                <w:rFonts w:hint="eastAsia" w:ascii="宋体" w:hAnsi="宋体"/>
                <w:b/>
                <w:bCs/>
                <w:color w:val="auto"/>
                <w:sz w:val="22"/>
                <w:szCs w:val="22"/>
                <w:highlight w:val="none"/>
              </w:rPr>
              <w:t>20分</w:t>
            </w:r>
          </w:p>
        </w:tc>
        <w:tc>
          <w:tcPr>
            <w:tcW w:w="911" w:type="dxa"/>
            <w:tcBorders>
              <w:top w:val="single" w:color="auto" w:sz="4" w:space="0"/>
              <w:left w:val="single" w:color="auto" w:sz="2" w:space="0"/>
              <w:right w:val="single" w:color="auto" w:sz="4" w:space="0"/>
            </w:tcBorders>
            <w:vAlign w:val="center"/>
          </w:tcPr>
          <w:p w14:paraId="18FD9FED">
            <w:pPr>
              <w:jc w:val="center"/>
              <w:rPr>
                <w:rFonts w:ascii="宋体" w:hAnsi="宋体"/>
                <w:b/>
                <w:bCs/>
                <w:color w:val="auto"/>
                <w:sz w:val="22"/>
                <w:szCs w:val="22"/>
                <w:highlight w:val="none"/>
              </w:rPr>
            </w:pPr>
            <w:r>
              <w:rPr>
                <w:rFonts w:hint="eastAsia" w:ascii="宋体" w:hAnsi="宋体"/>
                <w:b/>
                <w:bCs/>
                <w:color w:val="auto"/>
                <w:sz w:val="22"/>
                <w:szCs w:val="22"/>
                <w:highlight w:val="none"/>
              </w:rPr>
              <w:t>18分</w:t>
            </w:r>
          </w:p>
        </w:tc>
        <w:tc>
          <w:tcPr>
            <w:tcW w:w="983" w:type="dxa"/>
            <w:tcBorders>
              <w:left w:val="single" w:color="auto" w:sz="4" w:space="0"/>
              <w:right w:val="single" w:color="auto" w:sz="2" w:space="0"/>
            </w:tcBorders>
            <w:vAlign w:val="center"/>
          </w:tcPr>
          <w:p w14:paraId="1159457A">
            <w:pPr>
              <w:jc w:val="center"/>
              <w:rPr>
                <w:rFonts w:ascii="宋体" w:hAnsi="宋体"/>
                <w:b/>
                <w:bCs/>
                <w:color w:val="auto"/>
                <w:sz w:val="22"/>
                <w:szCs w:val="22"/>
                <w:highlight w:val="none"/>
              </w:rPr>
            </w:pPr>
            <w:r>
              <w:rPr>
                <w:rFonts w:hint="eastAsia" w:ascii="宋体" w:hAnsi="宋体"/>
                <w:b/>
                <w:bCs/>
                <w:color w:val="auto"/>
                <w:sz w:val="22"/>
                <w:szCs w:val="22"/>
                <w:highlight w:val="none"/>
              </w:rPr>
              <w:t>16分</w:t>
            </w:r>
          </w:p>
        </w:tc>
        <w:tc>
          <w:tcPr>
            <w:tcW w:w="1100" w:type="dxa"/>
            <w:tcBorders>
              <w:left w:val="single" w:color="auto" w:sz="4" w:space="0"/>
              <w:right w:val="single" w:color="auto" w:sz="2" w:space="0"/>
            </w:tcBorders>
            <w:vAlign w:val="center"/>
          </w:tcPr>
          <w:p w14:paraId="695F9320">
            <w:pPr>
              <w:jc w:val="center"/>
              <w:rPr>
                <w:rFonts w:ascii="宋体" w:hAnsi="宋体"/>
                <w:b/>
                <w:bCs/>
                <w:color w:val="auto"/>
                <w:sz w:val="22"/>
                <w:szCs w:val="22"/>
                <w:highlight w:val="none"/>
              </w:rPr>
            </w:pPr>
            <w:r>
              <w:rPr>
                <w:rFonts w:hint="eastAsia" w:ascii="宋体" w:hAnsi="宋体"/>
                <w:b/>
                <w:bCs/>
                <w:color w:val="auto"/>
                <w:sz w:val="22"/>
                <w:szCs w:val="22"/>
                <w:highlight w:val="none"/>
              </w:rPr>
              <w:t>14分</w:t>
            </w:r>
          </w:p>
        </w:tc>
        <w:tc>
          <w:tcPr>
            <w:tcW w:w="873" w:type="dxa"/>
            <w:tcBorders>
              <w:left w:val="single" w:color="auto" w:sz="4" w:space="0"/>
              <w:right w:val="single" w:color="auto" w:sz="2" w:space="0"/>
            </w:tcBorders>
            <w:vAlign w:val="center"/>
          </w:tcPr>
          <w:p w14:paraId="511BBFBA">
            <w:pPr>
              <w:jc w:val="center"/>
              <w:rPr>
                <w:rFonts w:ascii="宋体" w:hAnsi="宋体"/>
                <w:b/>
                <w:bCs/>
                <w:color w:val="auto"/>
                <w:sz w:val="22"/>
                <w:szCs w:val="22"/>
                <w:highlight w:val="none"/>
              </w:rPr>
            </w:pPr>
            <w:r>
              <w:rPr>
                <w:rFonts w:hint="eastAsia" w:ascii="宋体" w:hAnsi="宋体"/>
                <w:b/>
                <w:bCs/>
                <w:color w:val="auto"/>
                <w:sz w:val="22"/>
                <w:szCs w:val="22"/>
                <w:highlight w:val="none"/>
              </w:rPr>
              <w:t>12分</w:t>
            </w:r>
          </w:p>
        </w:tc>
      </w:tr>
      <w:tr w14:paraId="413C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7" w:hRule="atLeast"/>
          <w:jc w:val="center"/>
        </w:trPr>
        <w:tc>
          <w:tcPr>
            <w:tcW w:w="928" w:type="dxa"/>
            <w:vMerge w:val="restart"/>
            <w:tcBorders>
              <w:top w:val="single" w:color="auto" w:sz="2" w:space="0"/>
              <w:left w:val="single" w:color="auto" w:sz="2" w:space="0"/>
              <w:bottom w:val="single" w:color="auto" w:sz="2" w:space="0"/>
              <w:right w:val="single" w:color="auto" w:sz="2" w:space="0"/>
            </w:tcBorders>
            <w:vAlign w:val="center"/>
          </w:tcPr>
          <w:p w14:paraId="7023665D">
            <w:pPr>
              <w:jc w:val="center"/>
              <w:rPr>
                <w:rFonts w:ascii="宋体" w:hAnsi="宋体"/>
                <w:b/>
                <w:color w:val="auto"/>
                <w:sz w:val="22"/>
                <w:szCs w:val="22"/>
                <w:highlight w:val="none"/>
              </w:rPr>
            </w:pPr>
            <w:bookmarkStart w:id="18" w:name="OLE_LINK2"/>
            <w:bookmarkStart w:id="19" w:name="_Hlk109267812"/>
            <w:bookmarkStart w:id="20" w:name="OLE_LINK1"/>
            <w:r>
              <w:rPr>
                <w:rFonts w:hint="eastAsia" w:ascii="宋体" w:hAnsi="宋体"/>
                <w:b/>
                <w:color w:val="auto"/>
                <w:sz w:val="22"/>
                <w:szCs w:val="22"/>
                <w:highlight w:val="none"/>
              </w:rPr>
              <w:t>客户</w:t>
            </w:r>
          </w:p>
          <w:p w14:paraId="0B46F6E0">
            <w:pPr>
              <w:jc w:val="center"/>
              <w:rPr>
                <w:rFonts w:ascii="宋体" w:hAnsi="宋体"/>
                <w:b/>
                <w:color w:val="auto"/>
                <w:sz w:val="22"/>
                <w:szCs w:val="22"/>
                <w:highlight w:val="none"/>
              </w:rPr>
            </w:pPr>
            <w:r>
              <w:rPr>
                <w:rFonts w:hint="eastAsia" w:ascii="宋体" w:hAnsi="宋体"/>
                <w:b/>
                <w:color w:val="auto"/>
                <w:sz w:val="22"/>
                <w:szCs w:val="22"/>
                <w:highlight w:val="none"/>
              </w:rPr>
              <w:t>服务</w:t>
            </w:r>
          </w:p>
        </w:tc>
        <w:tc>
          <w:tcPr>
            <w:tcW w:w="2655" w:type="dxa"/>
            <w:tcBorders>
              <w:top w:val="single" w:color="auto" w:sz="2" w:space="0"/>
              <w:left w:val="single" w:color="auto" w:sz="2" w:space="0"/>
              <w:bottom w:val="single" w:color="auto" w:sz="2" w:space="0"/>
              <w:right w:val="single" w:color="auto" w:sz="2" w:space="0"/>
            </w:tcBorders>
            <w:vAlign w:val="center"/>
          </w:tcPr>
          <w:p w14:paraId="3D59240C">
            <w:pPr>
              <w:rPr>
                <w:rFonts w:ascii="宋体" w:hAnsi="宋体"/>
                <w:color w:val="auto"/>
                <w:sz w:val="22"/>
                <w:szCs w:val="22"/>
                <w:highlight w:val="none"/>
              </w:rPr>
            </w:pPr>
            <w:r>
              <w:rPr>
                <w:rFonts w:hint="eastAsia" w:ascii="宋体" w:hAnsi="宋体"/>
                <w:color w:val="auto"/>
                <w:highlight w:val="none"/>
              </w:rPr>
              <w:t>1.客服人员亲和力</w:t>
            </w:r>
          </w:p>
        </w:tc>
        <w:tc>
          <w:tcPr>
            <w:tcW w:w="961" w:type="dxa"/>
            <w:vMerge w:val="restart"/>
            <w:tcBorders>
              <w:top w:val="single" w:color="auto" w:sz="2" w:space="0"/>
              <w:left w:val="single" w:color="auto" w:sz="2" w:space="0"/>
              <w:right w:val="single" w:color="auto" w:sz="2" w:space="0"/>
            </w:tcBorders>
            <w:vAlign w:val="center"/>
          </w:tcPr>
          <w:p w14:paraId="4295E5E7">
            <w:pPr>
              <w:jc w:val="center"/>
              <w:rPr>
                <w:rFonts w:ascii="宋体" w:hAnsi="宋体"/>
                <w:color w:val="auto"/>
                <w:sz w:val="22"/>
                <w:szCs w:val="22"/>
                <w:highlight w:val="none"/>
              </w:rPr>
            </w:pPr>
            <w:r>
              <w:rPr>
                <w:rFonts w:hint="eastAsia" w:ascii="宋体" w:hAnsi="宋体"/>
                <w:color w:val="auto"/>
                <w:sz w:val="22"/>
                <w:szCs w:val="22"/>
                <w:highlight w:val="none"/>
              </w:rPr>
              <w:t>20</w:t>
            </w:r>
          </w:p>
        </w:tc>
        <w:tc>
          <w:tcPr>
            <w:tcW w:w="1017" w:type="dxa"/>
            <w:vMerge w:val="restart"/>
            <w:tcBorders>
              <w:top w:val="single" w:color="auto" w:sz="2" w:space="0"/>
              <w:left w:val="single" w:color="auto" w:sz="2" w:space="0"/>
              <w:right w:val="single" w:color="auto" w:sz="2" w:space="0"/>
            </w:tcBorders>
            <w:vAlign w:val="center"/>
          </w:tcPr>
          <w:p w14:paraId="47F270A2">
            <w:pPr>
              <w:ind w:right="643" w:rightChars="302"/>
              <w:jc w:val="center"/>
              <w:rPr>
                <w:rFonts w:ascii="宋体" w:hAnsi="宋体"/>
                <w:color w:val="auto"/>
                <w:sz w:val="22"/>
                <w:szCs w:val="22"/>
                <w:highlight w:val="none"/>
              </w:rPr>
            </w:pPr>
          </w:p>
        </w:tc>
        <w:tc>
          <w:tcPr>
            <w:tcW w:w="911" w:type="dxa"/>
            <w:vMerge w:val="restart"/>
            <w:tcBorders>
              <w:top w:val="single" w:color="auto" w:sz="2" w:space="0"/>
              <w:left w:val="single" w:color="auto" w:sz="2" w:space="0"/>
              <w:right w:val="single" w:color="auto" w:sz="2" w:space="0"/>
            </w:tcBorders>
            <w:vAlign w:val="center"/>
          </w:tcPr>
          <w:p w14:paraId="30E1794D">
            <w:pPr>
              <w:jc w:val="center"/>
              <w:rPr>
                <w:rFonts w:ascii="宋体" w:hAnsi="宋体"/>
                <w:color w:val="auto"/>
                <w:sz w:val="22"/>
                <w:szCs w:val="22"/>
                <w:highlight w:val="none"/>
              </w:rPr>
            </w:pPr>
          </w:p>
        </w:tc>
        <w:tc>
          <w:tcPr>
            <w:tcW w:w="983" w:type="dxa"/>
            <w:vMerge w:val="restart"/>
            <w:tcBorders>
              <w:top w:val="single" w:color="auto" w:sz="2" w:space="0"/>
              <w:left w:val="single" w:color="auto" w:sz="4" w:space="0"/>
              <w:right w:val="single" w:color="auto" w:sz="2" w:space="0"/>
            </w:tcBorders>
            <w:vAlign w:val="center"/>
          </w:tcPr>
          <w:p w14:paraId="6F0CD377">
            <w:pPr>
              <w:jc w:val="center"/>
              <w:rPr>
                <w:rFonts w:ascii="宋体" w:hAnsi="宋体"/>
                <w:color w:val="auto"/>
                <w:sz w:val="22"/>
                <w:szCs w:val="22"/>
                <w:highlight w:val="none"/>
              </w:rPr>
            </w:pPr>
          </w:p>
        </w:tc>
        <w:tc>
          <w:tcPr>
            <w:tcW w:w="1100" w:type="dxa"/>
            <w:vMerge w:val="restart"/>
            <w:tcBorders>
              <w:top w:val="single" w:color="auto" w:sz="2" w:space="0"/>
              <w:left w:val="single" w:color="auto" w:sz="4" w:space="0"/>
              <w:right w:val="single" w:color="auto" w:sz="2" w:space="0"/>
            </w:tcBorders>
            <w:vAlign w:val="center"/>
          </w:tcPr>
          <w:p w14:paraId="6CDEE41D">
            <w:pPr>
              <w:jc w:val="center"/>
              <w:rPr>
                <w:rFonts w:ascii="宋体" w:hAnsi="宋体"/>
                <w:color w:val="auto"/>
                <w:sz w:val="22"/>
                <w:szCs w:val="22"/>
                <w:highlight w:val="none"/>
              </w:rPr>
            </w:pPr>
          </w:p>
        </w:tc>
        <w:tc>
          <w:tcPr>
            <w:tcW w:w="873" w:type="dxa"/>
            <w:vMerge w:val="restart"/>
            <w:tcBorders>
              <w:top w:val="single" w:color="auto" w:sz="2" w:space="0"/>
              <w:left w:val="single" w:color="auto" w:sz="4" w:space="0"/>
              <w:right w:val="single" w:color="auto" w:sz="2" w:space="0"/>
            </w:tcBorders>
            <w:vAlign w:val="center"/>
          </w:tcPr>
          <w:p w14:paraId="7E751ACC">
            <w:pPr>
              <w:jc w:val="center"/>
              <w:rPr>
                <w:rFonts w:ascii="宋体" w:hAnsi="宋体"/>
                <w:color w:val="auto"/>
                <w:sz w:val="22"/>
                <w:szCs w:val="22"/>
                <w:highlight w:val="none"/>
              </w:rPr>
            </w:pPr>
          </w:p>
        </w:tc>
      </w:tr>
      <w:tr w14:paraId="2B2BF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top w:val="single" w:color="auto" w:sz="2" w:space="0"/>
              <w:left w:val="single" w:color="auto" w:sz="2" w:space="0"/>
              <w:bottom w:val="single" w:color="auto" w:sz="2" w:space="0"/>
              <w:right w:val="single" w:color="auto" w:sz="2" w:space="0"/>
            </w:tcBorders>
            <w:vAlign w:val="center"/>
          </w:tcPr>
          <w:p w14:paraId="0263E7B9">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3655A937">
            <w:pPr>
              <w:rPr>
                <w:rFonts w:ascii="宋体" w:hAnsi="宋体"/>
                <w:color w:val="auto"/>
                <w:sz w:val="22"/>
                <w:szCs w:val="22"/>
                <w:highlight w:val="none"/>
              </w:rPr>
            </w:pPr>
            <w:r>
              <w:rPr>
                <w:rFonts w:hint="eastAsia" w:ascii="宋体" w:hAnsi="宋体"/>
                <w:color w:val="auto"/>
                <w:sz w:val="22"/>
                <w:szCs w:val="22"/>
                <w:highlight w:val="none"/>
              </w:rPr>
              <w:t>2.客服解决问题能力</w:t>
            </w:r>
          </w:p>
        </w:tc>
        <w:tc>
          <w:tcPr>
            <w:tcW w:w="961" w:type="dxa"/>
            <w:vMerge w:val="continue"/>
            <w:tcBorders>
              <w:left w:val="single" w:color="auto" w:sz="2" w:space="0"/>
              <w:right w:val="single" w:color="auto" w:sz="2" w:space="0"/>
            </w:tcBorders>
            <w:vAlign w:val="center"/>
          </w:tcPr>
          <w:p w14:paraId="2D4DA406">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47A308C2">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2FAF7B8B">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0D729053">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4A6FC3A9">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509B8849">
            <w:pPr>
              <w:jc w:val="center"/>
              <w:rPr>
                <w:rFonts w:ascii="宋体" w:hAnsi="宋体"/>
                <w:color w:val="auto"/>
                <w:sz w:val="22"/>
                <w:szCs w:val="22"/>
                <w:highlight w:val="none"/>
              </w:rPr>
            </w:pPr>
          </w:p>
        </w:tc>
      </w:tr>
      <w:tr w14:paraId="1308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top w:val="single" w:color="auto" w:sz="2" w:space="0"/>
              <w:left w:val="single" w:color="auto" w:sz="2" w:space="0"/>
              <w:bottom w:val="single" w:color="auto" w:sz="2" w:space="0"/>
              <w:right w:val="single" w:color="auto" w:sz="2" w:space="0"/>
            </w:tcBorders>
            <w:vAlign w:val="center"/>
          </w:tcPr>
          <w:p w14:paraId="4454F608">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072EBF19">
            <w:pPr>
              <w:rPr>
                <w:rFonts w:ascii="宋体" w:hAnsi="宋体"/>
                <w:color w:val="auto"/>
                <w:sz w:val="22"/>
                <w:szCs w:val="22"/>
                <w:highlight w:val="none"/>
              </w:rPr>
            </w:pPr>
            <w:r>
              <w:rPr>
                <w:rFonts w:hint="eastAsia" w:ascii="宋体" w:hAnsi="宋体"/>
                <w:color w:val="auto"/>
                <w:sz w:val="22"/>
                <w:szCs w:val="22"/>
                <w:highlight w:val="none"/>
              </w:rPr>
              <w:t>3.客服人员仪容仪表</w:t>
            </w:r>
          </w:p>
        </w:tc>
        <w:tc>
          <w:tcPr>
            <w:tcW w:w="961" w:type="dxa"/>
            <w:vMerge w:val="continue"/>
            <w:tcBorders>
              <w:left w:val="single" w:color="auto" w:sz="2" w:space="0"/>
              <w:right w:val="single" w:color="auto" w:sz="2" w:space="0"/>
            </w:tcBorders>
            <w:vAlign w:val="center"/>
          </w:tcPr>
          <w:p w14:paraId="68930021">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3AFE5A52">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42A0B420">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19227D96">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32F54413">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77C19CD1">
            <w:pPr>
              <w:jc w:val="center"/>
              <w:rPr>
                <w:rFonts w:ascii="宋体" w:hAnsi="宋体"/>
                <w:color w:val="auto"/>
                <w:sz w:val="22"/>
                <w:szCs w:val="22"/>
                <w:highlight w:val="none"/>
              </w:rPr>
            </w:pPr>
          </w:p>
        </w:tc>
      </w:tr>
      <w:tr w14:paraId="18ECC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top w:val="single" w:color="auto" w:sz="2" w:space="0"/>
              <w:left w:val="single" w:color="auto" w:sz="2" w:space="0"/>
              <w:bottom w:val="single" w:color="auto" w:sz="2" w:space="0"/>
              <w:right w:val="single" w:color="auto" w:sz="2" w:space="0"/>
            </w:tcBorders>
            <w:vAlign w:val="center"/>
          </w:tcPr>
          <w:p w14:paraId="4C77B81A">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5A850271">
            <w:pPr>
              <w:rPr>
                <w:rFonts w:ascii="宋体" w:hAnsi="宋体"/>
                <w:color w:val="auto"/>
                <w:sz w:val="22"/>
                <w:szCs w:val="22"/>
                <w:highlight w:val="none"/>
              </w:rPr>
            </w:pPr>
            <w:r>
              <w:rPr>
                <w:rFonts w:hint="eastAsia" w:ascii="宋体" w:hAnsi="宋体"/>
                <w:color w:val="auto"/>
                <w:sz w:val="22"/>
                <w:szCs w:val="22"/>
                <w:highlight w:val="none"/>
              </w:rPr>
              <w:t>4.服务及时性</w:t>
            </w:r>
          </w:p>
        </w:tc>
        <w:tc>
          <w:tcPr>
            <w:tcW w:w="961" w:type="dxa"/>
            <w:vMerge w:val="continue"/>
            <w:tcBorders>
              <w:left w:val="single" w:color="auto" w:sz="2" w:space="0"/>
              <w:right w:val="single" w:color="auto" w:sz="2" w:space="0"/>
            </w:tcBorders>
            <w:vAlign w:val="center"/>
          </w:tcPr>
          <w:p w14:paraId="7FE35270">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4A2E538E">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375C1E00">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1ED4AAFE">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0C5066DF">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75D949A3">
            <w:pPr>
              <w:jc w:val="center"/>
              <w:rPr>
                <w:rFonts w:ascii="宋体" w:hAnsi="宋体"/>
                <w:color w:val="auto"/>
                <w:sz w:val="22"/>
                <w:szCs w:val="22"/>
                <w:highlight w:val="none"/>
              </w:rPr>
            </w:pPr>
          </w:p>
        </w:tc>
      </w:tr>
      <w:tr w14:paraId="5FFD6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top w:val="single" w:color="auto" w:sz="2" w:space="0"/>
              <w:left w:val="single" w:color="auto" w:sz="2" w:space="0"/>
              <w:bottom w:val="single" w:color="auto" w:sz="2" w:space="0"/>
              <w:right w:val="single" w:color="auto" w:sz="2" w:space="0"/>
            </w:tcBorders>
            <w:vAlign w:val="center"/>
          </w:tcPr>
          <w:p w14:paraId="4D250FB5">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5299EC16">
            <w:pPr>
              <w:rPr>
                <w:rFonts w:ascii="宋体" w:hAnsi="宋体"/>
                <w:color w:val="auto"/>
                <w:sz w:val="22"/>
                <w:szCs w:val="22"/>
                <w:highlight w:val="none"/>
              </w:rPr>
            </w:pPr>
            <w:r>
              <w:rPr>
                <w:rFonts w:hint="eastAsia" w:ascii="宋体" w:hAnsi="宋体"/>
                <w:color w:val="auto"/>
                <w:sz w:val="22"/>
                <w:szCs w:val="22"/>
                <w:highlight w:val="none"/>
              </w:rPr>
              <w:t>5.客服服务互动性</w:t>
            </w:r>
          </w:p>
        </w:tc>
        <w:tc>
          <w:tcPr>
            <w:tcW w:w="961" w:type="dxa"/>
            <w:vMerge w:val="continue"/>
            <w:tcBorders>
              <w:left w:val="single" w:color="auto" w:sz="2" w:space="0"/>
              <w:bottom w:val="single" w:color="auto" w:sz="2" w:space="0"/>
              <w:right w:val="single" w:color="auto" w:sz="2" w:space="0"/>
            </w:tcBorders>
            <w:vAlign w:val="center"/>
          </w:tcPr>
          <w:p w14:paraId="26030C41">
            <w:pPr>
              <w:jc w:val="center"/>
              <w:rPr>
                <w:rFonts w:ascii="宋体" w:hAnsi="宋体"/>
                <w:color w:val="auto"/>
                <w:sz w:val="22"/>
                <w:szCs w:val="22"/>
                <w:highlight w:val="none"/>
              </w:rPr>
            </w:pPr>
          </w:p>
        </w:tc>
        <w:tc>
          <w:tcPr>
            <w:tcW w:w="1017" w:type="dxa"/>
            <w:vMerge w:val="continue"/>
            <w:tcBorders>
              <w:left w:val="single" w:color="auto" w:sz="2" w:space="0"/>
              <w:bottom w:val="single" w:color="auto" w:sz="2" w:space="0"/>
              <w:right w:val="single" w:color="auto" w:sz="2" w:space="0"/>
            </w:tcBorders>
            <w:vAlign w:val="center"/>
          </w:tcPr>
          <w:p w14:paraId="03E48F3B">
            <w:pPr>
              <w:ind w:right="643" w:rightChars="302"/>
              <w:jc w:val="center"/>
              <w:rPr>
                <w:rFonts w:ascii="宋体" w:hAnsi="宋体"/>
                <w:color w:val="auto"/>
                <w:sz w:val="22"/>
                <w:szCs w:val="22"/>
                <w:highlight w:val="none"/>
              </w:rPr>
            </w:pPr>
          </w:p>
        </w:tc>
        <w:tc>
          <w:tcPr>
            <w:tcW w:w="911" w:type="dxa"/>
            <w:vMerge w:val="continue"/>
            <w:tcBorders>
              <w:left w:val="single" w:color="auto" w:sz="2" w:space="0"/>
              <w:bottom w:val="single" w:color="auto" w:sz="2" w:space="0"/>
              <w:right w:val="single" w:color="auto" w:sz="2" w:space="0"/>
            </w:tcBorders>
            <w:vAlign w:val="center"/>
          </w:tcPr>
          <w:p w14:paraId="5A551994">
            <w:pPr>
              <w:jc w:val="center"/>
              <w:rPr>
                <w:rFonts w:ascii="宋体" w:hAnsi="宋体"/>
                <w:color w:val="auto"/>
                <w:sz w:val="22"/>
                <w:szCs w:val="22"/>
                <w:highlight w:val="none"/>
              </w:rPr>
            </w:pPr>
          </w:p>
        </w:tc>
        <w:tc>
          <w:tcPr>
            <w:tcW w:w="983" w:type="dxa"/>
            <w:vMerge w:val="continue"/>
            <w:tcBorders>
              <w:left w:val="single" w:color="auto" w:sz="4" w:space="0"/>
              <w:bottom w:val="single" w:color="auto" w:sz="2" w:space="0"/>
              <w:right w:val="single" w:color="auto" w:sz="2" w:space="0"/>
            </w:tcBorders>
            <w:vAlign w:val="center"/>
          </w:tcPr>
          <w:p w14:paraId="66AE09D5">
            <w:pPr>
              <w:jc w:val="center"/>
              <w:rPr>
                <w:rFonts w:ascii="宋体" w:hAnsi="宋体"/>
                <w:color w:val="auto"/>
                <w:sz w:val="22"/>
                <w:szCs w:val="22"/>
                <w:highlight w:val="none"/>
              </w:rPr>
            </w:pPr>
          </w:p>
        </w:tc>
        <w:tc>
          <w:tcPr>
            <w:tcW w:w="1100" w:type="dxa"/>
            <w:vMerge w:val="continue"/>
            <w:tcBorders>
              <w:left w:val="single" w:color="auto" w:sz="4" w:space="0"/>
              <w:bottom w:val="single" w:color="auto" w:sz="2" w:space="0"/>
              <w:right w:val="single" w:color="auto" w:sz="2" w:space="0"/>
            </w:tcBorders>
            <w:vAlign w:val="center"/>
          </w:tcPr>
          <w:p w14:paraId="53E87389">
            <w:pPr>
              <w:jc w:val="center"/>
              <w:rPr>
                <w:rFonts w:ascii="宋体" w:hAnsi="宋体"/>
                <w:color w:val="auto"/>
                <w:sz w:val="22"/>
                <w:szCs w:val="22"/>
                <w:highlight w:val="none"/>
              </w:rPr>
            </w:pPr>
          </w:p>
        </w:tc>
        <w:tc>
          <w:tcPr>
            <w:tcW w:w="873" w:type="dxa"/>
            <w:vMerge w:val="continue"/>
            <w:tcBorders>
              <w:left w:val="single" w:color="auto" w:sz="4" w:space="0"/>
              <w:bottom w:val="single" w:color="auto" w:sz="2" w:space="0"/>
              <w:right w:val="single" w:color="auto" w:sz="2" w:space="0"/>
            </w:tcBorders>
            <w:vAlign w:val="center"/>
          </w:tcPr>
          <w:p w14:paraId="6556FAAA">
            <w:pPr>
              <w:jc w:val="center"/>
              <w:rPr>
                <w:rFonts w:ascii="宋体" w:hAnsi="宋体"/>
                <w:color w:val="auto"/>
                <w:sz w:val="22"/>
                <w:szCs w:val="22"/>
                <w:highlight w:val="none"/>
              </w:rPr>
            </w:pPr>
          </w:p>
        </w:tc>
      </w:tr>
      <w:tr w14:paraId="0698B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restart"/>
            <w:tcBorders>
              <w:top w:val="single" w:color="auto" w:sz="2" w:space="0"/>
              <w:left w:val="single" w:color="auto" w:sz="2" w:space="0"/>
              <w:right w:val="single" w:color="auto" w:sz="2" w:space="0"/>
            </w:tcBorders>
            <w:vAlign w:val="center"/>
          </w:tcPr>
          <w:p w14:paraId="5ABD08D4">
            <w:pPr>
              <w:jc w:val="center"/>
              <w:rPr>
                <w:rFonts w:ascii="宋体" w:hAnsi="宋体"/>
                <w:b/>
                <w:color w:val="auto"/>
                <w:sz w:val="22"/>
                <w:szCs w:val="22"/>
                <w:highlight w:val="none"/>
              </w:rPr>
            </w:pPr>
            <w:r>
              <w:rPr>
                <w:rFonts w:hint="eastAsia" w:ascii="宋体" w:hAnsi="宋体"/>
                <w:b/>
                <w:color w:val="auto"/>
                <w:sz w:val="22"/>
                <w:szCs w:val="22"/>
                <w:highlight w:val="none"/>
              </w:rPr>
              <w:t>工程</w:t>
            </w:r>
          </w:p>
          <w:p w14:paraId="20D68AC6">
            <w:pPr>
              <w:jc w:val="center"/>
              <w:rPr>
                <w:rFonts w:ascii="宋体" w:hAnsi="宋体"/>
                <w:b/>
                <w:color w:val="auto"/>
                <w:sz w:val="22"/>
                <w:szCs w:val="22"/>
                <w:highlight w:val="none"/>
              </w:rPr>
            </w:pPr>
            <w:r>
              <w:rPr>
                <w:rFonts w:hint="eastAsia" w:ascii="宋体" w:hAnsi="宋体"/>
                <w:b/>
                <w:color w:val="auto"/>
                <w:sz w:val="22"/>
                <w:szCs w:val="22"/>
                <w:highlight w:val="none"/>
              </w:rPr>
              <w:t>服务</w:t>
            </w:r>
          </w:p>
        </w:tc>
        <w:tc>
          <w:tcPr>
            <w:tcW w:w="2655" w:type="dxa"/>
            <w:tcBorders>
              <w:top w:val="single" w:color="auto" w:sz="2" w:space="0"/>
              <w:left w:val="single" w:color="auto" w:sz="2" w:space="0"/>
              <w:bottom w:val="single" w:color="auto" w:sz="2" w:space="0"/>
              <w:right w:val="single" w:color="auto" w:sz="2" w:space="0"/>
            </w:tcBorders>
            <w:vAlign w:val="center"/>
          </w:tcPr>
          <w:p w14:paraId="4191329E">
            <w:pPr>
              <w:rPr>
                <w:rFonts w:ascii="宋体" w:hAnsi="宋体"/>
                <w:color w:val="auto"/>
                <w:sz w:val="22"/>
                <w:szCs w:val="22"/>
                <w:highlight w:val="none"/>
              </w:rPr>
            </w:pPr>
            <w:r>
              <w:rPr>
                <w:rFonts w:hint="eastAsia" w:ascii="宋体" w:hAnsi="宋体"/>
                <w:color w:val="auto"/>
                <w:sz w:val="22"/>
                <w:szCs w:val="22"/>
                <w:highlight w:val="none"/>
              </w:rPr>
              <w:t>1.房屋设施设备管理</w:t>
            </w:r>
          </w:p>
        </w:tc>
        <w:tc>
          <w:tcPr>
            <w:tcW w:w="961" w:type="dxa"/>
            <w:vMerge w:val="restart"/>
            <w:tcBorders>
              <w:top w:val="single" w:color="auto" w:sz="2" w:space="0"/>
              <w:left w:val="single" w:color="auto" w:sz="2" w:space="0"/>
              <w:right w:val="single" w:color="auto" w:sz="2" w:space="0"/>
            </w:tcBorders>
            <w:vAlign w:val="center"/>
          </w:tcPr>
          <w:p w14:paraId="48212400">
            <w:pPr>
              <w:jc w:val="center"/>
              <w:rPr>
                <w:rFonts w:ascii="宋体" w:hAnsi="宋体"/>
                <w:color w:val="auto"/>
                <w:sz w:val="22"/>
                <w:szCs w:val="22"/>
                <w:highlight w:val="none"/>
              </w:rPr>
            </w:pPr>
            <w:r>
              <w:rPr>
                <w:rFonts w:hint="eastAsia" w:ascii="宋体" w:hAnsi="宋体"/>
                <w:color w:val="auto"/>
                <w:sz w:val="22"/>
                <w:szCs w:val="22"/>
                <w:highlight w:val="none"/>
              </w:rPr>
              <w:t>20</w:t>
            </w:r>
          </w:p>
        </w:tc>
        <w:tc>
          <w:tcPr>
            <w:tcW w:w="1017" w:type="dxa"/>
            <w:vMerge w:val="restart"/>
            <w:tcBorders>
              <w:top w:val="single" w:color="auto" w:sz="2" w:space="0"/>
              <w:left w:val="single" w:color="auto" w:sz="2" w:space="0"/>
              <w:right w:val="single" w:color="auto" w:sz="2" w:space="0"/>
            </w:tcBorders>
            <w:vAlign w:val="center"/>
          </w:tcPr>
          <w:p w14:paraId="598FE361">
            <w:pPr>
              <w:ind w:right="643" w:rightChars="302"/>
              <w:jc w:val="center"/>
              <w:rPr>
                <w:rFonts w:ascii="宋体" w:hAnsi="宋体"/>
                <w:color w:val="auto"/>
                <w:sz w:val="22"/>
                <w:szCs w:val="22"/>
                <w:highlight w:val="none"/>
              </w:rPr>
            </w:pPr>
          </w:p>
        </w:tc>
        <w:tc>
          <w:tcPr>
            <w:tcW w:w="911" w:type="dxa"/>
            <w:vMerge w:val="restart"/>
            <w:tcBorders>
              <w:top w:val="single" w:color="auto" w:sz="2" w:space="0"/>
              <w:left w:val="single" w:color="auto" w:sz="2" w:space="0"/>
              <w:right w:val="single" w:color="auto" w:sz="2" w:space="0"/>
            </w:tcBorders>
            <w:vAlign w:val="center"/>
          </w:tcPr>
          <w:p w14:paraId="5FBC921C">
            <w:pPr>
              <w:jc w:val="center"/>
              <w:rPr>
                <w:rFonts w:ascii="宋体" w:hAnsi="宋体"/>
                <w:color w:val="auto"/>
                <w:sz w:val="22"/>
                <w:szCs w:val="22"/>
                <w:highlight w:val="none"/>
              </w:rPr>
            </w:pPr>
          </w:p>
        </w:tc>
        <w:tc>
          <w:tcPr>
            <w:tcW w:w="983" w:type="dxa"/>
            <w:vMerge w:val="restart"/>
            <w:tcBorders>
              <w:top w:val="single" w:color="auto" w:sz="2" w:space="0"/>
              <w:left w:val="single" w:color="auto" w:sz="4" w:space="0"/>
              <w:right w:val="single" w:color="auto" w:sz="2" w:space="0"/>
            </w:tcBorders>
            <w:vAlign w:val="center"/>
          </w:tcPr>
          <w:p w14:paraId="0EF9D7A9">
            <w:pPr>
              <w:jc w:val="center"/>
              <w:rPr>
                <w:rFonts w:ascii="宋体" w:hAnsi="宋体"/>
                <w:color w:val="auto"/>
                <w:sz w:val="22"/>
                <w:szCs w:val="22"/>
                <w:highlight w:val="none"/>
              </w:rPr>
            </w:pPr>
          </w:p>
        </w:tc>
        <w:tc>
          <w:tcPr>
            <w:tcW w:w="1100" w:type="dxa"/>
            <w:vMerge w:val="restart"/>
            <w:tcBorders>
              <w:top w:val="single" w:color="auto" w:sz="2" w:space="0"/>
              <w:left w:val="single" w:color="auto" w:sz="4" w:space="0"/>
              <w:right w:val="single" w:color="auto" w:sz="2" w:space="0"/>
            </w:tcBorders>
            <w:vAlign w:val="center"/>
          </w:tcPr>
          <w:p w14:paraId="5303A237">
            <w:pPr>
              <w:jc w:val="center"/>
              <w:rPr>
                <w:rFonts w:ascii="宋体" w:hAnsi="宋体"/>
                <w:color w:val="auto"/>
                <w:sz w:val="22"/>
                <w:szCs w:val="22"/>
                <w:highlight w:val="none"/>
              </w:rPr>
            </w:pPr>
          </w:p>
        </w:tc>
        <w:tc>
          <w:tcPr>
            <w:tcW w:w="873" w:type="dxa"/>
            <w:vMerge w:val="restart"/>
            <w:tcBorders>
              <w:top w:val="single" w:color="auto" w:sz="2" w:space="0"/>
              <w:left w:val="single" w:color="auto" w:sz="4" w:space="0"/>
              <w:right w:val="single" w:color="auto" w:sz="2" w:space="0"/>
            </w:tcBorders>
            <w:vAlign w:val="center"/>
          </w:tcPr>
          <w:p w14:paraId="53DE6EC5">
            <w:pPr>
              <w:jc w:val="center"/>
              <w:rPr>
                <w:rFonts w:ascii="宋体" w:hAnsi="宋体"/>
                <w:color w:val="auto"/>
                <w:sz w:val="22"/>
                <w:szCs w:val="22"/>
                <w:highlight w:val="none"/>
              </w:rPr>
            </w:pPr>
          </w:p>
        </w:tc>
      </w:tr>
      <w:tr w14:paraId="0426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66CC58B0">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2DC02E50">
            <w:pPr>
              <w:rPr>
                <w:rFonts w:ascii="宋体" w:hAnsi="宋体"/>
                <w:color w:val="auto"/>
                <w:sz w:val="22"/>
                <w:szCs w:val="22"/>
                <w:highlight w:val="none"/>
              </w:rPr>
            </w:pPr>
            <w:r>
              <w:rPr>
                <w:rFonts w:hint="eastAsia" w:ascii="宋体" w:hAnsi="宋体"/>
                <w:color w:val="auto"/>
                <w:sz w:val="22"/>
                <w:szCs w:val="22"/>
                <w:highlight w:val="none"/>
              </w:rPr>
              <w:t>2.维修服务及时性</w:t>
            </w:r>
          </w:p>
        </w:tc>
        <w:tc>
          <w:tcPr>
            <w:tcW w:w="961" w:type="dxa"/>
            <w:vMerge w:val="continue"/>
            <w:tcBorders>
              <w:left w:val="single" w:color="auto" w:sz="2" w:space="0"/>
              <w:right w:val="single" w:color="auto" w:sz="2" w:space="0"/>
            </w:tcBorders>
            <w:vAlign w:val="center"/>
          </w:tcPr>
          <w:p w14:paraId="6BCEB54E">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13CF42EE">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37BDCC52">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3D05588F">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5ECA46F5">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1470E9D7">
            <w:pPr>
              <w:jc w:val="center"/>
              <w:rPr>
                <w:rFonts w:ascii="宋体" w:hAnsi="宋体"/>
                <w:color w:val="auto"/>
                <w:sz w:val="22"/>
                <w:szCs w:val="22"/>
                <w:highlight w:val="none"/>
              </w:rPr>
            </w:pPr>
          </w:p>
        </w:tc>
      </w:tr>
      <w:tr w14:paraId="58A6F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2E6C26A3">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4B16A368">
            <w:pPr>
              <w:rPr>
                <w:rFonts w:ascii="宋体" w:hAnsi="宋体"/>
                <w:color w:val="auto"/>
                <w:sz w:val="22"/>
                <w:szCs w:val="22"/>
                <w:highlight w:val="none"/>
              </w:rPr>
            </w:pPr>
            <w:r>
              <w:rPr>
                <w:rFonts w:hint="eastAsia" w:ascii="宋体" w:hAnsi="宋体"/>
                <w:color w:val="auto"/>
                <w:sz w:val="22"/>
                <w:szCs w:val="22"/>
                <w:highlight w:val="none"/>
              </w:rPr>
              <w:t>3.维修服务质量</w:t>
            </w:r>
          </w:p>
        </w:tc>
        <w:tc>
          <w:tcPr>
            <w:tcW w:w="961" w:type="dxa"/>
            <w:vMerge w:val="continue"/>
            <w:tcBorders>
              <w:left w:val="single" w:color="auto" w:sz="2" w:space="0"/>
              <w:right w:val="single" w:color="auto" w:sz="2" w:space="0"/>
            </w:tcBorders>
            <w:vAlign w:val="center"/>
          </w:tcPr>
          <w:p w14:paraId="3FA91869">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3EDB4DF3">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094900DF">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76DD0C75">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5D781CBA">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4D4F37A4">
            <w:pPr>
              <w:jc w:val="center"/>
              <w:rPr>
                <w:rFonts w:ascii="宋体" w:hAnsi="宋体"/>
                <w:color w:val="auto"/>
                <w:sz w:val="22"/>
                <w:szCs w:val="22"/>
                <w:highlight w:val="none"/>
              </w:rPr>
            </w:pPr>
          </w:p>
        </w:tc>
      </w:tr>
      <w:tr w14:paraId="1148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765D3EEE">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4982FE17">
            <w:pPr>
              <w:rPr>
                <w:rFonts w:ascii="宋体" w:hAnsi="宋体"/>
                <w:color w:val="auto"/>
                <w:sz w:val="22"/>
                <w:szCs w:val="22"/>
                <w:highlight w:val="none"/>
              </w:rPr>
            </w:pPr>
            <w:r>
              <w:rPr>
                <w:rFonts w:hint="eastAsia" w:ascii="宋体" w:hAnsi="宋体"/>
                <w:color w:val="auto"/>
                <w:sz w:val="22"/>
                <w:szCs w:val="22"/>
                <w:highlight w:val="none"/>
              </w:rPr>
              <w:t>4.维修服务规范性</w:t>
            </w:r>
          </w:p>
        </w:tc>
        <w:tc>
          <w:tcPr>
            <w:tcW w:w="961" w:type="dxa"/>
            <w:vMerge w:val="continue"/>
            <w:tcBorders>
              <w:left w:val="single" w:color="auto" w:sz="2" w:space="0"/>
              <w:right w:val="single" w:color="auto" w:sz="2" w:space="0"/>
            </w:tcBorders>
            <w:vAlign w:val="center"/>
          </w:tcPr>
          <w:p w14:paraId="3B3F72AB">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32346491">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64FB429D">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256074C5">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78FEB11A">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1FB74BC7">
            <w:pPr>
              <w:jc w:val="center"/>
              <w:rPr>
                <w:rFonts w:ascii="宋体" w:hAnsi="宋体"/>
                <w:color w:val="auto"/>
                <w:sz w:val="22"/>
                <w:szCs w:val="22"/>
                <w:highlight w:val="none"/>
              </w:rPr>
            </w:pPr>
          </w:p>
        </w:tc>
      </w:tr>
      <w:tr w14:paraId="43FAB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1E7C363A">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46C1B578">
            <w:pPr>
              <w:rPr>
                <w:rFonts w:ascii="宋体" w:hAnsi="宋体"/>
                <w:color w:val="auto"/>
                <w:sz w:val="22"/>
                <w:szCs w:val="22"/>
                <w:highlight w:val="none"/>
              </w:rPr>
            </w:pPr>
            <w:r>
              <w:rPr>
                <w:rFonts w:hint="eastAsia" w:ascii="宋体" w:hAnsi="宋体"/>
                <w:color w:val="auto"/>
                <w:sz w:val="22"/>
                <w:szCs w:val="22"/>
                <w:highlight w:val="none"/>
              </w:rPr>
              <w:t>5.工程人员服务态度</w:t>
            </w:r>
          </w:p>
        </w:tc>
        <w:tc>
          <w:tcPr>
            <w:tcW w:w="961" w:type="dxa"/>
            <w:vMerge w:val="continue"/>
            <w:tcBorders>
              <w:left w:val="single" w:color="auto" w:sz="2" w:space="0"/>
              <w:right w:val="single" w:color="auto" w:sz="2" w:space="0"/>
            </w:tcBorders>
            <w:vAlign w:val="center"/>
          </w:tcPr>
          <w:p w14:paraId="070A5E0C">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576AC5E9">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19543651">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20BB7B31">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09E1EE44">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18EDEB9B">
            <w:pPr>
              <w:jc w:val="center"/>
              <w:rPr>
                <w:rFonts w:ascii="宋体" w:hAnsi="宋体"/>
                <w:color w:val="auto"/>
                <w:sz w:val="22"/>
                <w:szCs w:val="22"/>
                <w:highlight w:val="none"/>
              </w:rPr>
            </w:pPr>
          </w:p>
        </w:tc>
      </w:tr>
      <w:tr w14:paraId="40A0A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928" w:type="dxa"/>
            <w:vMerge w:val="continue"/>
            <w:tcBorders>
              <w:left w:val="single" w:color="auto" w:sz="2" w:space="0"/>
              <w:bottom w:val="single" w:color="auto" w:sz="2" w:space="0"/>
              <w:right w:val="single" w:color="auto" w:sz="2" w:space="0"/>
            </w:tcBorders>
            <w:vAlign w:val="center"/>
          </w:tcPr>
          <w:p w14:paraId="6C2FFC42">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03A170B5">
            <w:pPr>
              <w:rPr>
                <w:rFonts w:ascii="宋体" w:hAnsi="宋体"/>
                <w:color w:val="auto"/>
                <w:sz w:val="22"/>
                <w:szCs w:val="22"/>
                <w:highlight w:val="none"/>
              </w:rPr>
            </w:pPr>
            <w:r>
              <w:rPr>
                <w:rFonts w:hint="eastAsia" w:ascii="宋体" w:hAnsi="宋体"/>
                <w:color w:val="auto"/>
                <w:sz w:val="22"/>
                <w:szCs w:val="22"/>
                <w:highlight w:val="none"/>
              </w:rPr>
              <w:t>6.工程人员仪容仪表</w:t>
            </w:r>
          </w:p>
        </w:tc>
        <w:tc>
          <w:tcPr>
            <w:tcW w:w="961" w:type="dxa"/>
            <w:vMerge w:val="continue"/>
            <w:tcBorders>
              <w:left w:val="single" w:color="auto" w:sz="2" w:space="0"/>
              <w:bottom w:val="single" w:color="auto" w:sz="2" w:space="0"/>
              <w:right w:val="single" w:color="auto" w:sz="2" w:space="0"/>
            </w:tcBorders>
            <w:vAlign w:val="center"/>
          </w:tcPr>
          <w:p w14:paraId="5C971A96">
            <w:pPr>
              <w:jc w:val="center"/>
              <w:rPr>
                <w:rFonts w:ascii="宋体" w:hAnsi="宋体"/>
                <w:color w:val="auto"/>
                <w:sz w:val="22"/>
                <w:szCs w:val="22"/>
                <w:highlight w:val="none"/>
              </w:rPr>
            </w:pPr>
          </w:p>
        </w:tc>
        <w:tc>
          <w:tcPr>
            <w:tcW w:w="1017" w:type="dxa"/>
            <w:vMerge w:val="continue"/>
            <w:tcBorders>
              <w:left w:val="single" w:color="auto" w:sz="2" w:space="0"/>
              <w:bottom w:val="single" w:color="auto" w:sz="2" w:space="0"/>
              <w:right w:val="single" w:color="auto" w:sz="2" w:space="0"/>
            </w:tcBorders>
            <w:vAlign w:val="center"/>
          </w:tcPr>
          <w:p w14:paraId="0F4FB1AF">
            <w:pPr>
              <w:ind w:right="643" w:rightChars="302"/>
              <w:jc w:val="center"/>
              <w:rPr>
                <w:rFonts w:ascii="宋体" w:hAnsi="宋体"/>
                <w:color w:val="auto"/>
                <w:sz w:val="22"/>
                <w:szCs w:val="22"/>
                <w:highlight w:val="none"/>
              </w:rPr>
            </w:pPr>
          </w:p>
        </w:tc>
        <w:tc>
          <w:tcPr>
            <w:tcW w:w="911" w:type="dxa"/>
            <w:vMerge w:val="continue"/>
            <w:tcBorders>
              <w:left w:val="single" w:color="auto" w:sz="2" w:space="0"/>
              <w:bottom w:val="single" w:color="auto" w:sz="2" w:space="0"/>
              <w:right w:val="single" w:color="auto" w:sz="2" w:space="0"/>
            </w:tcBorders>
            <w:vAlign w:val="center"/>
          </w:tcPr>
          <w:p w14:paraId="0DB788B5">
            <w:pPr>
              <w:jc w:val="center"/>
              <w:rPr>
                <w:rFonts w:ascii="宋体" w:hAnsi="宋体"/>
                <w:color w:val="auto"/>
                <w:sz w:val="22"/>
                <w:szCs w:val="22"/>
                <w:highlight w:val="none"/>
              </w:rPr>
            </w:pPr>
          </w:p>
        </w:tc>
        <w:tc>
          <w:tcPr>
            <w:tcW w:w="983" w:type="dxa"/>
            <w:vMerge w:val="continue"/>
            <w:tcBorders>
              <w:left w:val="single" w:color="auto" w:sz="4" w:space="0"/>
              <w:bottom w:val="single" w:color="auto" w:sz="2" w:space="0"/>
              <w:right w:val="single" w:color="auto" w:sz="2" w:space="0"/>
            </w:tcBorders>
            <w:vAlign w:val="center"/>
          </w:tcPr>
          <w:p w14:paraId="0AAD7EBE">
            <w:pPr>
              <w:jc w:val="center"/>
              <w:rPr>
                <w:rFonts w:ascii="宋体" w:hAnsi="宋体"/>
                <w:color w:val="auto"/>
                <w:sz w:val="22"/>
                <w:szCs w:val="22"/>
                <w:highlight w:val="none"/>
              </w:rPr>
            </w:pPr>
          </w:p>
        </w:tc>
        <w:tc>
          <w:tcPr>
            <w:tcW w:w="1100" w:type="dxa"/>
            <w:vMerge w:val="continue"/>
            <w:tcBorders>
              <w:left w:val="single" w:color="auto" w:sz="4" w:space="0"/>
              <w:bottom w:val="single" w:color="auto" w:sz="2" w:space="0"/>
              <w:right w:val="single" w:color="auto" w:sz="2" w:space="0"/>
            </w:tcBorders>
            <w:vAlign w:val="center"/>
          </w:tcPr>
          <w:p w14:paraId="3AFE1617">
            <w:pPr>
              <w:jc w:val="center"/>
              <w:rPr>
                <w:rFonts w:ascii="宋体" w:hAnsi="宋体"/>
                <w:color w:val="auto"/>
                <w:sz w:val="22"/>
                <w:szCs w:val="22"/>
                <w:highlight w:val="none"/>
              </w:rPr>
            </w:pPr>
          </w:p>
        </w:tc>
        <w:tc>
          <w:tcPr>
            <w:tcW w:w="873" w:type="dxa"/>
            <w:vMerge w:val="continue"/>
            <w:tcBorders>
              <w:left w:val="single" w:color="auto" w:sz="4" w:space="0"/>
              <w:bottom w:val="single" w:color="auto" w:sz="2" w:space="0"/>
              <w:right w:val="single" w:color="auto" w:sz="2" w:space="0"/>
            </w:tcBorders>
            <w:vAlign w:val="center"/>
          </w:tcPr>
          <w:p w14:paraId="6AEE2E8C">
            <w:pPr>
              <w:jc w:val="center"/>
              <w:rPr>
                <w:rFonts w:ascii="宋体" w:hAnsi="宋体"/>
                <w:color w:val="auto"/>
                <w:sz w:val="22"/>
                <w:szCs w:val="22"/>
                <w:highlight w:val="none"/>
              </w:rPr>
            </w:pPr>
          </w:p>
        </w:tc>
      </w:tr>
      <w:tr w14:paraId="5D325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restart"/>
            <w:tcBorders>
              <w:top w:val="single" w:color="auto" w:sz="2" w:space="0"/>
              <w:left w:val="single" w:color="auto" w:sz="2" w:space="0"/>
              <w:right w:val="single" w:color="auto" w:sz="2" w:space="0"/>
            </w:tcBorders>
            <w:vAlign w:val="center"/>
          </w:tcPr>
          <w:p w14:paraId="3B78EDF7">
            <w:pPr>
              <w:jc w:val="center"/>
              <w:rPr>
                <w:rFonts w:ascii="宋体" w:hAnsi="宋体"/>
                <w:b/>
                <w:color w:val="auto"/>
                <w:sz w:val="22"/>
                <w:szCs w:val="22"/>
                <w:highlight w:val="none"/>
              </w:rPr>
            </w:pPr>
            <w:r>
              <w:rPr>
                <w:rFonts w:hint="eastAsia" w:ascii="宋体" w:hAnsi="宋体"/>
                <w:b/>
                <w:color w:val="auto"/>
                <w:sz w:val="22"/>
                <w:szCs w:val="22"/>
                <w:highlight w:val="none"/>
              </w:rPr>
              <w:t>安保</w:t>
            </w:r>
          </w:p>
          <w:p w14:paraId="420FD5C2">
            <w:pPr>
              <w:jc w:val="center"/>
              <w:rPr>
                <w:rFonts w:ascii="宋体" w:hAnsi="宋体"/>
                <w:b/>
                <w:color w:val="auto"/>
                <w:sz w:val="22"/>
                <w:szCs w:val="22"/>
                <w:highlight w:val="none"/>
              </w:rPr>
            </w:pPr>
            <w:r>
              <w:rPr>
                <w:rFonts w:hint="eastAsia" w:ascii="宋体" w:hAnsi="宋体"/>
                <w:b/>
                <w:color w:val="auto"/>
                <w:sz w:val="22"/>
                <w:szCs w:val="22"/>
                <w:highlight w:val="none"/>
              </w:rPr>
              <w:t>服务</w:t>
            </w:r>
          </w:p>
        </w:tc>
        <w:tc>
          <w:tcPr>
            <w:tcW w:w="2655" w:type="dxa"/>
            <w:tcBorders>
              <w:top w:val="single" w:color="auto" w:sz="2" w:space="0"/>
              <w:left w:val="single" w:color="auto" w:sz="2" w:space="0"/>
              <w:bottom w:val="single" w:color="auto" w:sz="2" w:space="0"/>
              <w:right w:val="single" w:color="auto" w:sz="2" w:space="0"/>
            </w:tcBorders>
            <w:vAlign w:val="center"/>
          </w:tcPr>
          <w:p w14:paraId="305B45A2">
            <w:pPr>
              <w:rPr>
                <w:rFonts w:ascii="宋体" w:hAnsi="宋体"/>
                <w:color w:val="auto"/>
                <w:sz w:val="22"/>
                <w:szCs w:val="22"/>
                <w:highlight w:val="none"/>
              </w:rPr>
            </w:pPr>
            <w:r>
              <w:rPr>
                <w:rFonts w:hint="eastAsia" w:ascii="宋体" w:hAnsi="宋体"/>
                <w:color w:val="auto"/>
                <w:sz w:val="22"/>
                <w:szCs w:val="22"/>
                <w:highlight w:val="none"/>
              </w:rPr>
              <w:t>1.消防及设施管理</w:t>
            </w:r>
          </w:p>
        </w:tc>
        <w:tc>
          <w:tcPr>
            <w:tcW w:w="961" w:type="dxa"/>
            <w:vMerge w:val="restart"/>
            <w:tcBorders>
              <w:top w:val="single" w:color="auto" w:sz="2" w:space="0"/>
              <w:left w:val="single" w:color="auto" w:sz="2" w:space="0"/>
              <w:right w:val="single" w:color="auto" w:sz="2" w:space="0"/>
            </w:tcBorders>
            <w:vAlign w:val="center"/>
          </w:tcPr>
          <w:p w14:paraId="00BC87E5">
            <w:pPr>
              <w:jc w:val="center"/>
              <w:rPr>
                <w:rFonts w:ascii="宋体" w:hAnsi="宋体"/>
                <w:color w:val="auto"/>
                <w:sz w:val="22"/>
                <w:szCs w:val="22"/>
                <w:highlight w:val="none"/>
              </w:rPr>
            </w:pPr>
            <w:r>
              <w:rPr>
                <w:rFonts w:hint="eastAsia" w:ascii="宋体" w:hAnsi="宋体"/>
                <w:color w:val="auto"/>
                <w:sz w:val="22"/>
                <w:szCs w:val="22"/>
                <w:highlight w:val="none"/>
              </w:rPr>
              <w:t>20</w:t>
            </w:r>
          </w:p>
        </w:tc>
        <w:tc>
          <w:tcPr>
            <w:tcW w:w="1017" w:type="dxa"/>
            <w:vMerge w:val="restart"/>
            <w:tcBorders>
              <w:top w:val="single" w:color="auto" w:sz="2" w:space="0"/>
              <w:left w:val="single" w:color="auto" w:sz="2" w:space="0"/>
              <w:right w:val="single" w:color="auto" w:sz="2" w:space="0"/>
            </w:tcBorders>
            <w:vAlign w:val="center"/>
          </w:tcPr>
          <w:p w14:paraId="52109E76">
            <w:pPr>
              <w:ind w:right="643" w:rightChars="302"/>
              <w:jc w:val="center"/>
              <w:rPr>
                <w:rFonts w:ascii="宋体" w:hAnsi="宋体"/>
                <w:color w:val="auto"/>
                <w:sz w:val="22"/>
                <w:szCs w:val="22"/>
                <w:highlight w:val="none"/>
              </w:rPr>
            </w:pPr>
          </w:p>
        </w:tc>
        <w:tc>
          <w:tcPr>
            <w:tcW w:w="911" w:type="dxa"/>
            <w:vMerge w:val="restart"/>
            <w:tcBorders>
              <w:top w:val="single" w:color="auto" w:sz="2" w:space="0"/>
              <w:left w:val="single" w:color="auto" w:sz="2" w:space="0"/>
              <w:right w:val="single" w:color="auto" w:sz="2" w:space="0"/>
            </w:tcBorders>
            <w:vAlign w:val="center"/>
          </w:tcPr>
          <w:p w14:paraId="2BE09261">
            <w:pPr>
              <w:jc w:val="center"/>
              <w:rPr>
                <w:rFonts w:ascii="宋体" w:hAnsi="宋体"/>
                <w:color w:val="auto"/>
                <w:sz w:val="22"/>
                <w:szCs w:val="22"/>
                <w:highlight w:val="none"/>
              </w:rPr>
            </w:pPr>
          </w:p>
        </w:tc>
        <w:tc>
          <w:tcPr>
            <w:tcW w:w="983" w:type="dxa"/>
            <w:vMerge w:val="restart"/>
            <w:tcBorders>
              <w:top w:val="single" w:color="auto" w:sz="2" w:space="0"/>
              <w:left w:val="single" w:color="auto" w:sz="4" w:space="0"/>
              <w:right w:val="single" w:color="auto" w:sz="2" w:space="0"/>
            </w:tcBorders>
            <w:vAlign w:val="center"/>
          </w:tcPr>
          <w:p w14:paraId="168F6E24">
            <w:pPr>
              <w:jc w:val="center"/>
              <w:rPr>
                <w:rFonts w:ascii="宋体" w:hAnsi="宋体"/>
                <w:color w:val="auto"/>
                <w:sz w:val="22"/>
                <w:szCs w:val="22"/>
                <w:highlight w:val="none"/>
              </w:rPr>
            </w:pPr>
          </w:p>
        </w:tc>
        <w:tc>
          <w:tcPr>
            <w:tcW w:w="1100" w:type="dxa"/>
            <w:vMerge w:val="restart"/>
            <w:tcBorders>
              <w:top w:val="single" w:color="auto" w:sz="2" w:space="0"/>
              <w:left w:val="single" w:color="auto" w:sz="4" w:space="0"/>
              <w:right w:val="single" w:color="auto" w:sz="2" w:space="0"/>
            </w:tcBorders>
            <w:vAlign w:val="center"/>
          </w:tcPr>
          <w:p w14:paraId="4FFDB5F4">
            <w:pPr>
              <w:jc w:val="center"/>
              <w:rPr>
                <w:rFonts w:ascii="宋体" w:hAnsi="宋体"/>
                <w:color w:val="auto"/>
                <w:sz w:val="22"/>
                <w:szCs w:val="22"/>
                <w:highlight w:val="none"/>
              </w:rPr>
            </w:pPr>
          </w:p>
        </w:tc>
        <w:tc>
          <w:tcPr>
            <w:tcW w:w="873" w:type="dxa"/>
            <w:vMerge w:val="restart"/>
            <w:tcBorders>
              <w:top w:val="single" w:color="auto" w:sz="2" w:space="0"/>
              <w:left w:val="single" w:color="auto" w:sz="4" w:space="0"/>
              <w:right w:val="single" w:color="auto" w:sz="2" w:space="0"/>
            </w:tcBorders>
            <w:vAlign w:val="center"/>
          </w:tcPr>
          <w:p w14:paraId="32BE03B1">
            <w:pPr>
              <w:jc w:val="center"/>
              <w:rPr>
                <w:rFonts w:ascii="宋体" w:hAnsi="宋体"/>
                <w:color w:val="auto"/>
                <w:sz w:val="22"/>
                <w:szCs w:val="22"/>
                <w:highlight w:val="none"/>
              </w:rPr>
            </w:pPr>
          </w:p>
        </w:tc>
      </w:tr>
      <w:tr w14:paraId="1E91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60DA112F">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1709162E">
            <w:pPr>
              <w:rPr>
                <w:rFonts w:ascii="宋体" w:hAnsi="宋体"/>
                <w:color w:val="auto"/>
                <w:sz w:val="22"/>
                <w:szCs w:val="22"/>
                <w:highlight w:val="none"/>
              </w:rPr>
            </w:pPr>
            <w:r>
              <w:rPr>
                <w:rFonts w:hint="eastAsia" w:ascii="宋体" w:hAnsi="宋体"/>
                <w:color w:val="auto"/>
                <w:sz w:val="22"/>
                <w:szCs w:val="22"/>
                <w:highlight w:val="none"/>
              </w:rPr>
              <w:t>2.公共秩序维护</w:t>
            </w:r>
          </w:p>
        </w:tc>
        <w:tc>
          <w:tcPr>
            <w:tcW w:w="961" w:type="dxa"/>
            <w:vMerge w:val="continue"/>
            <w:tcBorders>
              <w:left w:val="single" w:color="auto" w:sz="2" w:space="0"/>
              <w:right w:val="single" w:color="auto" w:sz="2" w:space="0"/>
            </w:tcBorders>
            <w:vAlign w:val="center"/>
          </w:tcPr>
          <w:p w14:paraId="21FB91A5">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191FC58C">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528B118C">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361A1887">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3C8F2D9F">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65D55E75">
            <w:pPr>
              <w:jc w:val="center"/>
              <w:rPr>
                <w:rFonts w:ascii="宋体" w:hAnsi="宋体"/>
                <w:color w:val="auto"/>
                <w:sz w:val="22"/>
                <w:szCs w:val="22"/>
                <w:highlight w:val="none"/>
              </w:rPr>
            </w:pPr>
          </w:p>
        </w:tc>
      </w:tr>
      <w:tr w14:paraId="34DE0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5887A109">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3488C5DF">
            <w:pPr>
              <w:rPr>
                <w:rFonts w:ascii="宋体" w:hAnsi="宋体"/>
                <w:color w:val="auto"/>
                <w:sz w:val="22"/>
                <w:szCs w:val="22"/>
                <w:highlight w:val="none"/>
              </w:rPr>
            </w:pPr>
            <w:r>
              <w:rPr>
                <w:rFonts w:hint="eastAsia" w:ascii="宋体" w:hAnsi="宋体"/>
                <w:color w:val="auto"/>
                <w:sz w:val="22"/>
                <w:szCs w:val="22"/>
                <w:highlight w:val="none"/>
              </w:rPr>
              <w:t>3.停车场管理</w:t>
            </w:r>
          </w:p>
        </w:tc>
        <w:tc>
          <w:tcPr>
            <w:tcW w:w="961" w:type="dxa"/>
            <w:vMerge w:val="continue"/>
            <w:tcBorders>
              <w:left w:val="single" w:color="auto" w:sz="2" w:space="0"/>
              <w:right w:val="single" w:color="auto" w:sz="2" w:space="0"/>
            </w:tcBorders>
            <w:vAlign w:val="center"/>
          </w:tcPr>
          <w:p w14:paraId="16EE6C8C">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619BF258">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09B4ECD0">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5B334704">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72B0A9C1">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2692A385">
            <w:pPr>
              <w:jc w:val="center"/>
              <w:rPr>
                <w:rFonts w:ascii="宋体" w:hAnsi="宋体"/>
                <w:color w:val="auto"/>
                <w:sz w:val="22"/>
                <w:szCs w:val="22"/>
                <w:highlight w:val="none"/>
              </w:rPr>
            </w:pPr>
          </w:p>
        </w:tc>
      </w:tr>
      <w:tr w14:paraId="5A0C9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043E148E">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708B13FE">
            <w:pPr>
              <w:rPr>
                <w:rFonts w:ascii="宋体" w:hAnsi="宋体"/>
                <w:color w:val="auto"/>
                <w:sz w:val="22"/>
                <w:szCs w:val="22"/>
                <w:highlight w:val="none"/>
              </w:rPr>
            </w:pPr>
            <w:r>
              <w:rPr>
                <w:rFonts w:hint="eastAsia" w:ascii="宋体" w:hAnsi="宋体"/>
                <w:color w:val="auto"/>
                <w:sz w:val="22"/>
                <w:szCs w:val="22"/>
                <w:highlight w:val="none"/>
              </w:rPr>
              <w:t>4.突发事件处理</w:t>
            </w:r>
          </w:p>
        </w:tc>
        <w:tc>
          <w:tcPr>
            <w:tcW w:w="961" w:type="dxa"/>
            <w:vMerge w:val="continue"/>
            <w:tcBorders>
              <w:left w:val="single" w:color="auto" w:sz="2" w:space="0"/>
              <w:right w:val="single" w:color="auto" w:sz="2" w:space="0"/>
            </w:tcBorders>
            <w:vAlign w:val="center"/>
          </w:tcPr>
          <w:p w14:paraId="03C8CA1D">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11FDA5C6">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7CFB94FE">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468876B2">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10A76D0C">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4EDCE8E9">
            <w:pPr>
              <w:jc w:val="center"/>
              <w:rPr>
                <w:rFonts w:ascii="宋体" w:hAnsi="宋体"/>
                <w:color w:val="auto"/>
                <w:sz w:val="22"/>
                <w:szCs w:val="22"/>
                <w:highlight w:val="none"/>
              </w:rPr>
            </w:pPr>
          </w:p>
        </w:tc>
      </w:tr>
      <w:tr w14:paraId="4AAE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28" w:type="dxa"/>
            <w:vMerge w:val="continue"/>
            <w:tcBorders>
              <w:left w:val="single" w:color="auto" w:sz="2" w:space="0"/>
              <w:right w:val="single" w:color="auto" w:sz="2" w:space="0"/>
            </w:tcBorders>
            <w:vAlign w:val="center"/>
          </w:tcPr>
          <w:p w14:paraId="3BFDE076">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712AB0C4">
            <w:pPr>
              <w:rPr>
                <w:rFonts w:ascii="宋体" w:hAnsi="宋体"/>
                <w:color w:val="auto"/>
                <w:sz w:val="22"/>
                <w:szCs w:val="22"/>
                <w:highlight w:val="none"/>
              </w:rPr>
            </w:pPr>
            <w:r>
              <w:rPr>
                <w:rFonts w:hint="eastAsia" w:ascii="宋体" w:hAnsi="宋体"/>
                <w:color w:val="auto"/>
                <w:sz w:val="22"/>
                <w:szCs w:val="22"/>
                <w:highlight w:val="none"/>
              </w:rPr>
              <w:t>5.秩序人员仪容仪表</w:t>
            </w:r>
          </w:p>
        </w:tc>
        <w:tc>
          <w:tcPr>
            <w:tcW w:w="961" w:type="dxa"/>
            <w:vMerge w:val="continue"/>
            <w:tcBorders>
              <w:left w:val="single" w:color="auto" w:sz="2" w:space="0"/>
              <w:right w:val="single" w:color="auto" w:sz="2" w:space="0"/>
            </w:tcBorders>
            <w:vAlign w:val="center"/>
          </w:tcPr>
          <w:p w14:paraId="6373AB6E">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351D5177">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4F395ED0">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77A83D2B">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201982EB">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1786FC34">
            <w:pPr>
              <w:jc w:val="center"/>
              <w:rPr>
                <w:rFonts w:ascii="宋体" w:hAnsi="宋体"/>
                <w:color w:val="auto"/>
                <w:sz w:val="22"/>
                <w:szCs w:val="22"/>
                <w:highlight w:val="none"/>
              </w:rPr>
            </w:pPr>
          </w:p>
        </w:tc>
      </w:tr>
      <w:tr w14:paraId="449E3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bottom w:val="single" w:color="auto" w:sz="2" w:space="0"/>
              <w:right w:val="single" w:color="auto" w:sz="2" w:space="0"/>
            </w:tcBorders>
            <w:vAlign w:val="center"/>
          </w:tcPr>
          <w:p w14:paraId="101D35E4">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011A175E">
            <w:pPr>
              <w:rPr>
                <w:rFonts w:ascii="宋体" w:hAnsi="宋体"/>
                <w:color w:val="auto"/>
                <w:sz w:val="22"/>
                <w:szCs w:val="22"/>
                <w:highlight w:val="none"/>
              </w:rPr>
            </w:pPr>
            <w:r>
              <w:rPr>
                <w:rFonts w:hint="eastAsia" w:ascii="宋体" w:hAnsi="宋体"/>
                <w:color w:val="auto"/>
                <w:sz w:val="22"/>
                <w:szCs w:val="22"/>
                <w:highlight w:val="none"/>
              </w:rPr>
              <w:t>6.秩序人员服务态度</w:t>
            </w:r>
          </w:p>
        </w:tc>
        <w:tc>
          <w:tcPr>
            <w:tcW w:w="961" w:type="dxa"/>
            <w:vMerge w:val="continue"/>
            <w:tcBorders>
              <w:left w:val="single" w:color="auto" w:sz="2" w:space="0"/>
              <w:bottom w:val="single" w:color="auto" w:sz="2" w:space="0"/>
              <w:right w:val="single" w:color="auto" w:sz="2" w:space="0"/>
            </w:tcBorders>
            <w:vAlign w:val="center"/>
          </w:tcPr>
          <w:p w14:paraId="00F695A8">
            <w:pPr>
              <w:jc w:val="center"/>
              <w:rPr>
                <w:rFonts w:ascii="宋体" w:hAnsi="宋体"/>
                <w:color w:val="auto"/>
                <w:sz w:val="22"/>
                <w:szCs w:val="22"/>
                <w:highlight w:val="none"/>
              </w:rPr>
            </w:pPr>
          </w:p>
        </w:tc>
        <w:tc>
          <w:tcPr>
            <w:tcW w:w="1017" w:type="dxa"/>
            <w:vMerge w:val="continue"/>
            <w:tcBorders>
              <w:left w:val="single" w:color="auto" w:sz="2" w:space="0"/>
              <w:bottom w:val="single" w:color="auto" w:sz="2" w:space="0"/>
              <w:right w:val="single" w:color="auto" w:sz="2" w:space="0"/>
            </w:tcBorders>
            <w:vAlign w:val="center"/>
          </w:tcPr>
          <w:p w14:paraId="28E5AC07">
            <w:pPr>
              <w:ind w:right="643" w:rightChars="302"/>
              <w:jc w:val="center"/>
              <w:rPr>
                <w:rFonts w:ascii="宋体" w:hAnsi="宋体"/>
                <w:color w:val="auto"/>
                <w:sz w:val="22"/>
                <w:szCs w:val="22"/>
                <w:highlight w:val="none"/>
              </w:rPr>
            </w:pPr>
          </w:p>
        </w:tc>
        <w:tc>
          <w:tcPr>
            <w:tcW w:w="911" w:type="dxa"/>
            <w:vMerge w:val="continue"/>
            <w:tcBorders>
              <w:left w:val="single" w:color="auto" w:sz="2" w:space="0"/>
              <w:bottom w:val="single" w:color="auto" w:sz="2" w:space="0"/>
              <w:right w:val="single" w:color="auto" w:sz="2" w:space="0"/>
            </w:tcBorders>
            <w:vAlign w:val="center"/>
          </w:tcPr>
          <w:p w14:paraId="68336AA7">
            <w:pPr>
              <w:jc w:val="center"/>
              <w:rPr>
                <w:rFonts w:ascii="宋体" w:hAnsi="宋体"/>
                <w:color w:val="auto"/>
                <w:sz w:val="22"/>
                <w:szCs w:val="22"/>
                <w:highlight w:val="none"/>
              </w:rPr>
            </w:pPr>
          </w:p>
        </w:tc>
        <w:tc>
          <w:tcPr>
            <w:tcW w:w="983" w:type="dxa"/>
            <w:vMerge w:val="continue"/>
            <w:tcBorders>
              <w:left w:val="single" w:color="auto" w:sz="4" w:space="0"/>
              <w:bottom w:val="single" w:color="auto" w:sz="2" w:space="0"/>
              <w:right w:val="single" w:color="auto" w:sz="2" w:space="0"/>
            </w:tcBorders>
            <w:vAlign w:val="center"/>
          </w:tcPr>
          <w:p w14:paraId="3C91DBFA">
            <w:pPr>
              <w:jc w:val="center"/>
              <w:rPr>
                <w:rFonts w:ascii="宋体" w:hAnsi="宋体"/>
                <w:color w:val="auto"/>
                <w:sz w:val="22"/>
                <w:szCs w:val="22"/>
                <w:highlight w:val="none"/>
              </w:rPr>
            </w:pPr>
          </w:p>
        </w:tc>
        <w:tc>
          <w:tcPr>
            <w:tcW w:w="1100" w:type="dxa"/>
            <w:vMerge w:val="continue"/>
            <w:tcBorders>
              <w:left w:val="single" w:color="auto" w:sz="4" w:space="0"/>
              <w:bottom w:val="single" w:color="auto" w:sz="2" w:space="0"/>
              <w:right w:val="single" w:color="auto" w:sz="2" w:space="0"/>
            </w:tcBorders>
            <w:vAlign w:val="center"/>
          </w:tcPr>
          <w:p w14:paraId="25D479A5">
            <w:pPr>
              <w:jc w:val="center"/>
              <w:rPr>
                <w:rFonts w:ascii="宋体" w:hAnsi="宋体"/>
                <w:color w:val="auto"/>
                <w:sz w:val="22"/>
                <w:szCs w:val="22"/>
                <w:highlight w:val="none"/>
              </w:rPr>
            </w:pPr>
          </w:p>
        </w:tc>
        <w:tc>
          <w:tcPr>
            <w:tcW w:w="873" w:type="dxa"/>
            <w:vMerge w:val="continue"/>
            <w:tcBorders>
              <w:left w:val="single" w:color="auto" w:sz="4" w:space="0"/>
              <w:bottom w:val="single" w:color="auto" w:sz="2" w:space="0"/>
              <w:right w:val="single" w:color="auto" w:sz="2" w:space="0"/>
            </w:tcBorders>
            <w:vAlign w:val="center"/>
          </w:tcPr>
          <w:p w14:paraId="57B2124E">
            <w:pPr>
              <w:jc w:val="center"/>
              <w:rPr>
                <w:rFonts w:ascii="宋体" w:hAnsi="宋体"/>
                <w:color w:val="auto"/>
                <w:sz w:val="22"/>
                <w:szCs w:val="22"/>
                <w:highlight w:val="none"/>
              </w:rPr>
            </w:pPr>
          </w:p>
        </w:tc>
      </w:tr>
      <w:tr w14:paraId="06585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928" w:type="dxa"/>
            <w:vMerge w:val="restart"/>
            <w:tcBorders>
              <w:top w:val="single" w:color="auto" w:sz="2" w:space="0"/>
              <w:left w:val="single" w:color="auto" w:sz="2" w:space="0"/>
              <w:right w:val="single" w:color="auto" w:sz="2" w:space="0"/>
            </w:tcBorders>
            <w:vAlign w:val="center"/>
          </w:tcPr>
          <w:p w14:paraId="17D2075B">
            <w:pPr>
              <w:jc w:val="center"/>
              <w:rPr>
                <w:rFonts w:ascii="宋体" w:hAnsi="宋体"/>
                <w:b/>
                <w:color w:val="auto"/>
                <w:sz w:val="22"/>
                <w:szCs w:val="22"/>
                <w:highlight w:val="none"/>
              </w:rPr>
            </w:pPr>
            <w:r>
              <w:rPr>
                <w:rFonts w:hint="eastAsia" w:ascii="宋体" w:hAnsi="宋体"/>
                <w:b/>
                <w:color w:val="auto"/>
                <w:sz w:val="22"/>
                <w:szCs w:val="22"/>
                <w:highlight w:val="none"/>
              </w:rPr>
              <w:t>生态</w:t>
            </w:r>
          </w:p>
          <w:p w14:paraId="70045844">
            <w:pPr>
              <w:jc w:val="center"/>
              <w:rPr>
                <w:rFonts w:ascii="宋体" w:hAnsi="宋体"/>
                <w:b/>
                <w:color w:val="auto"/>
                <w:sz w:val="22"/>
                <w:szCs w:val="22"/>
                <w:highlight w:val="none"/>
              </w:rPr>
            </w:pPr>
            <w:r>
              <w:rPr>
                <w:rFonts w:hint="eastAsia" w:ascii="宋体" w:hAnsi="宋体"/>
                <w:b/>
                <w:color w:val="auto"/>
                <w:sz w:val="22"/>
                <w:szCs w:val="22"/>
                <w:highlight w:val="none"/>
              </w:rPr>
              <w:t>环境</w:t>
            </w:r>
          </w:p>
          <w:p w14:paraId="62D34F93">
            <w:pPr>
              <w:jc w:val="center"/>
              <w:rPr>
                <w:rFonts w:ascii="宋体" w:hAnsi="宋体"/>
                <w:b/>
                <w:color w:val="auto"/>
                <w:sz w:val="22"/>
                <w:szCs w:val="22"/>
                <w:highlight w:val="none"/>
              </w:rPr>
            </w:pPr>
            <w:r>
              <w:rPr>
                <w:rFonts w:hint="eastAsia" w:ascii="宋体" w:hAnsi="宋体"/>
                <w:b/>
                <w:color w:val="auto"/>
                <w:sz w:val="22"/>
                <w:szCs w:val="22"/>
                <w:highlight w:val="none"/>
              </w:rPr>
              <w:t>服务</w:t>
            </w:r>
          </w:p>
        </w:tc>
        <w:tc>
          <w:tcPr>
            <w:tcW w:w="2655" w:type="dxa"/>
            <w:tcBorders>
              <w:top w:val="single" w:color="auto" w:sz="2" w:space="0"/>
              <w:left w:val="single" w:color="auto" w:sz="2" w:space="0"/>
              <w:bottom w:val="single" w:color="auto" w:sz="2" w:space="0"/>
              <w:right w:val="single" w:color="auto" w:sz="2" w:space="0"/>
            </w:tcBorders>
            <w:vAlign w:val="center"/>
          </w:tcPr>
          <w:p w14:paraId="1D458737">
            <w:pPr>
              <w:rPr>
                <w:rFonts w:ascii="宋体" w:hAnsi="宋体"/>
                <w:color w:val="auto"/>
                <w:sz w:val="22"/>
                <w:szCs w:val="22"/>
                <w:highlight w:val="none"/>
              </w:rPr>
            </w:pPr>
            <w:r>
              <w:rPr>
                <w:rFonts w:hint="eastAsia" w:ascii="宋体" w:hAnsi="宋体"/>
                <w:color w:val="auto"/>
                <w:sz w:val="22"/>
                <w:szCs w:val="22"/>
                <w:highlight w:val="none"/>
              </w:rPr>
              <w:t>1.公共区域卫生</w:t>
            </w:r>
          </w:p>
        </w:tc>
        <w:tc>
          <w:tcPr>
            <w:tcW w:w="961" w:type="dxa"/>
            <w:vMerge w:val="restart"/>
            <w:tcBorders>
              <w:top w:val="single" w:color="auto" w:sz="2" w:space="0"/>
              <w:left w:val="single" w:color="auto" w:sz="2" w:space="0"/>
              <w:right w:val="single" w:color="auto" w:sz="2" w:space="0"/>
            </w:tcBorders>
            <w:vAlign w:val="center"/>
          </w:tcPr>
          <w:p w14:paraId="7D6B1E76">
            <w:pPr>
              <w:jc w:val="center"/>
              <w:rPr>
                <w:rFonts w:ascii="宋体" w:hAnsi="宋体"/>
                <w:color w:val="auto"/>
                <w:sz w:val="22"/>
                <w:szCs w:val="22"/>
                <w:highlight w:val="none"/>
              </w:rPr>
            </w:pPr>
            <w:r>
              <w:rPr>
                <w:rFonts w:hint="eastAsia" w:ascii="宋体" w:hAnsi="宋体"/>
                <w:color w:val="auto"/>
                <w:sz w:val="22"/>
                <w:szCs w:val="22"/>
                <w:highlight w:val="none"/>
              </w:rPr>
              <w:t>20</w:t>
            </w:r>
          </w:p>
        </w:tc>
        <w:tc>
          <w:tcPr>
            <w:tcW w:w="1017" w:type="dxa"/>
            <w:vMerge w:val="restart"/>
            <w:tcBorders>
              <w:top w:val="single" w:color="auto" w:sz="2" w:space="0"/>
              <w:left w:val="single" w:color="auto" w:sz="2" w:space="0"/>
              <w:right w:val="single" w:color="auto" w:sz="2" w:space="0"/>
            </w:tcBorders>
            <w:vAlign w:val="center"/>
          </w:tcPr>
          <w:p w14:paraId="30836609">
            <w:pPr>
              <w:ind w:right="643" w:rightChars="302"/>
              <w:jc w:val="center"/>
              <w:rPr>
                <w:rFonts w:ascii="宋体" w:hAnsi="宋体"/>
                <w:color w:val="auto"/>
                <w:sz w:val="22"/>
                <w:szCs w:val="22"/>
                <w:highlight w:val="none"/>
              </w:rPr>
            </w:pPr>
          </w:p>
        </w:tc>
        <w:tc>
          <w:tcPr>
            <w:tcW w:w="911" w:type="dxa"/>
            <w:vMerge w:val="restart"/>
            <w:tcBorders>
              <w:top w:val="single" w:color="auto" w:sz="2" w:space="0"/>
              <w:left w:val="single" w:color="auto" w:sz="2" w:space="0"/>
              <w:right w:val="single" w:color="auto" w:sz="2" w:space="0"/>
            </w:tcBorders>
            <w:vAlign w:val="center"/>
          </w:tcPr>
          <w:p w14:paraId="7E2CFF22">
            <w:pPr>
              <w:jc w:val="center"/>
              <w:rPr>
                <w:rFonts w:ascii="宋体" w:hAnsi="宋体"/>
                <w:color w:val="auto"/>
                <w:sz w:val="22"/>
                <w:szCs w:val="22"/>
                <w:highlight w:val="none"/>
              </w:rPr>
            </w:pPr>
          </w:p>
        </w:tc>
        <w:tc>
          <w:tcPr>
            <w:tcW w:w="983" w:type="dxa"/>
            <w:vMerge w:val="restart"/>
            <w:tcBorders>
              <w:top w:val="single" w:color="auto" w:sz="2" w:space="0"/>
              <w:left w:val="single" w:color="auto" w:sz="4" w:space="0"/>
              <w:right w:val="single" w:color="auto" w:sz="2" w:space="0"/>
            </w:tcBorders>
            <w:vAlign w:val="center"/>
          </w:tcPr>
          <w:p w14:paraId="05A3BB9B">
            <w:pPr>
              <w:jc w:val="center"/>
              <w:rPr>
                <w:rFonts w:ascii="宋体" w:hAnsi="宋体"/>
                <w:color w:val="auto"/>
                <w:sz w:val="22"/>
                <w:szCs w:val="22"/>
                <w:highlight w:val="none"/>
              </w:rPr>
            </w:pPr>
          </w:p>
        </w:tc>
        <w:tc>
          <w:tcPr>
            <w:tcW w:w="1100" w:type="dxa"/>
            <w:vMerge w:val="restart"/>
            <w:tcBorders>
              <w:top w:val="single" w:color="auto" w:sz="2" w:space="0"/>
              <w:left w:val="single" w:color="auto" w:sz="4" w:space="0"/>
              <w:right w:val="single" w:color="auto" w:sz="2" w:space="0"/>
            </w:tcBorders>
            <w:vAlign w:val="center"/>
          </w:tcPr>
          <w:p w14:paraId="280536B1">
            <w:pPr>
              <w:jc w:val="center"/>
              <w:rPr>
                <w:rFonts w:ascii="宋体" w:hAnsi="宋体"/>
                <w:color w:val="auto"/>
                <w:sz w:val="22"/>
                <w:szCs w:val="22"/>
                <w:highlight w:val="none"/>
              </w:rPr>
            </w:pPr>
          </w:p>
        </w:tc>
        <w:tc>
          <w:tcPr>
            <w:tcW w:w="873" w:type="dxa"/>
            <w:vMerge w:val="restart"/>
            <w:tcBorders>
              <w:top w:val="single" w:color="auto" w:sz="2" w:space="0"/>
              <w:left w:val="single" w:color="auto" w:sz="4" w:space="0"/>
              <w:right w:val="single" w:color="auto" w:sz="2" w:space="0"/>
            </w:tcBorders>
            <w:vAlign w:val="center"/>
          </w:tcPr>
          <w:p w14:paraId="19589398">
            <w:pPr>
              <w:jc w:val="center"/>
              <w:rPr>
                <w:rFonts w:ascii="宋体" w:hAnsi="宋体"/>
                <w:color w:val="auto"/>
                <w:sz w:val="22"/>
                <w:szCs w:val="22"/>
                <w:highlight w:val="none"/>
              </w:rPr>
            </w:pPr>
          </w:p>
        </w:tc>
      </w:tr>
      <w:tr w14:paraId="5815E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61B2F532">
            <w:pP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254CE8CA">
            <w:pPr>
              <w:rPr>
                <w:rFonts w:ascii="宋体" w:hAnsi="宋体"/>
                <w:color w:val="auto"/>
                <w:sz w:val="22"/>
                <w:szCs w:val="22"/>
                <w:highlight w:val="none"/>
              </w:rPr>
            </w:pPr>
            <w:r>
              <w:rPr>
                <w:rFonts w:hint="eastAsia" w:ascii="宋体" w:hAnsi="宋体"/>
                <w:color w:val="auto"/>
                <w:sz w:val="22"/>
                <w:szCs w:val="22"/>
                <w:highlight w:val="none"/>
              </w:rPr>
              <w:t>2.护林防火巡查</w:t>
            </w:r>
          </w:p>
        </w:tc>
        <w:tc>
          <w:tcPr>
            <w:tcW w:w="961" w:type="dxa"/>
            <w:vMerge w:val="continue"/>
            <w:tcBorders>
              <w:left w:val="single" w:color="auto" w:sz="2" w:space="0"/>
              <w:right w:val="single" w:color="auto" w:sz="2" w:space="0"/>
            </w:tcBorders>
            <w:vAlign w:val="center"/>
          </w:tcPr>
          <w:p w14:paraId="526726B4">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2E855DDE">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732FD318">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5F7E51F6">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66DB7097">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6922291B">
            <w:pPr>
              <w:jc w:val="center"/>
              <w:rPr>
                <w:rFonts w:ascii="宋体" w:hAnsi="宋体"/>
                <w:color w:val="auto"/>
                <w:sz w:val="22"/>
                <w:szCs w:val="22"/>
                <w:highlight w:val="none"/>
              </w:rPr>
            </w:pPr>
          </w:p>
        </w:tc>
      </w:tr>
      <w:tr w14:paraId="67BC0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3066B161">
            <w:pP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422198A1">
            <w:pPr>
              <w:rPr>
                <w:rFonts w:ascii="宋体" w:hAnsi="宋体"/>
                <w:color w:val="auto"/>
                <w:sz w:val="22"/>
                <w:szCs w:val="22"/>
                <w:highlight w:val="none"/>
              </w:rPr>
            </w:pPr>
            <w:r>
              <w:rPr>
                <w:rFonts w:hint="eastAsia" w:ascii="宋体" w:hAnsi="宋体"/>
                <w:color w:val="auto"/>
                <w:sz w:val="22"/>
                <w:szCs w:val="22"/>
                <w:highlight w:val="none"/>
              </w:rPr>
              <w:t>3.绿化植被长势</w:t>
            </w:r>
          </w:p>
        </w:tc>
        <w:tc>
          <w:tcPr>
            <w:tcW w:w="961" w:type="dxa"/>
            <w:vMerge w:val="continue"/>
            <w:tcBorders>
              <w:left w:val="single" w:color="auto" w:sz="2" w:space="0"/>
              <w:right w:val="single" w:color="auto" w:sz="2" w:space="0"/>
            </w:tcBorders>
            <w:vAlign w:val="center"/>
          </w:tcPr>
          <w:p w14:paraId="6C3D3680">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4EA5FB63">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18A06843">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60C87223">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154FDF00">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03F400B1">
            <w:pPr>
              <w:jc w:val="center"/>
              <w:rPr>
                <w:rFonts w:ascii="宋体" w:hAnsi="宋体"/>
                <w:color w:val="auto"/>
                <w:sz w:val="22"/>
                <w:szCs w:val="22"/>
                <w:highlight w:val="none"/>
              </w:rPr>
            </w:pPr>
          </w:p>
        </w:tc>
      </w:tr>
      <w:tr w14:paraId="76D69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4335DCD3">
            <w:pP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03B7C0B6">
            <w:pPr>
              <w:rPr>
                <w:rFonts w:ascii="宋体" w:hAnsi="宋体"/>
                <w:color w:val="auto"/>
                <w:sz w:val="22"/>
                <w:szCs w:val="22"/>
                <w:highlight w:val="none"/>
              </w:rPr>
            </w:pPr>
            <w:r>
              <w:rPr>
                <w:rFonts w:hint="eastAsia" w:ascii="宋体" w:hAnsi="宋体"/>
                <w:color w:val="auto"/>
                <w:sz w:val="22"/>
                <w:szCs w:val="22"/>
                <w:highlight w:val="none"/>
              </w:rPr>
              <w:t>4.绿地环境卫生</w:t>
            </w:r>
          </w:p>
        </w:tc>
        <w:tc>
          <w:tcPr>
            <w:tcW w:w="961" w:type="dxa"/>
            <w:vMerge w:val="continue"/>
            <w:tcBorders>
              <w:left w:val="single" w:color="auto" w:sz="2" w:space="0"/>
              <w:right w:val="single" w:color="auto" w:sz="2" w:space="0"/>
            </w:tcBorders>
            <w:vAlign w:val="center"/>
          </w:tcPr>
          <w:p w14:paraId="471EBFC3">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4969843A">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7E8D5C86">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7B149B27">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60D938E7">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1A7558DC">
            <w:pPr>
              <w:jc w:val="center"/>
              <w:rPr>
                <w:rFonts w:ascii="宋体" w:hAnsi="宋体"/>
                <w:color w:val="auto"/>
                <w:sz w:val="22"/>
                <w:szCs w:val="22"/>
                <w:highlight w:val="none"/>
              </w:rPr>
            </w:pPr>
          </w:p>
        </w:tc>
      </w:tr>
      <w:tr w14:paraId="12F83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264A13D0">
            <w:pP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1B03E004">
            <w:pPr>
              <w:rPr>
                <w:rFonts w:ascii="宋体" w:hAnsi="宋体"/>
                <w:color w:val="auto"/>
                <w:sz w:val="22"/>
                <w:szCs w:val="22"/>
                <w:highlight w:val="none"/>
              </w:rPr>
            </w:pPr>
            <w:r>
              <w:rPr>
                <w:rFonts w:hint="eastAsia" w:ascii="宋体" w:hAnsi="宋体"/>
                <w:color w:val="auto"/>
                <w:sz w:val="22"/>
                <w:szCs w:val="22"/>
                <w:highlight w:val="none"/>
              </w:rPr>
              <w:t>5.停车场卫生</w:t>
            </w:r>
          </w:p>
        </w:tc>
        <w:tc>
          <w:tcPr>
            <w:tcW w:w="961" w:type="dxa"/>
            <w:vMerge w:val="continue"/>
            <w:tcBorders>
              <w:left w:val="single" w:color="auto" w:sz="2" w:space="0"/>
              <w:right w:val="single" w:color="auto" w:sz="2" w:space="0"/>
            </w:tcBorders>
            <w:vAlign w:val="center"/>
          </w:tcPr>
          <w:p w14:paraId="728E4B6E">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1B5DC0B5">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49580487">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0DA9233A">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2A293A55">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2BD12929">
            <w:pPr>
              <w:jc w:val="center"/>
              <w:rPr>
                <w:rFonts w:ascii="宋体" w:hAnsi="宋体"/>
                <w:color w:val="auto"/>
                <w:sz w:val="22"/>
                <w:szCs w:val="22"/>
                <w:highlight w:val="none"/>
              </w:rPr>
            </w:pPr>
          </w:p>
        </w:tc>
      </w:tr>
      <w:tr w14:paraId="6B8B0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05840C3B">
            <w:pP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59852DFD">
            <w:pPr>
              <w:rPr>
                <w:rFonts w:ascii="宋体" w:hAnsi="宋体"/>
                <w:color w:val="auto"/>
                <w:sz w:val="22"/>
                <w:szCs w:val="22"/>
                <w:highlight w:val="none"/>
              </w:rPr>
            </w:pPr>
            <w:r>
              <w:rPr>
                <w:rFonts w:hint="eastAsia" w:ascii="宋体" w:hAnsi="宋体"/>
                <w:color w:val="auto"/>
                <w:sz w:val="22"/>
                <w:szCs w:val="22"/>
                <w:highlight w:val="none"/>
              </w:rPr>
              <w:t>6.垃圾清运及时性</w:t>
            </w:r>
          </w:p>
        </w:tc>
        <w:tc>
          <w:tcPr>
            <w:tcW w:w="961" w:type="dxa"/>
            <w:vMerge w:val="continue"/>
            <w:tcBorders>
              <w:left w:val="single" w:color="auto" w:sz="2" w:space="0"/>
              <w:right w:val="single" w:color="auto" w:sz="2" w:space="0"/>
            </w:tcBorders>
            <w:vAlign w:val="center"/>
          </w:tcPr>
          <w:p w14:paraId="29F3CD05">
            <w:pPr>
              <w:jc w:val="center"/>
              <w:rPr>
                <w:rFonts w:ascii="宋体" w:hAnsi="宋体"/>
                <w:color w:val="auto"/>
                <w:sz w:val="22"/>
                <w:szCs w:val="22"/>
                <w:highlight w:val="none"/>
              </w:rPr>
            </w:pPr>
          </w:p>
        </w:tc>
        <w:tc>
          <w:tcPr>
            <w:tcW w:w="1017" w:type="dxa"/>
            <w:vMerge w:val="continue"/>
            <w:tcBorders>
              <w:left w:val="single" w:color="auto" w:sz="2" w:space="0"/>
              <w:right w:val="single" w:color="auto" w:sz="2" w:space="0"/>
            </w:tcBorders>
            <w:vAlign w:val="center"/>
          </w:tcPr>
          <w:p w14:paraId="6A463D76">
            <w:pPr>
              <w:ind w:right="643" w:rightChars="302"/>
              <w:jc w:val="center"/>
              <w:rPr>
                <w:rFonts w:ascii="宋体" w:hAnsi="宋体"/>
                <w:color w:val="auto"/>
                <w:sz w:val="22"/>
                <w:szCs w:val="22"/>
                <w:highlight w:val="none"/>
              </w:rPr>
            </w:pPr>
          </w:p>
        </w:tc>
        <w:tc>
          <w:tcPr>
            <w:tcW w:w="911" w:type="dxa"/>
            <w:vMerge w:val="continue"/>
            <w:tcBorders>
              <w:left w:val="single" w:color="auto" w:sz="2" w:space="0"/>
              <w:right w:val="single" w:color="auto" w:sz="2" w:space="0"/>
            </w:tcBorders>
            <w:vAlign w:val="center"/>
          </w:tcPr>
          <w:p w14:paraId="313DA616">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46AF263C">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46116F95">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4BC5128B">
            <w:pPr>
              <w:jc w:val="center"/>
              <w:rPr>
                <w:rFonts w:ascii="宋体" w:hAnsi="宋体"/>
                <w:color w:val="auto"/>
                <w:sz w:val="22"/>
                <w:szCs w:val="22"/>
                <w:highlight w:val="none"/>
              </w:rPr>
            </w:pPr>
          </w:p>
        </w:tc>
      </w:tr>
      <w:tr w14:paraId="3D7B2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3210CF56">
            <w:pP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425A6F1C">
            <w:pPr>
              <w:rPr>
                <w:rFonts w:ascii="宋体" w:hAnsi="宋体"/>
                <w:color w:val="auto"/>
                <w:sz w:val="22"/>
                <w:szCs w:val="22"/>
                <w:highlight w:val="none"/>
              </w:rPr>
            </w:pPr>
            <w:r>
              <w:rPr>
                <w:rFonts w:hint="eastAsia" w:ascii="宋体" w:hAnsi="宋体"/>
                <w:color w:val="auto"/>
                <w:sz w:val="22"/>
                <w:szCs w:val="22"/>
                <w:highlight w:val="none"/>
              </w:rPr>
              <w:t>7.保洁人员礼仪礼节</w:t>
            </w:r>
          </w:p>
        </w:tc>
        <w:tc>
          <w:tcPr>
            <w:tcW w:w="961" w:type="dxa"/>
            <w:vMerge w:val="continue"/>
            <w:tcBorders>
              <w:left w:val="single" w:color="auto" w:sz="2" w:space="0"/>
              <w:bottom w:val="single" w:color="auto" w:sz="2" w:space="0"/>
              <w:right w:val="single" w:color="auto" w:sz="2" w:space="0"/>
            </w:tcBorders>
            <w:vAlign w:val="center"/>
          </w:tcPr>
          <w:p w14:paraId="7132E18D">
            <w:pPr>
              <w:jc w:val="center"/>
              <w:rPr>
                <w:rFonts w:ascii="宋体" w:hAnsi="宋体"/>
                <w:color w:val="auto"/>
                <w:sz w:val="22"/>
                <w:szCs w:val="22"/>
                <w:highlight w:val="none"/>
              </w:rPr>
            </w:pPr>
          </w:p>
        </w:tc>
        <w:tc>
          <w:tcPr>
            <w:tcW w:w="1017" w:type="dxa"/>
            <w:vMerge w:val="continue"/>
            <w:tcBorders>
              <w:left w:val="single" w:color="auto" w:sz="2" w:space="0"/>
              <w:bottom w:val="single" w:color="auto" w:sz="2" w:space="0"/>
              <w:right w:val="single" w:color="auto" w:sz="2" w:space="0"/>
            </w:tcBorders>
            <w:vAlign w:val="center"/>
          </w:tcPr>
          <w:p w14:paraId="3C36464E">
            <w:pPr>
              <w:ind w:right="643" w:rightChars="302"/>
              <w:jc w:val="center"/>
              <w:rPr>
                <w:rFonts w:ascii="宋体" w:hAnsi="宋体"/>
                <w:color w:val="auto"/>
                <w:sz w:val="22"/>
                <w:szCs w:val="22"/>
                <w:highlight w:val="none"/>
              </w:rPr>
            </w:pPr>
          </w:p>
        </w:tc>
        <w:tc>
          <w:tcPr>
            <w:tcW w:w="911" w:type="dxa"/>
            <w:vMerge w:val="continue"/>
            <w:tcBorders>
              <w:left w:val="single" w:color="auto" w:sz="2" w:space="0"/>
              <w:bottom w:val="single" w:color="auto" w:sz="2" w:space="0"/>
              <w:right w:val="single" w:color="auto" w:sz="2" w:space="0"/>
            </w:tcBorders>
            <w:vAlign w:val="center"/>
          </w:tcPr>
          <w:p w14:paraId="5A5C5B7A">
            <w:pPr>
              <w:jc w:val="center"/>
              <w:rPr>
                <w:rFonts w:ascii="宋体" w:hAnsi="宋体"/>
                <w:color w:val="auto"/>
                <w:sz w:val="22"/>
                <w:szCs w:val="22"/>
                <w:highlight w:val="none"/>
              </w:rPr>
            </w:pPr>
          </w:p>
        </w:tc>
        <w:tc>
          <w:tcPr>
            <w:tcW w:w="983" w:type="dxa"/>
            <w:vMerge w:val="continue"/>
            <w:tcBorders>
              <w:left w:val="single" w:color="auto" w:sz="4" w:space="0"/>
              <w:bottom w:val="single" w:color="auto" w:sz="2" w:space="0"/>
              <w:right w:val="single" w:color="auto" w:sz="2" w:space="0"/>
            </w:tcBorders>
            <w:vAlign w:val="center"/>
          </w:tcPr>
          <w:p w14:paraId="49442431">
            <w:pPr>
              <w:jc w:val="center"/>
              <w:rPr>
                <w:rFonts w:ascii="宋体" w:hAnsi="宋体"/>
                <w:color w:val="auto"/>
                <w:sz w:val="22"/>
                <w:szCs w:val="22"/>
                <w:highlight w:val="none"/>
              </w:rPr>
            </w:pPr>
          </w:p>
        </w:tc>
        <w:tc>
          <w:tcPr>
            <w:tcW w:w="1100" w:type="dxa"/>
            <w:vMerge w:val="continue"/>
            <w:tcBorders>
              <w:left w:val="single" w:color="auto" w:sz="4" w:space="0"/>
              <w:bottom w:val="single" w:color="auto" w:sz="2" w:space="0"/>
              <w:right w:val="single" w:color="auto" w:sz="2" w:space="0"/>
            </w:tcBorders>
            <w:vAlign w:val="center"/>
          </w:tcPr>
          <w:p w14:paraId="741CB1E4">
            <w:pPr>
              <w:jc w:val="center"/>
              <w:rPr>
                <w:rFonts w:ascii="宋体" w:hAnsi="宋体"/>
                <w:color w:val="auto"/>
                <w:sz w:val="22"/>
                <w:szCs w:val="22"/>
                <w:highlight w:val="none"/>
              </w:rPr>
            </w:pPr>
          </w:p>
        </w:tc>
        <w:tc>
          <w:tcPr>
            <w:tcW w:w="873" w:type="dxa"/>
            <w:vMerge w:val="continue"/>
            <w:tcBorders>
              <w:left w:val="single" w:color="auto" w:sz="4" w:space="0"/>
              <w:bottom w:val="single" w:color="auto" w:sz="2" w:space="0"/>
              <w:right w:val="single" w:color="auto" w:sz="2" w:space="0"/>
            </w:tcBorders>
            <w:vAlign w:val="center"/>
          </w:tcPr>
          <w:p w14:paraId="3ABD8B45">
            <w:pPr>
              <w:jc w:val="center"/>
              <w:rPr>
                <w:rFonts w:ascii="宋体" w:hAnsi="宋体"/>
                <w:color w:val="auto"/>
                <w:sz w:val="22"/>
                <w:szCs w:val="22"/>
                <w:highlight w:val="none"/>
              </w:rPr>
            </w:pPr>
          </w:p>
        </w:tc>
      </w:tr>
      <w:tr w14:paraId="0A80F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928" w:type="dxa"/>
            <w:vMerge w:val="restart"/>
            <w:tcBorders>
              <w:top w:val="single" w:color="auto" w:sz="2" w:space="0"/>
              <w:left w:val="single" w:color="auto" w:sz="2" w:space="0"/>
              <w:right w:val="single" w:color="auto" w:sz="2" w:space="0"/>
            </w:tcBorders>
            <w:vAlign w:val="center"/>
          </w:tcPr>
          <w:p w14:paraId="477B016B">
            <w:pPr>
              <w:jc w:val="center"/>
              <w:rPr>
                <w:rFonts w:ascii="宋体" w:hAnsi="宋体"/>
                <w:b/>
                <w:color w:val="auto"/>
                <w:sz w:val="22"/>
                <w:szCs w:val="22"/>
                <w:highlight w:val="none"/>
              </w:rPr>
            </w:pPr>
            <w:r>
              <w:rPr>
                <w:rFonts w:hint="eastAsia" w:ascii="宋体" w:hAnsi="宋体"/>
                <w:b/>
                <w:color w:val="auto"/>
                <w:sz w:val="22"/>
                <w:szCs w:val="22"/>
                <w:highlight w:val="none"/>
              </w:rPr>
              <w:t>客房会务服务</w:t>
            </w:r>
          </w:p>
        </w:tc>
        <w:tc>
          <w:tcPr>
            <w:tcW w:w="2655" w:type="dxa"/>
            <w:tcBorders>
              <w:top w:val="single" w:color="auto" w:sz="2" w:space="0"/>
              <w:left w:val="single" w:color="auto" w:sz="2" w:space="0"/>
              <w:bottom w:val="single" w:color="auto" w:sz="2" w:space="0"/>
              <w:right w:val="single" w:color="auto" w:sz="2" w:space="0"/>
            </w:tcBorders>
            <w:vAlign w:val="center"/>
          </w:tcPr>
          <w:p w14:paraId="379B5F55">
            <w:pPr>
              <w:rPr>
                <w:rFonts w:ascii="宋体" w:hAnsi="宋体"/>
                <w:color w:val="auto"/>
                <w:sz w:val="22"/>
                <w:szCs w:val="22"/>
                <w:highlight w:val="none"/>
              </w:rPr>
            </w:pPr>
            <w:r>
              <w:rPr>
                <w:rFonts w:hint="eastAsia" w:ascii="宋体" w:hAnsi="宋体"/>
                <w:color w:val="auto"/>
                <w:sz w:val="22"/>
                <w:szCs w:val="22"/>
                <w:highlight w:val="none"/>
              </w:rPr>
              <w:t>1.客房人员仪容仪表</w:t>
            </w:r>
          </w:p>
        </w:tc>
        <w:tc>
          <w:tcPr>
            <w:tcW w:w="961" w:type="dxa"/>
            <w:vMerge w:val="restart"/>
            <w:tcBorders>
              <w:top w:val="single" w:color="auto" w:sz="2" w:space="0"/>
              <w:left w:val="single" w:color="auto" w:sz="2" w:space="0"/>
              <w:right w:val="single" w:color="auto" w:sz="2" w:space="0"/>
            </w:tcBorders>
            <w:vAlign w:val="center"/>
          </w:tcPr>
          <w:p w14:paraId="303C6B96">
            <w:pPr>
              <w:jc w:val="center"/>
              <w:rPr>
                <w:rFonts w:ascii="宋体" w:hAnsi="宋体"/>
                <w:color w:val="auto"/>
                <w:sz w:val="22"/>
                <w:szCs w:val="22"/>
                <w:highlight w:val="none"/>
              </w:rPr>
            </w:pPr>
            <w:r>
              <w:rPr>
                <w:rFonts w:hint="eastAsia" w:ascii="宋体" w:hAnsi="宋体"/>
                <w:color w:val="auto"/>
                <w:sz w:val="22"/>
                <w:szCs w:val="22"/>
                <w:highlight w:val="none"/>
              </w:rPr>
              <w:t>20</w:t>
            </w:r>
          </w:p>
        </w:tc>
        <w:tc>
          <w:tcPr>
            <w:tcW w:w="1017" w:type="dxa"/>
            <w:vMerge w:val="restart"/>
            <w:tcBorders>
              <w:top w:val="single" w:color="auto" w:sz="2" w:space="0"/>
              <w:left w:val="single" w:color="auto" w:sz="2" w:space="0"/>
              <w:right w:val="single" w:color="auto" w:sz="4" w:space="0"/>
            </w:tcBorders>
            <w:vAlign w:val="center"/>
          </w:tcPr>
          <w:p w14:paraId="08522F58">
            <w:pPr>
              <w:ind w:right="643" w:rightChars="302"/>
              <w:jc w:val="center"/>
              <w:rPr>
                <w:rFonts w:ascii="宋体" w:hAnsi="宋体"/>
                <w:color w:val="auto"/>
                <w:sz w:val="22"/>
                <w:szCs w:val="22"/>
                <w:highlight w:val="none"/>
              </w:rPr>
            </w:pPr>
          </w:p>
        </w:tc>
        <w:tc>
          <w:tcPr>
            <w:tcW w:w="911" w:type="dxa"/>
            <w:vMerge w:val="restart"/>
            <w:tcBorders>
              <w:top w:val="single" w:color="auto" w:sz="2" w:space="0"/>
              <w:left w:val="single" w:color="auto" w:sz="4" w:space="0"/>
              <w:right w:val="single" w:color="auto" w:sz="2" w:space="0"/>
            </w:tcBorders>
            <w:vAlign w:val="center"/>
          </w:tcPr>
          <w:p w14:paraId="5D01BE8E">
            <w:pPr>
              <w:jc w:val="center"/>
              <w:rPr>
                <w:rFonts w:ascii="宋体" w:hAnsi="宋体"/>
                <w:color w:val="auto"/>
                <w:sz w:val="22"/>
                <w:szCs w:val="22"/>
                <w:highlight w:val="none"/>
              </w:rPr>
            </w:pPr>
          </w:p>
        </w:tc>
        <w:tc>
          <w:tcPr>
            <w:tcW w:w="983" w:type="dxa"/>
            <w:vMerge w:val="restart"/>
            <w:tcBorders>
              <w:top w:val="single" w:color="auto" w:sz="2" w:space="0"/>
              <w:left w:val="single" w:color="auto" w:sz="4" w:space="0"/>
              <w:right w:val="single" w:color="auto" w:sz="2" w:space="0"/>
            </w:tcBorders>
            <w:vAlign w:val="center"/>
          </w:tcPr>
          <w:p w14:paraId="1AA8C600">
            <w:pPr>
              <w:jc w:val="center"/>
              <w:rPr>
                <w:rFonts w:ascii="宋体" w:hAnsi="宋体"/>
                <w:color w:val="auto"/>
                <w:sz w:val="22"/>
                <w:szCs w:val="22"/>
                <w:highlight w:val="none"/>
              </w:rPr>
            </w:pPr>
          </w:p>
        </w:tc>
        <w:tc>
          <w:tcPr>
            <w:tcW w:w="1100" w:type="dxa"/>
            <w:vMerge w:val="restart"/>
            <w:tcBorders>
              <w:top w:val="single" w:color="auto" w:sz="2" w:space="0"/>
              <w:left w:val="single" w:color="auto" w:sz="4" w:space="0"/>
              <w:right w:val="single" w:color="auto" w:sz="2" w:space="0"/>
            </w:tcBorders>
            <w:vAlign w:val="center"/>
          </w:tcPr>
          <w:p w14:paraId="2F0436AC">
            <w:pPr>
              <w:jc w:val="center"/>
              <w:rPr>
                <w:rFonts w:ascii="宋体" w:hAnsi="宋体"/>
                <w:color w:val="auto"/>
                <w:sz w:val="22"/>
                <w:szCs w:val="22"/>
                <w:highlight w:val="none"/>
              </w:rPr>
            </w:pPr>
          </w:p>
        </w:tc>
        <w:tc>
          <w:tcPr>
            <w:tcW w:w="873" w:type="dxa"/>
            <w:vMerge w:val="restart"/>
            <w:tcBorders>
              <w:top w:val="single" w:color="auto" w:sz="2" w:space="0"/>
              <w:left w:val="single" w:color="auto" w:sz="4" w:space="0"/>
              <w:right w:val="single" w:color="auto" w:sz="2" w:space="0"/>
            </w:tcBorders>
            <w:vAlign w:val="center"/>
          </w:tcPr>
          <w:p w14:paraId="3D2EF632">
            <w:pPr>
              <w:jc w:val="center"/>
              <w:rPr>
                <w:rFonts w:ascii="宋体" w:hAnsi="宋体"/>
                <w:color w:val="auto"/>
                <w:sz w:val="22"/>
                <w:szCs w:val="22"/>
                <w:highlight w:val="none"/>
              </w:rPr>
            </w:pPr>
          </w:p>
        </w:tc>
      </w:tr>
      <w:tr w14:paraId="6C606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3A9C8483">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04BC63BA">
            <w:pPr>
              <w:rPr>
                <w:rFonts w:ascii="宋体" w:hAnsi="宋体"/>
                <w:color w:val="auto"/>
                <w:sz w:val="22"/>
                <w:szCs w:val="22"/>
                <w:highlight w:val="none"/>
              </w:rPr>
            </w:pPr>
            <w:r>
              <w:rPr>
                <w:rFonts w:hint="eastAsia" w:ascii="宋体" w:hAnsi="宋体"/>
                <w:color w:val="auto"/>
                <w:sz w:val="22"/>
                <w:szCs w:val="22"/>
                <w:highlight w:val="none"/>
              </w:rPr>
              <w:t>2.客房人员服务态度</w:t>
            </w:r>
          </w:p>
        </w:tc>
        <w:tc>
          <w:tcPr>
            <w:tcW w:w="961" w:type="dxa"/>
            <w:vMerge w:val="continue"/>
            <w:tcBorders>
              <w:left w:val="single" w:color="auto" w:sz="2" w:space="0"/>
              <w:right w:val="single" w:color="auto" w:sz="2" w:space="0"/>
            </w:tcBorders>
            <w:vAlign w:val="center"/>
          </w:tcPr>
          <w:p w14:paraId="2483EA85">
            <w:pPr>
              <w:jc w:val="center"/>
              <w:rPr>
                <w:rFonts w:ascii="宋体" w:hAnsi="宋体"/>
                <w:color w:val="auto"/>
                <w:sz w:val="22"/>
                <w:szCs w:val="22"/>
                <w:highlight w:val="none"/>
              </w:rPr>
            </w:pPr>
          </w:p>
        </w:tc>
        <w:tc>
          <w:tcPr>
            <w:tcW w:w="1017" w:type="dxa"/>
            <w:vMerge w:val="continue"/>
            <w:tcBorders>
              <w:left w:val="single" w:color="auto" w:sz="2" w:space="0"/>
              <w:right w:val="single" w:color="auto" w:sz="4" w:space="0"/>
            </w:tcBorders>
            <w:vAlign w:val="center"/>
          </w:tcPr>
          <w:p w14:paraId="27A19A06">
            <w:pPr>
              <w:ind w:right="643" w:rightChars="302"/>
              <w:jc w:val="center"/>
              <w:rPr>
                <w:rFonts w:ascii="宋体" w:hAnsi="宋体"/>
                <w:color w:val="auto"/>
                <w:sz w:val="22"/>
                <w:szCs w:val="22"/>
                <w:highlight w:val="none"/>
              </w:rPr>
            </w:pPr>
          </w:p>
        </w:tc>
        <w:tc>
          <w:tcPr>
            <w:tcW w:w="911" w:type="dxa"/>
            <w:vMerge w:val="continue"/>
            <w:tcBorders>
              <w:left w:val="single" w:color="auto" w:sz="4" w:space="0"/>
              <w:right w:val="single" w:color="auto" w:sz="2" w:space="0"/>
            </w:tcBorders>
            <w:vAlign w:val="center"/>
          </w:tcPr>
          <w:p w14:paraId="16041AEA">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6B067638">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0CAE91C1">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7675B7BC">
            <w:pPr>
              <w:jc w:val="center"/>
              <w:rPr>
                <w:rFonts w:ascii="宋体" w:hAnsi="宋体"/>
                <w:color w:val="auto"/>
                <w:sz w:val="22"/>
                <w:szCs w:val="22"/>
                <w:highlight w:val="none"/>
              </w:rPr>
            </w:pPr>
          </w:p>
        </w:tc>
      </w:tr>
      <w:tr w14:paraId="7680A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6E6D5217">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3905163A">
            <w:pPr>
              <w:rPr>
                <w:rFonts w:ascii="宋体" w:hAnsi="宋体"/>
                <w:color w:val="auto"/>
                <w:sz w:val="22"/>
                <w:szCs w:val="22"/>
                <w:highlight w:val="none"/>
              </w:rPr>
            </w:pPr>
            <w:r>
              <w:rPr>
                <w:rFonts w:hint="eastAsia" w:ascii="宋体" w:hAnsi="宋体"/>
                <w:color w:val="auto"/>
                <w:sz w:val="22"/>
                <w:szCs w:val="22"/>
                <w:highlight w:val="none"/>
              </w:rPr>
              <w:t>3.对住客情况了解</w:t>
            </w:r>
          </w:p>
        </w:tc>
        <w:tc>
          <w:tcPr>
            <w:tcW w:w="961" w:type="dxa"/>
            <w:vMerge w:val="continue"/>
            <w:tcBorders>
              <w:left w:val="single" w:color="auto" w:sz="2" w:space="0"/>
              <w:right w:val="single" w:color="auto" w:sz="2" w:space="0"/>
            </w:tcBorders>
            <w:vAlign w:val="center"/>
          </w:tcPr>
          <w:p w14:paraId="15389EE4">
            <w:pPr>
              <w:jc w:val="center"/>
              <w:rPr>
                <w:rFonts w:ascii="宋体" w:hAnsi="宋体"/>
                <w:color w:val="auto"/>
                <w:sz w:val="22"/>
                <w:szCs w:val="22"/>
                <w:highlight w:val="none"/>
              </w:rPr>
            </w:pPr>
          </w:p>
        </w:tc>
        <w:tc>
          <w:tcPr>
            <w:tcW w:w="1017" w:type="dxa"/>
            <w:vMerge w:val="continue"/>
            <w:tcBorders>
              <w:left w:val="single" w:color="auto" w:sz="2" w:space="0"/>
              <w:right w:val="single" w:color="auto" w:sz="4" w:space="0"/>
            </w:tcBorders>
            <w:vAlign w:val="center"/>
          </w:tcPr>
          <w:p w14:paraId="0BCA2064">
            <w:pPr>
              <w:ind w:right="643" w:rightChars="302"/>
              <w:jc w:val="center"/>
              <w:rPr>
                <w:rFonts w:ascii="宋体" w:hAnsi="宋体"/>
                <w:color w:val="auto"/>
                <w:sz w:val="22"/>
                <w:szCs w:val="22"/>
                <w:highlight w:val="none"/>
              </w:rPr>
            </w:pPr>
          </w:p>
        </w:tc>
        <w:tc>
          <w:tcPr>
            <w:tcW w:w="911" w:type="dxa"/>
            <w:vMerge w:val="continue"/>
            <w:tcBorders>
              <w:left w:val="single" w:color="auto" w:sz="4" w:space="0"/>
              <w:right w:val="single" w:color="auto" w:sz="2" w:space="0"/>
            </w:tcBorders>
            <w:vAlign w:val="center"/>
          </w:tcPr>
          <w:p w14:paraId="22784020">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15EB01F9">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15C83822">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1D775792">
            <w:pPr>
              <w:jc w:val="center"/>
              <w:rPr>
                <w:rFonts w:ascii="宋体" w:hAnsi="宋体"/>
                <w:color w:val="auto"/>
                <w:sz w:val="22"/>
                <w:szCs w:val="22"/>
                <w:highlight w:val="none"/>
              </w:rPr>
            </w:pPr>
          </w:p>
        </w:tc>
      </w:tr>
      <w:tr w14:paraId="43E1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41E57709">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68607A3A">
            <w:pPr>
              <w:rPr>
                <w:rFonts w:ascii="宋体" w:hAnsi="宋体"/>
                <w:color w:val="auto"/>
                <w:sz w:val="22"/>
                <w:szCs w:val="22"/>
                <w:highlight w:val="none"/>
              </w:rPr>
            </w:pPr>
            <w:r>
              <w:rPr>
                <w:rFonts w:hint="eastAsia" w:ascii="宋体" w:hAnsi="宋体"/>
                <w:color w:val="auto"/>
                <w:sz w:val="22"/>
                <w:szCs w:val="22"/>
                <w:highlight w:val="none"/>
              </w:rPr>
              <w:t>4.室内环境卫生</w:t>
            </w:r>
          </w:p>
        </w:tc>
        <w:tc>
          <w:tcPr>
            <w:tcW w:w="961" w:type="dxa"/>
            <w:vMerge w:val="continue"/>
            <w:tcBorders>
              <w:left w:val="single" w:color="auto" w:sz="2" w:space="0"/>
              <w:right w:val="single" w:color="auto" w:sz="2" w:space="0"/>
            </w:tcBorders>
            <w:vAlign w:val="center"/>
          </w:tcPr>
          <w:p w14:paraId="4529125C">
            <w:pPr>
              <w:jc w:val="center"/>
              <w:rPr>
                <w:rFonts w:ascii="宋体" w:hAnsi="宋体"/>
                <w:color w:val="auto"/>
                <w:sz w:val="22"/>
                <w:szCs w:val="22"/>
                <w:highlight w:val="none"/>
              </w:rPr>
            </w:pPr>
          </w:p>
        </w:tc>
        <w:tc>
          <w:tcPr>
            <w:tcW w:w="1017" w:type="dxa"/>
            <w:vMerge w:val="continue"/>
            <w:tcBorders>
              <w:left w:val="single" w:color="auto" w:sz="2" w:space="0"/>
              <w:right w:val="single" w:color="auto" w:sz="4" w:space="0"/>
            </w:tcBorders>
            <w:vAlign w:val="center"/>
          </w:tcPr>
          <w:p w14:paraId="0F276E2E">
            <w:pPr>
              <w:ind w:right="643" w:rightChars="302"/>
              <w:jc w:val="center"/>
              <w:rPr>
                <w:rFonts w:ascii="宋体" w:hAnsi="宋体"/>
                <w:color w:val="auto"/>
                <w:sz w:val="22"/>
                <w:szCs w:val="22"/>
                <w:highlight w:val="none"/>
              </w:rPr>
            </w:pPr>
          </w:p>
        </w:tc>
        <w:tc>
          <w:tcPr>
            <w:tcW w:w="911" w:type="dxa"/>
            <w:vMerge w:val="continue"/>
            <w:tcBorders>
              <w:left w:val="single" w:color="auto" w:sz="4" w:space="0"/>
              <w:right w:val="single" w:color="auto" w:sz="2" w:space="0"/>
            </w:tcBorders>
            <w:vAlign w:val="center"/>
          </w:tcPr>
          <w:p w14:paraId="5B765E55">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4CCDD044">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7F304C2B">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7FE227F1">
            <w:pPr>
              <w:jc w:val="center"/>
              <w:rPr>
                <w:rFonts w:ascii="宋体" w:hAnsi="宋体"/>
                <w:color w:val="auto"/>
                <w:sz w:val="22"/>
                <w:szCs w:val="22"/>
                <w:highlight w:val="none"/>
              </w:rPr>
            </w:pPr>
          </w:p>
        </w:tc>
      </w:tr>
      <w:tr w14:paraId="09D0A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217060FC">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3F6F4E4B">
            <w:pPr>
              <w:rPr>
                <w:rFonts w:ascii="宋体" w:hAnsi="宋体"/>
                <w:color w:val="auto"/>
                <w:sz w:val="22"/>
                <w:szCs w:val="22"/>
                <w:highlight w:val="none"/>
              </w:rPr>
            </w:pPr>
            <w:r>
              <w:rPr>
                <w:rFonts w:hint="eastAsia" w:ascii="宋体" w:hAnsi="宋体"/>
                <w:color w:val="auto"/>
                <w:sz w:val="22"/>
                <w:szCs w:val="22"/>
                <w:highlight w:val="none"/>
              </w:rPr>
              <w:t>5.贵重物品及人员的管理</w:t>
            </w:r>
          </w:p>
        </w:tc>
        <w:tc>
          <w:tcPr>
            <w:tcW w:w="961" w:type="dxa"/>
            <w:vMerge w:val="continue"/>
            <w:tcBorders>
              <w:left w:val="single" w:color="auto" w:sz="2" w:space="0"/>
              <w:right w:val="single" w:color="auto" w:sz="2" w:space="0"/>
            </w:tcBorders>
            <w:vAlign w:val="center"/>
          </w:tcPr>
          <w:p w14:paraId="6800F8FD">
            <w:pPr>
              <w:jc w:val="center"/>
              <w:rPr>
                <w:rFonts w:ascii="宋体" w:hAnsi="宋体"/>
                <w:color w:val="auto"/>
                <w:sz w:val="22"/>
                <w:szCs w:val="22"/>
                <w:highlight w:val="none"/>
              </w:rPr>
            </w:pPr>
          </w:p>
        </w:tc>
        <w:tc>
          <w:tcPr>
            <w:tcW w:w="1017" w:type="dxa"/>
            <w:vMerge w:val="continue"/>
            <w:tcBorders>
              <w:left w:val="single" w:color="auto" w:sz="2" w:space="0"/>
              <w:right w:val="single" w:color="auto" w:sz="4" w:space="0"/>
            </w:tcBorders>
            <w:vAlign w:val="center"/>
          </w:tcPr>
          <w:p w14:paraId="31DCBE2A">
            <w:pPr>
              <w:ind w:right="643" w:rightChars="302"/>
              <w:jc w:val="center"/>
              <w:rPr>
                <w:rFonts w:ascii="宋体" w:hAnsi="宋体"/>
                <w:color w:val="auto"/>
                <w:sz w:val="22"/>
                <w:szCs w:val="22"/>
                <w:highlight w:val="none"/>
              </w:rPr>
            </w:pPr>
          </w:p>
        </w:tc>
        <w:tc>
          <w:tcPr>
            <w:tcW w:w="911" w:type="dxa"/>
            <w:vMerge w:val="continue"/>
            <w:tcBorders>
              <w:left w:val="single" w:color="auto" w:sz="4" w:space="0"/>
              <w:right w:val="single" w:color="auto" w:sz="2" w:space="0"/>
            </w:tcBorders>
            <w:vAlign w:val="center"/>
          </w:tcPr>
          <w:p w14:paraId="3033AFA1">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125F4B67">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1EAD58A4">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73F743A0">
            <w:pPr>
              <w:jc w:val="center"/>
              <w:rPr>
                <w:rFonts w:ascii="宋体" w:hAnsi="宋体"/>
                <w:color w:val="auto"/>
                <w:sz w:val="22"/>
                <w:szCs w:val="22"/>
                <w:highlight w:val="none"/>
              </w:rPr>
            </w:pPr>
          </w:p>
        </w:tc>
      </w:tr>
      <w:tr w14:paraId="6FD4D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2D02865F">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763A5E2E">
            <w:pPr>
              <w:rPr>
                <w:rFonts w:ascii="宋体" w:hAnsi="宋体"/>
                <w:color w:val="auto"/>
                <w:sz w:val="22"/>
                <w:szCs w:val="22"/>
                <w:highlight w:val="none"/>
              </w:rPr>
            </w:pPr>
            <w:r>
              <w:rPr>
                <w:rFonts w:hint="eastAsia" w:ascii="宋体" w:hAnsi="宋体"/>
                <w:color w:val="auto"/>
                <w:sz w:val="22"/>
                <w:szCs w:val="22"/>
                <w:highlight w:val="none"/>
              </w:rPr>
              <w:t>6、会务人员亲和力</w:t>
            </w:r>
          </w:p>
        </w:tc>
        <w:tc>
          <w:tcPr>
            <w:tcW w:w="961" w:type="dxa"/>
            <w:vMerge w:val="continue"/>
            <w:tcBorders>
              <w:left w:val="single" w:color="auto" w:sz="2" w:space="0"/>
              <w:right w:val="single" w:color="auto" w:sz="2" w:space="0"/>
            </w:tcBorders>
            <w:vAlign w:val="center"/>
          </w:tcPr>
          <w:p w14:paraId="5DFF7B72">
            <w:pPr>
              <w:jc w:val="center"/>
              <w:rPr>
                <w:rFonts w:ascii="宋体" w:hAnsi="宋体"/>
                <w:color w:val="auto"/>
                <w:sz w:val="22"/>
                <w:szCs w:val="22"/>
                <w:highlight w:val="none"/>
              </w:rPr>
            </w:pPr>
          </w:p>
        </w:tc>
        <w:tc>
          <w:tcPr>
            <w:tcW w:w="1017" w:type="dxa"/>
            <w:vMerge w:val="continue"/>
            <w:tcBorders>
              <w:left w:val="single" w:color="auto" w:sz="2" w:space="0"/>
              <w:right w:val="single" w:color="auto" w:sz="4" w:space="0"/>
            </w:tcBorders>
            <w:vAlign w:val="center"/>
          </w:tcPr>
          <w:p w14:paraId="684D8AB6">
            <w:pPr>
              <w:ind w:right="643" w:rightChars="302"/>
              <w:jc w:val="center"/>
              <w:rPr>
                <w:rFonts w:ascii="宋体" w:hAnsi="宋体"/>
                <w:color w:val="auto"/>
                <w:sz w:val="22"/>
                <w:szCs w:val="22"/>
                <w:highlight w:val="none"/>
              </w:rPr>
            </w:pPr>
          </w:p>
        </w:tc>
        <w:tc>
          <w:tcPr>
            <w:tcW w:w="911" w:type="dxa"/>
            <w:vMerge w:val="continue"/>
            <w:tcBorders>
              <w:left w:val="single" w:color="auto" w:sz="4" w:space="0"/>
              <w:right w:val="single" w:color="auto" w:sz="2" w:space="0"/>
            </w:tcBorders>
            <w:vAlign w:val="center"/>
          </w:tcPr>
          <w:p w14:paraId="4F5C5170">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21C080CD">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23569F01">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06211989">
            <w:pPr>
              <w:jc w:val="center"/>
              <w:rPr>
                <w:rFonts w:ascii="宋体" w:hAnsi="宋体"/>
                <w:color w:val="auto"/>
                <w:sz w:val="22"/>
                <w:szCs w:val="22"/>
                <w:highlight w:val="none"/>
              </w:rPr>
            </w:pPr>
          </w:p>
        </w:tc>
      </w:tr>
      <w:tr w14:paraId="7CF65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092B942D">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64221E72">
            <w:pPr>
              <w:rPr>
                <w:rFonts w:ascii="宋体" w:hAnsi="宋体"/>
                <w:color w:val="auto"/>
                <w:sz w:val="22"/>
                <w:szCs w:val="22"/>
                <w:highlight w:val="none"/>
              </w:rPr>
            </w:pPr>
            <w:r>
              <w:rPr>
                <w:rFonts w:hint="eastAsia" w:ascii="宋体" w:hAnsi="宋体"/>
                <w:color w:val="auto"/>
                <w:sz w:val="22"/>
                <w:szCs w:val="22"/>
                <w:highlight w:val="none"/>
              </w:rPr>
              <w:t>7、会务人员礼仪礼节</w:t>
            </w:r>
          </w:p>
        </w:tc>
        <w:tc>
          <w:tcPr>
            <w:tcW w:w="961" w:type="dxa"/>
            <w:vMerge w:val="continue"/>
            <w:tcBorders>
              <w:left w:val="single" w:color="auto" w:sz="2" w:space="0"/>
              <w:right w:val="single" w:color="auto" w:sz="2" w:space="0"/>
            </w:tcBorders>
            <w:vAlign w:val="center"/>
          </w:tcPr>
          <w:p w14:paraId="7690CDE5">
            <w:pPr>
              <w:jc w:val="center"/>
              <w:rPr>
                <w:rFonts w:ascii="宋体" w:hAnsi="宋体"/>
                <w:color w:val="auto"/>
                <w:sz w:val="22"/>
                <w:szCs w:val="22"/>
                <w:highlight w:val="none"/>
              </w:rPr>
            </w:pPr>
          </w:p>
        </w:tc>
        <w:tc>
          <w:tcPr>
            <w:tcW w:w="1017" w:type="dxa"/>
            <w:vMerge w:val="continue"/>
            <w:tcBorders>
              <w:left w:val="single" w:color="auto" w:sz="2" w:space="0"/>
              <w:right w:val="single" w:color="auto" w:sz="4" w:space="0"/>
            </w:tcBorders>
            <w:vAlign w:val="center"/>
          </w:tcPr>
          <w:p w14:paraId="259AC76E">
            <w:pPr>
              <w:ind w:right="643" w:rightChars="302"/>
              <w:jc w:val="center"/>
              <w:rPr>
                <w:rFonts w:ascii="宋体" w:hAnsi="宋体"/>
                <w:color w:val="auto"/>
                <w:sz w:val="22"/>
                <w:szCs w:val="22"/>
                <w:highlight w:val="none"/>
              </w:rPr>
            </w:pPr>
          </w:p>
        </w:tc>
        <w:tc>
          <w:tcPr>
            <w:tcW w:w="911" w:type="dxa"/>
            <w:vMerge w:val="continue"/>
            <w:tcBorders>
              <w:left w:val="single" w:color="auto" w:sz="4" w:space="0"/>
              <w:right w:val="single" w:color="auto" w:sz="2" w:space="0"/>
            </w:tcBorders>
            <w:vAlign w:val="center"/>
          </w:tcPr>
          <w:p w14:paraId="3BB49A3D">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56992F05">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6F72AD01">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7E0995F5">
            <w:pPr>
              <w:jc w:val="center"/>
              <w:rPr>
                <w:rFonts w:ascii="宋体" w:hAnsi="宋体"/>
                <w:color w:val="auto"/>
                <w:sz w:val="22"/>
                <w:szCs w:val="22"/>
                <w:highlight w:val="none"/>
              </w:rPr>
            </w:pPr>
          </w:p>
        </w:tc>
      </w:tr>
      <w:tr w14:paraId="2FE8C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28" w:type="dxa"/>
            <w:vMerge w:val="continue"/>
            <w:tcBorders>
              <w:left w:val="single" w:color="auto" w:sz="2" w:space="0"/>
              <w:right w:val="single" w:color="auto" w:sz="2" w:space="0"/>
            </w:tcBorders>
            <w:vAlign w:val="center"/>
          </w:tcPr>
          <w:p w14:paraId="1C44E238">
            <w:pPr>
              <w:jc w:val="center"/>
              <w:rPr>
                <w:rFonts w:ascii="宋体" w:hAnsi="宋体"/>
                <w:b/>
                <w:color w:val="auto"/>
                <w:sz w:val="22"/>
                <w:szCs w:val="22"/>
                <w:highlight w:val="none"/>
              </w:rPr>
            </w:pPr>
          </w:p>
        </w:tc>
        <w:tc>
          <w:tcPr>
            <w:tcW w:w="2655" w:type="dxa"/>
            <w:tcBorders>
              <w:top w:val="single" w:color="auto" w:sz="2" w:space="0"/>
              <w:left w:val="single" w:color="auto" w:sz="2" w:space="0"/>
              <w:bottom w:val="single" w:color="auto" w:sz="2" w:space="0"/>
              <w:right w:val="single" w:color="auto" w:sz="2" w:space="0"/>
            </w:tcBorders>
            <w:vAlign w:val="center"/>
          </w:tcPr>
          <w:p w14:paraId="6B360034">
            <w:pPr>
              <w:rPr>
                <w:rFonts w:ascii="宋体" w:hAnsi="宋体"/>
                <w:color w:val="auto"/>
                <w:sz w:val="22"/>
                <w:szCs w:val="22"/>
                <w:highlight w:val="none"/>
              </w:rPr>
            </w:pPr>
            <w:r>
              <w:rPr>
                <w:rFonts w:hint="eastAsia" w:ascii="宋体" w:hAnsi="宋体"/>
                <w:color w:val="auto"/>
                <w:sz w:val="22"/>
                <w:szCs w:val="22"/>
                <w:highlight w:val="none"/>
              </w:rPr>
              <w:t>8、会务人员服务态度</w:t>
            </w:r>
          </w:p>
        </w:tc>
        <w:tc>
          <w:tcPr>
            <w:tcW w:w="961" w:type="dxa"/>
            <w:vMerge w:val="continue"/>
            <w:tcBorders>
              <w:left w:val="single" w:color="auto" w:sz="2" w:space="0"/>
              <w:right w:val="single" w:color="auto" w:sz="2" w:space="0"/>
            </w:tcBorders>
            <w:vAlign w:val="center"/>
          </w:tcPr>
          <w:p w14:paraId="1527944D">
            <w:pPr>
              <w:jc w:val="center"/>
              <w:rPr>
                <w:rFonts w:ascii="宋体" w:hAnsi="宋体"/>
                <w:color w:val="auto"/>
                <w:sz w:val="22"/>
                <w:szCs w:val="22"/>
                <w:highlight w:val="none"/>
              </w:rPr>
            </w:pPr>
          </w:p>
        </w:tc>
        <w:tc>
          <w:tcPr>
            <w:tcW w:w="1017" w:type="dxa"/>
            <w:vMerge w:val="continue"/>
            <w:tcBorders>
              <w:left w:val="single" w:color="auto" w:sz="2" w:space="0"/>
              <w:right w:val="single" w:color="auto" w:sz="4" w:space="0"/>
            </w:tcBorders>
            <w:vAlign w:val="center"/>
          </w:tcPr>
          <w:p w14:paraId="198CC2D2">
            <w:pPr>
              <w:ind w:right="643" w:rightChars="302"/>
              <w:jc w:val="center"/>
              <w:rPr>
                <w:rFonts w:ascii="宋体" w:hAnsi="宋体"/>
                <w:color w:val="auto"/>
                <w:sz w:val="22"/>
                <w:szCs w:val="22"/>
                <w:highlight w:val="none"/>
              </w:rPr>
            </w:pPr>
          </w:p>
        </w:tc>
        <w:tc>
          <w:tcPr>
            <w:tcW w:w="911" w:type="dxa"/>
            <w:vMerge w:val="continue"/>
            <w:tcBorders>
              <w:left w:val="single" w:color="auto" w:sz="4" w:space="0"/>
              <w:right w:val="single" w:color="auto" w:sz="2" w:space="0"/>
            </w:tcBorders>
            <w:vAlign w:val="center"/>
          </w:tcPr>
          <w:p w14:paraId="2FC4BD51">
            <w:pPr>
              <w:jc w:val="center"/>
              <w:rPr>
                <w:rFonts w:ascii="宋体" w:hAnsi="宋体"/>
                <w:color w:val="auto"/>
                <w:sz w:val="22"/>
                <w:szCs w:val="22"/>
                <w:highlight w:val="none"/>
              </w:rPr>
            </w:pPr>
          </w:p>
        </w:tc>
        <w:tc>
          <w:tcPr>
            <w:tcW w:w="983" w:type="dxa"/>
            <w:vMerge w:val="continue"/>
            <w:tcBorders>
              <w:left w:val="single" w:color="auto" w:sz="4" w:space="0"/>
              <w:right w:val="single" w:color="auto" w:sz="2" w:space="0"/>
            </w:tcBorders>
            <w:vAlign w:val="center"/>
          </w:tcPr>
          <w:p w14:paraId="2B25E53C">
            <w:pPr>
              <w:jc w:val="center"/>
              <w:rPr>
                <w:rFonts w:ascii="宋体" w:hAnsi="宋体"/>
                <w:color w:val="auto"/>
                <w:sz w:val="22"/>
                <w:szCs w:val="22"/>
                <w:highlight w:val="none"/>
              </w:rPr>
            </w:pPr>
          </w:p>
        </w:tc>
        <w:tc>
          <w:tcPr>
            <w:tcW w:w="1100" w:type="dxa"/>
            <w:vMerge w:val="continue"/>
            <w:tcBorders>
              <w:left w:val="single" w:color="auto" w:sz="4" w:space="0"/>
              <w:right w:val="single" w:color="auto" w:sz="2" w:space="0"/>
            </w:tcBorders>
            <w:vAlign w:val="center"/>
          </w:tcPr>
          <w:p w14:paraId="40351CA7">
            <w:pPr>
              <w:jc w:val="center"/>
              <w:rPr>
                <w:rFonts w:ascii="宋体" w:hAnsi="宋体"/>
                <w:color w:val="auto"/>
                <w:sz w:val="22"/>
                <w:szCs w:val="22"/>
                <w:highlight w:val="none"/>
              </w:rPr>
            </w:pPr>
          </w:p>
        </w:tc>
        <w:tc>
          <w:tcPr>
            <w:tcW w:w="873" w:type="dxa"/>
            <w:vMerge w:val="continue"/>
            <w:tcBorders>
              <w:left w:val="single" w:color="auto" w:sz="4" w:space="0"/>
              <w:right w:val="single" w:color="auto" w:sz="2" w:space="0"/>
            </w:tcBorders>
            <w:vAlign w:val="center"/>
          </w:tcPr>
          <w:p w14:paraId="0872313A">
            <w:pPr>
              <w:jc w:val="center"/>
              <w:rPr>
                <w:rFonts w:ascii="宋体" w:hAnsi="宋体"/>
                <w:color w:val="auto"/>
                <w:sz w:val="22"/>
                <w:szCs w:val="22"/>
                <w:highlight w:val="none"/>
              </w:rPr>
            </w:pPr>
          </w:p>
        </w:tc>
      </w:tr>
      <w:tr w14:paraId="42FBC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928" w:type="dxa"/>
            <w:tcBorders>
              <w:left w:val="single" w:color="auto" w:sz="2" w:space="0"/>
              <w:right w:val="single" w:color="auto" w:sz="2" w:space="0"/>
            </w:tcBorders>
            <w:vAlign w:val="center"/>
          </w:tcPr>
          <w:p w14:paraId="0C01EF03">
            <w:pPr>
              <w:jc w:val="center"/>
              <w:rPr>
                <w:rFonts w:ascii="宋体" w:hAnsi="宋体"/>
                <w:b/>
                <w:color w:val="auto"/>
                <w:sz w:val="22"/>
                <w:szCs w:val="22"/>
                <w:highlight w:val="none"/>
              </w:rPr>
            </w:pPr>
            <w:r>
              <w:rPr>
                <w:rFonts w:hint="eastAsia" w:ascii="宋体" w:hAnsi="宋体"/>
                <w:b/>
                <w:color w:val="auto"/>
                <w:sz w:val="22"/>
                <w:szCs w:val="22"/>
                <w:highlight w:val="none"/>
              </w:rPr>
              <w:t>合 计</w:t>
            </w:r>
          </w:p>
        </w:tc>
        <w:tc>
          <w:tcPr>
            <w:tcW w:w="2655" w:type="dxa"/>
            <w:tcBorders>
              <w:top w:val="single" w:color="auto" w:sz="2" w:space="0"/>
              <w:left w:val="single" w:color="auto" w:sz="2" w:space="0"/>
              <w:bottom w:val="single" w:color="auto" w:sz="2" w:space="0"/>
              <w:right w:val="single" w:color="auto" w:sz="2" w:space="0"/>
            </w:tcBorders>
            <w:vAlign w:val="center"/>
          </w:tcPr>
          <w:p w14:paraId="34471405">
            <w:pPr>
              <w:rPr>
                <w:rFonts w:ascii="宋体" w:hAnsi="宋体"/>
                <w:color w:val="auto"/>
                <w:sz w:val="22"/>
                <w:szCs w:val="22"/>
                <w:highlight w:val="none"/>
              </w:rPr>
            </w:pPr>
          </w:p>
        </w:tc>
        <w:tc>
          <w:tcPr>
            <w:tcW w:w="961" w:type="dxa"/>
            <w:tcBorders>
              <w:left w:val="single" w:color="auto" w:sz="2" w:space="0"/>
              <w:bottom w:val="single" w:color="auto" w:sz="2" w:space="0"/>
              <w:right w:val="single" w:color="auto" w:sz="2" w:space="0"/>
            </w:tcBorders>
            <w:vAlign w:val="center"/>
          </w:tcPr>
          <w:p w14:paraId="72D5629B">
            <w:pPr>
              <w:jc w:val="center"/>
              <w:rPr>
                <w:rFonts w:ascii="宋体" w:hAnsi="宋体"/>
                <w:color w:val="auto"/>
                <w:sz w:val="22"/>
                <w:szCs w:val="22"/>
                <w:highlight w:val="none"/>
              </w:rPr>
            </w:pPr>
            <w:r>
              <w:rPr>
                <w:rFonts w:hint="eastAsia" w:ascii="宋体" w:hAnsi="宋体"/>
                <w:color w:val="auto"/>
                <w:sz w:val="22"/>
                <w:szCs w:val="22"/>
                <w:highlight w:val="none"/>
              </w:rPr>
              <w:t>100</w:t>
            </w:r>
          </w:p>
        </w:tc>
        <w:tc>
          <w:tcPr>
            <w:tcW w:w="4884" w:type="dxa"/>
            <w:gridSpan w:val="5"/>
            <w:tcBorders>
              <w:left w:val="single" w:color="auto" w:sz="2" w:space="0"/>
              <w:bottom w:val="single" w:color="auto" w:sz="2" w:space="0"/>
              <w:right w:val="single" w:color="auto" w:sz="2" w:space="0"/>
            </w:tcBorders>
            <w:vAlign w:val="center"/>
          </w:tcPr>
          <w:p w14:paraId="76046534">
            <w:pPr>
              <w:jc w:val="center"/>
              <w:rPr>
                <w:rFonts w:ascii="宋体" w:hAnsi="宋体"/>
                <w:color w:val="auto"/>
                <w:sz w:val="22"/>
                <w:szCs w:val="22"/>
                <w:highlight w:val="none"/>
              </w:rPr>
            </w:pPr>
          </w:p>
        </w:tc>
      </w:tr>
      <w:bookmarkEnd w:id="18"/>
      <w:bookmarkEnd w:id="19"/>
      <w:bookmarkEnd w:id="20"/>
    </w:tbl>
    <w:p w14:paraId="5A8DF060">
      <w:pPr>
        <w:pStyle w:val="2"/>
        <w:spacing w:line="360" w:lineRule="auto"/>
        <w:rPr>
          <w:color w:val="auto"/>
          <w:highlight w:val="none"/>
        </w:rPr>
        <w:sectPr>
          <w:pgSz w:w="11906" w:h="16838"/>
          <w:pgMar w:top="1440" w:right="1276" w:bottom="1440" w:left="1417" w:header="851" w:footer="992" w:gutter="0"/>
          <w:cols w:space="0" w:num="1"/>
          <w:rtlGutter w:val="0"/>
          <w:docGrid w:type="linesAndChars" w:linePitch="317" w:charSpace="819"/>
        </w:sectPr>
      </w:pPr>
    </w:p>
    <w:p w14:paraId="73882A26">
      <w:pPr>
        <w:pStyle w:val="6"/>
        <w:numPr>
          <w:ilvl w:val="2"/>
          <w:numId w:val="0"/>
        </w:numPr>
        <w:spacing w:line="360" w:lineRule="auto"/>
        <w:jc w:val="center"/>
        <w:rPr>
          <w:rFonts w:ascii="宋体" w:hAnsi="宋体" w:cs="宋体"/>
          <w:color w:val="auto"/>
          <w:highlight w:val="none"/>
        </w:rPr>
      </w:pPr>
      <w:r>
        <w:rPr>
          <w:rFonts w:hint="eastAsia" w:ascii="宋体" w:hAnsi="宋体" w:cs="宋体"/>
          <w:color w:val="auto"/>
          <w:sz w:val="30"/>
          <w:szCs w:val="30"/>
          <w:highlight w:val="none"/>
        </w:rPr>
        <w:t>第二节 商务要求</w:t>
      </w:r>
      <w:bookmarkEnd w:id="2"/>
    </w:p>
    <w:p w14:paraId="146C8566">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一、服务期及服务地点</w:t>
      </w:r>
    </w:p>
    <w:p w14:paraId="6F02E123">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 xml:space="preserve">服务期：合同签订之日起 3 年； </w:t>
      </w:r>
    </w:p>
    <w:p w14:paraId="4AFDB3FB">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服务地点：采购人指定地点。</w:t>
      </w:r>
    </w:p>
    <w:p w14:paraId="2499C2E1">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二、验收标准、规范及方式</w:t>
      </w:r>
    </w:p>
    <w:p w14:paraId="374C62F5">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由采购人根据物业管理相关法律法规及采购文件要求进行验收</w:t>
      </w:r>
    </w:p>
    <w:p w14:paraId="285859BA">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三、付款方式</w:t>
      </w:r>
    </w:p>
    <w:p w14:paraId="4B169DCB">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1、服务费计费方式：</w:t>
      </w:r>
    </w:p>
    <w:p w14:paraId="5379DBC3">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甲方支付给乙方的服务费按月计算，每月支付一次。甲方每月按照月服务费总额的5%预扣除</w:t>
      </w:r>
      <w:r>
        <w:rPr>
          <w:rFonts w:hint="eastAsia" w:asciiTheme="minorEastAsia" w:hAnsiTheme="minorEastAsia" w:eastAsiaTheme="minorEastAsia" w:cstheme="minorEastAsia"/>
          <w:color w:val="auto"/>
          <w:kern w:val="0"/>
          <w:sz w:val="24"/>
          <w:highlight w:val="none"/>
          <w:lang w:val="en-US" w:eastAsia="zh-CN" w:bidi="ar"/>
        </w:rPr>
        <w:t>服务</w:t>
      </w:r>
      <w:r>
        <w:rPr>
          <w:rFonts w:hint="eastAsia" w:asciiTheme="minorEastAsia" w:hAnsiTheme="minorEastAsia" w:eastAsiaTheme="minorEastAsia" w:cstheme="minorEastAsia"/>
          <w:color w:val="auto"/>
          <w:kern w:val="0"/>
          <w:sz w:val="24"/>
          <w:highlight w:val="none"/>
          <w:lang w:bidi="ar"/>
        </w:rPr>
        <w:t>保证金，</w:t>
      </w:r>
      <w:r>
        <w:rPr>
          <w:rFonts w:hint="eastAsia" w:asciiTheme="minorEastAsia" w:hAnsiTheme="minorEastAsia" w:eastAsiaTheme="minorEastAsia" w:cstheme="minorEastAsia"/>
          <w:color w:val="auto"/>
          <w:kern w:val="0"/>
          <w:sz w:val="24"/>
          <w:highlight w:val="none"/>
          <w:lang w:val="en-US" w:eastAsia="zh-CN" w:bidi="ar"/>
        </w:rPr>
        <w:t>服务</w:t>
      </w:r>
      <w:r>
        <w:rPr>
          <w:rFonts w:hint="eastAsia" w:asciiTheme="minorEastAsia" w:hAnsiTheme="minorEastAsia" w:eastAsiaTheme="minorEastAsia" w:cstheme="minorEastAsia"/>
          <w:color w:val="auto"/>
          <w:kern w:val="0"/>
          <w:sz w:val="24"/>
          <w:highlight w:val="none"/>
          <w:lang w:bidi="ar"/>
        </w:rPr>
        <w:t>保证金每季度返还一次，每季度支付最后一个月服务费时返还上一季度</w:t>
      </w:r>
      <w:r>
        <w:rPr>
          <w:rFonts w:hint="eastAsia" w:asciiTheme="minorEastAsia" w:hAnsiTheme="minorEastAsia" w:eastAsiaTheme="minorEastAsia" w:cstheme="minorEastAsia"/>
          <w:color w:val="auto"/>
          <w:kern w:val="0"/>
          <w:sz w:val="24"/>
          <w:highlight w:val="none"/>
          <w:lang w:val="en-US" w:eastAsia="zh-CN" w:bidi="ar"/>
        </w:rPr>
        <w:t>服务</w:t>
      </w:r>
      <w:r>
        <w:rPr>
          <w:rFonts w:hint="eastAsia" w:asciiTheme="minorEastAsia" w:hAnsiTheme="minorEastAsia" w:eastAsiaTheme="minorEastAsia" w:cstheme="minorEastAsia"/>
          <w:color w:val="auto"/>
          <w:kern w:val="0"/>
          <w:sz w:val="24"/>
          <w:highlight w:val="none"/>
          <w:lang w:bidi="ar"/>
        </w:rPr>
        <w:t>保证金，返还的</w:t>
      </w:r>
      <w:r>
        <w:rPr>
          <w:rFonts w:hint="eastAsia" w:asciiTheme="minorEastAsia" w:hAnsiTheme="minorEastAsia" w:eastAsiaTheme="minorEastAsia" w:cstheme="minorEastAsia"/>
          <w:color w:val="auto"/>
          <w:kern w:val="0"/>
          <w:sz w:val="24"/>
          <w:highlight w:val="none"/>
          <w:lang w:val="en-US" w:eastAsia="zh-CN" w:bidi="ar"/>
        </w:rPr>
        <w:t>服务</w:t>
      </w:r>
      <w:r>
        <w:rPr>
          <w:rFonts w:hint="eastAsia" w:asciiTheme="minorEastAsia" w:hAnsiTheme="minorEastAsia" w:eastAsiaTheme="minorEastAsia" w:cstheme="minorEastAsia"/>
          <w:color w:val="auto"/>
          <w:kern w:val="0"/>
          <w:sz w:val="24"/>
          <w:highlight w:val="none"/>
          <w:lang w:bidi="ar"/>
        </w:rPr>
        <w:t>保证金为上一季度3个月内按考核规定扣除不达标项目后的</w:t>
      </w:r>
      <w:r>
        <w:rPr>
          <w:rFonts w:hint="eastAsia" w:asciiTheme="minorEastAsia" w:hAnsiTheme="minorEastAsia" w:eastAsiaTheme="minorEastAsia" w:cstheme="minorEastAsia"/>
          <w:color w:val="auto"/>
          <w:kern w:val="0"/>
          <w:sz w:val="24"/>
          <w:highlight w:val="none"/>
          <w:lang w:val="en-US" w:eastAsia="zh-CN" w:bidi="ar"/>
        </w:rPr>
        <w:t>服务</w:t>
      </w:r>
      <w:r>
        <w:rPr>
          <w:rFonts w:hint="eastAsia" w:asciiTheme="minorEastAsia" w:hAnsiTheme="minorEastAsia" w:eastAsiaTheme="minorEastAsia" w:cstheme="minorEastAsia"/>
          <w:color w:val="auto"/>
          <w:kern w:val="0"/>
          <w:sz w:val="24"/>
          <w:highlight w:val="none"/>
          <w:lang w:bidi="ar"/>
        </w:rPr>
        <w:t>保证金余额。其中：</w:t>
      </w:r>
    </w:p>
    <w:p w14:paraId="03B7A0A6">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月服务费总额=中标年度包干总费用÷12；</w:t>
      </w:r>
    </w:p>
    <w:p w14:paraId="1682DF10">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每月支付服务费=月服务费总额×95%</w:t>
      </w:r>
    </w:p>
    <w:p w14:paraId="1DE7CF9D">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每个季度最后一个月支付的服务费=月服务费总额×95%＋上一季度应返还</w:t>
      </w:r>
      <w:r>
        <w:rPr>
          <w:rFonts w:hint="eastAsia" w:asciiTheme="minorEastAsia" w:hAnsiTheme="minorEastAsia" w:eastAsiaTheme="minorEastAsia" w:cstheme="minorEastAsia"/>
          <w:color w:val="auto"/>
          <w:kern w:val="0"/>
          <w:sz w:val="24"/>
          <w:highlight w:val="none"/>
          <w:lang w:val="en-US" w:eastAsia="zh-CN" w:bidi="ar"/>
        </w:rPr>
        <w:t>服务</w:t>
      </w:r>
      <w:r>
        <w:rPr>
          <w:rFonts w:hint="eastAsia" w:asciiTheme="minorEastAsia" w:hAnsiTheme="minorEastAsia" w:eastAsiaTheme="minorEastAsia" w:cstheme="minorEastAsia"/>
          <w:color w:val="auto"/>
          <w:kern w:val="0"/>
          <w:sz w:val="24"/>
          <w:highlight w:val="none"/>
          <w:lang w:bidi="ar"/>
        </w:rPr>
        <w:t>保证金总额；</w:t>
      </w:r>
    </w:p>
    <w:p w14:paraId="6DFC80F1">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上一季度应返还履约保证金总额=月服务费总额×5%×3—本季度内各月按考核结果应扣</w:t>
      </w:r>
      <w:r>
        <w:rPr>
          <w:rFonts w:hint="eastAsia" w:asciiTheme="minorEastAsia" w:hAnsiTheme="minorEastAsia" w:eastAsiaTheme="minorEastAsia" w:cstheme="minorEastAsia"/>
          <w:color w:val="auto"/>
          <w:kern w:val="0"/>
          <w:sz w:val="24"/>
          <w:highlight w:val="none"/>
          <w:lang w:val="en-US" w:eastAsia="zh-CN" w:bidi="ar"/>
        </w:rPr>
        <w:t>服务</w:t>
      </w:r>
      <w:r>
        <w:rPr>
          <w:rFonts w:hint="eastAsia" w:asciiTheme="minorEastAsia" w:hAnsiTheme="minorEastAsia" w:eastAsiaTheme="minorEastAsia" w:cstheme="minorEastAsia"/>
          <w:color w:val="auto"/>
          <w:kern w:val="0"/>
          <w:sz w:val="24"/>
          <w:highlight w:val="none"/>
          <w:lang w:bidi="ar"/>
        </w:rPr>
        <w:t>保证金之总和。</w:t>
      </w:r>
    </w:p>
    <w:p w14:paraId="76B71DF8">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2、付款方式：按月支付</w:t>
      </w:r>
    </w:p>
    <w:p w14:paraId="158DAFE9">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甲方相关管理部门负责日常监督管理及单据初审，凭乙方正式发票和甲方管理部门签字盖章的服务确认单支付服务管理费。乙方按合同要求为甲方提供合同约定的管理及服务后，甲方按《党校后勤项目购买服务管理办法（暂行）》对乙方进行考核，根据考核结果扣除考核不达标项的</w:t>
      </w:r>
      <w:r>
        <w:rPr>
          <w:rFonts w:hint="eastAsia" w:asciiTheme="minorEastAsia" w:hAnsiTheme="minorEastAsia" w:eastAsiaTheme="minorEastAsia" w:cstheme="minorEastAsia"/>
          <w:color w:val="auto"/>
          <w:kern w:val="0"/>
          <w:sz w:val="24"/>
          <w:highlight w:val="none"/>
          <w:lang w:val="en-US" w:eastAsia="zh-CN" w:bidi="ar"/>
        </w:rPr>
        <w:t>服务</w:t>
      </w:r>
      <w:r>
        <w:rPr>
          <w:rFonts w:hint="eastAsia" w:asciiTheme="minorEastAsia" w:hAnsiTheme="minorEastAsia" w:eastAsiaTheme="minorEastAsia" w:cstheme="minorEastAsia"/>
          <w:color w:val="auto"/>
          <w:kern w:val="0"/>
          <w:sz w:val="24"/>
          <w:highlight w:val="none"/>
          <w:lang w:bidi="ar"/>
        </w:rPr>
        <w:t>保证金，并在收到乙方开具符合国家规定的发票后，将应支付的服务费于次月10日前（按月支付）支付给乙方。</w:t>
      </w:r>
    </w:p>
    <w:p w14:paraId="7B0EEE17">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val="zh-CN" w:bidi="ar"/>
        </w:rPr>
      </w:pPr>
      <w:r>
        <w:rPr>
          <w:rFonts w:hint="eastAsia" w:asciiTheme="minorEastAsia" w:hAnsiTheme="minorEastAsia" w:eastAsiaTheme="minorEastAsia" w:cstheme="minorEastAsia"/>
          <w:color w:val="auto"/>
          <w:kern w:val="0"/>
          <w:sz w:val="24"/>
          <w:highlight w:val="none"/>
          <w:lang w:bidi="ar"/>
        </w:rPr>
        <w:t>3、</w:t>
      </w:r>
      <w:r>
        <w:rPr>
          <w:rFonts w:hint="eastAsia" w:asciiTheme="minorEastAsia" w:hAnsiTheme="minorEastAsia" w:eastAsiaTheme="minorEastAsia" w:cstheme="minorEastAsia"/>
          <w:color w:val="auto"/>
          <w:kern w:val="0"/>
          <w:sz w:val="24"/>
          <w:highlight w:val="none"/>
          <w:lang w:val="zh-CN" w:bidi="ar"/>
        </w:rPr>
        <w:t>季度考核与物业管理费</w:t>
      </w:r>
    </w:p>
    <w:p w14:paraId="2DC3C045">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val="zh-CN" w:bidi="ar"/>
        </w:rPr>
      </w:pPr>
      <w:r>
        <w:rPr>
          <w:rFonts w:hint="eastAsia" w:asciiTheme="minorEastAsia" w:hAnsiTheme="minorEastAsia" w:eastAsiaTheme="minorEastAsia" w:cstheme="minorEastAsia"/>
          <w:color w:val="auto"/>
          <w:kern w:val="0"/>
          <w:sz w:val="24"/>
          <w:highlight w:val="none"/>
          <w:lang w:val="zh-CN" w:bidi="ar"/>
        </w:rPr>
        <w:t>物业管理费根据季度考核结果次月支付每月扣除的5%</w:t>
      </w:r>
      <w:r>
        <w:rPr>
          <w:rFonts w:hint="eastAsia" w:asciiTheme="minorEastAsia" w:hAnsiTheme="minorEastAsia" w:eastAsiaTheme="minorEastAsia" w:cstheme="minorEastAsia"/>
          <w:color w:val="auto"/>
          <w:kern w:val="0"/>
          <w:sz w:val="24"/>
          <w:highlight w:val="none"/>
          <w:lang w:val="en-US" w:eastAsia="zh-CN" w:bidi="ar"/>
        </w:rPr>
        <w:t>服务</w:t>
      </w:r>
      <w:r>
        <w:rPr>
          <w:rFonts w:hint="eastAsia" w:asciiTheme="minorEastAsia" w:hAnsiTheme="minorEastAsia" w:eastAsiaTheme="minorEastAsia" w:cstheme="minorEastAsia"/>
          <w:color w:val="auto"/>
          <w:kern w:val="0"/>
          <w:sz w:val="24"/>
          <w:highlight w:val="none"/>
          <w:lang w:bidi="ar"/>
        </w:rPr>
        <w:t>保证金</w:t>
      </w:r>
      <w:r>
        <w:rPr>
          <w:rFonts w:hint="eastAsia" w:asciiTheme="minorEastAsia" w:hAnsiTheme="minorEastAsia" w:eastAsiaTheme="minorEastAsia" w:cstheme="minorEastAsia"/>
          <w:color w:val="auto"/>
          <w:kern w:val="0"/>
          <w:sz w:val="24"/>
          <w:highlight w:val="none"/>
          <w:lang w:val="zh-CN" w:bidi="ar"/>
        </w:rPr>
        <w:t>，季度考核合格后返还，得分85分以上（含85分）为优秀，全额支付；70分（含70分）至84分为良好，支付85%；69分（含69分）以下为不及格，支付50%。</w:t>
      </w:r>
    </w:p>
    <w:p w14:paraId="50454BF1">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val="zh-CN" w:bidi="ar"/>
        </w:rPr>
      </w:pPr>
      <w:r>
        <w:rPr>
          <w:rFonts w:hint="eastAsia" w:asciiTheme="minorEastAsia" w:hAnsiTheme="minorEastAsia" w:eastAsiaTheme="minorEastAsia" w:cstheme="minorEastAsia"/>
          <w:color w:val="auto"/>
          <w:kern w:val="0"/>
          <w:sz w:val="24"/>
          <w:highlight w:val="none"/>
          <w:lang w:val="zh-CN" w:bidi="ar"/>
        </w:rPr>
        <w:t>如果季度考核分数为69分（含69分）以下，乙方必须提出整改措施，改进服务质量，试用下一个月度。试用月度实行月度考核，考核在70分（含70分）以上，合同继续履行,考核在70分以下，合同自动终止。</w:t>
      </w:r>
    </w:p>
    <w:p w14:paraId="22C5282F">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val="zh-CN" w:bidi="ar"/>
        </w:rPr>
      </w:pPr>
      <w:r>
        <w:rPr>
          <w:rFonts w:hint="eastAsia" w:asciiTheme="minorEastAsia" w:hAnsiTheme="minorEastAsia" w:eastAsiaTheme="minorEastAsia" w:cstheme="minorEastAsia"/>
          <w:color w:val="auto"/>
          <w:kern w:val="0"/>
          <w:sz w:val="24"/>
          <w:highlight w:val="none"/>
          <w:lang w:val="zh-CN" w:bidi="ar"/>
        </w:rPr>
        <w:t>一年中有一次季度考核分数为60分以下，则合同自动终止。</w:t>
      </w:r>
    </w:p>
    <w:p w14:paraId="2561D345">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val="zh-CN" w:bidi="ar"/>
        </w:rPr>
      </w:pPr>
      <w:r>
        <w:rPr>
          <w:rFonts w:hint="eastAsia" w:asciiTheme="minorEastAsia" w:hAnsiTheme="minorEastAsia" w:eastAsiaTheme="minorEastAsia" w:cstheme="minorEastAsia"/>
          <w:color w:val="auto"/>
          <w:kern w:val="0"/>
          <w:sz w:val="24"/>
          <w:highlight w:val="none"/>
          <w:lang w:val="zh-CN" w:bidi="ar"/>
        </w:rPr>
        <w:t>备注：考核标准后期可根据实际情况作出调整。</w:t>
      </w:r>
    </w:p>
    <w:p w14:paraId="3D767FC0">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四、履约保证金：不要求</w:t>
      </w:r>
    </w:p>
    <w:p w14:paraId="3A0B18DF">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五、投标有效期</w:t>
      </w:r>
    </w:p>
    <w:p w14:paraId="454E6BA1">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投标截止日后60日历天</w:t>
      </w:r>
    </w:p>
    <w:p w14:paraId="5E3F2E9D">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六、售后服务：</w:t>
      </w:r>
      <w:r>
        <w:rPr>
          <w:rFonts w:hint="eastAsia" w:asciiTheme="minorEastAsia" w:hAnsiTheme="minorEastAsia" w:eastAsiaTheme="minorEastAsia" w:cstheme="minorEastAsia"/>
          <w:color w:val="auto"/>
          <w:kern w:val="0"/>
          <w:sz w:val="24"/>
          <w:highlight w:val="none"/>
        </w:rPr>
        <w:t>本项目需成立售后专项服务小组，负责货款结算、维修等各种与本项目有关的服务。且向采购人提供小组名单(内容至少包含姓名、电话、负责事项等内容)。</w:t>
      </w:r>
    </w:p>
    <w:p w14:paraId="69799BC9">
      <w:pPr>
        <w:spacing w:before="158" w:beforeLines="50" w:after="158" w:afterLines="50" w:line="360" w:lineRule="auto"/>
        <w:ind w:left="575" w:leftChars="2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bidi="ar"/>
        </w:rPr>
        <w:t>七、质保期：/</w:t>
      </w:r>
    </w:p>
    <w:p w14:paraId="1DEA2DE2">
      <w:pPr>
        <w:spacing w:before="158" w:beforeLines="50" w:after="158" w:afterLines="50" w:line="360" w:lineRule="auto"/>
        <w:ind w:firstLine="486"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w:t>
      </w:r>
      <w:r>
        <w:rPr>
          <w:rFonts w:hint="eastAsia" w:asciiTheme="minorEastAsia" w:hAnsiTheme="minorEastAsia" w:eastAsiaTheme="minorEastAsia" w:cstheme="minorEastAsia"/>
          <w:color w:val="auto"/>
          <w:kern w:val="0"/>
          <w:sz w:val="24"/>
          <w:highlight w:val="none"/>
          <w:lang w:bidi="ar"/>
        </w:rPr>
        <w:t>其他要求</w:t>
      </w:r>
    </w:p>
    <w:p w14:paraId="624D061B">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1.乙方负责所有员工的招聘、培训和工作安排，承担所有员工工资、福利、社会保险等费用。（供应商提供承诺函）</w:t>
      </w:r>
    </w:p>
    <w:p w14:paraId="42A06ADB">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2.乙方与所属员工之间发生的劳务纠纷与劳动争议与甲方无关。（供应商须单独承诺函）</w:t>
      </w:r>
    </w:p>
    <w:p w14:paraId="3ACA6475">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3.乙方须抓好安全管理，在工作中出现安全事故，由乙方自行负责，与甲方无关。（供应商须单独承诺函）</w:t>
      </w:r>
    </w:p>
    <w:p w14:paraId="4F320502">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4.500元及以下（单项单次500元及以下）的维修材料费由中标方承担，其他日常维修的原材料由甲方承担提供。（供应商须单独承诺函）</w:t>
      </w:r>
    </w:p>
    <w:p w14:paraId="1AF0CF61">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5.甲方给乙方提供必要的物业管理用房。</w:t>
      </w:r>
    </w:p>
    <w:p w14:paraId="4D008CDD">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6.乙方须严格遵守有关规章制度，按照需求，双方共同制订和完善作业规程，向学校提供合格优质的服务。</w:t>
      </w:r>
    </w:p>
    <w:p w14:paraId="434197B0">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7、甲方有权对不履行合同或违反甲方管理规定的乙方员工提出警告，并及时通知乙方，督促乙方处理，如给甲方名誉和经济造成损失的，将保留追究乙方相关责任或赔偿的权利。（供应商须单独承诺函）</w:t>
      </w:r>
    </w:p>
    <w:p w14:paraId="1C8C0565">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8、乙方必须配合学校完成各项迎评、考核、校际活动。（供应商须单独承诺函）</w:t>
      </w:r>
    </w:p>
    <w:p w14:paraId="7CB7AF67">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9、如遇水、电设备、设施故障、发生火灾等意外情况，乙方须及时报告学校并通知相关应急部门,积极参加抢救抢险工作。（供应商须单独承诺函）</w:t>
      </w:r>
    </w:p>
    <w:p w14:paraId="68F9928B">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10、乙方聘用人员须有一定文化基础，身体健康。</w:t>
      </w:r>
    </w:p>
    <w:p w14:paraId="2297BA07">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11、工作人员年龄按劳动法标准执行，保安人员年龄应在50岁以下。（供应商须单独承诺函）</w:t>
      </w:r>
    </w:p>
    <w:p w14:paraId="397D6829">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12、乙方可在校园从事学员学习生活需求的经营活动，但须报甲方批准方可进行。（供应商须单独承诺函）</w:t>
      </w:r>
    </w:p>
    <w:p w14:paraId="334992DC">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13、乙方在同等条件下优先聘用现有党校合同制员工，须按国家相关要求交纳社会劳动保险，工资待遇不得低于贵阳市最低工资标准。（供应商须单独承诺函）</w:t>
      </w:r>
    </w:p>
    <w:p w14:paraId="5BC7FCAE">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14、投标人须承诺自成立以来未拖欠农民工工资。（供应商须单独承诺函）</w:t>
      </w:r>
    </w:p>
    <w:p w14:paraId="7474F18F">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投标人须承诺中标后派驻物业服务的所有工作人员，在工作岗位上出现因病、伤、亡等责任时由中标人独立承担责任，且不转嫁招标人任何责任。因物业工作人员原因造成损失的，由中标人全权承担责任。（供应商须单独承诺函）</w:t>
      </w:r>
    </w:p>
    <w:p w14:paraId="68CB8EFD">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16、承诺拟派的物业经理为专职人员，专门负责本项目，不得兼任多个项目。（供应商须单独承诺函）</w:t>
      </w:r>
    </w:p>
    <w:p w14:paraId="2CD93177">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17、承诺相关技术人员需持证上岗。（供应商须单独承诺函）</w:t>
      </w:r>
    </w:p>
    <w:p w14:paraId="3C592969">
      <w:pPr>
        <w:spacing w:before="158" w:beforeLines="50" w:after="158" w:afterLines="50" w:line="360" w:lineRule="auto"/>
        <w:ind w:firstLine="48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18、承诺如服务期满后，未能与采购单位继续合作，后续服务公司未到位前仍按原合同提供物业管理服务。且要求与后续公司有序交接，在交接工作完成后主动离岗。（供应商须单独承诺函）</w:t>
      </w:r>
    </w:p>
    <w:p w14:paraId="1D1596EF">
      <w:pPr>
        <w:pStyle w:val="2"/>
        <w:rPr>
          <w:rFonts w:hint="eastAsia" w:ascii="仿宋" w:hAnsi="仿宋" w:eastAsia="仿宋" w:cs="仿宋"/>
          <w:color w:val="auto"/>
          <w:kern w:val="0"/>
          <w:sz w:val="24"/>
          <w:highlight w:val="none"/>
        </w:rPr>
      </w:pPr>
    </w:p>
    <w:p w14:paraId="1AD195DF">
      <w:pPr>
        <w:pStyle w:val="2"/>
        <w:rPr>
          <w:rFonts w:hint="eastAsia" w:ascii="仿宋" w:hAnsi="仿宋" w:eastAsia="仿宋" w:cs="仿宋"/>
          <w:color w:val="auto"/>
          <w:kern w:val="0"/>
          <w:sz w:val="24"/>
          <w:highlight w:val="none"/>
        </w:rPr>
      </w:pPr>
    </w:p>
    <w:p w14:paraId="57EEB412">
      <w:pPr>
        <w:pStyle w:val="2"/>
        <w:rPr>
          <w:rFonts w:hint="eastAsia" w:ascii="仿宋" w:hAnsi="仿宋" w:eastAsia="仿宋" w:cs="仿宋"/>
          <w:color w:val="auto"/>
          <w:kern w:val="0"/>
          <w:sz w:val="24"/>
          <w:highlight w:val="none"/>
        </w:rPr>
      </w:pPr>
    </w:p>
    <w:p w14:paraId="176D5596">
      <w:pPr>
        <w:pStyle w:val="2"/>
        <w:rPr>
          <w:rFonts w:hint="eastAsia" w:ascii="仿宋" w:hAnsi="仿宋" w:eastAsia="仿宋" w:cs="仿宋"/>
          <w:color w:val="auto"/>
          <w:kern w:val="0"/>
          <w:sz w:val="24"/>
          <w:highlight w:val="none"/>
        </w:rPr>
      </w:pPr>
    </w:p>
    <w:p w14:paraId="6D45F4F8">
      <w:pPr>
        <w:pStyle w:val="2"/>
        <w:rPr>
          <w:rFonts w:hint="eastAsia" w:ascii="仿宋" w:hAnsi="仿宋" w:eastAsia="仿宋" w:cs="仿宋"/>
          <w:color w:val="auto"/>
          <w:kern w:val="0"/>
          <w:sz w:val="24"/>
          <w:highlight w:val="none"/>
        </w:rPr>
      </w:pPr>
    </w:p>
    <w:p w14:paraId="34CC10AD">
      <w:pPr>
        <w:pStyle w:val="2"/>
        <w:rPr>
          <w:rFonts w:hint="eastAsia" w:ascii="仿宋" w:hAnsi="仿宋" w:eastAsia="仿宋" w:cs="仿宋"/>
          <w:color w:val="auto"/>
          <w:kern w:val="0"/>
          <w:sz w:val="24"/>
          <w:highlight w:val="none"/>
        </w:rPr>
      </w:pPr>
    </w:p>
    <w:p w14:paraId="611F3EA9">
      <w:pPr>
        <w:pStyle w:val="2"/>
        <w:rPr>
          <w:rFonts w:hint="eastAsia" w:ascii="仿宋" w:hAnsi="仿宋" w:eastAsia="仿宋" w:cs="仿宋"/>
          <w:color w:val="auto"/>
          <w:kern w:val="0"/>
          <w:sz w:val="24"/>
          <w:highlight w:val="none"/>
        </w:rPr>
      </w:pPr>
    </w:p>
    <w:p w14:paraId="3C747E03">
      <w:pPr>
        <w:pStyle w:val="2"/>
        <w:rPr>
          <w:rFonts w:hint="eastAsia" w:ascii="仿宋" w:hAnsi="仿宋" w:eastAsia="仿宋" w:cs="仿宋"/>
          <w:color w:val="auto"/>
          <w:kern w:val="0"/>
          <w:sz w:val="24"/>
          <w:highlight w:val="none"/>
        </w:rPr>
      </w:pPr>
    </w:p>
    <w:p w14:paraId="6D077E4E">
      <w:pPr>
        <w:pStyle w:val="2"/>
        <w:rPr>
          <w:rFonts w:hint="eastAsia" w:ascii="仿宋" w:hAnsi="仿宋" w:eastAsia="仿宋" w:cs="仿宋"/>
          <w:color w:val="auto"/>
          <w:kern w:val="0"/>
          <w:sz w:val="24"/>
          <w:highlight w:val="none"/>
        </w:rPr>
      </w:pPr>
    </w:p>
    <w:p w14:paraId="0985651F">
      <w:pPr>
        <w:pStyle w:val="2"/>
        <w:rPr>
          <w:rFonts w:hint="eastAsia" w:ascii="仿宋" w:hAnsi="仿宋" w:eastAsia="仿宋" w:cs="仿宋"/>
          <w:color w:val="auto"/>
          <w:kern w:val="0"/>
          <w:sz w:val="24"/>
          <w:highlight w:val="none"/>
        </w:rPr>
      </w:pPr>
    </w:p>
    <w:p w14:paraId="49A00410">
      <w:pPr>
        <w:pStyle w:val="2"/>
        <w:rPr>
          <w:rFonts w:hint="eastAsia" w:ascii="仿宋" w:hAnsi="仿宋" w:eastAsia="仿宋" w:cs="仿宋"/>
          <w:color w:val="auto"/>
          <w:kern w:val="0"/>
          <w:sz w:val="24"/>
          <w:highlight w:val="none"/>
        </w:rPr>
      </w:pPr>
    </w:p>
    <w:p w14:paraId="7B98CA6C">
      <w:pPr>
        <w:pStyle w:val="2"/>
        <w:rPr>
          <w:rFonts w:hint="eastAsia" w:ascii="仿宋" w:hAnsi="仿宋" w:eastAsia="仿宋" w:cs="仿宋"/>
          <w:color w:val="auto"/>
          <w:kern w:val="0"/>
          <w:sz w:val="24"/>
          <w:highlight w:val="none"/>
        </w:rPr>
      </w:pPr>
    </w:p>
    <w:p w14:paraId="1A29D1AB">
      <w:pPr>
        <w:pStyle w:val="2"/>
        <w:rPr>
          <w:rFonts w:hint="eastAsia" w:ascii="仿宋" w:hAnsi="仿宋" w:eastAsia="仿宋" w:cs="仿宋"/>
          <w:color w:val="auto"/>
          <w:kern w:val="0"/>
          <w:sz w:val="24"/>
          <w:highlight w:val="none"/>
        </w:rPr>
      </w:pPr>
    </w:p>
    <w:p w14:paraId="6DE8AAB7">
      <w:pPr>
        <w:pStyle w:val="2"/>
        <w:rPr>
          <w:rFonts w:hint="eastAsia" w:ascii="仿宋" w:hAnsi="仿宋" w:eastAsia="仿宋" w:cs="仿宋"/>
          <w:color w:val="auto"/>
          <w:kern w:val="0"/>
          <w:sz w:val="24"/>
          <w:highlight w:val="none"/>
        </w:rPr>
      </w:pPr>
    </w:p>
    <w:p w14:paraId="75E5563A">
      <w:pPr>
        <w:pStyle w:val="2"/>
        <w:rPr>
          <w:rFonts w:hint="eastAsia" w:ascii="仿宋" w:hAnsi="仿宋" w:eastAsia="仿宋" w:cs="仿宋"/>
          <w:color w:val="auto"/>
          <w:kern w:val="0"/>
          <w:sz w:val="24"/>
          <w:highlight w:val="none"/>
        </w:rPr>
      </w:pPr>
    </w:p>
    <w:p w14:paraId="38F9AA5C">
      <w:pPr>
        <w:pStyle w:val="2"/>
        <w:rPr>
          <w:rFonts w:hint="eastAsia" w:ascii="仿宋" w:hAnsi="仿宋" w:eastAsia="仿宋" w:cs="仿宋"/>
          <w:color w:val="auto"/>
          <w:kern w:val="0"/>
          <w:sz w:val="24"/>
          <w:highlight w:val="none"/>
        </w:rPr>
      </w:pPr>
    </w:p>
    <w:p w14:paraId="1C7B9295">
      <w:pPr>
        <w:pStyle w:val="2"/>
        <w:rPr>
          <w:rFonts w:hint="eastAsia" w:ascii="仿宋" w:hAnsi="仿宋" w:eastAsia="仿宋" w:cs="仿宋"/>
          <w:color w:val="auto"/>
          <w:kern w:val="0"/>
          <w:sz w:val="24"/>
          <w:highlight w:val="none"/>
        </w:rPr>
      </w:pPr>
    </w:p>
    <w:p w14:paraId="1AD9C13D">
      <w:pPr>
        <w:pStyle w:val="2"/>
        <w:rPr>
          <w:rFonts w:hint="eastAsia" w:ascii="仿宋" w:hAnsi="仿宋" w:eastAsia="仿宋" w:cs="仿宋"/>
          <w:color w:val="auto"/>
          <w:kern w:val="0"/>
          <w:sz w:val="24"/>
          <w:highlight w:val="none"/>
        </w:rPr>
      </w:pPr>
    </w:p>
    <w:p w14:paraId="2B7749E0">
      <w:pPr>
        <w:pStyle w:val="2"/>
        <w:rPr>
          <w:rFonts w:hint="eastAsia" w:ascii="仿宋" w:hAnsi="仿宋" w:eastAsia="仿宋" w:cs="仿宋"/>
          <w:color w:val="auto"/>
          <w:kern w:val="0"/>
          <w:sz w:val="24"/>
          <w:highlight w:val="none"/>
        </w:rPr>
      </w:pPr>
    </w:p>
    <w:p w14:paraId="67A2AE6B">
      <w:pPr>
        <w:pStyle w:val="2"/>
        <w:rPr>
          <w:rFonts w:hint="eastAsia" w:ascii="仿宋" w:hAnsi="仿宋" w:eastAsia="仿宋" w:cs="仿宋"/>
          <w:color w:val="auto"/>
          <w:kern w:val="0"/>
          <w:sz w:val="24"/>
          <w:highlight w:val="none"/>
        </w:rPr>
      </w:pPr>
    </w:p>
    <w:p w14:paraId="3E8A42B1">
      <w:pPr>
        <w:pStyle w:val="2"/>
        <w:rPr>
          <w:rFonts w:hint="eastAsia" w:ascii="仿宋" w:hAnsi="仿宋" w:eastAsia="仿宋" w:cs="仿宋"/>
          <w:color w:val="auto"/>
          <w:kern w:val="0"/>
          <w:sz w:val="24"/>
          <w:highlight w:val="none"/>
        </w:rPr>
      </w:pPr>
    </w:p>
    <w:p w14:paraId="687F7F34">
      <w:pPr>
        <w:pStyle w:val="2"/>
        <w:rPr>
          <w:rFonts w:hint="eastAsia" w:ascii="仿宋" w:hAnsi="仿宋" w:eastAsia="仿宋" w:cs="仿宋"/>
          <w:color w:val="auto"/>
          <w:kern w:val="0"/>
          <w:sz w:val="24"/>
          <w:highlight w:val="none"/>
        </w:rPr>
      </w:pPr>
    </w:p>
    <w:p w14:paraId="01260A14">
      <w:pPr>
        <w:pStyle w:val="2"/>
        <w:rPr>
          <w:rFonts w:hint="eastAsia" w:ascii="仿宋" w:hAnsi="仿宋" w:eastAsia="仿宋" w:cs="仿宋"/>
          <w:color w:val="auto"/>
          <w:kern w:val="0"/>
          <w:sz w:val="24"/>
          <w:highlight w:val="none"/>
        </w:rPr>
      </w:pPr>
    </w:p>
    <w:p w14:paraId="1EC2B265">
      <w:pPr>
        <w:pStyle w:val="2"/>
        <w:rPr>
          <w:rFonts w:hint="eastAsia" w:ascii="仿宋" w:hAnsi="仿宋" w:eastAsia="仿宋" w:cs="仿宋"/>
          <w:color w:val="auto"/>
          <w:kern w:val="0"/>
          <w:sz w:val="24"/>
          <w:highlight w:val="none"/>
        </w:rPr>
      </w:pPr>
    </w:p>
    <w:p w14:paraId="6500E05F">
      <w:pPr>
        <w:pStyle w:val="2"/>
        <w:rPr>
          <w:rFonts w:hint="eastAsia" w:ascii="仿宋" w:hAnsi="仿宋" w:eastAsia="仿宋" w:cs="仿宋"/>
          <w:color w:val="auto"/>
          <w:kern w:val="0"/>
          <w:sz w:val="24"/>
          <w:highlight w:val="none"/>
        </w:rPr>
      </w:pPr>
    </w:p>
    <w:p w14:paraId="21305177">
      <w:pPr>
        <w:pStyle w:val="2"/>
        <w:rPr>
          <w:rFonts w:hint="eastAsia" w:ascii="仿宋" w:hAnsi="仿宋" w:eastAsia="仿宋" w:cs="仿宋"/>
          <w:color w:val="auto"/>
          <w:kern w:val="0"/>
          <w:sz w:val="24"/>
          <w:highlight w:val="none"/>
        </w:rPr>
      </w:pPr>
    </w:p>
    <w:p w14:paraId="164DF22B">
      <w:pPr>
        <w:pStyle w:val="10"/>
        <w:spacing w:line="360" w:lineRule="auto"/>
        <w:ind w:firstLine="646" w:firstLineChars="200"/>
        <w:jc w:val="center"/>
        <w:rPr>
          <w:color w:val="auto"/>
          <w:sz w:val="32"/>
          <w:highlight w:val="none"/>
        </w:rPr>
      </w:pPr>
    </w:p>
    <w:p w14:paraId="47FC1F99">
      <w:pPr>
        <w:pStyle w:val="10"/>
        <w:spacing w:line="360" w:lineRule="auto"/>
        <w:ind w:firstLine="646" w:firstLineChars="200"/>
        <w:jc w:val="center"/>
        <w:rPr>
          <w:color w:val="auto"/>
          <w:sz w:val="32"/>
          <w:highlight w:val="none"/>
        </w:rPr>
      </w:pPr>
      <w:r>
        <w:rPr>
          <w:rFonts w:hint="eastAsia"/>
          <w:color w:val="auto"/>
          <w:sz w:val="32"/>
          <w:highlight w:val="none"/>
        </w:rPr>
        <w:t>第六章合同条款（参考模板）</w:t>
      </w:r>
    </w:p>
    <w:p w14:paraId="15A79D0D">
      <w:pPr>
        <w:pStyle w:val="10"/>
        <w:spacing w:line="360" w:lineRule="auto"/>
        <w:ind w:firstLine="646" w:firstLineChars="200"/>
        <w:jc w:val="center"/>
        <w:rPr>
          <w:color w:val="auto"/>
          <w:sz w:val="32"/>
          <w:highlight w:val="none"/>
        </w:rPr>
      </w:pPr>
    </w:p>
    <w:p w14:paraId="28573A6B">
      <w:pPr>
        <w:tabs>
          <w:tab w:val="left" w:pos="720"/>
        </w:tabs>
        <w:ind w:firstLine="1446"/>
        <w:jc w:val="center"/>
        <w:rPr>
          <w:rFonts w:ascii="宋体" w:hAnsi="宋体" w:cs="宋体"/>
          <w:b/>
          <w:color w:val="auto"/>
          <w:sz w:val="72"/>
          <w:szCs w:val="72"/>
          <w:highlight w:val="none"/>
        </w:rPr>
      </w:pPr>
      <w:r>
        <w:rPr>
          <w:rFonts w:hint="eastAsia" w:ascii="宋体" w:hAnsi="宋体" w:cs="宋体"/>
          <w:b/>
          <w:color w:val="auto"/>
          <w:sz w:val="72"/>
          <w:szCs w:val="72"/>
          <w:highlight w:val="none"/>
          <w:u w:val="single"/>
        </w:rPr>
        <w:t xml:space="preserve">         </w:t>
      </w:r>
      <w:r>
        <w:rPr>
          <w:rFonts w:hint="eastAsia" w:ascii="宋体" w:hAnsi="宋体" w:cs="宋体"/>
          <w:b/>
          <w:color w:val="auto"/>
          <w:sz w:val="72"/>
          <w:szCs w:val="72"/>
          <w:highlight w:val="none"/>
        </w:rPr>
        <w:t>政府采购</w:t>
      </w:r>
    </w:p>
    <w:p w14:paraId="68F8571D">
      <w:pPr>
        <w:tabs>
          <w:tab w:val="left" w:pos="720"/>
        </w:tabs>
        <w:ind w:firstLine="1446"/>
        <w:jc w:val="center"/>
        <w:rPr>
          <w:rFonts w:ascii="宋体" w:hAnsi="宋体" w:cs="宋体"/>
          <w:b/>
          <w:color w:val="auto"/>
          <w:sz w:val="72"/>
          <w:szCs w:val="72"/>
          <w:highlight w:val="none"/>
        </w:rPr>
      </w:pPr>
    </w:p>
    <w:p w14:paraId="69C759FD">
      <w:pPr>
        <w:tabs>
          <w:tab w:val="left" w:pos="720"/>
        </w:tabs>
        <w:ind w:firstLine="1446"/>
        <w:jc w:val="center"/>
        <w:rPr>
          <w:rFonts w:ascii="宋体" w:hAnsi="宋体" w:cs="宋体"/>
          <w:b/>
          <w:color w:val="auto"/>
          <w:sz w:val="72"/>
          <w:szCs w:val="72"/>
          <w:highlight w:val="none"/>
        </w:rPr>
      </w:pPr>
      <w:r>
        <w:rPr>
          <w:rFonts w:hint="eastAsia" w:ascii="宋体" w:hAnsi="宋体" w:cs="宋体"/>
          <w:b/>
          <w:color w:val="auto"/>
          <w:sz w:val="72"/>
          <w:szCs w:val="72"/>
          <w:highlight w:val="none"/>
        </w:rPr>
        <w:t>合 同 书</w:t>
      </w:r>
    </w:p>
    <w:p w14:paraId="7630D714">
      <w:pPr>
        <w:tabs>
          <w:tab w:val="left" w:pos="720"/>
        </w:tabs>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（服务类）</w:t>
      </w:r>
    </w:p>
    <w:p w14:paraId="180307AF">
      <w:pPr>
        <w:tabs>
          <w:tab w:val="left" w:pos="720"/>
        </w:tabs>
        <w:ind w:firstLine="883"/>
        <w:jc w:val="center"/>
        <w:rPr>
          <w:rFonts w:ascii="宋体" w:hAnsi="宋体" w:cs="宋体"/>
          <w:b/>
          <w:color w:val="auto"/>
          <w:sz w:val="44"/>
          <w:szCs w:val="44"/>
          <w:highlight w:val="none"/>
        </w:rPr>
      </w:pPr>
    </w:p>
    <w:p w14:paraId="5A2ED84F">
      <w:pPr>
        <w:tabs>
          <w:tab w:val="left" w:pos="720"/>
        </w:tabs>
        <w:ind w:firstLine="883"/>
        <w:jc w:val="center"/>
        <w:rPr>
          <w:rFonts w:ascii="宋体" w:hAnsi="宋体" w:cs="宋体"/>
          <w:b/>
          <w:color w:val="auto"/>
          <w:sz w:val="44"/>
          <w:szCs w:val="44"/>
          <w:highlight w:val="none"/>
        </w:rPr>
      </w:pPr>
    </w:p>
    <w:p w14:paraId="7813D6B7">
      <w:pPr>
        <w:tabs>
          <w:tab w:val="left" w:pos="720"/>
        </w:tabs>
        <w:ind w:firstLine="883"/>
        <w:jc w:val="center"/>
        <w:rPr>
          <w:rFonts w:ascii="宋体" w:hAnsi="宋体" w:cs="宋体"/>
          <w:b/>
          <w:color w:val="auto"/>
          <w:sz w:val="44"/>
          <w:szCs w:val="44"/>
          <w:highlight w:val="none"/>
        </w:rPr>
      </w:pPr>
    </w:p>
    <w:p w14:paraId="3D841484">
      <w:pPr>
        <w:tabs>
          <w:tab w:val="left" w:pos="720"/>
        </w:tabs>
        <w:rPr>
          <w:rFonts w:ascii="宋体" w:hAnsi="宋体" w:cs="宋体"/>
          <w:b/>
          <w:color w:val="auto"/>
          <w:sz w:val="44"/>
          <w:szCs w:val="44"/>
          <w:highlight w:val="none"/>
        </w:rPr>
      </w:pPr>
    </w:p>
    <w:p w14:paraId="3E1E6982">
      <w:pPr>
        <w:pStyle w:val="12"/>
        <w:rPr>
          <w:rFonts w:ascii="宋体" w:hAnsi="宋体" w:cs="宋体"/>
          <w:b/>
          <w:color w:val="auto"/>
          <w:sz w:val="44"/>
          <w:szCs w:val="44"/>
          <w:highlight w:val="none"/>
        </w:rPr>
      </w:pPr>
    </w:p>
    <w:p w14:paraId="512E776A">
      <w:pPr>
        <w:rPr>
          <w:rFonts w:ascii="宋体" w:hAnsi="宋体" w:cs="宋体"/>
          <w:b/>
          <w:color w:val="auto"/>
          <w:sz w:val="44"/>
          <w:szCs w:val="44"/>
          <w:highlight w:val="none"/>
        </w:rPr>
      </w:pPr>
    </w:p>
    <w:p w14:paraId="4A492CD2">
      <w:pPr>
        <w:pStyle w:val="12"/>
        <w:rPr>
          <w:rFonts w:ascii="宋体" w:hAnsi="宋体" w:cs="宋体"/>
          <w:b/>
          <w:color w:val="auto"/>
          <w:sz w:val="44"/>
          <w:szCs w:val="44"/>
          <w:highlight w:val="none"/>
        </w:rPr>
      </w:pPr>
    </w:p>
    <w:p w14:paraId="744D8B41">
      <w:pPr>
        <w:rPr>
          <w:color w:val="auto"/>
          <w:highlight w:val="none"/>
        </w:rPr>
      </w:pPr>
    </w:p>
    <w:p w14:paraId="1BAED472">
      <w:pPr>
        <w:tabs>
          <w:tab w:val="left" w:pos="720"/>
        </w:tabs>
        <w:ind w:firstLine="562"/>
        <w:rPr>
          <w:rFonts w:ascii="宋体" w:hAnsi="宋体" w:cs="宋体"/>
          <w:b/>
          <w:color w:val="auto"/>
          <w:sz w:val="28"/>
          <w:szCs w:val="28"/>
          <w:highlight w:val="none"/>
        </w:rPr>
      </w:pPr>
    </w:p>
    <w:tbl>
      <w:tblPr>
        <w:tblStyle w:val="20"/>
        <w:tblW w:w="5400" w:type="dxa"/>
        <w:jc w:val="center"/>
        <w:tblLayout w:type="fixed"/>
        <w:tblCellMar>
          <w:top w:w="0" w:type="dxa"/>
          <w:left w:w="108" w:type="dxa"/>
          <w:bottom w:w="0" w:type="dxa"/>
          <w:right w:w="108" w:type="dxa"/>
        </w:tblCellMar>
      </w:tblPr>
      <w:tblGrid>
        <w:gridCol w:w="5400"/>
      </w:tblGrid>
      <w:tr w14:paraId="490FC0CF">
        <w:trPr>
          <w:trHeight w:val="446" w:hRule="atLeast"/>
          <w:jc w:val="center"/>
        </w:trPr>
        <w:tc>
          <w:tcPr>
            <w:tcW w:w="5400" w:type="dxa"/>
          </w:tcPr>
          <w:p w14:paraId="73D3F1B2">
            <w:pPr>
              <w:tabs>
                <w:tab w:val="left" w:pos="720"/>
              </w:tabs>
              <w:ind w:firstLine="723"/>
              <w:rPr>
                <w:rFonts w:ascii="宋体" w:hAnsi="宋体" w:cs="宋体"/>
                <w:b/>
                <w:color w:val="auto"/>
                <w:sz w:val="36"/>
                <w:szCs w:val="36"/>
                <w:highlight w:val="none"/>
                <w:u w:val="single"/>
              </w:rPr>
            </w:pPr>
            <w:r>
              <w:rPr>
                <w:rFonts w:hint="eastAsia" w:ascii="宋体" w:hAnsi="宋体" w:cs="宋体"/>
                <w:b/>
                <w:color w:val="auto"/>
                <w:sz w:val="36"/>
                <w:szCs w:val="36"/>
                <w:highlight w:val="none"/>
              </w:rPr>
              <w:t>采购编号：</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rPr>
              <w:t xml:space="preserve">           </w:t>
            </w:r>
          </w:p>
        </w:tc>
      </w:tr>
      <w:tr w14:paraId="61A87666">
        <w:tblPrEx>
          <w:tblCellMar>
            <w:top w:w="0" w:type="dxa"/>
            <w:left w:w="108" w:type="dxa"/>
            <w:bottom w:w="0" w:type="dxa"/>
            <w:right w:w="108" w:type="dxa"/>
          </w:tblCellMar>
        </w:tblPrEx>
        <w:trPr>
          <w:trHeight w:val="446" w:hRule="atLeast"/>
          <w:jc w:val="center"/>
        </w:trPr>
        <w:tc>
          <w:tcPr>
            <w:tcW w:w="5400" w:type="dxa"/>
          </w:tcPr>
          <w:p w14:paraId="6CC46F9B">
            <w:pPr>
              <w:tabs>
                <w:tab w:val="left" w:pos="720"/>
              </w:tabs>
              <w:ind w:firstLine="723"/>
              <w:rPr>
                <w:rFonts w:ascii="宋体" w:hAnsi="宋体" w:cs="宋体"/>
                <w:b/>
                <w:color w:val="auto"/>
                <w:sz w:val="36"/>
                <w:szCs w:val="36"/>
                <w:highlight w:val="none"/>
                <w:u w:val="single"/>
              </w:rPr>
            </w:pPr>
          </w:p>
        </w:tc>
      </w:tr>
      <w:tr w14:paraId="126C37EE">
        <w:tblPrEx>
          <w:tblCellMar>
            <w:top w:w="0" w:type="dxa"/>
            <w:left w:w="108" w:type="dxa"/>
            <w:bottom w:w="0" w:type="dxa"/>
            <w:right w:w="108" w:type="dxa"/>
          </w:tblCellMar>
        </w:tblPrEx>
        <w:trPr>
          <w:trHeight w:val="446" w:hRule="atLeast"/>
          <w:jc w:val="center"/>
        </w:trPr>
        <w:tc>
          <w:tcPr>
            <w:tcW w:w="5400" w:type="dxa"/>
          </w:tcPr>
          <w:p w14:paraId="32362692">
            <w:pPr>
              <w:tabs>
                <w:tab w:val="left" w:pos="720"/>
              </w:tabs>
              <w:ind w:firstLine="723"/>
              <w:rPr>
                <w:rFonts w:ascii="宋体" w:hAnsi="宋体" w:cs="宋体"/>
                <w:b/>
                <w:color w:val="auto"/>
                <w:sz w:val="36"/>
                <w:szCs w:val="36"/>
                <w:highlight w:val="none"/>
              </w:rPr>
            </w:pPr>
            <w:r>
              <w:rPr>
                <w:rFonts w:hint="eastAsia" w:ascii="宋体" w:hAnsi="宋体" w:cs="宋体"/>
                <w:b/>
                <w:color w:val="auto"/>
                <w:sz w:val="36"/>
                <w:szCs w:val="36"/>
                <w:highlight w:val="none"/>
              </w:rPr>
              <w:t>项目名称：</w:t>
            </w:r>
            <w:r>
              <w:rPr>
                <w:rFonts w:hint="eastAsia" w:ascii="宋体" w:hAnsi="宋体" w:cs="宋体"/>
                <w:b/>
                <w:color w:val="auto"/>
                <w:sz w:val="36"/>
                <w:szCs w:val="36"/>
                <w:highlight w:val="none"/>
                <w:u w:val="single"/>
              </w:rPr>
              <w:t xml:space="preserve">                           </w:t>
            </w:r>
          </w:p>
        </w:tc>
      </w:tr>
      <w:tr w14:paraId="5486EED0">
        <w:tblPrEx>
          <w:tblCellMar>
            <w:top w:w="0" w:type="dxa"/>
            <w:left w:w="108" w:type="dxa"/>
            <w:bottom w:w="0" w:type="dxa"/>
            <w:right w:w="108" w:type="dxa"/>
          </w:tblCellMar>
        </w:tblPrEx>
        <w:trPr>
          <w:trHeight w:val="460" w:hRule="atLeast"/>
          <w:jc w:val="center"/>
        </w:trPr>
        <w:tc>
          <w:tcPr>
            <w:tcW w:w="5400" w:type="dxa"/>
          </w:tcPr>
          <w:p w14:paraId="3D07C774">
            <w:pPr>
              <w:tabs>
                <w:tab w:val="left" w:pos="720"/>
              </w:tabs>
              <w:ind w:firstLine="562"/>
              <w:rPr>
                <w:rFonts w:ascii="宋体" w:hAnsi="宋体" w:cs="宋体"/>
                <w:b/>
                <w:color w:val="auto"/>
                <w:sz w:val="28"/>
                <w:szCs w:val="28"/>
                <w:highlight w:val="none"/>
              </w:rPr>
            </w:pPr>
          </w:p>
        </w:tc>
      </w:tr>
    </w:tbl>
    <w:p w14:paraId="2CE6D9A4">
      <w:pPr>
        <w:tabs>
          <w:tab w:val="left" w:pos="720"/>
        </w:tabs>
        <w:rPr>
          <w:rFonts w:ascii="宋体" w:hAnsi="宋体" w:cs="宋体"/>
          <w:color w:val="auto"/>
          <w:sz w:val="28"/>
          <w:szCs w:val="28"/>
          <w:highlight w:val="none"/>
        </w:rPr>
      </w:pPr>
    </w:p>
    <w:p w14:paraId="1793904F">
      <w:pPr>
        <w:tabs>
          <w:tab w:val="left" w:pos="720"/>
        </w:tabs>
        <w:rPr>
          <w:rFonts w:ascii="宋体" w:hAnsi="宋体" w:cs="宋体"/>
          <w:color w:val="auto"/>
          <w:sz w:val="28"/>
          <w:szCs w:val="28"/>
          <w:highlight w:val="none"/>
        </w:rPr>
      </w:pPr>
    </w:p>
    <w:p w14:paraId="0C9666FD">
      <w:pPr>
        <w:pStyle w:val="13"/>
        <w:spacing w:before="317" w:beforeLines="100" w:after="158" w:afterLines="50"/>
        <w:ind w:firstLine="480"/>
        <w:rPr>
          <w:rFonts w:hAnsi="宋体" w:cs="宋体"/>
          <w:color w:val="auto"/>
          <w:szCs w:val="24"/>
          <w:highlight w:val="none"/>
        </w:rPr>
      </w:pPr>
      <w:r>
        <w:rPr>
          <w:rFonts w:hint="eastAsia" w:hAnsi="宋体" w:cs="宋体"/>
          <w:color w:val="auto"/>
          <w:szCs w:val="24"/>
          <w:highlight w:val="none"/>
        </w:rPr>
        <w:t>甲方：（采购人全称）</w:t>
      </w:r>
    </w:p>
    <w:p w14:paraId="5948F68A">
      <w:pPr>
        <w:pStyle w:val="13"/>
        <w:spacing w:before="317" w:beforeLines="100" w:after="158" w:afterLines="50"/>
        <w:ind w:firstLine="480"/>
        <w:rPr>
          <w:rFonts w:hAnsi="宋体" w:cs="宋体"/>
          <w:color w:val="auto"/>
          <w:szCs w:val="24"/>
          <w:highlight w:val="none"/>
        </w:rPr>
      </w:pPr>
      <w:r>
        <w:rPr>
          <w:rFonts w:hint="eastAsia" w:hAnsi="宋体" w:cs="宋体"/>
          <w:color w:val="auto"/>
          <w:szCs w:val="24"/>
          <w:highlight w:val="none"/>
        </w:rPr>
        <w:t>乙方：（供应商全称）</w:t>
      </w:r>
    </w:p>
    <w:p w14:paraId="1022A349">
      <w:pPr>
        <w:pStyle w:val="13"/>
        <w:spacing w:before="317" w:beforeLines="100" w:after="158" w:afterLines="50"/>
        <w:ind w:firstLine="480"/>
        <w:rPr>
          <w:rFonts w:hAnsi="宋体" w:cs="宋体"/>
          <w:color w:val="auto"/>
          <w:szCs w:val="24"/>
          <w:highlight w:val="none"/>
        </w:rPr>
      </w:pPr>
      <w:r>
        <w:rPr>
          <w:rFonts w:hint="eastAsia" w:hAnsi="宋体" w:cs="宋体"/>
          <w:color w:val="auto"/>
          <w:szCs w:val="24"/>
          <w:highlight w:val="none"/>
        </w:rPr>
        <w:t xml:space="preserve">    甲、乙双方根据</w:t>
      </w:r>
      <w:r>
        <w:rPr>
          <w:rFonts w:hint="eastAsia" w:hAnsi="宋体" w:cs="宋体"/>
          <w:color w:val="auto"/>
          <w:szCs w:val="24"/>
          <w:highlight w:val="none"/>
          <w:u w:val="single"/>
        </w:rPr>
        <w:t xml:space="preserve">     项目名称       </w:t>
      </w:r>
      <w:r>
        <w:rPr>
          <w:rFonts w:hint="eastAsia" w:hAnsi="宋体" w:cs="宋体"/>
          <w:color w:val="auto"/>
          <w:szCs w:val="24"/>
          <w:highlight w:val="none"/>
        </w:rPr>
        <w:t>项目（交易编号：  ,）的</w:t>
      </w:r>
      <w:r>
        <w:rPr>
          <w:rFonts w:hint="eastAsia" w:hAnsi="宋体" w:cs="宋体"/>
          <w:color w:val="auto"/>
          <w:szCs w:val="24"/>
          <w:highlight w:val="none"/>
          <w:u w:val="single"/>
        </w:rPr>
        <w:t xml:space="preserve"> 竞争性磋商 </w:t>
      </w:r>
      <w:r>
        <w:rPr>
          <w:rFonts w:hint="eastAsia" w:hAnsi="宋体" w:cs="宋体"/>
          <w:color w:val="auto"/>
          <w:szCs w:val="24"/>
          <w:highlight w:val="none"/>
        </w:rPr>
        <w:t>结果，甲方接受乙方为本项目的供应商。甲乙双方根据本项目采购文件、竞争性磋商响应文件及招投标过程中确定的有关内容，签署本合同。</w:t>
      </w:r>
    </w:p>
    <w:p w14:paraId="1B7EFCD9">
      <w:pPr>
        <w:ind w:firstLine="482"/>
        <w:rPr>
          <w:rFonts w:ascii="宋体" w:hAnsi="宋体" w:cs="宋体"/>
          <w:b/>
          <w:color w:val="auto"/>
          <w:highlight w:val="none"/>
        </w:rPr>
      </w:pPr>
      <w:r>
        <w:rPr>
          <w:rFonts w:hint="eastAsia" w:ascii="宋体" w:hAnsi="宋体" w:cs="宋体"/>
          <w:b/>
          <w:color w:val="auto"/>
          <w:highlight w:val="none"/>
        </w:rPr>
        <w:t>一、合同金额</w:t>
      </w:r>
    </w:p>
    <w:p w14:paraId="7AB4FD93">
      <w:pPr>
        <w:pStyle w:val="13"/>
        <w:ind w:firstLine="480"/>
        <w:rPr>
          <w:rFonts w:hAnsi="宋体" w:cs="宋体"/>
          <w:color w:val="auto"/>
          <w:szCs w:val="24"/>
          <w:highlight w:val="none"/>
        </w:rPr>
      </w:pPr>
      <w:r>
        <w:rPr>
          <w:rFonts w:hint="eastAsia" w:hAnsi="宋体" w:cs="宋体"/>
          <w:color w:val="auto"/>
          <w:szCs w:val="24"/>
          <w:highlight w:val="none"/>
        </w:rPr>
        <w:t>合同金额为（大写）：_________________元（￥_______________元）人民币。</w:t>
      </w:r>
    </w:p>
    <w:p w14:paraId="0B2FE04B">
      <w:pPr>
        <w:ind w:firstLine="482"/>
        <w:rPr>
          <w:rFonts w:ascii="宋体" w:hAnsi="宋体" w:cs="宋体"/>
          <w:b/>
          <w:color w:val="auto"/>
          <w:highlight w:val="none"/>
        </w:rPr>
      </w:pPr>
      <w:r>
        <w:rPr>
          <w:rFonts w:hint="eastAsia" w:ascii="宋体" w:hAnsi="宋体" w:cs="宋体"/>
          <w:b/>
          <w:color w:val="auto"/>
          <w:highlight w:val="none"/>
        </w:rPr>
        <w:t>二、服务范围</w:t>
      </w:r>
    </w:p>
    <w:p w14:paraId="245FF09B">
      <w:pPr>
        <w:ind w:firstLine="480"/>
        <w:rPr>
          <w:rFonts w:ascii="宋体" w:hAnsi="宋体" w:cs="宋体"/>
          <w:color w:val="auto"/>
          <w:highlight w:val="none"/>
        </w:rPr>
      </w:pPr>
      <w:r>
        <w:rPr>
          <w:rFonts w:hint="eastAsia" w:ascii="宋体" w:hAnsi="宋体" w:cs="宋体"/>
          <w:color w:val="auto"/>
          <w:highlight w:val="none"/>
        </w:rPr>
        <w:t>　　甲方聘请乙方提供以下服务：</w:t>
      </w:r>
    </w:p>
    <w:p w14:paraId="4E8BFFE7">
      <w:pPr>
        <w:ind w:firstLine="480"/>
        <w:rPr>
          <w:rFonts w:ascii="宋体" w:hAnsi="宋体" w:cs="宋体"/>
          <w:color w:val="auto"/>
          <w:highlight w:val="none"/>
          <w:u w:val="single"/>
        </w:rPr>
      </w:pPr>
      <w:r>
        <w:rPr>
          <w:rFonts w:hint="eastAsia" w:ascii="宋体" w:hAnsi="宋体" w:cs="宋体"/>
          <w:color w:val="auto"/>
          <w:highlight w:val="none"/>
        </w:rPr>
        <w:t>　　1．本合同项下的服务指</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4E46FAA">
      <w:pPr>
        <w:ind w:firstLine="480"/>
        <w:rPr>
          <w:rFonts w:ascii="宋体" w:hAnsi="宋体" w:cs="宋体"/>
          <w:color w:val="auto"/>
          <w:highlight w:val="none"/>
        </w:rPr>
      </w:pPr>
      <w:r>
        <w:rPr>
          <w:rFonts w:hint="eastAsia" w:ascii="宋体" w:hAnsi="宋体" w:cs="宋体"/>
          <w:color w:val="auto"/>
          <w:highlight w:val="none"/>
        </w:rPr>
        <w:t>　　2．......</w:t>
      </w:r>
    </w:p>
    <w:p w14:paraId="31E1C67D">
      <w:pPr>
        <w:ind w:firstLine="852" w:firstLineChars="400"/>
        <w:rPr>
          <w:rFonts w:ascii="宋体" w:hAnsi="宋体" w:cs="宋体"/>
          <w:color w:val="auto"/>
          <w:highlight w:val="none"/>
        </w:rPr>
      </w:pPr>
      <w:r>
        <w:rPr>
          <w:rFonts w:hint="eastAsia" w:ascii="宋体" w:hAnsi="宋体" w:cs="宋体"/>
          <w:color w:val="auto"/>
          <w:highlight w:val="none"/>
        </w:rPr>
        <w:t>3. ......</w:t>
      </w:r>
    </w:p>
    <w:p w14:paraId="7B1B4C2D">
      <w:pPr>
        <w:ind w:firstLine="482"/>
        <w:rPr>
          <w:rFonts w:ascii="宋体" w:hAnsi="宋体" w:cs="宋体"/>
          <w:b/>
          <w:color w:val="auto"/>
          <w:highlight w:val="none"/>
        </w:rPr>
      </w:pPr>
      <w:r>
        <w:rPr>
          <w:rFonts w:hint="eastAsia" w:ascii="宋体" w:hAnsi="宋体" w:cs="宋体"/>
          <w:b/>
          <w:color w:val="auto"/>
          <w:highlight w:val="none"/>
        </w:rPr>
        <w:t>三、服务质量要求</w:t>
      </w:r>
    </w:p>
    <w:p w14:paraId="0CDA97C4">
      <w:pPr>
        <w:ind w:firstLine="482"/>
        <w:rPr>
          <w:rFonts w:ascii="宋体" w:hAnsi="宋体" w:cs="宋体"/>
          <w:b/>
          <w:color w:val="auto"/>
          <w:highlight w:val="none"/>
        </w:rPr>
      </w:pPr>
      <w:r>
        <w:rPr>
          <w:rFonts w:hint="eastAsia" w:ascii="宋体" w:hAnsi="宋体" w:cs="宋体"/>
          <w:b/>
          <w:color w:val="auto"/>
          <w:highlight w:val="none"/>
        </w:rPr>
        <w:t>四、甲方乙方的权利和义务</w:t>
      </w:r>
    </w:p>
    <w:p w14:paraId="254A4617">
      <w:pPr>
        <w:ind w:firstLine="480"/>
        <w:rPr>
          <w:rFonts w:ascii="宋体" w:hAnsi="宋体" w:cs="宋体"/>
          <w:color w:val="auto"/>
          <w:highlight w:val="none"/>
        </w:rPr>
      </w:pPr>
      <w:r>
        <w:rPr>
          <w:rFonts w:hint="eastAsia" w:ascii="宋体" w:hAnsi="宋体" w:cs="宋体"/>
          <w:color w:val="auto"/>
          <w:highlight w:val="none"/>
        </w:rPr>
        <w:t>　　（一） 甲方的权利和义务</w:t>
      </w:r>
    </w:p>
    <w:p w14:paraId="2AD001B9">
      <w:pPr>
        <w:ind w:left="552" w:firstLine="480"/>
        <w:rPr>
          <w:rFonts w:ascii="宋体" w:hAnsi="宋体" w:cs="宋体"/>
          <w:color w:val="auto"/>
          <w:highlight w:val="none"/>
        </w:rPr>
      </w:pPr>
      <w:r>
        <w:rPr>
          <w:rFonts w:hint="eastAsia" w:ascii="宋体" w:hAnsi="宋体" w:cs="宋体"/>
          <w:color w:val="auto"/>
          <w:highlight w:val="none"/>
        </w:rPr>
        <w:t>（二）乙方的权利和义务</w:t>
      </w:r>
    </w:p>
    <w:p w14:paraId="062AB598">
      <w:pPr>
        <w:ind w:firstLine="482"/>
        <w:rPr>
          <w:rFonts w:ascii="宋体" w:hAnsi="宋体" w:cs="宋体"/>
          <w:b/>
          <w:color w:val="auto"/>
          <w:highlight w:val="none"/>
        </w:rPr>
      </w:pPr>
      <w:r>
        <w:rPr>
          <w:rFonts w:hint="eastAsia" w:ascii="宋体" w:hAnsi="宋体" w:cs="宋体"/>
          <w:b/>
          <w:color w:val="auto"/>
          <w:highlight w:val="none"/>
        </w:rPr>
        <w:t>五、服务期间（项目完成期限）</w:t>
      </w:r>
    </w:p>
    <w:p w14:paraId="2911E2D4">
      <w:pPr>
        <w:ind w:firstLine="480"/>
        <w:rPr>
          <w:rFonts w:ascii="宋体" w:hAnsi="宋体" w:cs="宋体"/>
          <w:color w:val="auto"/>
          <w:highlight w:val="none"/>
        </w:rPr>
      </w:pPr>
      <w:r>
        <w:rPr>
          <w:rFonts w:hint="eastAsia" w:ascii="宋体" w:hAnsi="宋体" w:cs="宋体"/>
          <w:color w:val="auto"/>
          <w:highlight w:val="none"/>
        </w:rPr>
        <w:t>委托服务期间自______年______月至______年______月止。</w:t>
      </w:r>
    </w:p>
    <w:p w14:paraId="451DBAB5">
      <w:pPr>
        <w:ind w:firstLine="482"/>
        <w:rPr>
          <w:rFonts w:ascii="宋体" w:hAnsi="宋体" w:cs="宋体"/>
          <w:b/>
          <w:color w:val="auto"/>
          <w:highlight w:val="none"/>
        </w:rPr>
      </w:pPr>
      <w:r>
        <w:rPr>
          <w:rFonts w:hint="eastAsia" w:ascii="宋体" w:hAnsi="宋体" w:cs="宋体"/>
          <w:b/>
          <w:color w:val="auto"/>
          <w:highlight w:val="none"/>
        </w:rPr>
        <w:t>六、验收及评价考核</w:t>
      </w:r>
    </w:p>
    <w:p w14:paraId="57395590">
      <w:pPr>
        <w:ind w:firstLine="482"/>
        <w:rPr>
          <w:rFonts w:ascii="宋体" w:hAnsi="宋体" w:cs="宋体"/>
          <w:color w:val="auto"/>
          <w:highlight w:val="none"/>
        </w:rPr>
      </w:pPr>
      <w:r>
        <w:rPr>
          <w:rFonts w:hint="eastAsia" w:ascii="宋体" w:hAnsi="宋体" w:cs="宋体"/>
          <w:b/>
          <w:color w:val="auto"/>
          <w:highlight w:val="none"/>
        </w:rPr>
        <w:t>七、付款方式</w:t>
      </w:r>
    </w:p>
    <w:p w14:paraId="7C41E595">
      <w:pPr>
        <w:ind w:firstLine="480"/>
        <w:rPr>
          <w:rFonts w:ascii="宋体" w:hAnsi="宋体" w:cs="宋体"/>
          <w:color w:val="auto"/>
          <w:highlight w:val="none"/>
        </w:rPr>
      </w:pPr>
      <w:r>
        <w:rPr>
          <w:rFonts w:hint="eastAsia" w:ascii="宋体" w:hAnsi="宋体" w:cs="宋体"/>
          <w:color w:val="auto"/>
          <w:highlight w:val="none"/>
        </w:rPr>
        <w:t>由甲方按下列程序在</w:t>
      </w:r>
      <w:r>
        <w:rPr>
          <w:rFonts w:hint="eastAsia" w:ascii="宋体" w:hAnsi="宋体" w:cs="宋体"/>
          <w:color w:val="auto"/>
          <w:highlight w:val="none"/>
          <w:u w:val="single"/>
        </w:rPr>
        <w:t xml:space="preserve">        </w:t>
      </w:r>
      <w:r>
        <w:rPr>
          <w:rFonts w:hint="eastAsia" w:ascii="宋体" w:hAnsi="宋体" w:cs="宋体"/>
          <w:color w:val="auto"/>
          <w:highlight w:val="none"/>
        </w:rPr>
        <w:t>内付款。</w:t>
      </w:r>
    </w:p>
    <w:p w14:paraId="429119C1">
      <w:pPr>
        <w:ind w:firstLine="480"/>
        <w:rPr>
          <w:rFonts w:ascii="宋体" w:hAnsi="宋体" w:cs="宋体"/>
          <w:color w:val="auto"/>
          <w:highlight w:val="none"/>
        </w:rPr>
      </w:pPr>
      <w:r>
        <w:rPr>
          <w:rFonts w:hint="eastAsia" w:ascii="宋体" w:hAnsi="宋体" w:cs="宋体"/>
          <w:color w:val="auto"/>
          <w:highlight w:val="none"/>
        </w:rPr>
        <w:t>1)在合同实施及服务人员到达服务地后__天内，甲方应将第一次付　　款总服务费的__(-%)付给乙方。</w:t>
      </w:r>
    </w:p>
    <w:p w14:paraId="0A51494A">
      <w:pPr>
        <w:ind w:firstLine="480"/>
        <w:rPr>
          <w:rFonts w:ascii="宋体" w:hAnsi="宋体" w:cs="宋体"/>
          <w:color w:val="auto"/>
          <w:highlight w:val="none"/>
        </w:rPr>
      </w:pPr>
      <w:r>
        <w:rPr>
          <w:rFonts w:hint="eastAsia" w:ascii="宋体" w:hAnsi="宋体" w:cs="宋体"/>
          <w:color w:val="auto"/>
          <w:highlight w:val="none"/>
        </w:rPr>
        <w:t>2)第二次付款额应为总服务费的__(-%)，甲方应在乙方已经准备好，并递交了服务报告及其它相关文件，而这些报告和文件符合合同附件上的要求并被甲方验收后付给乙方。</w:t>
      </w:r>
    </w:p>
    <w:p w14:paraId="13C5D3FF">
      <w:pPr>
        <w:ind w:firstLine="480"/>
        <w:rPr>
          <w:rFonts w:ascii="宋体" w:hAnsi="宋体" w:cs="宋体"/>
          <w:color w:val="auto"/>
          <w:highlight w:val="none"/>
        </w:rPr>
      </w:pPr>
      <w:r>
        <w:rPr>
          <w:rFonts w:hint="eastAsia" w:ascii="宋体" w:hAnsi="宋体" w:cs="宋体"/>
          <w:color w:val="auto"/>
          <w:highlight w:val="none"/>
        </w:rPr>
        <w:t>3)最后一次付款额应为总服务费的__(-%)，甲方应在乙方递交了服务总结报告和说明并完全履行合同完毕</w:t>
      </w:r>
      <w:r>
        <w:rPr>
          <w:rFonts w:hint="eastAsia" w:ascii="宋体" w:hAnsi="宋体" w:cs="宋体"/>
          <w:color w:val="auto"/>
          <w:highlight w:val="none"/>
          <w:u w:val="single"/>
        </w:rPr>
        <w:t xml:space="preserve">    </w:t>
      </w:r>
      <w:r>
        <w:rPr>
          <w:rFonts w:hint="eastAsia" w:ascii="宋体" w:hAnsi="宋体" w:cs="宋体"/>
          <w:color w:val="auto"/>
          <w:highlight w:val="none"/>
        </w:rPr>
        <w:t>日内付给乙方。</w:t>
      </w:r>
    </w:p>
    <w:p w14:paraId="735C5C69">
      <w:pPr>
        <w:tabs>
          <w:tab w:val="left" w:pos="900"/>
        </w:tabs>
        <w:ind w:firstLine="482"/>
        <w:rPr>
          <w:rFonts w:ascii="宋体" w:hAnsi="宋体" w:cs="宋体"/>
          <w:b/>
          <w:color w:val="auto"/>
          <w:highlight w:val="none"/>
        </w:rPr>
      </w:pPr>
      <w:r>
        <w:rPr>
          <w:rFonts w:hint="eastAsia" w:ascii="宋体" w:hAnsi="宋体" w:cs="宋体"/>
          <w:b/>
          <w:color w:val="auto"/>
          <w:highlight w:val="none"/>
        </w:rPr>
        <w:t>八、知识产权产权归属</w:t>
      </w:r>
    </w:p>
    <w:p w14:paraId="11E12646">
      <w:pPr>
        <w:tabs>
          <w:tab w:val="left" w:pos="900"/>
        </w:tabs>
        <w:ind w:firstLine="482"/>
        <w:rPr>
          <w:rFonts w:ascii="宋体" w:hAnsi="宋体" w:cs="宋体"/>
          <w:b/>
          <w:color w:val="auto"/>
          <w:highlight w:val="none"/>
        </w:rPr>
      </w:pPr>
      <w:r>
        <w:rPr>
          <w:rFonts w:hint="eastAsia" w:ascii="宋体" w:hAnsi="宋体" w:cs="宋体"/>
          <w:b/>
          <w:color w:val="auto"/>
          <w:highlight w:val="none"/>
        </w:rPr>
        <w:t>九、保密</w:t>
      </w:r>
    </w:p>
    <w:p w14:paraId="4546F3B1">
      <w:pPr>
        <w:tabs>
          <w:tab w:val="left" w:pos="900"/>
        </w:tabs>
        <w:ind w:firstLine="482"/>
        <w:rPr>
          <w:rFonts w:ascii="宋体" w:hAnsi="宋体" w:cs="宋体"/>
          <w:b/>
          <w:color w:val="auto"/>
          <w:highlight w:val="none"/>
        </w:rPr>
      </w:pPr>
      <w:r>
        <w:rPr>
          <w:rFonts w:hint="eastAsia" w:ascii="宋体" w:hAnsi="宋体" w:cs="宋体"/>
          <w:b/>
          <w:color w:val="auto"/>
          <w:highlight w:val="none"/>
        </w:rPr>
        <w:t>十、违约责任与赔偿损失</w:t>
      </w:r>
    </w:p>
    <w:p w14:paraId="20C1A1E7">
      <w:pPr>
        <w:tabs>
          <w:tab w:val="left" w:pos="900"/>
        </w:tabs>
        <w:ind w:firstLine="480"/>
        <w:rPr>
          <w:rFonts w:ascii="宋体" w:hAnsi="宋体" w:cs="宋体"/>
          <w:color w:val="auto"/>
          <w:highlight w:val="none"/>
        </w:rPr>
      </w:pPr>
      <w:r>
        <w:rPr>
          <w:rFonts w:hint="eastAsia" w:ascii="宋体" w:hAnsi="宋体" w:cs="宋体"/>
          <w:color w:val="auto"/>
          <w:highlight w:val="none"/>
        </w:rPr>
        <w:t>1) 乙方提供的服务不符合采购文件、报价文件或本合同规定的，甲方有权拒收，并且乙方须向甲方方支付本合同总价5%的违约金。</w:t>
      </w:r>
    </w:p>
    <w:p w14:paraId="57F7649E">
      <w:pPr>
        <w:tabs>
          <w:tab w:val="left" w:pos="720"/>
          <w:tab w:val="left" w:pos="900"/>
        </w:tabs>
        <w:ind w:right="210" w:firstLine="480"/>
        <w:rPr>
          <w:rFonts w:ascii="宋体" w:hAnsi="宋体" w:cs="宋体"/>
          <w:color w:val="auto"/>
          <w:highlight w:val="none"/>
        </w:rPr>
      </w:pPr>
      <w:r>
        <w:rPr>
          <w:rFonts w:hint="eastAsia" w:ascii="宋体" w:hAnsi="宋体" w:cs="宋体"/>
          <w:color w:val="auto"/>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460BB1DC">
      <w:pPr>
        <w:ind w:firstLine="480"/>
        <w:rPr>
          <w:rFonts w:ascii="宋体" w:hAnsi="宋体" w:cs="宋体"/>
          <w:color w:val="auto"/>
          <w:highlight w:val="none"/>
        </w:rPr>
      </w:pPr>
      <w:r>
        <w:rPr>
          <w:rFonts w:hint="eastAsia" w:ascii="宋体" w:hAnsi="宋体" w:cs="宋体"/>
          <w:color w:val="auto"/>
          <w:highlight w:val="none"/>
        </w:rPr>
        <w:t>3) 甲方无正当理由拒收接受服务，到期拒付服务款项的，甲方向乙方偿付本合同总的5%的违约金。甲方人逾期付款，则每日按本合同总价的3‰向乙方偿付违约金。</w:t>
      </w:r>
    </w:p>
    <w:p w14:paraId="40B9A49B">
      <w:pPr>
        <w:ind w:firstLine="480"/>
        <w:rPr>
          <w:rFonts w:ascii="宋体" w:hAnsi="宋体" w:cs="宋体"/>
          <w:bCs/>
          <w:color w:val="auto"/>
          <w:highlight w:val="none"/>
        </w:rPr>
      </w:pPr>
      <w:r>
        <w:rPr>
          <w:rFonts w:hint="eastAsia" w:ascii="宋体" w:hAnsi="宋体" w:cs="宋体"/>
          <w:bCs/>
          <w:color w:val="auto"/>
          <w:highlight w:val="none"/>
        </w:rPr>
        <w:t>4) 其它违约责任按《中华人民共和国</w:t>
      </w:r>
      <w:r>
        <w:rPr>
          <w:rFonts w:hint="eastAsia" w:ascii="宋体" w:hAnsi="宋体" w:cs="宋体"/>
          <w:bCs/>
          <w:color w:val="auto"/>
          <w:highlight w:val="none"/>
          <w:lang w:val="en-US" w:eastAsia="zh-CN"/>
        </w:rPr>
        <w:t>民法典</w:t>
      </w:r>
      <w:r>
        <w:rPr>
          <w:rFonts w:hint="eastAsia" w:ascii="宋体" w:hAnsi="宋体" w:cs="宋体"/>
          <w:bCs/>
          <w:color w:val="auto"/>
          <w:highlight w:val="none"/>
        </w:rPr>
        <w:t>》处理。</w:t>
      </w:r>
    </w:p>
    <w:p w14:paraId="7E94CFA2">
      <w:pPr>
        <w:ind w:firstLine="482"/>
        <w:rPr>
          <w:rFonts w:ascii="宋体" w:hAnsi="宋体" w:cs="宋体"/>
          <w:b/>
          <w:color w:val="auto"/>
          <w:highlight w:val="none"/>
        </w:rPr>
      </w:pPr>
      <w:r>
        <w:rPr>
          <w:rFonts w:hint="eastAsia" w:ascii="宋体" w:hAnsi="宋体" w:cs="宋体"/>
          <w:b/>
          <w:color w:val="auto"/>
          <w:highlight w:val="none"/>
        </w:rPr>
        <w:t>十一、争端的解决</w:t>
      </w:r>
    </w:p>
    <w:p w14:paraId="76550085">
      <w:pPr>
        <w:ind w:firstLine="480"/>
        <w:rPr>
          <w:rFonts w:ascii="宋体" w:hAnsi="宋体" w:cs="宋体"/>
          <w:color w:val="auto"/>
          <w:highlight w:val="none"/>
        </w:rPr>
      </w:pPr>
      <w:r>
        <w:rPr>
          <w:rFonts w:hint="eastAsia" w:ascii="宋体" w:hAnsi="宋体" w:cs="宋体"/>
          <w:color w:val="auto"/>
          <w:highlight w:val="none"/>
        </w:rPr>
        <w:t>1)合同执行过程中发生的任何争议，如双方不能通过友好协商解决，按相关法律法规处理。</w:t>
      </w:r>
    </w:p>
    <w:p w14:paraId="66FD6F57">
      <w:pPr>
        <w:ind w:firstLine="480"/>
        <w:rPr>
          <w:rFonts w:ascii="宋体" w:hAnsi="宋体" w:cs="宋体"/>
          <w:color w:val="auto"/>
          <w:highlight w:val="none"/>
        </w:rPr>
      </w:pPr>
      <w:r>
        <w:rPr>
          <w:rFonts w:hint="eastAsia" w:ascii="宋体" w:hAnsi="宋体" w:cs="宋体"/>
          <w:color w:val="auto"/>
          <w:highlight w:val="none"/>
        </w:rPr>
        <w:t>2）……</w:t>
      </w:r>
    </w:p>
    <w:p w14:paraId="21BB3499">
      <w:pPr>
        <w:ind w:firstLine="482"/>
        <w:rPr>
          <w:rFonts w:ascii="宋体" w:hAnsi="宋体" w:cs="宋体"/>
          <w:color w:val="auto"/>
          <w:highlight w:val="none"/>
        </w:rPr>
      </w:pPr>
      <w:r>
        <w:rPr>
          <w:rFonts w:hint="eastAsia" w:ascii="宋体" w:hAnsi="宋体" w:cs="宋体"/>
          <w:b/>
          <w:color w:val="auto"/>
          <w:highlight w:val="none"/>
        </w:rPr>
        <w:t>十二、不可抗力：</w:t>
      </w:r>
      <w:r>
        <w:rPr>
          <w:rFonts w:hint="eastAsia" w:ascii="宋体" w:hAnsi="宋体" w:cs="宋体"/>
          <w:color w:val="auto"/>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6426965">
      <w:pPr>
        <w:ind w:firstLine="482"/>
        <w:rPr>
          <w:rFonts w:ascii="宋体" w:hAnsi="宋体" w:cs="宋体"/>
          <w:color w:val="auto"/>
          <w:highlight w:val="none"/>
        </w:rPr>
      </w:pPr>
      <w:r>
        <w:rPr>
          <w:rFonts w:hint="eastAsia" w:ascii="宋体" w:hAnsi="宋体" w:cs="宋体"/>
          <w:b/>
          <w:color w:val="auto"/>
          <w:highlight w:val="none"/>
        </w:rPr>
        <w:t>十三、税费：</w:t>
      </w:r>
      <w:r>
        <w:rPr>
          <w:rFonts w:hint="eastAsia" w:ascii="宋体" w:hAnsi="宋体" w:cs="宋体"/>
          <w:color w:val="auto"/>
          <w:highlight w:val="none"/>
        </w:rPr>
        <w:t>在中国境内、外发生的与本合同执行有关的一切税费均由乙方负担。</w:t>
      </w:r>
    </w:p>
    <w:p w14:paraId="1C3F2FF6">
      <w:pPr>
        <w:ind w:firstLine="482"/>
        <w:rPr>
          <w:rFonts w:ascii="宋体" w:hAnsi="宋体" w:cs="宋体"/>
          <w:b/>
          <w:color w:val="auto"/>
          <w:highlight w:val="none"/>
        </w:rPr>
      </w:pPr>
      <w:r>
        <w:rPr>
          <w:rFonts w:hint="eastAsia" w:ascii="宋体" w:hAnsi="宋体" w:cs="宋体"/>
          <w:b/>
          <w:color w:val="auto"/>
          <w:highlight w:val="none"/>
        </w:rPr>
        <w:t>十四、其它</w:t>
      </w:r>
    </w:p>
    <w:p w14:paraId="3B5BB6DE">
      <w:pPr>
        <w:ind w:firstLine="480"/>
        <w:rPr>
          <w:rFonts w:ascii="宋体" w:hAnsi="宋体" w:cs="宋体"/>
          <w:b/>
          <w:color w:val="auto"/>
          <w:highlight w:val="none"/>
        </w:rPr>
      </w:pPr>
      <w:r>
        <w:rPr>
          <w:rFonts w:hint="eastAsia" w:ascii="宋体" w:hAnsi="宋体" w:cs="宋体"/>
          <w:color w:val="auto"/>
          <w:highlight w:val="none"/>
        </w:rPr>
        <w:t>1) 本合同所有附件、采购文件、竞争性磋商响应文件、中标通知书通知书均为合同的有效组成部分，与本合同具有同等法律效力。</w:t>
      </w:r>
    </w:p>
    <w:p w14:paraId="7CF415F1">
      <w:pPr>
        <w:ind w:firstLine="480"/>
        <w:rPr>
          <w:rFonts w:ascii="宋体" w:hAnsi="宋体" w:cs="宋体"/>
          <w:color w:val="auto"/>
          <w:highlight w:val="none"/>
        </w:rPr>
      </w:pPr>
      <w:r>
        <w:rPr>
          <w:rFonts w:hint="eastAsia" w:ascii="宋体" w:hAnsi="宋体" w:cs="宋体"/>
          <w:bCs/>
          <w:color w:val="auto"/>
          <w:highlight w:val="none"/>
        </w:rPr>
        <w:t xml:space="preserve">2) </w:t>
      </w:r>
      <w:r>
        <w:rPr>
          <w:rFonts w:hint="eastAsia" w:ascii="宋体" w:hAnsi="宋体" w:cs="宋体"/>
          <w:color w:val="auto"/>
          <w:highlight w:val="none"/>
        </w:rPr>
        <w:t>在执行本合同的过程中，所有经双方签署确认的文件（包括会议纪要、补充协议、往来信函）即成为本合同的有效组成部分。</w:t>
      </w:r>
    </w:p>
    <w:p w14:paraId="249F2F07">
      <w:pPr>
        <w:ind w:firstLine="480"/>
        <w:rPr>
          <w:rFonts w:ascii="宋体" w:hAnsi="宋体" w:cs="宋体"/>
          <w:color w:val="auto"/>
          <w:highlight w:val="none"/>
        </w:rPr>
      </w:pPr>
      <w:r>
        <w:rPr>
          <w:rFonts w:hint="eastAsia" w:ascii="宋体" w:hAnsi="宋体" w:cs="宋体"/>
          <w:color w:val="auto"/>
          <w:highlight w:val="none"/>
        </w:rPr>
        <w:t xml:space="preserve">3) 如一方地址、电话、传真号码有变更，应在变更当日内书面通知对方，否则，应承担相应责任。 </w:t>
      </w:r>
    </w:p>
    <w:p w14:paraId="54CAF56A">
      <w:pPr>
        <w:ind w:firstLine="480"/>
        <w:rPr>
          <w:rFonts w:ascii="宋体" w:hAnsi="宋体" w:cs="宋体"/>
          <w:color w:val="auto"/>
          <w:highlight w:val="none"/>
        </w:rPr>
      </w:pPr>
      <w:r>
        <w:rPr>
          <w:rFonts w:hint="eastAsia" w:ascii="宋体" w:hAnsi="宋体" w:cs="宋体"/>
          <w:color w:val="auto"/>
          <w:highlight w:val="none"/>
        </w:rPr>
        <w:t>4) 除甲方事先书面同意外，乙方不得部分或全部转让其应履行的合同项下的义务。</w:t>
      </w:r>
    </w:p>
    <w:p w14:paraId="7EDC2337">
      <w:pPr>
        <w:ind w:firstLine="482"/>
        <w:rPr>
          <w:rFonts w:ascii="宋体" w:hAnsi="宋体" w:cs="宋体"/>
          <w:b/>
          <w:color w:val="auto"/>
          <w:highlight w:val="none"/>
        </w:rPr>
      </w:pPr>
      <w:r>
        <w:rPr>
          <w:rFonts w:hint="eastAsia" w:ascii="宋体" w:hAnsi="宋体" w:cs="宋体"/>
          <w:b/>
          <w:color w:val="auto"/>
          <w:highlight w:val="none"/>
        </w:rPr>
        <w:t>十五、合同生效：</w:t>
      </w:r>
    </w:p>
    <w:p w14:paraId="46D2CB14">
      <w:pPr>
        <w:ind w:firstLine="480"/>
        <w:rPr>
          <w:rFonts w:ascii="宋体" w:hAnsi="宋体" w:cs="宋体"/>
          <w:color w:val="auto"/>
          <w:highlight w:val="none"/>
        </w:rPr>
      </w:pPr>
      <w:r>
        <w:rPr>
          <w:rFonts w:hint="eastAsia" w:ascii="宋体" w:hAnsi="宋体" w:cs="宋体"/>
          <w:color w:val="auto"/>
          <w:highlight w:val="none"/>
        </w:rPr>
        <w:t>1）本合同在甲乙双方法人代表或其授权代表签字盖章后生效。</w:t>
      </w:r>
    </w:p>
    <w:p w14:paraId="480A57BF">
      <w:pPr>
        <w:ind w:firstLine="480"/>
        <w:rPr>
          <w:rFonts w:ascii="宋体" w:hAnsi="宋体" w:cs="宋体"/>
          <w:color w:val="auto"/>
          <w:highlight w:val="none"/>
        </w:rPr>
      </w:pPr>
      <w:r>
        <w:rPr>
          <w:rFonts w:hint="eastAsia" w:ascii="宋体" w:hAnsi="宋体" w:cs="宋体"/>
          <w:color w:val="auto"/>
          <w:highlight w:val="none"/>
        </w:rPr>
        <w:t>2）合同一式</w:t>
      </w:r>
      <w:r>
        <w:rPr>
          <w:rFonts w:hint="eastAsia" w:ascii="宋体" w:hAnsi="宋体" w:cs="宋体"/>
          <w:color w:val="auto"/>
          <w:highlight w:val="none"/>
          <w:u w:val="single"/>
        </w:rPr>
        <w:t xml:space="preserve">    </w:t>
      </w:r>
      <w:r>
        <w:rPr>
          <w:rFonts w:hint="eastAsia" w:ascii="宋体" w:hAnsi="宋体" w:cs="宋体"/>
          <w:color w:val="auto"/>
          <w:highlight w:val="none"/>
        </w:rPr>
        <w:t>份。</w:t>
      </w:r>
    </w:p>
    <w:p w14:paraId="44D5CE4A">
      <w:pPr>
        <w:ind w:firstLine="480"/>
        <w:rPr>
          <w:rFonts w:ascii="宋体" w:hAnsi="宋体" w:cs="宋体"/>
          <w:color w:val="auto"/>
          <w:highlight w:val="none"/>
        </w:rPr>
      </w:pPr>
      <w:r>
        <w:rPr>
          <w:rFonts w:hint="eastAsia" w:ascii="宋体" w:hAnsi="宋体" w:cs="宋体"/>
          <w:color w:val="auto"/>
          <w:highlight w:val="none"/>
        </w:rPr>
        <w:t>3）同执行中涉及招标资金和招标内容修改或补充的，须经当地财政部门审批，并签订书面补充协议报监督管理部门备案，方可作为主合同不可分割的一部分。</w:t>
      </w:r>
    </w:p>
    <w:p w14:paraId="5F69B6DD">
      <w:pPr>
        <w:spacing w:line="340" w:lineRule="exact"/>
        <w:ind w:firstLine="482"/>
        <w:rPr>
          <w:rFonts w:ascii="宋体" w:hAnsi="宋体" w:cs="宋体"/>
          <w:b/>
          <w:color w:val="auto"/>
          <w:highlight w:val="none"/>
        </w:rPr>
      </w:pPr>
    </w:p>
    <w:p w14:paraId="38FBFAB5">
      <w:pPr>
        <w:pStyle w:val="13"/>
        <w:spacing w:before="317" w:beforeLines="100" w:after="158" w:afterLines="50"/>
        <w:ind w:firstLine="482"/>
        <w:rPr>
          <w:rFonts w:hAnsi="宋体" w:cs="宋体"/>
          <w:b/>
          <w:color w:val="auto"/>
          <w:szCs w:val="24"/>
          <w:highlight w:val="none"/>
        </w:rPr>
      </w:pPr>
      <w:r>
        <w:rPr>
          <w:rFonts w:hint="eastAsia" w:hAnsi="宋体" w:cs="宋体"/>
          <w:b/>
          <w:color w:val="auto"/>
          <w:szCs w:val="24"/>
          <w:highlight w:val="none"/>
        </w:rPr>
        <w:t xml:space="preserve">甲方：                                   乙方： </w:t>
      </w:r>
    </w:p>
    <w:p w14:paraId="4C95A9ED">
      <w:pPr>
        <w:pStyle w:val="13"/>
        <w:spacing w:before="317" w:beforeLines="100" w:after="158" w:afterLines="50"/>
        <w:ind w:firstLine="482"/>
        <w:rPr>
          <w:rFonts w:hAnsi="宋体" w:cs="宋体"/>
          <w:b/>
          <w:color w:val="auto"/>
          <w:szCs w:val="24"/>
          <w:highlight w:val="none"/>
        </w:rPr>
      </w:pPr>
      <w:r>
        <w:rPr>
          <w:rFonts w:hint="eastAsia" w:hAnsi="宋体" w:cs="宋体"/>
          <w:b/>
          <w:color w:val="auto"/>
          <w:szCs w:val="24"/>
          <w:highlight w:val="none"/>
        </w:rPr>
        <w:t xml:space="preserve">地址：                                   地址： </w:t>
      </w:r>
    </w:p>
    <w:p w14:paraId="3DC5C771">
      <w:pPr>
        <w:pStyle w:val="13"/>
        <w:spacing w:before="317" w:beforeLines="100" w:after="158" w:afterLines="50"/>
        <w:ind w:firstLine="482"/>
        <w:rPr>
          <w:rFonts w:hAnsi="宋体" w:cs="宋体"/>
          <w:b/>
          <w:color w:val="auto"/>
          <w:szCs w:val="24"/>
          <w:highlight w:val="none"/>
        </w:rPr>
      </w:pPr>
      <w:r>
        <w:rPr>
          <w:rFonts w:hint="eastAsia" w:hAnsi="宋体" w:cs="宋体"/>
          <w:b/>
          <w:color w:val="auto"/>
          <w:szCs w:val="24"/>
          <w:highlight w:val="none"/>
        </w:rPr>
        <w:t>法定代表人：                             法定代表人：</w:t>
      </w:r>
    </w:p>
    <w:p w14:paraId="73604A11">
      <w:pPr>
        <w:pStyle w:val="13"/>
        <w:spacing w:before="317" w:beforeLines="100" w:after="158" w:afterLines="50"/>
        <w:ind w:firstLine="482"/>
        <w:rPr>
          <w:rFonts w:hAnsi="宋体" w:cs="宋体"/>
          <w:b/>
          <w:color w:val="auto"/>
          <w:szCs w:val="24"/>
          <w:highlight w:val="none"/>
        </w:rPr>
      </w:pPr>
      <w:r>
        <w:rPr>
          <w:rFonts w:hint="eastAsia" w:hAnsi="宋体" w:cs="宋体"/>
          <w:b/>
          <w:color w:val="auto"/>
          <w:szCs w:val="24"/>
          <w:highlight w:val="none"/>
        </w:rPr>
        <w:t>授权委托代理人：                         授权委托代理人：</w:t>
      </w:r>
    </w:p>
    <w:p w14:paraId="722F0B01">
      <w:pPr>
        <w:pStyle w:val="13"/>
        <w:spacing w:before="317" w:beforeLines="100" w:after="158" w:afterLines="50"/>
        <w:ind w:firstLine="482"/>
        <w:rPr>
          <w:rFonts w:hAnsi="宋体" w:cs="宋体"/>
          <w:b/>
          <w:color w:val="auto"/>
          <w:szCs w:val="24"/>
          <w:highlight w:val="none"/>
        </w:rPr>
      </w:pPr>
      <w:r>
        <w:rPr>
          <w:rFonts w:hint="eastAsia" w:hAnsi="宋体" w:cs="宋体"/>
          <w:b/>
          <w:color w:val="auto"/>
          <w:szCs w:val="24"/>
          <w:highlight w:val="none"/>
        </w:rPr>
        <w:t xml:space="preserve">电话：                                   电话：   </w:t>
      </w:r>
    </w:p>
    <w:p w14:paraId="02863604">
      <w:pPr>
        <w:pStyle w:val="13"/>
        <w:spacing w:before="317" w:beforeLines="100" w:after="158" w:afterLines="50"/>
        <w:ind w:firstLine="482"/>
        <w:rPr>
          <w:rFonts w:hAnsi="宋体" w:cs="宋体"/>
          <w:b/>
          <w:color w:val="auto"/>
          <w:szCs w:val="24"/>
          <w:highlight w:val="none"/>
        </w:rPr>
      </w:pPr>
      <w:r>
        <w:rPr>
          <w:rFonts w:hint="eastAsia" w:hAnsi="宋体" w:cs="宋体"/>
          <w:b/>
          <w:color w:val="auto"/>
          <w:szCs w:val="24"/>
          <w:highlight w:val="none"/>
        </w:rPr>
        <w:t>传真：                                   传真：</w:t>
      </w:r>
    </w:p>
    <w:p w14:paraId="64B23AB2">
      <w:pPr>
        <w:pStyle w:val="13"/>
        <w:spacing w:before="317" w:beforeLines="100" w:after="158" w:afterLines="50"/>
        <w:ind w:firstLine="482"/>
        <w:rPr>
          <w:rFonts w:hAnsi="宋体" w:cs="宋体"/>
          <w:b/>
          <w:color w:val="auto"/>
          <w:szCs w:val="24"/>
          <w:highlight w:val="none"/>
        </w:rPr>
      </w:pPr>
      <w:r>
        <w:rPr>
          <w:rFonts w:hint="eastAsia" w:hAnsi="宋体" w:cs="宋体"/>
          <w:b/>
          <w:color w:val="auto"/>
          <w:szCs w:val="24"/>
          <w:highlight w:val="none"/>
        </w:rPr>
        <w:t>邮政编码：                               邮政编码：</w:t>
      </w:r>
    </w:p>
    <w:p w14:paraId="66BC21C7">
      <w:pPr>
        <w:pStyle w:val="13"/>
        <w:spacing w:before="317" w:beforeLines="100" w:after="158" w:afterLines="50"/>
        <w:ind w:firstLine="482"/>
        <w:rPr>
          <w:rFonts w:hAnsi="宋体" w:cs="宋体"/>
          <w:b/>
          <w:color w:val="auto"/>
          <w:szCs w:val="24"/>
          <w:highlight w:val="none"/>
        </w:rPr>
      </w:pPr>
      <w:r>
        <w:rPr>
          <w:rFonts w:hint="eastAsia" w:hAnsi="宋体" w:cs="宋体"/>
          <w:b/>
          <w:color w:val="auto"/>
          <w:szCs w:val="24"/>
          <w:highlight w:val="none"/>
        </w:rPr>
        <w:t xml:space="preserve">                                           开户银行：</w:t>
      </w:r>
    </w:p>
    <w:p w14:paraId="5671E135">
      <w:pPr>
        <w:pStyle w:val="13"/>
        <w:spacing w:before="317" w:beforeLines="100" w:after="158" w:afterLines="50"/>
        <w:ind w:firstLine="482"/>
        <w:rPr>
          <w:rFonts w:hAnsi="宋体" w:cs="宋体"/>
          <w:b/>
          <w:color w:val="auto"/>
          <w:szCs w:val="24"/>
          <w:highlight w:val="none"/>
        </w:rPr>
      </w:pPr>
      <w:r>
        <w:rPr>
          <w:rFonts w:hint="eastAsia" w:hAnsi="宋体" w:cs="宋体"/>
          <w:b/>
          <w:color w:val="auto"/>
          <w:szCs w:val="24"/>
          <w:highlight w:val="none"/>
        </w:rPr>
        <w:t xml:space="preserve">                                           账号：</w:t>
      </w:r>
    </w:p>
    <w:p w14:paraId="74A71CD4">
      <w:pPr>
        <w:pStyle w:val="13"/>
        <w:spacing w:before="317" w:beforeLines="100" w:after="158" w:afterLines="50"/>
        <w:ind w:firstLine="480"/>
        <w:rPr>
          <w:rFonts w:hAnsi="宋体" w:cs="宋体"/>
          <w:color w:val="auto"/>
          <w:szCs w:val="24"/>
          <w:highlight w:val="none"/>
        </w:rPr>
      </w:pPr>
    </w:p>
    <w:p w14:paraId="1C6D8E05">
      <w:pPr>
        <w:spacing w:line="340" w:lineRule="exact"/>
        <w:ind w:firstLine="480"/>
        <w:rPr>
          <w:rFonts w:ascii="宋体" w:hAnsi="宋体" w:cs="宋体"/>
          <w:color w:val="auto"/>
          <w:highlight w:val="none"/>
        </w:rPr>
      </w:pPr>
      <w:r>
        <w:rPr>
          <w:rFonts w:hint="eastAsia" w:ascii="宋体" w:hAnsi="宋体" w:cs="宋体"/>
          <w:color w:val="auto"/>
          <w:highlight w:val="none"/>
        </w:rPr>
        <w:t>签订地点：                               签订日期：      年  月  日</w:t>
      </w:r>
    </w:p>
    <w:p w14:paraId="3E44E59C">
      <w:pPr>
        <w:adjustRightInd w:val="0"/>
        <w:snapToGrid w:val="0"/>
        <w:ind w:firstLine="482"/>
        <w:rPr>
          <w:rFonts w:ascii="宋体" w:hAnsi="宋体" w:cs="宋体"/>
          <w:b/>
          <w:color w:val="auto"/>
          <w:highlight w:val="none"/>
        </w:rPr>
      </w:pPr>
    </w:p>
    <w:p w14:paraId="5D5E713B">
      <w:pPr>
        <w:spacing w:line="297" w:lineRule="auto"/>
        <w:rPr>
          <w:rFonts w:ascii="宋体" w:hAnsi="宋体" w:cs="宋体"/>
          <w:b/>
          <w:color w:val="auto"/>
          <w:highlight w:val="none"/>
        </w:rPr>
      </w:pPr>
      <w:r>
        <w:rPr>
          <w:rFonts w:hint="eastAsia" w:ascii="宋体" w:hAnsi="宋体" w:cs="宋体"/>
          <w:b/>
          <w:color w:val="auto"/>
          <w:highlight w:val="none"/>
        </w:rPr>
        <w:t>注意事项：本合同条款未尽事宜，由甲乙双方以补充合同约定，原则上不能超越和违背招标及补充文件、竞争性磋商响应文件及投标有关承诺的范围及内容。</w:t>
      </w:r>
    </w:p>
    <w:p w14:paraId="2C7BA878">
      <w:pPr>
        <w:tabs>
          <w:tab w:val="left" w:pos="720"/>
        </w:tabs>
        <w:spacing w:line="360" w:lineRule="auto"/>
        <w:rPr>
          <w:rFonts w:ascii="宋体" w:hAnsi="宋体" w:cs="宋体"/>
          <w:color w:val="auto"/>
          <w:sz w:val="28"/>
          <w:szCs w:val="28"/>
          <w:highlight w:val="none"/>
        </w:rPr>
      </w:pPr>
    </w:p>
    <w:p w14:paraId="3204989B">
      <w:pPr>
        <w:pStyle w:val="10"/>
        <w:spacing w:line="360" w:lineRule="auto"/>
        <w:rPr>
          <w:color w:val="auto"/>
          <w:sz w:val="32"/>
          <w:highlight w:val="none"/>
        </w:rPr>
      </w:pPr>
    </w:p>
    <w:p w14:paraId="438BC3BA">
      <w:pPr>
        <w:pStyle w:val="10"/>
        <w:spacing w:line="360" w:lineRule="auto"/>
        <w:rPr>
          <w:color w:val="auto"/>
          <w:sz w:val="32"/>
          <w:highlight w:val="none"/>
        </w:rPr>
      </w:pPr>
    </w:p>
    <w:p w14:paraId="771A262F">
      <w:pPr>
        <w:pStyle w:val="10"/>
        <w:spacing w:line="360" w:lineRule="auto"/>
        <w:ind w:firstLine="646" w:firstLineChars="200"/>
        <w:jc w:val="center"/>
        <w:rPr>
          <w:color w:val="auto"/>
          <w:sz w:val="32"/>
          <w:highlight w:val="none"/>
        </w:rPr>
      </w:pPr>
    </w:p>
    <w:p w14:paraId="2B16A1F1">
      <w:pPr>
        <w:pStyle w:val="10"/>
        <w:spacing w:line="360" w:lineRule="auto"/>
        <w:ind w:firstLine="646" w:firstLineChars="200"/>
        <w:jc w:val="center"/>
        <w:rPr>
          <w:color w:val="auto"/>
          <w:sz w:val="32"/>
          <w:highlight w:val="none"/>
        </w:rPr>
      </w:pPr>
      <w:r>
        <w:rPr>
          <w:rFonts w:hint="eastAsia"/>
          <w:color w:val="auto"/>
          <w:sz w:val="32"/>
          <w:highlight w:val="none"/>
        </w:rPr>
        <w:t>第七章投标文件格式</w:t>
      </w:r>
    </w:p>
    <w:p w14:paraId="01CC8A35">
      <w:pPr>
        <w:pStyle w:val="10"/>
        <w:spacing w:line="360" w:lineRule="auto"/>
        <w:ind w:firstLine="646" w:firstLineChars="200"/>
        <w:jc w:val="center"/>
        <w:rPr>
          <w:color w:val="auto"/>
          <w:sz w:val="32"/>
          <w:highlight w:val="none"/>
        </w:rPr>
      </w:pPr>
    </w:p>
    <w:p w14:paraId="48B48EC3">
      <w:pPr>
        <w:pStyle w:val="10"/>
        <w:spacing w:line="360" w:lineRule="auto"/>
        <w:ind w:firstLine="646" w:firstLineChars="200"/>
        <w:jc w:val="center"/>
        <w:rPr>
          <w:color w:val="auto"/>
          <w:sz w:val="32"/>
          <w:highlight w:val="none"/>
        </w:rPr>
      </w:pPr>
    </w:p>
    <w:p w14:paraId="0E3D79C6">
      <w:pPr>
        <w:pStyle w:val="10"/>
        <w:spacing w:line="360" w:lineRule="auto"/>
        <w:ind w:firstLine="646" w:firstLineChars="200"/>
        <w:jc w:val="center"/>
        <w:rPr>
          <w:color w:val="auto"/>
          <w:sz w:val="32"/>
          <w:highlight w:val="none"/>
        </w:rPr>
      </w:pPr>
    </w:p>
    <w:p w14:paraId="13BE1C19">
      <w:pPr>
        <w:pStyle w:val="10"/>
        <w:spacing w:line="360" w:lineRule="auto"/>
        <w:ind w:firstLine="646" w:firstLineChars="200"/>
        <w:jc w:val="center"/>
        <w:rPr>
          <w:color w:val="auto"/>
          <w:sz w:val="32"/>
          <w:highlight w:val="none"/>
        </w:rPr>
      </w:pPr>
    </w:p>
    <w:p w14:paraId="6FAB1224">
      <w:pPr>
        <w:pStyle w:val="10"/>
        <w:spacing w:line="360" w:lineRule="auto"/>
        <w:ind w:firstLine="646" w:firstLineChars="200"/>
        <w:jc w:val="center"/>
        <w:rPr>
          <w:color w:val="auto"/>
          <w:sz w:val="32"/>
          <w:highlight w:val="none"/>
        </w:rPr>
      </w:pPr>
    </w:p>
    <w:p w14:paraId="6257FB34">
      <w:pPr>
        <w:pStyle w:val="10"/>
        <w:spacing w:line="360" w:lineRule="auto"/>
        <w:ind w:firstLine="646" w:firstLineChars="200"/>
        <w:jc w:val="center"/>
        <w:rPr>
          <w:color w:val="auto"/>
          <w:sz w:val="32"/>
          <w:highlight w:val="none"/>
        </w:rPr>
      </w:pPr>
    </w:p>
    <w:p w14:paraId="1DB65D58">
      <w:pPr>
        <w:pStyle w:val="10"/>
        <w:spacing w:line="360" w:lineRule="auto"/>
        <w:ind w:firstLine="646" w:firstLineChars="200"/>
        <w:jc w:val="center"/>
        <w:rPr>
          <w:color w:val="auto"/>
          <w:sz w:val="32"/>
          <w:highlight w:val="none"/>
        </w:rPr>
      </w:pPr>
    </w:p>
    <w:p w14:paraId="6B12579D">
      <w:pPr>
        <w:pStyle w:val="10"/>
        <w:spacing w:line="360" w:lineRule="auto"/>
        <w:rPr>
          <w:color w:val="auto"/>
          <w:sz w:val="32"/>
          <w:highlight w:val="none"/>
        </w:rPr>
      </w:pPr>
    </w:p>
    <w:p w14:paraId="2BFE2BEB">
      <w:pPr>
        <w:pStyle w:val="10"/>
        <w:spacing w:line="360" w:lineRule="auto"/>
        <w:rPr>
          <w:color w:val="auto"/>
          <w:sz w:val="32"/>
          <w:highlight w:val="none"/>
        </w:rPr>
      </w:pPr>
    </w:p>
    <w:p w14:paraId="019F48B9">
      <w:pPr>
        <w:pStyle w:val="10"/>
        <w:spacing w:line="360" w:lineRule="auto"/>
        <w:rPr>
          <w:color w:val="auto"/>
          <w:sz w:val="32"/>
          <w:highlight w:val="none"/>
        </w:rPr>
      </w:pPr>
    </w:p>
    <w:p w14:paraId="6169729D">
      <w:pPr>
        <w:pStyle w:val="10"/>
        <w:spacing w:line="360" w:lineRule="auto"/>
        <w:rPr>
          <w:color w:val="auto"/>
          <w:sz w:val="32"/>
          <w:highlight w:val="none"/>
        </w:rPr>
      </w:pPr>
    </w:p>
    <w:p w14:paraId="352F60A0">
      <w:pPr>
        <w:pStyle w:val="10"/>
        <w:spacing w:line="360" w:lineRule="auto"/>
        <w:rPr>
          <w:color w:val="auto"/>
          <w:sz w:val="32"/>
          <w:highlight w:val="none"/>
        </w:rPr>
      </w:pPr>
    </w:p>
    <w:p w14:paraId="69ACD1CD">
      <w:pPr>
        <w:pStyle w:val="10"/>
        <w:spacing w:line="360" w:lineRule="auto"/>
        <w:rPr>
          <w:color w:val="auto"/>
          <w:sz w:val="32"/>
          <w:highlight w:val="none"/>
        </w:rPr>
      </w:pPr>
    </w:p>
    <w:p w14:paraId="7E6C6D33">
      <w:pPr>
        <w:pStyle w:val="10"/>
        <w:spacing w:line="360" w:lineRule="auto"/>
        <w:ind w:firstLine="646" w:firstLineChars="200"/>
        <w:jc w:val="left"/>
        <w:rPr>
          <w:color w:val="auto"/>
          <w:sz w:val="32"/>
          <w:highlight w:val="none"/>
        </w:rPr>
      </w:pPr>
      <w:r>
        <w:rPr>
          <w:rFonts w:hint="eastAsia"/>
          <w:color w:val="auto"/>
          <w:sz w:val="32"/>
          <w:highlight w:val="none"/>
        </w:rPr>
        <w:t>响应文件封面</w:t>
      </w:r>
    </w:p>
    <w:p w14:paraId="6061D75E">
      <w:pPr>
        <w:pStyle w:val="10"/>
        <w:spacing w:line="360" w:lineRule="auto"/>
        <w:ind w:firstLine="646" w:firstLineChars="200"/>
        <w:jc w:val="center"/>
        <w:rPr>
          <w:color w:val="auto"/>
          <w:sz w:val="32"/>
          <w:highlight w:val="none"/>
          <w:u w:val="single"/>
        </w:rPr>
      </w:pPr>
    </w:p>
    <w:p w14:paraId="352D0278">
      <w:pPr>
        <w:pStyle w:val="10"/>
        <w:spacing w:line="360" w:lineRule="auto"/>
        <w:ind w:firstLine="646" w:firstLineChars="200"/>
        <w:jc w:val="center"/>
        <w:rPr>
          <w:color w:val="auto"/>
          <w:sz w:val="32"/>
          <w:highlight w:val="none"/>
          <w:u w:val="single"/>
        </w:rPr>
      </w:pPr>
      <w:r>
        <w:rPr>
          <w:rFonts w:hint="eastAsia"/>
          <w:color w:val="auto"/>
          <w:sz w:val="32"/>
          <w:highlight w:val="none"/>
          <w:u w:val="single"/>
        </w:rPr>
        <w:t>项目名称</w:t>
      </w:r>
    </w:p>
    <w:p w14:paraId="7A945D49">
      <w:pPr>
        <w:pStyle w:val="10"/>
        <w:spacing w:line="360" w:lineRule="auto"/>
        <w:rPr>
          <w:color w:val="auto"/>
          <w:sz w:val="32"/>
          <w:highlight w:val="none"/>
        </w:rPr>
      </w:pPr>
    </w:p>
    <w:p w14:paraId="5EF87228">
      <w:pPr>
        <w:pStyle w:val="10"/>
        <w:spacing w:line="360" w:lineRule="auto"/>
        <w:ind w:firstLine="646" w:firstLineChars="200"/>
        <w:jc w:val="center"/>
        <w:rPr>
          <w:color w:val="auto"/>
          <w:sz w:val="32"/>
          <w:highlight w:val="none"/>
        </w:rPr>
      </w:pPr>
      <w:r>
        <w:rPr>
          <w:rFonts w:hint="eastAsia"/>
          <w:color w:val="auto"/>
          <w:sz w:val="32"/>
          <w:highlight w:val="none"/>
        </w:rPr>
        <w:t>响应文件</w:t>
      </w:r>
    </w:p>
    <w:p w14:paraId="51CCBCC8">
      <w:pPr>
        <w:pStyle w:val="10"/>
        <w:spacing w:line="360" w:lineRule="auto"/>
        <w:ind w:firstLine="646" w:firstLineChars="200"/>
        <w:jc w:val="center"/>
        <w:rPr>
          <w:color w:val="auto"/>
          <w:sz w:val="32"/>
          <w:highlight w:val="none"/>
        </w:rPr>
      </w:pPr>
    </w:p>
    <w:p w14:paraId="559074EC">
      <w:pPr>
        <w:pStyle w:val="10"/>
        <w:spacing w:line="360" w:lineRule="auto"/>
        <w:ind w:firstLine="646" w:firstLineChars="200"/>
        <w:jc w:val="center"/>
        <w:rPr>
          <w:color w:val="auto"/>
          <w:sz w:val="32"/>
          <w:highlight w:val="none"/>
        </w:rPr>
      </w:pPr>
    </w:p>
    <w:p w14:paraId="597B56A2">
      <w:pPr>
        <w:pStyle w:val="10"/>
        <w:spacing w:line="360" w:lineRule="auto"/>
        <w:jc w:val="left"/>
        <w:rPr>
          <w:color w:val="auto"/>
          <w:sz w:val="32"/>
          <w:highlight w:val="none"/>
        </w:rPr>
      </w:pPr>
    </w:p>
    <w:p w14:paraId="1BA8A21F">
      <w:pPr>
        <w:pStyle w:val="10"/>
        <w:spacing w:line="360" w:lineRule="auto"/>
        <w:ind w:firstLine="646" w:firstLineChars="200"/>
        <w:jc w:val="left"/>
        <w:rPr>
          <w:color w:val="auto"/>
          <w:sz w:val="32"/>
          <w:highlight w:val="none"/>
          <w:u w:val="single"/>
        </w:rPr>
      </w:pPr>
      <w:r>
        <w:rPr>
          <w:rFonts w:hint="eastAsia"/>
          <w:color w:val="auto"/>
          <w:sz w:val="32"/>
          <w:highlight w:val="none"/>
        </w:rPr>
        <w:t>项目序列号：</w:t>
      </w:r>
    </w:p>
    <w:p w14:paraId="35D7E7C5">
      <w:pPr>
        <w:pStyle w:val="10"/>
        <w:spacing w:line="360" w:lineRule="auto"/>
        <w:ind w:firstLine="646" w:firstLineChars="200"/>
        <w:jc w:val="left"/>
        <w:rPr>
          <w:color w:val="auto"/>
          <w:sz w:val="32"/>
          <w:highlight w:val="none"/>
          <w:u w:val="single"/>
        </w:rPr>
      </w:pPr>
      <w:r>
        <w:rPr>
          <w:rFonts w:hint="eastAsia"/>
          <w:color w:val="auto"/>
          <w:sz w:val="32"/>
          <w:highlight w:val="none"/>
        </w:rPr>
        <w:t>项目名称：</w:t>
      </w:r>
    </w:p>
    <w:p w14:paraId="1DDB4256">
      <w:pPr>
        <w:pStyle w:val="10"/>
        <w:spacing w:line="360" w:lineRule="auto"/>
        <w:ind w:firstLine="646" w:firstLineChars="200"/>
        <w:jc w:val="left"/>
        <w:rPr>
          <w:color w:val="auto"/>
          <w:sz w:val="32"/>
          <w:highlight w:val="none"/>
          <w:u w:val="single"/>
        </w:rPr>
      </w:pPr>
      <w:r>
        <w:rPr>
          <w:rFonts w:hint="eastAsia"/>
          <w:color w:val="auto"/>
          <w:sz w:val="32"/>
          <w:highlight w:val="none"/>
        </w:rPr>
        <w:t>标包名称：</w:t>
      </w:r>
    </w:p>
    <w:p w14:paraId="53BEED41">
      <w:pPr>
        <w:pStyle w:val="10"/>
        <w:spacing w:line="360" w:lineRule="auto"/>
        <w:ind w:firstLine="646" w:firstLineChars="200"/>
        <w:jc w:val="left"/>
        <w:rPr>
          <w:color w:val="auto"/>
          <w:sz w:val="32"/>
          <w:highlight w:val="none"/>
          <w:u w:val="single"/>
        </w:rPr>
      </w:pPr>
      <w:r>
        <w:rPr>
          <w:rFonts w:hint="eastAsia"/>
          <w:color w:val="auto"/>
          <w:sz w:val="32"/>
          <w:highlight w:val="none"/>
        </w:rPr>
        <w:t>标包编号：</w:t>
      </w:r>
    </w:p>
    <w:p w14:paraId="55D6442A">
      <w:pPr>
        <w:pStyle w:val="10"/>
        <w:spacing w:line="360" w:lineRule="auto"/>
        <w:ind w:firstLine="646" w:firstLineChars="200"/>
        <w:jc w:val="left"/>
        <w:rPr>
          <w:color w:val="auto"/>
          <w:sz w:val="32"/>
          <w:highlight w:val="none"/>
          <w:u w:val="single"/>
        </w:rPr>
      </w:pPr>
      <w:r>
        <w:rPr>
          <w:rFonts w:hint="eastAsia"/>
          <w:color w:val="auto"/>
          <w:sz w:val="32"/>
          <w:highlight w:val="none"/>
        </w:rPr>
        <w:t>供应商：</w:t>
      </w:r>
    </w:p>
    <w:p w14:paraId="753D5B60">
      <w:pPr>
        <w:pStyle w:val="10"/>
        <w:spacing w:line="360" w:lineRule="auto"/>
        <w:ind w:firstLine="646" w:firstLineChars="200"/>
        <w:jc w:val="left"/>
        <w:rPr>
          <w:color w:val="auto"/>
          <w:sz w:val="32"/>
          <w:highlight w:val="none"/>
          <w:u w:val="single"/>
        </w:rPr>
      </w:pPr>
      <w:r>
        <w:rPr>
          <w:rFonts w:hint="eastAsia"/>
          <w:color w:val="auto"/>
          <w:sz w:val="32"/>
          <w:highlight w:val="none"/>
        </w:rPr>
        <w:t>详细地址：</w:t>
      </w:r>
    </w:p>
    <w:p w14:paraId="3B544D32">
      <w:pPr>
        <w:pStyle w:val="10"/>
        <w:spacing w:line="360" w:lineRule="auto"/>
        <w:ind w:firstLine="646" w:firstLineChars="200"/>
        <w:jc w:val="left"/>
        <w:rPr>
          <w:color w:val="auto"/>
          <w:sz w:val="32"/>
          <w:highlight w:val="none"/>
          <w:u w:val="single"/>
        </w:rPr>
      </w:pPr>
      <w:r>
        <w:rPr>
          <w:rFonts w:hint="eastAsia"/>
          <w:color w:val="auto"/>
          <w:sz w:val="32"/>
          <w:highlight w:val="none"/>
        </w:rPr>
        <w:t>联系人：</w:t>
      </w:r>
    </w:p>
    <w:p w14:paraId="76908F75">
      <w:pPr>
        <w:pStyle w:val="10"/>
        <w:spacing w:line="360" w:lineRule="auto"/>
        <w:ind w:firstLine="646" w:firstLineChars="200"/>
        <w:jc w:val="left"/>
        <w:rPr>
          <w:color w:val="auto"/>
          <w:sz w:val="32"/>
          <w:highlight w:val="none"/>
          <w:u w:val="single"/>
        </w:rPr>
      </w:pPr>
      <w:r>
        <w:rPr>
          <w:rFonts w:hint="eastAsia"/>
          <w:color w:val="auto"/>
          <w:sz w:val="32"/>
          <w:highlight w:val="none"/>
        </w:rPr>
        <w:t>电话：</w:t>
      </w:r>
    </w:p>
    <w:p w14:paraId="6CA45ECE">
      <w:pPr>
        <w:pStyle w:val="10"/>
        <w:spacing w:line="360" w:lineRule="auto"/>
        <w:ind w:firstLine="646" w:firstLineChars="200"/>
        <w:jc w:val="left"/>
        <w:rPr>
          <w:color w:val="auto"/>
          <w:sz w:val="32"/>
          <w:highlight w:val="none"/>
          <w:u w:val="single"/>
        </w:rPr>
      </w:pPr>
    </w:p>
    <w:p w14:paraId="51445B56">
      <w:pPr>
        <w:pStyle w:val="10"/>
        <w:spacing w:line="360" w:lineRule="auto"/>
        <w:jc w:val="left"/>
        <w:rPr>
          <w:color w:val="auto"/>
          <w:sz w:val="32"/>
          <w:highlight w:val="none"/>
          <w:u w:val="single"/>
        </w:rPr>
      </w:pPr>
    </w:p>
    <w:p w14:paraId="36EF4BE3">
      <w:pPr>
        <w:pStyle w:val="10"/>
        <w:spacing w:line="360" w:lineRule="auto"/>
        <w:ind w:firstLine="646" w:firstLineChars="200"/>
        <w:jc w:val="center"/>
        <w:rPr>
          <w:color w:val="auto"/>
          <w:sz w:val="32"/>
          <w:highlight w:val="none"/>
        </w:rPr>
      </w:pPr>
      <w:r>
        <w:rPr>
          <w:rFonts w:hint="eastAsia"/>
          <w:color w:val="auto"/>
          <w:sz w:val="32"/>
          <w:highlight w:val="none"/>
        </w:rPr>
        <w:t>一、投标函</w:t>
      </w:r>
    </w:p>
    <w:p w14:paraId="71066BC0">
      <w:pPr>
        <w:pStyle w:val="10"/>
        <w:spacing w:line="480" w:lineRule="auto"/>
        <w:ind w:firstLine="486" w:firstLineChars="200"/>
        <w:rPr>
          <w:color w:val="auto"/>
          <w:sz w:val="24"/>
          <w:highlight w:val="none"/>
        </w:rPr>
      </w:pPr>
      <w:r>
        <w:rPr>
          <w:rFonts w:hint="eastAsia"/>
          <w:color w:val="auto"/>
          <w:sz w:val="24"/>
          <w:highlight w:val="none"/>
        </w:rPr>
        <w:t>1、我公司就</w:t>
      </w:r>
      <w:r>
        <w:rPr>
          <w:rFonts w:hint="eastAsia"/>
          <w:color w:val="auto"/>
          <w:sz w:val="24"/>
          <w:highlight w:val="none"/>
          <w:u w:val="single"/>
        </w:rPr>
        <w:t xml:space="preserve"> 【替换为项目名称】 </w:t>
      </w:r>
      <w:r>
        <w:rPr>
          <w:rFonts w:hint="eastAsia"/>
          <w:color w:val="auto"/>
          <w:sz w:val="24"/>
          <w:highlight w:val="none"/>
        </w:rPr>
        <w:t xml:space="preserve">的 </w:t>
      </w:r>
      <w:r>
        <w:rPr>
          <w:rFonts w:hint="eastAsia"/>
          <w:color w:val="auto"/>
          <w:sz w:val="24"/>
          <w:highlight w:val="none"/>
          <w:u w:val="single"/>
        </w:rPr>
        <w:t>【替换为标包名称】</w:t>
      </w:r>
      <w:r>
        <w:rPr>
          <w:rFonts w:hint="eastAsia"/>
          <w:color w:val="auto"/>
          <w:sz w:val="24"/>
          <w:highlight w:val="none"/>
        </w:rPr>
        <w:t xml:space="preserve"> 的 </w:t>
      </w:r>
      <w:r>
        <w:rPr>
          <w:rFonts w:hint="eastAsia"/>
          <w:color w:val="auto"/>
          <w:sz w:val="24"/>
          <w:highlight w:val="none"/>
          <w:u w:val="single"/>
        </w:rPr>
        <w:t>【投标报价名称】</w:t>
      </w:r>
      <w:r>
        <w:rPr>
          <w:rFonts w:hint="eastAsia"/>
          <w:color w:val="auto"/>
          <w:sz w:val="24"/>
          <w:highlight w:val="none"/>
        </w:rPr>
        <w:t>（元）为（大写）：</w:t>
      </w:r>
      <w:r>
        <w:rPr>
          <w:rFonts w:hint="eastAsia"/>
          <w:color w:val="auto"/>
          <w:sz w:val="24"/>
          <w:highlight w:val="none"/>
          <w:u w:val="single"/>
        </w:rPr>
        <w:t xml:space="preserve">     </w:t>
      </w:r>
      <w:r>
        <w:rPr>
          <w:rFonts w:hint="eastAsia"/>
          <w:color w:val="auto"/>
          <w:sz w:val="24"/>
          <w:highlight w:val="none"/>
        </w:rPr>
        <w:t xml:space="preserve"> 元人民币，小写：</w:t>
      </w:r>
      <w:r>
        <w:rPr>
          <w:rFonts w:hint="eastAsia"/>
          <w:color w:val="auto"/>
          <w:sz w:val="24"/>
          <w:highlight w:val="none"/>
          <w:u w:val="single"/>
        </w:rPr>
        <w:t xml:space="preserve">     </w:t>
      </w:r>
      <w:r>
        <w:rPr>
          <w:rFonts w:hint="eastAsia"/>
          <w:color w:val="auto"/>
          <w:sz w:val="24"/>
          <w:highlight w:val="none"/>
        </w:rPr>
        <w:t xml:space="preserve"> 元。</w:t>
      </w:r>
      <w:r>
        <w:rPr>
          <w:rFonts w:hint="eastAsia"/>
          <w:color w:val="auto"/>
          <w:sz w:val="24"/>
          <w:highlight w:val="none"/>
          <w:u w:val="single"/>
        </w:rPr>
        <w:t>【投标报价名称 1】</w:t>
      </w:r>
      <w:r>
        <w:rPr>
          <w:rFonts w:hint="eastAsia"/>
          <w:color w:val="auto"/>
          <w:sz w:val="24"/>
          <w:highlight w:val="none"/>
        </w:rPr>
        <w:t>(%)以折扣率形式进行报价为</w:t>
      </w:r>
      <w:r>
        <w:rPr>
          <w:rFonts w:hint="eastAsia"/>
          <w:color w:val="auto"/>
          <w:sz w:val="24"/>
          <w:highlight w:val="none"/>
          <w:u w:val="single"/>
        </w:rPr>
        <w:t xml:space="preserve">  /  </w:t>
      </w:r>
      <w:r>
        <w:rPr>
          <w:rFonts w:hint="eastAsia"/>
          <w:color w:val="auto"/>
          <w:sz w:val="24"/>
          <w:highlight w:val="none"/>
        </w:rPr>
        <w:t xml:space="preserve"> %，</w:t>
      </w:r>
      <w:r>
        <w:rPr>
          <w:rFonts w:hint="eastAsia"/>
          <w:color w:val="auto"/>
          <w:sz w:val="24"/>
          <w:highlight w:val="none"/>
          <w:u w:val="single"/>
        </w:rPr>
        <w:t>【投标报价名称 2】</w:t>
      </w:r>
      <w:r>
        <w:rPr>
          <w:rFonts w:hint="eastAsia"/>
          <w:color w:val="auto"/>
          <w:sz w:val="24"/>
          <w:highlight w:val="none"/>
        </w:rPr>
        <w:t>（%）以下浮率形式进行报价为</w:t>
      </w:r>
      <w:r>
        <w:rPr>
          <w:rFonts w:hint="eastAsia"/>
          <w:color w:val="auto"/>
          <w:sz w:val="24"/>
          <w:highlight w:val="none"/>
          <w:u w:val="single"/>
        </w:rPr>
        <w:t xml:space="preserve">  /  </w:t>
      </w:r>
      <w:r>
        <w:rPr>
          <w:rFonts w:hint="eastAsia"/>
          <w:color w:val="auto"/>
          <w:sz w:val="24"/>
          <w:highlight w:val="none"/>
        </w:rPr>
        <w:t>% 。</w:t>
      </w:r>
    </w:p>
    <w:p w14:paraId="5BF07588">
      <w:pPr>
        <w:pStyle w:val="10"/>
        <w:spacing w:line="480" w:lineRule="auto"/>
        <w:ind w:firstLine="486" w:firstLineChars="200"/>
        <w:rPr>
          <w:color w:val="auto"/>
          <w:sz w:val="24"/>
          <w:highlight w:val="none"/>
        </w:rPr>
      </w:pPr>
      <w:r>
        <w:rPr>
          <w:rFonts w:hint="eastAsia"/>
          <w:color w:val="auto"/>
          <w:sz w:val="24"/>
          <w:highlight w:val="none"/>
        </w:rPr>
        <w:t>2、服务期（日历天）：</w:t>
      </w:r>
      <w:r>
        <w:rPr>
          <w:rFonts w:hint="eastAsia"/>
          <w:color w:val="auto"/>
          <w:sz w:val="24"/>
          <w:highlight w:val="none"/>
          <w:u w:val="single"/>
        </w:rPr>
        <w:t xml:space="preserve">      </w:t>
      </w:r>
      <w:r>
        <w:rPr>
          <w:rFonts w:hint="eastAsia"/>
          <w:color w:val="auto"/>
          <w:sz w:val="24"/>
          <w:highlight w:val="none"/>
        </w:rPr>
        <w:t xml:space="preserve"> </w:t>
      </w:r>
    </w:p>
    <w:p w14:paraId="512D57FA">
      <w:pPr>
        <w:pStyle w:val="10"/>
        <w:spacing w:line="480" w:lineRule="auto"/>
        <w:ind w:firstLine="486" w:firstLineChars="200"/>
        <w:rPr>
          <w:color w:val="auto"/>
          <w:sz w:val="24"/>
          <w:highlight w:val="none"/>
        </w:rPr>
      </w:pPr>
      <w:r>
        <w:rPr>
          <w:rFonts w:hint="eastAsia"/>
          <w:color w:val="auto"/>
          <w:sz w:val="24"/>
          <w:highlight w:val="none"/>
        </w:rPr>
        <w:t>3、备注：</w:t>
      </w:r>
      <w:r>
        <w:rPr>
          <w:rFonts w:hint="eastAsia"/>
          <w:color w:val="auto"/>
          <w:sz w:val="24"/>
          <w:highlight w:val="none"/>
          <w:u w:val="single"/>
        </w:rPr>
        <w:t xml:space="preserve">       </w:t>
      </w:r>
      <w:r>
        <w:rPr>
          <w:rFonts w:hint="eastAsia"/>
          <w:color w:val="auto"/>
          <w:sz w:val="24"/>
          <w:highlight w:val="none"/>
        </w:rPr>
        <w:t xml:space="preserve"> </w:t>
      </w:r>
    </w:p>
    <w:p w14:paraId="06843959">
      <w:pPr>
        <w:pStyle w:val="10"/>
        <w:spacing w:line="480" w:lineRule="auto"/>
        <w:ind w:firstLine="486" w:firstLineChars="200"/>
        <w:rPr>
          <w:color w:val="auto"/>
          <w:sz w:val="24"/>
          <w:highlight w:val="none"/>
          <w:u w:val="single"/>
        </w:rPr>
      </w:pPr>
      <w:r>
        <w:rPr>
          <w:rFonts w:hint="eastAsia"/>
          <w:color w:val="auto"/>
          <w:sz w:val="24"/>
          <w:highlight w:val="none"/>
        </w:rPr>
        <w:t>4、开标一览表内其他内容：</w:t>
      </w:r>
      <w:r>
        <w:rPr>
          <w:rFonts w:hint="eastAsia"/>
          <w:color w:val="auto"/>
          <w:sz w:val="24"/>
          <w:highlight w:val="none"/>
          <w:u w:val="single"/>
        </w:rPr>
        <w:t xml:space="preserve">          </w:t>
      </w:r>
    </w:p>
    <w:p w14:paraId="05FA0046">
      <w:pPr>
        <w:pStyle w:val="10"/>
        <w:spacing w:line="480" w:lineRule="auto"/>
        <w:ind w:firstLine="486" w:firstLineChars="200"/>
        <w:jc w:val="center"/>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rPr>
        <w:cr/>
      </w:r>
      <w:r>
        <w:rPr>
          <w:rFonts w:hint="eastAsia" w:ascii="宋体" w:hAnsi="宋体" w:cs="宋体"/>
          <w:color w:val="auto"/>
          <w:sz w:val="24"/>
          <w:highlight w:val="none"/>
        </w:rPr>
        <w:t xml:space="preserve">     法定代表人或授权代表：</w:t>
      </w:r>
    </w:p>
    <w:p w14:paraId="115CDC05">
      <w:pPr>
        <w:pStyle w:val="10"/>
        <w:spacing w:line="480" w:lineRule="auto"/>
        <w:ind w:firstLine="486"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                          地       址：</w:t>
      </w:r>
      <w:r>
        <w:rPr>
          <w:rFonts w:hint="eastAsia" w:ascii="宋体" w:hAnsi="宋体" w:cs="宋体"/>
          <w:color w:val="auto"/>
          <w:sz w:val="24"/>
          <w:highlight w:val="none"/>
        </w:rPr>
        <w:cr/>
      </w:r>
      <w:r>
        <w:rPr>
          <w:rFonts w:hint="eastAsia" w:ascii="宋体" w:hAnsi="宋体" w:cs="宋体"/>
          <w:color w:val="auto"/>
          <w:sz w:val="24"/>
          <w:highlight w:val="none"/>
        </w:rPr>
        <w:t xml:space="preserve">                              电       话：</w:t>
      </w:r>
    </w:p>
    <w:p w14:paraId="792B4520">
      <w:pPr>
        <w:pStyle w:val="10"/>
        <w:spacing w:line="480" w:lineRule="auto"/>
        <w:ind w:firstLine="486"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                          传       真：</w:t>
      </w:r>
    </w:p>
    <w:p w14:paraId="4E77FB77">
      <w:pPr>
        <w:pStyle w:val="10"/>
        <w:spacing w:line="360" w:lineRule="auto"/>
        <w:ind w:firstLine="486"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                          邮       编： </w:t>
      </w:r>
      <w:r>
        <w:rPr>
          <w:rFonts w:hint="eastAsia" w:ascii="宋体" w:hAnsi="宋体" w:cs="宋体"/>
          <w:color w:val="auto"/>
          <w:sz w:val="24"/>
          <w:highlight w:val="none"/>
        </w:rPr>
        <w:cr/>
      </w:r>
      <w:r>
        <w:rPr>
          <w:rFonts w:hint="eastAsia" w:ascii="宋体" w:hAnsi="宋体" w:cs="宋体"/>
          <w:color w:val="auto"/>
          <w:sz w:val="24"/>
          <w:highlight w:val="none"/>
        </w:rPr>
        <w:t xml:space="preserve">                              日       期：</w:t>
      </w:r>
    </w:p>
    <w:p w14:paraId="4ECCA1C8">
      <w:pPr>
        <w:pStyle w:val="10"/>
        <w:spacing w:line="360" w:lineRule="auto"/>
        <w:jc w:val="left"/>
        <w:rPr>
          <w:rFonts w:ascii="宋体" w:hAnsi="宋体" w:cs="宋体"/>
          <w:color w:val="auto"/>
          <w:sz w:val="24"/>
          <w:highlight w:val="none"/>
          <w:u w:val="single"/>
        </w:rPr>
      </w:pPr>
    </w:p>
    <w:p w14:paraId="099947A1">
      <w:pPr>
        <w:pStyle w:val="10"/>
        <w:spacing w:line="360" w:lineRule="auto"/>
        <w:jc w:val="left"/>
        <w:rPr>
          <w:rFonts w:ascii="宋体" w:hAnsi="宋体" w:cs="宋体"/>
          <w:color w:val="auto"/>
          <w:sz w:val="24"/>
          <w:highlight w:val="none"/>
          <w:u w:val="single"/>
        </w:rPr>
      </w:pPr>
    </w:p>
    <w:p w14:paraId="04BB5A30">
      <w:pPr>
        <w:pStyle w:val="10"/>
        <w:spacing w:line="360" w:lineRule="auto"/>
        <w:jc w:val="left"/>
        <w:rPr>
          <w:rFonts w:ascii="宋体" w:hAnsi="宋体" w:cs="宋体"/>
          <w:color w:val="auto"/>
          <w:sz w:val="24"/>
          <w:highlight w:val="none"/>
          <w:u w:val="single"/>
        </w:rPr>
      </w:pPr>
    </w:p>
    <w:p w14:paraId="06B2DB21">
      <w:pPr>
        <w:pStyle w:val="10"/>
        <w:spacing w:line="360" w:lineRule="auto"/>
        <w:jc w:val="left"/>
        <w:rPr>
          <w:rFonts w:ascii="宋体" w:hAnsi="宋体" w:cs="宋体"/>
          <w:color w:val="auto"/>
          <w:sz w:val="24"/>
          <w:highlight w:val="none"/>
          <w:u w:val="single"/>
        </w:rPr>
      </w:pPr>
    </w:p>
    <w:p w14:paraId="08CC5FC8">
      <w:pPr>
        <w:pStyle w:val="10"/>
        <w:spacing w:line="360" w:lineRule="auto"/>
        <w:jc w:val="left"/>
        <w:rPr>
          <w:rFonts w:ascii="宋体" w:hAnsi="宋体" w:cs="宋体"/>
          <w:color w:val="auto"/>
          <w:sz w:val="24"/>
          <w:highlight w:val="none"/>
          <w:u w:val="single"/>
        </w:rPr>
      </w:pPr>
    </w:p>
    <w:p w14:paraId="57B62520">
      <w:pPr>
        <w:pStyle w:val="10"/>
        <w:spacing w:line="360" w:lineRule="auto"/>
        <w:jc w:val="left"/>
        <w:rPr>
          <w:rFonts w:ascii="宋体" w:hAnsi="宋体" w:cs="宋体"/>
          <w:color w:val="auto"/>
          <w:sz w:val="24"/>
          <w:highlight w:val="none"/>
          <w:u w:val="single"/>
        </w:rPr>
      </w:pPr>
    </w:p>
    <w:p w14:paraId="7DB0E018">
      <w:pPr>
        <w:pStyle w:val="10"/>
        <w:spacing w:line="360" w:lineRule="auto"/>
        <w:ind w:firstLine="646" w:firstLineChars="200"/>
        <w:jc w:val="center"/>
        <w:rPr>
          <w:color w:val="auto"/>
          <w:sz w:val="32"/>
          <w:highlight w:val="none"/>
        </w:rPr>
      </w:pPr>
      <w:r>
        <w:rPr>
          <w:rFonts w:hint="eastAsia"/>
          <w:color w:val="auto"/>
          <w:sz w:val="32"/>
          <w:highlight w:val="none"/>
        </w:rPr>
        <w:t>二、开标一览表</w:t>
      </w:r>
    </w:p>
    <w:tbl>
      <w:tblPr>
        <w:tblStyle w:val="21"/>
        <w:tblW w:w="94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3119"/>
        <w:gridCol w:w="4502"/>
      </w:tblGrid>
      <w:tr w14:paraId="21F5E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3A7C7A7F">
            <w:pPr>
              <w:pStyle w:val="10"/>
              <w:spacing w:line="360" w:lineRule="auto"/>
              <w:ind w:firstLine="480"/>
              <w:jc w:val="center"/>
              <w:rPr>
                <w:color w:val="auto"/>
                <w:sz w:val="24"/>
                <w:highlight w:val="none"/>
              </w:rPr>
            </w:pPr>
            <w:r>
              <w:rPr>
                <w:rFonts w:hint="eastAsia"/>
                <w:color w:val="auto"/>
                <w:sz w:val="24"/>
                <w:highlight w:val="none"/>
              </w:rPr>
              <w:t>序号</w:t>
            </w:r>
          </w:p>
        </w:tc>
        <w:tc>
          <w:tcPr>
            <w:tcW w:w="3119" w:type="dxa"/>
            <w:vAlign w:val="center"/>
          </w:tcPr>
          <w:p w14:paraId="2B67DD7D">
            <w:pPr>
              <w:pStyle w:val="10"/>
              <w:spacing w:line="360" w:lineRule="auto"/>
              <w:jc w:val="center"/>
              <w:rPr>
                <w:color w:val="auto"/>
                <w:sz w:val="24"/>
                <w:highlight w:val="none"/>
              </w:rPr>
            </w:pPr>
            <w:r>
              <w:rPr>
                <w:rFonts w:hint="eastAsia"/>
                <w:color w:val="auto"/>
                <w:sz w:val="24"/>
                <w:highlight w:val="none"/>
              </w:rPr>
              <w:t>唱标名称</w:t>
            </w:r>
          </w:p>
        </w:tc>
        <w:tc>
          <w:tcPr>
            <w:tcW w:w="4502" w:type="dxa"/>
            <w:vAlign w:val="center"/>
          </w:tcPr>
          <w:p w14:paraId="4F1F29E7">
            <w:pPr>
              <w:pStyle w:val="10"/>
              <w:spacing w:line="360" w:lineRule="auto"/>
              <w:jc w:val="center"/>
              <w:rPr>
                <w:color w:val="auto"/>
                <w:sz w:val="24"/>
                <w:highlight w:val="none"/>
              </w:rPr>
            </w:pPr>
            <w:r>
              <w:rPr>
                <w:rFonts w:hint="eastAsia"/>
                <w:color w:val="auto"/>
                <w:sz w:val="24"/>
                <w:highlight w:val="none"/>
              </w:rPr>
              <w:t>唱标内容</w:t>
            </w:r>
          </w:p>
        </w:tc>
      </w:tr>
      <w:tr w14:paraId="344682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527349B9">
            <w:pPr>
              <w:pStyle w:val="10"/>
              <w:spacing w:line="360" w:lineRule="auto"/>
              <w:jc w:val="center"/>
              <w:rPr>
                <w:color w:val="auto"/>
                <w:sz w:val="24"/>
                <w:highlight w:val="none"/>
              </w:rPr>
            </w:pPr>
            <w:r>
              <w:rPr>
                <w:rFonts w:hint="eastAsia"/>
                <w:color w:val="auto"/>
                <w:sz w:val="24"/>
                <w:highlight w:val="none"/>
              </w:rPr>
              <w:t>1</w:t>
            </w:r>
          </w:p>
        </w:tc>
        <w:tc>
          <w:tcPr>
            <w:tcW w:w="3119" w:type="dxa"/>
            <w:vAlign w:val="center"/>
          </w:tcPr>
          <w:p w14:paraId="0FB2F9D4">
            <w:pPr>
              <w:pStyle w:val="10"/>
              <w:spacing w:line="360" w:lineRule="auto"/>
              <w:jc w:val="center"/>
              <w:rPr>
                <w:color w:val="auto"/>
                <w:sz w:val="24"/>
                <w:highlight w:val="none"/>
              </w:rPr>
            </w:pPr>
            <w:r>
              <w:rPr>
                <w:rFonts w:hint="eastAsia"/>
                <w:color w:val="auto"/>
                <w:sz w:val="24"/>
                <w:highlight w:val="none"/>
              </w:rPr>
              <w:t>投标单位名称</w:t>
            </w:r>
          </w:p>
        </w:tc>
        <w:tc>
          <w:tcPr>
            <w:tcW w:w="4502" w:type="dxa"/>
            <w:vAlign w:val="center"/>
          </w:tcPr>
          <w:p w14:paraId="5372C870">
            <w:pPr>
              <w:pStyle w:val="10"/>
              <w:spacing w:line="360" w:lineRule="auto"/>
              <w:jc w:val="center"/>
              <w:rPr>
                <w:color w:val="auto"/>
                <w:sz w:val="24"/>
                <w:highlight w:val="none"/>
              </w:rPr>
            </w:pPr>
          </w:p>
        </w:tc>
      </w:tr>
      <w:tr w14:paraId="7E30A0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1D7581AD">
            <w:pPr>
              <w:pStyle w:val="10"/>
              <w:spacing w:line="360" w:lineRule="auto"/>
              <w:jc w:val="center"/>
              <w:rPr>
                <w:color w:val="auto"/>
                <w:sz w:val="24"/>
                <w:highlight w:val="none"/>
              </w:rPr>
            </w:pPr>
            <w:r>
              <w:rPr>
                <w:rFonts w:hint="eastAsia"/>
                <w:color w:val="auto"/>
                <w:sz w:val="24"/>
                <w:highlight w:val="none"/>
              </w:rPr>
              <w:t>2</w:t>
            </w:r>
          </w:p>
        </w:tc>
        <w:tc>
          <w:tcPr>
            <w:tcW w:w="3119" w:type="dxa"/>
            <w:vAlign w:val="center"/>
          </w:tcPr>
          <w:p w14:paraId="167316E0">
            <w:pPr>
              <w:pStyle w:val="10"/>
              <w:spacing w:line="360" w:lineRule="auto"/>
              <w:jc w:val="center"/>
              <w:rPr>
                <w:color w:val="auto"/>
                <w:sz w:val="24"/>
                <w:highlight w:val="none"/>
              </w:rPr>
            </w:pPr>
            <w:r>
              <w:rPr>
                <w:rFonts w:hint="eastAsia"/>
                <w:color w:val="auto"/>
                <w:sz w:val="24"/>
                <w:highlight w:val="none"/>
              </w:rPr>
              <w:t>投标报价（元）</w:t>
            </w:r>
          </w:p>
        </w:tc>
        <w:tc>
          <w:tcPr>
            <w:tcW w:w="4502" w:type="dxa"/>
            <w:vAlign w:val="center"/>
          </w:tcPr>
          <w:p w14:paraId="4D589992">
            <w:pPr>
              <w:pStyle w:val="10"/>
              <w:spacing w:line="360" w:lineRule="auto"/>
              <w:jc w:val="center"/>
              <w:rPr>
                <w:color w:val="auto"/>
                <w:sz w:val="24"/>
                <w:highlight w:val="none"/>
              </w:rPr>
            </w:pPr>
          </w:p>
        </w:tc>
      </w:tr>
      <w:tr w14:paraId="1753DF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2CB0DDB0">
            <w:pPr>
              <w:pStyle w:val="10"/>
              <w:spacing w:line="360" w:lineRule="auto"/>
              <w:jc w:val="center"/>
              <w:rPr>
                <w:color w:val="auto"/>
                <w:sz w:val="24"/>
                <w:highlight w:val="none"/>
              </w:rPr>
            </w:pPr>
            <w:r>
              <w:rPr>
                <w:rFonts w:hint="eastAsia"/>
                <w:color w:val="auto"/>
                <w:sz w:val="24"/>
                <w:highlight w:val="none"/>
              </w:rPr>
              <w:t>3</w:t>
            </w:r>
          </w:p>
        </w:tc>
        <w:tc>
          <w:tcPr>
            <w:tcW w:w="3119" w:type="dxa"/>
            <w:vAlign w:val="center"/>
          </w:tcPr>
          <w:p w14:paraId="7627DCF3">
            <w:pPr>
              <w:pStyle w:val="10"/>
              <w:spacing w:line="360" w:lineRule="auto"/>
              <w:jc w:val="center"/>
              <w:rPr>
                <w:rFonts w:hint="eastAsia" w:eastAsia="宋体"/>
                <w:color w:val="auto"/>
                <w:sz w:val="24"/>
                <w:highlight w:val="none"/>
                <w:lang w:eastAsia="zh-CN"/>
              </w:rPr>
            </w:pPr>
            <w:r>
              <w:rPr>
                <w:rFonts w:hint="eastAsia"/>
                <w:color w:val="auto"/>
                <w:sz w:val="24"/>
                <w:highlight w:val="none"/>
              </w:rPr>
              <w:t>服务期</w:t>
            </w:r>
            <w:r>
              <w:rPr>
                <w:rFonts w:hint="eastAsia"/>
                <w:color w:val="auto"/>
                <w:sz w:val="24"/>
                <w:highlight w:val="none"/>
                <w:lang w:eastAsia="zh-CN"/>
              </w:rPr>
              <w:t>（</w:t>
            </w:r>
            <w:r>
              <w:rPr>
                <w:rFonts w:hint="eastAsia"/>
                <w:color w:val="auto"/>
                <w:sz w:val="24"/>
                <w:highlight w:val="none"/>
                <w:lang w:val="en-US" w:eastAsia="zh-CN"/>
              </w:rPr>
              <w:t>日历天</w:t>
            </w:r>
            <w:r>
              <w:rPr>
                <w:rFonts w:hint="eastAsia"/>
                <w:color w:val="auto"/>
                <w:sz w:val="24"/>
                <w:highlight w:val="none"/>
                <w:lang w:eastAsia="zh-CN"/>
              </w:rPr>
              <w:t>）</w:t>
            </w:r>
          </w:p>
        </w:tc>
        <w:tc>
          <w:tcPr>
            <w:tcW w:w="4502" w:type="dxa"/>
            <w:vAlign w:val="center"/>
          </w:tcPr>
          <w:p w14:paraId="38770AC8">
            <w:pPr>
              <w:pStyle w:val="10"/>
              <w:spacing w:line="360" w:lineRule="auto"/>
              <w:jc w:val="center"/>
              <w:rPr>
                <w:color w:val="auto"/>
                <w:sz w:val="24"/>
                <w:highlight w:val="none"/>
              </w:rPr>
            </w:pPr>
          </w:p>
        </w:tc>
      </w:tr>
      <w:tr w14:paraId="62FCD6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4C9676CA">
            <w:pPr>
              <w:pStyle w:val="10"/>
              <w:spacing w:line="360" w:lineRule="auto"/>
              <w:jc w:val="center"/>
              <w:rPr>
                <w:color w:val="auto"/>
                <w:sz w:val="24"/>
                <w:highlight w:val="none"/>
              </w:rPr>
            </w:pPr>
            <w:r>
              <w:rPr>
                <w:rFonts w:hint="eastAsia"/>
                <w:color w:val="auto"/>
                <w:sz w:val="24"/>
                <w:highlight w:val="none"/>
              </w:rPr>
              <w:t>4</w:t>
            </w:r>
          </w:p>
        </w:tc>
        <w:tc>
          <w:tcPr>
            <w:tcW w:w="3119" w:type="dxa"/>
            <w:vAlign w:val="center"/>
          </w:tcPr>
          <w:p w14:paraId="59871A0F">
            <w:pPr>
              <w:pStyle w:val="10"/>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服务地点</w:t>
            </w:r>
          </w:p>
        </w:tc>
        <w:tc>
          <w:tcPr>
            <w:tcW w:w="4502" w:type="dxa"/>
            <w:vAlign w:val="center"/>
          </w:tcPr>
          <w:p w14:paraId="068EC085">
            <w:pPr>
              <w:pStyle w:val="10"/>
              <w:spacing w:line="360" w:lineRule="auto"/>
              <w:jc w:val="center"/>
              <w:rPr>
                <w:color w:val="auto"/>
                <w:sz w:val="24"/>
                <w:highlight w:val="none"/>
              </w:rPr>
            </w:pPr>
          </w:p>
        </w:tc>
      </w:tr>
      <w:tr w14:paraId="7A5C81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72860382">
            <w:pPr>
              <w:pStyle w:val="10"/>
              <w:spacing w:line="360" w:lineRule="auto"/>
              <w:jc w:val="center"/>
              <w:rPr>
                <w:color w:val="auto"/>
                <w:sz w:val="24"/>
                <w:highlight w:val="none"/>
              </w:rPr>
            </w:pPr>
            <w:r>
              <w:rPr>
                <w:rFonts w:hint="eastAsia"/>
                <w:color w:val="auto"/>
                <w:sz w:val="24"/>
                <w:highlight w:val="none"/>
              </w:rPr>
              <w:t>5</w:t>
            </w:r>
          </w:p>
        </w:tc>
        <w:tc>
          <w:tcPr>
            <w:tcW w:w="3119" w:type="dxa"/>
            <w:vAlign w:val="center"/>
          </w:tcPr>
          <w:p w14:paraId="4B532EDE">
            <w:pPr>
              <w:pStyle w:val="10"/>
              <w:spacing w:line="360" w:lineRule="auto"/>
              <w:jc w:val="center"/>
              <w:rPr>
                <w:color w:val="auto"/>
                <w:sz w:val="24"/>
                <w:highlight w:val="none"/>
              </w:rPr>
            </w:pPr>
            <w:r>
              <w:rPr>
                <w:rFonts w:hint="eastAsia"/>
                <w:color w:val="auto"/>
                <w:sz w:val="24"/>
                <w:highlight w:val="none"/>
              </w:rPr>
              <w:t>备注</w:t>
            </w:r>
          </w:p>
        </w:tc>
        <w:tc>
          <w:tcPr>
            <w:tcW w:w="4502" w:type="dxa"/>
            <w:vAlign w:val="center"/>
          </w:tcPr>
          <w:p w14:paraId="5844CB2F">
            <w:pPr>
              <w:pStyle w:val="10"/>
              <w:spacing w:line="360" w:lineRule="auto"/>
              <w:jc w:val="center"/>
              <w:rPr>
                <w:color w:val="auto"/>
                <w:sz w:val="24"/>
                <w:highlight w:val="none"/>
              </w:rPr>
            </w:pPr>
          </w:p>
        </w:tc>
      </w:tr>
    </w:tbl>
    <w:p w14:paraId="13693D81">
      <w:pPr>
        <w:pStyle w:val="10"/>
        <w:spacing w:line="360" w:lineRule="auto"/>
        <w:ind w:firstLine="646" w:firstLineChars="200"/>
        <w:jc w:val="center"/>
        <w:rPr>
          <w:color w:val="auto"/>
          <w:sz w:val="32"/>
          <w:highlight w:val="none"/>
        </w:rPr>
      </w:pPr>
    </w:p>
    <w:p w14:paraId="693746D5">
      <w:pPr>
        <w:pStyle w:val="10"/>
        <w:spacing w:line="360" w:lineRule="auto"/>
        <w:ind w:firstLine="406" w:firstLineChars="2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供应商名称（盖章）：________</w:t>
      </w:r>
    </w:p>
    <w:p w14:paraId="751631A3">
      <w:pPr>
        <w:pStyle w:val="10"/>
        <w:spacing w:line="360" w:lineRule="auto"/>
        <w:ind w:firstLine="406" w:firstLineChars="200"/>
        <w:jc w:val="left"/>
        <w:rPr>
          <w:rFonts w:ascii="宋体" w:hAnsi="宋体" w:cs="宋体"/>
          <w:color w:val="auto"/>
          <w:kern w:val="0"/>
          <w:sz w:val="20"/>
          <w:szCs w:val="20"/>
          <w:highlight w:val="none"/>
        </w:rPr>
      </w:pPr>
    </w:p>
    <w:p w14:paraId="4D845BFC">
      <w:pPr>
        <w:pStyle w:val="10"/>
        <w:spacing w:line="360" w:lineRule="auto"/>
        <w:ind w:firstLine="406" w:firstLineChars="200"/>
        <w:jc w:val="left"/>
        <w:rPr>
          <w:rFonts w:ascii="宋体" w:hAnsi="宋体" w:cs="宋体"/>
          <w:color w:val="auto"/>
          <w:kern w:val="0"/>
          <w:sz w:val="20"/>
          <w:szCs w:val="20"/>
          <w:highlight w:val="none"/>
        </w:rPr>
      </w:pPr>
    </w:p>
    <w:p w14:paraId="1004C15D">
      <w:pPr>
        <w:pStyle w:val="10"/>
        <w:spacing w:line="360" w:lineRule="auto"/>
        <w:ind w:firstLine="406" w:firstLineChars="200"/>
        <w:jc w:val="left"/>
        <w:rPr>
          <w:rFonts w:ascii="宋体" w:hAnsi="宋体" w:cs="宋体"/>
          <w:color w:val="auto"/>
          <w:kern w:val="0"/>
          <w:sz w:val="20"/>
          <w:szCs w:val="20"/>
          <w:highlight w:val="none"/>
        </w:rPr>
      </w:pPr>
    </w:p>
    <w:p w14:paraId="6855D050">
      <w:pPr>
        <w:pStyle w:val="10"/>
        <w:spacing w:line="360" w:lineRule="auto"/>
        <w:ind w:firstLine="406" w:firstLineChars="200"/>
        <w:jc w:val="left"/>
        <w:rPr>
          <w:rFonts w:ascii="宋体" w:hAnsi="宋体" w:cs="宋体"/>
          <w:color w:val="auto"/>
          <w:kern w:val="0"/>
          <w:sz w:val="20"/>
          <w:szCs w:val="20"/>
          <w:highlight w:val="none"/>
        </w:rPr>
      </w:pPr>
    </w:p>
    <w:p w14:paraId="0D4B9085">
      <w:pPr>
        <w:pStyle w:val="10"/>
        <w:spacing w:line="360" w:lineRule="auto"/>
        <w:ind w:firstLine="406" w:firstLineChars="200"/>
        <w:jc w:val="left"/>
        <w:rPr>
          <w:rFonts w:ascii="宋体" w:hAnsi="宋体" w:cs="宋体"/>
          <w:color w:val="auto"/>
          <w:kern w:val="0"/>
          <w:sz w:val="20"/>
          <w:szCs w:val="20"/>
          <w:highlight w:val="none"/>
        </w:rPr>
      </w:pPr>
    </w:p>
    <w:p w14:paraId="2E61F130">
      <w:pPr>
        <w:pStyle w:val="10"/>
        <w:spacing w:line="360" w:lineRule="auto"/>
        <w:ind w:firstLine="406" w:firstLineChars="200"/>
        <w:jc w:val="left"/>
        <w:rPr>
          <w:rFonts w:ascii="宋体" w:hAnsi="宋体" w:cs="宋体"/>
          <w:color w:val="auto"/>
          <w:kern w:val="0"/>
          <w:sz w:val="20"/>
          <w:szCs w:val="20"/>
          <w:highlight w:val="none"/>
        </w:rPr>
      </w:pPr>
    </w:p>
    <w:p w14:paraId="13FCFB3B">
      <w:pPr>
        <w:pStyle w:val="10"/>
        <w:spacing w:line="360" w:lineRule="auto"/>
        <w:ind w:firstLine="406" w:firstLineChars="200"/>
        <w:jc w:val="left"/>
        <w:rPr>
          <w:rFonts w:ascii="宋体" w:hAnsi="宋体" w:cs="宋体"/>
          <w:color w:val="auto"/>
          <w:kern w:val="0"/>
          <w:sz w:val="20"/>
          <w:szCs w:val="20"/>
          <w:highlight w:val="none"/>
        </w:rPr>
      </w:pPr>
    </w:p>
    <w:p w14:paraId="4CA9AD70">
      <w:pPr>
        <w:pStyle w:val="10"/>
        <w:spacing w:line="360" w:lineRule="auto"/>
        <w:ind w:firstLine="406" w:firstLineChars="200"/>
        <w:jc w:val="left"/>
        <w:rPr>
          <w:rFonts w:ascii="宋体" w:hAnsi="宋体" w:cs="宋体"/>
          <w:color w:val="auto"/>
          <w:kern w:val="0"/>
          <w:sz w:val="20"/>
          <w:szCs w:val="20"/>
          <w:highlight w:val="none"/>
        </w:rPr>
      </w:pPr>
    </w:p>
    <w:p w14:paraId="2B234EEB">
      <w:pPr>
        <w:pStyle w:val="10"/>
        <w:spacing w:line="360" w:lineRule="auto"/>
        <w:ind w:firstLine="406" w:firstLineChars="200"/>
        <w:jc w:val="left"/>
        <w:rPr>
          <w:rFonts w:ascii="宋体" w:hAnsi="宋体" w:cs="宋体"/>
          <w:color w:val="auto"/>
          <w:kern w:val="0"/>
          <w:sz w:val="20"/>
          <w:szCs w:val="20"/>
          <w:highlight w:val="none"/>
        </w:rPr>
      </w:pPr>
    </w:p>
    <w:p w14:paraId="1BBD4AE8">
      <w:pPr>
        <w:pStyle w:val="10"/>
        <w:spacing w:line="360" w:lineRule="auto"/>
        <w:ind w:firstLine="406" w:firstLineChars="200"/>
        <w:jc w:val="left"/>
        <w:rPr>
          <w:rFonts w:ascii="宋体" w:hAnsi="宋体" w:cs="宋体"/>
          <w:color w:val="auto"/>
          <w:kern w:val="0"/>
          <w:sz w:val="20"/>
          <w:szCs w:val="20"/>
          <w:highlight w:val="none"/>
        </w:rPr>
      </w:pPr>
    </w:p>
    <w:p w14:paraId="522600FE">
      <w:pPr>
        <w:pStyle w:val="10"/>
        <w:spacing w:line="360" w:lineRule="auto"/>
        <w:ind w:firstLine="406" w:firstLineChars="200"/>
        <w:jc w:val="left"/>
        <w:rPr>
          <w:rFonts w:ascii="宋体" w:hAnsi="宋体" w:cs="宋体"/>
          <w:color w:val="auto"/>
          <w:kern w:val="0"/>
          <w:sz w:val="20"/>
          <w:szCs w:val="20"/>
          <w:highlight w:val="none"/>
        </w:rPr>
      </w:pPr>
    </w:p>
    <w:p w14:paraId="7BD4ED60">
      <w:pPr>
        <w:pStyle w:val="10"/>
        <w:spacing w:line="360" w:lineRule="auto"/>
        <w:ind w:firstLine="406" w:firstLineChars="200"/>
        <w:jc w:val="left"/>
        <w:rPr>
          <w:rFonts w:ascii="宋体" w:hAnsi="宋体" w:cs="宋体"/>
          <w:color w:val="auto"/>
          <w:kern w:val="0"/>
          <w:sz w:val="20"/>
          <w:szCs w:val="20"/>
          <w:highlight w:val="none"/>
        </w:rPr>
      </w:pPr>
    </w:p>
    <w:p w14:paraId="560B4B06">
      <w:pPr>
        <w:pStyle w:val="10"/>
        <w:spacing w:line="360" w:lineRule="auto"/>
        <w:ind w:firstLine="406" w:firstLineChars="200"/>
        <w:jc w:val="left"/>
        <w:rPr>
          <w:rFonts w:ascii="宋体" w:hAnsi="宋体" w:cs="宋体"/>
          <w:color w:val="auto"/>
          <w:kern w:val="0"/>
          <w:sz w:val="20"/>
          <w:szCs w:val="20"/>
          <w:highlight w:val="none"/>
        </w:rPr>
      </w:pPr>
    </w:p>
    <w:p w14:paraId="11008769">
      <w:pPr>
        <w:pStyle w:val="10"/>
        <w:spacing w:line="360" w:lineRule="auto"/>
        <w:ind w:firstLine="614" w:firstLineChars="200"/>
        <w:jc w:val="center"/>
        <w:rPr>
          <w:rFonts w:ascii="宋体" w:hAnsi="宋体" w:cs="宋体"/>
          <w:color w:val="auto"/>
          <w:spacing w:val="7"/>
          <w:sz w:val="29"/>
          <w:szCs w:val="29"/>
          <w:highlight w:val="none"/>
          <w14:textOutline w14:w="5435" w14:cap="flat" w14:cmpd="sng" w14:algn="ctr">
            <w14:solidFill>
              <w14:srgbClr w14:val="000000"/>
            </w14:solidFill>
            <w14:prstDash w14:val="solid"/>
            <w14:miter w14:val="0"/>
          </w14:textOutline>
        </w:rPr>
      </w:pPr>
      <w:r>
        <w:rPr>
          <w:rFonts w:hint="eastAsia" w:ascii="宋体" w:hAnsi="宋体" w:cs="宋体"/>
          <w:color w:val="auto"/>
          <w:spacing w:val="7"/>
          <w:sz w:val="29"/>
          <w:szCs w:val="29"/>
          <w:highlight w:val="none"/>
          <w14:textOutline w14:w="5435" w14:cap="flat" w14:cmpd="sng" w14:algn="ctr">
            <w14:solidFill>
              <w14:srgbClr w14:val="000000"/>
            </w14:solidFill>
            <w14:prstDash w14:val="solid"/>
            <w14:miter w14:val="0"/>
          </w14:textOutline>
        </w:rPr>
        <w:t>2.1分项报价表</w:t>
      </w:r>
    </w:p>
    <w:p w14:paraId="22814DB2">
      <w:pPr>
        <w:pStyle w:val="10"/>
        <w:spacing w:line="360" w:lineRule="auto"/>
        <w:ind w:firstLine="406" w:firstLineChars="2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格式自拟</w:t>
      </w:r>
    </w:p>
    <w:p w14:paraId="307732E4">
      <w:pPr>
        <w:pStyle w:val="10"/>
        <w:spacing w:line="360" w:lineRule="auto"/>
        <w:ind w:firstLine="406" w:firstLineChars="200"/>
        <w:jc w:val="left"/>
        <w:rPr>
          <w:rFonts w:ascii="宋体" w:hAnsi="宋体" w:cs="宋体"/>
          <w:color w:val="auto"/>
          <w:kern w:val="0"/>
          <w:sz w:val="20"/>
          <w:szCs w:val="20"/>
          <w:highlight w:val="none"/>
        </w:rPr>
      </w:pPr>
    </w:p>
    <w:p w14:paraId="3023701F">
      <w:pPr>
        <w:pStyle w:val="10"/>
        <w:spacing w:line="360" w:lineRule="auto"/>
        <w:ind w:firstLine="406" w:firstLineChars="200"/>
        <w:jc w:val="left"/>
        <w:rPr>
          <w:rFonts w:ascii="宋体" w:hAnsi="宋体" w:cs="宋体"/>
          <w:color w:val="auto"/>
          <w:kern w:val="0"/>
          <w:sz w:val="20"/>
          <w:szCs w:val="20"/>
          <w:highlight w:val="none"/>
        </w:rPr>
      </w:pPr>
    </w:p>
    <w:p w14:paraId="23C6DFB1">
      <w:pPr>
        <w:pStyle w:val="10"/>
        <w:spacing w:line="360" w:lineRule="auto"/>
        <w:ind w:firstLine="406" w:firstLineChars="200"/>
        <w:jc w:val="left"/>
        <w:rPr>
          <w:rFonts w:ascii="宋体" w:hAnsi="宋体" w:cs="宋体"/>
          <w:color w:val="auto"/>
          <w:kern w:val="0"/>
          <w:sz w:val="20"/>
          <w:szCs w:val="20"/>
          <w:highlight w:val="none"/>
        </w:rPr>
      </w:pPr>
    </w:p>
    <w:p w14:paraId="49BF3FED">
      <w:pPr>
        <w:pStyle w:val="10"/>
        <w:spacing w:line="360" w:lineRule="auto"/>
        <w:ind w:firstLine="406" w:firstLineChars="200"/>
        <w:jc w:val="left"/>
        <w:rPr>
          <w:rFonts w:ascii="宋体" w:hAnsi="宋体" w:cs="宋体"/>
          <w:color w:val="auto"/>
          <w:kern w:val="0"/>
          <w:sz w:val="20"/>
          <w:szCs w:val="20"/>
          <w:highlight w:val="none"/>
        </w:rPr>
      </w:pPr>
    </w:p>
    <w:p w14:paraId="352CB826">
      <w:pPr>
        <w:pStyle w:val="10"/>
        <w:spacing w:line="360" w:lineRule="auto"/>
        <w:ind w:firstLine="406" w:firstLineChars="200"/>
        <w:jc w:val="left"/>
        <w:rPr>
          <w:rFonts w:ascii="宋体" w:hAnsi="宋体" w:cs="宋体"/>
          <w:color w:val="auto"/>
          <w:kern w:val="0"/>
          <w:sz w:val="20"/>
          <w:szCs w:val="20"/>
          <w:highlight w:val="none"/>
        </w:rPr>
      </w:pPr>
    </w:p>
    <w:p w14:paraId="550EB536">
      <w:pPr>
        <w:pStyle w:val="10"/>
        <w:spacing w:line="360" w:lineRule="auto"/>
        <w:ind w:firstLine="406" w:firstLineChars="200"/>
        <w:jc w:val="left"/>
        <w:rPr>
          <w:rFonts w:ascii="宋体" w:hAnsi="宋体" w:cs="宋体"/>
          <w:color w:val="auto"/>
          <w:kern w:val="0"/>
          <w:sz w:val="20"/>
          <w:szCs w:val="20"/>
          <w:highlight w:val="none"/>
        </w:rPr>
      </w:pPr>
    </w:p>
    <w:p w14:paraId="362EE64B">
      <w:pPr>
        <w:pStyle w:val="10"/>
        <w:spacing w:line="360" w:lineRule="auto"/>
        <w:ind w:firstLine="406" w:firstLineChars="200"/>
        <w:jc w:val="left"/>
        <w:rPr>
          <w:rFonts w:ascii="宋体" w:hAnsi="宋体" w:cs="宋体"/>
          <w:color w:val="auto"/>
          <w:kern w:val="0"/>
          <w:sz w:val="20"/>
          <w:szCs w:val="20"/>
          <w:highlight w:val="none"/>
        </w:rPr>
      </w:pPr>
    </w:p>
    <w:p w14:paraId="73E2E63F">
      <w:pPr>
        <w:pStyle w:val="10"/>
        <w:spacing w:line="360" w:lineRule="auto"/>
        <w:ind w:firstLine="406" w:firstLineChars="200"/>
        <w:jc w:val="left"/>
        <w:rPr>
          <w:rFonts w:ascii="宋体" w:hAnsi="宋体" w:cs="宋体"/>
          <w:color w:val="auto"/>
          <w:kern w:val="0"/>
          <w:sz w:val="20"/>
          <w:szCs w:val="20"/>
          <w:highlight w:val="none"/>
        </w:rPr>
      </w:pPr>
    </w:p>
    <w:p w14:paraId="72A73917">
      <w:pPr>
        <w:pStyle w:val="10"/>
        <w:spacing w:line="360" w:lineRule="auto"/>
        <w:ind w:firstLine="406" w:firstLineChars="200"/>
        <w:jc w:val="left"/>
        <w:rPr>
          <w:rFonts w:ascii="宋体" w:hAnsi="宋体" w:cs="宋体"/>
          <w:color w:val="auto"/>
          <w:kern w:val="0"/>
          <w:sz w:val="20"/>
          <w:szCs w:val="20"/>
          <w:highlight w:val="none"/>
        </w:rPr>
      </w:pPr>
    </w:p>
    <w:p w14:paraId="05E3E509">
      <w:pPr>
        <w:pStyle w:val="10"/>
        <w:spacing w:line="360" w:lineRule="auto"/>
        <w:ind w:firstLine="406" w:firstLineChars="200"/>
        <w:jc w:val="left"/>
        <w:rPr>
          <w:rFonts w:ascii="宋体" w:hAnsi="宋体" w:cs="宋体"/>
          <w:color w:val="auto"/>
          <w:kern w:val="0"/>
          <w:sz w:val="20"/>
          <w:szCs w:val="20"/>
          <w:highlight w:val="none"/>
        </w:rPr>
      </w:pPr>
    </w:p>
    <w:p w14:paraId="241F231B">
      <w:pPr>
        <w:pStyle w:val="10"/>
        <w:spacing w:line="360" w:lineRule="auto"/>
        <w:ind w:firstLine="406" w:firstLineChars="200"/>
        <w:jc w:val="left"/>
        <w:rPr>
          <w:rFonts w:ascii="宋体" w:hAnsi="宋体" w:cs="宋体"/>
          <w:color w:val="auto"/>
          <w:kern w:val="0"/>
          <w:sz w:val="20"/>
          <w:szCs w:val="20"/>
          <w:highlight w:val="none"/>
        </w:rPr>
      </w:pPr>
    </w:p>
    <w:p w14:paraId="328A0D2A">
      <w:pPr>
        <w:pStyle w:val="10"/>
        <w:spacing w:line="360" w:lineRule="auto"/>
        <w:ind w:firstLine="406" w:firstLineChars="200"/>
        <w:jc w:val="left"/>
        <w:rPr>
          <w:rFonts w:ascii="宋体" w:hAnsi="宋体" w:cs="宋体"/>
          <w:color w:val="auto"/>
          <w:kern w:val="0"/>
          <w:sz w:val="20"/>
          <w:szCs w:val="20"/>
          <w:highlight w:val="none"/>
        </w:rPr>
      </w:pPr>
    </w:p>
    <w:p w14:paraId="6AFD6791">
      <w:pPr>
        <w:pStyle w:val="10"/>
        <w:spacing w:line="360" w:lineRule="auto"/>
        <w:ind w:firstLine="406" w:firstLineChars="200"/>
        <w:jc w:val="left"/>
        <w:rPr>
          <w:rFonts w:ascii="宋体" w:hAnsi="宋体" w:cs="宋体"/>
          <w:color w:val="auto"/>
          <w:kern w:val="0"/>
          <w:sz w:val="20"/>
          <w:szCs w:val="20"/>
          <w:highlight w:val="none"/>
        </w:rPr>
      </w:pPr>
    </w:p>
    <w:p w14:paraId="547B483D">
      <w:pPr>
        <w:pStyle w:val="10"/>
        <w:spacing w:line="360" w:lineRule="auto"/>
        <w:ind w:firstLine="406" w:firstLineChars="200"/>
        <w:jc w:val="left"/>
        <w:rPr>
          <w:rFonts w:ascii="宋体" w:hAnsi="宋体" w:cs="宋体"/>
          <w:color w:val="auto"/>
          <w:kern w:val="0"/>
          <w:sz w:val="20"/>
          <w:szCs w:val="20"/>
          <w:highlight w:val="none"/>
        </w:rPr>
      </w:pPr>
    </w:p>
    <w:p w14:paraId="5CCC572D">
      <w:pPr>
        <w:pStyle w:val="10"/>
        <w:spacing w:line="360" w:lineRule="auto"/>
        <w:ind w:firstLine="406" w:firstLineChars="200"/>
        <w:jc w:val="left"/>
        <w:rPr>
          <w:rFonts w:ascii="宋体" w:hAnsi="宋体" w:cs="宋体"/>
          <w:color w:val="auto"/>
          <w:kern w:val="0"/>
          <w:sz w:val="20"/>
          <w:szCs w:val="20"/>
          <w:highlight w:val="none"/>
        </w:rPr>
      </w:pPr>
    </w:p>
    <w:p w14:paraId="31B84AE6">
      <w:pPr>
        <w:pStyle w:val="10"/>
        <w:spacing w:line="360" w:lineRule="auto"/>
        <w:ind w:firstLine="406" w:firstLineChars="200"/>
        <w:jc w:val="left"/>
        <w:rPr>
          <w:rFonts w:ascii="宋体" w:hAnsi="宋体" w:cs="宋体"/>
          <w:color w:val="auto"/>
          <w:kern w:val="0"/>
          <w:sz w:val="20"/>
          <w:szCs w:val="20"/>
          <w:highlight w:val="none"/>
        </w:rPr>
      </w:pPr>
    </w:p>
    <w:p w14:paraId="4BC408BE">
      <w:pPr>
        <w:pStyle w:val="10"/>
        <w:spacing w:line="360" w:lineRule="auto"/>
        <w:ind w:firstLine="406" w:firstLineChars="200"/>
        <w:jc w:val="left"/>
        <w:rPr>
          <w:rFonts w:ascii="宋体" w:hAnsi="宋体" w:cs="宋体"/>
          <w:color w:val="auto"/>
          <w:kern w:val="0"/>
          <w:sz w:val="20"/>
          <w:szCs w:val="20"/>
          <w:highlight w:val="none"/>
        </w:rPr>
      </w:pPr>
    </w:p>
    <w:p w14:paraId="1199A192">
      <w:pPr>
        <w:pStyle w:val="10"/>
        <w:spacing w:line="360" w:lineRule="auto"/>
        <w:ind w:firstLine="406" w:firstLineChars="200"/>
        <w:jc w:val="left"/>
        <w:rPr>
          <w:rFonts w:ascii="宋体" w:hAnsi="宋体" w:cs="宋体"/>
          <w:color w:val="auto"/>
          <w:kern w:val="0"/>
          <w:sz w:val="20"/>
          <w:szCs w:val="20"/>
          <w:highlight w:val="none"/>
        </w:rPr>
      </w:pPr>
    </w:p>
    <w:p w14:paraId="07F40A4F">
      <w:pPr>
        <w:pStyle w:val="10"/>
        <w:spacing w:line="360" w:lineRule="auto"/>
        <w:ind w:firstLine="406" w:firstLineChars="200"/>
        <w:jc w:val="left"/>
        <w:rPr>
          <w:rFonts w:ascii="宋体" w:hAnsi="宋体" w:cs="宋体"/>
          <w:color w:val="auto"/>
          <w:kern w:val="0"/>
          <w:sz w:val="20"/>
          <w:szCs w:val="20"/>
          <w:highlight w:val="none"/>
        </w:rPr>
      </w:pPr>
    </w:p>
    <w:p w14:paraId="586362D4">
      <w:pPr>
        <w:pStyle w:val="10"/>
        <w:spacing w:line="360" w:lineRule="auto"/>
        <w:ind w:firstLine="406" w:firstLineChars="200"/>
        <w:jc w:val="left"/>
        <w:rPr>
          <w:rFonts w:ascii="宋体" w:hAnsi="宋体" w:cs="宋体"/>
          <w:color w:val="auto"/>
          <w:kern w:val="0"/>
          <w:sz w:val="20"/>
          <w:szCs w:val="20"/>
          <w:highlight w:val="none"/>
        </w:rPr>
      </w:pPr>
    </w:p>
    <w:p w14:paraId="1084A571">
      <w:pPr>
        <w:pStyle w:val="10"/>
        <w:spacing w:line="360" w:lineRule="auto"/>
        <w:ind w:firstLine="406" w:firstLineChars="200"/>
        <w:jc w:val="left"/>
        <w:rPr>
          <w:rFonts w:ascii="宋体" w:hAnsi="宋体" w:cs="宋体"/>
          <w:color w:val="auto"/>
          <w:kern w:val="0"/>
          <w:sz w:val="20"/>
          <w:szCs w:val="20"/>
          <w:highlight w:val="none"/>
        </w:rPr>
      </w:pPr>
    </w:p>
    <w:p w14:paraId="57F7D834">
      <w:pPr>
        <w:spacing w:line="360" w:lineRule="auto"/>
        <w:ind w:left="-10" w:leftChars="-5" w:firstLine="10" w:firstLineChars="3"/>
        <w:jc w:val="center"/>
        <w:rPr>
          <w:rFonts w:ascii="宋体" w:hAnsi="宋体" w:cs="宋体"/>
          <w:b/>
          <w:color w:val="auto"/>
          <w:sz w:val="28"/>
          <w:szCs w:val="28"/>
          <w:highlight w:val="none"/>
        </w:rPr>
      </w:pPr>
      <w:r>
        <w:rPr>
          <w:rFonts w:hint="eastAsia" w:ascii="宋体" w:hAnsi="宋体" w:cs="宋体"/>
          <w:b/>
          <w:color w:val="auto"/>
          <w:sz w:val="36"/>
          <w:szCs w:val="36"/>
          <w:highlight w:val="none"/>
        </w:rPr>
        <w:t>三、法定代表人身份证明</w:t>
      </w:r>
    </w:p>
    <w:p w14:paraId="28170D98">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rPr>
        <w:t>致（采购代理机构）：</w:t>
      </w:r>
    </w:p>
    <w:p w14:paraId="18CF01D7">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u w:val="single"/>
        </w:rPr>
        <w:t xml:space="preserve">（投标单位全称） </w:t>
      </w:r>
      <w:r>
        <w:rPr>
          <w:rFonts w:hint="eastAsia" w:ascii="宋体" w:hAnsi="宋体" w:cs="宋体"/>
          <w:color w:val="auto"/>
          <w:highlight w:val="none"/>
        </w:rPr>
        <w:t>法定代表人</w:t>
      </w:r>
      <w:r>
        <w:rPr>
          <w:rFonts w:hint="eastAsia" w:ascii="宋体" w:hAnsi="宋体" w:cs="宋体"/>
          <w:color w:val="auto"/>
          <w:highlight w:val="none"/>
          <w:u w:val="single"/>
        </w:rPr>
        <w:t xml:space="preserve"> 姓名</w:t>
      </w: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r>
        <w:rPr>
          <w:rFonts w:hint="eastAsia" w:ascii="宋体" w:hAnsi="宋体" w:cs="宋体"/>
          <w:color w:val="auto"/>
          <w:highlight w:val="none"/>
        </w:rPr>
        <w:t>），参加贵方组织的项目名称（项目编号：</w:t>
      </w:r>
      <w:r>
        <w:rPr>
          <w:rFonts w:hint="eastAsia" w:ascii="宋体" w:hAnsi="宋体" w:cs="宋体"/>
          <w:color w:val="auto"/>
          <w:highlight w:val="none"/>
          <w:u w:val="single"/>
        </w:rPr>
        <w:t xml:space="preserve"> </w:t>
      </w:r>
      <w:r>
        <w:rPr>
          <w:rFonts w:hint="eastAsia" w:ascii="宋体" w:hAnsi="宋体" w:cs="宋体"/>
          <w:color w:val="auto"/>
          <w:highlight w:val="none"/>
        </w:rPr>
        <w:t>）的招标投标活动，代表本公司处理招标投标活动中的一切事宜。</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73FE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4BBE4EDD">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rPr>
              <w:t>法定代表人身份证复印件</w:t>
            </w:r>
          </w:p>
          <w:p w14:paraId="0BBF7160">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rPr>
              <w:t>正面</w:t>
            </w:r>
          </w:p>
          <w:p w14:paraId="55D4A7B6">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rPr>
              <w:t>（身份证复印件需清晰可辨认）</w:t>
            </w:r>
          </w:p>
        </w:tc>
        <w:tc>
          <w:tcPr>
            <w:tcW w:w="4512" w:type="dxa"/>
            <w:vAlign w:val="center"/>
          </w:tcPr>
          <w:p w14:paraId="54B9FA5C">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rPr>
              <w:t>法定代表人身份证复印件</w:t>
            </w:r>
          </w:p>
          <w:p w14:paraId="2B98C816">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rPr>
              <w:t>反面</w:t>
            </w:r>
          </w:p>
          <w:p w14:paraId="3B1B070D">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rPr>
              <w:t>（身份证复印件需清晰可辨认）</w:t>
            </w:r>
          </w:p>
        </w:tc>
      </w:tr>
    </w:tbl>
    <w:p w14:paraId="1B517427">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rPr>
        <w:t>注：身份证复印件如为粘贴的，须在身份证复印件与本页接缝处加盖公章；</w:t>
      </w:r>
    </w:p>
    <w:p w14:paraId="31F6D1AD">
      <w:pPr>
        <w:pStyle w:val="3"/>
        <w:spacing w:before="317" w:beforeLines="100" w:after="158" w:afterLines="50" w:line="360" w:lineRule="auto"/>
        <w:ind w:left="429"/>
        <w:rPr>
          <w:rFonts w:ascii="宋体" w:hAnsi="宋体" w:cs="宋体"/>
          <w:color w:val="auto"/>
          <w:highlight w:val="none"/>
        </w:rPr>
      </w:pPr>
    </w:p>
    <w:p w14:paraId="0D5747C9">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 xml:space="preserve">                                                法定代表人（签章）：  </w:t>
      </w:r>
    </w:p>
    <w:p w14:paraId="2859C064">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 xml:space="preserve">                                            供应商（公章）：</w:t>
      </w:r>
    </w:p>
    <w:p w14:paraId="07FBCC8C">
      <w:pPr>
        <w:spacing w:line="360" w:lineRule="auto"/>
        <w:ind w:left="-10" w:leftChars="-5" w:firstLine="8" w:firstLineChars="3"/>
        <w:jc w:val="center"/>
        <w:rPr>
          <w:rFonts w:ascii="宋体" w:hAnsi="宋体" w:cs="宋体"/>
          <w:color w:val="auto"/>
          <w:sz w:val="28"/>
          <w:szCs w:val="28"/>
          <w:highlight w:val="none"/>
        </w:rPr>
      </w:pPr>
    </w:p>
    <w:p w14:paraId="30B27213">
      <w:pPr>
        <w:spacing w:line="360" w:lineRule="auto"/>
        <w:ind w:left="-10" w:leftChars="-5" w:firstLine="8" w:firstLineChars="3"/>
        <w:jc w:val="center"/>
        <w:rPr>
          <w:rFonts w:ascii="宋体" w:hAnsi="宋体" w:cs="宋体"/>
          <w:color w:val="auto"/>
          <w:sz w:val="28"/>
          <w:szCs w:val="28"/>
          <w:highlight w:val="none"/>
        </w:rPr>
      </w:pPr>
    </w:p>
    <w:p w14:paraId="15BBCA86">
      <w:pPr>
        <w:spacing w:line="360" w:lineRule="auto"/>
        <w:ind w:left="-10" w:leftChars="-5" w:firstLine="8" w:firstLineChars="3"/>
        <w:jc w:val="center"/>
        <w:rPr>
          <w:rFonts w:ascii="宋体" w:hAnsi="宋体" w:cs="宋体"/>
          <w:color w:val="auto"/>
          <w:sz w:val="28"/>
          <w:szCs w:val="28"/>
          <w:highlight w:val="none"/>
        </w:rPr>
      </w:pPr>
    </w:p>
    <w:p w14:paraId="46FD000F">
      <w:pPr>
        <w:spacing w:line="360" w:lineRule="auto"/>
        <w:ind w:left="-10" w:leftChars="-5" w:firstLine="8" w:firstLineChars="3"/>
        <w:jc w:val="center"/>
        <w:rPr>
          <w:rFonts w:ascii="宋体" w:hAnsi="宋体" w:cs="宋体"/>
          <w:color w:val="auto"/>
          <w:sz w:val="28"/>
          <w:szCs w:val="28"/>
          <w:highlight w:val="none"/>
        </w:rPr>
      </w:pPr>
    </w:p>
    <w:p w14:paraId="06D6EACE">
      <w:pPr>
        <w:spacing w:line="360" w:lineRule="auto"/>
        <w:ind w:left="-10" w:leftChars="-5" w:firstLine="8" w:firstLineChars="3"/>
        <w:jc w:val="center"/>
        <w:rPr>
          <w:rFonts w:ascii="宋体" w:hAnsi="宋体" w:cs="宋体"/>
          <w:color w:val="auto"/>
          <w:sz w:val="28"/>
          <w:szCs w:val="28"/>
          <w:highlight w:val="none"/>
        </w:rPr>
      </w:pPr>
    </w:p>
    <w:p w14:paraId="6992DA98">
      <w:pPr>
        <w:spacing w:line="360" w:lineRule="auto"/>
        <w:ind w:left="-10" w:leftChars="-5" w:firstLine="8" w:firstLineChars="3"/>
        <w:jc w:val="center"/>
        <w:rPr>
          <w:rFonts w:ascii="宋体" w:hAnsi="宋体" w:cs="宋体"/>
          <w:color w:val="auto"/>
          <w:sz w:val="28"/>
          <w:szCs w:val="28"/>
          <w:highlight w:val="none"/>
        </w:rPr>
      </w:pPr>
    </w:p>
    <w:p w14:paraId="75A390D1">
      <w:pPr>
        <w:spacing w:line="360" w:lineRule="auto"/>
        <w:ind w:left="-10" w:leftChars="-5" w:firstLine="8" w:firstLineChars="3"/>
        <w:jc w:val="center"/>
        <w:rPr>
          <w:rFonts w:ascii="宋体" w:hAnsi="宋体" w:cs="宋体"/>
          <w:color w:val="auto"/>
          <w:sz w:val="28"/>
          <w:szCs w:val="28"/>
          <w:highlight w:val="none"/>
        </w:rPr>
      </w:pPr>
    </w:p>
    <w:p w14:paraId="39BB8FE9">
      <w:pPr>
        <w:pStyle w:val="25"/>
        <w:spacing w:line="360" w:lineRule="auto"/>
        <w:ind w:firstLine="0" w:firstLineChars="0"/>
        <w:rPr>
          <w:color w:val="auto"/>
          <w:highlight w:val="none"/>
        </w:rPr>
      </w:pPr>
    </w:p>
    <w:p w14:paraId="67D0BA3A">
      <w:pPr>
        <w:spacing w:line="360" w:lineRule="auto"/>
        <w:ind w:left="-10" w:leftChars="-5" w:firstLine="10" w:firstLineChars="3"/>
        <w:jc w:val="center"/>
        <w:rPr>
          <w:rFonts w:ascii="宋体" w:hAnsi="宋体" w:cs="宋体"/>
          <w:color w:val="auto"/>
          <w:sz w:val="28"/>
          <w:szCs w:val="28"/>
          <w:highlight w:val="none"/>
        </w:rPr>
      </w:pPr>
      <w:r>
        <w:rPr>
          <w:rFonts w:hint="eastAsia" w:ascii="宋体" w:hAnsi="宋体" w:cs="宋体"/>
          <w:b/>
          <w:bCs/>
          <w:color w:val="auto"/>
          <w:sz w:val="36"/>
          <w:szCs w:val="36"/>
          <w:highlight w:val="none"/>
        </w:rPr>
        <w:t>3.1法定代表人授权委托书</w:t>
      </w:r>
    </w:p>
    <w:p w14:paraId="07A7F852">
      <w:pPr>
        <w:pStyle w:val="3"/>
        <w:spacing w:before="317" w:beforeLines="100" w:after="158" w:afterLines="50" w:line="360" w:lineRule="auto"/>
        <w:ind w:left="429"/>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（采购代理机构）</w:t>
      </w:r>
      <w:r>
        <w:rPr>
          <w:rFonts w:hint="eastAsia" w:ascii="宋体" w:hAnsi="宋体" w:cs="宋体"/>
          <w:color w:val="auto"/>
          <w:highlight w:val="none"/>
        </w:rPr>
        <w:t>：</w:t>
      </w:r>
    </w:p>
    <w:p w14:paraId="45896893">
      <w:pPr>
        <w:pStyle w:val="3"/>
        <w:spacing w:before="317" w:beforeLines="100" w:after="158" w:afterLines="50" w:line="360" w:lineRule="auto"/>
        <w:ind w:left="429" w:firstLine="436" w:firstLineChars="205"/>
        <w:rPr>
          <w:rFonts w:ascii="宋体" w:hAnsi="宋体" w:cs="宋体"/>
          <w:color w:val="auto"/>
          <w:highlight w:val="none"/>
        </w:rPr>
      </w:pPr>
      <w:r>
        <w:rPr>
          <w:rFonts w:hint="eastAsia" w:ascii="宋体" w:hAnsi="宋体" w:cs="宋体"/>
          <w:color w:val="auto"/>
          <w:highlight w:val="none"/>
          <w:u w:val="single"/>
        </w:rPr>
        <w:t xml:space="preserve">（投标单位全称） </w:t>
      </w:r>
      <w:r>
        <w:rPr>
          <w:rFonts w:hint="eastAsia" w:ascii="宋体" w:hAnsi="宋体" w:cs="宋体"/>
          <w:color w:val="auto"/>
          <w:highlight w:val="none"/>
        </w:rPr>
        <w:t>法定代表人</w:t>
      </w:r>
      <w:r>
        <w:rPr>
          <w:rFonts w:hint="eastAsia" w:ascii="宋体" w:hAnsi="宋体" w:cs="宋体"/>
          <w:color w:val="auto"/>
          <w:highlight w:val="none"/>
          <w:u w:val="single"/>
        </w:rPr>
        <w:t xml:space="preserve"> 姓名 </w:t>
      </w:r>
      <w:r>
        <w:rPr>
          <w:rFonts w:hint="eastAsia" w:ascii="宋体" w:hAnsi="宋体" w:cs="宋体"/>
          <w:color w:val="auto"/>
          <w:highlight w:val="none"/>
        </w:rPr>
        <w:t>授权</w:t>
      </w:r>
      <w:r>
        <w:rPr>
          <w:rFonts w:hint="eastAsia" w:ascii="宋体" w:hAnsi="宋体" w:cs="宋体"/>
          <w:color w:val="auto"/>
          <w:highlight w:val="none"/>
          <w:u w:val="single"/>
        </w:rPr>
        <w:t xml:space="preserve"> 被授权人姓名</w:t>
      </w: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r>
        <w:rPr>
          <w:rFonts w:hint="eastAsia" w:ascii="宋体" w:hAnsi="宋体" w:cs="宋体"/>
          <w:color w:val="auto"/>
          <w:highlight w:val="none"/>
        </w:rPr>
        <w:t>）为本公司合法代理人，参加贵方组织的</w:t>
      </w:r>
      <w:r>
        <w:rPr>
          <w:rFonts w:hint="eastAsia" w:ascii="宋体" w:hAnsi="宋体" w:cs="宋体"/>
          <w:color w:val="auto"/>
          <w:highlight w:val="none"/>
          <w:u w:val="single"/>
        </w:rPr>
        <w:t xml:space="preserve">   项目名称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）的招标投标活动，代表本公司处理招标投标活动中的一切事宜。</w:t>
      </w:r>
    </w:p>
    <w:p w14:paraId="3B7E59CA">
      <w:pPr>
        <w:pStyle w:val="3"/>
        <w:spacing w:before="317" w:beforeLines="100" w:after="158" w:afterLines="50" w:line="360" w:lineRule="auto"/>
        <w:ind w:left="429" w:firstLine="436" w:firstLineChars="205"/>
        <w:rPr>
          <w:rFonts w:ascii="宋体" w:hAnsi="宋体" w:cs="宋体"/>
          <w:color w:val="auto"/>
          <w:highlight w:val="none"/>
        </w:rPr>
      </w:pPr>
      <w:r>
        <w:rPr>
          <w:rFonts w:hint="eastAsia" w:ascii="宋体" w:hAnsi="宋体" w:cs="宋体"/>
          <w:color w:val="auto"/>
          <w:highlight w:val="none"/>
        </w:rPr>
        <w:t>本授权委托书签章即生效，被委托人无转委托权。</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1EF8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42368535">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法定代表人身份证复印件</w:t>
            </w:r>
          </w:p>
          <w:p w14:paraId="4C0623CD">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正面</w:t>
            </w:r>
          </w:p>
          <w:p w14:paraId="543DFED8">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（身份证复印件需清晰可辨认）</w:t>
            </w:r>
          </w:p>
        </w:tc>
        <w:tc>
          <w:tcPr>
            <w:tcW w:w="4512" w:type="dxa"/>
            <w:vAlign w:val="center"/>
          </w:tcPr>
          <w:p w14:paraId="3B9BBDF7">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被授权人身份证复印件</w:t>
            </w:r>
          </w:p>
          <w:p w14:paraId="3BE712F9">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正面</w:t>
            </w:r>
          </w:p>
          <w:p w14:paraId="1CF968A9">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（身份证复印件需清晰可辨认）</w:t>
            </w:r>
          </w:p>
        </w:tc>
      </w:tr>
      <w:tr w14:paraId="75A6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1238B9D4">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法定代表人身份证复印件</w:t>
            </w:r>
          </w:p>
          <w:p w14:paraId="2F1B15C9">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反面</w:t>
            </w:r>
          </w:p>
          <w:p w14:paraId="5BCFA0D6">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（身份证复印件需清晰可辨认）</w:t>
            </w:r>
          </w:p>
        </w:tc>
        <w:tc>
          <w:tcPr>
            <w:tcW w:w="4512" w:type="dxa"/>
            <w:vAlign w:val="center"/>
          </w:tcPr>
          <w:p w14:paraId="4F7BCF71">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被授权人身份证复印件</w:t>
            </w:r>
          </w:p>
          <w:p w14:paraId="231DBF28">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反面</w:t>
            </w:r>
          </w:p>
          <w:p w14:paraId="4BAEE059">
            <w:pPr>
              <w:pStyle w:val="3"/>
              <w:spacing w:before="317" w:beforeLines="100" w:after="158" w:afterLines="50" w:line="360" w:lineRule="auto"/>
              <w:ind w:left="429"/>
              <w:jc w:val="center"/>
              <w:rPr>
                <w:rFonts w:ascii="宋体" w:hAnsi="宋体" w:cs="宋体"/>
                <w:color w:val="auto"/>
                <w:highlight w:val="none"/>
              </w:rPr>
            </w:pPr>
            <w:r>
              <w:rPr>
                <w:rFonts w:hint="eastAsia" w:ascii="宋体" w:hAnsi="宋体" w:cs="宋体"/>
                <w:color w:val="auto"/>
                <w:highlight w:val="none"/>
              </w:rPr>
              <w:t>（身份证复印件需清晰可辨认）</w:t>
            </w:r>
          </w:p>
        </w:tc>
      </w:tr>
    </w:tbl>
    <w:p w14:paraId="67753917">
      <w:pPr>
        <w:pStyle w:val="3"/>
        <w:spacing w:before="317" w:beforeLines="100" w:after="158" w:afterLines="50" w:line="360" w:lineRule="auto"/>
        <w:ind w:left="429" w:firstLine="436" w:firstLineChars="205"/>
        <w:rPr>
          <w:rFonts w:ascii="宋体" w:hAnsi="宋体" w:cs="宋体"/>
          <w:color w:val="auto"/>
          <w:highlight w:val="none"/>
        </w:rPr>
      </w:pPr>
      <w:r>
        <w:rPr>
          <w:rFonts w:hint="eastAsia" w:ascii="宋体" w:hAnsi="宋体" w:cs="宋体"/>
          <w:color w:val="auto"/>
          <w:highlight w:val="none"/>
        </w:rPr>
        <w:t>注：身份证复印件如为粘贴的，须在身份证复印件与本页接缝处加盖公章；</w:t>
      </w:r>
    </w:p>
    <w:p w14:paraId="36AFD7BF">
      <w:pPr>
        <w:pStyle w:val="3"/>
        <w:spacing w:before="317" w:beforeLines="100" w:after="158" w:afterLines="50" w:line="360" w:lineRule="auto"/>
        <w:ind w:left="429" w:firstLine="436" w:firstLineChars="205"/>
        <w:rPr>
          <w:rFonts w:ascii="宋体" w:hAnsi="宋体" w:cs="宋体"/>
          <w:color w:val="auto"/>
          <w:highlight w:val="none"/>
        </w:rPr>
      </w:pPr>
    </w:p>
    <w:p w14:paraId="774F2C73">
      <w:pPr>
        <w:pStyle w:val="3"/>
        <w:spacing w:before="317" w:beforeLines="100" w:after="158" w:afterLines="50" w:line="360" w:lineRule="auto"/>
        <w:ind w:left="429" w:firstLine="436" w:firstLineChars="205"/>
        <w:rPr>
          <w:rFonts w:ascii="宋体" w:hAnsi="宋体" w:cs="宋体"/>
          <w:color w:val="auto"/>
          <w:highlight w:val="none"/>
        </w:rPr>
      </w:pPr>
      <w:r>
        <w:rPr>
          <w:rFonts w:hint="eastAsia" w:ascii="宋体" w:hAnsi="宋体" w:cs="宋体"/>
          <w:color w:val="auto"/>
          <w:highlight w:val="none"/>
        </w:rPr>
        <w:t>法定代表人（印章）：                        被授权代表签字：</w:t>
      </w:r>
    </w:p>
    <w:p w14:paraId="15B39C51">
      <w:pPr>
        <w:pStyle w:val="3"/>
        <w:spacing w:before="317" w:beforeLines="100" w:after="158" w:afterLines="50" w:line="360" w:lineRule="auto"/>
        <w:ind w:left="429" w:firstLine="436" w:firstLineChars="205"/>
        <w:rPr>
          <w:rFonts w:ascii="宋体" w:hAnsi="宋体" w:cs="宋体"/>
          <w:color w:val="auto"/>
          <w:highlight w:val="none"/>
        </w:rPr>
      </w:pPr>
      <w:r>
        <w:rPr>
          <w:rFonts w:hint="eastAsia" w:ascii="宋体" w:hAnsi="宋体" w:cs="宋体"/>
          <w:color w:val="auto"/>
          <w:highlight w:val="none"/>
        </w:rPr>
        <w:t xml:space="preserve">供应商（公章）： </w:t>
      </w:r>
    </w:p>
    <w:p w14:paraId="3EB4869F">
      <w:pPr>
        <w:spacing w:line="360" w:lineRule="auto"/>
        <w:ind w:left="-10" w:leftChars="-5" w:firstLine="7" w:firstLineChars="3"/>
        <w:jc w:val="right"/>
        <w:rPr>
          <w:rFonts w:ascii="宋体" w:hAnsi="宋体" w:cs="宋体"/>
          <w:color w:val="auto"/>
          <w:kern w:val="0"/>
          <w:sz w:val="24"/>
          <w:highlight w:val="none"/>
        </w:rPr>
      </w:pPr>
      <w:r>
        <w:rPr>
          <w:rFonts w:hint="eastAsia" w:ascii="宋体" w:hAnsi="宋体" w:cs="宋体"/>
          <w:color w:val="auto"/>
          <w:kern w:val="0"/>
          <w:sz w:val="24"/>
          <w:highlight w:val="none"/>
        </w:rPr>
        <w:t>年   月   日</w:t>
      </w:r>
    </w:p>
    <w:p w14:paraId="7AA9F728">
      <w:pPr>
        <w:pStyle w:val="10"/>
        <w:spacing w:line="360" w:lineRule="auto"/>
        <w:jc w:val="left"/>
        <w:rPr>
          <w:color w:val="auto"/>
          <w:sz w:val="32"/>
          <w:highlight w:val="none"/>
        </w:rPr>
      </w:pPr>
    </w:p>
    <w:p w14:paraId="1128EB87">
      <w:pPr>
        <w:pStyle w:val="10"/>
        <w:spacing w:line="360" w:lineRule="auto"/>
        <w:ind w:firstLine="646" w:firstLineChars="200"/>
        <w:jc w:val="center"/>
        <w:rPr>
          <w:color w:val="auto"/>
          <w:sz w:val="32"/>
          <w:highlight w:val="none"/>
        </w:rPr>
      </w:pPr>
      <w:r>
        <w:rPr>
          <w:rFonts w:hint="eastAsia"/>
          <w:color w:val="auto"/>
          <w:sz w:val="32"/>
          <w:highlight w:val="none"/>
        </w:rPr>
        <w:t>四、一般资格</w:t>
      </w:r>
    </w:p>
    <w:p w14:paraId="06332EC3">
      <w:pPr>
        <w:widowControl/>
        <w:spacing w:line="360" w:lineRule="auto"/>
        <w:jc w:val="left"/>
        <w:rPr>
          <w:rFonts w:ascii="宋体" w:hAnsi="宋体" w:cs="宋体"/>
          <w:b/>
          <w:color w:val="auto"/>
          <w:sz w:val="24"/>
          <w:highlight w:val="none"/>
        </w:rPr>
      </w:pPr>
      <w:r>
        <w:rPr>
          <w:rFonts w:hint="eastAsia" w:ascii="宋体" w:hAnsi="宋体" w:cs="宋体"/>
          <w:b/>
          <w:color w:val="auto"/>
          <w:sz w:val="24"/>
          <w:highlight w:val="none"/>
        </w:rPr>
        <w:t>1.营业执照（复印或扫描件须加盖投标供应商公章）</w:t>
      </w:r>
    </w:p>
    <w:p w14:paraId="411E07CC">
      <w:pPr>
        <w:pStyle w:val="10"/>
        <w:spacing w:line="360" w:lineRule="auto"/>
        <w:ind w:firstLine="486" w:firstLineChars="200"/>
        <w:jc w:val="left"/>
        <w:rPr>
          <w:rFonts w:ascii="宋体" w:hAnsi="宋体"/>
          <w:color w:val="auto"/>
          <w:sz w:val="24"/>
          <w:highlight w:val="none"/>
          <w:lang w:val="zh-CN"/>
        </w:rPr>
      </w:pPr>
      <w:r>
        <w:rPr>
          <w:rFonts w:hint="eastAsia" w:ascii="宋体" w:hAnsi="宋体" w:cs="宋体"/>
          <w:color w:val="auto"/>
          <w:sz w:val="24"/>
          <w:highlight w:val="none"/>
        </w:rPr>
        <w:t>要求及注意事项：</w:t>
      </w:r>
      <w:r>
        <w:rPr>
          <w:rFonts w:hint="eastAsia" w:ascii="宋体" w:hAnsi="宋体"/>
          <w:color w:val="auto"/>
          <w:sz w:val="24"/>
          <w:highlight w:val="none"/>
          <w:lang w:val="zh-CN"/>
        </w:rPr>
        <w:t>供应商应保证复印件或扫描件清晰可辨识相关内容，且真实有效。</w:t>
      </w:r>
    </w:p>
    <w:p w14:paraId="6363D470">
      <w:pPr>
        <w:spacing w:line="360" w:lineRule="auto"/>
        <w:rPr>
          <w:rFonts w:ascii="宋体" w:hAnsi="宋体" w:cs="宋体"/>
          <w:b/>
          <w:color w:val="auto"/>
          <w:sz w:val="24"/>
          <w:highlight w:val="none"/>
        </w:rPr>
      </w:pPr>
      <w:r>
        <w:rPr>
          <w:rFonts w:hint="eastAsia" w:ascii="宋体" w:hAnsi="宋体" w:cs="宋体"/>
          <w:b/>
          <w:color w:val="auto"/>
          <w:sz w:val="24"/>
          <w:highlight w:val="none"/>
        </w:rPr>
        <w:t>2.财务状况报告材料（复印或扫描件须加盖投标供应商公章）</w:t>
      </w:r>
    </w:p>
    <w:p w14:paraId="01390103">
      <w:pPr>
        <w:pStyle w:val="10"/>
        <w:spacing w:line="360" w:lineRule="auto"/>
        <w:ind w:firstLine="486" w:firstLineChars="200"/>
        <w:jc w:val="left"/>
        <w:rPr>
          <w:rFonts w:ascii="宋体" w:hAnsi="宋体"/>
          <w:color w:val="auto"/>
          <w:sz w:val="24"/>
          <w:highlight w:val="none"/>
          <w:lang w:val="zh-CN"/>
        </w:rPr>
      </w:pPr>
      <w:r>
        <w:rPr>
          <w:rFonts w:hint="eastAsia" w:ascii="宋体" w:hAnsi="宋体" w:cs="宋体"/>
          <w:color w:val="auto"/>
          <w:sz w:val="24"/>
          <w:highlight w:val="none"/>
        </w:rPr>
        <w:t>要求及注意事项：按采购文件的规定和要求，复印或扫描件必须清晰，</w:t>
      </w:r>
      <w:r>
        <w:rPr>
          <w:rFonts w:hint="eastAsia" w:ascii="宋体" w:hAnsi="宋体"/>
          <w:color w:val="auto"/>
          <w:sz w:val="24"/>
          <w:highlight w:val="none"/>
          <w:lang w:val="zh-CN"/>
        </w:rPr>
        <w:t>供应商应保证复印件或扫描件清晰可辨识相关内容，且真实有效。</w:t>
      </w:r>
    </w:p>
    <w:p w14:paraId="5C5704ED">
      <w:pPr>
        <w:numPr>
          <w:ilvl w:val="0"/>
          <w:numId w:val="28"/>
        </w:numPr>
        <w:spacing w:line="360" w:lineRule="auto"/>
        <w:rPr>
          <w:rFonts w:ascii="宋体" w:hAnsi="宋体" w:cs="宋体"/>
          <w:b/>
          <w:color w:val="auto"/>
          <w:sz w:val="24"/>
          <w:highlight w:val="none"/>
        </w:rPr>
      </w:pPr>
      <w:r>
        <w:rPr>
          <w:rFonts w:hint="eastAsia" w:ascii="宋体" w:hAnsi="宋体" w:cs="宋体"/>
          <w:b/>
          <w:color w:val="auto"/>
          <w:sz w:val="24"/>
          <w:highlight w:val="none"/>
        </w:rPr>
        <w:t>具备履行合同所必需的设备和专业技术能力的证明材料（供应商自行承诺，格式自拟）。</w:t>
      </w:r>
    </w:p>
    <w:p w14:paraId="1FF10CE9">
      <w:pPr>
        <w:spacing w:line="360" w:lineRule="auto"/>
        <w:rPr>
          <w:rFonts w:ascii="宋体" w:hAnsi="宋体" w:cs="宋体"/>
          <w:color w:val="auto"/>
          <w:sz w:val="24"/>
          <w:highlight w:val="none"/>
        </w:rPr>
      </w:pPr>
      <w:r>
        <w:rPr>
          <w:rFonts w:hint="eastAsia" w:ascii="宋体" w:hAnsi="宋体" w:cs="宋体"/>
          <w:b/>
          <w:color w:val="auto"/>
          <w:sz w:val="24"/>
          <w:highlight w:val="none"/>
        </w:rPr>
        <w:t>4、</w:t>
      </w:r>
      <w:r>
        <w:rPr>
          <w:rFonts w:hint="eastAsia" w:ascii="Arial" w:hAnsi="Arial" w:cs="Arial"/>
          <w:b/>
          <w:bCs/>
          <w:color w:val="auto"/>
          <w:kern w:val="0"/>
          <w:sz w:val="24"/>
          <w:szCs w:val="18"/>
          <w:highlight w:val="none"/>
        </w:rPr>
        <w:t>提供2024年至今任意1个月依法缴纳税收和社会保障资金的有效证明材料（不需要缴纳税收的提供相关证明材料）</w:t>
      </w:r>
      <w:r>
        <w:rPr>
          <w:rFonts w:hint="eastAsia" w:ascii="宋体" w:hAnsi="宋体" w:cs="宋体"/>
          <w:b/>
          <w:color w:val="auto"/>
          <w:sz w:val="24"/>
          <w:highlight w:val="none"/>
        </w:rPr>
        <w:t>（复印或扫描件须加盖投标供应商公章）</w:t>
      </w:r>
    </w:p>
    <w:p w14:paraId="5A058588">
      <w:pPr>
        <w:spacing w:line="360" w:lineRule="auto"/>
        <w:rPr>
          <w:rFonts w:ascii="宋体" w:hAnsi="宋体" w:cs="宋体"/>
          <w:color w:val="auto"/>
          <w:sz w:val="24"/>
          <w:highlight w:val="none"/>
        </w:rPr>
      </w:pPr>
      <w:r>
        <w:rPr>
          <w:rFonts w:hint="eastAsia" w:ascii="宋体" w:hAnsi="宋体" w:cs="宋体"/>
          <w:color w:val="auto"/>
          <w:sz w:val="24"/>
          <w:highlight w:val="none"/>
        </w:rPr>
        <w:t>要求及注意事项：按采购文件规定的时间要求提交相关凭证。</w:t>
      </w:r>
    </w:p>
    <w:p w14:paraId="537962B4">
      <w:pPr>
        <w:spacing w:line="360" w:lineRule="auto"/>
        <w:ind w:left="79" w:hanging="79"/>
        <w:rPr>
          <w:rFonts w:ascii="宋体" w:hAnsi="宋体"/>
          <w:color w:val="auto"/>
          <w:sz w:val="24"/>
          <w:highlight w:val="none"/>
          <w:lang w:val="zh-CN"/>
        </w:rPr>
      </w:pPr>
      <w:r>
        <w:rPr>
          <w:rFonts w:hint="eastAsia" w:ascii="宋体" w:hAnsi="宋体" w:cs="宋体"/>
          <w:color w:val="auto"/>
          <w:sz w:val="24"/>
          <w:highlight w:val="none"/>
        </w:rPr>
        <w:t>注意：依法缴纳税收有效凭证指：征税机关出具加盖公章的供应商在采购文件规定时间内的完税证明文件或在采购文件规定时间内的自主电子缴税银行收款凭证，银行收款凭证必须加盖银行规定的专用章。依法缴纳社会保障资金有效凭证指：加盖收款银行专用章的银行收款凭证。复印或扫描件必须清晰，</w:t>
      </w:r>
      <w:r>
        <w:rPr>
          <w:rFonts w:hint="eastAsia" w:ascii="宋体" w:hAnsi="宋体"/>
          <w:color w:val="auto"/>
          <w:sz w:val="24"/>
          <w:highlight w:val="none"/>
          <w:lang w:val="zh-CN"/>
        </w:rPr>
        <w:t>供应商应保证复印件或扫描件清晰可辨识相关内容，且真实有效。</w:t>
      </w:r>
    </w:p>
    <w:p w14:paraId="2CF04A40">
      <w:pPr>
        <w:pStyle w:val="25"/>
        <w:spacing w:line="360" w:lineRule="auto"/>
        <w:ind w:firstLine="0" w:firstLineChars="0"/>
        <w:rPr>
          <w:rFonts w:ascii="宋体" w:hAnsi="宋体" w:cs="宋体"/>
          <w:b w:val="0"/>
          <w:color w:val="auto"/>
          <w:sz w:val="24"/>
          <w:highlight w:val="none"/>
        </w:rPr>
      </w:pPr>
      <w:r>
        <w:rPr>
          <w:rFonts w:hint="eastAsia" w:ascii="宋体" w:hAnsi="宋体" w:cs="宋体"/>
          <w:b w:val="0"/>
          <w:color w:val="auto"/>
          <w:sz w:val="24"/>
          <w:highlight w:val="none"/>
        </w:rPr>
        <w:t>特别情况：若采购文件要求提供月度完税证明时，投标供应商存在某月零报税情况时，无缴税银行收款凭证，只需提供电子税务申报表复印件或扫描件加盖公章即可。</w:t>
      </w:r>
    </w:p>
    <w:p w14:paraId="71E22091">
      <w:pPr>
        <w:pStyle w:val="25"/>
        <w:spacing w:line="360" w:lineRule="auto"/>
        <w:ind w:firstLine="0" w:firstLineChars="0"/>
        <w:rPr>
          <w:rFonts w:ascii="宋体" w:hAnsi="宋体" w:cs="宋体"/>
          <w:b w:val="0"/>
          <w:color w:val="auto"/>
          <w:sz w:val="24"/>
          <w:highlight w:val="none"/>
        </w:rPr>
      </w:pPr>
    </w:p>
    <w:p w14:paraId="0F366A0B">
      <w:pPr>
        <w:pStyle w:val="25"/>
        <w:spacing w:line="360" w:lineRule="auto"/>
        <w:ind w:firstLine="0" w:firstLineChars="0"/>
        <w:rPr>
          <w:rFonts w:ascii="宋体" w:hAnsi="宋体" w:cs="宋体"/>
          <w:b w:val="0"/>
          <w:color w:val="auto"/>
          <w:sz w:val="24"/>
          <w:highlight w:val="none"/>
        </w:rPr>
      </w:pPr>
    </w:p>
    <w:p w14:paraId="5A2712F3">
      <w:pPr>
        <w:pStyle w:val="25"/>
        <w:spacing w:line="360" w:lineRule="auto"/>
        <w:ind w:firstLine="0" w:firstLineChars="0"/>
        <w:rPr>
          <w:rFonts w:ascii="宋体" w:hAnsi="宋体" w:cs="宋体"/>
          <w:b w:val="0"/>
          <w:color w:val="auto"/>
          <w:sz w:val="24"/>
          <w:highlight w:val="none"/>
        </w:rPr>
      </w:pPr>
    </w:p>
    <w:p w14:paraId="3CB75A02">
      <w:pPr>
        <w:pStyle w:val="25"/>
        <w:spacing w:line="360" w:lineRule="auto"/>
        <w:ind w:firstLine="0" w:firstLineChars="0"/>
        <w:rPr>
          <w:rFonts w:ascii="宋体" w:hAnsi="宋体" w:cs="宋体"/>
          <w:b w:val="0"/>
          <w:color w:val="auto"/>
          <w:sz w:val="24"/>
          <w:highlight w:val="none"/>
        </w:rPr>
      </w:pPr>
    </w:p>
    <w:p w14:paraId="79FF3A77">
      <w:pPr>
        <w:pStyle w:val="25"/>
        <w:spacing w:line="360" w:lineRule="auto"/>
        <w:ind w:firstLine="0" w:firstLineChars="0"/>
        <w:rPr>
          <w:rFonts w:ascii="宋体" w:hAnsi="宋体" w:cs="宋体"/>
          <w:b w:val="0"/>
          <w:color w:val="auto"/>
          <w:sz w:val="24"/>
          <w:highlight w:val="none"/>
        </w:rPr>
      </w:pPr>
    </w:p>
    <w:p w14:paraId="4B7FC7A1">
      <w:pPr>
        <w:spacing w:before="158" w:beforeLines="50" w:after="158" w:afterLines="50"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5、声明及承诺</w:t>
      </w:r>
    </w:p>
    <w:p w14:paraId="2403FEF7">
      <w:pPr>
        <w:numPr>
          <w:ilvl w:val="0"/>
          <w:numId w:val="29"/>
        </w:numPr>
        <w:spacing w:line="360" w:lineRule="auto"/>
        <w:rPr>
          <w:rFonts w:ascii="宋体" w:hAnsi="宋体" w:cs="宋体"/>
          <w:b/>
          <w:color w:val="auto"/>
          <w:sz w:val="24"/>
          <w:highlight w:val="none"/>
        </w:rPr>
      </w:pPr>
      <w:r>
        <w:rPr>
          <w:rFonts w:hint="eastAsia" w:ascii="宋体" w:hAnsi="宋体" w:cs="宋体"/>
          <w:b/>
          <w:color w:val="auto"/>
          <w:sz w:val="24"/>
          <w:highlight w:val="none"/>
        </w:rPr>
        <w:t>参加政府采购活动前3年内在经营活动中没有重大违法记录的书面声明。</w:t>
      </w:r>
    </w:p>
    <w:p w14:paraId="63D5355B">
      <w:pPr>
        <w:spacing w:line="360" w:lineRule="auto"/>
        <w:rPr>
          <w:rFonts w:ascii="宋体" w:hAnsi="宋体" w:cs="宋体"/>
          <w:b/>
          <w:color w:val="auto"/>
          <w:sz w:val="28"/>
          <w:szCs w:val="28"/>
          <w:highlight w:val="none"/>
        </w:rPr>
      </w:pPr>
    </w:p>
    <w:p w14:paraId="0B5A1B2C">
      <w:pPr>
        <w:spacing w:line="360" w:lineRule="auto"/>
        <w:jc w:val="center"/>
        <w:rPr>
          <w:rFonts w:ascii="宋体" w:hAnsi="宋体" w:cs="宋体"/>
          <w:b/>
          <w:color w:val="auto"/>
          <w:sz w:val="28"/>
          <w:szCs w:val="28"/>
          <w:highlight w:val="none"/>
        </w:rPr>
      </w:pPr>
      <w:r>
        <w:rPr>
          <w:rFonts w:hint="eastAsia" w:ascii="宋体" w:hAnsi="宋体" w:cs="宋体"/>
          <w:b/>
          <w:color w:val="auto"/>
          <w:sz w:val="36"/>
          <w:szCs w:val="36"/>
          <w:highlight w:val="none"/>
        </w:rPr>
        <w:t>无重大违法记录的声明函</w:t>
      </w:r>
    </w:p>
    <w:p w14:paraId="67292539">
      <w:pPr>
        <w:spacing w:line="360" w:lineRule="auto"/>
        <w:rPr>
          <w:rFonts w:ascii="宋体" w:hAnsi="宋体" w:cs="宋体"/>
          <w:color w:val="auto"/>
          <w:szCs w:val="21"/>
          <w:highlight w:val="none"/>
        </w:rPr>
      </w:pPr>
    </w:p>
    <w:p w14:paraId="12CA2F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（采购人或采购代理机构）     </w:t>
      </w:r>
    </w:p>
    <w:p w14:paraId="1C5878D0">
      <w:pPr>
        <w:spacing w:line="360" w:lineRule="auto"/>
        <w:ind w:firstLine="486" w:firstLineChars="200"/>
        <w:rPr>
          <w:rFonts w:ascii="宋体" w:hAnsi="宋体" w:cs="宋体"/>
          <w:color w:val="auto"/>
          <w:sz w:val="24"/>
          <w:highlight w:val="none"/>
        </w:rPr>
      </w:pPr>
      <w:r>
        <w:rPr>
          <w:rFonts w:hint="eastAsia" w:ascii="宋体" w:hAnsi="宋体" w:cs="宋体"/>
          <w:color w:val="auto"/>
          <w:sz w:val="24"/>
          <w:highlight w:val="none"/>
          <w:u w:val="single"/>
        </w:rPr>
        <w:t xml:space="preserve">      （供应商全称）            </w:t>
      </w:r>
      <w:r>
        <w:rPr>
          <w:rFonts w:hint="eastAsia" w:ascii="宋体" w:hAnsi="宋体" w:cs="宋体"/>
          <w:color w:val="auto"/>
          <w:sz w:val="24"/>
          <w:highlight w:val="none"/>
        </w:rPr>
        <w:t>，参加贵单位组织的项目编号为：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的政府采购活动，在此郑重声明：我单位在参加本项目政府采购活动前3年内在经营活动中未因违法经营受到刑事处罚或者责令停产停业、吊销许可证或者执照、较大数额罚款等行政处罚。</w:t>
      </w:r>
    </w:p>
    <w:p w14:paraId="402B32F6">
      <w:pPr>
        <w:spacing w:line="360" w:lineRule="auto"/>
        <w:ind w:firstLine="486" w:firstLineChars="200"/>
        <w:rPr>
          <w:rFonts w:ascii="宋体" w:hAnsi="宋体" w:cs="宋体"/>
          <w:color w:val="auto"/>
          <w:sz w:val="24"/>
          <w:highlight w:val="none"/>
        </w:rPr>
      </w:pPr>
    </w:p>
    <w:p w14:paraId="79B9609E">
      <w:pPr>
        <w:spacing w:line="360" w:lineRule="auto"/>
        <w:rPr>
          <w:rFonts w:ascii="宋体" w:hAnsi="宋体" w:cs="宋体"/>
          <w:color w:val="auto"/>
          <w:sz w:val="24"/>
          <w:highlight w:val="none"/>
        </w:rPr>
      </w:pPr>
    </w:p>
    <w:p w14:paraId="3E15A1A7">
      <w:pPr>
        <w:spacing w:line="360" w:lineRule="auto"/>
        <w:rPr>
          <w:rFonts w:ascii="宋体" w:hAnsi="宋体" w:cs="宋体"/>
          <w:color w:val="auto"/>
          <w:sz w:val="24"/>
          <w:highlight w:val="none"/>
        </w:rPr>
      </w:pPr>
    </w:p>
    <w:p w14:paraId="4FE074C0">
      <w:pPr>
        <w:spacing w:line="360" w:lineRule="auto"/>
        <w:jc w:val="right"/>
        <w:rPr>
          <w:rFonts w:ascii="宋体" w:hAnsi="宋体" w:cs="宋体"/>
          <w:color w:val="auto"/>
          <w:sz w:val="24"/>
          <w:highlight w:val="none"/>
        </w:rPr>
      </w:pPr>
      <w:r>
        <w:rPr>
          <w:rFonts w:hint="eastAsia" w:ascii="宋体" w:hAnsi="宋体" w:cs="宋体"/>
          <w:color w:val="auto"/>
          <w:sz w:val="24"/>
          <w:highlight w:val="none"/>
        </w:rPr>
        <w:t>投标供应商：（盖章）</w:t>
      </w:r>
    </w:p>
    <w:p w14:paraId="6E9C566D">
      <w:pPr>
        <w:pStyle w:val="25"/>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声明时间：</w:t>
      </w:r>
    </w:p>
    <w:p w14:paraId="1AE56808">
      <w:pPr>
        <w:pStyle w:val="25"/>
        <w:spacing w:line="360" w:lineRule="auto"/>
        <w:ind w:firstLine="0" w:firstLineChars="0"/>
        <w:rPr>
          <w:rFonts w:ascii="宋体" w:hAnsi="宋体" w:cs="宋体"/>
          <w:color w:val="auto"/>
          <w:sz w:val="24"/>
          <w:highlight w:val="none"/>
        </w:rPr>
      </w:pPr>
    </w:p>
    <w:p w14:paraId="3492E004">
      <w:pPr>
        <w:pStyle w:val="25"/>
        <w:spacing w:line="360" w:lineRule="auto"/>
        <w:ind w:firstLine="0" w:firstLineChars="0"/>
        <w:rPr>
          <w:rFonts w:ascii="宋体" w:hAnsi="宋体" w:cs="宋体"/>
          <w:color w:val="auto"/>
          <w:sz w:val="24"/>
          <w:highlight w:val="none"/>
        </w:rPr>
      </w:pPr>
    </w:p>
    <w:p w14:paraId="69D86A2B">
      <w:pPr>
        <w:pStyle w:val="25"/>
        <w:spacing w:line="360" w:lineRule="auto"/>
        <w:ind w:firstLine="0" w:firstLineChars="0"/>
        <w:rPr>
          <w:rFonts w:ascii="宋体" w:hAnsi="宋体" w:cs="宋体"/>
          <w:color w:val="auto"/>
          <w:sz w:val="24"/>
          <w:highlight w:val="none"/>
        </w:rPr>
      </w:pPr>
    </w:p>
    <w:p w14:paraId="279F1751">
      <w:pPr>
        <w:pStyle w:val="25"/>
        <w:spacing w:line="360" w:lineRule="auto"/>
        <w:ind w:firstLine="0" w:firstLineChars="0"/>
        <w:rPr>
          <w:rFonts w:ascii="宋体" w:hAnsi="宋体" w:cs="宋体"/>
          <w:color w:val="auto"/>
          <w:sz w:val="24"/>
          <w:highlight w:val="none"/>
        </w:rPr>
      </w:pPr>
    </w:p>
    <w:p w14:paraId="491AD52F">
      <w:pPr>
        <w:pStyle w:val="25"/>
        <w:spacing w:line="360" w:lineRule="auto"/>
        <w:ind w:firstLine="0" w:firstLineChars="0"/>
        <w:rPr>
          <w:rFonts w:ascii="宋体" w:hAnsi="宋体" w:cs="宋体"/>
          <w:color w:val="auto"/>
          <w:sz w:val="24"/>
          <w:highlight w:val="none"/>
        </w:rPr>
      </w:pPr>
    </w:p>
    <w:p w14:paraId="4326B705">
      <w:pPr>
        <w:pStyle w:val="25"/>
        <w:spacing w:line="360" w:lineRule="auto"/>
        <w:ind w:firstLine="0" w:firstLineChars="0"/>
        <w:rPr>
          <w:rFonts w:ascii="宋体" w:hAnsi="宋体" w:cs="宋体"/>
          <w:color w:val="auto"/>
          <w:sz w:val="24"/>
          <w:highlight w:val="none"/>
        </w:rPr>
      </w:pPr>
    </w:p>
    <w:p w14:paraId="5A4500F8">
      <w:pPr>
        <w:pStyle w:val="25"/>
        <w:spacing w:line="360" w:lineRule="auto"/>
        <w:ind w:firstLine="0" w:firstLineChars="0"/>
        <w:rPr>
          <w:rFonts w:ascii="宋体" w:hAnsi="宋体" w:cs="宋体"/>
          <w:color w:val="auto"/>
          <w:sz w:val="24"/>
          <w:highlight w:val="none"/>
        </w:rPr>
      </w:pPr>
    </w:p>
    <w:p w14:paraId="26EDC400">
      <w:pPr>
        <w:spacing w:line="360" w:lineRule="auto"/>
        <w:jc w:val="left"/>
        <w:rPr>
          <w:rFonts w:ascii="宋体" w:hAnsi="宋体" w:cs="宋体"/>
          <w:b/>
          <w:bCs/>
          <w:color w:val="auto"/>
          <w:kern w:val="0"/>
          <w:szCs w:val="21"/>
          <w:highlight w:val="none"/>
        </w:rPr>
      </w:pPr>
      <w:r>
        <w:rPr>
          <w:rFonts w:hint="eastAsia" w:ascii="宋体" w:hAnsi="宋体" w:cs="宋体"/>
          <w:color w:val="auto"/>
          <w:sz w:val="24"/>
          <w:highlight w:val="none"/>
        </w:rPr>
        <w:t>6、</w:t>
      </w:r>
      <w:r>
        <w:rPr>
          <w:rFonts w:hint="eastAsia" w:ascii="宋体" w:hAnsi="宋体" w:cs="宋体"/>
          <w:b/>
          <w:bCs/>
          <w:color w:val="auto"/>
          <w:kern w:val="0"/>
          <w:sz w:val="24"/>
          <w:highlight w:val="none"/>
        </w:rPr>
        <w:t>供应商信用记录</w:t>
      </w:r>
      <w:r>
        <w:rPr>
          <w:rFonts w:hint="eastAsia" w:ascii="宋体" w:hAnsi="宋体" w:cs="宋体"/>
          <w:b/>
          <w:bCs/>
          <w:color w:val="auto"/>
          <w:sz w:val="24"/>
          <w:highlight w:val="none"/>
        </w:rPr>
        <w:t>承诺书</w:t>
      </w:r>
    </w:p>
    <w:p w14:paraId="71F2357F">
      <w:pPr>
        <w:spacing w:line="360" w:lineRule="auto"/>
        <w:jc w:val="center"/>
        <w:rPr>
          <w:rFonts w:ascii="宋体" w:hAnsi="宋体" w:cs="宋体"/>
          <w:b/>
          <w:bCs/>
          <w:color w:val="auto"/>
          <w:szCs w:val="21"/>
          <w:highlight w:val="none"/>
        </w:rPr>
      </w:pPr>
      <w:r>
        <w:rPr>
          <w:rFonts w:hint="eastAsia" w:ascii="宋体" w:hAnsi="宋体" w:cs="宋体"/>
          <w:b/>
          <w:bCs/>
          <w:color w:val="auto"/>
          <w:kern w:val="0"/>
          <w:sz w:val="36"/>
          <w:szCs w:val="36"/>
          <w:highlight w:val="none"/>
        </w:rPr>
        <w:t>供应商信用记录</w:t>
      </w:r>
      <w:r>
        <w:rPr>
          <w:rFonts w:hint="eastAsia" w:ascii="宋体" w:hAnsi="宋体" w:cs="宋体"/>
          <w:b/>
          <w:bCs/>
          <w:color w:val="auto"/>
          <w:sz w:val="36"/>
          <w:szCs w:val="36"/>
          <w:highlight w:val="none"/>
        </w:rPr>
        <w:t>承诺书</w:t>
      </w:r>
    </w:p>
    <w:p w14:paraId="5DDCB7F9">
      <w:pPr>
        <w:spacing w:line="360" w:lineRule="auto"/>
        <w:ind w:firstLine="426" w:firstLineChars="200"/>
        <w:jc w:val="left"/>
        <w:rPr>
          <w:rFonts w:ascii="宋体" w:hAnsi="宋体" w:cs="宋体"/>
          <w:color w:val="auto"/>
          <w:szCs w:val="21"/>
          <w:highlight w:val="none"/>
        </w:rPr>
      </w:pPr>
    </w:p>
    <w:p w14:paraId="7987E5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（采购人或采购代理机构）     </w:t>
      </w:r>
    </w:p>
    <w:p w14:paraId="3AEBA2A2">
      <w:pPr>
        <w:spacing w:line="360" w:lineRule="auto"/>
        <w:ind w:firstLine="486"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（供应商全称）            </w:t>
      </w:r>
      <w:r>
        <w:rPr>
          <w:rFonts w:hint="eastAsia" w:ascii="宋体" w:hAnsi="宋体" w:cs="宋体"/>
          <w:color w:val="auto"/>
          <w:sz w:val="24"/>
          <w:highlight w:val="none"/>
        </w:rPr>
        <w:t>参加贵单位组织的项目编号为：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的政府采购活动，在此郑重承诺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在“信用中国”网站（www.creditchina.gov.cn）、中国政府采购网（www.ccgp.gov.cn）等渠道查询采购公告发布之日前未被列入失信被执行人名单、重大税收违法失信主体、政府采购严重违法失信行为记录名单中，如被列入失信被执行人、重大税收违法失信主体、政府采购严重违法失信行为记录名单中的自愿取消其投标资格，并自愿承担由此造成的一切法律责任及后果。</w:t>
      </w:r>
    </w:p>
    <w:p w14:paraId="481636C2">
      <w:pPr>
        <w:spacing w:line="360" w:lineRule="auto"/>
        <w:ind w:firstLine="486" w:firstLineChars="200"/>
        <w:rPr>
          <w:rFonts w:ascii="宋体" w:hAnsi="宋体" w:cs="宋体"/>
          <w:color w:val="auto"/>
          <w:sz w:val="24"/>
          <w:highlight w:val="none"/>
        </w:rPr>
      </w:pPr>
    </w:p>
    <w:p w14:paraId="4D1F4E94">
      <w:pPr>
        <w:spacing w:line="360" w:lineRule="auto"/>
        <w:rPr>
          <w:rFonts w:ascii="宋体" w:hAnsi="宋体" w:cs="宋体"/>
          <w:color w:val="auto"/>
          <w:sz w:val="24"/>
          <w:highlight w:val="none"/>
        </w:rPr>
      </w:pPr>
    </w:p>
    <w:p w14:paraId="1D282963">
      <w:pPr>
        <w:pStyle w:val="19"/>
        <w:shd w:val="clear" w:color="auto" w:fill="FFFFFF"/>
        <w:ind w:firstLine="4981" w:firstLineChars="2050"/>
        <w:jc w:val="left"/>
        <w:rPr>
          <w:rFonts w:ascii="宋体" w:hAnsi="宋体" w:cs="宋体"/>
          <w:color w:val="auto"/>
          <w:highlight w:val="none"/>
        </w:rPr>
      </w:pPr>
      <w:r>
        <w:rPr>
          <w:rFonts w:hint="eastAsia" w:ascii="宋体" w:hAnsi="宋体" w:cs="宋体"/>
          <w:color w:val="auto"/>
          <w:highlight w:val="none"/>
        </w:rPr>
        <w:t>承诺单位（公章）：</w:t>
      </w:r>
    </w:p>
    <w:p w14:paraId="5A4EB56C">
      <w:pPr>
        <w:pStyle w:val="19"/>
        <w:shd w:val="clear" w:color="auto" w:fill="FFFFFF"/>
        <w:ind w:firstLine="4981" w:firstLineChars="2050"/>
        <w:jc w:val="left"/>
        <w:rPr>
          <w:rFonts w:ascii="宋体" w:hAnsi="宋体" w:cs="宋体"/>
          <w:color w:val="auto"/>
          <w:highlight w:val="none"/>
        </w:rPr>
      </w:pPr>
      <w:r>
        <w:rPr>
          <w:rFonts w:hint="eastAsia" w:ascii="宋体" w:hAnsi="宋体" w:cs="宋体"/>
          <w:color w:val="auto"/>
          <w:highlight w:val="none"/>
        </w:rPr>
        <w:t>签署日期：   年   月  日</w:t>
      </w:r>
    </w:p>
    <w:p w14:paraId="2B2254DF">
      <w:pPr>
        <w:pStyle w:val="25"/>
        <w:spacing w:line="360" w:lineRule="auto"/>
        <w:ind w:firstLine="0" w:firstLineChars="0"/>
        <w:rPr>
          <w:color w:val="auto"/>
          <w:highlight w:val="none"/>
        </w:rPr>
      </w:pPr>
    </w:p>
    <w:p w14:paraId="296D9665">
      <w:pPr>
        <w:pStyle w:val="25"/>
        <w:spacing w:line="360" w:lineRule="auto"/>
        <w:ind w:firstLine="0" w:firstLineChars="0"/>
        <w:rPr>
          <w:color w:val="auto"/>
          <w:highlight w:val="none"/>
        </w:rPr>
      </w:pPr>
    </w:p>
    <w:p w14:paraId="2BAEDCA7">
      <w:pPr>
        <w:pStyle w:val="25"/>
        <w:spacing w:line="360" w:lineRule="auto"/>
        <w:ind w:firstLine="0" w:firstLineChars="0"/>
        <w:rPr>
          <w:color w:val="auto"/>
          <w:highlight w:val="none"/>
        </w:rPr>
      </w:pPr>
    </w:p>
    <w:p w14:paraId="7CA435B3">
      <w:pPr>
        <w:pStyle w:val="25"/>
        <w:spacing w:line="360" w:lineRule="auto"/>
        <w:ind w:firstLine="0" w:firstLineChars="0"/>
        <w:rPr>
          <w:color w:val="auto"/>
          <w:highlight w:val="none"/>
        </w:rPr>
      </w:pPr>
    </w:p>
    <w:p w14:paraId="72DA3347">
      <w:pPr>
        <w:pStyle w:val="25"/>
        <w:spacing w:line="360" w:lineRule="auto"/>
        <w:ind w:firstLine="0" w:firstLineChars="0"/>
        <w:rPr>
          <w:rFonts w:hint="eastAsia"/>
          <w:color w:val="auto"/>
          <w:highlight w:val="none"/>
        </w:rPr>
      </w:pPr>
      <w:r>
        <w:rPr>
          <w:rFonts w:hint="eastAsia"/>
          <w:color w:val="auto"/>
          <w:highlight w:val="none"/>
        </w:rPr>
        <w:t>附网页查询截图</w:t>
      </w:r>
    </w:p>
    <w:p w14:paraId="60DB5BC5">
      <w:pPr>
        <w:pStyle w:val="25"/>
        <w:spacing w:line="360" w:lineRule="auto"/>
        <w:ind w:firstLine="0" w:firstLineChars="0"/>
        <w:rPr>
          <w:rFonts w:hint="eastAsia"/>
          <w:color w:val="auto"/>
          <w:highlight w:val="none"/>
        </w:rPr>
      </w:pPr>
    </w:p>
    <w:p w14:paraId="2EA82451">
      <w:pPr>
        <w:spacing w:before="117" w:line="360" w:lineRule="auto"/>
        <w:ind w:left="36"/>
        <w:rPr>
          <w:rFonts w:ascii="宋体" w:hAnsi="宋体" w:cs="宋体"/>
          <w:color w:val="auto"/>
          <w:sz w:val="36"/>
          <w:szCs w:val="36"/>
          <w:highlight w:val="none"/>
        </w:rPr>
      </w:pPr>
      <w:r>
        <w:rPr>
          <w:rFonts w:hint="eastAsia" w:ascii="宋体" w:hAnsi="宋体" w:cs="宋体"/>
          <w:color w:val="auto"/>
          <w:spacing w:val="17"/>
          <w:sz w:val="36"/>
          <w:szCs w:val="36"/>
          <w:highlight w:val="none"/>
          <w14:textOutline w14:w="6527" w14:cap="flat" w14:cmpd="sng" w14:algn="ctr">
            <w14:solidFill>
              <w14:srgbClr w14:val="000000"/>
            </w14:solidFill>
            <w14:prstDash w14:val="solid"/>
            <w14:miter w14:val="0"/>
          </w14:textOutline>
        </w:rPr>
        <w:t>7、</w:t>
      </w:r>
      <w:r>
        <w:rPr>
          <w:rFonts w:ascii="宋体" w:hAnsi="宋体" w:cs="宋体"/>
          <w:color w:val="auto"/>
          <w:spacing w:val="17"/>
          <w:sz w:val="36"/>
          <w:szCs w:val="36"/>
          <w:highlight w:val="none"/>
        </w:rPr>
        <w:t xml:space="preserve"> </w:t>
      </w:r>
      <w:r>
        <w:rPr>
          <w:rFonts w:ascii="宋体" w:hAnsi="宋体" w:cs="宋体"/>
          <w:color w:val="auto"/>
          <w:spacing w:val="17"/>
          <w:sz w:val="36"/>
          <w:szCs w:val="36"/>
          <w:highlight w:val="none"/>
          <w14:textOutline w14:w="6527" w14:cap="flat" w14:cmpd="sng" w14:algn="ctr">
            <w14:solidFill>
              <w14:srgbClr w14:val="000000"/>
            </w14:solidFill>
            <w14:prstDash w14:val="solid"/>
            <w14:miter w14:val="0"/>
          </w14:textOutline>
        </w:rPr>
        <w:t>特殊资格材</w:t>
      </w:r>
      <w:r>
        <w:rPr>
          <w:rFonts w:ascii="宋体" w:hAnsi="宋体" w:cs="宋体"/>
          <w:color w:val="auto"/>
          <w:spacing w:val="16"/>
          <w:sz w:val="36"/>
          <w:szCs w:val="36"/>
          <w:highlight w:val="none"/>
          <w14:textOutline w14:w="6527" w14:cap="flat" w14:cmpd="sng" w14:algn="ctr">
            <w14:solidFill>
              <w14:srgbClr w14:val="000000"/>
            </w14:solidFill>
            <w14:prstDash w14:val="solid"/>
            <w14:miter w14:val="0"/>
          </w14:textOutline>
        </w:rPr>
        <w:t>料</w:t>
      </w:r>
      <w:r>
        <w:rPr>
          <w:rFonts w:hint="eastAsia" w:ascii="宋体" w:hAnsi="宋体" w:cs="宋体"/>
          <w:color w:val="auto"/>
          <w:spacing w:val="16"/>
          <w:sz w:val="36"/>
          <w:szCs w:val="36"/>
          <w:highlight w:val="none"/>
          <w14:textOutline w14:w="6527" w14:cap="flat" w14:cmpd="sng" w14:algn="ctr">
            <w14:solidFill>
              <w14:srgbClr w14:val="000000"/>
            </w14:solidFill>
            <w14:prstDash w14:val="solid"/>
            <w14:miter w14:val="0"/>
          </w14:textOutline>
        </w:rPr>
        <w:t>（如有）</w:t>
      </w:r>
    </w:p>
    <w:p w14:paraId="06BC8F0D">
      <w:pPr>
        <w:spacing w:before="17" w:line="360" w:lineRule="auto"/>
        <w:ind w:left="446"/>
        <w:rPr>
          <w:rFonts w:ascii="宋体" w:hAnsi="宋体" w:cs="宋体"/>
          <w:color w:val="auto"/>
          <w:szCs w:val="21"/>
          <w:highlight w:val="none"/>
        </w:rPr>
      </w:pPr>
      <w:r>
        <w:rPr>
          <w:rFonts w:ascii="宋体" w:hAnsi="宋体" w:cs="宋体"/>
          <w:color w:val="auto"/>
          <w:spacing w:val="8"/>
          <w:szCs w:val="21"/>
          <w:highlight w:val="none"/>
        </w:rPr>
        <w:t>(格式</w:t>
      </w:r>
      <w:r>
        <w:rPr>
          <w:rFonts w:ascii="宋体" w:hAnsi="宋体" w:cs="宋体"/>
          <w:color w:val="auto"/>
          <w:spacing w:val="4"/>
          <w:szCs w:val="21"/>
          <w:highlight w:val="none"/>
        </w:rPr>
        <w:t>自拟，复印或扫描件须加盖供应商公章)</w:t>
      </w:r>
    </w:p>
    <w:p w14:paraId="7E3D8F25">
      <w:pPr>
        <w:pStyle w:val="25"/>
        <w:spacing w:line="360" w:lineRule="auto"/>
        <w:ind w:firstLine="0" w:firstLineChars="0"/>
        <w:rPr>
          <w:color w:val="auto"/>
          <w:highlight w:val="none"/>
        </w:rPr>
      </w:pPr>
    </w:p>
    <w:p w14:paraId="4CE8B999">
      <w:pPr>
        <w:pStyle w:val="25"/>
        <w:spacing w:line="360" w:lineRule="auto"/>
        <w:ind w:firstLine="0" w:firstLineChars="0"/>
        <w:rPr>
          <w:color w:val="auto"/>
          <w:highlight w:val="none"/>
        </w:rPr>
      </w:pPr>
    </w:p>
    <w:p w14:paraId="0B9F9849">
      <w:pPr>
        <w:pStyle w:val="25"/>
        <w:spacing w:line="360" w:lineRule="auto"/>
        <w:ind w:firstLine="0" w:firstLineChars="0"/>
        <w:rPr>
          <w:color w:val="auto"/>
          <w:highlight w:val="none"/>
        </w:rPr>
      </w:pPr>
    </w:p>
    <w:p w14:paraId="51D46471">
      <w:pPr>
        <w:pStyle w:val="25"/>
        <w:spacing w:line="360" w:lineRule="auto"/>
        <w:ind w:firstLine="0" w:firstLineChars="0"/>
        <w:rPr>
          <w:color w:val="auto"/>
          <w:highlight w:val="none"/>
        </w:rPr>
      </w:pPr>
    </w:p>
    <w:p w14:paraId="25314CCB">
      <w:pPr>
        <w:pStyle w:val="25"/>
        <w:spacing w:line="360" w:lineRule="auto"/>
        <w:ind w:firstLine="0" w:firstLineChars="0"/>
        <w:rPr>
          <w:color w:val="auto"/>
          <w:highlight w:val="none"/>
        </w:rPr>
      </w:pPr>
    </w:p>
    <w:p w14:paraId="4046DE15">
      <w:pPr>
        <w:pStyle w:val="25"/>
        <w:spacing w:line="360" w:lineRule="auto"/>
        <w:ind w:firstLine="0" w:firstLineChars="0"/>
        <w:rPr>
          <w:color w:val="auto"/>
          <w:highlight w:val="none"/>
        </w:rPr>
      </w:pPr>
    </w:p>
    <w:p w14:paraId="399DF372">
      <w:pPr>
        <w:pStyle w:val="25"/>
        <w:spacing w:line="360" w:lineRule="auto"/>
        <w:ind w:firstLine="0" w:firstLineChars="0"/>
        <w:rPr>
          <w:color w:val="auto"/>
          <w:highlight w:val="none"/>
        </w:rPr>
      </w:pPr>
    </w:p>
    <w:p w14:paraId="0447EAE7">
      <w:pPr>
        <w:pStyle w:val="25"/>
        <w:spacing w:line="360" w:lineRule="auto"/>
        <w:ind w:firstLine="0" w:firstLineChars="0"/>
        <w:rPr>
          <w:color w:val="auto"/>
          <w:highlight w:val="none"/>
        </w:rPr>
      </w:pPr>
    </w:p>
    <w:p w14:paraId="25019A38">
      <w:pPr>
        <w:pStyle w:val="25"/>
        <w:spacing w:line="360" w:lineRule="auto"/>
        <w:ind w:firstLine="0" w:firstLineChars="0"/>
        <w:rPr>
          <w:color w:val="auto"/>
          <w:highlight w:val="none"/>
        </w:rPr>
      </w:pPr>
    </w:p>
    <w:p w14:paraId="0044F78D">
      <w:pPr>
        <w:pStyle w:val="25"/>
        <w:spacing w:line="360" w:lineRule="auto"/>
        <w:ind w:firstLine="0" w:firstLineChars="0"/>
        <w:rPr>
          <w:color w:val="auto"/>
          <w:highlight w:val="none"/>
        </w:rPr>
      </w:pPr>
    </w:p>
    <w:p w14:paraId="58997813">
      <w:pPr>
        <w:pStyle w:val="25"/>
        <w:spacing w:line="360" w:lineRule="auto"/>
        <w:ind w:firstLine="0" w:firstLineChars="0"/>
        <w:rPr>
          <w:color w:val="auto"/>
          <w:highlight w:val="none"/>
        </w:rPr>
      </w:pPr>
    </w:p>
    <w:p w14:paraId="68EB1D0A">
      <w:pPr>
        <w:pStyle w:val="25"/>
        <w:spacing w:line="360" w:lineRule="auto"/>
        <w:ind w:firstLine="0" w:firstLineChars="0"/>
        <w:rPr>
          <w:color w:val="auto"/>
          <w:highlight w:val="none"/>
        </w:rPr>
      </w:pPr>
    </w:p>
    <w:p w14:paraId="2698C115">
      <w:pPr>
        <w:pStyle w:val="25"/>
        <w:spacing w:line="360" w:lineRule="auto"/>
        <w:ind w:firstLine="0" w:firstLineChars="0"/>
        <w:rPr>
          <w:color w:val="auto"/>
          <w:highlight w:val="none"/>
        </w:rPr>
      </w:pPr>
    </w:p>
    <w:p w14:paraId="0E406FCE">
      <w:pPr>
        <w:pStyle w:val="10"/>
        <w:spacing w:line="360" w:lineRule="auto"/>
        <w:ind w:firstLine="566" w:firstLineChars="200"/>
        <w:jc w:val="center"/>
        <w:rPr>
          <w:rFonts w:ascii="宋体" w:hAnsi="宋体"/>
          <w:color w:val="auto"/>
          <w:sz w:val="28"/>
          <w:highlight w:val="none"/>
        </w:rPr>
      </w:pPr>
      <w:r>
        <w:rPr>
          <w:rFonts w:hint="eastAsia" w:ascii="宋体" w:hAnsi="宋体"/>
          <w:color w:val="auto"/>
          <w:sz w:val="28"/>
          <w:highlight w:val="none"/>
        </w:rPr>
        <w:t>五、投标保证金</w:t>
      </w:r>
    </w:p>
    <w:p w14:paraId="44756BAF">
      <w:pPr>
        <w:spacing w:line="360" w:lineRule="auto"/>
        <w:rPr>
          <w:rFonts w:ascii="宋体" w:hAnsi="宋体" w:cs="宋体"/>
          <w:color w:val="auto"/>
          <w:sz w:val="24"/>
          <w:highlight w:val="none"/>
        </w:rPr>
      </w:pPr>
      <w:r>
        <w:rPr>
          <w:rFonts w:hint="eastAsia" w:ascii="宋体" w:hAnsi="宋体" w:cs="宋体"/>
          <w:color w:val="auto"/>
          <w:sz w:val="24"/>
          <w:highlight w:val="none"/>
        </w:rPr>
        <w:t>银行转账：供应商在线交纳保证金后，可自行在系统中“保证金到帐查询及打印”一栏，打印保证金到帐信息回执。</w:t>
      </w:r>
    </w:p>
    <w:p w14:paraId="40612066">
      <w:pPr>
        <w:spacing w:line="360" w:lineRule="auto"/>
        <w:rPr>
          <w:rFonts w:ascii="宋体" w:hAnsi="宋体" w:cs="宋体"/>
          <w:color w:val="auto"/>
          <w:sz w:val="24"/>
          <w:highlight w:val="none"/>
        </w:rPr>
      </w:pPr>
    </w:p>
    <w:p w14:paraId="7CB924C4">
      <w:pPr>
        <w:pStyle w:val="10"/>
        <w:spacing w:line="360" w:lineRule="auto"/>
        <w:ind w:firstLine="486" w:firstLineChars="200"/>
        <w:jc w:val="left"/>
        <w:rPr>
          <w:rFonts w:ascii="宋体" w:hAnsi="宋体" w:cs="宋体"/>
          <w:color w:val="auto"/>
          <w:sz w:val="24"/>
          <w:highlight w:val="none"/>
        </w:rPr>
      </w:pPr>
      <w:r>
        <w:rPr>
          <w:rFonts w:hint="eastAsia" w:ascii="宋体" w:hAnsi="宋体" w:cs="宋体"/>
          <w:color w:val="auto"/>
          <w:sz w:val="24"/>
          <w:highlight w:val="none"/>
        </w:rPr>
        <w:t>银行保函、投标保证保险：原件扫描件或复印件加盖投标单位公章。</w:t>
      </w:r>
    </w:p>
    <w:p w14:paraId="4E2D3524">
      <w:pPr>
        <w:pStyle w:val="10"/>
        <w:spacing w:line="360" w:lineRule="auto"/>
        <w:ind w:firstLine="486" w:firstLineChars="200"/>
        <w:jc w:val="left"/>
        <w:rPr>
          <w:rFonts w:ascii="宋体" w:hAnsi="宋体" w:cs="宋体"/>
          <w:color w:val="auto"/>
          <w:sz w:val="24"/>
          <w:highlight w:val="none"/>
        </w:rPr>
      </w:pPr>
    </w:p>
    <w:p w14:paraId="4B10D776">
      <w:pPr>
        <w:pStyle w:val="10"/>
        <w:spacing w:line="360" w:lineRule="auto"/>
        <w:ind w:firstLine="486" w:firstLineChars="200"/>
        <w:jc w:val="left"/>
        <w:rPr>
          <w:rFonts w:ascii="宋体" w:hAnsi="宋体" w:cs="宋体"/>
          <w:color w:val="auto"/>
          <w:sz w:val="24"/>
          <w:highlight w:val="none"/>
        </w:rPr>
      </w:pPr>
    </w:p>
    <w:p w14:paraId="4990C793">
      <w:pPr>
        <w:pStyle w:val="10"/>
        <w:spacing w:line="360" w:lineRule="auto"/>
        <w:ind w:firstLine="486" w:firstLineChars="200"/>
        <w:jc w:val="left"/>
        <w:rPr>
          <w:rFonts w:ascii="宋体" w:hAnsi="宋体"/>
          <w:color w:val="auto"/>
          <w:sz w:val="24"/>
          <w:highlight w:val="none"/>
        </w:rPr>
      </w:pPr>
    </w:p>
    <w:p w14:paraId="008EDD1F">
      <w:pPr>
        <w:pStyle w:val="10"/>
        <w:spacing w:line="360" w:lineRule="auto"/>
        <w:ind w:firstLine="486" w:firstLineChars="200"/>
        <w:jc w:val="left"/>
        <w:rPr>
          <w:rFonts w:ascii="宋体" w:hAnsi="宋体"/>
          <w:color w:val="auto"/>
          <w:sz w:val="24"/>
          <w:highlight w:val="none"/>
        </w:rPr>
      </w:pPr>
    </w:p>
    <w:p w14:paraId="43F0B3CA">
      <w:pPr>
        <w:pStyle w:val="10"/>
        <w:spacing w:line="360" w:lineRule="auto"/>
        <w:ind w:firstLine="486" w:firstLineChars="200"/>
        <w:jc w:val="left"/>
        <w:rPr>
          <w:rFonts w:ascii="宋体" w:hAnsi="宋体"/>
          <w:color w:val="auto"/>
          <w:sz w:val="24"/>
          <w:highlight w:val="none"/>
        </w:rPr>
      </w:pPr>
    </w:p>
    <w:p w14:paraId="4B0569B4">
      <w:pPr>
        <w:pStyle w:val="10"/>
        <w:spacing w:line="360" w:lineRule="auto"/>
        <w:ind w:firstLine="486" w:firstLineChars="200"/>
        <w:jc w:val="left"/>
        <w:rPr>
          <w:rFonts w:ascii="宋体" w:hAnsi="宋体"/>
          <w:color w:val="auto"/>
          <w:sz w:val="24"/>
          <w:highlight w:val="none"/>
        </w:rPr>
      </w:pPr>
    </w:p>
    <w:p w14:paraId="16D171C1">
      <w:pPr>
        <w:pStyle w:val="10"/>
        <w:spacing w:line="360" w:lineRule="auto"/>
        <w:ind w:firstLine="486" w:firstLineChars="200"/>
        <w:jc w:val="left"/>
        <w:rPr>
          <w:rFonts w:ascii="宋体" w:hAnsi="宋体"/>
          <w:color w:val="auto"/>
          <w:sz w:val="24"/>
          <w:highlight w:val="none"/>
        </w:rPr>
      </w:pPr>
    </w:p>
    <w:p w14:paraId="6E401E53">
      <w:pPr>
        <w:pStyle w:val="10"/>
        <w:spacing w:line="360" w:lineRule="auto"/>
        <w:ind w:firstLine="486" w:firstLineChars="200"/>
        <w:jc w:val="left"/>
        <w:rPr>
          <w:rFonts w:ascii="宋体" w:hAnsi="宋体"/>
          <w:color w:val="auto"/>
          <w:sz w:val="24"/>
          <w:highlight w:val="none"/>
        </w:rPr>
      </w:pPr>
    </w:p>
    <w:p w14:paraId="5FD310CD">
      <w:pPr>
        <w:pStyle w:val="10"/>
        <w:spacing w:line="360" w:lineRule="auto"/>
        <w:ind w:firstLine="486" w:firstLineChars="200"/>
        <w:jc w:val="left"/>
        <w:rPr>
          <w:rFonts w:ascii="宋体" w:hAnsi="宋体"/>
          <w:color w:val="auto"/>
          <w:sz w:val="24"/>
          <w:highlight w:val="none"/>
        </w:rPr>
      </w:pPr>
    </w:p>
    <w:p w14:paraId="22D81341">
      <w:pPr>
        <w:pStyle w:val="10"/>
        <w:spacing w:line="360" w:lineRule="auto"/>
        <w:ind w:firstLine="486" w:firstLineChars="200"/>
        <w:jc w:val="left"/>
        <w:rPr>
          <w:rFonts w:ascii="宋体" w:hAnsi="宋体"/>
          <w:color w:val="auto"/>
          <w:sz w:val="24"/>
          <w:highlight w:val="none"/>
        </w:rPr>
      </w:pPr>
    </w:p>
    <w:p w14:paraId="5FB1AEEE">
      <w:pPr>
        <w:pStyle w:val="10"/>
        <w:spacing w:line="360" w:lineRule="auto"/>
        <w:ind w:firstLine="486" w:firstLineChars="200"/>
        <w:jc w:val="left"/>
        <w:rPr>
          <w:rFonts w:ascii="宋体" w:hAnsi="宋体"/>
          <w:color w:val="auto"/>
          <w:sz w:val="24"/>
          <w:highlight w:val="none"/>
        </w:rPr>
      </w:pPr>
    </w:p>
    <w:p w14:paraId="0BE9AC95">
      <w:pPr>
        <w:pStyle w:val="10"/>
        <w:spacing w:line="360" w:lineRule="auto"/>
        <w:ind w:firstLine="486" w:firstLineChars="200"/>
        <w:jc w:val="left"/>
        <w:rPr>
          <w:rFonts w:ascii="宋体" w:hAnsi="宋体"/>
          <w:color w:val="auto"/>
          <w:sz w:val="24"/>
          <w:highlight w:val="none"/>
        </w:rPr>
      </w:pPr>
    </w:p>
    <w:p w14:paraId="59FCC356">
      <w:pPr>
        <w:pStyle w:val="10"/>
        <w:spacing w:line="360" w:lineRule="auto"/>
        <w:ind w:firstLine="486" w:firstLineChars="200"/>
        <w:jc w:val="left"/>
        <w:rPr>
          <w:rFonts w:ascii="宋体" w:hAnsi="宋体"/>
          <w:color w:val="auto"/>
          <w:sz w:val="24"/>
          <w:highlight w:val="none"/>
        </w:rPr>
      </w:pPr>
    </w:p>
    <w:p w14:paraId="2327C7EE">
      <w:pPr>
        <w:pStyle w:val="10"/>
        <w:spacing w:line="360" w:lineRule="auto"/>
        <w:ind w:firstLine="486" w:firstLineChars="200"/>
        <w:jc w:val="left"/>
        <w:rPr>
          <w:rFonts w:ascii="宋体" w:hAnsi="宋体"/>
          <w:color w:val="auto"/>
          <w:sz w:val="24"/>
          <w:highlight w:val="none"/>
        </w:rPr>
      </w:pPr>
    </w:p>
    <w:p w14:paraId="0B76C393">
      <w:pPr>
        <w:pStyle w:val="10"/>
        <w:spacing w:line="360" w:lineRule="auto"/>
        <w:ind w:firstLine="486" w:firstLineChars="200"/>
        <w:jc w:val="left"/>
        <w:rPr>
          <w:rFonts w:ascii="宋体" w:hAnsi="宋体"/>
          <w:color w:val="auto"/>
          <w:sz w:val="24"/>
          <w:highlight w:val="none"/>
        </w:rPr>
      </w:pPr>
    </w:p>
    <w:p w14:paraId="0A5880CE">
      <w:pPr>
        <w:pStyle w:val="10"/>
        <w:spacing w:line="360" w:lineRule="auto"/>
        <w:ind w:firstLine="486" w:firstLineChars="200"/>
        <w:jc w:val="left"/>
        <w:rPr>
          <w:rFonts w:ascii="宋体" w:hAnsi="宋体"/>
          <w:color w:val="auto"/>
          <w:sz w:val="24"/>
          <w:highlight w:val="none"/>
        </w:rPr>
      </w:pPr>
    </w:p>
    <w:p w14:paraId="63365772">
      <w:pPr>
        <w:pStyle w:val="10"/>
        <w:spacing w:line="360" w:lineRule="auto"/>
        <w:ind w:firstLine="486" w:firstLineChars="200"/>
        <w:jc w:val="left"/>
        <w:rPr>
          <w:rFonts w:ascii="宋体" w:hAnsi="宋体"/>
          <w:color w:val="auto"/>
          <w:sz w:val="24"/>
          <w:highlight w:val="none"/>
        </w:rPr>
      </w:pPr>
    </w:p>
    <w:p w14:paraId="61431EE0">
      <w:pPr>
        <w:pStyle w:val="10"/>
        <w:spacing w:line="360" w:lineRule="auto"/>
        <w:ind w:firstLine="486" w:firstLineChars="200"/>
        <w:jc w:val="left"/>
        <w:rPr>
          <w:rFonts w:ascii="宋体" w:hAnsi="宋体"/>
          <w:color w:val="auto"/>
          <w:sz w:val="24"/>
          <w:highlight w:val="none"/>
        </w:rPr>
      </w:pPr>
    </w:p>
    <w:p w14:paraId="3CE353D5">
      <w:pPr>
        <w:pStyle w:val="10"/>
        <w:spacing w:line="360" w:lineRule="auto"/>
        <w:jc w:val="left"/>
        <w:rPr>
          <w:rFonts w:ascii="宋体" w:hAnsi="宋体"/>
          <w:color w:val="auto"/>
          <w:sz w:val="24"/>
          <w:highlight w:val="none"/>
        </w:rPr>
      </w:pPr>
    </w:p>
    <w:p w14:paraId="228927EB">
      <w:pPr>
        <w:spacing w:before="158" w:beforeLines="50" w:after="158" w:afterLines="50" w:line="360" w:lineRule="auto"/>
        <w:jc w:val="left"/>
        <w:rPr>
          <w:rFonts w:ascii="宋体" w:hAnsi="宋体" w:cs="宋体"/>
          <w:color w:val="auto"/>
          <w:highlight w:val="none"/>
        </w:rPr>
      </w:pPr>
      <w:r>
        <w:rPr>
          <w:rFonts w:hint="eastAsia" w:ascii="宋体" w:hAnsi="宋体" w:cs="宋体"/>
          <w:b/>
          <w:bCs/>
          <w:color w:val="auto"/>
          <w:sz w:val="24"/>
          <w:highlight w:val="none"/>
        </w:rPr>
        <w:t>5.1银行保函承诺书</w:t>
      </w:r>
    </w:p>
    <w:p w14:paraId="284AF2AA">
      <w:pPr>
        <w:spacing w:line="360" w:lineRule="auto"/>
        <w:jc w:val="center"/>
        <w:rPr>
          <w:rFonts w:ascii="宋体" w:hAnsi="宋体" w:cs="宋体"/>
          <w:b/>
          <w:bCs/>
          <w:color w:val="auto"/>
          <w:sz w:val="36"/>
          <w:szCs w:val="36"/>
          <w:highlight w:val="none"/>
        </w:rPr>
      </w:pPr>
    </w:p>
    <w:p w14:paraId="3933FD78">
      <w:pPr>
        <w:spacing w:line="360" w:lineRule="auto"/>
        <w:jc w:val="center"/>
        <w:rPr>
          <w:rFonts w:ascii="宋体" w:hAnsi="宋体" w:cs="宋体"/>
          <w:b/>
          <w:bCs/>
          <w:color w:val="auto"/>
          <w:sz w:val="24"/>
          <w:highlight w:val="none"/>
        </w:rPr>
      </w:pPr>
      <w:r>
        <w:rPr>
          <w:rFonts w:hint="eastAsia" w:ascii="宋体" w:hAnsi="宋体" w:cs="宋体"/>
          <w:b/>
          <w:bCs/>
          <w:color w:val="auto"/>
          <w:sz w:val="36"/>
          <w:szCs w:val="36"/>
          <w:highlight w:val="none"/>
        </w:rPr>
        <w:t>银行保函承诺书</w:t>
      </w:r>
    </w:p>
    <w:p w14:paraId="73967AC2">
      <w:pPr>
        <w:spacing w:line="360" w:lineRule="auto"/>
        <w:ind w:firstLine="486" w:firstLineChars="200"/>
        <w:jc w:val="left"/>
        <w:rPr>
          <w:rFonts w:ascii="宋体" w:hAnsi="宋体" w:cs="宋体"/>
          <w:color w:val="auto"/>
          <w:sz w:val="24"/>
          <w:highlight w:val="none"/>
        </w:rPr>
      </w:pPr>
    </w:p>
    <w:p w14:paraId="2D6E6B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（采购人或采购代理机构）     </w:t>
      </w:r>
    </w:p>
    <w:p w14:paraId="45BA2821">
      <w:pPr>
        <w:spacing w:line="360" w:lineRule="auto"/>
        <w:ind w:firstLine="486"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（供应商全称）            </w:t>
      </w:r>
      <w:r>
        <w:rPr>
          <w:rFonts w:hint="eastAsia" w:ascii="宋体" w:hAnsi="宋体" w:cs="宋体"/>
          <w:color w:val="auto"/>
          <w:sz w:val="24"/>
          <w:highlight w:val="none"/>
        </w:rPr>
        <w:t>参加贵单位组织的项目编号为：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的政府采购活动，在此郑重承诺提供的银行保函，保单号：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为真实有效，如提供虚假、失实的材料，自愿取消其投标资格，并自愿承担由此造成的一切法律责任及后果。</w:t>
      </w:r>
    </w:p>
    <w:p w14:paraId="376B068E">
      <w:pPr>
        <w:spacing w:line="360" w:lineRule="auto"/>
        <w:ind w:firstLine="486" w:firstLineChars="200"/>
        <w:rPr>
          <w:rFonts w:ascii="宋体" w:hAnsi="宋体" w:cs="宋体"/>
          <w:color w:val="auto"/>
          <w:sz w:val="24"/>
          <w:highlight w:val="none"/>
        </w:rPr>
      </w:pPr>
      <w:r>
        <w:rPr>
          <w:rFonts w:hint="eastAsia" w:ascii="宋体" w:hAnsi="宋体" w:cs="宋体"/>
          <w:color w:val="auto"/>
          <w:sz w:val="24"/>
          <w:highlight w:val="none"/>
        </w:rPr>
        <w:t>同时我单位郑重承诺出现违反法律法规规定或采购文件中约定保证金不予退还情况的，若银行保函失效，我单位自收到采购人保证金不予退还相关函件之日起5个工作日内将本项目等额保证金支付给采购人。</w:t>
      </w:r>
    </w:p>
    <w:p w14:paraId="66C5253C">
      <w:pPr>
        <w:spacing w:line="360" w:lineRule="auto"/>
        <w:ind w:firstLine="486" w:firstLineChars="200"/>
        <w:rPr>
          <w:rFonts w:ascii="宋体" w:hAnsi="宋体" w:cs="宋体"/>
          <w:color w:val="auto"/>
          <w:sz w:val="24"/>
          <w:highlight w:val="none"/>
        </w:rPr>
      </w:pPr>
    </w:p>
    <w:p w14:paraId="7DA76C9C">
      <w:pPr>
        <w:pStyle w:val="19"/>
        <w:shd w:val="clear" w:color="auto" w:fill="FFFFFF"/>
        <w:ind w:firstLine="4981" w:firstLineChars="2050"/>
        <w:rPr>
          <w:rFonts w:ascii="宋体" w:hAnsi="宋体" w:cs="宋体"/>
          <w:color w:val="auto"/>
          <w:highlight w:val="none"/>
        </w:rPr>
      </w:pPr>
      <w:r>
        <w:rPr>
          <w:rFonts w:hint="eastAsia" w:ascii="宋体" w:hAnsi="宋体" w:cs="宋体"/>
          <w:color w:val="auto"/>
          <w:highlight w:val="none"/>
        </w:rPr>
        <w:t>承诺单位（公章）：</w:t>
      </w:r>
    </w:p>
    <w:p w14:paraId="746CF1A9">
      <w:pPr>
        <w:pStyle w:val="10"/>
        <w:spacing w:line="360" w:lineRule="auto"/>
        <w:ind w:firstLine="486" w:firstLineChars="200"/>
        <w:jc w:val="left"/>
        <w:rPr>
          <w:rFonts w:ascii="宋体" w:hAnsi="宋体"/>
          <w:color w:val="auto"/>
          <w:sz w:val="24"/>
          <w:highlight w:val="none"/>
        </w:rPr>
      </w:pPr>
      <w:r>
        <w:rPr>
          <w:rFonts w:hint="eastAsia" w:ascii="宋体" w:hAnsi="宋体" w:cs="宋体"/>
          <w:color w:val="auto"/>
          <w:sz w:val="24"/>
          <w:highlight w:val="none"/>
        </w:rPr>
        <w:t>签署日期：   年   月  日</w:t>
      </w:r>
    </w:p>
    <w:p w14:paraId="52B4C5E5">
      <w:pPr>
        <w:pStyle w:val="10"/>
        <w:spacing w:line="360" w:lineRule="auto"/>
        <w:ind w:firstLine="486" w:firstLineChars="200"/>
        <w:jc w:val="left"/>
        <w:rPr>
          <w:rFonts w:ascii="宋体" w:hAnsi="宋体"/>
          <w:color w:val="auto"/>
          <w:sz w:val="24"/>
          <w:highlight w:val="none"/>
        </w:rPr>
      </w:pPr>
    </w:p>
    <w:p w14:paraId="6A0F7DAD">
      <w:pPr>
        <w:pStyle w:val="10"/>
        <w:spacing w:line="360" w:lineRule="auto"/>
        <w:ind w:firstLine="486" w:firstLineChars="200"/>
        <w:jc w:val="left"/>
        <w:rPr>
          <w:rFonts w:ascii="宋体" w:hAnsi="宋体"/>
          <w:color w:val="auto"/>
          <w:sz w:val="24"/>
          <w:highlight w:val="none"/>
        </w:rPr>
      </w:pPr>
    </w:p>
    <w:p w14:paraId="760DBE4C">
      <w:pPr>
        <w:pStyle w:val="10"/>
        <w:spacing w:line="360" w:lineRule="auto"/>
        <w:ind w:firstLine="486" w:firstLineChars="200"/>
        <w:jc w:val="left"/>
        <w:rPr>
          <w:rFonts w:ascii="宋体" w:hAnsi="宋体"/>
          <w:color w:val="auto"/>
          <w:sz w:val="24"/>
          <w:highlight w:val="none"/>
        </w:rPr>
      </w:pPr>
    </w:p>
    <w:p w14:paraId="71AD3142">
      <w:pPr>
        <w:pStyle w:val="10"/>
        <w:spacing w:line="360" w:lineRule="auto"/>
        <w:ind w:firstLine="486" w:firstLineChars="200"/>
        <w:jc w:val="left"/>
        <w:rPr>
          <w:rFonts w:ascii="宋体" w:hAnsi="宋体"/>
          <w:color w:val="auto"/>
          <w:sz w:val="24"/>
          <w:highlight w:val="none"/>
        </w:rPr>
      </w:pPr>
    </w:p>
    <w:p w14:paraId="29C4DA27">
      <w:pPr>
        <w:pStyle w:val="10"/>
        <w:spacing w:line="360" w:lineRule="auto"/>
        <w:ind w:firstLine="486" w:firstLineChars="200"/>
        <w:jc w:val="left"/>
        <w:rPr>
          <w:rFonts w:ascii="宋体" w:hAnsi="宋体"/>
          <w:color w:val="auto"/>
          <w:sz w:val="24"/>
          <w:highlight w:val="none"/>
        </w:rPr>
      </w:pPr>
    </w:p>
    <w:p w14:paraId="5F4B3FD7">
      <w:pPr>
        <w:pStyle w:val="10"/>
        <w:spacing w:line="360" w:lineRule="auto"/>
        <w:ind w:firstLine="486" w:firstLineChars="200"/>
        <w:jc w:val="left"/>
        <w:rPr>
          <w:rFonts w:ascii="宋体" w:hAnsi="宋体"/>
          <w:color w:val="auto"/>
          <w:sz w:val="24"/>
          <w:highlight w:val="none"/>
        </w:rPr>
      </w:pPr>
    </w:p>
    <w:p w14:paraId="50DE4D21">
      <w:pPr>
        <w:pStyle w:val="10"/>
        <w:spacing w:line="360" w:lineRule="auto"/>
        <w:ind w:firstLine="486" w:firstLineChars="200"/>
        <w:jc w:val="left"/>
        <w:rPr>
          <w:rFonts w:ascii="宋体" w:hAnsi="宋体"/>
          <w:color w:val="auto"/>
          <w:sz w:val="24"/>
          <w:highlight w:val="none"/>
        </w:rPr>
      </w:pPr>
    </w:p>
    <w:p w14:paraId="29F187C1">
      <w:pPr>
        <w:pStyle w:val="10"/>
        <w:spacing w:line="360" w:lineRule="auto"/>
        <w:ind w:firstLine="486" w:firstLineChars="200"/>
        <w:jc w:val="left"/>
        <w:rPr>
          <w:rFonts w:ascii="宋体" w:hAnsi="宋体"/>
          <w:color w:val="auto"/>
          <w:sz w:val="24"/>
          <w:highlight w:val="none"/>
        </w:rPr>
      </w:pPr>
    </w:p>
    <w:p w14:paraId="539FC2A4">
      <w:pPr>
        <w:pStyle w:val="10"/>
        <w:spacing w:line="360" w:lineRule="auto"/>
        <w:ind w:firstLine="486" w:firstLineChars="200"/>
        <w:jc w:val="left"/>
        <w:rPr>
          <w:rFonts w:ascii="宋体" w:hAnsi="宋体"/>
          <w:color w:val="auto"/>
          <w:sz w:val="24"/>
          <w:highlight w:val="none"/>
        </w:rPr>
      </w:pPr>
    </w:p>
    <w:p w14:paraId="41BCCE41">
      <w:pPr>
        <w:pStyle w:val="10"/>
        <w:spacing w:line="360" w:lineRule="auto"/>
        <w:jc w:val="left"/>
        <w:rPr>
          <w:rFonts w:ascii="宋体" w:hAnsi="宋体"/>
          <w:color w:val="auto"/>
          <w:sz w:val="24"/>
          <w:highlight w:val="none"/>
        </w:rPr>
      </w:pPr>
    </w:p>
    <w:p w14:paraId="39D8441C">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5.2投标保证保险承诺书</w:t>
      </w:r>
    </w:p>
    <w:p w14:paraId="02A765D7">
      <w:pPr>
        <w:spacing w:line="360" w:lineRule="auto"/>
        <w:jc w:val="center"/>
        <w:rPr>
          <w:rFonts w:ascii="宋体" w:hAnsi="宋体" w:cs="宋体"/>
          <w:b/>
          <w:bCs/>
          <w:color w:val="auto"/>
          <w:sz w:val="24"/>
          <w:highlight w:val="none"/>
        </w:rPr>
      </w:pPr>
    </w:p>
    <w:p w14:paraId="25D94EA1">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投标保证保险承诺书</w:t>
      </w:r>
    </w:p>
    <w:p w14:paraId="4B222D8E">
      <w:pPr>
        <w:spacing w:line="360" w:lineRule="auto"/>
        <w:ind w:firstLine="486" w:firstLineChars="200"/>
        <w:jc w:val="left"/>
        <w:rPr>
          <w:rFonts w:ascii="宋体" w:hAnsi="宋体" w:cs="宋体"/>
          <w:color w:val="auto"/>
          <w:sz w:val="24"/>
          <w:highlight w:val="none"/>
        </w:rPr>
      </w:pPr>
    </w:p>
    <w:p w14:paraId="5C1B4B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（采购人或采购代理机构）     </w:t>
      </w:r>
    </w:p>
    <w:p w14:paraId="0DF28A01">
      <w:pPr>
        <w:spacing w:line="360" w:lineRule="auto"/>
        <w:ind w:firstLine="486"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（供应商全称）            </w:t>
      </w:r>
      <w:r>
        <w:rPr>
          <w:rFonts w:hint="eastAsia" w:ascii="宋体" w:hAnsi="宋体" w:cs="宋体"/>
          <w:color w:val="auto"/>
          <w:sz w:val="24"/>
          <w:highlight w:val="none"/>
        </w:rPr>
        <w:t>参加贵单位组织的项目编号为：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的政府采购活动，在此郑重承诺提供的</w:t>
      </w:r>
      <w:r>
        <w:rPr>
          <w:rFonts w:hint="eastAsia" w:ascii="宋体" w:hAnsi="宋体" w:cs="宋体"/>
          <w:b/>
          <w:bCs/>
          <w:color w:val="auto"/>
          <w:sz w:val="24"/>
          <w:highlight w:val="none"/>
        </w:rPr>
        <w:t>投标保证保险</w:t>
      </w:r>
      <w:r>
        <w:rPr>
          <w:rFonts w:hint="eastAsia" w:ascii="宋体" w:hAnsi="宋体" w:cs="宋体"/>
          <w:color w:val="auto"/>
          <w:sz w:val="24"/>
          <w:highlight w:val="none"/>
        </w:rPr>
        <w:t>保单或合同，保单或合同号：为真实有效，如提供虚假、失实的材料，自愿取消其投标资格，并自愿承担由此造成的一切法律责任及后果。</w:t>
      </w:r>
    </w:p>
    <w:p w14:paraId="6A3F14C1">
      <w:pPr>
        <w:spacing w:line="360" w:lineRule="auto"/>
        <w:ind w:firstLine="486" w:firstLineChars="200"/>
        <w:rPr>
          <w:rFonts w:ascii="宋体" w:hAnsi="宋体" w:cs="宋体"/>
          <w:color w:val="auto"/>
          <w:sz w:val="24"/>
          <w:highlight w:val="none"/>
        </w:rPr>
      </w:pPr>
      <w:r>
        <w:rPr>
          <w:rFonts w:hint="eastAsia" w:ascii="宋体" w:hAnsi="宋体" w:cs="宋体"/>
          <w:color w:val="auto"/>
          <w:sz w:val="24"/>
          <w:highlight w:val="none"/>
        </w:rPr>
        <w:t>同时我单位郑重承诺出现违反法律法规规定或采购文件中约定保证金不予退还情况的，若投标保证保险失效，我单位自收到采购人保证金不予退还相关函件之日起5个工作日内将本项目等额保证金支付给采购人。</w:t>
      </w:r>
    </w:p>
    <w:p w14:paraId="5876283B">
      <w:pPr>
        <w:spacing w:line="360" w:lineRule="auto"/>
        <w:ind w:firstLine="486" w:firstLineChars="200"/>
        <w:rPr>
          <w:rFonts w:ascii="宋体" w:hAnsi="宋体" w:cs="宋体"/>
          <w:color w:val="auto"/>
          <w:sz w:val="24"/>
          <w:highlight w:val="none"/>
        </w:rPr>
      </w:pPr>
    </w:p>
    <w:p w14:paraId="617CD910">
      <w:pPr>
        <w:spacing w:line="360" w:lineRule="auto"/>
        <w:ind w:firstLine="486" w:firstLineChars="200"/>
        <w:rPr>
          <w:rFonts w:ascii="宋体" w:hAnsi="宋体" w:cs="宋体"/>
          <w:color w:val="auto"/>
          <w:sz w:val="24"/>
          <w:highlight w:val="none"/>
        </w:rPr>
      </w:pPr>
    </w:p>
    <w:p w14:paraId="1F3602B0">
      <w:pPr>
        <w:spacing w:line="360" w:lineRule="auto"/>
        <w:rPr>
          <w:rFonts w:ascii="宋体" w:hAnsi="宋体" w:cs="宋体"/>
          <w:color w:val="auto"/>
          <w:sz w:val="24"/>
          <w:highlight w:val="none"/>
        </w:rPr>
      </w:pPr>
    </w:p>
    <w:p w14:paraId="33ECAA37">
      <w:pPr>
        <w:pStyle w:val="19"/>
        <w:shd w:val="clear" w:color="auto" w:fill="FFFFFF"/>
        <w:ind w:firstLine="6196" w:firstLineChars="2550"/>
        <w:rPr>
          <w:rFonts w:ascii="宋体" w:hAnsi="宋体" w:cs="宋体"/>
          <w:color w:val="auto"/>
          <w:highlight w:val="none"/>
        </w:rPr>
      </w:pPr>
      <w:r>
        <w:rPr>
          <w:rFonts w:hint="eastAsia" w:ascii="宋体" w:hAnsi="宋体" w:cs="宋体"/>
          <w:color w:val="auto"/>
          <w:highlight w:val="none"/>
        </w:rPr>
        <w:t>承诺单位（公章）：</w:t>
      </w:r>
    </w:p>
    <w:p w14:paraId="0D4142CC">
      <w:pPr>
        <w:pStyle w:val="10"/>
        <w:spacing w:line="360" w:lineRule="auto"/>
        <w:ind w:firstLine="486" w:firstLineChars="200"/>
        <w:jc w:val="left"/>
        <w:rPr>
          <w:rFonts w:ascii="宋体" w:hAnsi="宋体"/>
          <w:color w:val="auto"/>
          <w:sz w:val="24"/>
          <w:highlight w:val="none"/>
        </w:rPr>
      </w:pPr>
      <w:r>
        <w:rPr>
          <w:rFonts w:hint="eastAsia" w:ascii="宋体" w:hAnsi="宋体" w:cs="宋体"/>
          <w:color w:val="auto"/>
          <w:sz w:val="24"/>
          <w:highlight w:val="none"/>
        </w:rPr>
        <w:t>签署日期：   年   月  日</w:t>
      </w:r>
    </w:p>
    <w:p w14:paraId="3B5BF497">
      <w:pPr>
        <w:pStyle w:val="10"/>
        <w:spacing w:line="360" w:lineRule="auto"/>
        <w:ind w:firstLine="486" w:firstLineChars="200"/>
        <w:jc w:val="left"/>
        <w:rPr>
          <w:rFonts w:ascii="宋体" w:hAnsi="宋体"/>
          <w:color w:val="auto"/>
          <w:sz w:val="24"/>
          <w:highlight w:val="none"/>
        </w:rPr>
      </w:pPr>
    </w:p>
    <w:p w14:paraId="4B925A84">
      <w:pPr>
        <w:pStyle w:val="10"/>
        <w:spacing w:line="360" w:lineRule="auto"/>
        <w:ind w:firstLine="486" w:firstLineChars="200"/>
        <w:jc w:val="left"/>
        <w:rPr>
          <w:rFonts w:ascii="宋体" w:hAnsi="宋体"/>
          <w:color w:val="auto"/>
          <w:sz w:val="24"/>
          <w:highlight w:val="none"/>
        </w:rPr>
      </w:pPr>
    </w:p>
    <w:p w14:paraId="0AAA5230">
      <w:pPr>
        <w:pStyle w:val="10"/>
        <w:spacing w:line="360" w:lineRule="auto"/>
        <w:ind w:firstLine="486" w:firstLineChars="200"/>
        <w:jc w:val="left"/>
        <w:rPr>
          <w:rFonts w:ascii="宋体" w:hAnsi="宋体"/>
          <w:color w:val="auto"/>
          <w:sz w:val="24"/>
          <w:highlight w:val="none"/>
        </w:rPr>
      </w:pPr>
    </w:p>
    <w:p w14:paraId="124D9567">
      <w:pPr>
        <w:pStyle w:val="10"/>
        <w:spacing w:line="360" w:lineRule="auto"/>
        <w:ind w:firstLine="486" w:firstLineChars="200"/>
        <w:jc w:val="left"/>
        <w:rPr>
          <w:rFonts w:ascii="宋体" w:hAnsi="宋体"/>
          <w:color w:val="auto"/>
          <w:sz w:val="24"/>
          <w:highlight w:val="none"/>
        </w:rPr>
      </w:pPr>
    </w:p>
    <w:p w14:paraId="5947E2BF">
      <w:pPr>
        <w:pStyle w:val="10"/>
        <w:spacing w:line="360" w:lineRule="auto"/>
        <w:ind w:firstLine="486" w:firstLineChars="200"/>
        <w:jc w:val="left"/>
        <w:rPr>
          <w:rFonts w:ascii="宋体" w:hAnsi="宋体"/>
          <w:color w:val="auto"/>
          <w:sz w:val="24"/>
          <w:highlight w:val="none"/>
        </w:rPr>
      </w:pPr>
    </w:p>
    <w:p w14:paraId="14BE4F26">
      <w:pPr>
        <w:pStyle w:val="10"/>
        <w:spacing w:line="360" w:lineRule="auto"/>
        <w:ind w:firstLine="486" w:firstLineChars="200"/>
        <w:jc w:val="left"/>
        <w:rPr>
          <w:rFonts w:ascii="宋体" w:hAnsi="宋体"/>
          <w:color w:val="auto"/>
          <w:sz w:val="24"/>
          <w:highlight w:val="none"/>
        </w:rPr>
      </w:pPr>
    </w:p>
    <w:p w14:paraId="5D389B00">
      <w:pPr>
        <w:pStyle w:val="25"/>
        <w:ind w:firstLine="0" w:firstLineChars="0"/>
        <w:rPr>
          <w:rFonts w:ascii="宋体" w:hAnsi="宋体" w:cs="宋体"/>
          <w:color w:val="auto"/>
          <w:kern w:val="0"/>
          <w:szCs w:val="21"/>
          <w:highlight w:val="none"/>
        </w:rPr>
      </w:pPr>
    </w:p>
    <w:p w14:paraId="6E232F8E">
      <w:pPr>
        <w:pStyle w:val="25"/>
        <w:spacing w:line="360" w:lineRule="auto"/>
        <w:ind w:firstLine="571"/>
        <w:jc w:val="center"/>
        <w:rPr>
          <w:color w:val="auto"/>
          <w:highlight w:val="none"/>
        </w:rPr>
      </w:pPr>
      <w:r>
        <w:rPr>
          <w:rFonts w:hint="eastAsia" w:ascii="宋体" w:hAnsi="宋体" w:cs="宋体"/>
          <w:color w:val="auto"/>
          <w:kern w:val="0"/>
          <w:szCs w:val="21"/>
          <w:highlight w:val="none"/>
        </w:rPr>
        <w:t>六、</w:t>
      </w:r>
      <w:r>
        <w:rPr>
          <w:rFonts w:hint="eastAsia" w:ascii="宋体" w:hAnsi="宋体"/>
          <w:color w:val="auto"/>
          <w:sz w:val="24"/>
          <w:highlight w:val="none"/>
          <w:lang w:val="zh-CN"/>
        </w:rPr>
        <w:t>政府采购投标供应商实质性响应符合审查表</w:t>
      </w:r>
    </w:p>
    <w:p w14:paraId="4DFCD15E">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项目编号：           项目名称：                序列号：</w:t>
      </w:r>
    </w:p>
    <w:tbl>
      <w:tblPr>
        <w:tblStyle w:val="36"/>
        <w:tblpPr w:leftFromText="180" w:rightFromText="180" w:vertAnchor="text" w:horzAnchor="page" w:tblpX="495" w:tblpY="439"/>
        <w:tblOverlap w:val="never"/>
        <w:tblW w:w="107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111"/>
        <w:gridCol w:w="389"/>
        <w:gridCol w:w="3151"/>
        <w:gridCol w:w="3994"/>
        <w:gridCol w:w="1363"/>
      </w:tblGrid>
      <w:tr w14:paraId="3AE42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04" w:type="dxa"/>
            <w:gridSpan w:val="2"/>
          </w:tcPr>
          <w:p w14:paraId="364D2B98">
            <w:pPr>
              <w:spacing w:before="59" w:line="360" w:lineRule="auto"/>
              <w:ind w:left="126"/>
              <w:rPr>
                <w:rFonts w:ascii="宋体" w:hAnsi="宋体" w:cs="宋体"/>
                <w:color w:val="auto"/>
                <w:sz w:val="24"/>
                <w:highlight w:val="none"/>
              </w:rPr>
            </w:pPr>
            <w:r>
              <w:rPr>
                <w:rFonts w:ascii="宋体" w:hAnsi="宋体" w:cs="宋体"/>
                <w:color w:val="auto"/>
                <w:spacing w:val="-2"/>
                <w:sz w:val="24"/>
                <w:highlight w:val="none"/>
              </w:rPr>
              <w:t>供应商</w:t>
            </w:r>
            <w:r>
              <w:rPr>
                <w:rFonts w:ascii="宋体" w:hAnsi="宋体" w:cs="宋体"/>
                <w:color w:val="auto"/>
                <w:spacing w:val="-1"/>
                <w:sz w:val="24"/>
                <w:highlight w:val="none"/>
              </w:rPr>
              <w:t>名称</w:t>
            </w:r>
          </w:p>
        </w:tc>
        <w:tc>
          <w:tcPr>
            <w:tcW w:w="8897" w:type="dxa"/>
            <w:gridSpan w:val="4"/>
          </w:tcPr>
          <w:p w14:paraId="208308B7">
            <w:pPr>
              <w:spacing w:line="360" w:lineRule="auto"/>
              <w:rPr>
                <w:rFonts w:ascii="Arial"/>
                <w:color w:val="auto"/>
                <w:highlight w:val="none"/>
              </w:rPr>
            </w:pPr>
          </w:p>
        </w:tc>
      </w:tr>
      <w:tr w14:paraId="1BB4C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701" w:type="dxa"/>
            <w:gridSpan w:val="6"/>
          </w:tcPr>
          <w:p w14:paraId="6F6DA1C0">
            <w:pPr>
              <w:spacing w:before="33" w:line="360" w:lineRule="auto"/>
              <w:ind w:left="4213"/>
              <w:rPr>
                <w:rFonts w:ascii="宋体" w:hAnsi="宋体" w:cs="宋体"/>
                <w:color w:val="auto"/>
                <w:sz w:val="24"/>
                <w:highlight w:val="none"/>
              </w:rPr>
            </w:pPr>
            <w:r>
              <w:rPr>
                <w:rFonts w:ascii="宋体" w:hAnsi="宋体" w:cs="宋体"/>
                <w:color w:val="auto"/>
                <w:spacing w:val="-1"/>
                <w:sz w:val="24"/>
                <w:highlight w:val="none"/>
              </w:rPr>
              <w:t>*商务部分实质性审</w:t>
            </w:r>
            <w:r>
              <w:rPr>
                <w:rFonts w:ascii="宋体" w:hAnsi="宋体" w:cs="宋体"/>
                <w:color w:val="auto"/>
                <w:sz w:val="24"/>
                <w:highlight w:val="none"/>
              </w:rPr>
              <w:t>查</w:t>
            </w:r>
          </w:p>
        </w:tc>
      </w:tr>
      <w:tr w14:paraId="412DA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3" w:type="dxa"/>
            <w:textDirection w:val="tbRlV"/>
          </w:tcPr>
          <w:p w14:paraId="2D3BFDF1">
            <w:pPr>
              <w:spacing w:before="220" w:line="360" w:lineRule="auto"/>
              <w:ind w:left="34"/>
              <w:rPr>
                <w:rFonts w:ascii="宋体" w:hAnsi="宋体" w:cs="宋体"/>
                <w:color w:val="auto"/>
                <w:sz w:val="24"/>
                <w:highlight w:val="none"/>
              </w:rPr>
            </w:pPr>
            <w:r>
              <w:rPr>
                <w:rFonts w:ascii="宋体" w:hAnsi="宋体" w:cs="宋体"/>
                <w:color w:val="auto"/>
                <w:spacing w:val="-16"/>
                <w:sz w:val="24"/>
                <w:highlight w:val="none"/>
              </w:rPr>
              <w:t>序 号</w:t>
            </w:r>
          </w:p>
        </w:tc>
        <w:tc>
          <w:tcPr>
            <w:tcW w:w="1500" w:type="dxa"/>
            <w:gridSpan w:val="2"/>
          </w:tcPr>
          <w:p w14:paraId="18F8BAA5">
            <w:pPr>
              <w:spacing w:before="35" w:line="360" w:lineRule="auto"/>
              <w:ind w:left="542" w:right="150" w:hanging="383"/>
              <w:rPr>
                <w:rFonts w:ascii="宋体" w:hAnsi="宋体" w:cs="宋体"/>
                <w:color w:val="auto"/>
                <w:sz w:val="24"/>
                <w:highlight w:val="none"/>
              </w:rPr>
            </w:pPr>
            <w:r>
              <w:rPr>
                <w:rFonts w:ascii="宋体" w:hAnsi="宋体" w:cs="宋体"/>
                <w:color w:val="auto"/>
                <w:spacing w:val="-4"/>
                <w:sz w:val="24"/>
                <w:highlight w:val="none"/>
              </w:rPr>
              <w:t>实</w:t>
            </w:r>
            <w:r>
              <w:rPr>
                <w:rFonts w:ascii="宋体" w:hAnsi="宋体" w:cs="宋体"/>
                <w:color w:val="auto"/>
                <w:spacing w:val="-3"/>
                <w:sz w:val="24"/>
                <w:highlight w:val="none"/>
              </w:rPr>
              <w:t>质性条款</w:t>
            </w:r>
            <w:r>
              <w:rPr>
                <w:rFonts w:ascii="宋体" w:hAnsi="宋体" w:cs="宋体"/>
                <w:color w:val="auto"/>
                <w:sz w:val="24"/>
                <w:highlight w:val="none"/>
              </w:rPr>
              <w:t xml:space="preserve"> </w:t>
            </w:r>
            <w:r>
              <w:rPr>
                <w:rFonts w:ascii="宋体" w:hAnsi="宋体" w:cs="宋体"/>
                <w:color w:val="auto"/>
                <w:spacing w:val="-11"/>
                <w:sz w:val="24"/>
                <w:highlight w:val="none"/>
              </w:rPr>
              <w:t>内</w:t>
            </w:r>
            <w:r>
              <w:rPr>
                <w:rFonts w:ascii="宋体" w:hAnsi="宋体" w:cs="宋体"/>
                <w:color w:val="auto"/>
                <w:spacing w:val="-9"/>
                <w:sz w:val="24"/>
                <w:highlight w:val="none"/>
              </w:rPr>
              <w:t>容</w:t>
            </w:r>
          </w:p>
        </w:tc>
        <w:tc>
          <w:tcPr>
            <w:tcW w:w="3151" w:type="dxa"/>
          </w:tcPr>
          <w:p w14:paraId="63C6FF20">
            <w:pPr>
              <w:spacing w:line="360" w:lineRule="auto"/>
              <w:jc w:val="center"/>
              <w:rPr>
                <w:rFonts w:ascii="Arial"/>
                <w:color w:val="auto"/>
                <w:highlight w:val="none"/>
              </w:rPr>
            </w:pPr>
            <w:r>
              <w:rPr>
                <w:rFonts w:hint="eastAsia" w:ascii="宋体" w:hAnsi="宋体" w:cs="宋体"/>
                <w:color w:val="auto"/>
                <w:spacing w:val="-4"/>
                <w:sz w:val="24"/>
                <w:highlight w:val="none"/>
              </w:rPr>
              <w:t>采购文件</w:t>
            </w:r>
            <w:r>
              <w:rPr>
                <w:rFonts w:ascii="宋体" w:hAnsi="宋体" w:cs="宋体"/>
                <w:color w:val="auto"/>
                <w:spacing w:val="-4"/>
                <w:sz w:val="24"/>
                <w:highlight w:val="none"/>
              </w:rPr>
              <w:t>商务要求</w:t>
            </w:r>
          </w:p>
        </w:tc>
        <w:tc>
          <w:tcPr>
            <w:tcW w:w="3994" w:type="dxa"/>
          </w:tcPr>
          <w:p w14:paraId="5AED9E71">
            <w:pPr>
              <w:spacing w:before="34" w:line="360" w:lineRule="auto"/>
              <w:ind w:left="1547"/>
              <w:rPr>
                <w:rFonts w:ascii="宋体" w:hAnsi="宋体" w:cs="宋体"/>
                <w:color w:val="auto"/>
                <w:sz w:val="24"/>
                <w:highlight w:val="none"/>
              </w:rPr>
            </w:pPr>
            <w:r>
              <w:rPr>
                <w:rFonts w:ascii="宋体" w:hAnsi="宋体" w:cs="宋体"/>
                <w:color w:val="auto"/>
                <w:spacing w:val="-5"/>
                <w:sz w:val="24"/>
                <w:highlight w:val="none"/>
              </w:rPr>
              <w:t>响</w:t>
            </w:r>
            <w:r>
              <w:rPr>
                <w:rFonts w:ascii="宋体" w:hAnsi="宋体" w:cs="宋体"/>
                <w:color w:val="auto"/>
                <w:spacing w:val="-4"/>
                <w:sz w:val="24"/>
                <w:highlight w:val="none"/>
              </w:rPr>
              <w:t>应内容</w:t>
            </w:r>
          </w:p>
        </w:tc>
        <w:tc>
          <w:tcPr>
            <w:tcW w:w="1363" w:type="dxa"/>
          </w:tcPr>
          <w:p w14:paraId="6F6F5F2D">
            <w:pPr>
              <w:spacing w:before="34" w:line="360" w:lineRule="auto"/>
              <w:ind w:left="453"/>
              <w:rPr>
                <w:rFonts w:ascii="宋体" w:hAnsi="宋体" w:cs="宋体"/>
                <w:color w:val="auto"/>
                <w:sz w:val="24"/>
                <w:highlight w:val="none"/>
              </w:rPr>
            </w:pPr>
            <w:r>
              <w:rPr>
                <w:rFonts w:ascii="宋体" w:hAnsi="宋体" w:cs="宋体"/>
                <w:color w:val="auto"/>
                <w:spacing w:val="-4"/>
                <w:sz w:val="24"/>
                <w:highlight w:val="none"/>
              </w:rPr>
              <w:t>备</w:t>
            </w:r>
            <w:r>
              <w:rPr>
                <w:rFonts w:ascii="宋体" w:hAnsi="宋体" w:cs="宋体"/>
                <w:color w:val="auto"/>
                <w:spacing w:val="-3"/>
                <w:sz w:val="24"/>
                <w:highlight w:val="none"/>
              </w:rPr>
              <w:t>注</w:t>
            </w:r>
          </w:p>
        </w:tc>
      </w:tr>
      <w:tr w14:paraId="2095D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3" w:type="dxa"/>
          </w:tcPr>
          <w:p w14:paraId="43A0CDB1">
            <w:pPr>
              <w:spacing w:line="360" w:lineRule="auto"/>
              <w:rPr>
                <w:rFonts w:ascii="Arial"/>
                <w:color w:val="auto"/>
                <w:highlight w:val="none"/>
              </w:rPr>
            </w:pPr>
            <w:r>
              <w:rPr>
                <w:rFonts w:hint="eastAsia" w:ascii="Arial"/>
                <w:color w:val="auto"/>
                <w:highlight w:val="none"/>
              </w:rPr>
              <w:t>1</w:t>
            </w:r>
          </w:p>
        </w:tc>
        <w:tc>
          <w:tcPr>
            <w:tcW w:w="1500" w:type="dxa"/>
            <w:gridSpan w:val="2"/>
          </w:tcPr>
          <w:p w14:paraId="07DE2E1D">
            <w:pPr>
              <w:spacing w:line="360" w:lineRule="auto"/>
              <w:rPr>
                <w:rFonts w:ascii="Arial"/>
                <w:color w:val="auto"/>
                <w:highlight w:val="none"/>
              </w:rPr>
            </w:pPr>
          </w:p>
        </w:tc>
        <w:tc>
          <w:tcPr>
            <w:tcW w:w="3151" w:type="dxa"/>
          </w:tcPr>
          <w:p w14:paraId="4EDE094C">
            <w:pPr>
              <w:spacing w:line="360" w:lineRule="auto"/>
              <w:rPr>
                <w:rFonts w:ascii="Arial"/>
                <w:color w:val="auto"/>
                <w:highlight w:val="none"/>
              </w:rPr>
            </w:pPr>
          </w:p>
        </w:tc>
        <w:tc>
          <w:tcPr>
            <w:tcW w:w="3994" w:type="dxa"/>
          </w:tcPr>
          <w:p w14:paraId="5ED1EA90">
            <w:pPr>
              <w:spacing w:line="360" w:lineRule="auto"/>
              <w:rPr>
                <w:rFonts w:ascii="Arial"/>
                <w:color w:val="auto"/>
                <w:highlight w:val="none"/>
              </w:rPr>
            </w:pPr>
          </w:p>
        </w:tc>
        <w:tc>
          <w:tcPr>
            <w:tcW w:w="1363" w:type="dxa"/>
          </w:tcPr>
          <w:p w14:paraId="225D3DB1">
            <w:pPr>
              <w:spacing w:line="360" w:lineRule="auto"/>
              <w:rPr>
                <w:rFonts w:ascii="Arial"/>
                <w:color w:val="auto"/>
                <w:highlight w:val="none"/>
              </w:rPr>
            </w:pPr>
          </w:p>
        </w:tc>
      </w:tr>
      <w:tr w14:paraId="56C5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3" w:type="dxa"/>
          </w:tcPr>
          <w:p w14:paraId="266CF4A9">
            <w:pPr>
              <w:spacing w:line="360" w:lineRule="auto"/>
              <w:rPr>
                <w:rFonts w:ascii="Arial"/>
                <w:color w:val="auto"/>
                <w:highlight w:val="none"/>
              </w:rPr>
            </w:pPr>
            <w:r>
              <w:rPr>
                <w:rFonts w:hint="eastAsia" w:ascii="Arial"/>
                <w:color w:val="auto"/>
                <w:highlight w:val="none"/>
              </w:rPr>
              <w:t>2</w:t>
            </w:r>
          </w:p>
        </w:tc>
        <w:tc>
          <w:tcPr>
            <w:tcW w:w="1500" w:type="dxa"/>
            <w:gridSpan w:val="2"/>
          </w:tcPr>
          <w:p w14:paraId="19503FFF">
            <w:pPr>
              <w:spacing w:line="360" w:lineRule="auto"/>
              <w:rPr>
                <w:rFonts w:ascii="Arial"/>
                <w:color w:val="auto"/>
                <w:highlight w:val="none"/>
              </w:rPr>
            </w:pPr>
          </w:p>
        </w:tc>
        <w:tc>
          <w:tcPr>
            <w:tcW w:w="3151" w:type="dxa"/>
          </w:tcPr>
          <w:p w14:paraId="22BE3B92">
            <w:pPr>
              <w:spacing w:line="360" w:lineRule="auto"/>
              <w:rPr>
                <w:rFonts w:ascii="Arial"/>
                <w:color w:val="auto"/>
                <w:highlight w:val="none"/>
              </w:rPr>
            </w:pPr>
          </w:p>
        </w:tc>
        <w:tc>
          <w:tcPr>
            <w:tcW w:w="3994" w:type="dxa"/>
          </w:tcPr>
          <w:p w14:paraId="1006BD99">
            <w:pPr>
              <w:spacing w:line="360" w:lineRule="auto"/>
              <w:rPr>
                <w:rFonts w:ascii="Arial"/>
                <w:color w:val="auto"/>
                <w:highlight w:val="none"/>
              </w:rPr>
            </w:pPr>
          </w:p>
        </w:tc>
        <w:tc>
          <w:tcPr>
            <w:tcW w:w="1363" w:type="dxa"/>
          </w:tcPr>
          <w:p w14:paraId="30E85516">
            <w:pPr>
              <w:spacing w:line="360" w:lineRule="auto"/>
              <w:rPr>
                <w:rFonts w:ascii="Arial"/>
                <w:color w:val="auto"/>
                <w:highlight w:val="none"/>
              </w:rPr>
            </w:pPr>
          </w:p>
        </w:tc>
      </w:tr>
      <w:tr w14:paraId="77CD5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3" w:type="dxa"/>
          </w:tcPr>
          <w:p w14:paraId="75301FC0">
            <w:pPr>
              <w:spacing w:line="360" w:lineRule="auto"/>
              <w:rPr>
                <w:rFonts w:ascii="Arial"/>
                <w:color w:val="auto"/>
                <w:highlight w:val="none"/>
              </w:rPr>
            </w:pPr>
            <w:r>
              <w:rPr>
                <w:rFonts w:hint="eastAsia" w:ascii="Arial"/>
                <w:color w:val="auto"/>
                <w:highlight w:val="none"/>
              </w:rPr>
              <w:t>....</w:t>
            </w:r>
          </w:p>
        </w:tc>
        <w:tc>
          <w:tcPr>
            <w:tcW w:w="1500" w:type="dxa"/>
            <w:gridSpan w:val="2"/>
          </w:tcPr>
          <w:p w14:paraId="146A5EA2">
            <w:pPr>
              <w:spacing w:line="360" w:lineRule="auto"/>
              <w:rPr>
                <w:rFonts w:ascii="Arial"/>
                <w:color w:val="auto"/>
                <w:highlight w:val="none"/>
              </w:rPr>
            </w:pPr>
          </w:p>
        </w:tc>
        <w:tc>
          <w:tcPr>
            <w:tcW w:w="3151" w:type="dxa"/>
          </w:tcPr>
          <w:p w14:paraId="2A555AF9">
            <w:pPr>
              <w:spacing w:line="360" w:lineRule="auto"/>
              <w:rPr>
                <w:rFonts w:ascii="Arial"/>
                <w:color w:val="auto"/>
                <w:highlight w:val="none"/>
              </w:rPr>
            </w:pPr>
          </w:p>
        </w:tc>
        <w:tc>
          <w:tcPr>
            <w:tcW w:w="3994" w:type="dxa"/>
          </w:tcPr>
          <w:p w14:paraId="54386C4D">
            <w:pPr>
              <w:spacing w:line="360" w:lineRule="auto"/>
              <w:rPr>
                <w:rFonts w:ascii="Arial"/>
                <w:color w:val="auto"/>
                <w:highlight w:val="none"/>
              </w:rPr>
            </w:pPr>
          </w:p>
        </w:tc>
        <w:tc>
          <w:tcPr>
            <w:tcW w:w="1363" w:type="dxa"/>
          </w:tcPr>
          <w:p w14:paraId="1F789A09">
            <w:pPr>
              <w:spacing w:line="360" w:lineRule="auto"/>
              <w:rPr>
                <w:rFonts w:ascii="Arial"/>
                <w:color w:val="auto"/>
                <w:highlight w:val="none"/>
              </w:rPr>
            </w:pPr>
          </w:p>
        </w:tc>
      </w:tr>
      <w:tr w14:paraId="3B9C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93" w:type="dxa"/>
          </w:tcPr>
          <w:p w14:paraId="6E2A79E1">
            <w:pPr>
              <w:spacing w:line="360" w:lineRule="auto"/>
              <w:rPr>
                <w:rFonts w:ascii="Arial"/>
                <w:color w:val="auto"/>
                <w:highlight w:val="none"/>
              </w:rPr>
            </w:pPr>
          </w:p>
        </w:tc>
        <w:tc>
          <w:tcPr>
            <w:tcW w:w="1500" w:type="dxa"/>
            <w:gridSpan w:val="2"/>
          </w:tcPr>
          <w:p w14:paraId="5C30FC15">
            <w:pPr>
              <w:spacing w:before="35" w:line="360" w:lineRule="auto"/>
              <w:ind w:left="156"/>
              <w:rPr>
                <w:rFonts w:ascii="宋体" w:hAnsi="宋体" w:cs="宋体"/>
                <w:color w:val="auto"/>
                <w:sz w:val="24"/>
                <w:highlight w:val="none"/>
              </w:rPr>
            </w:pPr>
            <w:r>
              <w:rPr>
                <w:rFonts w:ascii="宋体" w:hAnsi="宋体" w:cs="宋体"/>
                <w:color w:val="auto"/>
                <w:spacing w:val="-4"/>
                <w:sz w:val="24"/>
                <w:highlight w:val="none"/>
              </w:rPr>
              <w:t>按</w:t>
            </w:r>
            <w:r>
              <w:rPr>
                <w:rFonts w:ascii="宋体" w:hAnsi="宋体" w:cs="宋体"/>
                <w:color w:val="auto"/>
                <w:spacing w:val="-2"/>
                <w:sz w:val="24"/>
                <w:highlight w:val="none"/>
              </w:rPr>
              <w:t>采购文件</w:t>
            </w:r>
          </w:p>
          <w:p w14:paraId="2F646078">
            <w:pPr>
              <w:spacing w:before="26" w:line="360" w:lineRule="auto"/>
              <w:ind w:left="155"/>
              <w:rPr>
                <w:rFonts w:ascii="宋体" w:hAnsi="宋体" w:cs="宋体"/>
                <w:color w:val="auto"/>
                <w:sz w:val="24"/>
                <w:highlight w:val="none"/>
              </w:rPr>
            </w:pPr>
            <w:r>
              <w:rPr>
                <w:rFonts w:ascii="宋体" w:hAnsi="宋体" w:cs="宋体"/>
                <w:color w:val="auto"/>
                <w:spacing w:val="-2"/>
                <w:sz w:val="24"/>
                <w:highlight w:val="none"/>
              </w:rPr>
              <w:t>规定的商</w:t>
            </w:r>
            <w:r>
              <w:rPr>
                <w:rFonts w:ascii="宋体" w:hAnsi="宋体" w:cs="宋体"/>
                <w:color w:val="auto"/>
                <w:spacing w:val="-1"/>
                <w:sz w:val="24"/>
                <w:highlight w:val="none"/>
              </w:rPr>
              <w:t>务</w:t>
            </w:r>
          </w:p>
          <w:p w14:paraId="31B90BAF">
            <w:pPr>
              <w:spacing w:before="23" w:line="360" w:lineRule="auto"/>
              <w:ind w:left="159"/>
              <w:rPr>
                <w:rFonts w:ascii="宋体" w:hAnsi="宋体" w:cs="宋体"/>
                <w:color w:val="auto"/>
                <w:sz w:val="24"/>
                <w:highlight w:val="none"/>
              </w:rPr>
            </w:pPr>
            <w:r>
              <w:rPr>
                <w:rFonts w:ascii="宋体" w:hAnsi="宋体" w:cs="宋体"/>
                <w:color w:val="auto"/>
                <w:spacing w:val="-4"/>
                <w:sz w:val="24"/>
                <w:highlight w:val="none"/>
              </w:rPr>
              <w:t>实</w:t>
            </w:r>
            <w:r>
              <w:rPr>
                <w:rFonts w:ascii="宋体" w:hAnsi="宋体" w:cs="宋体"/>
                <w:color w:val="auto"/>
                <w:spacing w:val="-3"/>
                <w:sz w:val="24"/>
                <w:highlight w:val="none"/>
              </w:rPr>
              <w:t>质</w:t>
            </w:r>
            <w:r>
              <w:rPr>
                <w:rFonts w:ascii="宋体" w:hAnsi="宋体" w:cs="宋体"/>
                <w:color w:val="auto"/>
                <w:spacing w:val="-2"/>
                <w:sz w:val="24"/>
                <w:highlight w:val="none"/>
              </w:rPr>
              <w:t>性条款</w:t>
            </w:r>
          </w:p>
          <w:p w14:paraId="607020F3">
            <w:pPr>
              <w:spacing w:before="26" w:line="360" w:lineRule="auto"/>
              <w:ind w:left="275"/>
              <w:rPr>
                <w:rFonts w:ascii="宋体" w:hAnsi="宋体" w:cs="宋体"/>
                <w:color w:val="auto"/>
                <w:sz w:val="24"/>
                <w:highlight w:val="none"/>
              </w:rPr>
            </w:pPr>
            <w:r>
              <w:rPr>
                <w:rFonts w:ascii="宋体" w:hAnsi="宋体" w:cs="宋体"/>
                <w:color w:val="auto"/>
                <w:spacing w:val="-2"/>
                <w:sz w:val="24"/>
                <w:highlight w:val="none"/>
              </w:rPr>
              <w:t>逐一列明</w:t>
            </w:r>
          </w:p>
        </w:tc>
        <w:tc>
          <w:tcPr>
            <w:tcW w:w="3151" w:type="dxa"/>
          </w:tcPr>
          <w:p w14:paraId="4C5E85FF">
            <w:pPr>
              <w:spacing w:line="360" w:lineRule="auto"/>
              <w:rPr>
                <w:rFonts w:ascii="Arial"/>
                <w:color w:val="auto"/>
                <w:highlight w:val="none"/>
              </w:rPr>
            </w:pPr>
          </w:p>
        </w:tc>
        <w:tc>
          <w:tcPr>
            <w:tcW w:w="3994" w:type="dxa"/>
          </w:tcPr>
          <w:p w14:paraId="76B81F88">
            <w:pPr>
              <w:spacing w:line="360" w:lineRule="auto"/>
              <w:rPr>
                <w:rFonts w:ascii="Arial"/>
                <w:color w:val="auto"/>
                <w:highlight w:val="none"/>
              </w:rPr>
            </w:pPr>
          </w:p>
        </w:tc>
        <w:tc>
          <w:tcPr>
            <w:tcW w:w="1363" w:type="dxa"/>
          </w:tcPr>
          <w:p w14:paraId="0DA8A24B">
            <w:pPr>
              <w:spacing w:line="360" w:lineRule="auto"/>
              <w:rPr>
                <w:rFonts w:ascii="Arial"/>
                <w:color w:val="auto"/>
                <w:highlight w:val="none"/>
              </w:rPr>
            </w:pPr>
          </w:p>
        </w:tc>
      </w:tr>
      <w:tr w14:paraId="10B70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701" w:type="dxa"/>
            <w:gridSpan w:val="6"/>
          </w:tcPr>
          <w:p w14:paraId="0CFEB096">
            <w:pPr>
              <w:spacing w:line="360" w:lineRule="auto"/>
              <w:rPr>
                <w:rFonts w:ascii="Arial"/>
                <w:color w:val="auto"/>
                <w:highlight w:val="none"/>
              </w:rPr>
            </w:pPr>
          </w:p>
        </w:tc>
      </w:tr>
    </w:tbl>
    <w:p w14:paraId="09001906">
      <w:pPr>
        <w:spacing w:line="360" w:lineRule="auto"/>
        <w:ind w:right="420" w:firstLine="2673" w:firstLineChars="1100"/>
        <w:rPr>
          <w:rFonts w:ascii="宋体" w:hAnsi="宋体" w:cs="宋体"/>
          <w:color w:val="auto"/>
          <w:sz w:val="24"/>
          <w:highlight w:val="none"/>
        </w:rPr>
      </w:pPr>
    </w:p>
    <w:p w14:paraId="63861C39">
      <w:pPr>
        <w:spacing w:line="360" w:lineRule="auto"/>
        <w:ind w:right="420" w:firstLine="2673" w:firstLineChars="1100"/>
        <w:rPr>
          <w:rFonts w:ascii="宋体" w:hAnsi="宋体" w:cs="宋体"/>
          <w:color w:val="auto"/>
          <w:sz w:val="24"/>
          <w:highlight w:val="none"/>
        </w:rPr>
      </w:pPr>
    </w:p>
    <w:p w14:paraId="10E122F1">
      <w:pPr>
        <w:spacing w:line="360" w:lineRule="auto"/>
        <w:ind w:right="420" w:firstLine="2673" w:firstLineChars="1100"/>
        <w:rPr>
          <w:rFonts w:ascii="宋体" w:hAnsi="宋体" w:cs="宋体"/>
          <w:color w:val="auto"/>
          <w:sz w:val="24"/>
          <w:highlight w:val="none"/>
        </w:rPr>
      </w:pPr>
      <w:r>
        <w:rPr>
          <w:rFonts w:hint="eastAsia" w:ascii="宋体" w:hAnsi="宋体" w:cs="宋体"/>
          <w:color w:val="auto"/>
          <w:sz w:val="24"/>
          <w:highlight w:val="none"/>
        </w:rPr>
        <w:t xml:space="preserve">投标供应商：（公章）    </w:t>
      </w:r>
    </w:p>
    <w:p w14:paraId="3DE263B7">
      <w:pPr>
        <w:pStyle w:val="10"/>
        <w:spacing w:line="360" w:lineRule="auto"/>
        <w:ind w:firstLine="5589" w:firstLineChars="2300"/>
        <w:jc w:val="left"/>
        <w:rPr>
          <w:rFonts w:ascii="宋体" w:hAnsi="宋体" w:cs="宋体"/>
          <w:color w:val="auto"/>
          <w:sz w:val="24"/>
          <w:highlight w:val="none"/>
        </w:rPr>
      </w:pPr>
      <w:r>
        <w:rPr>
          <w:rFonts w:hint="eastAsia" w:ascii="宋体" w:hAnsi="宋体" w:cs="宋体"/>
          <w:color w:val="auto"/>
          <w:sz w:val="24"/>
          <w:highlight w:val="none"/>
        </w:rPr>
        <w:t>年    月    日</w:t>
      </w:r>
    </w:p>
    <w:p w14:paraId="0F5FD84A">
      <w:pPr>
        <w:pStyle w:val="10"/>
        <w:spacing w:line="360" w:lineRule="auto"/>
        <w:ind w:firstLine="5589" w:firstLineChars="2300"/>
        <w:jc w:val="left"/>
        <w:rPr>
          <w:rFonts w:ascii="宋体" w:hAnsi="宋体" w:cs="宋体"/>
          <w:color w:val="auto"/>
          <w:sz w:val="24"/>
          <w:highlight w:val="none"/>
        </w:rPr>
      </w:pPr>
    </w:p>
    <w:p w14:paraId="153CD642">
      <w:pPr>
        <w:pStyle w:val="10"/>
        <w:spacing w:line="360" w:lineRule="auto"/>
        <w:ind w:firstLine="5589" w:firstLineChars="2300"/>
        <w:jc w:val="left"/>
        <w:rPr>
          <w:rFonts w:ascii="宋体" w:hAnsi="宋体" w:cs="宋体"/>
          <w:color w:val="auto"/>
          <w:sz w:val="24"/>
          <w:highlight w:val="none"/>
        </w:rPr>
      </w:pPr>
    </w:p>
    <w:p w14:paraId="57271A53">
      <w:pPr>
        <w:pStyle w:val="10"/>
        <w:spacing w:line="360" w:lineRule="auto"/>
        <w:ind w:firstLine="5589" w:firstLineChars="2300"/>
        <w:jc w:val="left"/>
        <w:rPr>
          <w:rFonts w:ascii="宋体" w:hAnsi="宋体" w:cs="宋体"/>
          <w:color w:val="auto"/>
          <w:sz w:val="24"/>
          <w:highlight w:val="none"/>
        </w:rPr>
      </w:pPr>
    </w:p>
    <w:p w14:paraId="505077FF">
      <w:pPr>
        <w:pStyle w:val="10"/>
        <w:spacing w:line="360" w:lineRule="auto"/>
        <w:ind w:firstLine="5589" w:firstLineChars="2300"/>
        <w:jc w:val="left"/>
        <w:rPr>
          <w:rFonts w:ascii="宋体" w:hAnsi="宋体" w:cs="宋体"/>
          <w:color w:val="auto"/>
          <w:sz w:val="24"/>
          <w:highlight w:val="none"/>
        </w:rPr>
      </w:pPr>
    </w:p>
    <w:p w14:paraId="09AE0FE4">
      <w:pPr>
        <w:pStyle w:val="10"/>
        <w:spacing w:line="360" w:lineRule="auto"/>
        <w:ind w:firstLine="5589" w:firstLineChars="2300"/>
        <w:jc w:val="left"/>
        <w:rPr>
          <w:rFonts w:ascii="宋体" w:hAnsi="宋体" w:cs="宋体"/>
          <w:color w:val="auto"/>
          <w:sz w:val="24"/>
          <w:highlight w:val="none"/>
        </w:rPr>
      </w:pPr>
    </w:p>
    <w:p w14:paraId="0CAE8433">
      <w:pPr>
        <w:pStyle w:val="10"/>
        <w:spacing w:line="360" w:lineRule="auto"/>
        <w:jc w:val="left"/>
        <w:rPr>
          <w:rFonts w:ascii="宋体" w:hAnsi="宋体" w:cs="宋体"/>
          <w:color w:val="auto"/>
          <w:sz w:val="24"/>
          <w:highlight w:val="none"/>
        </w:rPr>
      </w:pPr>
    </w:p>
    <w:p w14:paraId="5F6AC2C5">
      <w:pPr>
        <w:pStyle w:val="25"/>
        <w:spacing w:line="360" w:lineRule="auto"/>
        <w:ind w:firstLine="490"/>
        <w:jc w:val="center"/>
        <w:rPr>
          <w:rFonts w:ascii="宋体" w:hAnsi="宋体"/>
          <w:color w:val="auto"/>
          <w:sz w:val="24"/>
          <w:highlight w:val="none"/>
        </w:rPr>
      </w:pPr>
      <w:r>
        <w:rPr>
          <w:rFonts w:hint="eastAsia" w:ascii="宋体" w:hAnsi="宋体"/>
          <w:color w:val="auto"/>
          <w:sz w:val="24"/>
          <w:highlight w:val="none"/>
        </w:rPr>
        <w:t>6.1技术偏离表（如有）</w:t>
      </w:r>
    </w:p>
    <w:p w14:paraId="32C005F1">
      <w:pPr>
        <w:pStyle w:val="25"/>
        <w:spacing w:line="360" w:lineRule="auto"/>
        <w:ind w:firstLine="490"/>
        <w:rPr>
          <w:rFonts w:ascii="宋体" w:hAnsi="宋体"/>
          <w:color w:val="auto"/>
          <w:sz w:val="24"/>
          <w:highlight w:val="none"/>
        </w:rPr>
      </w:pPr>
    </w:p>
    <w:tbl>
      <w:tblPr>
        <w:tblStyle w:val="20"/>
        <w:tblW w:w="9144" w:type="dxa"/>
        <w:tblInd w:w="213" w:type="dxa"/>
        <w:tblLayout w:type="fixed"/>
        <w:tblCellMar>
          <w:top w:w="0" w:type="dxa"/>
          <w:left w:w="108" w:type="dxa"/>
          <w:bottom w:w="0" w:type="dxa"/>
          <w:right w:w="108" w:type="dxa"/>
        </w:tblCellMar>
      </w:tblPr>
      <w:tblGrid>
        <w:gridCol w:w="816"/>
        <w:gridCol w:w="1915"/>
        <w:gridCol w:w="2009"/>
        <w:gridCol w:w="2862"/>
        <w:gridCol w:w="1542"/>
      </w:tblGrid>
      <w:tr w14:paraId="65D0A9D1">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14:paraId="7575FF98">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序号</w:t>
            </w:r>
          </w:p>
        </w:tc>
        <w:tc>
          <w:tcPr>
            <w:tcW w:w="1915" w:type="dxa"/>
            <w:tcBorders>
              <w:top w:val="single" w:color="auto" w:sz="6" w:space="0"/>
              <w:left w:val="single" w:color="auto" w:sz="6" w:space="0"/>
              <w:bottom w:val="single" w:color="auto" w:sz="6" w:space="0"/>
              <w:right w:val="single" w:color="auto" w:sz="6" w:space="0"/>
            </w:tcBorders>
            <w:vAlign w:val="center"/>
          </w:tcPr>
          <w:p w14:paraId="0B2192EC">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采购文件</w:t>
            </w:r>
            <w:r>
              <w:rPr>
                <w:rFonts w:hint="eastAsia" w:ascii="宋体" w:hAnsi="宋体" w:cs="宋体"/>
                <w:color w:val="auto"/>
                <w:sz w:val="24"/>
                <w:highlight w:val="none"/>
                <w:lang w:val="zh-CN"/>
              </w:rPr>
              <w:t>要求参数</w:t>
            </w:r>
          </w:p>
        </w:tc>
        <w:tc>
          <w:tcPr>
            <w:tcW w:w="2009" w:type="dxa"/>
            <w:tcBorders>
              <w:top w:val="single" w:color="auto" w:sz="6" w:space="0"/>
              <w:left w:val="single" w:color="auto" w:sz="6" w:space="0"/>
              <w:bottom w:val="single" w:color="auto" w:sz="6" w:space="0"/>
              <w:right w:val="single" w:color="auto" w:sz="6" w:space="0"/>
            </w:tcBorders>
            <w:vAlign w:val="center"/>
          </w:tcPr>
          <w:p w14:paraId="36EB8B3B">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响应实际参数</w:t>
            </w:r>
          </w:p>
        </w:tc>
        <w:tc>
          <w:tcPr>
            <w:tcW w:w="2862" w:type="dxa"/>
            <w:tcBorders>
              <w:top w:val="single" w:color="auto" w:sz="6" w:space="0"/>
              <w:left w:val="single" w:color="auto" w:sz="6" w:space="0"/>
              <w:bottom w:val="single" w:color="auto" w:sz="6" w:space="0"/>
              <w:right w:val="single" w:color="auto" w:sz="6" w:space="0"/>
            </w:tcBorders>
            <w:vAlign w:val="center"/>
          </w:tcPr>
          <w:p w14:paraId="18D18882">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符合/正偏离/负偏离</w:t>
            </w:r>
          </w:p>
        </w:tc>
        <w:tc>
          <w:tcPr>
            <w:tcW w:w="1542" w:type="dxa"/>
            <w:tcBorders>
              <w:top w:val="single" w:color="auto" w:sz="6" w:space="0"/>
              <w:left w:val="single" w:color="auto" w:sz="6" w:space="0"/>
              <w:bottom w:val="single" w:color="auto" w:sz="6" w:space="0"/>
              <w:right w:val="single" w:color="auto" w:sz="6" w:space="0"/>
            </w:tcBorders>
            <w:vAlign w:val="center"/>
          </w:tcPr>
          <w:p w14:paraId="03CF62B2">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7E670EE9">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14:paraId="6E00298E">
            <w:pPr>
              <w:autoSpaceDE w:val="0"/>
              <w:autoSpaceDN w:val="0"/>
              <w:adjustRightInd w:val="0"/>
              <w:spacing w:line="360" w:lineRule="auto"/>
              <w:jc w:val="center"/>
              <w:rPr>
                <w:rFonts w:ascii="宋体" w:hAnsi="宋体" w:cs="宋体"/>
                <w:b/>
                <w:bCs/>
                <w:color w:val="auto"/>
                <w:sz w:val="24"/>
                <w:highlight w:val="none"/>
                <w:lang w:val="zh-CN"/>
              </w:rPr>
            </w:pPr>
          </w:p>
        </w:tc>
        <w:tc>
          <w:tcPr>
            <w:tcW w:w="1915" w:type="dxa"/>
            <w:tcBorders>
              <w:top w:val="single" w:color="auto" w:sz="6" w:space="0"/>
              <w:left w:val="single" w:color="auto" w:sz="6" w:space="0"/>
              <w:bottom w:val="single" w:color="auto" w:sz="6" w:space="0"/>
              <w:right w:val="single" w:color="auto" w:sz="6" w:space="0"/>
            </w:tcBorders>
          </w:tcPr>
          <w:p w14:paraId="0BD007F8">
            <w:pPr>
              <w:autoSpaceDE w:val="0"/>
              <w:autoSpaceDN w:val="0"/>
              <w:adjustRightInd w:val="0"/>
              <w:spacing w:line="360" w:lineRule="auto"/>
              <w:jc w:val="center"/>
              <w:rPr>
                <w:rFonts w:ascii="宋体" w:hAnsi="宋体" w:cs="宋体"/>
                <w:b/>
                <w:bCs/>
                <w:color w:val="auto"/>
                <w:sz w:val="24"/>
                <w:highlight w:val="none"/>
                <w:lang w:val="zh-CN"/>
              </w:rPr>
            </w:pPr>
          </w:p>
        </w:tc>
        <w:tc>
          <w:tcPr>
            <w:tcW w:w="2009" w:type="dxa"/>
            <w:tcBorders>
              <w:top w:val="single" w:color="auto" w:sz="6" w:space="0"/>
              <w:left w:val="single" w:color="auto" w:sz="6" w:space="0"/>
              <w:bottom w:val="single" w:color="auto" w:sz="6" w:space="0"/>
              <w:right w:val="single" w:color="auto" w:sz="6" w:space="0"/>
            </w:tcBorders>
          </w:tcPr>
          <w:p w14:paraId="6C99DB3B">
            <w:pPr>
              <w:autoSpaceDE w:val="0"/>
              <w:autoSpaceDN w:val="0"/>
              <w:adjustRightInd w:val="0"/>
              <w:spacing w:line="360" w:lineRule="auto"/>
              <w:rPr>
                <w:rFonts w:ascii="宋体" w:hAnsi="宋体" w:cs="宋体"/>
                <w:b/>
                <w:bCs/>
                <w:color w:val="auto"/>
                <w:sz w:val="24"/>
                <w:highlight w:val="none"/>
                <w:lang w:val="zh-CN"/>
              </w:rPr>
            </w:pPr>
          </w:p>
        </w:tc>
        <w:tc>
          <w:tcPr>
            <w:tcW w:w="2862" w:type="dxa"/>
            <w:tcBorders>
              <w:top w:val="single" w:color="auto" w:sz="6" w:space="0"/>
              <w:left w:val="single" w:color="auto" w:sz="6" w:space="0"/>
              <w:bottom w:val="single" w:color="auto" w:sz="6" w:space="0"/>
              <w:right w:val="single" w:color="auto" w:sz="6" w:space="0"/>
            </w:tcBorders>
          </w:tcPr>
          <w:p w14:paraId="794FEE94">
            <w:pPr>
              <w:autoSpaceDE w:val="0"/>
              <w:autoSpaceDN w:val="0"/>
              <w:adjustRightInd w:val="0"/>
              <w:spacing w:line="360" w:lineRule="auto"/>
              <w:jc w:val="center"/>
              <w:rPr>
                <w:rFonts w:ascii="宋体" w:hAnsi="宋体" w:cs="宋体"/>
                <w:b/>
                <w:bCs/>
                <w:color w:val="auto"/>
                <w:sz w:val="24"/>
                <w:highlight w:val="none"/>
                <w:lang w:val="zh-CN"/>
              </w:rPr>
            </w:pPr>
          </w:p>
        </w:tc>
        <w:tc>
          <w:tcPr>
            <w:tcW w:w="1542" w:type="dxa"/>
            <w:tcBorders>
              <w:top w:val="single" w:color="auto" w:sz="6" w:space="0"/>
              <w:left w:val="single" w:color="auto" w:sz="6" w:space="0"/>
              <w:bottom w:val="single" w:color="auto" w:sz="6" w:space="0"/>
              <w:right w:val="single" w:color="auto" w:sz="6" w:space="0"/>
            </w:tcBorders>
          </w:tcPr>
          <w:p w14:paraId="613CC10F">
            <w:pPr>
              <w:autoSpaceDE w:val="0"/>
              <w:autoSpaceDN w:val="0"/>
              <w:adjustRightInd w:val="0"/>
              <w:spacing w:line="360" w:lineRule="auto"/>
              <w:jc w:val="center"/>
              <w:rPr>
                <w:rFonts w:ascii="宋体" w:hAnsi="宋体" w:cs="宋体"/>
                <w:b/>
                <w:bCs/>
                <w:color w:val="auto"/>
                <w:sz w:val="24"/>
                <w:highlight w:val="none"/>
                <w:lang w:val="zh-CN"/>
              </w:rPr>
            </w:pPr>
          </w:p>
        </w:tc>
      </w:tr>
      <w:tr w14:paraId="4297354F">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14:paraId="72817475">
            <w:pPr>
              <w:autoSpaceDE w:val="0"/>
              <w:autoSpaceDN w:val="0"/>
              <w:adjustRightInd w:val="0"/>
              <w:spacing w:line="360" w:lineRule="auto"/>
              <w:jc w:val="center"/>
              <w:rPr>
                <w:rFonts w:ascii="宋体" w:hAnsi="宋体" w:cs="宋体"/>
                <w:b/>
                <w:bCs/>
                <w:color w:val="auto"/>
                <w:sz w:val="24"/>
                <w:highlight w:val="none"/>
                <w:lang w:val="zh-CN"/>
              </w:rPr>
            </w:pPr>
          </w:p>
        </w:tc>
        <w:tc>
          <w:tcPr>
            <w:tcW w:w="1915" w:type="dxa"/>
            <w:tcBorders>
              <w:top w:val="single" w:color="auto" w:sz="6" w:space="0"/>
              <w:left w:val="single" w:color="auto" w:sz="6" w:space="0"/>
              <w:bottom w:val="single" w:color="auto" w:sz="6" w:space="0"/>
              <w:right w:val="single" w:color="auto" w:sz="6" w:space="0"/>
            </w:tcBorders>
          </w:tcPr>
          <w:p w14:paraId="099C7C04">
            <w:pPr>
              <w:autoSpaceDE w:val="0"/>
              <w:autoSpaceDN w:val="0"/>
              <w:adjustRightInd w:val="0"/>
              <w:spacing w:line="360" w:lineRule="auto"/>
              <w:jc w:val="center"/>
              <w:rPr>
                <w:rFonts w:ascii="宋体" w:hAnsi="宋体" w:cs="宋体"/>
                <w:b/>
                <w:bCs/>
                <w:color w:val="auto"/>
                <w:sz w:val="24"/>
                <w:highlight w:val="none"/>
                <w:lang w:val="zh-CN"/>
              </w:rPr>
            </w:pPr>
          </w:p>
        </w:tc>
        <w:tc>
          <w:tcPr>
            <w:tcW w:w="2009" w:type="dxa"/>
            <w:tcBorders>
              <w:top w:val="single" w:color="auto" w:sz="6" w:space="0"/>
              <w:left w:val="single" w:color="auto" w:sz="6" w:space="0"/>
              <w:bottom w:val="single" w:color="auto" w:sz="6" w:space="0"/>
              <w:right w:val="single" w:color="auto" w:sz="6" w:space="0"/>
            </w:tcBorders>
          </w:tcPr>
          <w:p w14:paraId="61393C4E">
            <w:pPr>
              <w:autoSpaceDE w:val="0"/>
              <w:autoSpaceDN w:val="0"/>
              <w:adjustRightInd w:val="0"/>
              <w:spacing w:line="360" w:lineRule="auto"/>
              <w:jc w:val="center"/>
              <w:rPr>
                <w:rFonts w:ascii="宋体" w:hAnsi="宋体" w:cs="宋体"/>
                <w:b/>
                <w:bCs/>
                <w:color w:val="auto"/>
                <w:sz w:val="24"/>
                <w:highlight w:val="none"/>
                <w:lang w:val="zh-CN"/>
              </w:rPr>
            </w:pPr>
          </w:p>
        </w:tc>
        <w:tc>
          <w:tcPr>
            <w:tcW w:w="2862" w:type="dxa"/>
            <w:tcBorders>
              <w:top w:val="single" w:color="auto" w:sz="6" w:space="0"/>
              <w:left w:val="single" w:color="auto" w:sz="6" w:space="0"/>
              <w:bottom w:val="single" w:color="auto" w:sz="6" w:space="0"/>
              <w:right w:val="single" w:color="auto" w:sz="6" w:space="0"/>
            </w:tcBorders>
          </w:tcPr>
          <w:p w14:paraId="1754BE4C">
            <w:pPr>
              <w:autoSpaceDE w:val="0"/>
              <w:autoSpaceDN w:val="0"/>
              <w:adjustRightInd w:val="0"/>
              <w:spacing w:line="360" w:lineRule="auto"/>
              <w:jc w:val="center"/>
              <w:rPr>
                <w:rFonts w:ascii="宋体" w:hAnsi="宋体" w:cs="宋体"/>
                <w:b/>
                <w:bCs/>
                <w:color w:val="auto"/>
                <w:sz w:val="24"/>
                <w:highlight w:val="none"/>
                <w:lang w:val="zh-CN"/>
              </w:rPr>
            </w:pPr>
          </w:p>
        </w:tc>
        <w:tc>
          <w:tcPr>
            <w:tcW w:w="1542" w:type="dxa"/>
            <w:tcBorders>
              <w:top w:val="single" w:color="auto" w:sz="6" w:space="0"/>
              <w:left w:val="single" w:color="auto" w:sz="6" w:space="0"/>
              <w:bottom w:val="single" w:color="auto" w:sz="6" w:space="0"/>
              <w:right w:val="single" w:color="auto" w:sz="6" w:space="0"/>
            </w:tcBorders>
          </w:tcPr>
          <w:p w14:paraId="00D497A6">
            <w:pPr>
              <w:autoSpaceDE w:val="0"/>
              <w:autoSpaceDN w:val="0"/>
              <w:adjustRightInd w:val="0"/>
              <w:spacing w:line="360" w:lineRule="auto"/>
              <w:jc w:val="center"/>
              <w:rPr>
                <w:rFonts w:ascii="宋体" w:hAnsi="宋体" w:cs="宋体"/>
                <w:b/>
                <w:bCs/>
                <w:color w:val="auto"/>
                <w:sz w:val="24"/>
                <w:highlight w:val="none"/>
                <w:lang w:val="zh-CN"/>
              </w:rPr>
            </w:pPr>
          </w:p>
        </w:tc>
      </w:tr>
      <w:tr w14:paraId="7C2B9503">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14:paraId="773412F2">
            <w:pPr>
              <w:autoSpaceDE w:val="0"/>
              <w:autoSpaceDN w:val="0"/>
              <w:adjustRightInd w:val="0"/>
              <w:spacing w:line="360" w:lineRule="auto"/>
              <w:jc w:val="center"/>
              <w:rPr>
                <w:rFonts w:ascii="宋体" w:hAnsi="宋体" w:cs="宋体"/>
                <w:b/>
                <w:bCs/>
                <w:color w:val="auto"/>
                <w:sz w:val="24"/>
                <w:highlight w:val="none"/>
                <w:lang w:val="zh-CN"/>
              </w:rPr>
            </w:pPr>
          </w:p>
        </w:tc>
        <w:tc>
          <w:tcPr>
            <w:tcW w:w="1915" w:type="dxa"/>
            <w:tcBorders>
              <w:top w:val="single" w:color="auto" w:sz="6" w:space="0"/>
              <w:left w:val="single" w:color="auto" w:sz="6" w:space="0"/>
              <w:bottom w:val="single" w:color="auto" w:sz="6" w:space="0"/>
              <w:right w:val="single" w:color="auto" w:sz="6" w:space="0"/>
            </w:tcBorders>
          </w:tcPr>
          <w:p w14:paraId="72A8253C">
            <w:pPr>
              <w:autoSpaceDE w:val="0"/>
              <w:autoSpaceDN w:val="0"/>
              <w:adjustRightInd w:val="0"/>
              <w:spacing w:line="360" w:lineRule="auto"/>
              <w:jc w:val="center"/>
              <w:rPr>
                <w:rFonts w:ascii="宋体" w:hAnsi="宋体" w:cs="宋体"/>
                <w:b/>
                <w:bCs/>
                <w:color w:val="auto"/>
                <w:sz w:val="24"/>
                <w:highlight w:val="none"/>
                <w:lang w:val="zh-CN"/>
              </w:rPr>
            </w:pPr>
          </w:p>
        </w:tc>
        <w:tc>
          <w:tcPr>
            <w:tcW w:w="2009" w:type="dxa"/>
            <w:tcBorders>
              <w:top w:val="single" w:color="auto" w:sz="6" w:space="0"/>
              <w:left w:val="single" w:color="auto" w:sz="6" w:space="0"/>
              <w:bottom w:val="single" w:color="auto" w:sz="6" w:space="0"/>
              <w:right w:val="single" w:color="auto" w:sz="6" w:space="0"/>
            </w:tcBorders>
          </w:tcPr>
          <w:p w14:paraId="1902A01C">
            <w:pPr>
              <w:autoSpaceDE w:val="0"/>
              <w:autoSpaceDN w:val="0"/>
              <w:adjustRightInd w:val="0"/>
              <w:spacing w:line="360" w:lineRule="auto"/>
              <w:jc w:val="center"/>
              <w:rPr>
                <w:rFonts w:ascii="宋体" w:hAnsi="宋体" w:cs="宋体"/>
                <w:b/>
                <w:bCs/>
                <w:color w:val="auto"/>
                <w:sz w:val="24"/>
                <w:highlight w:val="none"/>
                <w:lang w:val="zh-CN"/>
              </w:rPr>
            </w:pPr>
          </w:p>
        </w:tc>
        <w:tc>
          <w:tcPr>
            <w:tcW w:w="2862" w:type="dxa"/>
            <w:tcBorders>
              <w:top w:val="single" w:color="auto" w:sz="6" w:space="0"/>
              <w:left w:val="single" w:color="auto" w:sz="6" w:space="0"/>
              <w:bottom w:val="single" w:color="auto" w:sz="6" w:space="0"/>
              <w:right w:val="single" w:color="auto" w:sz="6" w:space="0"/>
            </w:tcBorders>
          </w:tcPr>
          <w:p w14:paraId="5E261E8C">
            <w:pPr>
              <w:autoSpaceDE w:val="0"/>
              <w:autoSpaceDN w:val="0"/>
              <w:adjustRightInd w:val="0"/>
              <w:spacing w:line="360" w:lineRule="auto"/>
              <w:jc w:val="center"/>
              <w:rPr>
                <w:rFonts w:ascii="宋体" w:hAnsi="宋体" w:cs="宋体"/>
                <w:b/>
                <w:bCs/>
                <w:color w:val="auto"/>
                <w:sz w:val="24"/>
                <w:highlight w:val="none"/>
                <w:lang w:val="zh-CN"/>
              </w:rPr>
            </w:pPr>
          </w:p>
        </w:tc>
        <w:tc>
          <w:tcPr>
            <w:tcW w:w="1542" w:type="dxa"/>
            <w:tcBorders>
              <w:top w:val="single" w:color="auto" w:sz="6" w:space="0"/>
              <w:left w:val="single" w:color="auto" w:sz="6" w:space="0"/>
              <w:bottom w:val="single" w:color="auto" w:sz="6" w:space="0"/>
              <w:right w:val="single" w:color="auto" w:sz="6" w:space="0"/>
            </w:tcBorders>
          </w:tcPr>
          <w:p w14:paraId="6ABDCEA4">
            <w:pPr>
              <w:autoSpaceDE w:val="0"/>
              <w:autoSpaceDN w:val="0"/>
              <w:adjustRightInd w:val="0"/>
              <w:spacing w:line="360" w:lineRule="auto"/>
              <w:jc w:val="center"/>
              <w:rPr>
                <w:rFonts w:ascii="宋体" w:hAnsi="宋体" w:cs="宋体"/>
                <w:b/>
                <w:bCs/>
                <w:color w:val="auto"/>
                <w:sz w:val="24"/>
                <w:highlight w:val="none"/>
                <w:lang w:val="zh-CN"/>
              </w:rPr>
            </w:pPr>
          </w:p>
        </w:tc>
      </w:tr>
      <w:tr w14:paraId="1C18BCF8">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14:paraId="3C8B8951">
            <w:pPr>
              <w:autoSpaceDE w:val="0"/>
              <w:autoSpaceDN w:val="0"/>
              <w:adjustRightInd w:val="0"/>
              <w:spacing w:line="360" w:lineRule="auto"/>
              <w:jc w:val="center"/>
              <w:rPr>
                <w:rFonts w:ascii="宋体" w:hAnsi="宋体" w:cs="宋体"/>
                <w:b/>
                <w:bCs/>
                <w:color w:val="auto"/>
                <w:sz w:val="24"/>
                <w:highlight w:val="none"/>
                <w:lang w:val="zh-CN"/>
              </w:rPr>
            </w:pPr>
          </w:p>
        </w:tc>
        <w:tc>
          <w:tcPr>
            <w:tcW w:w="1915" w:type="dxa"/>
            <w:tcBorders>
              <w:top w:val="single" w:color="auto" w:sz="6" w:space="0"/>
              <w:left w:val="single" w:color="auto" w:sz="6" w:space="0"/>
              <w:bottom w:val="single" w:color="auto" w:sz="6" w:space="0"/>
              <w:right w:val="single" w:color="auto" w:sz="6" w:space="0"/>
            </w:tcBorders>
          </w:tcPr>
          <w:p w14:paraId="1A453071">
            <w:pPr>
              <w:autoSpaceDE w:val="0"/>
              <w:autoSpaceDN w:val="0"/>
              <w:adjustRightInd w:val="0"/>
              <w:spacing w:line="360" w:lineRule="auto"/>
              <w:jc w:val="center"/>
              <w:rPr>
                <w:rFonts w:ascii="宋体" w:hAnsi="宋体" w:cs="宋体"/>
                <w:b/>
                <w:bCs/>
                <w:color w:val="auto"/>
                <w:sz w:val="24"/>
                <w:highlight w:val="none"/>
                <w:lang w:val="zh-CN"/>
              </w:rPr>
            </w:pPr>
          </w:p>
        </w:tc>
        <w:tc>
          <w:tcPr>
            <w:tcW w:w="2009" w:type="dxa"/>
            <w:tcBorders>
              <w:top w:val="single" w:color="auto" w:sz="6" w:space="0"/>
              <w:left w:val="single" w:color="auto" w:sz="6" w:space="0"/>
              <w:bottom w:val="single" w:color="auto" w:sz="6" w:space="0"/>
              <w:right w:val="single" w:color="auto" w:sz="6" w:space="0"/>
            </w:tcBorders>
          </w:tcPr>
          <w:p w14:paraId="16217D4D">
            <w:pPr>
              <w:autoSpaceDE w:val="0"/>
              <w:autoSpaceDN w:val="0"/>
              <w:adjustRightInd w:val="0"/>
              <w:spacing w:line="360" w:lineRule="auto"/>
              <w:jc w:val="center"/>
              <w:rPr>
                <w:rFonts w:ascii="宋体" w:hAnsi="宋体" w:cs="宋体"/>
                <w:b/>
                <w:bCs/>
                <w:color w:val="auto"/>
                <w:sz w:val="24"/>
                <w:highlight w:val="none"/>
                <w:lang w:val="zh-CN"/>
              </w:rPr>
            </w:pPr>
          </w:p>
        </w:tc>
        <w:tc>
          <w:tcPr>
            <w:tcW w:w="2862" w:type="dxa"/>
            <w:tcBorders>
              <w:top w:val="single" w:color="auto" w:sz="6" w:space="0"/>
              <w:left w:val="single" w:color="auto" w:sz="6" w:space="0"/>
              <w:bottom w:val="single" w:color="auto" w:sz="6" w:space="0"/>
              <w:right w:val="single" w:color="auto" w:sz="6" w:space="0"/>
            </w:tcBorders>
          </w:tcPr>
          <w:p w14:paraId="6BBD9F82">
            <w:pPr>
              <w:autoSpaceDE w:val="0"/>
              <w:autoSpaceDN w:val="0"/>
              <w:adjustRightInd w:val="0"/>
              <w:spacing w:line="360" w:lineRule="auto"/>
              <w:jc w:val="center"/>
              <w:rPr>
                <w:rFonts w:ascii="宋体" w:hAnsi="宋体" w:cs="宋体"/>
                <w:b/>
                <w:bCs/>
                <w:color w:val="auto"/>
                <w:sz w:val="24"/>
                <w:highlight w:val="none"/>
                <w:lang w:val="zh-CN"/>
              </w:rPr>
            </w:pPr>
          </w:p>
        </w:tc>
        <w:tc>
          <w:tcPr>
            <w:tcW w:w="1542" w:type="dxa"/>
            <w:tcBorders>
              <w:top w:val="single" w:color="auto" w:sz="6" w:space="0"/>
              <w:left w:val="single" w:color="auto" w:sz="6" w:space="0"/>
              <w:bottom w:val="single" w:color="auto" w:sz="6" w:space="0"/>
              <w:right w:val="single" w:color="auto" w:sz="6" w:space="0"/>
            </w:tcBorders>
          </w:tcPr>
          <w:p w14:paraId="18475483">
            <w:pPr>
              <w:autoSpaceDE w:val="0"/>
              <w:autoSpaceDN w:val="0"/>
              <w:adjustRightInd w:val="0"/>
              <w:spacing w:line="360" w:lineRule="auto"/>
              <w:jc w:val="center"/>
              <w:rPr>
                <w:rFonts w:ascii="宋体" w:hAnsi="宋体" w:cs="宋体"/>
                <w:b/>
                <w:bCs/>
                <w:color w:val="auto"/>
                <w:sz w:val="24"/>
                <w:highlight w:val="none"/>
                <w:lang w:val="zh-CN"/>
              </w:rPr>
            </w:pPr>
          </w:p>
        </w:tc>
      </w:tr>
    </w:tbl>
    <w:p w14:paraId="376465F6">
      <w:pPr>
        <w:pStyle w:val="10"/>
        <w:spacing w:line="360" w:lineRule="auto"/>
        <w:ind w:firstLine="5589" w:firstLineChars="2300"/>
        <w:jc w:val="left"/>
        <w:rPr>
          <w:rFonts w:ascii="宋体" w:hAnsi="宋体" w:cs="宋体"/>
          <w:color w:val="auto"/>
          <w:sz w:val="24"/>
          <w:highlight w:val="none"/>
        </w:rPr>
      </w:pPr>
    </w:p>
    <w:p w14:paraId="4D0C85E3">
      <w:pPr>
        <w:pStyle w:val="10"/>
        <w:spacing w:line="360" w:lineRule="auto"/>
        <w:ind w:firstLine="5589" w:firstLineChars="2300"/>
        <w:jc w:val="left"/>
        <w:rPr>
          <w:rFonts w:ascii="宋体" w:hAnsi="宋体" w:cs="宋体"/>
          <w:color w:val="auto"/>
          <w:sz w:val="24"/>
          <w:highlight w:val="none"/>
        </w:rPr>
      </w:pPr>
    </w:p>
    <w:p w14:paraId="4D4FB78C">
      <w:pPr>
        <w:pStyle w:val="10"/>
        <w:spacing w:line="360" w:lineRule="auto"/>
        <w:ind w:firstLine="5589" w:firstLineChars="2300"/>
        <w:jc w:val="left"/>
        <w:rPr>
          <w:rFonts w:ascii="宋体" w:hAnsi="宋体" w:cs="宋体"/>
          <w:color w:val="auto"/>
          <w:sz w:val="24"/>
          <w:highlight w:val="none"/>
        </w:rPr>
      </w:pPr>
    </w:p>
    <w:p w14:paraId="7D422AE6">
      <w:pPr>
        <w:pStyle w:val="10"/>
        <w:spacing w:line="360" w:lineRule="auto"/>
        <w:ind w:firstLine="5589" w:firstLineChars="2300"/>
        <w:jc w:val="left"/>
        <w:rPr>
          <w:rFonts w:ascii="宋体" w:hAnsi="宋体" w:cs="宋体"/>
          <w:color w:val="auto"/>
          <w:sz w:val="24"/>
          <w:highlight w:val="none"/>
        </w:rPr>
      </w:pPr>
    </w:p>
    <w:p w14:paraId="45DF24B3">
      <w:pPr>
        <w:pStyle w:val="10"/>
        <w:spacing w:line="360" w:lineRule="auto"/>
        <w:ind w:firstLine="5589" w:firstLineChars="2300"/>
        <w:jc w:val="left"/>
        <w:rPr>
          <w:rFonts w:ascii="宋体" w:hAnsi="宋体" w:cs="宋体"/>
          <w:color w:val="auto"/>
          <w:sz w:val="24"/>
          <w:highlight w:val="none"/>
        </w:rPr>
      </w:pPr>
    </w:p>
    <w:p w14:paraId="479475E1">
      <w:pPr>
        <w:pStyle w:val="10"/>
        <w:spacing w:line="360" w:lineRule="auto"/>
        <w:ind w:firstLine="5589" w:firstLineChars="2300"/>
        <w:jc w:val="left"/>
        <w:rPr>
          <w:rFonts w:ascii="宋体" w:hAnsi="宋体" w:cs="宋体"/>
          <w:color w:val="auto"/>
          <w:sz w:val="24"/>
          <w:highlight w:val="none"/>
        </w:rPr>
      </w:pPr>
    </w:p>
    <w:p w14:paraId="68BA1383">
      <w:pPr>
        <w:pStyle w:val="25"/>
        <w:ind w:firstLine="0" w:firstLineChars="0"/>
        <w:rPr>
          <w:rFonts w:ascii="宋体" w:hAnsi="宋体" w:cs="宋体"/>
          <w:color w:val="auto"/>
          <w:kern w:val="0"/>
          <w:szCs w:val="21"/>
          <w:highlight w:val="none"/>
        </w:rPr>
      </w:pPr>
    </w:p>
    <w:p w14:paraId="66AE412F">
      <w:pPr>
        <w:pStyle w:val="25"/>
        <w:ind w:firstLine="0" w:firstLineChars="0"/>
        <w:rPr>
          <w:rFonts w:ascii="宋体" w:hAnsi="宋体" w:cs="宋体"/>
          <w:color w:val="auto"/>
          <w:kern w:val="0"/>
          <w:szCs w:val="21"/>
          <w:highlight w:val="none"/>
        </w:rPr>
      </w:pPr>
    </w:p>
    <w:p w14:paraId="2C56B3AB">
      <w:pPr>
        <w:pStyle w:val="25"/>
        <w:ind w:firstLine="0" w:firstLineChars="0"/>
        <w:rPr>
          <w:rFonts w:ascii="宋体" w:hAnsi="宋体" w:cs="宋体"/>
          <w:color w:val="auto"/>
          <w:kern w:val="0"/>
          <w:szCs w:val="21"/>
          <w:highlight w:val="none"/>
        </w:rPr>
      </w:pPr>
    </w:p>
    <w:p w14:paraId="52177BC1">
      <w:pPr>
        <w:pStyle w:val="25"/>
        <w:ind w:firstLine="0" w:firstLineChars="0"/>
        <w:rPr>
          <w:rFonts w:ascii="宋体" w:hAnsi="宋体" w:cs="宋体"/>
          <w:color w:val="auto"/>
          <w:kern w:val="0"/>
          <w:szCs w:val="21"/>
          <w:highlight w:val="none"/>
        </w:rPr>
      </w:pPr>
    </w:p>
    <w:p w14:paraId="5B77F7EB">
      <w:pPr>
        <w:pStyle w:val="25"/>
        <w:ind w:firstLine="0" w:firstLineChars="0"/>
        <w:rPr>
          <w:rFonts w:ascii="宋体" w:hAnsi="宋体" w:cs="宋体"/>
          <w:color w:val="auto"/>
          <w:kern w:val="0"/>
          <w:szCs w:val="21"/>
          <w:highlight w:val="none"/>
        </w:rPr>
      </w:pPr>
    </w:p>
    <w:p w14:paraId="275958A6">
      <w:pPr>
        <w:pStyle w:val="25"/>
        <w:ind w:firstLine="0" w:firstLineChars="0"/>
        <w:rPr>
          <w:rFonts w:ascii="宋体" w:hAnsi="宋体" w:cs="宋体"/>
          <w:color w:val="auto"/>
          <w:kern w:val="0"/>
          <w:szCs w:val="21"/>
          <w:highlight w:val="none"/>
        </w:rPr>
      </w:pPr>
    </w:p>
    <w:p w14:paraId="1FAD3027">
      <w:pPr>
        <w:pStyle w:val="25"/>
        <w:ind w:firstLine="0" w:firstLineChars="0"/>
        <w:rPr>
          <w:rFonts w:ascii="宋体" w:hAnsi="宋体" w:cs="宋体"/>
          <w:color w:val="auto"/>
          <w:kern w:val="0"/>
          <w:szCs w:val="21"/>
          <w:highlight w:val="none"/>
        </w:rPr>
      </w:pPr>
    </w:p>
    <w:p w14:paraId="3BF5373C">
      <w:pPr>
        <w:pStyle w:val="25"/>
        <w:ind w:firstLine="0" w:firstLineChars="0"/>
        <w:rPr>
          <w:rFonts w:ascii="宋体" w:hAnsi="宋体" w:cs="宋体"/>
          <w:color w:val="auto"/>
          <w:kern w:val="0"/>
          <w:szCs w:val="21"/>
          <w:highlight w:val="none"/>
        </w:rPr>
      </w:pPr>
    </w:p>
    <w:p w14:paraId="5BD60C9A">
      <w:pPr>
        <w:spacing w:line="360" w:lineRule="auto"/>
        <w:ind w:right="420"/>
        <w:jc w:val="center"/>
        <w:rPr>
          <w:rFonts w:ascii="宋体" w:hAnsi="宋体" w:cs="宋体"/>
          <w:b/>
          <w:color w:val="auto"/>
          <w:sz w:val="28"/>
          <w:szCs w:val="30"/>
          <w:highlight w:val="none"/>
        </w:rPr>
      </w:pPr>
      <w:r>
        <w:rPr>
          <w:rFonts w:hint="eastAsia" w:ascii="宋体" w:hAnsi="宋体" w:cs="宋体"/>
          <w:b/>
          <w:color w:val="auto"/>
          <w:sz w:val="28"/>
          <w:szCs w:val="30"/>
          <w:highlight w:val="none"/>
        </w:rPr>
        <w:t>七、与采购项目相匹配的证书</w:t>
      </w:r>
    </w:p>
    <w:p w14:paraId="21C19027">
      <w:pPr>
        <w:pStyle w:val="25"/>
        <w:spacing w:line="360" w:lineRule="auto"/>
        <w:ind w:firstLine="490"/>
        <w:rPr>
          <w:rFonts w:ascii="宋体" w:hAnsi="宋体"/>
          <w:color w:val="auto"/>
          <w:sz w:val="24"/>
          <w:highlight w:val="none"/>
          <w:lang w:val="zh-CN"/>
        </w:rPr>
      </w:pPr>
      <w:r>
        <w:rPr>
          <w:rFonts w:hint="eastAsia" w:ascii="宋体" w:hAnsi="宋体" w:cs="宋体"/>
          <w:color w:val="auto"/>
          <w:sz w:val="24"/>
          <w:highlight w:val="none"/>
        </w:rPr>
        <w:t>复印或扫描件必须清晰，</w:t>
      </w:r>
      <w:r>
        <w:rPr>
          <w:rFonts w:hint="eastAsia" w:ascii="宋体" w:hAnsi="宋体"/>
          <w:color w:val="auto"/>
          <w:sz w:val="24"/>
          <w:highlight w:val="none"/>
          <w:lang w:val="zh-CN"/>
        </w:rPr>
        <w:t>供应商应保证复印件或扫描件清晰可辨识相关内容，且真实有效。</w:t>
      </w:r>
    </w:p>
    <w:p w14:paraId="1C149286">
      <w:pPr>
        <w:pStyle w:val="25"/>
        <w:spacing w:line="360" w:lineRule="auto"/>
        <w:ind w:firstLine="490"/>
        <w:rPr>
          <w:rFonts w:ascii="宋体" w:hAnsi="宋体"/>
          <w:color w:val="auto"/>
          <w:sz w:val="24"/>
          <w:highlight w:val="none"/>
          <w:lang w:val="zh-CN"/>
        </w:rPr>
      </w:pPr>
    </w:p>
    <w:p w14:paraId="497E45FC">
      <w:pPr>
        <w:pStyle w:val="25"/>
        <w:ind w:firstLine="0" w:firstLineChars="0"/>
        <w:rPr>
          <w:rFonts w:ascii="宋体" w:hAnsi="宋体" w:cs="宋体"/>
          <w:color w:val="auto"/>
          <w:kern w:val="0"/>
          <w:szCs w:val="21"/>
          <w:highlight w:val="none"/>
        </w:rPr>
      </w:pPr>
    </w:p>
    <w:p w14:paraId="5E4DF76B">
      <w:pPr>
        <w:pStyle w:val="25"/>
        <w:ind w:firstLine="0" w:firstLineChars="0"/>
        <w:rPr>
          <w:rFonts w:ascii="宋体" w:hAnsi="宋体" w:cs="宋体"/>
          <w:color w:val="auto"/>
          <w:kern w:val="0"/>
          <w:szCs w:val="21"/>
          <w:highlight w:val="none"/>
        </w:rPr>
      </w:pPr>
    </w:p>
    <w:p w14:paraId="33A66AE5">
      <w:pPr>
        <w:pStyle w:val="25"/>
        <w:ind w:firstLine="0" w:firstLineChars="0"/>
        <w:rPr>
          <w:rFonts w:ascii="宋体" w:hAnsi="宋体" w:cs="宋体"/>
          <w:color w:val="auto"/>
          <w:kern w:val="0"/>
          <w:szCs w:val="21"/>
          <w:highlight w:val="none"/>
        </w:rPr>
      </w:pPr>
    </w:p>
    <w:p w14:paraId="555EA975">
      <w:pPr>
        <w:pStyle w:val="25"/>
        <w:ind w:firstLine="0" w:firstLineChars="0"/>
        <w:rPr>
          <w:rFonts w:ascii="宋体" w:hAnsi="宋体" w:cs="宋体"/>
          <w:color w:val="auto"/>
          <w:kern w:val="0"/>
          <w:szCs w:val="21"/>
          <w:highlight w:val="none"/>
        </w:rPr>
      </w:pPr>
    </w:p>
    <w:p w14:paraId="6F05E23B">
      <w:pPr>
        <w:pStyle w:val="25"/>
        <w:ind w:firstLine="0" w:firstLineChars="0"/>
        <w:rPr>
          <w:rFonts w:ascii="宋体" w:hAnsi="宋体" w:cs="宋体"/>
          <w:color w:val="auto"/>
          <w:kern w:val="0"/>
          <w:szCs w:val="21"/>
          <w:highlight w:val="none"/>
        </w:rPr>
      </w:pPr>
    </w:p>
    <w:p w14:paraId="49C13EB5">
      <w:pPr>
        <w:pStyle w:val="25"/>
        <w:ind w:firstLine="0" w:firstLineChars="0"/>
        <w:rPr>
          <w:rFonts w:ascii="宋体" w:hAnsi="宋体" w:cs="宋体"/>
          <w:color w:val="auto"/>
          <w:kern w:val="0"/>
          <w:szCs w:val="21"/>
          <w:highlight w:val="none"/>
        </w:rPr>
      </w:pPr>
    </w:p>
    <w:p w14:paraId="4741A446">
      <w:pPr>
        <w:pStyle w:val="25"/>
        <w:ind w:firstLine="0" w:firstLineChars="0"/>
        <w:rPr>
          <w:rFonts w:ascii="宋体" w:hAnsi="宋体" w:cs="宋体"/>
          <w:color w:val="auto"/>
          <w:kern w:val="0"/>
          <w:szCs w:val="21"/>
          <w:highlight w:val="none"/>
        </w:rPr>
      </w:pPr>
    </w:p>
    <w:p w14:paraId="4354DA99">
      <w:pPr>
        <w:pStyle w:val="25"/>
        <w:ind w:firstLine="0" w:firstLineChars="0"/>
        <w:rPr>
          <w:rFonts w:ascii="宋体" w:hAnsi="宋体" w:cs="宋体"/>
          <w:color w:val="auto"/>
          <w:kern w:val="0"/>
          <w:szCs w:val="21"/>
          <w:highlight w:val="none"/>
        </w:rPr>
      </w:pPr>
    </w:p>
    <w:p w14:paraId="6FD9F040">
      <w:pPr>
        <w:pStyle w:val="25"/>
        <w:ind w:firstLine="0" w:firstLineChars="0"/>
        <w:rPr>
          <w:rFonts w:ascii="宋体" w:hAnsi="宋体" w:cs="宋体"/>
          <w:color w:val="auto"/>
          <w:kern w:val="0"/>
          <w:szCs w:val="21"/>
          <w:highlight w:val="none"/>
        </w:rPr>
      </w:pPr>
    </w:p>
    <w:p w14:paraId="334C1A4A">
      <w:pPr>
        <w:pStyle w:val="25"/>
        <w:ind w:firstLine="0" w:firstLineChars="0"/>
        <w:rPr>
          <w:rFonts w:ascii="宋体" w:hAnsi="宋体" w:cs="宋体"/>
          <w:color w:val="auto"/>
          <w:kern w:val="0"/>
          <w:szCs w:val="21"/>
          <w:highlight w:val="none"/>
        </w:rPr>
      </w:pPr>
    </w:p>
    <w:p w14:paraId="1956A9BD">
      <w:pPr>
        <w:pStyle w:val="25"/>
        <w:ind w:firstLine="0" w:firstLineChars="0"/>
        <w:rPr>
          <w:rFonts w:ascii="宋体" w:hAnsi="宋体" w:cs="宋体"/>
          <w:color w:val="auto"/>
          <w:kern w:val="0"/>
          <w:szCs w:val="21"/>
          <w:highlight w:val="none"/>
        </w:rPr>
      </w:pPr>
    </w:p>
    <w:p w14:paraId="5D0A25F9">
      <w:pPr>
        <w:pStyle w:val="25"/>
        <w:ind w:firstLine="0" w:firstLineChars="0"/>
        <w:rPr>
          <w:rFonts w:ascii="宋体" w:hAnsi="宋体" w:cs="宋体"/>
          <w:color w:val="auto"/>
          <w:kern w:val="0"/>
          <w:szCs w:val="21"/>
          <w:highlight w:val="none"/>
        </w:rPr>
      </w:pPr>
    </w:p>
    <w:p w14:paraId="70B87F07">
      <w:pPr>
        <w:pStyle w:val="25"/>
        <w:ind w:firstLine="0" w:firstLineChars="0"/>
        <w:rPr>
          <w:rFonts w:ascii="宋体" w:hAnsi="宋体" w:cs="宋体"/>
          <w:color w:val="auto"/>
          <w:kern w:val="0"/>
          <w:szCs w:val="21"/>
          <w:highlight w:val="none"/>
        </w:rPr>
      </w:pPr>
    </w:p>
    <w:p w14:paraId="54E4CB7D">
      <w:pPr>
        <w:pStyle w:val="25"/>
        <w:ind w:firstLine="0" w:firstLineChars="0"/>
        <w:rPr>
          <w:rFonts w:ascii="宋体" w:hAnsi="宋体" w:cs="宋体"/>
          <w:color w:val="auto"/>
          <w:kern w:val="0"/>
          <w:szCs w:val="21"/>
          <w:highlight w:val="none"/>
        </w:rPr>
      </w:pPr>
    </w:p>
    <w:p w14:paraId="0452ABAF">
      <w:pPr>
        <w:pStyle w:val="25"/>
        <w:ind w:firstLine="0" w:firstLineChars="0"/>
        <w:rPr>
          <w:rFonts w:ascii="宋体" w:hAnsi="宋体" w:cs="宋体"/>
          <w:color w:val="auto"/>
          <w:kern w:val="0"/>
          <w:szCs w:val="21"/>
          <w:highlight w:val="none"/>
        </w:rPr>
      </w:pPr>
    </w:p>
    <w:p w14:paraId="1E374653">
      <w:pPr>
        <w:pStyle w:val="25"/>
        <w:ind w:firstLine="0" w:firstLineChars="0"/>
        <w:rPr>
          <w:rFonts w:ascii="宋体" w:hAnsi="宋体" w:cs="宋体"/>
          <w:color w:val="auto"/>
          <w:kern w:val="0"/>
          <w:szCs w:val="21"/>
          <w:highlight w:val="none"/>
        </w:rPr>
      </w:pPr>
    </w:p>
    <w:p w14:paraId="23030901">
      <w:pPr>
        <w:pStyle w:val="25"/>
        <w:ind w:firstLine="0" w:firstLineChars="0"/>
        <w:rPr>
          <w:rFonts w:ascii="宋体" w:hAnsi="宋体" w:cs="宋体"/>
          <w:color w:val="auto"/>
          <w:kern w:val="0"/>
          <w:szCs w:val="21"/>
          <w:highlight w:val="none"/>
        </w:rPr>
      </w:pPr>
    </w:p>
    <w:p w14:paraId="711F2E56">
      <w:pPr>
        <w:pStyle w:val="25"/>
        <w:ind w:firstLine="0" w:firstLineChars="0"/>
        <w:rPr>
          <w:rFonts w:ascii="宋体" w:hAnsi="宋体" w:cs="宋体"/>
          <w:color w:val="auto"/>
          <w:kern w:val="0"/>
          <w:szCs w:val="21"/>
          <w:highlight w:val="none"/>
        </w:rPr>
      </w:pPr>
    </w:p>
    <w:p w14:paraId="5E9F6667">
      <w:pPr>
        <w:pStyle w:val="3"/>
        <w:spacing w:line="360" w:lineRule="auto"/>
        <w:ind w:left="429"/>
        <w:jc w:val="center"/>
        <w:rPr>
          <w:rFonts w:ascii="宋体" w:hAnsi="宋体" w:cs="宋体"/>
          <w:b/>
          <w:color w:val="auto"/>
          <w:sz w:val="28"/>
          <w:szCs w:val="36"/>
          <w:highlight w:val="none"/>
        </w:rPr>
      </w:pPr>
      <w:r>
        <w:rPr>
          <w:rFonts w:hint="eastAsia" w:ascii="宋体" w:hAnsi="宋体" w:cs="宋体"/>
          <w:b/>
          <w:color w:val="auto"/>
          <w:sz w:val="28"/>
          <w:szCs w:val="36"/>
          <w:highlight w:val="none"/>
        </w:rPr>
        <w:t>八、同类或类似业绩一览表</w:t>
      </w:r>
    </w:p>
    <w:tbl>
      <w:tblPr>
        <w:tblStyle w:val="20"/>
        <w:tblW w:w="85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5"/>
      </w:tblGrid>
      <w:tr w14:paraId="4D3F5A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14:paraId="3748F859">
            <w:pPr>
              <w:spacing w:line="360" w:lineRule="auto"/>
              <w:ind w:firstLine="121" w:firstLineChar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44" w:type="dxa"/>
            <w:vAlign w:val="center"/>
          </w:tcPr>
          <w:p w14:paraId="63BD00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1144" w:type="dxa"/>
            <w:tcBorders>
              <w:right w:val="single" w:color="auto" w:sz="4" w:space="0"/>
            </w:tcBorders>
            <w:vAlign w:val="center"/>
          </w:tcPr>
          <w:p w14:paraId="60BBEE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44" w:type="dxa"/>
            <w:tcBorders>
              <w:right w:val="single" w:color="auto" w:sz="4" w:space="0"/>
            </w:tcBorders>
            <w:vAlign w:val="center"/>
          </w:tcPr>
          <w:p w14:paraId="498C41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合同主要服务内容</w:t>
            </w:r>
          </w:p>
        </w:tc>
        <w:tc>
          <w:tcPr>
            <w:tcW w:w="1144" w:type="dxa"/>
            <w:tcBorders>
              <w:left w:val="single" w:color="auto" w:sz="4" w:space="0"/>
              <w:right w:val="single" w:color="auto" w:sz="4" w:space="0"/>
            </w:tcBorders>
            <w:vAlign w:val="center"/>
          </w:tcPr>
          <w:p w14:paraId="2432E4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合同金额</w:t>
            </w:r>
          </w:p>
        </w:tc>
        <w:tc>
          <w:tcPr>
            <w:tcW w:w="1144" w:type="dxa"/>
            <w:tcBorders>
              <w:left w:val="single" w:color="auto" w:sz="4" w:space="0"/>
            </w:tcBorders>
            <w:vAlign w:val="center"/>
          </w:tcPr>
          <w:p w14:paraId="75137A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供应商负责人</w:t>
            </w:r>
          </w:p>
        </w:tc>
        <w:tc>
          <w:tcPr>
            <w:tcW w:w="1144" w:type="dxa"/>
            <w:tcBorders>
              <w:left w:val="single" w:color="auto" w:sz="4" w:space="0"/>
            </w:tcBorders>
            <w:vAlign w:val="center"/>
          </w:tcPr>
          <w:p w14:paraId="07FBF28F">
            <w:pPr>
              <w:spacing w:line="360" w:lineRule="auto"/>
              <w:ind w:firstLine="121" w:firstLineChars="50"/>
              <w:jc w:val="center"/>
              <w:rPr>
                <w:rFonts w:ascii="宋体" w:hAnsi="宋体" w:cs="宋体"/>
                <w:color w:val="auto"/>
                <w:sz w:val="24"/>
                <w:highlight w:val="none"/>
              </w:rPr>
            </w:pPr>
            <w:r>
              <w:rPr>
                <w:rFonts w:hint="eastAsia" w:ascii="宋体" w:hAnsi="宋体" w:cs="宋体"/>
                <w:color w:val="auto"/>
                <w:sz w:val="24"/>
                <w:highlight w:val="none"/>
              </w:rPr>
              <w:t>合同签订时间</w:t>
            </w:r>
          </w:p>
        </w:tc>
        <w:tc>
          <w:tcPr>
            <w:tcW w:w="1145" w:type="dxa"/>
            <w:tcBorders>
              <w:left w:val="single" w:color="auto" w:sz="4" w:space="0"/>
            </w:tcBorders>
            <w:vAlign w:val="center"/>
          </w:tcPr>
          <w:p w14:paraId="5EC63A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采购人评价意见</w:t>
            </w:r>
          </w:p>
        </w:tc>
      </w:tr>
      <w:tr w14:paraId="12EED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70A6B685">
            <w:pPr>
              <w:spacing w:line="360" w:lineRule="auto"/>
              <w:rPr>
                <w:rFonts w:ascii="宋体" w:hAnsi="宋体" w:cs="宋体"/>
                <w:color w:val="auto"/>
                <w:sz w:val="24"/>
                <w:highlight w:val="none"/>
              </w:rPr>
            </w:pPr>
          </w:p>
        </w:tc>
        <w:tc>
          <w:tcPr>
            <w:tcW w:w="1144" w:type="dxa"/>
            <w:vAlign w:val="center"/>
          </w:tcPr>
          <w:p w14:paraId="1CE3F2BE">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2F1FDBD7">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4761C842">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053927B1">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740046EB">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47355BE9">
            <w:pPr>
              <w:spacing w:line="360" w:lineRule="auto"/>
              <w:rPr>
                <w:rFonts w:ascii="宋体" w:hAnsi="宋体" w:cs="宋体"/>
                <w:color w:val="auto"/>
                <w:sz w:val="24"/>
                <w:highlight w:val="none"/>
              </w:rPr>
            </w:pPr>
          </w:p>
        </w:tc>
        <w:tc>
          <w:tcPr>
            <w:tcW w:w="1145" w:type="dxa"/>
            <w:tcBorders>
              <w:left w:val="single" w:color="auto" w:sz="4" w:space="0"/>
            </w:tcBorders>
            <w:vAlign w:val="center"/>
          </w:tcPr>
          <w:p w14:paraId="6CAFF18F">
            <w:pPr>
              <w:spacing w:line="360" w:lineRule="auto"/>
              <w:rPr>
                <w:rFonts w:ascii="宋体" w:hAnsi="宋体" w:cs="宋体"/>
                <w:color w:val="auto"/>
                <w:sz w:val="24"/>
                <w:highlight w:val="none"/>
              </w:rPr>
            </w:pPr>
          </w:p>
        </w:tc>
      </w:tr>
      <w:tr w14:paraId="3E438B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D8AE7C6">
            <w:pPr>
              <w:spacing w:line="360" w:lineRule="auto"/>
              <w:rPr>
                <w:rFonts w:ascii="宋体" w:hAnsi="宋体" w:cs="宋体"/>
                <w:color w:val="auto"/>
                <w:sz w:val="24"/>
                <w:highlight w:val="none"/>
              </w:rPr>
            </w:pPr>
          </w:p>
        </w:tc>
        <w:tc>
          <w:tcPr>
            <w:tcW w:w="1144" w:type="dxa"/>
            <w:vAlign w:val="center"/>
          </w:tcPr>
          <w:p w14:paraId="07F6D004">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20272EB5">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582ABBE9">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3D1CC8CA">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7872DD1A">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64B36F0E">
            <w:pPr>
              <w:spacing w:line="360" w:lineRule="auto"/>
              <w:rPr>
                <w:rFonts w:ascii="宋体" w:hAnsi="宋体" w:cs="宋体"/>
                <w:color w:val="auto"/>
                <w:sz w:val="24"/>
                <w:highlight w:val="none"/>
              </w:rPr>
            </w:pPr>
          </w:p>
        </w:tc>
        <w:tc>
          <w:tcPr>
            <w:tcW w:w="1145" w:type="dxa"/>
            <w:tcBorders>
              <w:left w:val="single" w:color="auto" w:sz="4" w:space="0"/>
            </w:tcBorders>
            <w:vAlign w:val="center"/>
          </w:tcPr>
          <w:p w14:paraId="167818B0">
            <w:pPr>
              <w:spacing w:line="360" w:lineRule="auto"/>
              <w:rPr>
                <w:rFonts w:ascii="宋体" w:hAnsi="宋体" w:cs="宋体"/>
                <w:color w:val="auto"/>
                <w:sz w:val="24"/>
                <w:highlight w:val="none"/>
              </w:rPr>
            </w:pPr>
          </w:p>
        </w:tc>
      </w:tr>
      <w:tr w14:paraId="7E9EDB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D3F077A">
            <w:pPr>
              <w:spacing w:line="360" w:lineRule="auto"/>
              <w:rPr>
                <w:rFonts w:ascii="宋体" w:hAnsi="宋体" w:cs="宋体"/>
                <w:color w:val="auto"/>
                <w:sz w:val="24"/>
                <w:highlight w:val="none"/>
              </w:rPr>
            </w:pPr>
          </w:p>
        </w:tc>
        <w:tc>
          <w:tcPr>
            <w:tcW w:w="1144" w:type="dxa"/>
            <w:vAlign w:val="center"/>
          </w:tcPr>
          <w:p w14:paraId="5677C59B">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4095A4C9">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6F0558C0">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03877DAC">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02758536">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64989228">
            <w:pPr>
              <w:spacing w:line="360" w:lineRule="auto"/>
              <w:rPr>
                <w:rFonts w:ascii="宋体" w:hAnsi="宋体" w:cs="宋体"/>
                <w:color w:val="auto"/>
                <w:sz w:val="24"/>
                <w:highlight w:val="none"/>
              </w:rPr>
            </w:pPr>
          </w:p>
        </w:tc>
        <w:tc>
          <w:tcPr>
            <w:tcW w:w="1145" w:type="dxa"/>
            <w:tcBorders>
              <w:left w:val="single" w:color="auto" w:sz="4" w:space="0"/>
            </w:tcBorders>
            <w:vAlign w:val="center"/>
          </w:tcPr>
          <w:p w14:paraId="16B5C90E">
            <w:pPr>
              <w:spacing w:line="360" w:lineRule="auto"/>
              <w:rPr>
                <w:rFonts w:ascii="宋体" w:hAnsi="宋体" w:cs="宋体"/>
                <w:color w:val="auto"/>
                <w:sz w:val="24"/>
                <w:highlight w:val="none"/>
              </w:rPr>
            </w:pPr>
          </w:p>
        </w:tc>
      </w:tr>
      <w:tr w14:paraId="21A77C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0D04F76">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6846CC22">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1E5DA3D5">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46CEAE06">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751C79E1">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51F9A669">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2E1ECC29">
            <w:pPr>
              <w:spacing w:line="360" w:lineRule="auto"/>
              <w:rPr>
                <w:rFonts w:ascii="宋体" w:hAnsi="宋体" w:cs="宋体"/>
                <w:color w:val="auto"/>
                <w:sz w:val="24"/>
                <w:highlight w:val="none"/>
              </w:rPr>
            </w:pPr>
          </w:p>
        </w:tc>
        <w:tc>
          <w:tcPr>
            <w:tcW w:w="1145" w:type="dxa"/>
            <w:tcBorders>
              <w:left w:val="single" w:color="auto" w:sz="4" w:space="0"/>
            </w:tcBorders>
            <w:vAlign w:val="center"/>
          </w:tcPr>
          <w:p w14:paraId="2065D2D1">
            <w:pPr>
              <w:spacing w:line="360" w:lineRule="auto"/>
              <w:rPr>
                <w:rFonts w:ascii="宋体" w:hAnsi="宋体" w:cs="宋体"/>
                <w:color w:val="auto"/>
                <w:sz w:val="24"/>
                <w:highlight w:val="none"/>
              </w:rPr>
            </w:pPr>
          </w:p>
        </w:tc>
      </w:tr>
      <w:tr w14:paraId="61F6CB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14:paraId="4AD7262A">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36E44C99">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464E876C">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50D4E790">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2677421E">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06AC8BBF">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72AEBA6D">
            <w:pPr>
              <w:spacing w:line="360" w:lineRule="auto"/>
              <w:rPr>
                <w:rFonts w:ascii="宋体" w:hAnsi="宋体" w:cs="宋体"/>
                <w:color w:val="auto"/>
                <w:sz w:val="24"/>
                <w:highlight w:val="none"/>
              </w:rPr>
            </w:pPr>
          </w:p>
        </w:tc>
        <w:tc>
          <w:tcPr>
            <w:tcW w:w="1145" w:type="dxa"/>
            <w:tcBorders>
              <w:left w:val="single" w:color="auto" w:sz="4" w:space="0"/>
            </w:tcBorders>
            <w:vAlign w:val="center"/>
          </w:tcPr>
          <w:p w14:paraId="0600151E">
            <w:pPr>
              <w:spacing w:line="360" w:lineRule="auto"/>
              <w:rPr>
                <w:rFonts w:ascii="宋体" w:hAnsi="宋体" w:cs="宋体"/>
                <w:color w:val="auto"/>
                <w:sz w:val="24"/>
                <w:highlight w:val="none"/>
              </w:rPr>
            </w:pPr>
          </w:p>
        </w:tc>
      </w:tr>
      <w:tr w14:paraId="13FAF2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2D736660">
            <w:pPr>
              <w:spacing w:line="360" w:lineRule="auto"/>
              <w:rPr>
                <w:rFonts w:ascii="宋体" w:hAnsi="宋体" w:cs="宋体"/>
                <w:color w:val="auto"/>
                <w:sz w:val="24"/>
                <w:highlight w:val="none"/>
              </w:rPr>
            </w:pPr>
          </w:p>
        </w:tc>
        <w:tc>
          <w:tcPr>
            <w:tcW w:w="1144" w:type="dxa"/>
            <w:vAlign w:val="center"/>
          </w:tcPr>
          <w:p w14:paraId="2F8F93FC">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3ED0AE0E">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10A211A2">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6261690C">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1C94EB6F">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2F5B2D87">
            <w:pPr>
              <w:spacing w:line="360" w:lineRule="auto"/>
              <w:rPr>
                <w:rFonts w:ascii="宋体" w:hAnsi="宋体" w:cs="宋体"/>
                <w:color w:val="auto"/>
                <w:sz w:val="24"/>
                <w:highlight w:val="none"/>
              </w:rPr>
            </w:pPr>
          </w:p>
        </w:tc>
        <w:tc>
          <w:tcPr>
            <w:tcW w:w="1145" w:type="dxa"/>
            <w:tcBorders>
              <w:left w:val="single" w:color="auto" w:sz="4" w:space="0"/>
            </w:tcBorders>
            <w:vAlign w:val="center"/>
          </w:tcPr>
          <w:p w14:paraId="4B5F93F6">
            <w:pPr>
              <w:spacing w:line="360" w:lineRule="auto"/>
              <w:rPr>
                <w:rFonts w:ascii="宋体" w:hAnsi="宋体" w:cs="宋体"/>
                <w:color w:val="auto"/>
                <w:sz w:val="24"/>
                <w:highlight w:val="none"/>
              </w:rPr>
            </w:pPr>
          </w:p>
        </w:tc>
      </w:tr>
      <w:tr w14:paraId="0E8C2F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8DFD331">
            <w:pPr>
              <w:spacing w:line="360" w:lineRule="auto"/>
              <w:rPr>
                <w:rFonts w:ascii="宋体" w:hAnsi="宋体" w:cs="宋体"/>
                <w:color w:val="auto"/>
                <w:sz w:val="24"/>
                <w:highlight w:val="none"/>
              </w:rPr>
            </w:pPr>
          </w:p>
        </w:tc>
        <w:tc>
          <w:tcPr>
            <w:tcW w:w="1144" w:type="dxa"/>
            <w:vAlign w:val="center"/>
          </w:tcPr>
          <w:p w14:paraId="2379890B">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039EF991">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78964DC9">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578B093A">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44DF5A6B">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446328B8">
            <w:pPr>
              <w:spacing w:line="360" w:lineRule="auto"/>
              <w:rPr>
                <w:rFonts w:ascii="宋体" w:hAnsi="宋体" w:cs="宋体"/>
                <w:color w:val="auto"/>
                <w:sz w:val="24"/>
                <w:highlight w:val="none"/>
              </w:rPr>
            </w:pPr>
          </w:p>
        </w:tc>
        <w:tc>
          <w:tcPr>
            <w:tcW w:w="1145" w:type="dxa"/>
            <w:tcBorders>
              <w:left w:val="single" w:color="auto" w:sz="4" w:space="0"/>
            </w:tcBorders>
            <w:vAlign w:val="center"/>
          </w:tcPr>
          <w:p w14:paraId="0DBCC757">
            <w:pPr>
              <w:spacing w:line="360" w:lineRule="auto"/>
              <w:rPr>
                <w:rFonts w:ascii="宋体" w:hAnsi="宋体" w:cs="宋体"/>
                <w:color w:val="auto"/>
                <w:sz w:val="24"/>
                <w:highlight w:val="none"/>
              </w:rPr>
            </w:pPr>
          </w:p>
        </w:tc>
      </w:tr>
      <w:tr w14:paraId="22162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698FC4BA">
            <w:pPr>
              <w:spacing w:line="360" w:lineRule="auto"/>
              <w:rPr>
                <w:rFonts w:ascii="宋体" w:hAnsi="宋体" w:cs="宋体"/>
                <w:color w:val="auto"/>
                <w:sz w:val="24"/>
                <w:highlight w:val="none"/>
              </w:rPr>
            </w:pPr>
          </w:p>
        </w:tc>
        <w:tc>
          <w:tcPr>
            <w:tcW w:w="1144" w:type="dxa"/>
            <w:vAlign w:val="center"/>
          </w:tcPr>
          <w:p w14:paraId="0854AC6E">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45614BC5">
            <w:pPr>
              <w:spacing w:line="360" w:lineRule="auto"/>
              <w:rPr>
                <w:rFonts w:ascii="宋体" w:hAnsi="宋体" w:cs="宋体"/>
                <w:color w:val="auto"/>
                <w:sz w:val="24"/>
                <w:highlight w:val="none"/>
              </w:rPr>
            </w:pPr>
          </w:p>
        </w:tc>
        <w:tc>
          <w:tcPr>
            <w:tcW w:w="1144" w:type="dxa"/>
            <w:tcBorders>
              <w:right w:val="single" w:color="auto" w:sz="4" w:space="0"/>
            </w:tcBorders>
            <w:vAlign w:val="center"/>
          </w:tcPr>
          <w:p w14:paraId="47A6BA60">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5033CD6B">
            <w:pPr>
              <w:spacing w:line="360" w:lineRule="auto"/>
              <w:rPr>
                <w:rFonts w:ascii="宋体" w:hAnsi="宋体" w:cs="宋体"/>
                <w:color w:val="auto"/>
                <w:sz w:val="24"/>
                <w:highlight w:val="none"/>
              </w:rPr>
            </w:pPr>
          </w:p>
        </w:tc>
        <w:tc>
          <w:tcPr>
            <w:tcW w:w="1144" w:type="dxa"/>
            <w:tcBorders>
              <w:left w:val="single" w:color="auto" w:sz="4" w:space="0"/>
            </w:tcBorders>
            <w:vAlign w:val="center"/>
          </w:tcPr>
          <w:p w14:paraId="7AC9C175">
            <w:pPr>
              <w:spacing w:line="360" w:lineRule="auto"/>
              <w:rPr>
                <w:rFonts w:ascii="宋体" w:hAnsi="宋体" w:cs="宋体"/>
                <w:color w:val="auto"/>
                <w:sz w:val="24"/>
                <w:highlight w:val="none"/>
              </w:rPr>
            </w:pPr>
          </w:p>
        </w:tc>
        <w:tc>
          <w:tcPr>
            <w:tcW w:w="1144" w:type="dxa"/>
            <w:tcBorders>
              <w:left w:val="single" w:color="auto" w:sz="4" w:space="0"/>
              <w:right w:val="single" w:color="auto" w:sz="4" w:space="0"/>
            </w:tcBorders>
            <w:vAlign w:val="center"/>
          </w:tcPr>
          <w:p w14:paraId="36C0AFBF">
            <w:pPr>
              <w:spacing w:line="360" w:lineRule="auto"/>
              <w:rPr>
                <w:rFonts w:ascii="宋体" w:hAnsi="宋体" w:cs="宋体"/>
                <w:color w:val="auto"/>
                <w:sz w:val="24"/>
                <w:highlight w:val="none"/>
              </w:rPr>
            </w:pPr>
          </w:p>
        </w:tc>
        <w:tc>
          <w:tcPr>
            <w:tcW w:w="1145" w:type="dxa"/>
            <w:tcBorders>
              <w:left w:val="single" w:color="auto" w:sz="4" w:space="0"/>
            </w:tcBorders>
            <w:vAlign w:val="center"/>
          </w:tcPr>
          <w:p w14:paraId="4459EBA8">
            <w:pPr>
              <w:spacing w:line="360" w:lineRule="auto"/>
              <w:rPr>
                <w:rFonts w:ascii="宋体" w:hAnsi="宋体" w:cs="宋体"/>
                <w:color w:val="auto"/>
                <w:sz w:val="24"/>
                <w:highlight w:val="none"/>
              </w:rPr>
            </w:pPr>
          </w:p>
        </w:tc>
      </w:tr>
    </w:tbl>
    <w:p w14:paraId="50CDE999">
      <w:pPr>
        <w:pStyle w:val="10"/>
        <w:spacing w:line="360" w:lineRule="auto"/>
        <w:ind w:firstLine="426" w:firstLineChars="200"/>
        <w:jc w:val="left"/>
        <w:rPr>
          <w:rFonts w:ascii="宋体" w:hAnsi="宋体" w:cs="宋体"/>
          <w:color w:val="auto"/>
          <w:highlight w:val="none"/>
        </w:rPr>
      </w:pPr>
      <w:r>
        <w:rPr>
          <w:rFonts w:hint="eastAsia" w:ascii="宋体" w:hAnsi="宋体" w:cs="宋体"/>
          <w:color w:val="auto"/>
          <w:highlight w:val="none"/>
        </w:rPr>
        <w:t>注：按业绩一览表所列顺序依次排列提供合同复印件，复印或扫描件须加盖投标供应商公章。</w:t>
      </w:r>
    </w:p>
    <w:p w14:paraId="7F901AEF">
      <w:pPr>
        <w:pStyle w:val="10"/>
        <w:spacing w:line="360" w:lineRule="auto"/>
        <w:ind w:firstLine="426" w:firstLineChars="200"/>
        <w:jc w:val="left"/>
        <w:rPr>
          <w:rFonts w:ascii="宋体" w:hAnsi="宋体" w:cs="宋体"/>
          <w:color w:val="auto"/>
          <w:highlight w:val="none"/>
        </w:rPr>
      </w:pPr>
    </w:p>
    <w:p w14:paraId="6911C36E">
      <w:pPr>
        <w:pStyle w:val="10"/>
        <w:spacing w:line="360" w:lineRule="auto"/>
        <w:ind w:firstLine="426" w:firstLineChars="200"/>
        <w:jc w:val="left"/>
        <w:rPr>
          <w:rFonts w:ascii="宋体" w:hAnsi="宋体" w:cs="宋体"/>
          <w:color w:val="auto"/>
          <w:highlight w:val="none"/>
        </w:rPr>
      </w:pPr>
    </w:p>
    <w:p w14:paraId="72326601">
      <w:pPr>
        <w:pStyle w:val="25"/>
        <w:ind w:firstLine="0" w:firstLineChars="0"/>
        <w:rPr>
          <w:rFonts w:ascii="宋体" w:hAnsi="宋体" w:cs="宋体"/>
          <w:color w:val="auto"/>
          <w:kern w:val="0"/>
          <w:szCs w:val="21"/>
          <w:highlight w:val="none"/>
        </w:rPr>
      </w:pPr>
    </w:p>
    <w:p w14:paraId="0011F757">
      <w:pPr>
        <w:pStyle w:val="25"/>
        <w:ind w:firstLine="0" w:firstLineChars="0"/>
        <w:rPr>
          <w:rFonts w:ascii="宋体" w:hAnsi="宋体" w:cs="宋体"/>
          <w:color w:val="auto"/>
          <w:kern w:val="0"/>
          <w:szCs w:val="21"/>
          <w:highlight w:val="none"/>
        </w:rPr>
      </w:pPr>
    </w:p>
    <w:p w14:paraId="7FF3B914">
      <w:pPr>
        <w:pStyle w:val="25"/>
        <w:ind w:firstLine="0" w:firstLineChars="0"/>
        <w:rPr>
          <w:rFonts w:ascii="宋体" w:hAnsi="宋体" w:cs="宋体"/>
          <w:color w:val="auto"/>
          <w:kern w:val="0"/>
          <w:szCs w:val="21"/>
          <w:highlight w:val="none"/>
        </w:rPr>
      </w:pPr>
    </w:p>
    <w:p w14:paraId="25402CFC">
      <w:pPr>
        <w:pStyle w:val="25"/>
        <w:ind w:firstLine="0" w:firstLineChars="0"/>
        <w:rPr>
          <w:rFonts w:ascii="宋体" w:hAnsi="宋体" w:cs="宋体"/>
          <w:color w:val="auto"/>
          <w:kern w:val="0"/>
          <w:szCs w:val="21"/>
          <w:highlight w:val="none"/>
        </w:rPr>
      </w:pPr>
    </w:p>
    <w:p w14:paraId="17843A1F">
      <w:pPr>
        <w:pStyle w:val="25"/>
        <w:ind w:firstLine="0" w:firstLineChars="0"/>
        <w:rPr>
          <w:rFonts w:ascii="宋体" w:hAnsi="宋体" w:cs="宋体"/>
          <w:color w:val="auto"/>
          <w:kern w:val="0"/>
          <w:szCs w:val="21"/>
          <w:highlight w:val="none"/>
        </w:rPr>
      </w:pPr>
    </w:p>
    <w:p w14:paraId="75470F56">
      <w:pPr>
        <w:pStyle w:val="25"/>
        <w:ind w:firstLine="0" w:firstLineChars="0"/>
        <w:rPr>
          <w:rFonts w:ascii="宋体" w:hAnsi="宋体" w:cs="宋体"/>
          <w:color w:val="auto"/>
          <w:kern w:val="0"/>
          <w:szCs w:val="21"/>
          <w:highlight w:val="none"/>
        </w:rPr>
      </w:pPr>
    </w:p>
    <w:p w14:paraId="207D9CC0">
      <w:pPr>
        <w:pStyle w:val="25"/>
        <w:ind w:firstLine="0" w:firstLineChars="0"/>
        <w:rPr>
          <w:rFonts w:ascii="宋体" w:hAnsi="宋体" w:cs="宋体"/>
          <w:color w:val="auto"/>
          <w:kern w:val="0"/>
          <w:szCs w:val="21"/>
          <w:highlight w:val="none"/>
        </w:rPr>
      </w:pPr>
    </w:p>
    <w:p w14:paraId="422A55F0">
      <w:pPr>
        <w:pStyle w:val="25"/>
        <w:ind w:firstLine="0" w:firstLineChars="0"/>
        <w:rPr>
          <w:rFonts w:ascii="宋体" w:hAnsi="宋体" w:cs="宋体"/>
          <w:color w:val="auto"/>
          <w:kern w:val="0"/>
          <w:szCs w:val="21"/>
          <w:highlight w:val="none"/>
        </w:rPr>
      </w:pPr>
    </w:p>
    <w:p w14:paraId="7EE3F979">
      <w:pPr>
        <w:pStyle w:val="25"/>
        <w:ind w:firstLine="0" w:firstLineChars="0"/>
        <w:rPr>
          <w:rFonts w:ascii="宋体" w:hAnsi="宋体" w:cs="宋体"/>
          <w:color w:val="auto"/>
          <w:kern w:val="0"/>
          <w:szCs w:val="21"/>
          <w:highlight w:val="none"/>
        </w:rPr>
      </w:pPr>
    </w:p>
    <w:p w14:paraId="1B8229DF">
      <w:pPr>
        <w:pStyle w:val="3"/>
        <w:spacing w:line="360" w:lineRule="auto"/>
        <w:ind w:left="429"/>
        <w:jc w:val="center"/>
        <w:rPr>
          <w:rFonts w:ascii="宋体" w:hAnsi="宋体" w:cs="宋体"/>
          <w:b/>
          <w:color w:val="auto"/>
          <w:sz w:val="36"/>
          <w:szCs w:val="36"/>
          <w:highlight w:val="none"/>
        </w:rPr>
      </w:pPr>
      <w:r>
        <w:rPr>
          <w:rFonts w:hint="eastAsia" w:ascii="宋体" w:hAnsi="宋体" w:cs="宋体"/>
          <w:b/>
          <w:color w:val="auto"/>
          <w:sz w:val="36"/>
          <w:szCs w:val="36"/>
          <w:highlight w:val="none"/>
        </w:rPr>
        <w:t>九、拟投入人员配置情况表</w:t>
      </w:r>
    </w:p>
    <w:p w14:paraId="09A6A0D2">
      <w:pPr>
        <w:pStyle w:val="10"/>
        <w:spacing w:line="360" w:lineRule="auto"/>
        <w:ind w:firstLine="486" w:firstLineChars="200"/>
        <w:jc w:val="left"/>
        <w:rPr>
          <w:rFonts w:ascii="宋体" w:hAnsi="宋体" w:cs="宋体"/>
          <w:color w:val="auto"/>
          <w:sz w:val="24"/>
          <w:highlight w:val="none"/>
        </w:rPr>
      </w:pPr>
      <w:r>
        <w:rPr>
          <w:rFonts w:hint="eastAsia" w:ascii="宋体" w:hAnsi="宋体" w:cs="宋体"/>
          <w:color w:val="auto"/>
          <w:sz w:val="24"/>
          <w:highlight w:val="none"/>
        </w:rPr>
        <w:t>备注：拟投入人员相关证件及社保缴纳凭证的复印或扫描件（按拟投入情况表所列顺序依次排列，复印或扫描件须加盖投标供应商印章），格式自拟</w:t>
      </w:r>
    </w:p>
    <w:p w14:paraId="78605B11">
      <w:pPr>
        <w:pStyle w:val="25"/>
        <w:ind w:firstLine="0" w:firstLineChars="0"/>
        <w:rPr>
          <w:rFonts w:ascii="宋体" w:hAnsi="宋体" w:cs="宋体"/>
          <w:color w:val="auto"/>
          <w:kern w:val="0"/>
          <w:szCs w:val="21"/>
          <w:highlight w:val="none"/>
        </w:rPr>
        <w:sectPr>
          <w:pgSz w:w="11906" w:h="16838"/>
          <w:pgMar w:top="1440" w:right="1276" w:bottom="1440" w:left="1417" w:header="851" w:footer="992" w:gutter="0"/>
          <w:cols w:space="0" w:num="1"/>
          <w:rtlGutter w:val="0"/>
          <w:docGrid w:type="linesAndChars" w:linePitch="317" w:charSpace="819"/>
        </w:sectPr>
      </w:pPr>
    </w:p>
    <w:p w14:paraId="04397AD6">
      <w:pPr>
        <w:pStyle w:val="10"/>
        <w:spacing w:line="360" w:lineRule="auto"/>
        <w:ind w:firstLine="566" w:firstLineChars="200"/>
        <w:jc w:val="center"/>
        <w:rPr>
          <w:rFonts w:ascii="宋体" w:hAnsi="宋体"/>
          <w:color w:val="auto"/>
          <w:sz w:val="28"/>
          <w:highlight w:val="none"/>
        </w:rPr>
      </w:pPr>
      <w:r>
        <w:rPr>
          <w:rFonts w:hint="eastAsia" w:ascii="宋体" w:hAnsi="宋体"/>
          <w:color w:val="auto"/>
          <w:sz w:val="28"/>
          <w:highlight w:val="none"/>
        </w:rPr>
        <w:t>十、供应商遵守政府采购法规的声明</w:t>
      </w:r>
    </w:p>
    <w:p w14:paraId="4B9E468D">
      <w:pPr>
        <w:spacing w:line="360" w:lineRule="auto"/>
        <w:jc w:val="center"/>
        <w:rPr>
          <w:rFonts w:ascii="宋体" w:hAnsi="宋体" w:cs="宋体"/>
          <w:b/>
          <w:color w:val="auto"/>
          <w:sz w:val="28"/>
          <w:szCs w:val="28"/>
          <w:highlight w:val="none"/>
        </w:rPr>
      </w:pPr>
      <w:r>
        <w:rPr>
          <w:rFonts w:hint="eastAsia" w:ascii="宋体" w:hAnsi="宋体" w:cs="宋体"/>
          <w:b/>
          <w:color w:val="auto"/>
          <w:sz w:val="36"/>
          <w:szCs w:val="36"/>
          <w:highlight w:val="none"/>
        </w:rPr>
        <w:t>供应商遵守政府采购法规的声明承诺函</w:t>
      </w:r>
    </w:p>
    <w:p w14:paraId="1CDB61B1">
      <w:pPr>
        <w:spacing w:before="158" w:beforeLines="50" w:after="158" w:afterLines="50"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14:paraId="62E260A7">
      <w:pPr>
        <w:spacing w:before="158" w:beforeLines="50" w:after="158" w:afterLines="50" w:line="360" w:lineRule="auto"/>
        <w:ind w:firstLine="475" w:firstLineChars="196"/>
        <w:rPr>
          <w:rFonts w:ascii="宋体" w:hAnsi="宋体" w:cs="宋体"/>
          <w:color w:val="auto"/>
          <w:sz w:val="24"/>
          <w:highlight w:val="none"/>
          <w:u w:val="single"/>
        </w:rPr>
      </w:pPr>
      <w:r>
        <w:rPr>
          <w:rFonts w:hint="eastAsia" w:ascii="宋体" w:hAnsi="宋体" w:cs="宋体"/>
          <w:color w:val="auto"/>
          <w:sz w:val="24"/>
          <w:highlight w:val="none"/>
        </w:rPr>
        <w:t>我公司自愿参加</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 xml:space="preserve">   （项目名称、项目编号）</w:t>
      </w:r>
      <w:r>
        <w:rPr>
          <w:rFonts w:hint="eastAsia" w:ascii="宋体" w:hAnsi="宋体" w:cs="宋体"/>
          <w:color w:val="auto"/>
          <w:sz w:val="24"/>
          <w:highlight w:val="none"/>
        </w:rPr>
        <w:t>的投标，并慎重作出如下声明承诺：</w:t>
      </w:r>
    </w:p>
    <w:p w14:paraId="4DA8D6B7">
      <w:pPr>
        <w:spacing w:before="158" w:beforeLines="50" w:after="158" w:afterLines="50" w:line="360" w:lineRule="auto"/>
        <w:rPr>
          <w:rFonts w:ascii="宋体" w:hAnsi="宋体" w:cs="宋体"/>
          <w:color w:val="auto"/>
          <w:sz w:val="24"/>
          <w:highlight w:val="none"/>
        </w:rPr>
      </w:pPr>
      <w:r>
        <w:rPr>
          <w:rFonts w:hint="eastAsia" w:ascii="宋体" w:hAnsi="宋体" w:cs="宋体"/>
          <w:color w:val="auto"/>
          <w:sz w:val="24"/>
          <w:highlight w:val="none"/>
        </w:rPr>
        <w:t>一、针对《中华人民共和国政府采购法》</w:t>
      </w:r>
    </w:p>
    <w:p w14:paraId="7F72BC8D">
      <w:pPr>
        <w:pStyle w:val="19"/>
        <w:widowControl/>
        <w:shd w:val="clear" w:color="auto" w:fill="FFFFFF"/>
        <w:spacing w:before="158" w:beforeLines="50" w:beforeAutospacing="0" w:after="158" w:afterLines="50" w:afterAutospacing="0"/>
        <w:ind w:firstLine="420"/>
        <w:rPr>
          <w:rFonts w:ascii="宋体" w:hAnsi="宋体" w:cs="宋体"/>
          <w:color w:val="auto"/>
          <w:highlight w:val="none"/>
        </w:rPr>
      </w:pPr>
      <w:r>
        <w:rPr>
          <w:rFonts w:ascii="宋体" w:hAnsi="宋体" w:cs="宋体"/>
          <w:color w:val="auto"/>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BFA2903">
      <w:pPr>
        <w:pStyle w:val="19"/>
        <w:widowControl/>
        <w:shd w:val="clear" w:color="auto" w:fill="FFFFFF"/>
        <w:spacing w:before="158" w:beforeLines="50" w:beforeAutospacing="0" w:after="158" w:afterLines="50" w:afterAutospacing="0"/>
        <w:ind w:firstLine="420"/>
        <w:rPr>
          <w:rFonts w:ascii="宋体" w:hAnsi="宋体" w:cs="宋体"/>
          <w:color w:val="auto"/>
          <w:highlight w:val="none"/>
        </w:rPr>
      </w:pPr>
      <w:r>
        <w:rPr>
          <w:rFonts w:ascii="宋体" w:hAnsi="宋体" w:cs="宋体"/>
          <w:color w:val="auto"/>
          <w:highlight w:val="none"/>
        </w:rPr>
        <w:t>(一)提供虚假材料谋取中标、成交的;</w:t>
      </w:r>
    </w:p>
    <w:p w14:paraId="24032E5E">
      <w:pPr>
        <w:pStyle w:val="19"/>
        <w:widowControl/>
        <w:shd w:val="clear" w:color="auto" w:fill="FFFFFF"/>
        <w:spacing w:before="158" w:beforeLines="50" w:beforeAutospacing="0" w:after="158" w:afterLines="50" w:afterAutospacing="0"/>
        <w:ind w:firstLine="420"/>
        <w:rPr>
          <w:rFonts w:ascii="宋体" w:hAnsi="宋体" w:cs="宋体"/>
          <w:color w:val="auto"/>
          <w:highlight w:val="none"/>
        </w:rPr>
      </w:pPr>
      <w:r>
        <w:rPr>
          <w:rFonts w:ascii="宋体" w:hAnsi="宋体" w:cs="宋体"/>
          <w:color w:val="auto"/>
          <w:highlight w:val="none"/>
        </w:rPr>
        <w:t>(二)采取不正当手段诋毁、排挤其他供应商的;</w:t>
      </w:r>
    </w:p>
    <w:p w14:paraId="08DD492C">
      <w:pPr>
        <w:pStyle w:val="19"/>
        <w:widowControl/>
        <w:shd w:val="clear" w:color="auto" w:fill="FFFFFF"/>
        <w:spacing w:before="158" w:beforeLines="50" w:beforeAutospacing="0" w:after="158" w:afterLines="50" w:afterAutospacing="0"/>
        <w:ind w:firstLine="420"/>
        <w:rPr>
          <w:rFonts w:ascii="宋体" w:hAnsi="宋体" w:cs="宋体"/>
          <w:color w:val="auto"/>
          <w:highlight w:val="none"/>
        </w:rPr>
      </w:pPr>
      <w:r>
        <w:rPr>
          <w:rFonts w:ascii="宋体" w:hAnsi="宋体" w:cs="宋体"/>
          <w:color w:val="auto"/>
          <w:highlight w:val="none"/>
        </w:rPr>
        <w:t>(三)与采购人、其他供应商或者采购代理机构恶意串通的;</w:t>
      </w:r>
    </w:p>
    <w:p w14:paraId="728E3B1B">
      <w:pPr>
        <w:pStyle w:val="19"/>
        <w:widowControl/>
        <w:shd w:val="clear" w:color="auto" w:fill="FFFFFF"/>
        <w:spacing w:before="158" w:beforeLines="50" w:beforeAutospacing="0" w:after="158" w:afterLines="50" w:afterAutospacing="0"/>
        <w:ind w:firstLine="420"/>
        <w:rPr>
          <w:rFonts w:ascii="宋体" w:hAnsi="宋体" w:cs="宋体"/>
          <w:color w:val="auto"/>
          <w:highlight w:val="none"/>
        </w:rPr>
      </w:pPr>
      <w:r>
        <w:rPr>
          <w:rFonts w:ascii="宋体" w:hAnsi="宋体" w:cs="宋体"/>
          <w:color w:val="auto"/>
          <w:highlight w:val="none"/>
        </w:rPr>
        <w:t>(四)向采购人、采购代理机构行贿或者提供其他不正当利益的;</w:t>
      </w:r>
    </w:p>
    <w:p w14:paraId="4FBE86D9">
      <w:pPr>
        <w:pStyle w:val="19"/>
        <w:widowControl/>
        <w:shd w:val="clear" w:color="auto" w:fill="FFFFFF"/>
        <w:spacing w:before="158" w:beforeLines="50" w:beforeAutospacing="0" w:after="158" w:afterLines="50" w:afterAutospacing="0"/>
        <w:ind w:firstLine="420"/>
        <w:rPr>
          <w:rFonts w:ascii="宋体" w:hAnsi="宋体" w:cs="宋体"/>
          <w:color w:val="auto"/>
          <w:highlight w:val="none"/>
        </w:rPr>
      </w:pPr>
      <w:r>
        <w:rPr>
          <w:rFonts w:ascii="宋体" w:hAnsi="宋体" w:cs="宋体"/>
          <w:color w:val="auto"/>
          <w:highlight w:val="none"/>
        </w:rPr>
        <w:t>(五)在招标采购过程中与采购人进行协商谈判的;</w:t>
      </w:r>
    </w:p>
    <w:p w14:paraId="11BBD939">
      <w:pPr>
        <w:pStyle w:val="19"/>
        <w:widowControl/>
        <w:shd w:val="clear" w:color="auto" w:fill="FFFFFF"/>
        <w:spacing w:before="158" w:beforeLines="50" w:beforeAutospacing="0" w:after="158" w:afterLines="50" w:afterAutospacing="0"/>
        <w:ind w:firstLine="420"/>
        <w:rPr>
          <w:rFonts w:ascii="宋体" w:hAnsi="宋体" w:cs="宋体"/>
          <w:color w:val="auto"/>
          <w:highlight w:val="none"/>
        </w:rPr>
      </w:pPr>
      <w:r>
        <w:rPr>
          <w:rFonts w:ascii="宋体" w:hAnsi="宋体" w:cs="宋体"/>
          <w:color w:val="auto"/>
          <w:highlight w:val="none"/>
        </w:rPr>
        <w:t>(六)拒绝有关部门监督检查或者提供虚假情况的。</w:t>
      </w:r>
    </w:p>
    <w:p w14:paraId="3AB9EA4E">
      <w:pPr>
        <w:pStyle w:val="19"/>
        <w:widowControl/>
        <w:shd w:val="clear" w:color="auto" w:fill="FFFFFF"/>
        <w:spacing w:before="158" w:beforeLines="50" w:beforeAutospacing="0" w:after="158" w:afterLines="50" w:afterAutospacing="0"/>
        <w:ind w:firstLine="420"/>
        <w:rPr>
          <w:rFonts w:ascii="宋体" w:hAnsi="宋体" w:cs="宋体"/>
          <w:color w:val="auto"/>
          <w:highlight w:val="none"/>
        </w:rPr>
      </w:pPr>
      <w:r>
        <w:rPr>
          <w:rFonts w:ascii="宋体" w:hAnsi="宋体" w:cs="宋体"/>
          <w:color w:val="auto"/>
          <w:highlight w:val="none"/>
        </w:rPr>
        <w:t>供应商有前款第(一)至(五)项情形之一的，中标、成交无效。</w:t>
      </w:r>
    </w:p>
    <w:p w14:paraId="39E7512F">
      <w:pPr>
        <w:spacing w:before="158" w:beforeLines="50" w:after="158" w:afterLines="50" w:line="360" w:lineRule="auto"/>
        <w:rPr>
          <w:rFonts w:ascii="宋体" w:hAnsi="宋体" w:cs="宋体"/>
          <w:color w:val="auto"/>
          <w:sz w:val="24"/>
          <w:highlight w:val="none"/>
        </w:rPr>
      </w:pPr>
      <w:r>
        <w:rPr>
          <w:rFonts w:hint="eastAsia" w:ascii="宋体" w:hAnsi="宋体" w:cs="宋体"/>
          <w:color w:val="auto"/>
          <w:sz w:val="24"/>
          <w:highlight w:val="none"/>
        </w:rPr>
        <w:t>二、《中华人民共和国政府采购法实施条例》</w:t>
      </w:r>
    </w:p>
    <w:p w14:paraId="24F47C43">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第七十二条　供应商有下列情形之一的，依照政府采购法第七十七条第一款的规定追究法律责任：</w:t>
      </w:r>
    </w:p>
    <w:p w14:paraId="7CFF30B9">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(一)向评标委员会、竞争性谈判小组或者询价小组成员行贿或者提供其他不正当利益;</w:t>
      </w:r>
    </w:p>
    <w:p w14:paraId="4AD55A5D">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(二)中标或者成交后无正当理由拒不与采购人签订政府采购合同;</w:t>
      </w:r>
    </w:p>
    <w:p w14:paraId="45DCCA36">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(三)未按照采购文件确定的事项签订政府采购合同;</w:t>
      </w:r>
    </w:p>
    <w:p w14:paraId="3D6C47D6">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(四)将政府采购合同转包;</w:t>
      </w:r>
    </w:p>
    <w:p w14:paraId="03D7C1E3">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(五)提供假冒伪劣产品;</w:t>
      </w:r>
    </w:p>
    <w:p w14:paraId="3E5B40DD">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(六)擅自变更、中止或者终止政府采购合同。</w:t>
      </w:r>
    </w:p>
    <w:p w14:paraId="0F1EC874">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01FF733F">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第七十三条　供应商捏造事实、提供虚假材料或者以非法手段取得证明材料进行投诉的，由财政部门列入不良行为记录名单，禁止其1至3年内参加政府采购活动。</w:t>
      </w:r>
    </w:p>
    <w:p w14:paraId="626183CB">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39635498">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(一)供应商直接或者间接从采购人或者采购代理机构处获得其他供应商的相关情况并修改其投标文件或者</w:t>
      </w:r>
      <w:r>
        <w:rPr>
          <w:rFonts w:hint="eastAsia" w:ascii="宋体" w:hAnsi="宋体" w:cs="宋体"/>
          <w:color w:val="auto"/>
          <w:highlight w:val="none"/>
        </w:rPr>
        <w:t>投标文件</w:t>
      </w:r>
      <w:r>
        <w:rPr>
          <w:rFonts w:ascii="宋体" w:hAnsi="宋体" w:cs="宋体"/>
          <w:color w:val="auto"/>
          <w:highlight w:val="none"/>
        </w:rPr>
        <w:t>;</w:t>
      </w:r>
    </w:p>
    <w:p w14:paraId="5A7727DB">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(二)供应商按照采购人或者采购代理机构的授意撤换、修改投标文件或者</w:t>
      </w:r>
      <w:r>
        <w:rPr>
          <w:rFonts w:hint="eastAsia" w:ascii="宋体" w:hAnsi="宋体" w:cs="宋体"/>
          <w:color w:val="auto"/>
          <w:highlight w:val="none"/>
        </w:rPr>
        <w:t>投标文件</w:t>
      </w:r>
      <w:r>
        <w:rPr>
          <w:rFonts w:ascii="宋体" w:hAnsi="宋体" w:cs="宋体"/>
          <w:color w:val="auto"/>
          <w:highlight w:val="none"/>
        </w:rPr>
        <w:t>;</w:t>
      </w:r>
    </w:p>
    <w:p w14:paraId="0E18BB71">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(三)供应商之间协商报价、技术方案等投标文件或者</w:t>
      </w:r>
      <w:r>
        <w:rPr>
          <w:rFonts w:hint="eastAsia" w:ascii="宋体" w:hAnsi="宋体" w:cs="宋体"/>
          <w:color w:val="auto"/>
          <w:highlight w:val="none"/>
        </w:rPr>
        <w:t>投标文件</w:t>
      </w:r>
      <w:r>
        <w:rPr>
          <w:rFonts w:ascii="宋体" w:hAnsi="宋体" w:cs="宋体"/>
          <w:color w:val="auto"/>
          <w:highlight w:val="none"/>
        </w:rPr>
        <w:t>的实质性内容;</w:t>
      </w:r>
    </w:p>
    <w:p w14:paraId="0213DD47">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(四)属于同一集团、协会、商会等组织成员的供应商按照该组织要求协同参加政府采购活动;</w:t>
      </w:r>
    </w:p>
    <w:p w14:paraId="7157EA36">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(五)供应商之间事先约定由某一特定供应商中标、成交;</w:t>
      </w:r>
    </w:p>
    <w:p w14:paraId="6F9CA872">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(六)供应商之间商定部分供应商放弃参加政府采购活动或者放弃中标、成交;</w:t>
      </w:r>
    </w:p>
    <w:p w14:paraId="62B4AF72">
      <w:pPr>
        <w:pStyle w:val="19"/>
        <w:widowControl/>
        <w:shd w:val="clear" w:color="auto" w:fill="FFFFFF"/>
        <w:spacing w:before="158" w:beforeLines="50" w:beforeAutospacing="0" w:after="158" w:afterLines="50" w:afterAutospacing="0"/>
        <w:ind w:firstLine="420"/>
        <w:jc w:val="left"/>
        <w:rPr>
          <w:rFonts w:ascii="宋体" w:hAnsi="宋体" w:cs="宋体"/>
          <w:color w:val="auto"/>
          <w:highlight w:val="none"/>
        </w:rPr>
      </w:pPr>
      <w:r>
        <w:rPr>
          <w:rFonts w:ascii="宋体" w:hAnsi="宋体" w:cs="宋体"/>
          <w:color w:val="auto"/>
          <w:highlight w:val="none"/>
        </w:rPr>
        <w:t>(七)供应商与采购人或者采购代理机构之间、供应商相互之间，为谋求特定供应商中标、成交或者排斥其他供应商的其他串通行为。</w:t>
      </w:r>
    </w:p>
    <w:p w14:paraId="3DE482EF">
      <w:pPr>
        <w:spacing w:before="158" w:beforeLines="50" w:after="158" w:afterLines="50" w:line="360" w:lineRule="auto"/>
        <w:rPr>
          <w:rFonts w:ascii="宋体" w:hAnsi="宋体" w:cs="宋体"/>
          <w:bCs/>
          <w:color w:val="auto"/>
          <w:sz w:val="24"/>
          <w:highlight w:val="none"/>
        </w:rPr>
      </w:pPr>
    </w:p>
    <w:p w14:paraId="40FAA05F">
      <w:pPr>
        <w:spacing w:before="158" w:beforeLines="50" w:after="158" w:afterLines="50" w:line="360" w:lineRule="auto"/>
        <w:rPr>
          <w:rFonts w:ascii="宋体" w:hAnsi="宋体" w:cs="宋体"/>
          <w:color w:val="auto"/>
          <w:sz w:val="24"/>
          <w:highlight w:val="none"/>
        </w:rPr>
      </w:pPr>
      <w:r>
        <w:rPr>
          <w:rFonts w:hint="eastAsia" w:ascii="宋体" w:hAnsi="宋体" w:cs="宋体"/>
          <w:color w:val="auto"/>
          <w:sz w:val="24"/>
          <w:highlight w:val="none"/>
        </w:rPr>
        <w:t>三、财政部87号令</w:t>
      </w:r>
      <w:r>
        <w:rPr>
          <w:rFonts w:ascii="宋体" w:hAnsi="宋体" w:cs="宋体"/>
          <w:color w:val="auto"/>
          <w:sz w:val="24"/>
          <w:highlight w:val="none"/>
        </w:rPr>
        <w:t>第三十七条 有下列情形之一的，视为供应商串通投标，其投标无效：</w:t>
      </w:r>
    </w:p>
    <w:p w14:paraId="225BA10B">
      <w:pPr>
        <w:spacing w:before="158" w:beforeLines="50" w:after="158" w:afterLines="50" w:line="360" w:lineRule="auto"/>
        <w:rPr>
          <w:rFonts w:ascii="宋体" w:hAnsi="宋体" w:cs="宋体"/>
          <w:color w:val="auto"/>
          <w:sz w:val="24"/>
          <w:highlight w:val="none"/>
        </w:rPr>
      </w:pPr>
      <w:r>
        <w:rPr>
          <w:rFonts w:ascii="宋体" w:hAnsi="宋体" w:cs="宋体"/>
          <w:color w:val="auto"/>
          <w:sz w:val="24"/>
          <w:highlight w:val="none"/>
        </w:rPr>
        <w:t>（一）不同供应商的投标文件由同一单位或者个人编制；</w:t>
      </w:r>
    </w:p>
    <w:p w14:paraId="67DD08C5">
      <w:pPr>
        <w:spacing w:before="158" w:beforeLines="50" w:after="158" w:afterLines="50" w:line="360" w:lineRule="auto"/>
        <w:rPr>
          <w:rFonts w:ascii="宋体" w:hAnsi="宋体" w:cs="宋体"/>
          <w:color w:val="auto"/>
          <w:sz w:val="24"/>
          <w:highlight w:val="none"/>
        </w:rPr>
      </w:pPr>
      <w:r>
        <w:rPr>
          <w:rFonts w:ascii="宋体" w:hAnsi="宋体" w:cs="宋体"/>
          <w:color w:val="auto"/>
          <w:sz w:val="24"/>
          <w:highlight w:val="none"/>
        </w:rPr>
        <w:t>（二）不同供应商委托同一单位或者个人办理投标事宜；</w:t>
      </w:r>
    </w:p>
    <w:p w14:paraId="6C717C95">
      <w:pPr>
        <w:spacing w:before="158" w:beforeLines="50" w:after="158" w:afterLines="50" w:line="360" w:lineRule="auto"/>
        <w:rPr>
          <w:rFonts w:ascii="宋体" w:hAnsi="宋体" w:cs="宋体"/>
          <w:color w:val="auto"/>
          <w:sz w:val="24"/>
          <w:highlight w:val="none"/>
        </w:rPr>
      </w:pPr>
      <w:r>
        <w:rPr>
          <w:rFonts w:ascii="宋体" w:hAnsi="宋体" w:cs="宋体"/>
          <w:color w:val="auto"/>
          <w:sz w:val="24"/>
          <w:highlight w:val="none"/>
        </w:rPr>
        <w:t>（三）不同供应商的投标文件载明的项目管理成员或者联系人员为同一人；</w:t>
      </w:r>
    </w:p>
    <w:p w14:paraId="70318EBE">
      <w:pPr>
        <w:spacing w:before="158" w:beforeLines="50" w:after="158" w:afterLines="50" w:line="360" w:lineRule="auto"/>
        <w:rPr>
          <w:rFonts w:ascii="宋体" w:hAnsi="宋体" w:cs="宋体"/>
          <w:color w:val="auto"/>
          <w:sz w:val="24"/>
          <w:highlight w:val="none"/>
        </w:rPr>
      </w:pPr>
      <w:r>
        <w:rPr>
          <w:rFonts w:ascii="宋体" w:hAnsi="宋体" w:cs="宋体"/>
          <w:color w:val="auto"/>
          <w:sz w:val="24"/>
          <w:highlight w:val="none"/>
        </w:rPr>
        <w:t>（四）不同供应商的投标文件异常一致或者投标报价呈规律性差异；</w:t>
      </w:r>
    </w:p>
    <w:p w14:paraId="5754A0AD">
      <w:pPr>
        <w:spacing w:before="158" w:beforeLines="50" w:after="158" w:afterLines="50" w:line="360" w:lineRule="auto"/>
        <w:rPr>
          <w:rFonts w:ascii="宋体" w:hAnsi="宋体" w:cs="宋体"/>
          <w:color w:val="auto"/>
          <w:sz w:val="24"/>
          <w:highlight w:val="none"/>
        </w:rPr>
      </w:pPr>
      <w:r>
        <w:rPr>
          <w:rFonts w:ascii="宋体" w:hAnsi="宋体" w:cs="宋体"/>
          <w:color w:val="auto"/>
          <w:sz w:val="24"/>
          <w:highlight w:val="none"/>
        </w:rPr>
        <w:t>（五）不同供应商的投标文件相互混装；</w:t>
      </w:r>
    </w:p>
    <w:p w14:paraId="1A448966">
      <w:pPr>
        <w:spacing w:before="158" w:beforeLines="50" w:after="158" w:afterLines="50" w:line="360" w:lineRule="auto"/>
        <w:rPr>
          <w:rFonts w:ascii="宋体" w:hAnsi="宋体" w:cs="宋体"/>
          <w:color w:val="auto"/>
          <w:sz w:val="24"/>
          <w:highlight w:val="none"/>
        </w:rPr>
      </w:pPr>
      <w:r>
        <w:rPr>
          <w:rFonts w:ascii="宋体" w:hAnsi="宋体" w:cs="宋体"/>
          <w:color w:val="auto"/>
          <w:sz w:val="24"/>
          <w:highlight w:val="none"/>
        </w:rPr>
        <w:t>（六）不同供应商的投标保证金从同一单位或者个人的账户转出。</w:t>
      </w:r>
    </w:p>
    <w:p w14:paraId="66468E93">
      <w:pPr>
        <w:spacing w:before="158" w:beforeLines="50" w:after="158" w:afterLines="50" w:line="360" w:lineRule="auto"/>
        <w:ind w:firstLine="237" w:firstLineChars="98"/>
        <w:rPr>
          <w:rFonts w:ascii="宋体" w:hAnsi="宋体" w:cs="宋体"/>
          <w:color w:val="auto"/>
          <w:sz w:val="24"/>
          <w:highlight w:val="none"/>
        </w:rPr>
      </w:pPr>
    </w:p>
    <w:p w14:paraId="0955EBD6">
      <w:pPr>
        <w:spacing w:before="158" w:beforeLines="50" w:after="158" w:afterLines="50" w:line="360" w:lineRule="auto"/>
        <w:rPr>
          <w:rFonts w:ascii="宋体" w:hAnsi="宋体" w:cs="宋体"/>
          <w:b/>
          <w:color w:val="auto"/>
          <w:sz w:val="24"/>
          <w:highlight w:val="none"/>
        </w:rPr>
      </w:pPr>
      <w:r>
        <w:rPr>
          <w:rFonts w:hint="eastAsia" w:ascii="宋体" w:hAnsi="宋体" w:cs="宋体"/>
          <w:color w:val="auto"/>
          <w:sz w:val="24"/>
          <w:highlight w:val="none"/>
        </w:rPr>
        <w:t>四、政府采购针对供应商投标行为的其他规定</w:t>
      </w:r>
    </w:p>
    <w:p w14:paraId="2024D2D3">
      <w:pPr>
        <w:spacing w:before="158" w:beforeLines="50" w:after="158" w:afterLines="50" w:line="360" w:lineRule="auto"/>
        <w:rPr>
          <w:rFonts w:ascii="宋体" w:hAnsi="宋体" w:cs="宋体"/>
          <w:b/>
          <w:color w:val="auto"/>
          <w:sz w:val="24"/>
          <w:highlight w:val="none"/>
        </w:rPr>
      </w:pPr>
    </w:p>
    <w:p w14:paraId="74A3440C">
      <w:pPr>
        <w:spacing w:before="158" w:beforeLines="50" w:after="158" w:afterLines="50" w:line="360" w:lineRule="auto"/>
        <w:ind w:firstLine="475" w:firstLineChars="196"/>
        <w:rPr>
          <w:rFonts w:ascii="宋体" w:hAnsi="宋体" w:cs="宋体"/>
          <w:color w:val="auto"/>
          <w:sz w:val="24"/>
          <w:highlight w:val="none"/>
        </w:rPr>
      </w:pPr>
      <w:r>
        <w:rPr>
          <w:rFonts w:hint="eastAsia" w:ascii="宋体" w:hAnsi="宋体" w:cs="宋体"/>
          <w:b/>
          <w:color w:val="auto"/>
          <w:sz w:val="24"/>
          <w:highlight w:val="none"/>
        </w:rPr>
        <w:t>我公司声明承诺本项目的政府采购投标活动，严格遵守以上政府采购相关法律法规对供应商投标行为的规定，如声明承诺不实，将承担由此发生的全部法律责任。</w:t>
      </w:r>
    </w:p>
    <w:p w14:paraId="25DB3CA5">
      <w:pPr>
        <w:spacing w:before="158" w:beforeLines="50" w:after="158" w:afterLines="50" w:line="360" w:lineRule="auto"/>
        <w:rPr>
          <w:rFonts w:ascii="宋体" w:hAnsi="宋体" w:cs="宋体"/>
          <w:b/>
          <w:color w:val="auto"/>
          <w:sz w:val="24"/>
          <w:highlight w:val="none"/>
        </w:rPr>
      </w:pPr>
    </w:p>
    <w:p w14:paraId="357BA685">
      <w:pPr>
        <w:spacing w:before="158" w:beforeLines="50" w:after="158" w:afterLines="50" w:line="360" w:lineRule="auto"/>
        <w:rPr>
          <w:rFonts w:ascii="宋体" w:hAnsi="宋体" w:cs="宋体"/>
          <w:color w:val="auto"/>
          <w:sz w:val="24"/>
          <w:highlight w:val="none"/>
        </w:rPr>
      </w:pPr>
      <w:r>
        <w:rPr>
          <w:rFonts w:hint="eastAsia" w:ascii="宋体" w:hAnsi="宋体" w:cs="宋体"/>
          <w:color w:val="auto"/>
          <w:sz w:val="24"/>
          <w:highlight w:val="none"/>
        </w:rPr>
        <w:t>投标供应商：（盖章）</w:t>
      </w:r>
    </w:p>
    <w:p w14:paraId="2132728F">
      <w:pPr>
        <w:spacing w:before="158" w:beforeLines="50" w:after="158" w:afterLines="50" w:line="360" w:lineRule="auto"/>
        <w:rPr>
          <w:rFonts w:ascii="宋体" w:hAnsi="宋体" w:cs="宋体"/>
          <w:color w:val="auto"/>
          <w:sz w:val="24"/>
          <w:highlight w:val="none"/>
        </w:rPr>
      </w:pPr>
      <w:r>
        <w:rPr>
          <w:rFonts w:hint="eastAsia" w:ascii="宋体" w:hAnsi="宋体" w:cs="宋体"/>
          <w:color w:val="auto"/>
          <w:sz w:val="24"/>
          <w:highlight w:val="none"/>
        </w:rPr>
        <w:t xml:space="preserve">                                             日期：年   月   日</w:t>
      </w:r>
    </w:p>
    <w:p w14:paraId="200C3D7E">
      <w:pPr>
        <w:pStyle w:val="25"/>
        <w:spacing w:line="360" w:lineRule="auto"/>
        <w:ind w:firstLine="571"/>
        <w:rPr>
          <w:color w:val="auto"/>
          <w:highlight w:val="none"/>
        </w:rPr>
      </w:pPr>
    </w:p>
    <w:p w14:paraId="0A4F42CD">
      <w:pPr>
        <w:pStyle w:val="25"/>
        <w:spacing w:line="360" w:lineRule="auto"/>
        <w:ind w:firstLine="571"/>
        <w:rPr>
          <w:color w:val="auto"/>
          <w:highlight w:val="none"/>
        </w:rPr>
      </w:pPr>
    </w:p>
    <w:p w14:paraId="3F01E9FF">
      <w:pPr>
        <w:pStyle w:val="25"/>
        <w:spacing w:line="360" w:lineRule="auto"/>
        <w:ind w:firstLine="571"/>
        <w:rPr>
          <w:color w:val="auto"/>
          <w:highlight w:val="none"/>
        </w:rPr>
      </w:pPr>
    </w:p>
    <w:p w14:paraId="2A84763D">
      <w:pPr>
        <w:pStyle w:val="25"/>
        <w:spacing w:line="360" w:lineRule="auto"/>
        <w:ind w:firstLine="0" w:firstLineChars="0"/>
        <w:rPr>
          <w:color w:val="auto"/>
          <w:highlight w:val="none"/>
        </w:rPr>
      </w:pPr>
    </w:p>
    <w:p w14:paraId="01C8F00E">
      <w:pPr>
        <w:pStyle w:val="10"/>
        <w:spacing w:line="360" w:lineRule="auto"/>
        <w:ind w:firstLine="486" w:firstLineChars="200"/>
        <w:jc w:val="center"/>
        <w:rPr>
          <w:rFonts w:ascii="宋体" w:hAnsi="宋体" w:cs="宋体"/>
          <w:color w:val="auto"/>
          <w:sz w:val="24"/>
          <w:highlight w:val="none"/>
        </w:rPr>
      </w:pPr>
    </w:p>
    <w:p w14:paraId="46DA81F9">
      <w:pPr>
        <w:pStyle w:val="10"/>
        <w:spacing w:line="360" w:lineRule="auto"/>
        <w:ind w:firstLine="486" w:firstLineChars="200"/>
        <w:jc w:val="center"/>
        <w:rPr>
          <w:rFonts w:ascii="宋体" w:hAnsi="宋体" w:cs="宋体"/>
          <w:color w:val="auto"/>
          <w:sz w:val="24"/>
          <w:highlight w:val="none"/>
        </w:rPr>
      </w:pPr>
    </w:p>
    <w:p w14:paraId="35C8D6E7">
      <w:pPr>
        <w:pStyle w:val="10"/>
        <w:spacing w:line="360" w:lineRule="auto"/>
        <w:ind w:firstLine="486" w:firstLineChars="200"/>
        <w:jc w:val="center"/>
        <w:rPr>
          <w:rFonts w:ascii="宋体" w:hAnsi="宋体" w:cs="宋体"/>
          <w:color w:val="auto"/>
          <w:sz w:val="24"/>
          <w:highlight w:val="none"/>
        </w:rPr>
      </w:pPr>
      <w:r>
        <w:rPr>
          <w:rFonts w:hint="eastAsia" w:ascii="宋体" w:hAnsi="宋体" w:cs="宋体"/>
          <w:color w:val="auto"/>
          <w:sz w:val="24"/>
          <w:highlight w:val="none"/>
        </w:rPr>
        <w:t>十一、项目实施方案</w:t>
      </w:r>
    </w:p>
    <w:p w14:paraId="50BE5770">
      <w:pPr>
        <w:pStyle w:val="10"/>
        <w:spacing w:line="360" w:lineRule="auto"/>
        <w:ind w:firstLine="486" w:firstLineChars="200"/>
        <w:jc w:val="left"/>
        <w:rPr>
          <w:rFonts w:ascii="宋体" w:hAnsi="宋体"/>
          <w:color w:val="auto"/>
          <w:sz w:val="24"/>
          <w:highlight w:val="none"/>
        </w:rPr>
      </w:pPr>
      <w:r>
        <w:rPr>
          <w:rFonts w:hint="eastAsia" w:ascii="宋体" w:hAnsi="宋体"/>
          <w:color w:val="auto"/>
          <w:sz w:val="24"/>
          <w:highlight w:val="none"/>
        </w:rPr>
        <w:t>格式自拟</w:t>
      </w:r>
    </w:p>
    <w:p w14:paraId="4BB948D6">
      <w:pPr>
        <w:pStyle w:val="10"/>
        <w:spacing w:line="360" w:lineRule="auto"/>
        <w:ind w:firstLine="486" w:firstLineChars="200"/>
        <w:jc w:val="left"/>
        <w:rPr>
          <w:rFonts w:ascii="宋体" w:hAnsi="宋体"/>
          <w:color w:val="auto"/>
          <w:sz w:val="24"/>
          <w:highlight w:val="none"/>
        </w:rPr>
      </w:pPr>
    </w:p>
    <w:p w14:paraId="0246642C">
      <w:pPr>
        <w:pStyle w:val="10"/>
        <w:spacing w:line="360" w:lineRule="auto"/>
        <w:ind w:firstLine="486" w:firstLineChars="200"/>
        <w:jc w:val="left"/>
        <w:rPr>
          <w:rFonts w:ascii="宋体" w:hAnsi="宋体"/>
          <w:color w:val="auto"/>
          <w:sz w:val="24"/>
          <w:highlight w:val="none"/>
        </w:rPr>
      </w:pPr>
    </w:p>
    <w:p w14:paraId="717F9624">
      <w:pPr>
        <w:pStyle w:val="10"/>
        <w:spacing w:line="360" w:lineRule="auto"/>
        <w:ind w:firstLine="486" w:firstLineChars="200"/>
        <w:jc w:val="left"/>
        <w:rPr>
          <w:rFonts w:ascii="宋体" w:hAnsi="宋体"/>
          <w:color w:val="auto"/>
          <w:sz w:val="24"/>
          <w:highlight w:val="none"/>
        </w:rPr>
      </w:pPr>
    </w:p>
    <w:p w14:paraId="54EF7E9D">
      <w:pPr>
        <w:pStyle w:val="10"/>
        <w:spacing w:line="360" w:lineRule="auto"/>
        <w:ind w:firstLine="486" w:firstLineChars="200"/>
        <w:jc w:val="left"/>
        <w:rPr>
          <w:rFonts w:ascii="宋体" w:hAnsi="宋体"/>
          <w:color w:val="auto"/>
          <w:sz w:val="24"/>
          <w:highlight w:val="none"/>
        </w:rPr>
      </w:pPr>
    </w:p>
    <w:p w14:paraId="41ED11B6">
      <w:pPr>
        <w:pStyle w:val="10"/>
        <w:spacing w:line="360" w:lineRule="auto"/>
        <w:ind w:firstLine="486" w:firstLineChars="200"/>
        <w:jc w:val="left"/>
        <w:rPr>
          <w:rFonts w:ascii="宋体" w:hAnsi="宋体"/>
          <w:color w:val="auto"/>
          <w:sz w:val="24"/>
          <w:highlight w:val="none"/>
        </w:rPr>
      </w:pPr>
    </w:p>
    <w:p w14:paraId="6520072A">
      <w:pPr>
        <w:pStyle w:val="10"/>
        <w:spacing w:line="360" w:lineRule="auto"/>
        <w:ind w:firstLine="486" w:firstLineChars="200"/>
        <w:jc w:val="left"/>
        <w:rPr>
          <w:rFonts w:ascii="宋体" w:hAnsi="宋体"/>
          <w:color w:val="auto"/>
          <w:sz w:val="24"/>
          <w:highlight w:val="none"/>
        </w:rPr>
      </w:pPr>
    </w:p>
    <w:p w14:paraId="2C7875DE">
      <w:pPr>
        <w:pStyle w:val="10"/>
        <w:spacing w:line="360" w:lineRule="auto"/>
        <w:ind w:firstLine="486" w:firstLineChars="200"/>
        <w:jc w:val="left"/>
        <w:rPr>
          <w:rFonts w:ascii="宋体" w:hAnsi="宋体"/>
          <w:color w:val="auto"/>
          <w:sz w:val="24"/>
          <w:highlight w:val="none"/>
        </w:rPr>
      </w:pPr>
    </w:p>
    <w:p w14:paraId="723B5755">
      <w:pPr>
        <w:pStyle w:val="10"/>
        <w:spacing w:line="360" w:lineRule="auto"/>
        <w:ind w:firstLine="486" w:firstLineChars="200"/>
        <w:jc w:val="left"/>
        <w:rPr>
          <w:rFonts w:ascii="宋体" w:hAnsi="宋体"/>
          <w:color w:val="auto"/>
          <w:sz w:val="24"/>
          <w:highlight w:val="none"/>
        </w:rPr>
      </w:pPr>
    </w:p>
    <w:p w14:paraId="1898BAF7">
      <w:pPr>
        <w:pStyle w:val="10"/>
        <w:spacing w:line="360" w:lineRule="auto"/>
        <w:ind w:firstLine="486" w:firstLineChars="200"/>
        <w:jc w:val="left"/>
        <w:rPr>
          <w:rFonts w:ascii="宋体" w:hAnsi="宋体"/>
          <w:color w:val="auto"/>
          <w:sz w:val="24"/>
          <w:highlight w:val="none"/>
        </w:rPr>
      </w:pPr>
    </w:p>
    <w:p w14:paraId="3F67B526">
      <w:pPr>
        <w:pStyle w:val="10"/>
        <w:spacing w:line="360" w:lineRule="auto"/>
        <w:ind w:firstLine="486" w:firstLineChars="200"/>
        <w:jc w:val="left"/>
        <w:rPr>
          <w:rFonts w:ascii="宋体" w:hAnsi="宋体"/>
          <w:color w:val="auto"/>
          <w:sz w:val="24"/>
          <w:highlight w:val="none"/>
        </w:rPr>
      </w:pPr>
    </w:p>
    <w:p w14:paraId="5D1C87B2">
      <w:pPr>
        <w:pStyle w:val="10"/>
        <w:spacing w:line="360" w:lineRule="auto"/>
        <w:ind w:firstLine="486" w:firstLineChars="200"/>
        <w:jc w:val="left"/>
        <w:rPr>
          <w:rFonts w:ascii="宋体" w:hAnsi="宋体"/>
          <w:color w:val="auto"/>
          <w:sz w:val="24"/>
          <w:highlight w:val="none"/>
        </w:rPr>
      </w:pPr>
    </w:p>
    <w:p w14:paraId="5FF204F2">
      <w:pPr>
        <w:pStyle w:val="10"/>
        <w:spacing w:line="360" w:lineRule="auto"/>
        <w:ind w:firstLine="486" w:firstLineChars="200"/>
        <w:jc w:val="left"/>
        <w:rPr>
          <w:rFonts w:ascii="宋体" w:hAnsi="宋体"/>
          <w:color w:val="auto"/>
          <w:sz w:val="24"/>
          <w:highlight w:val="none"/>
        </w:rPr>
      </w:pPr>
    </w:p>
    <w:p w14:paraId="38E825B5">
      <w:pPr>
        <w:pStyle w:val="10"/>
        <w:spacing w:line="360" w:lineRule="auto"/>
        <w:ind w:firstLine="486" w:firstLineChars="200"/>
        <w:jc w:val="left"/>
        <w:rPr>
          <w:rFonts w:ascii="宋体" w:hAnsi="宋体"/>
          <w:color w:val="auto"/>
          <w:sz w:val="24"/>
          <w:highlight w:val="none"/>
        </w:rPr>
      </w:pPr>
    </w:p>
    <w:p w14:paraId="3D24D727">
      <w:pPr>
        <w:pStyle w:val="10"/>
        <w:spacing w:line="360" w:lineRule="auto"/>
        <w:ind w:firstLine="486" w:firstLineChars="200"/>
        <w:jc w:val="left"/>
        <w:rPr>
          <w:rFonts w:ascii="宋体" w:hAnsi="宋体"/>
          <w:color w:val="auto"/>
          <w:sz w:val="24"/>
          <w:highlight w:val="none"/>
        </w:rPr>
      </w:pPr>
    </w:p>
    <w:p w14:paraId="41A8005E">
      <w:pPr>
        <w:pStyle w:val="10"/>
        <w:spacing w:line="360" w:lineRule="auto"/>
        <w:ind w:firstLine="486" w:firstLineChars="200"/>
        <w:jc w:val="left"/>
        <w:rPr>
          <w:rFonts w:ascii="宋体" w:hAnsi="宋体"/>
          <w:color w:val="auto"/>
          <w:sz w:val="24"/>
          <w:highlight w:val="none"/>
        </w:rPr>
      </w:pPr>
    </w:p>
    <w:p w14:paraId="5ADA7B82">
      <w:pPr>
        <w:pStyle w:val="10"/>
        <w:spacing w:line="360" w:lineRule="auto"/>
        <w:ind w:firstLine="486" w:firstLineChars="200"/>
        <w:jc w:val="left"/>
        <w:rPr>
          <w:rFonts w:ascii="宋体" w:hAnsi="宋体"/>
          <w:color w:val="auto"/>
          <w:sz w:val="24"/>
          <w:highlight w:val="none"/>
        </w:rPr>
      </w:pPr>
    </w:p>
    <w:p w14:paraId="720E5348">
      <w:pPr>
        <w:pStyle w:val="10"/>
        <w:spacing w:line="360" w:lineRule="auto"/>
        <w:ind w:firstLine="486" w:firstLineChars="200"/>
        <w:jc w:val="left"/>
        <w:rPr>
          <w:rFonts w:ascii="宋体" w:hAnsi="宋体"/>
          <w:color w:val="auto"/>
          <w:sz w:val="24"/>
          <w:highlight w:val="none"/>
        </w:rPr>
      </w:pPr>
    </w:p>
    <w:p w14:paraId="3EBB527D">
      <w:pPr>
        <w:pStyle w:val="10"/>
        <w:spacing w:line="360" w:lineRule="auto"/>
        <w:ind w:firstLine="486" w:firstLineChars="200"/>
        <w:jc w:val="left"/>
        <w:rPr>
          <w:rFonts w:ascii="宋体" w:hAnsi="宋体"/>
          <w:color w:val="auto"/>
          <w:sz w:val="24"/>
          <w:highlight w:val="none"/>
        </w:rPr>
      </w:pPr>
    </w:p>
    <w:p w14:paraId="76C41534">
      <w:pPr>
        <w:pStyle w:val="10"/>
        <w:spacing w:line="360" w:lineRule="auto"/>
        <w:ind w:firstLine="486" w:firstLineChars="200"/>
        <w:jc w:val="left"/>
        <w:rPr>
          <w:rFonts w:ascii="宋体" w:hAnsi="宋体"/>
          <w:color w:val="auto"/>
          <w:sz w:val="24"/>
          <w:highlight w:val="none"/>
        </w:rPr>
      </w:pPr>
    </w:p>
    <w:p w14:paraId="2FC32EB4">
      <w:pPr>
        <w:pStyle w:val="10"/>
        <w:spacing w:line="360" w:lineRule="auto"/>
        <w:ind w:firstLine="486" w:firstLineChars="200"/>
        <w:jc w:val="left"/>
        <w:rPr>
          <w:rFonts w:ascii="宋体" w:hAnsi="宋体"/>
          <w:color w:val="auto"/>
          <w:sz w:val="24"/>
          <w:highlight w:val="none"/>
        </w:rPr>
      </w:pPr>
    </w:p>
    <w:p w14:paraId="27E688B1">
      <w:pPr>
        <w:pStyle w:val="10"/>
        <w:spacing w:line="360" w:lineRule="auto"/>
        <w:jc w:val="left"/>
        <w:rPr>
          <w:rFonts w:ascii="宋体" w:hAnsi="宋体"/>
          <w:color w:val="auto"/>
          <w:sz w:val="24"/>
          <w:highlight w:val="none"/>
        </w:rPr>
      </w:pPr>
    </w:p>
    <w:p w14:paraId="025CBBE7">
      <w:pPr>
        <w:spacing w:before="158" w:beforeLines="50" w:after="158" w:afterLines="5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十二、优惠性政策情况</w:t>
      </w:r>
    </w:p>
    <w:p w14:paraId="01DA8DD2">
      <w:pPr>
        <w:spacing w:before="158" w:beforeLines="50" w:after="158" w:afterLines="50"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投标报价符合优惠性政策情况表</w:t>
      </w:r>
    </w:p>
    <w:p w14:paraId="1B340B44">
      <w:pPr>
        <w:pStyle w:val="13"/>
        <w:spacing w:before="317" w:beforeLines="100" w:after="158" w:afterLines="50" w:line="360" w:lineRule="auto"/>
        <w:rPr>
          <w:rFonts w:hAnsi="宋体" w:cs="宋体"/>
          <w:color w:val="auto"/>
          <w:sz w:val="24"/>
          <w:szCs w:val="24"/>
          <w:highlight w:val="none"/>
        </w:rPr>
      </w:pPr>
      <w:r>
        <w:rPr>
          <w:rFonts w:hint="eastAsia" w:hAnsi="宋体" w:cs="宋体"/>
          <w:color w:val="auto"/>
          <w:sz w:val="24"/>
          <w:szCs w:val="24"/>
          <w:highlight w:val="none"/>
        </w:rPr>
        <w:t>项目编号：                       项目名称：                     品目号：</w:t>
      </w:r>
    </w:p>
    <w:tbl>
      <w:tblPr>
        <w:tblStyle w:val="20"/>
        <w:tblpPr w:leftFromText="181" w:rightFromText="181" w:vertAnchor="text" w:horzAnchor="page" w:tblpX="1390" w:tblpY="433"/>
        <w:tblW w:w="95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5"/>
        <w:gridCol w:w="3511"/>
        <w:gridCol w:w="3132"/>
        <w:gridCol w:w="2294"/>
      </w:tblGrid>
      <w:tr w14:paraId="4D843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5" w:type="dxa"/>
            <w:tcBorders>
              <w:top w:val="single" w:color="auto" w:sz="4" w:space="0"/>
              <w:left w:val="single" w:color="auto" w:sz="4" w:space="0"/>
              <w:bottom w:val="single" w:color="auto" w:sz="4" w:space="0"/>
              <w:right w:val="single" w:color="auto" w:sz="4" w:space="0"/>
            </w:tcBorders>
            <w:vAlign w:val="center"/>
          </w:tcPr>
          <w:p w14:paraId="696F0DE7">
            <w:pPr>
              <w:pStyle w:val="13"/>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3511" w:type="dxa"/>
            <w:tcBorders>
              <w:top w:val="single" w:color="auto" w:sz="4" w:space="0"/>
              <w:left w:val="single" w:color="auto" w:sz="4" w:space="0"/>
              <w:bottom w:val="single" w:color="auto" w:sz="4" w:space="0"/>
              <w:right w:val="single" w:color="auto" w:sz="4" w:space="0"/>
            </w:tcBorders>
            <w:vAlign w:val="center"/>
          </w:tcPr>
          <w:p w14:paraId="2C50EDD3">
            <w:pPr>
              <w:pStyle w:val="13"/>
              <w:spacing w:line="360" w:lineRule="auto"/>
              <w:jc w:val="center"/>
              <w:rPr>
                <w:rFonts w:hAnsi="宋体" w:cs="宋体"/>
                <w:color w:val="auto"/>
                <w:sz w:val="24"/>
                <w:szCs w:val="24"/>
                <w:highlight w:val="none"/>
              </w:rPr>
            </w:pPr>
            <w:r>
              <w:rPr>
                <w:rFonts w:hint="eastAsia" w:hAnsi="宋体" w:cs="宋体"/>
                <w:color w:val="auto"/>
                <w:sz w:val="24"/>
                <w:szCs w:val="24"/>
                <w:highlight w:val="none"/>
              </w:rPr>
              <w:t>优惠性政府名称</w:t>
            </w:r>
          </w:p>
        </w:tc>
        <w:tc>
          <w:tcPr>
            <w:tcW w:w="3132" w:type="dxa"/>
            <w:tcBorders>
              <w:top w:val="single" w:color="auto" w:sz="4" w:space="0"/>
              <w:left w:val="single" w:color="auto" w:sz="4" w:space="0"/>
              <w:bottom w:val="single" w:color="auto" w:sz="4" w:space="0"/>
              <w:right w:val="single" w:color="auto" w:sz="4" w:space="0"/>
            </w:tcBorders>
            <w:vAlign w:val="center"/>
          </w:tcPr>
          <w:p w14:paraId="5AD2E49A">
            <w:pPr>
              <w:pStyle w:val="13"/>
              <w:spacing w:line="360" w:lineRule="auto"/>
              <w:jc w:val="center"/>
              <w:rPr>
                <w:rFonts w:hAnsi="宋体" w:cs="宋体"/>
                <w:color w:val="auto"/>
                <w:sz w:val="24"/>
                <w:szCs w:val="24"/>
                <w:highlight w:val="none"/>
              </w:rPr>
            </w:pPr>
            <w:r>
              <w:rPr>
                <w:rFonts w:hint="eastAsia" w:hAnsi="宋体" w:cs="宋体"/>
                <w:color w:val="auto"/>
                <w:sz w:val="24"/>
                <w:szCs w:val="24"/>
                <w:highlight w:val="none"/>
              </w:rPr>
              <w:t>投标供应商享受优惠政策的情况说明</w:t>
            </w:r>
          </w:p>
        </w:tc>
        <w:tc>
          <w:tcPr>
            <w:tcW w:w="2294" w:type="dxa"/>
            <w:tcBorders>
              <w:top w:val="single" w:color="auto" w:sz="4" w:space="0"/>
              <w:left w:val="single" w:color="auto" w:sz="4" w:space="0"/>
              <w:bottom w:val="single" w:color="auto" w:sz="4" w:space="0"/>
              <w:right w:val="single" w:color="auto" w:sz="4" w:space="0"/>
            </w:tcBorders>
            <w:vAlign w:val="center"/>
          </w:tcPr>
          <w:p w14:paraId="67D1452C">
            <w:pPr>
              <w:pStyle w:val="13"/>
              <w:spacing w:line="360" w:lineRule="auto"/>
              <w:rPr>
                <w:rFonts w:hAnsi="宋体" w:cs="宋体"/>
                <w:color w:val="auto"/>
                <w:sz w:val="24"/>
                <w:szCs w:val="24"/>
                <w:highlight w:val="none"/>
              </w:rPr>
            </w:pPr>
            <w:r>
              <w:rPr>
                <w:rFonts w:hint="eastAsia" w:hAnsi="宋体" w:cs="宋体"/>
                <w:color w:val="auto"/>
                <w:sz w:val="24"/>
                <w:szCs w:val="24"/>
                <w:highlight w:val="none"/>
              </w:rPr>
              <w:t>信息数据来源</w:t>
            </w:r>
          </w:p>
        </w:tc>
      </w:tr>
      <w:tr w14:paraId="186E4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14:paraId="7F96077D">
            <w:pPr>
              <w:pStyle w:val="13"/>
              <w:spacing w:line="360" w:lineRule="auto"/>
              <w:ind w:firstLine="243" w:firstLineChars="100"/>
              <w:jc w:val="center"/>
              <w:rPr>
                <w:rFonts w:hAnsi="宋体" w:cs="宋体"/>
                <w:color w:val="auto"/>
                <w:sz w:val="24"/>
                <w:szCs w:val="24"/>
                <w:highlight w:val="none"/>
              </w:rPr>
            </w:pPr>
            <w:r>
              <w:rPr>
                <w:rFonts w:hint="eastAsia" w:hAnsi="宋体" w:cs="宋体"/>
                <w:color w:val="auto"/>
                <w:sz w:val="24"/>
                <w:szCs w:val="24"/>
                <w:highlight w:val="none"/>
              </w:rPr>
              <w:t>1</w:t>
            </w:r>
          </w:p>
        </w:tc>
        <w:tc>
          <w:tcPr>
            <w:tcW w:w="3511" w:type="dxa"/>
            <w:tcBorders>
              <w:top w:val="single" w:color="auto" w:sz="4" w:space="0"/>
              <w:left w:val="single" w:color="auto" w:sz="4" w:space="0"/>
              <w:right w:val="single" w:color="auto" w:sz="4" w:space="0"/>
            </w:tcBorders>
            <w:vAlign w:val="center"/>
          </w:tcPr>
          <w:p w14:paraId="0C9B4885">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《政府采购促进中小企业发展管理办法》</w:t>
            </w:r>
          </w:p>
        </w:tc>
        <w:tc>
          <w:tcPr>
            <w:tcW w:w="3132" w:type="dxa"/>
            <w:tcBorders>
              <w:top w:val="single" w:color="auto" w:sz="4" w:space="0"/>
              <w:left w:val="single" w:color="auto" w:sz="4" w:space="0"/>
              <w:right w:val="single" w:color="auto" w:sz="4" w:space="0"/>
            </w:tcBorders>
            <w:vAlign w:val="center"/>
          </w:tcPr>
          <w:p w14:paraId="5E9CFB3A">
            <w:pPr>
              <w:pStyle w:val="13"/>
              <w:spacing w:line="360" w:lineRule="auto"/>
              <w:rPr>
                <w:rFonts w:hAnsi="宋体" w:cs="宋体"/>
                <w:color w:val="auto"/>
                <w:sz w:val="24"/>
                <w:szCs w:val="24"/>
                <w:highlight w:val="none"/>
                <w:u w:val="single"/>
              </w:rPr>
            </w:pPr>
            <w:r>
              <w:rPr>
                <w:rFonts w:hint="eastAsia" w:hAnsi="宋体" w:cs="宋体"/>
                <w:color w:val="auto"/>
                <w:sz w:val="24"/>
                <w:szCs w:val="24"/>
                <w:highlight w:val="none"/>
              </w:rPr>
              <w:t>声明函（格式附后）</w:t>
            </w:r>
          </w:p>
        </w:tc>
        <w:tc>
          <w:tcPr>
            <w:tcW w:w="2294" w:type="dxa"/>
            <w:tcBorders>
              <w:top w:val="single" w:color="auto" w:sz="4" w:space="0"/>
              <w:left w:val="single" w:color="auto" w:sz="4" w:space="0"/>
              <w:right w:val="single" w:color="auto" w:sz="4" w:space="0"/>
            </w:tcBorders>
            <w:vAlign w:val="center"/>
          </w:tcPr>
          <w:p w14:paraId="1379EA2A">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来源于投标文件部分，第页，佐证材料</w:t>
            </w:r>
          </w:p>
        </w:tc>
      </w:tr>
      <w:tr w14:paraId="4CD1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14:paraId="38D75CA3">
            <w:pPr>
              <w:pStyle w:val="13"/>
              <w:spacing w:line="360" w:lineRule="auto"/>
              <w:ind w:firstLine="243" w:firstLineChars="100"/>
              <w:jc w:val="center"/>
              <w:rPr>
                <w:rFonts w:hAnsi="宋体" w:cs="宋体"/>
                <w:color w:val="auto"/>
                <w:sz w:val="24"/>
                <w:szCs w:val="24"/>
                <w:highlight w:val="none"/>
              </w:rPr>
            </w:pPr>
            <w:r>
              <w:rPr>
                <w:rFonts w:hint="eastAsia" w:hAnsi="宋体" w:cs="宋体"/>
                <w:color w:val="auto"/>
                <w:sz w:val="24"/>
                <w:szCs w:val="24"/>
                <w:highlight w:val="none"/>
              </w:rPr>
              <w:t>2</w:t>
            </w:r>
          </w:p>
        </w:tc>
        <w:tc>
          <w:tcPr>
            <w:tcW w:w="3511" w:type="dxa"/>
            <w:tcBorders>
              <w:top w:val="single" w:color="auto" w:sz="4" w:space="0"/>
              <w:left w:val="single" w:color="auto" w:sz="4" w:space="0"/>
              <w:right w:val="single" w:color="auto" w:sz="4" w:space="0"/>
            </w:tcBorders>
            <w:vAlign w:val="center"/>
          </w:tcPr>
          <w:p w14:paraId="6645CBE2">
            <w:pPr>
              <w:pStyle w:val="13"/>
              <w:spacing w:line="360" w:lineRule="auto"/>
              <w:rPr>
                <w:rFonts w:hAnsi="宋体" w:cs="宋体"/>
                <w:color w:val="auto"/>
                <w:sz w:val="24"/>
                <w:szCs w:val="24"/>
                <w:highlight w:val="none"/>
              </w:rPr>
            </w:pPr>
            <w:r>
              <w:rPr>
                <w:rFonts w:hint="eastAsia" w:hAnsi="宋体" w:cs="宋体"/>
                <w:color w:val="auto"/>
                <w:sz w:val="24"/>
                <w:szCs w:val="24"/>
                <w:highlight w:val="none"/>
              </w:rPr>
              <w:t>《促进残疾人就业政府采购政策的通知》</w:t>
            </w:r>
          </w:p>
        </w:tc>
        <w:tc>
          <w:tcPr>
            <w:tcW w:w="3132" w:type="dxa"/>
            <w:tcBorders>
              <w:top w:val="single" w:color="auto" w:sz="4" w:space="0"/>
              <w:left w:val="single" w:color="auto" w:sz="4" w:space="0"/>
              <w:right w:val="single" w:color="auto" w:sz="4" w:space="0"/>
            </w:tcBorders>
            <w:vAlign w:val="center"/>
          </w:tcPr>
          <w:p w14:paraId="44E90B74">
            <w:pPr>
              <w:pStyle w:val="13"/>
              <w:spacing w:line="360" w:lineRule="auto"/>
              <w:rPr>
                <w:rFonts w:hAnsi="宋体" w:cs="宋体"/>
                <w:color w:val="auto"/>
                <w:sz w:val="24"/>
                <w:szCs w:val="24"/>
                <w:highlight w:val="none"/>
                <w:u w:val="single"/>
              </w:rPr>
            </w:pPr>
            <w:r>
              <w:rPr>
                <w:rFonts w:hint="eastAsia" w:hAnsi="宋体" w:cs="宋体"/>
                <w:color w:val="auto"/>
                <w:sz w:val="24"/>
                <w:szCs w:val="24"/>
                <w:highlight w:val="none"/>
              </w:rPr>
              <w:t>声明函（格式附后）</w:t>
            </w:r>
          </w:p>
        </w:tc>
        <w:tc>
          <w:tcPr>
            <w:tcW w:w="2294" w:type="dxa"/>
            <w:tcBorders>
              <w:top w:val="single" w:color="auto" w:sz="4" w:space="0"/>
              <w:left w:val="single" w:color="auto" w:sz="4" w:space="0"/>
              <w:right w:val="single" w:color="auto" w:sz="4" w:space="0"/>
            </w:tcBorders>
            <w:vAlign w:val="center"/>
          </w:tcPr>
          <w:p w14:paraId="61EA0BCD">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来源于投标文件部分，第页，佐证材料</w:t>
            </w:r>
          </w:p>
        </w:tc>
      </w:tr>
      <w:tr w14:paraId="3EC73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14:paraId="66DB07DD">
            <w:pPr>
              <w:pStyle w:val="13"/>
              <w:spacing w:line="360" w:lineRule="auto"/>
              <w:ind w:firstLine="243" w:firstLineChars="100"/>
              <w:jc w:val="center"/>
              <w:rPr>
                <w:rFonts w:hAnsi="宋体" w:cs="宋体"/>
                <w:color w:val="auto"/>
                <w:sz w:val="24"/>
                <w:szCs w:val="24"/>
                <w:highlight w:val="none"/>
              </w:rPr>
            </w:pPr>
            <w:r>
              <w:rPr>
                <w:rFonts w:hint="eastAsia" w:hAnsi="宋体" w:cs="宋体"/>
                <w:color w:val="auto"/>
                <w:sz w:val="24"/>
                <w:szCs w:val="24"/>
                <w:highlight w:val="none"/>
              </w:rPr>
              <w:t>3</w:t>
            </w:r>
          </w:p>
        </w:tc>
        <w:tc>
          <w:tcPr>
            <w:tcW w:w="3511" w:type="dxa"/>
            <w:tcBorders>
              <w:top w:val="single" w:color="auto" w:sz="4" w:space="0"/>
              <w:left w:val="single" w:color="auto" w:sz="4" w:space="0"/>
              <w:right w:val="single" w:color="auto" w:sz="4" w:space="0"/>
            </w:tcBorders>
            <w:vAlign w:val="center"/>
          </w:tcPr>
          <w:p w14:paraId="4E8A3587">
            <w:pPr>
              <w:pStyle w:val="13"/>
              <w:spacing w:line="360" w:lineRule="auto"/>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关于政府采购支持监狱企业发展有关问题的通知</w:t>
            </w:r>
            <w:r>
              <w:rPr>
                <w:rFonts w:hint="eastAsia" w:hAnsi="宋体" w:cs="宋体"/>
                <w:color w:val="auto"/>
                <w:sz w:val="24"/>
                <w:szCs w:val="24"/>
                <w:highlight w:val="none"/>
              </w:rPr>
              <w:t>》</w:t>
            </w:r>
          </w:p>
        </w:tc>
        <w:tc>
          <w:tcPr>
            <w:tcW w:w="3132" w:type="dxa"/>
            <w:tcBorders>
              <w:top w:val="single" w:color="auto" w:sz="4" w:space="0"/>
              <w:left w:val="single" w:color="auto" w:sz="4" w:space="0"/>
              <w:right w:val="single" w:color="auto" w:sz="4" w:space="0"/>
            </w:tcBorders>
            <w:vAlign w:val="center"/>
          </w:tcPr>
          <w:p w14:paraId="5A2B67F6">
            <w:pPr>
              <w:pStyle w:val="13"/>
              <w:spacing w:line="360" w:lineRule="auto"/>
              <w:rPr>
                <w:rFonts w:hAnsi="宋体" w:cs="宋体"/>
                <w:color w:val="auto"/>
                <w:sz w:val="24"/>
                <w:szCs w:val="24"/>
                <w:highlight w:val="none"/>
              </w:rPr>
            </w:pPr>
            <w:r>
              <w:rPr>
                <w:rFonts w:hint="eastAsia" w:hAnsi="宋体" w:cs="宋体"/>
                <w:color w:val="auto"/>
                <w:sz w:val="24"/>
                <w:szCs w:val="24"/>
                <w:highlight w:val="none"/>
              </w:rPr>
              <w:t>声明函（格式附后）</w:t>
            </w:r>
          </w:p>
        </w:tc>
        <w:tc>
          <w:tcPr>
            <w:tcW w:w="2294" w:type="dxa"/>
            <w:tcBorders>
              <w:top w:val="single" w:color="auto" w:sz="4" w:space="0"/>
              <w:left w:val="single" w:color="auto" w:sz="4" w:space="0"/>
              <w:right w:val="single" w:color="auto" w:sz="4" w:space="0"/>
            </w:tcBorders>
            <w:vAlign w:val="center"/>
          </w:tcPr>
          <w:p w14:paraId="19AFEEC1">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来源于投标文件部分，第页，佐证材料</w:t>
            </w:r>
          </w:p>
        </w:tc>
      </w:tr>
      <w:tr w14:paraId="777EC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75" w:type="dxa"/>
            <w:tcBorders>
              <w:top w:val="single" w:color="auto" w:sz="4" w:space="0"/>
              <w:left w:val="single" w:color="auto" w:sz="4" w:space="0"/>
              <w:bottom w:val="single" w:color="auto" w:sz="4" w:space="0"/>
              <w:right w:val="single" w:color="auto" w:sz="4" w:space="0"/>
            </w:tcBorders>
            <w:vAlign w:val="center"/>
          </w:tcPr>
          <w:p w14:paraId="62BA9816">
            <w:pPr>
              <w:pStyle w:val="13"/>
              <w:spacing w:line="360" w:lineRule="auto"/>
              <w:ind w:firstLine="121" w:firstLineChars="50"/>
              <w:jc w:val="center"/>
              <w:rPr>
                <w:rFonts w:hAnsi="宋体" w:cs="宋体"/>
                <w:color w:val="auto"/>
                <w:sz w:val="24"/>
                <w:szCs w:val="24"/>
                <w:highlight w:val="none"/>
              </w:rPr>
            </w:pPr>
            <w:r>
              <w:rPr>
                <w:rFonts w:hint="eastAsia" w:hAnsi="宋体" w:cs="宋体"/>
                <w:color w:val="auto"/>
                <w:sz w:val="24"/>
                <w:szCs w:val="24"/>
                <w:highlight w:val="none"/>
              </w:rPr>
              <w:t>4</w:t>
            </w:r>
          </w:p>
        </w:tc>
        <w:tc>
          <w:tcPr>
            <w:tcW w:w="3511" w:type="dxa"/>
            <w:tcBorders>
              <w:top w:val="single" w:color="auto" w:sz="4" w:space="0"/>
              <w:left w:val="single" w:color="auto" w:sz="4" w:space="0"/>
              <w:bottom w:val="single" w:color="auto" w:sz="4" w:space="0"/>
              <w:right w:val="single" w:color="auto" w:sz="4" w:space="0"/>
            </w:tcBorders>
            <w:vAlign w:val="center"/>
          </w:tcPr>
          <w:p w14:paraId="70DBD56D">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招标文件已规定享受的其他优惠政策……（如《政府采购实施条例》第六条：扶持不发达地区和少数民族地区等政策）【可根据招标文件规定和要求自行添加】</w:t>
            </w:r>
          </w:p>
        </w:tc>
        <w:tc>
          <w:tcPr>
            <w:tcW w:w="3132" w:type="dxa"/>
            <w:tcBorders>
              <w:top w:val="single" w:color="auto" w:sz="4" w:space="0"/>
              <w:left w:val="single" w:color="auto" w:sz="4" w:space="0"/>
              <w:bottom w:val="single" w:color="auto" w:sz="4" w:space="0"/>
              <w:right w:val="single" w:color="auto" w:sz="4" w:space="0"/>
            </w:tcBorders>
            <w:vAlign w:val="center"/>
          </w:tcPr>
          <w:p w14:paraId="4A6AF4E0">
            <w:pPr>
              <w:pStyle w:val="13"/>
              <w:spacing w:line="360" w:lineRule="auto"/>
              <w:rPr>
                <w:rFonts w:hAnsi="宋体" w:cs="宋体"/>
                <w:color w:val="auto"/>
                <w:sz w:val="24"/>
                <w:szCs w:val="24"/>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18ABD8F7">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来源于投标文件部分，第页，佐证材料</w:t>
            </w:r>
          </w:p>
        </w:tc>
      </w:tr>
      <w:tr w14:paraId="52251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75" w:type="dxa"/>
            <w:tcBorders>
              <w:top w:val="single" w:color="auto" w:sz="4" w:space="0"/>
              <w:left w:val="single" w:color="auto" w:sz="4" w:space="0"/>
              <w:bottom w:val="single" w:color="auto" w:sz="4" w:space="0"/>
              <w:right w:val="single" w:color="auto" w:sz="4" w:space="0"/>
            </w:tcBorders>
            <w:vAlign w:val="center"/>
          </w:tcPr>
          <w:p w14:paraId="6BC372C7">
            <w:pPr>
              <w:pStyle w:val="13"/>
              <w:spacing w:line="360" w:lineRule="auto"/>
              <w:ind w:firstLine="121" w:firstLineChars="50"/>
              <w:jc w:val="center"/>
              <w:rPr>
                <w:rFonts w:hAnsi="宋体" w:cs="宋体"/>
                <w:color w:val="auto"/>
                <w:sz w:val="24"/>
                <w:szCs w:val="24"/>
                <w:highlight w:val="none"/>
              </w:rPr>
            </w:pPr>
            <w:r>
              <w:rPr>
                <w:rFonts w:hint="eastAsia" w:hAnsi="宋体" w:cs="宋体"/>
                <w:color w:val="auto"/>
                <w:sz w:val="24"/>
                <w:szCs w:val="24"/>
                <w:highlight w:val="none"/>
              </w:rPr>
              <w:t>5</w:t>
            </w:r>
          </w:p>
        </w:tc>
        <w:tc>
          <w:tcPr>
            <w:tcW w:w="3511" w:type="dxa"/>
            <w:tcBorders>
              <w:top w:val="single" w:color="auto" w:sz="4" w:space="0"/>
              <w:left w:val="single" w:color="auto" w:sz="4" w:space="0"/>
              <w:bottom w:val="single" w:color="auto" w:sz="4" w:space="0"/>
              <w:right w:val="single" w:color="auto" w:sz="4" w:space="0"/>
            </w:tcBorders>
            <w:vAlign w:val="center"/>
          </w:tcPr>
          <w:p w14:paraId="1FC0ADF0">
            <w:pPr>
              <w:pStyle w:val="13"/>
              <w:spacing w:line="360" w:lineRule="auto"/>
              <w:rPr>
                <w:rFonts w:hAnsi="宋体" w:cs="宋体"/>
                <w:color w:val="auto"/>
                <w:sz w:val="24"/>
                <w:szCs w:val="24"/>
                <w:highlight w:val="none"/>
              </w:rPr>
            </w:pPr>
            <w:r>
              <w:rPr>
                <w:rFonts w:hAnsi="宋体" w:cs="宋体"/>
                <w:color w:val="auto"/>
                <w:sz w:val="24"/>
                <w:szCs w:val="24"/>
                <w:highlight w:val="none"/>
              </w:rPr>
              <w:t>……</w:t>
            </w:r>
          </w:p>
        </w:tc>
        <w:tc>
          <w:tcPr>
            <w:tcW w:w="3132" w:type="dxa"/>
            <w:tcBorders>
              <w:top w:val="single" w:color="auto" w:sz="4" w:space="0"/>
              <w:left w:val="single" w:color="auto" w:sz="4" w:space="0"/>
              <w:bottom w:val="single" w:color="auto" w:sz="4" w:space="0"/>
              <w:right w:val="single" w:color="auto" w:sz="4" w:space="0"/>
            </w:tcBorders>
            <w:vAlign w:val="center"/>
          </w:tcPr>
          <w:p w14:paraId="5350728E">
            <w:pPr>
              <w:pStyle w:val="13"/>
              <w:spacing w:line="360" w:lineRule="auto"/>
              <w:rPr>
                <w:rFonts w:hAnsi="宋体" w:cs="宋体"/>
                <w:color w:val="auto"/>
                <w:sz w:val="24"/>
                <w:szCs w:val="24"/>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0AC8F181">
            <w:pPr>
              <w:pStyle w:val="13"/>
              <w:spacing w:line="360" w:lineRule="auto"/>
              <w:rPr>
                <w:rFonts w:hAnsi="宋体" w:cs="宋体"/>
                <w:color w:val="auto"/>
                <w:sz w:val="24"/>
                <w:szCs w:val="24"/>
                <w:highlight w:val="none"/>
              </w:rPr>
            </w:pPr>
          </w:p>
        </w:tc>
      </w:tr>
    </w:tbl>
    <w:p w14:paraId="3C13C100">
      <w:pPr>
        <w:spacing w:line="360" w:lineRule="auto"/>
        <w:jc w:val="left"/>
        <w:rPr>
          <w:rFonts w:ascii="宋体" w:hAnsi="宋体" w:cs="宋体"/>
          <w:color w:val="auto"/>
          <w:sz w:val="24"/>
          <w:highlight w:val="none"/>
        </w:rPr>
      </w:pPr>
      <w:r>
        <w:rPr>
          <w:rFonts w:hint="eastAsia" w:ascii="宋体" w:hAnsi="宋体" w:cs="宋体"/>
          <w:color w:val="auto"/>
          <w:sz w:val="24"/>
          <w:highlight w:val="none"/>
        </w:rPr>
        <w:t>备注：</w:t>
      </w:r>
    </w:p>
    <w:p w14:paraId="155203A9">
      <w:pPr>
        <w:spacing w:line="360" w:lineRule="auto"/>
        <w:ind w:right="315"/>
        <w:jc w:val="right"/>
        <w:rPr>
          <w:rFonts w:ascii="宋体" w:hAnsi="宋体" w:cs="宋体"/>
          <w:color w:val="auto"/>
          <w:sz w:val="24"/>
          <w:highlight w:val="none"/>
        </w:rPr>
      </w:pPr>
    </w:p>
    <w:p w14:paraId="17AB4EDD">
      <w:pPr>
        <w:spacing w:line="360" w:lineRule="auto"/>
        <w:ind w:right="315"/>
        <w:jc w:val="right"/>
        <w:rPr>
          <w:rFonts w:ascii="宋体" w:hAnsi="宋体" w:cs="宋体"/>
          <w:color w:val="auto"/>
          <w:sz w:val="24"/>
          <w:highlight w:val="none"/>
        </w:rPr>
      </w:pPr>
      <w:r>
        <w:rPr>
          <w:rFonts w:hint="eastAsia" w:ascii="宋体" w:hAnsi="宋体" w:cs="宋体"/>
          <w:color w:val="auto"/>
          <w:sz w:val="24"/>
          <w:highlight w:val="none"/>
        </w:rPr>
        <w:t>投标供应商：（盖章）</w:t>
      </w:r>
    </w:p>
    <w:p w14:paraId="0E457A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E521658">
      <w:pPr>
        <w:spacing w:line="360" w:lineRule="auto"/>
        <w:rPr>
          <w:rFonts w:ascii="宋体" w:hAnsi="宋体" w:cs="宋体"/>
          <w:color w:val="auto"/>
          <w:sz w:val="24"/>
          <w:highlight w:val="none"/>
        </w:rPr>
      </w:pPr>
    </w:p>
    <w:p w14:paraId="127A6343">
      <w:pPr>
        <w:spacing w:line="360" w:lineRule="auto"/>
        <w:rPr>
          <w:rFonts w:ascii="宋体" w:hAnsi="宋体" w:cs="宋体"/>
          <w:color w:val="auto"/>
          <w:highlight w:val="none"/>
        </w:rPr>
      </w:pPr>
    </w:p>
    <w:p w14:paraId="0332285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1.中小企业声明函</w:t>
      </w:r>
      <w:r>
        <w:rPr>
          <w:rFonts w:hint="eastAsia" w:ascii="宋体" w:hAnsi="宋体" w:cs="宋体"/>
          <w:color w:val="auto"/>
          <w:sz w:val="24"/>
          <w:highlight w:val="none"/>
        </w:rPr>
        <w:t>（格式如下）</w:t>
      </w:r>
    </w:p>
    <w:p w14:paraId="427BF9F3">
      <w:pPr>
        <w:widowControl/>
        <w:tabs>
          <w:tab w:val="left" w:pos="8177"/>
        </w:tabs>
        <w:spacing w:line="360" w:lineRule="auto"/>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ab/>
      </w:r>
    </w:p>
    <w:p w14:paraId="6386A66B">
      <w:pPr>
        <w:widowControl/>
        <w:spacing w:line="360" w:lineRule="auto"/>
        <w:jc w:val="center"/>
        <w:rPr>
          <w:color w:val="auto"/>
          <w:highlight w:val="none"/>
        </w:rPr>
      </w:pPr>
      <w:r>
        <w:rPr>
          <w:rFonts w:hint="eastAsia" w:ascii="宋体" w:hAnsi="宋体" w:cs="宋体"/>
          <w:b/>
          <w:color w:val="auto"/>
          <w:kern w:val="0"/>
          <w:sz w:val="36"/>
          <w:szCs w:val="36"/>
          <w:highlight w:val="none"/>
          <w:lang w:bidi="ar"/>
        </w:rPr>
        <w:t>中小企业声明函（服务）</w:t>
      </w:r>
    </w:p>
    <w:p w14:paraId="067401BF">
      <w:pPr>
        <w:widowControl/>
        <w:spacing w:line="360" w:lineRule="auto"/>
        <w:ind w:firstLine="486"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color w:val="auto"/>
          <w:kern w:val="0"/>
          <w:sz w:val="24"/>
          <w:highlight w:val="none"/>
          <w:u w:val="single"/>
        </w:rPr>
        <w:t>（单位名称）</w:t>
      </w:r>
      <w:r>
        <w:rPr>
          <w:rFonts w:hint="eastAsia" w:asciiTheme="minorEastAsia" w:hAnsiTheme="minorEastAsia" w:eastAsiaTheme="minorEastAsia" w:cstheme="minorEastAsia"/>
          <w:color w:val="auto"/>
          <w:kern w:val="0"/>
          <w:sz w:val="24"/>
          <w:highlight w:val="none"/>
        </w:rPr>
        <w:t>的</w:t>
      </w:r>
      <w:r>
        <w:rPr>
          <w:rFonts w:hint="eastAsia" w:asciiTheme="minorEastAsia" w:hAnsiTheme="minorEastAsia" w:eastAsiaTheme="minorEastAsia" w:cstheme="minorEastAsia"/>
          <w:i/>
          <w:color w:val="auto"/>
          <w:kern w:val="0"/>
          <w:sz w:val="24"/>
          <w:highlight w:val="none"/>
          <w:u w:val="single"/>
        </w:rPr>
        <w:t>（项目名称）</w:t>
      </w:r>
      <w:r>
        <w:rPr>
          <w:rFonts w:hint="eastAsia" w:asciiTheme="minorEastAsia" w:hAnsiTheme="minorEastAsia" w:eastAsiaTheme="minorEastAsia" w:cstheme="minorEastAsia"/>
          <w:color w:val="auto"/>
          <w:kern w:val="0"/>
          <w:sz w:val="24"/>
          <w:highlight w:val="none"/>
        </w:rPr>
        <w:t>采购活动，服务全部由符合政策要求的中小企业承接。相关企业（含联合体中的中小企业、签订分包意向协议的中小企业）的具体情况如下：</w:t>
      </w:r>
    </w:p>
    <w:p w14:paraId="2CF75779">
      <w:pPr>
        <w:widowControl/>
        <w:spacing w:line="360" w:lineRule="auto"/>
        <w:ind w:firstLine="486"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i/>
          <w:color w:val="auto"/>
          <w:kern w:val="0"/>
          <w:sz w:val="24"/>
          <w:highlight w:val="none"/>
          <w:u w:val="single"/>
        </w:rPr>
        <w:t>（标的名称）</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i/>
          <w:color w:val="auto"/>
          <w:kern w:val="0"/>
          <w:sz w:val="24"/>
          <w:highlight w:val="none"/>
          <w:u w:val="single"/>
        </w:rPr>
        <w:t>（采购文件中明确的所属行业）</w:t>
      </w:r>
      <w:r>
        <w:rPr>
          <w:rFonts w:hint="eastAsia" w:asciiTheme="minorEastAsia" w:hAnsiTheme="minorEastAsia" w:eastAsiaTheme="minorEastAsia" w:cstheme="minorEastAsia"/>
          <w:color w:val="auto"/>
          <w:kern w:val="0"/>
          <w:sz w:val="24"/>
          <w:highlight w:val="none"/>
        </w:rPr>
        <w:t>；承建（承接）企业为</w:t>
      </w:r>
      <w:r>
        <w:rPr>
          <w:rFonts w:hint="eastAsia" w:asciiTheme="minorEastAsia" w:hAnsiTheme="minorEastAsia" w:eastAsiaTheme="minorEastAsia" w:cstheme="minorEastAsia"/>
          <w:i/>
          <w:color w:val="auto"/>
          <w:kern w:val="0"/>
          <w:sz w:val="24"/>
          <w:highlight w:val="none"/>
          <w:u w:val="single"/>
        </w:rPr>
        <w:t>（企业名称）</w:t>
      </w:r>
      <w:r>
        <w:rPr>
          <w:rFonts w:hint="eastAsia" w:asciiTheme="minorEastAsia" w:hAnsiTheme="minorEastAsia" w:eastAsiaTheme="minorEastAsia" w:cstheme="minorEastAsia"/>
          <w:color w:val="auto"/>
          <w:kern w:val="0"/>
          <w:sz w:val="24"/>
          <w:highlight w:val="none"/>
        </w:rPr>
        <w:t>，从业人员</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人，营业收入为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万元，资产总额为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万元</w:t>
      </w:r>
      <w:r>
        <w:rPr>
          <w:rFonts w:hint="eastAsia" w:ascii="微软雅黑" w:hAnsi="微软雅黑" w:eastAsia="微软雅黑" w:cs="微软雅黑"/>
          <w:color w:val="auto"/>
          <w:kern w:val="0"/>
          <w:sz w:val="24"/>
          <w:highlight w:val="none"/>
        </w:rPr>
        <w:t>¹</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i/>
          <w:color w:val="auto"/>
          <w:kern w:val="0"/>
          <w:sz w:val="24"/>
          <w:highlight w:val="none"/>
          <w:u w:val="single"/>
        </w:rPr>
        <w:t>（中型企业、小型企业、微型企业）</w:t>
      </w:r>
      <w:r>
        <w:rPr>
          <w:rFonts w:hint="eastAsia" w:asciiTheme="minorEastAsia" w:hAnsiTheme="minorEastAsia" w:eastAsiaTheme="minorEastAsia" w:cstheme="minorEastAsia"/>
          <w:color w:val="auto"/>
          <w:kern w:val="0"/>
          <w:sz w:val="24"/>
          <w:highlight w:val="none"/>
        </w:rPr>
        <w:t>；</w:t>
      </w:r>
    </w:p>
    <w:p w14:paraId="03740FFC">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i/>
          <w:color w:val="auto"/>
          <w:kern w:val="0"/>
          <w:sz w:val="24"/>
          <w:highlight w:val="none"/>
          <w:u w:val="single"/>
        </w:rPr>
        <w:t>（标的名称）</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i/>
          <w:color w:val="auto"/>
          <w:kern w:val="0"/>
          <w:sz w:val="24"/>
          <w:highlight w:val="none"/>
          <w:u w:val="single"/>
        </w:rPr>
        <w:t>（采购文件中明确的所属行业）</w:t>
      </w:r>
      <w:r>
        <w:rPr>
          <w:rFonts w:hint="eastAsia" w:asciiTheme="minorEastAsia" w:hAnsiTheme="minorEastAsia" w:eastAsiaTheme="minorEastAsia" w:cstheme="minorEastAsia"/>
          <w:color w:val="auto"/>
          <w:kern w:val="0"/>
          <w:sz w:val="24"/>
          <w:highlight w:val="none"/>
        </w:rPr>
        <w:t>；承建（承接）企业为</w:t>
      </w:r>
      <w:r>
        <w:rPr>
          <w:rFonts w:hint="eastAsia" w:asciiTheme="minorEastAsia" w:hAnsiTheme="minorEastAsia" w:eastAsiaTheme="minorEastAsia" w:cstheme="minorEastAsia"/>
          <w:i/>
          <w:color w:val="auto"/>
          <w:kern w:val="0"/>
          <w:sz w:val="24"/>
          <w:highlight w:val="none"/>
          <w:u w:val="single"/>
        </w:rPr>
        <w:t>（企业名称）</w:t>
      </w:r>
      <w:r>
        <w:rPr>
          <w:rFonts w:hint="eastAsia" w:asciiTheme="minorEastAsia" w:hAnsiTheme="minorEastAsia" w:eastAsiaTheme="minorEastAsia" w:cstheme="minorEastAsia"/>
          <w:color w:val="auto"/>
          <w:kern w:val="0"/>
          <w:sz w:val="24"/>
          <w:highlight w:val="none"/>
        </w:rPr>
        <w:t>，从业人员</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人，营业收入为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万元，资产总额为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万元，属于</w:t>
      </w:r>
      <w:r>
        <w:rPr>
          <w:rFonts w:hint="eastAsia" w:asciiTheme="minorEastAsia" w:hAnsiTheme="minorEastAsia" w:eastAsiaTheme="minorEastAsia" w:cstheme="minorEastAsia"/>
          <w:i/>
          <w:color w:val="auto"/>
          <w:kern w:val="0"/>
          <w:sz w:val="24"/>
          <w:highlight w:val="none"/>
          <w:u w:val="single"/>
        </w:rPr>
        <w:t>（中型企业、小型企业、微型企业）</w:t>
      </w:r>
      <w:r>
        <w:rPr>
          <w:rFonts w:hint="eastAsia" w:asciiTheme="minorEastAsia" w:hAnsiTheme="minorEastAsia" w:eastAsiaTheme="minorEastAsia" w:cstheme="minorEastAsia"/>
          <w:color w:val="auto"/>
          <w:kern w:val="0"/>
          <w:sz w:val="24"/>
          <w:highlight w:val="none"/>
        </w:rPr>
        <w:t>；</w:t>
      </w:r>
    </w:p>
    <w:p w14:paraId="4876DE0B">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w:t>
      </w:r>
    </w:p>
    <w:p w14:paraId="0E6F678C">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以上企业，不属于大企业的分支机构，不存在控股股东为大企业的情形，也不存在与大企业的负责人为同一人的情形。</w:t>
      </w:r>
    </w:p>
    <w:p w14:paraId="079F624D">
      <w:pPr>
        <w:widowControl/>
        <w:spacing w:line="360" w:lineRule="auto"/>
        <w:ind w:firstLine="486"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本企业对上述声明内容的真实性负责。如有虚假，将依法承担相应责任。</w:t>
      </w:r>
    </w:p>
    <w:p w14:paraId="6228F6C0">
      <w:pPr>
        <w:widowControl/>
        <w:spacing w:line="360" w:lineRule="auto"/>
        <w:jc w:val="right"/>
        <w:rPr>
          <w:rFonts w:asciiTheme="minorEastAsia" w:hAnsiTheme="minorEastAsia" w:eastAsiaTheme="minorEastAsia" w:cstheme="minorEastAsia"/>
          <w:color w:val="auto"/>
          <w:kern w:val="0"/>
          <w:sz w:val="24"/>
          <w:highlight w:val="none"/>
          <w:lang w:bidi="ar"/>
        </w:rPr>
      </w:pPr>
    </w:p>
    <w:p w14:paraId="5FEA5A69">
      <w:pPr>
        <w:widowControl/>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 xml:space="preserve">                             企业名称（盖章）：</w:t>
      </w:r>
    </w:p>
    <w:p w14:paraId="01074744">
      <w:pPr>
        <w:widowControl/>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 xml:space="preserve">                 日期：</w:t>
      </w:r>
    </w:p>
    <w:p w14:paraId="3B4E42ED">
      <w:pPr>
        <w:widowControl/>
        <w:spacing w:line="360" w:lineRule="auto"/>
        <w:jc w:val="left"/>
        <w:rPr>
          <w:rFonts w:ascii="宋体" w:hAnsi="宋体" w:cs="宋体"/>
          <w:color w:val="auto"/>
          <w:sz w:val="24"/>
          <w:highlight w:val="none"/>
        </w:rPr>
      </w:pPr>
    </w:p>
    <w:p w14:paraId="1B894520">
      <w:pPr>
        <w:widowControl/>
        <w:spacing w:line="360" w:lineRule="auto"/>
        <w:rPr>
          <w:rFonts w:ascii="宋体" w:hAnsi="宋体" w:cs="宋体"/>
          <w:color w:val="auto"/>
          <w:sz w:val="24"/>
          <w:highlight w:val="none"/>
        </w:rPr>
      </w:pPr>
    </w:p>
    <w:p w14:paraId="3B927BBF">
      <w:pPr>
        <w:spacing w:line="360" w:lineRule="auto"/>
        <w:rPr>
          <w:rFonts w:ascii="宋体" w:hAnsi="宋体" w:cs="宋体"/>
          <w:color w:val="auto"/>
          <w:sz w:val="24"/>
          <w:highlight w:val="none"/>
        </w:rPr>
      </w:pPr>
    </w:p>
    <w:p w14:paraId="7F9AD476">
      <w:pPr>
        <w:spacing w:line="360" w:lineRule="auto"/>
        <w:rPr>
          <w:rFonts w:ascii="宋体" w:hAnsi="宋体" w:cs="宋体"/>
          <w:color w:val="auto"/>
          <w:sz w:val="24"/>
          <w:highlight w:val="none"/>
        </w:rPr>
      </w:pPr>
    </w:p>
    <w:p w14:paraId="7977409D">
      <w:pPr>
        <w:spacing w:line="360" w:lineRule="auto"/>
        <w:rPr>
          <w:rFonts w:ascii="微软雅黑" w:hAnsi="微软雅黑" w:eastAsia="微软雅黑" w:cs="微软雅黑"/>
          <w:color w:val="auto"/>
          <w:kern w:val="0"/>
          <w:sz w:val="18"/>
          <w:szCs w:val="18"/>
          <w:highlight w:val="none"/>
          <w:u w:val="single"/>
        </w:rPr>
      </w:pPr>
    </w:p>
    <w:p w14:paraId="0A4E2D67">
      <w:pPr>
        <w:spacing w:line="360" w:lineRule="auto"/>
        <w:rPr>
          <w:rFonts w:ascii="宋体" w:hAnsi="宋体" w:cs="宋体"/>
          <w:color w:val="auto"/>
          <w:sz w:val="24"/>
          <w:highlight w:val="none"/>
        </w:rPr>
      </w:pPr>
      <w:r>
        <w:rPr>
          <w:rFonts w:hint="eastAsia" w:ascii="微软雅黑" w:hAnsi="微软雅黑" w:eastAsia="微软雅黑" w:cs="微软雅黑"/>
          <w:color w:val="auto"/>
          <w:kern w:val="0"/>
          <w:sz w:val="18"/>
          <w:szCs w:val="18"/>
          <w:highlight w:val="none"/>
        </w:rPr>
        <w:t>¹</w:t>
      </w:r>
      <w:r>
        <w:rPr>
          <w:rFonts w:hint="eastAsia" w:ascii="宋体" w:hAnsi="宋体" w:cs="宋体"/>
          <w:color w:val="auto"/>
          <w:kern w:val="0"/>
          <w:sz w:val="18"/>
          <w:szCs w:val="18"/>
          <w:highlight w:val="none"/>
        </w:rPr>
        <w:t>从业人员、营业收入、资产总额填报上一年度数据，无上一年度数据的新成立企业可不填报。</w:t>
      </w:r>
    </w:p>
    <w:p w14:paraId="5A704B83">
      <w:pPr>
        <w:spacing w:line="360" w:lineRule="auto"/>
        <w:ind w:firstLine="480"/>
        <w:rPr>
          <w:rFonts w:ascii="宋体" w:hAnsi="宋体" w:cs="宋体"/>
          <w:color w:val="auto"/>
          <w:sz w:val="24"/>
          <w:highlight w:val="none"/>
        </w:rPr>
      </w:pPr>
    </w:p>
    <w:p w14:paraId="6736C134">
      <w:pPr>
        <w:pStyle w:val="2"/>
        <w:spacing w:line="360" w:lineRule="auto"/>
        <w:ind w:left="429" w:firstLine="429"/>
        <w:rPr>
          <w:color w:val="auto"/>
          <w:highlight w:val="none"/>
        </w:rPr>
      </w:pPr>
    </w:p>
    <w:p w14:paraId="1DE1E6B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2.残疾人福利性单位声明函（格式如下）</w:t>
      </w:r>
    </w:p>
    <w:p w14:paraId="7DD9BF38">
      <w:pPr>
        <w:spacing w:line="360" w:lineRule="auto"/>
        <w:ind w:firstLine="723"/>
        <w:jc w:val="center"/>
        <w:rPr>
          <w:rFonts w:ascii="宋体" w:hAnsi="宋体" w:cs="宋体"/>
          <w:b/>
          <w:color w:val="auto"/>
          <w:kern w:val="0"/>
          <w:sz w:val="36"/>
          <w:szCs w:val="36"/>
          <w:highlight w:val="none"/>
        </w:rPr>
      </w:pPr>
    </w:p>
    <w:p w14:paraId="65F3759B">
      <w:pPr>
        <w:spacing w:line="360" w:lineRule="auto"/>
        <w:ind w:firstLine="723"/>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残疾人福利性单位声明函</w:t>
      </w:r>
    </w:p>
    <w:p w14:paraId="30DC6560">
      <w:pPr>
        <w:spacing w:line="360" w:lineRule="auto"/>
        <w:ind w:firstLine="723"/>
        <w:jc w:val="center"/>
        <w:rPr>
          <w:rFonts w:ascii="宋体" w:hAnsi="宋体" w:cs="宋体"/>
          <w:b/>
          <w:color w:val="auto"/>
          <w:kern w:val="0"/>
          <w:sz w:val="36"/>
          <w:szCs w:val="36"/>
          <w:highlight w:val="none"/>
        </w:rPr>
      </w:pPr>
    </w:p>
    <w:p w14:paraId="2B89C056">
      <w:pPr>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本单位郑重声明，根据《财政部民政部中国残疾人联合会关于促进残疾人就业政府采购政策的通知》（财库〔</w:t>
      </w:r>
      <w:r>
        <w:rPr>
          <w:rFonts w:ascii="宋体" w:hAnsi="宋体" w:cs="宋体"/>
          <w:color w:val="auto"/>
          <w:kern w:val="0"/>
          <w:sz w:val="24"/>
          <w:highlight w:val="none"/>
        </w:rPr>
        <w:t>2017</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141</w:t>
      </w:r>
      <w:r>
        <w:rPr>
          <w:rFonts w:hint="eastAsia" w:ascii="宋体" w:hAnsi="宋体" w:cs="宋体"/>
          <w:color w:val="auto"/>
          <w:kern w:val="0"/>
          <w:sz w:val="24"/>
          <w:highlight w:val="none"/>
        </w:rPr>
        <w:t>号）的规定，本单位为符合条件的残疾人福利性单位，且本单位参加</w:t>
      </w:r>
      <w:r>
        <w:rPr>
          <w:rFonts w:ascii="宋体" w:hAnsi="宋体" w:cs="宋体"/>
          <w:color w:val="auto"/>
          <w:kern w:val="0"/>
          <w:sz w:val="24"/>
          <w:highlight w:val="none"/>
        </w:rPr>
        <w:t>______</w:t>
      </w:r>
      <w:r>
        <w:rPr>
          <w:rFonts w:hint="eastAsia" w:ascii="宋体" w:hAnsi="宋体" w:cs="宋体"/>
          <w:color w:val="auto"/>
          <w:kern w:val="0"/>
          <w:sz w:val="24"/>
          <w:highlight w:val="none"/>
        </w:rPr>
        <w:t>单位的</w:t>
      </w:r>
      <w:r>
        <w:rPr>
          <w:rFonts w:ascii="宋体" w:hAnsi="宋体" w:cs="宋体"/>
          <w:color w:val="auto"/>
          <w:kern w:val="0"/>
          <w:sz w:val="24"/>
          <w:highlight w:val="none"/>
        </w:rPr>
        <w:t>______</w:t>
      </w:r>
      <w:r>
        <w:rPr>
          <w:rFonts w:hint="eastAsia" w:ascii="宋体" w:hAnsi="宋体" w:cs="宋体"/>
          <w:color w:val="auto"/>
          <w:kern w:val="0"/>
          <w:sz w:val="24"/>
          <w:highlight w:val="none"/>
        </w:rPr>
        <w:t>项目采购活动由本单位提供服务。</w:t>
      </w:r>
    </w:p>
    <w:p w14:paraId="578BDC9E">
      <w:pPr>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本单位对上述声明的真实性负责。如有虚假，将依法承担相应责任。</w:t>
      </w:r>
    </w:p>
    <w:p w14:paraId="5573F2F1">
      <w:pPr>
        <w:spacing w:line="360" w:lineRule="auto"/>
        <w:ind w:firstLine="480"/>
        <w:rPr>
          <w:rFonts w:ascii="宋体" w:hAnsi="宋体" w:cs="宋体"/>
          <w:color w:val="auto"/>
          <w:kern w:val="0"/>
          <w:sz w:val="24"/>
          <w:highlight w:val="none"/>
        </w:rPr>
      </w:pPr>
    </w:p>
    <w:p w14:paraId="3AF42A8D">
      <w:pPr>
        <w:spacing w:line="360" w:lineRule="auto"/>
        <w:ind w:firstLine="480"/>
        <w:rPr>
          <w:rFonts w:ascii="宋体" w:hAnsi="宋体" w:cs="宋体"/>
          <w:color w:val="auto"/>
          <w:kern w:val="0"/>
          <w:sz w:val="24"/>
          <w:highlight w:val="none"/>
        </w:rPr>
      </w:pPr>
    </w:p>
    <w:p w14:paraId="1B783183">
      <w:pPr>
        <w:tabs>
          <w:tab w:val="left" w:pos="4860"/>
        </w:tabs>
        <w:spacing w:line="360" w:lineRule="auto"/>
        <w:ind w:right="1560" w:firstLine="480"/>
        <w:jc w:val="right"/>
        <w:rPr>
          <w:rFonts w:ascii="宋体" w:hAnsi="宋体" w:cs="宋体"/>
          <w:color w:val="auto"/>
          <w:kern w:val="0"/>
          <w:sz w:val="24"/>
          <w:highlight w:val="none"/>
        </w:rPr>
      </w:pPr>
      <w:r>
        <w:rPr>
          <w:rFonts w:hint="eastAsia" w:ascii="宋体" w:hAnsi="宋体" w:cs="宋体"/>
          <w:color w:val="auto"/>
          <w:kern w:val="0"/>
          <w:sz w:val="24"/>
          <w:highlight w:val="none"/>
        </w:rPr>
        <w:t>单位名称（盖章）：</w:t>
      </w:r>
    </w:p>
    <w:p w14:paraId="7CF0549D">
      <w:pPr>
        <w:tabs>
          <w:tab w:val="left" w:pos="4860"/>
        </w:tabs>
        <w:spacing w:line="360" w:lineRule="auto"/>
        <w:ind w:right="1560" w:firstLine="480"/>
        <w:jc w:val="right"/>
        <w:rPr>
          <w:rFonts w:ascii="宋体" w:hAnsi="宋体" w:cs="宋体"/>
          <w:color w:val="auto"/>
          <w:kern w:val="0"/>
          <w:highlight w:val="none"/>
        </w:rPr>
      </w:pPr>
      <w:r>
        <w:rPr>
          <w:rFonts w:hint="eastAsia" w:ascii="宋体" w:hAnsi="宋体" w:cs="宋体"/>
          <w:color w:val="auto"/>
          <w:kern w:val="0"/>
          <w:sz w:val="24"/>
          <w:highlight w:val="none"/>
        </w:rPr>
        <w:t>日期：</w:t>
      </w:r>
    </w:p>
    <w:p w14:paraId="7FC02797">
      <w:pPr>
        <w:spacing w:line="360" w:lineRule="auto"/>
        <w:ind w:firstLine="482"/>
        <w:jc w:val="right"/>
        <w:rPr>
          <w:rFonts w:ascii="宋体" w:hAnsi="宋体" w:cs="宋体"/>
          <w:b/>
          <w:color w:val="auto"/>
          <w:highlight w:val="none"/>
        </w:rPr>
      </w:pPr>
    </w:p>
    <w:p w14:paraId="704FFC64">
      <w:pPr>
        <w:spacing w:line="360" w:lineRule="auto"/>
        <w:ind w:firstLine="482"/>
        <w:jc w:val="center"/>
        <w:rPr>
          <w:rFonts w:ascii="宋体" w:hAnsi="宋体" w:cs="宋体"/>
          <w:b/>
          <w:color w:val="auto"/>
          <w:highlight w:val="none"/>
        </w:rPr>
      </w:pPr>
    </w:p>
    <w:p w14:paraId="78D53920">
      <w:pPr>
        <w:spacing w:line="360" w:lineRule="auto"/>
        <w:ind w:firstLine="482"/>
        <w:jc w:val="center"/>
        <w:rPr>
          <w:rFonts w:ascii="宋体" w:hAnsi="宋体" w:cs="宋体"/>
          <w:b/>
          <w:color w:val="auto"/>
          <w:highlight w:val="none"/>
        </w:rPr>
      </w:pPr>
    </w:p>
    <w:p w14:paraId="7EE4B3B0">
      <w:pPr>
        <w:spacing w:line="360" w:lineRule="auto"/>
        <w:ind w:firstLine="482"/>
        <w:jc w:val="center"/>
        <w:rPr>
          <w:rFonts w:ascii="宋体" w:hAnsi="宋体" w:cs="宋体"/>
          <w:b/>
          <w:color w:val="auto"/>
          <w:highlight w:val="none"/>
        </w:rPr>
      </w:pPr>
    </w:p>
    <w:p w14:paraId="602E3395">
      <w:pPr>
        <w:pStyle w:val="25"/>
        <w:spacing w:line="360" w:lineRule="auto"/>
        <w:ind w:firstLine="571"/>
        <w:rPr>
          <w:color w:val="auto"/>
          <w:highlight w:val="none"/>
        </w:rPr>
      </w:pPr>
    </w:p>
    <w:p w14:paraId="51B89417">
      <w:pPr>
        <w:pStyle w:val="25"/>
        <w:spacing w:line="360" w:lineRule="auto"/>
        <w:ind w:firstLine="571"/>
        <w:rPr>
          <w:color w:val="auto"/>
          <w:highlight w:val="none"/>
        </w:rPr>
      </w:pPr>
    </w:p>
    <w:p w14:paraId="26B96E8A">
      <w:pPr>
        <w:pStyle w:val="25"/>
        <w:spacing w:line="360" w:lineRule="auto"/>
        <w:ind w:firstLine="571"/>
        <w:rPr>
          <w:color w:val="auto"/>
          <w:highlight w:val="none"/>
        </w:rPr>
      </w:pPr>
    </w:p>
    <w:p w14:paraId="6E7A7EA7">
      <w:pPr>
        <w:pStyle w:val="25"/>
        <w:spacing w:line="360" w:lineRule="auto"/>
        <w:ind w:firstLine="571"/>
        <w:rPr>
          <w:color w:val="auto"/>
          <w:highlight w:val="none"/>
        </w:rPr>
      </w:pPr>
    </w:p>
    <w:p w14:paraId="5D98013E">
      <w:pPr>
        <w:spacing w:line="360" w:lineRule="auto"/>
        <w:rPr>
          <w:rFonts w:ascii="宋体" w:hAnsi="宋体" w:cs="宋体"/>
          <w:b/>
          <w:color w:val="auto"/>
          <w:highlight w:val="none"/>
        </w:rPr>
      </w:pPr>
    </w:p>
    <w:p w14:paraId="4D2BB9DE">
      <w:pPr>
        <w:spacing w:line="360" w:lineRule="auto"/>
        <w:rPr>
          <w:rFonts w:ascii="宋体" w:hAnsi="宋体" w:cs="宋体"/>
          <w:b/>
          <w:color w:val="auto"/>
          <w:highlight w:val="none"/>
        </w:rPr>
      </w:pPr>
    </w:p>
    <w:p w14:paraId="232C5C54">
      <w:pPr>
        <w:spacing w:line="360" w:lineRule="auto"/>
        <w:rPr>
          <w:rFonts w:ascii="宋体" w:hAnsi="宋体" w:cs="宋体"/>
          <w:b/>
          <w:color w:val="auto"/>
          <w:highlight w:val="none"/>
        </w:rPr>
      </w:pPr>
    </w:p>
    <w:p w14:paraId="720EA8D6">
      <w:pPr>
        <w:pStyle w:val="8"/>
        <w:ind w:firstLine="429"/>
        <w:rPr>
          <w:color w:val="auto"/>
          <w:highlight w:val="none"/>
        </w:rPr>
      </w:pPr>
    </w:p>
    <w:p w14:paraId="08199893">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3.监狱企业声明函</w:t>
      </w:r>
      <w:r>
        <w:rPr>
          <w:rFonts w:hint="eastAsia" w:ascii="宋体" w:hAnsi="宋体" w:cs="宋体"/>
          <w:color w:val="auto"/>
          <w:sz w:val="24"/>
          <w:highlight w:val="none"/>
        </w:rPr>
        <w:t>（格式如下）</w:t>
      </w:r>
    </w:p>
    <w:p w14:paraId="6B8C2A1C">
      <w:pPr>
        <w:spacing w:line="360" w:lineRule="auto"/>
        <w:jc w:val="center"/>
        <w:rPr>
          <w:rFonts w:ascii="宋体" w:hAnsi="宋体" w:cs="宋体"/>
          <w:b/>
          <w:color w:val="auto"/>
          <w:kern w:val="0"/>
          <w:sz w:val="36"/>
          <w:szCs w:val="36"/>
          <w:highlight w:val="none"/>
        </w:rPr>
      </w:pPr>
    </w:p>
    <w:p w14:paraId="05F40382">
      <w:pPr>
        <w:spacing w:line="360" w:lineRule="auto"/>
        <w:jc w:val="center"/>
        <w:rPr>
          <w:rFonts w:ascii="宋体" w:hAnsi="宋体" w:cs="宋体"/>
          <w:color w:val="auto"/>
          <w:kern w:val="0"/>
          <w:highlight w:val="none"/>
        </w:rPr>
      </w:pPr>
      <w:r>
        <w:rPr>
          <w:rFonts w:hint="eastAsia" w:ascii="宋体" w:hAnsi="宋体" w:cs="宋体"/>
          <w:b/>
          <w:color w:val="auto"/>
          <w:kern w:val="0"/>
          <w:sz w:val="36"/>
          <w:szCs w:val="36"/>
          <w:highlight w:val="none"/>
        </w:rPr>
        <w:t>监狱性单位声明函</w:t>
      </w:r>
    </w:p>
    <w:p w14:paraId="08DFAA2E">
      <w:pPr>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本单位郑重声明，根据《</w:t>
      </w:r>
      <w:r>
        <w:rPr>
          <w:rFonts w:ascii="宋体" w:hAnsi="宋体" w:cs="宋体"/>
          <w:color w:val="auto"/>
          <w:kern w:val="0"/>
          <w:sz w:val="24"/>
          <w:highlight w:val="none"/>
        </w:rPr>
        <w:t>财政部 司法部关于政府采购支持监狱企业发展有关问题的通知</w:t>
      </w:r>
      <w:r>
        <w:rPr>
          <w:rFonts w:hint="eastAsia" w:ascii="宋体" w:hAnsi="宋体" w:cs="宋体"/>
          <w:color w:val="auto"/>
          <w:kern w:val="0"/>
          <w:sz w:val="24"/>
          <w:highlight w:val="none"/>
        </w:rPr>
        <w:t>》</w:t>
      </w:r>
      <w:r>
        <w:rPr>
          <w:rFonts w:ascii="宋体" w:hAnsi="宋体" w:cs="宋体"/>
          <w:color w:val="auto"/>
          <w:kern w:val="0"/>
          <w:sz w:val="24"/>
          <w:highlight w:val="none"/>
        </w:rPr>
        <w:t>(财库〔2014〕68号)</w:t>
      </w:r>
      <w:r>
        <w:rPr>
          <w:rFonts w:hint="eastAsia" w:ascii="宋体" w:hAnsi="宋体" w:cs="宋体"/>
          <w:color w:val="auto"/>
          <w:kern w:val="0"/>
          <w:sz w:val="24"/>
          <w:highlight w:val="none"/>
        </w:rPr>
        <w:t>的规定，本单位为符合条件的监狱性单位，且本单位参加</w:t>
      </w:r>
      <w:r>
        <w:rPr>
          <w:rFonts w:ascii="宋体" w:hAnsi="宋体" w:cs="宋体"/>
          <w:color w:val="auto"/>
          <w:kern w:val="0"/>
          <w:sz w:val="24"/>
          <w:highlight w:val="none"/>
        </w:rPr>
        <w:t>______</w:t>
      </w:r>
      <w:r>
        <w:rPr>
          <w:rFonts w:hint="eastAsia" w:ascii="宋体" w:hAnsi="宋体" w:cs="宋体"/>
          <w:color w:val="auto"/>
          <w:kern w:val="0"/>
          <w:sz w:val="24"/>
          <w:highlight w:val="none"/>
        </w:rPr>
        <w:t>单位的</w:t>
      </w:r>
      <w:r>
        <w:rPr>
          <w:rFonts w:ascii="宋体" w:hAnsi="宋体" w:cs="宋体"/>
          <w:color w:val="auto"/>
          <w:kern w:val="0"/>
          <w:sz w:val="24"/>
          <w:highlight w:val="none"/>
        </w:rPr>
        <w:t>______</w:t>
      </w:r>
      <w:r>
        <w:rPr>
          <w:rFonts w:hint="eastAsia" w:ascii="宋体" w:hAnsi="宋体" w:cs="宋体"/>
          <w:color w:val="auto"/>
          <w:kern w:val="0"/>
          <w:sz w:val="24"/>
          <w:highlight w:val="none"/>
        </w:rPr>
        <w:t>项目采购活动由提供服务，</w:t>
      </w:r>
      <w:r>
        <w:rPr>
          <w:rFonts w:ascii="宋体" w:hAnsi="宋体" w:cs="宋体"/>
          <w:color w:val="auto"/>
          <w:kern w:val="0"/>
          <w:sz w:val="24"/>
          <w:highlight w:val="none"/>
        </w:rPr>
        <w:t>享受预留份额、评审中价格扣除等政府采购促进中小企业发展的政府采购政策</w:t>
      </w:r>
      <w:r>
        <w:rPr>
          <w:rFonts w:hint="eastAsia" w:ascii="宋体" w:hAnsi="宋体" w:cs="宋体"/>
          <w:color w:val="auto"/>
          <w:kern w:val="0"/>
          <w:sz w:val="24"/>
          <w:highlight w:val="none"/>
        </w:rPr>
        <w:t>。</w:t>
      </w:r>
    </w:p>
    <w:p w14:paraId="1B07A1D0">
      <w:pPr>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本单位对上述声明的真实性负责。如有虚假，将依法承担相应责任。</w:t>
      </w:r>
    </w:p>
    <w:p w14:paraId="202ABA88">
      <w:pPr>
        <w:spacing w:line="360" w:lineRule="auto"/>
        <w:ind w:firstLine="480"/>
        <w:rPr>
          <w:rFonts w:ascii="宋体" w:hAnsi="宋体" w:cs="宋体"/>
          <w:color w:val="auto"/>
          <w:kern w:val="0"/>
          <w:sz w:val="24"/>
          <w:highlight w:val="none"/>
        </w:rPr>
      </w:pPr>
    </w:p>
    <w:p w14:paraId="1001CA60">
      <w:pPr>
        <w:tabs>
          <w:tab w:val="left" w:pos="4860"/>
        </w:tabs>
        <w:spacing w:line="360" w:lineRule="auto"/>
        <w:ind w:right="1560" w:firstLine="480"/>
        <w:jc w:val="right"/>
        <w:rPr>
          <w:rFonts w:ascii="宋体" w:hAnsi="宋体" w:cs="宋体"/>
          <w:color w:val="auto"/>
          <w:kern w:val="0"/>
          <w:sz w:val="24"/>
          <w:highlight w:val="none"/>
        </w:rPr>
      </w:pPr>
      <w:r>
        <w:rPr>
          <w:rFonts w:hint="eastAsia" w:ascii="宋体" w:hAnsi="宋体" w:cs="宋体"/>
          <w:color w:val="auto"/>
          <w:kern w:val="0"/>
          <w:sz w:val="24"/>
          <w:highlight w:val="none"/>
        </w:rPr>
        <w:t>单位名称（盖章）：</w:t>
      </w:r>
    </w:p>
    <w:p w14:paraId="0935063D">
      <w:pPr>
        <w:spacing w:line="360" w:lineRule="auto"/>
        <w:ind w:right="480" w:firstLine="480"/>
        <w:jc w:val="right"/>
        <w:rPr>
          <w:rFonts w:ascii="宋体" w:hAnsi="宋体" w:cs="宋体"/>
          <w:b/>
          <w:color w:val="auto"/>
          <w:sz w:val="24"/>
          <w:highlight w:val="none"/>
        </w:rPr>
      </w:pPr>
      <w:r>
        <w:rPr>
          <w:rFonts w:hint="eastAsia" w:ascii="宋体" w:hAnsi="宋体" w:cs="宋体"/>
          <w:color w:val="auto"/>
          <w:kern w:val="0"/>
          <w:sz w:val="24"/>
          <w:highlight w:val="none"/>
        </w:rPr>
        <w:t>日期：</w:t>
      </w:r>
    </w:p>
    <w:p w14:paraId="299AF72C">
      <w:pPr>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附件：</w:t>
      </w:r>
      <w:r>
        <w:rPr>
          <w:rFonts w:ascii="宋体" w:hAnsi="宋体" w:cs="宋体"/>
          <w:color w:val="auto"/>
          <w:kern w:val="0"/>
          <w:sz w:val="24"/>
          <w:highlight w:val="none"/>
        </w:rPr>
        <w:t>狱企业参加政府采购活动时，应当提供由省级以上监狱管理局、戒毒管理局（含新疆生产建设兵团）出具的属于监狱企业的证明文件</w:t>
      </w:r>
    </w:p>
    <w:p w14:paraId="215896F6">
      <w:pPr>
        <w:spacing w:line="360" w:lineRule="auto"/>
        <w:ind w:firstLine="480"/>
        <w:rPr>
          <w:rFonts w:ascii="宋体" w:hAnsi="宋体" w:cs="宋体"/>
          <w:color w:val="auto"/>
          <w:highlight w:val="none"/>
        </w:rPr>
      </w:pPr>
    </w:p>
    <w:p w14:paraId="2CD3E8AB">
      <w:pPr>
        <w:pStyle w:val="10"/>
        <w:spacing w:line="360" w:lineRule="auto"/>
        <w:ind w:firstLine="486" w:firstLineChars="200"/>
        <w:jc w:val="left"/>
        <w:rPr>
          <w:rFonts w:ascii="宋体" w:hAnsi="宋体"/>
          <w:color w:val="auto"/>
          <w:sz w:val="24"/>
          <w:highlight w:val="none"/>
        </w:rPr>
      </w:pPr>
    </w:p>
    <w:p w14:paraId="65F04893">
      <w:pPr>
        <w:pStyle w:val="10"/>
        <w:spacing w:line="360" w:lineRule="auto"/>
        <w:ind w:firstLine="486" w:firstLineChars="200"/>
        <w:jc w:val="left"/>
        <w:rPr>
          <w:rFonts w:ascii="宋体" w:hAnsi="宋体"/>
          <w:color w:val="auto"/>
          <w:sz w:val="24"/>
          <w:highlight w:val="none"/>
        </w:rPr>
      </w:pPr>
    </w:p>
    <w:p w14:paraId="0C0F9D1B">
      <w:pPr>
        <w:pStyle w:val="10"/>
        <w:spacing w:line="360" w:lineRule="auto"/>
        <w:ind w:firstLine="486" w:firstLineChars="200"/>
        <w:jc w:val="left"/>
        <w:rPr>
          <w:rFonts w:ascii="宋体" w:hAnsi="宋体"/>
          <w:color w:val="auto"/>
          <w:sz w:val="24"/>
          <w:highlight w:val="none"/>
        </w:rPr>
      </w:pPr>
    </w:p>
    <w:p w14:paraId="1655E332">
      <w:pPr>
        <w:pStyle w:val="10"/>
        <w:spacing w:line="360" w:lineRule="auto"/>
        <w:jc w:val="left"/>
        <w:rPr>
          <w:rFonts w:ascii="宋体" w:hAnsi="宋体"/>
          <w:color w:val="auto"/>
          <w:sz w:val="24"/>
          <w:highlight w:val="none"/>
        </w:rPr>
      </w:pPr>
    </w:p>
    <w:p w14:paraId="239CA3AA">
      <w:pPr>
        <w:pStyle w:val="10"/>
        <w:spacing w:line="360" w:lineRule="auto"/>
        <w:jc w:val="left"/>
        <w:rPr>
          <w:rFonts w:ascii="宋体" w:hAnsi="宋体"/>
          <w:color w:val="auto"/>
          <w:sz w:val="24"/>
          <w:highlight w:val="none"/>
        </w:rPr>
      </w:pPr>
    </w:p>
    <w:p w14:paraId="27496BC6">
      <w:pPr>
        <w:pStyle w:val="10"/>
        <w:spacing w:line="360" w:lineRule="auto"/>
        <w:jc w:val="left"/>
        <w:rPr>
          <w:rFonts w:ascii="宋体" w:hAnsi="宋体"/>
          <w:color w:val="auto"/>
          <w:sz w:val="24"/>
          <w:highlight w:val="none"/>
        </w:rPr>
      </w:pPr>
    </w:p>
    <w:p w14:paraId="63C049CA">
      <w:pPr>
        <w:pStyle w:val="10"/>
        <w:spacing w:line="360" w:lineRule="auto"/>
        <w:jc w:val="left"/>
        <w:rPr>
          <w:rFonts w:ascii="宋体" w:hAnsi="宋体"/>
          <w:color w:val="auto"/>
          <w:sz w:val="24"/>
          <w:highlight w:val="none"/>
        </w:rPr>
      </w:pPr>
    </w:p>
    <w:p w14:paraId="25E830AC">
      <w:pPr>
        <w:pStyle w:val="10"/>
        <w:spacing w:line="360" w:lineRule="auto"/>
        <w:jc w:val="left"/>
        <w:rPr>
          <w:rFonts w:ascii="宋体" w:hAnsi="宋体"/>
          <w:color w:val="auto"/>
          <w:sz w:val="24"/>
          <w:highlight w:val="none"/>
        </w:rPr>
      </w:pPr>
    </w:p>
    <w:p w14:paraId="4F6A8CFE">
      <w:pPr>
        <w:pStyle w:val="10"/>
        <w:spacing w:line="360" w:lineRule="auto"/>
        <w:jc w:val="left"/>
        <w:rPr>
          <w:rFonts w:ascii="宋体" w:hAnsi="宋体"/>
          <w:color w:val="auto"/>
          <w:sz w:val="24"/>
          <w:highlight w:val="none"/>
        </w:rPr>
      </w:pPr>
    </w:p>
    <w:p w14:paraId="71438932">
      <w:pPr>
        <w:pStyle w:val="10"/>
        <w:spacing w:line="360" w:lineRule="auto"/>
        <w:jc w:val="left"/>
        <w:rPr>
          <w:rFonts w:ascii="宋体" w:hAnsi="宋体"/>
          <w:color w:val="auto"/>
          <w:sz w:val="24"/>
          <w:highlight w:val="none"/>
        </w:rPr>
      </w:pPr>
    </w:p>
    <w:p w14:paraId="7DD5214A">
      <w:pPr>
        <w:pStyle w:val="10"/>
        <w:spacing w:line="360" w:lineRule="auto"/>
        <w:jc w:val="left"/>
        <w:rPr>
          <w:rFonts w:ascii="宋体" w:hAnsi="宋体"/>
          <w:color w:val="auto"/>
          <w:sz w:val="24"/>
          <w:highlight w:val="none"/>
        </w:rPr>
      </w:pPr>
    </w:p>
    <w:p w14:paraId="4F55F895">
      <w:pPr>
        <w:pStyle w:val="10"/>
        <w:spacing w:line="360" w:lineRule="auto"/>
        <w:jc w:val="left"/>
        <w:rPr>
          <w:rFonts w:ascii="宋体" w:hAnsi="宋体"/>
          <w:color w:val="auto"/>
          <w:sz w:val="24"/>
          <w:highlight w:val="none"/>
        </w:rPr>
      </w:pPr>
    </w:p>
    <w:p w14:paraId="2AEDF668">
      <w:pPr>
        <w:spacing w:before="317" w:beforeLines="100" w:after="317" w:afterLines="100"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4.节能环保产品声明或情况说明及证明材料（格式如下）</w:t>
      </w:r>
    </w:p>
    <w:p w14:paraId="29C852B6">
      <w:pPr>
        <w:autoSpaceDE w:val="0"/>
        <w:autoSpaceDN w:val="0"/>
        <w:adjustRightInd w:val="0"/>
        <w:spacing w:before="317" w:beforeLines="100" w:after="317" w:afterLines="100"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4.1.如招标项目标的产品不涉及到节能环保产品则，《节能环保产品声明函》改为《节能环保产品的情况说明》格式自拟，要求加盖投标供应商公章。</w:t>
      </w:r>
    </w:p>
    <w:p w14:paraId="5B34AADC">
      <w:pPr>
        <w:spacing w:line="360" w:lineRule="auto"/>
        <w:ind w:left="79" w:hanging="79"/>
        <w:rPr>
          <w:rFonts w:ascii="宋体" w:hAnsi="宋体"/>
          <w:color w:val="auto"/>
          <w:sz w:val="24"/>
          <w:highlight w:val="none"/>
          <w:lang w:val="zh-CN"/>
        </w:rPr>
      </w:pPr>
      <w:r>
        <w:rPr>
          <w:rFonts w:hint="eastAsia" w:asciiTheme="minorEastAsia" w:hAnsiTheme="minorEastAsia" w:eastAsiaTheme="minorEastAsia" w:cstheme="minorEastAsia"/>
          <w:color w:val="auto"/>
          <w:kern w:val="0"/>
          <w:sz w:val="24"/>
          <w:highlight w:val="none"/>
        </w:rPr>
        <w:t>要求及注意事项：投标产品属于节能环保产品目录的提供财政部官网截屏作为证明文件并加盖供应商公章，</w:t>
      </w:r>
      <w:r>
        <w:rPr>
          <w:rFonts w:hint="eastAsia" w:asciiTheme="minorEastAsia" w:hAnsiTheme="minorEastAsia" w:eastAsiaTheme="minorEastAsia" w:cstheme="minorEastAsia"/>
          <w:color w:val="auto"/>
          <w:sz w:val="24"/>
          <w:highlight w:val="none"/>
        </w:rPr>
        <w:t>复印或扫描件必需清晰，</w:t>
      </w:r>
      <w:r>
        <w:rPr>
          <w:rFonts w:hint="eastAsia" w:ascii="宋体" w:hAnsi="宋体"/>
          <w:color w:val="auto"/>
          <w:sz w:val="24"/>
          <w:highlight w:val="none"/>
          <w:lang w:val="zh-CN"/>
        </w:rPr>
        <w:t>投标人应保证复印件或扫描件清晰可辨识相关内容，且真实有效。</w:t>
      </w:r>
    </w:p>
    <w:p w14:paraId="11173757">
      <w:pPr>
        <w:autoSpaceDE w:val="0"/>
        <w:autoSpaceDN w:val="0"/>
        <w:adjustRightInd w:val="0"/>
        <w:spacing w:before="317" w:beforeLines="100" w:after="317" w:afterLines="100" w:line="360" w:lineRule="auto"/>
        <w:jc w:val="left"/>
        <w:rPr>
          <w:rFonts w:asciiTheme="minorEastAsia" w:hAnsiTheme="minorEastAsia" w:eastAsiaTheme="minorEastAsia" w:cstheme="minorEastAsia"/>
          <w:color w:val="auto"/>
          <w:kern w:val="0"/>
          <w:sz w:val="24"/>
          <w:highlight w:val="none"/>
        </w:rPr>
      </w:pPr>
    </w:p>
    <w:p w14:paraId="1FB63C51">
      <w:pPr>
        <w:pStyle w:val="3"/>
        <w:spacing w:before="317" w:beforeLines="100" w:after="317" w:afterLines="100" w:line="360" w:lineRule="auto"/>
        <w:ind w:left="429"/>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rPr>
        <w:t>节能环保产品声明函</w:t>
      </w:r>
    </w:p>
    <w:p w14:paraId="33DAA191">
      <w:pPr>
        <w:autoSpaceDE w:val="0"/>
        <w:autoSpaceDN w:val="0"/>
        <w:adjustRightInd w:val="0"/>
        <w:spacing w:before="317" w:beforeLines="100" w:after="317" w:afterLines="100"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w:t>
      </w:r>
    </w:p>
    <w:p w14:paraId="11F76A83">
      <w:pPr>
        <w:autoSpaceDE w:val="0"/>
        <w:autoSpaceDN w:val="0"/>
        <w:adjustRightInd w:val="0"/>
        <w:spacing w:before="317" w:beforeLines="100" w:after="317" w:afterLines="100" w:line="360" w:lineRule="auto"/>
        <w:ind w:firstLine="486"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本公司郑重声明，本次投标中本公司所投产品为财政部、国家发展改革委关第</w:t>
      </w:r>
      <w:r>
        <w:rPr>
          <w:rFonts w:hint="eastAsia" w:asciiTheme="minorEastAsia" w:hAnsiTheme="minorEastAsia" w:eastAsiaTheme="minorEastAsia" w:cstheme="minorEastAsia"/>
          <w:color w:val="auto"/>
          <w:kern w:val="0"/>
          <w:sz w:val="24"/>
          <w:highlight w:val="none"/>
          <w:u w:val="single"/>
        </w:rPr>
        <w:t>XXX（必需是最新一期）</w:t>
      </w:r>
      <w:r>
        <w:rPr>
          <w:rFonts w:hint="eastAsia" w:asciiTheme="minorEastAsia" w:hAnsiTheme="minorEastAsia" w:eastAsiaTheme="minorEastAsia" w:cstheme="minorEastAsia"/>
          <w:color w:val="auto"/>
          <w:kern w:val="0"/>
          <w:sz w:val="24"/>
          <w:highlight w:val="none"/>
        </w:rPr>
        <w:t>期节能产品政府采购清单产品，制造商为</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品牌为</w:t>
      </w:r>
      <w:r>
        <w:rPr>
          <w:rFonts w:hint="eastAsia" w:asciiTheme="minorEastAsia" w:hAnsiTheme="minorEastAsia" w:eastAsiaTheme="minorEastAsia" w:cstheme="minorEastAsia"/>
          <w:color w:val="auto"/>
          <w:sz w:val="24"/>
          <w:highlight w:val="none"/>
        </w:rPr>
        <w:t>，产品型号为：，，节字标志认证证书号为 ，节能产品认证证书有效期截止日期为</w:t>
      </w:r>
      <w:r>
        <w:rPr>
          <w:rFonts w:hint="eastAsia" w:asciiTheme="minorEastAsia" w:hAnsiTheme="minorEastAsia" w:eastAsiaTheme="minorEastAsia" w:cstheme="minorEastAsia"/>
          <w:color w:val="auto"/>
          <w:kern w:val="0"/>
          <w:sz w:val="24"/>
          <w:highlight w:val="none"/>
        </w:rPr>
        <w:t>。</w:t>
      </w:r>
    </w:p>
    <w:p w14:paraId="79960817">
      <w:pPr>
        <w:autoSpaceDE w:val="0"/>
        <w:autoSpaceDN w:val="0"/>
        <w:adjustRightInd w:val="0"/>
        <w:spacing w:before="317" w:beforeLines="100" w:after="317" w:afterLines="100" w:line="360" w:lineRule="auto"/>
        <w:ind w:firstLine="486"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本公司对上述声明的真实性负责。如有虚假，将依法承担相应责任。</w:t>
      </w:r>
    </w:p>
    <w:p w14:paraId="14070F7D">
      <w:pPr>
        <w:autoSpaceDE w:val="0"/>
        <w:autoSpaceDN w:val="0"/>
        <w:adjustRightInd w:val="0"/>
        <w:spacing w:before="317" w:beforeLines="100" w:after="317" w:afterLines="100" w:line="360" w:lineRule="auto"/>
        <w:ind w:firstLine="486" w:firstLineChars="200"/>
        <w:jc w:val="left"/>
        <w:rPr>
          <w:rFonts w:asciiTheme="minorEastAsia" w:hAnsiTheme="minorEastAsia" w:eastAsiaTheme="minorEastAsia" w:cstheme="minorEastAsia"/>
          <w:color w:val="auto"/>
          <w:kern w:val="0"/>
          <w:sz w:val="24"/>
          <w:highlight w:val="none"/>
        </w:rPr>
      </w:pPr>
    </w:p>
    <w:p w14:paraId="65244E28">
      <w:pPr>
        <w:adjustRightInd w:val="0"/>
        <w:spacing w:before="317" w:beforeLines="100" w:after="317" w:afterLines="100" w:line="360" w:lineRule="auto"/>
        <w:ind w:firstLine="486" w:firstLineChars="20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供应商名称（盖章）：XXXXXXX有限公司</w:t>
      </w:r>
    </w:p>
    <w:p w14:paraId="49B4E0F3">
      <w:pPr>
        <w:adjustRightInd w:val="0"/>
        <w:spacing w:before="317" w:beforeLines="100" w:after="317" w:afterLines="100" w:line="360" w:lineRule="auto"/>
        <w:ind w:firstLine="486" w:firstLineChars="20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法定代表人或授权代表（签字）：                </w:t>
      </w:r>
    </w:p>
    <w:p w14:paraId="03C2DB53">
      <w:pPr>
        <w:spacing w:before="317" w:beforeLines="100" w:after="317" w:afterLines="100" w:line="360" w:lineRule="auto"/>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投标日期：</w:t>
      </w:r>
    </w:p>
    <w:p w14:paraId="7DBDDEF6">
      <w:pPr>
        <w:pStyle w:val="10"/>
        <w:spacing w:line="360" w:lineRule="auto"/>
        <w:ind w:firstLine="486" w:firstLineChars="200"/>
        <w:jc w:val="left"/>
        <w:rPr>
          <w:rFonts w:ascii="宋体" w:hAnsi="宋体"/>
          <w:color w:val="auto"/>
          <w:sz w:val="24"/>
          <w:highlight w:val="none"/>
        </w:rPr>
      </w:pPr>
      <w:r>
        <w:rPr>
          <w:rFonts w:hint="eastAsia" w:asciiTheme="minorEastAsia" w:hAnsiTheme="minorEastAsia" w:eastAsiaTheme="minorEastAsia" w:cstheme="minorEastAsia"/>
          <w:color w:val="auto"/>
          <w:sz w:val="24"/>
          <w:highlight w:val="none"/>
        </w:rPr>
        <w:t>附件：节能环保产品采购清单的财政部网站截屏或其他有效证明文件，加盖投标供应商公章。</w:t>
      </w:r>
    </w:p>
    <w:p w14:paraId="7AC37F66">
      <w:pPr>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十三  其他</w:t>
      </w:r>
    </w:p>
    <w:p w14:paraId="67D05AA7">
      <w:pPr>
        <w:widowControl/>
        <w:jc w:val="left"/>
        <w:rPr>
          <w:color w:val="auto"/>
          <w:highlight w:val="none"/>
        </w:rPr>
      </w:pPr>
      <w:r>
        <w:rPr>
          <w:rFonts w:ascii="等线" w:hAnsi="等线" w:eastAsia="等线" w:cs="等线"/>
          <w:color w:val="auto"/>
          <w:kern w:val="0"/>
          <w:szCs w:val="21"/>
          <w:highlight w:val="none"/>
          <w:lang w:bidi="ar"/>
        </w:rPr>
        <w:t xml:space="preserve">供应商认为需要提供的其他资料，格式自拟 </w:t>
      </w:r>
    </w:p>
    <w:p w14:paraId="317BB886">
      <w:pPr>
        <w:spacing w:line="360" w:lineRule="auto"/>
        <w:jc w:val="left"/>
        <w:rPr>
          <w:rFonts w:ascii="宋体" w:hAnsi="宋体" w:cs="宋体"/>
          <w:color w:val="auto"/>
          <w:sz w:val="24"/>
          <w:highlight w:val="none"/>
        </w:rPr>
      </w:pPr>
    </w:p>
    <w:p w14:paraId="544395FD">
      <w:pPr>
        <w:pStyle w:val="10"/>
        <w:spacing w:line="360" w:lineRule="auto"/>
        <w:ind w:firstLine="486" w:firstLineChars="200"/>
        <w:jc w:val="left"/>
        <w:rPr>
          <w:rFonts w:ascii="宋体" w:hAnsi="宋体"/>
          <w:color w:val="auto"/>
          <w:sz w:val="24"/>
          <w:highlight w:val="none"/>
        </w:rPr>
      </w:pPr>
    </w:p>
    <w:p w14:paraId="13CA60E2">
      <w:pPr>
        <w:pStyle w:val="10"/>
        <w:spacing w:line="360" w:lineRule="auto"/>
        <w:ind w:firstLine="486" w:firstLineChars="200"/>
        <w:jc w:val="left"/>
        <w:rPr>
          <w:rFonts w:ascii="宋体" w:hAnsi="宋体"/>
          <w:color w:val="auto"/>
          <w:sz w:val="24"/>
          <w:highlight w:val="none"/>
        </w:rPr>
      </w:pPr>
    </w:p>
    <w:p w14:paraId="02B22C6A">
      <w:pPr>
        <w:pStyle w:val="10"/>
        <w:spacing w:line="360" w:lineRule="auto"/>
        <w:ind w:firstLine="486" w:firstLineChars="200"/>
        <w:jc w:val="left"/>
        <w:rPr>
          <w:rFonts w:ascii="宋体" w:hAnsi="宋体"/>
          <w:color w:val="auto"/>
          <w:sz w:val="24"/>
          <w:highlight w:val="none"/>
        </w:rPr>
      </w:pPr>
    </w:p>
    <w:p w14:paraId="78E56F81">
      <w:pPr>
        <w:pStyle w:val="10"/>
        <w:spacing w:line="360" w:lineRule="auto"/>
        <w:ind w:firstLine="486" w:firstLineChars="200"/>
        <w:jc w:val="left"/>
        <w:rPr>
          <w:rFonts w:ascii="宋体" w:hAnsi="宋体"/>
          <w:color w:val="auto"/>
          <w:sz w:val="24"/>
          <w:highlight w:val="none"/>
        </w:rPr>
      </w:pPr>
    </w:p>
    <w:p w14:paraId="3F765904">
      <w:pPr>
        <w:pStyle w:val="10"/>
        <w:spacing w:line="360" w:lineRule="auto"/>
        <w:ind w:firstLine="486" w:firstLineChars="200"/>
        <w:jc w:val="left"/>
        <w:rPr>
          <w:rFonts w:ascii="宋体" w:hAnsi="宋体"/>
          <w:color w:val="auto"/>
          <w:sz w:val="24"/>
          <w:highlight w:val="none"/>
        </w:rPr>
      </w:pPr>
    </w:p>
    <w:p w14:paraId="2EA76B76">
      <w:pPr>
        <w:pStyle w:val="10"/>
        <w:spacing w:line="360" w:lineRule="auto"/>
        <w:ind w:firstLine="486" w:firstLineChars="200"/>
        <w:jc w:val="left"/>
        <w:rPr>
          <w:rFonts w:ascii="宋体" w:hAnsi="宋体"/>
          <w:color w:val="auto"/>
          <w:sz w:val="24"/>
          <w:highlight w:val="none"/>
        </w:rPr>
      </w:pPr>
    </w:p>
    <w:p w14:paraId="1B6D2D9D">
      <w:pPr>
        <w:pStyle w:val="10"/>
        <w:spacing w:line="360" w:lineRule="auto"/>
        <w:ind w:firstLine="486" w:firstLineChars="200"/>
        <w:jc w:val="left"/>
        <w:rPr>
          <w:rFonts w:ascii="宋体" w:hAnsi="宋体"/>
          <w:color w:val="auto"/>
          <w:sz w:val="24"/>
          <w:highlight w:val="none"/>
        </w:rPr>
      </w:pPr>
    </w:p>
    <w:p w14:paraId="1D0CAC07">
      <w:pPr>
        <w:pStyle w:val="10"/>
        <w:spacing w:line="360" w:lineRule="auto"/>
        <w:ind w:firstLine="486" w:firstLineChars="200"/>
        <w:jc w:val="left"/>
        <w:rPr>
          <w:rFonts w:ascii="宋体" w:hAnsi="宋体"/>
          <w:color w:val="auto"/>
          <w:sz w:val="24"/>
          <w:highlight w:val="none"/>
        </w:rPr>
      </w:pPr>
    </w:p>
    <w:p w14:paraId="3C4A7F93">
      <w:pPr>
        <w:pStyle w:val="10"/>
        <w:spacing w:line="360" w:lineRule="auto"/>
        <w:ind w:firstLine="486" w:firstLineChars="200"/>
        <w:jc w:val="left"/>
        <w:rPr>
          <w:rFonts w:ascii="宋体" w:hAnsi="宋体"/>
          <w:color w:val="auto"/>
          <w:sz w:val="24"/>
          <w:highlight w:val="none"/>
        </w:rPr>
      </w:pPr>
    </w:p>
    <w:p w14:paraId="6C88381D">
      <w:pPr>
        <w:pStyle w:val="10"/>
        <w:spacing w:line="360" w:lineRule="auto"/>
        <w:ind w:firstLine="486" w:firstLineChars="200"/>
        <w:jc w:val="left"/>
        <w:rPr>
          <w:rFonts w:ascii="宋体" w:hAnsi="宋体"/>
          <w:color w:val="auto"/>
          <w:sz w:val="24"/>
          <w:highlight w:val="none"/>
        </w:rPr>
      </w:pPr>
    </w:p>
    <w:p w14:paraId="4A203633">
      <w:pPr>
        <w:pStyle w:val="10"/>
        <w:spacing w:line="360" w:lineRule="auto"/>
        <w:ind w:firstLine="486" w:firstLineChars="200"/>
        <w:jc w:val="left"/>
        <w:rPr>
          <w:rFonts w:ascii="宋体" w:hAnsi="宋体"/>
          <w:color w:val="auto"/>
          <w:sz w:val="24"/>
          <w:highlight w:val="none"/>
        </w:rPr>
      </w:pPr>
    </w:p>
    <w:p w14:paraId="00BC1A40">
      <w:pPr>
        <w:pStyle w:val="10"/>
        <w:spacing w:line="360" w:lineRule="auto"/>
        <w:ind w:firstLine="486" w:firstLineChars="200"/>
        <w:jc w:val="left"/>
        <w:rPr>
          <w:rFonts w:ascii="宋体" w:hAnsi="宋体"/>
          <w:color w:val="auto"/>
          <w:sz w:val="24"/>
          <w:highlight w:val="none"/>
        </w:rPr>
      </w:pPr>
    </w:p>
    <w:p w14:paraId="76AE76A2">
      <w:pPr>
        <w:pStyle w:val="10"/>
        <w:spacing w:line="360" w:lineRule="auto"/>
        <w:ind w:firstLine="486" w:firstLineChars="200"/>
        <w:jc w:val="left"/>
        <w:rPr>
          <w:rFonts w:ascii="宋体" w:hAnsi="宋体"/>
          <w:color w:val="auto"/>
          <w:sz w:val="24"/>
          <w:highlight w:val="none"/>
        </w:rPr>
      </w:pPr>
    </w:p>
    <w:p w14:paraId="6B1C8A09">
      <w:pPr>
        <w:pStyle w:val="10"/>
        <w:spacing w:line="360" w:lineRule="auto"/>
        <w:ind w:firstLine="486" w:firstLineChars="200"/>
        <w:jc w:val="left"/>
        <w:rPr>
          <w:rFonts w:ascii="宋体" w:hAnsi="宋体"/>
          <w:color w:val="auto"/>
          <w:sz w:val="24"/>
          <w:highlight w:val="none"/>
        </w:rPr>
      </w:pPr>
    </w:p>
    <w:p w14:paraId="43F60FBC">
      <w:pPr>
        <w:pStyle w:val="10"/>
        <w:spacing w:line="360" w:lineRule="auto"/>
        <w:ind w:firstLine="486" w:firstLineChars="200"/>
        <w:jc w:val="left"/>
        <w:rPr>
          <w:rFonts w:ascii="宋体" w:hAnsi="宋体"/>
          <w:color w:val="auto"/>
          <w:sz w:val="24"/>
          <w:highlight w:val="none"/>
        </w:rPr>
      </w:pPr>
    </w:p>
    <w:p w14:paraId="682BCA12">
      <w:pPr>
        <w:pStyle w:val="10"/>
        <w:spacing w:line="360" w:lineRule="auto"/>
        <w:jc w:val="left"/>
        <w:rPr>
          <w:rFonts w:ascii="宋体" w:hAnsi="宋体"/>
          <w:color w:val="auto"/>
          <w:sz w:val="24"/>
          <w:highlight w:val="none"/>
        </w:rPr>
      </w:pPr>
    </w:p>
    <w:p w14:paraId="2F9D276E">
      <w:pPr>
        <w:pStyle w:val="25"/>
        <w:ind w:firstLine="0" w:firstLineChars="0"/>
        <w:rPr>
          <w:color w:val="auto"/>
          <w:highlight w:val="none"/>
        </w:rPr>
      </w:pPr>
    </w:p>
    <w:sectPr>
      <w:footerReference r:id="rId5" w:type="default"/>
      <w:pgSz w:w="11906" w:h="16838"/>
      <w:pgMar w:top="1440" w:right="1276" w:bottom="1440" w:left="1417" w:header="851" w:footer="992" w:gutter="0"/>
      <w:cols w:space="0" w:num="1"/>
      <w:rtlGutter w:val="0"/>
      <w:docGrid w:type="linesAndChars" w:linePitch="31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5725">
    <w:pPr>
      <w:spacing w:line="178" w:lineRule="auto"/>
      <w:ind w:left="4085"/>
      <w:rPr>
        <w:rFonts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C15D">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1654255"/>
                          </w:sdtPr>
                          <w:sdtContent>
                            <w:p w14:paraId="7BCBB61F">
                              <w:pPr>
                                <w:pStyle w:val="15"/>
                                <w:jc w:val="center"/>
                              </w:pPr>
                              <w:r>
                                <w:fldChar w:fldCharType="begin"/>
                              </w:r>
                              <w:r>
                                <w:instrText xml:space="preserve"> PAGE   \* MERGEFORMAT </w:instrText>
                              </w:r>
                              <w:r>
                                <w:fldChar w:fldCharType="separate"/>
                              </w:r>
                              <w:r>
                                <w:rPr>
                                  <w:lang w:val="zh-CN"/>
                                </w:rPr>
                                <w:t>29</w:t>
                              </w:r>
                              <w:r>
                                <w:rPr>
                                  <w:lang w:val="zh-CN"/>
                                </w:rPr>
                                <w:fldChar w:fldCharType="end"/>
                              </w:r>
                            </w:p>
                          </w:sdtContent>
                        </w:sdt>
                        <w:p w14:paraId="2BD0AAF0">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71654255"/>
                    </w:sdtPr>
                    <w:sdtContent>
                      <w:p w14:paraId="7BCBB61F">
                        <w:pPr>
                          <w:pStyle w:val="15"/>
                          <w:jc w:val="center"/>
                        </w:pPr>
                        <w:r>
                          <w:fldChar w:fldCharType="begin"/>
                        </w:r>
                        <w:r>
                          <w:instrText xml:space="preserve"> PAGE   \* MERGEFORMAT </w:instrText>
                        </w:r>
                        <w:r>
                          <w:fldChar w:fldCharType="separate"/>
                        </w:r>
                        <w:r>
                          <w:rPr>
                            <w:lang w:val="zh-CN"/>
                          </w:rPr>
                          <w:t>29</w:t>
                        </w:r>
                        <w:r>
                          <w:rPr>
                            <w:lang w:val="zh-CN"/>
                          </w:rPr>
                          <w:fldChar w:fldCharType="end"/>
                        </w:r>
                      </w:p>
                    </w:sdtContent>
                  </w:sdt>
                  <w:p w14:paraId="2BD0AAF0">
                    <w:pPr>
                      <w:pStyle w:val="8"/>
                    </w:pPr>
                  </w:p>
                </w:txbxContent>
              </v:textbox>
            </v:shape>
          </w:pict>
        </mc:Fallback>
      </mc:AlternateContent>
    </w:r>
  </w:p>
  <w:p w14:paraId="1F24F67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141D">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27001917"/>
                          </w:sdtPr>
                          <w:sdtContent>
                            <w:p w14:paraId="6D78B950">
                              <w:pPr>
                                <w:pStyle w:val="15"/>
                                <w:jc w:val="center"/>
                              </w:pPr>
                              <w:r>
                                <w:fldChar w:fldCharType="begin"/>
                              </w:r>
                              <w:r>
                                <w:instrText xml:space="preserve"> PAGE   \* MERGEFORMAT </w:instrText>
                              </w:r>
                              <w:r>
                                <w:fldChar w:fldCharType="separate"/>
                              </w:r>
                              <w:r>
                                <w:rPr>
                                  <w:lang w:val="zh-CN"/>
                                </w:rPr>
                                <w:t>29</w:t>
                              </w:r>
                              <w:r>
                                <w:rPr>
                                  <w:lang w:val="zh-CN"/>
                                </w:rPr>
                                <w:fldChar w:fldCharType="end"/>
                              </w:r>
                            </w:p>
                          </w:sdtContent>
                        </w:sdt>
                        <w:p w14:paraId="2276B8FD">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id w:val="227001917"/>
                    </w:sdtPr>
                    <w:sdtContent>
                      <w:p w14:paraId="6D78B950">
                        <w:pPr>
                          <w:pStyle w:val="15"/>
                          <w:jc w:val="center"/>
                        </w:pPr>
                        <w:r>
                          <w:fldChar w:fldCharType="begin"/>
                        </w:r>
                        <w:r>
                          <w:instrText xml:space="preserve"> PAGE   \* MERGEFORMAT </w:instrText>
                        </w:r>
                        <w:r>
                          <w:fldChar w:fldCharType="separate"/>
                        </w:r>
                        <w:r>
                          <w:rPr>
                            <w:lang w:val="zh-CN"/>
                          </w:rPr>
                          <w:t>29</w:t>
                        </w:r>
                        <w:r>
                          <w:rPr>
                            <w:lang w:val="zh-CN"/>
                          </w:rPr>
                          <w:fldChar w:fldCharType="end"/>
                        </w:r>
                      </w:p>
                    </w:sdtContent>
                  </w:sdt>
                  <w:p w14:paraId="2276B8FD">
                    <w:pPr>
                      <w:pStyle w:val="8"/>
                    </w:pPr>
                  </w:p>
                </w:txbxContent>
              </v:textbox>
            </v:shape>
          </w:pict>
        </mc:Fallback>
      </mc:AlternateContent>
    </w:r>
  </w:p>
  <w:p w14:paraId="6F1DC494">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1887C"/>
    <w:multiLevelType w:val="singleLevel"/>
    <w:tmpl w:val="8181887C"/>
    <w:lvl w:ilvl="0" w:tentative="0">
      <w:start w:val="1"/>
      <w:numFmt w:val="decimal"/>
      <w:lvlText w:val="%1."/>
      <w:lvlJc w:val="left"/>
      <w:pPr>
        <w:tabs>
          <w:tab w:val="left" w:pos="312"/>
        </w:tabs>
      </w:pPr>
    </w:lvl>
  </w:abstractNum>
  <w:abstractNum w:abstractNumId="1">
    <w:nsid w:val="8FC96807"/>
    <w:multiLevelType w:val="singleLevel"/>
    <w:tmpl w:val="8FC96807"/>
    <w:lvl w:ilvl="0" w:tentative="0">
      <w:start w:val="1"/>
      <w:numFmt w:val="chineseCounting"/>
      <w:suff w:val="nothing"/>
      <w:lvlText w:val="%1、"/>
      <w:lvlJc w:val="left"/>
      <w:pPr>
        <w:ind w:left="155" w:firstLine="0"/>
      </w:pPr>
      <w:rPr>
        <w:rFonts w:hint="eastAsia"/>
      </w:rPr>
    </w:lvl>
  </w:abstractNum>
  <w:abstractNum w:abstractNumId="2">
    <w:nsid w:val="B839FCA5"/>
    <w:multiLevelType w:val="singleLevel"/>
    <w:tmpl w:val="B839FCA5"/>
    <w:lvl w:ilvl="0" w:tentative="0">
      <w:start w:val="1"/>
      <w:numFmt w:val="decimal"/>
      <w:suff w:val="space"/>
      <w:lvlText w:val="%1."/>
      <w:lvlJc w:val="left"/>
    </w:lvl>
  </w:abstractNum>
  <w:abstractNum w:abstractNumId="3">
    <w:nsid w:val="C4A84E32"/>
    <w:multiLevelType w:val="singleLevel"/>
    <w:tmpl w:val="C4A84E32"/>
    <w:lvl w:ilvl="0" w:tentative="0">
      <w:start w:val="5"/>
      <w:numFmt w:val="chineseCounting"/>
      <w:suff w:val="space"/>
      <w:lvlText w:val="第%1章"/>
      <w:lvlJc w:val="left"/>
      <w:rPr>
        <w:rFonts w:hint="eastAsia"/>
      </w:rPr>
    </w:lvl>
  </w:abstractNum>
  <w:abstractNum w:abstractNumId="4">
    <w:nsid w:val="CC2BAB7F"/>
    <w:multiLevelType w:val="singleLevel"/>
    <w:tmpl w:val="CC2BAB7F"/>
    <w:lvl w:ilvl="0" w:tentative="0">
      <w:start w:val="4"/>
      <w:numFmt w:val="chineseCounting"/>
      <w:suff w:val="nothing"/>
      <w:lvlText w:val="%1、"/>
      <w:lvlJc w:val="left"/>
      <w:rPr>
        <w:rFonts w:hint="eastAsia"/>
      </w:rPr>
    </w:lvl>
  </w:abstractNum>
  <w:abstractNum w:abstractNumId="5">
    <w:nsid w:val="D6419A82"/>
    <w:multiLevelType w:val="singleLevel"/>
    <w:tmpl w:val="D6419A82"/>
    <w:lvl w:ilvl="0" w:tentative="0">
      <w:start w:val="1"/>
      <w:numFmt w:val="decimal"/>
      <w:suff w:val="space"/>
      <w:lvlText w:val="%1."/>
      <w:lvlJc w:val="left"/>
    </w:lvl>
  </w:abstractNum>
  <w:abstractNum w:abstractNumId="6">
    <w:nsid w:val="00000001"/>
    <w:multiLevelType w:val="singleLevel"/>
    <w:tmpl w:val="00000001"/>
    <w:lvl w:ilvl="0" w:tentative="0">
      <w:start w:val="1"/>
      <w:numFmt w:val="decimal"/>
      <w:suff w:val="nothing"/>
      <w:lvlText w:val="%1、"/>
      <w:lvlJc w:val="left"/>
    </w:lvl>
  </w:abstractNum>
  <w:abstractNum w:abstractNumId="7">
    <w:nsid w:val="00000002"/>
    <w:multiLevelType w:val="singleLevel"/>
    <w:tmpl w:val="00000002"/>
    <w:lvl w:ilvl="0" w:tentative="0">
      <w:start w:val="1"/>
      <w:numFmt w:val="decimal"/>
      <w:suff w:val="nothing"/>
      <w:lvlText w:val="%1、"/>
      <w:lvlJc w:val="left"/>
    </w:lvl>
  </w:abstractNum>
  <w:abstractNum w:abstractNumId="8">
    <w:nsid w:val="00000003"/>
    <w:multiLevelType w:val="multilevel"/>
    <w:tmpl w:val="00000003"/>
    <w:lvl w:ilvl="0" w:tentative="0">
      <w:start w:val="1"/>
      <w:numFmt w:val="decimal"/>
      <w:isLgl/>
      <w:lvlText w:val="%1"/>
      <w:lvlJc w:val="left"/>
      <w:pPr>
        <w:tabs>
          <w:tab w:val="left" w:pos="0"/>
        </w:tabs>
        <w:ind w:left="0" w:firstLine="0"/>
      </w:pPr>
      <w:rPr>
        <w:rFonts w:hint="eastAsia" w:eastAsia="宋体"/>
        <w:b/>
        <w:i w:val="0"/>
        <w:sz w:val="36"/>
        <w:szCs w:val="36"/>
      </w:rPr>
    </w:lvl>
    <w:lvl w:ilvl="1" w:tentative="0">
      <w:start w:val="1"/>
      <w:numFmt w:val="decimal"/>
      <w:lvlText w:val="%1.%2"/>
      <w:lvlJc w:val="left"/>
      <w:pPr>
        <w:tabs>
          <w:tab w:val="left" w:pos="426"/>
        </w:tabs>
        <w:ind w:left="426" w:firstLine="0"/>
      </w:pPr>
      <w:rPr>
        <w:rFonts w:hint="eastAsia" w:eastAsia="宋体"/>
        <w:b/>
        <w:sz w:val="32"/>
        <w:szCs w:val="32"/>
      </w:rPr>
    </w:lvl>
    <w:lvl w:ilvl="2" w:tentative="0">
      <w:start w:val="1"/>
      <w:numFmt w:val="decimal"/>
      <w:pStyle w:val="6"/>
      <w:lvlText w:val="%1.%2.%3"/>
      <w:lvlJc w:val="left"/>
      <w:pPr>
        <w:tabs>
          <w:tab w:val="left" w:pos="0"/>
        </w:tabs>
        <w:ind w:left="0" w:firstLine="0"/>
      </w:pPr>
      <w:rPr>
        <w:rFonts w:hint="eastAsia" w:eastAsia="宋体"/>
        <w:b/>
        <w:i w:val="0"/>
        <w:sz w:val="30"/>
        <w:szCs w:val="30"/>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5"/>
    <w:multiLevelType w:val="multilevel"/>
    <w:tmpl w:val="0000000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6"/>
    <w:multiLevelType w:val="multilevel"/>
    <w:tmpl w:val="0000000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E"/>
    <w:multiLevelType w:val="multilevel"/>
    <w:tmpl w:val="0000000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0F"/>
    <w:multiLevelType w:val="multilevel"/>
    <w:tmpl w:val="0000000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7"/>
    <w:multiLevelType w:val="singleLevel"/>
    <w:tmpl w:val="00000017"/>
    <w:lvl w:ilvl="0" w:tentative="0">
      <w:start w:val="1"/>
      <w:numFmt w:val="decimal"/>
      <w:suff w:val="space"/>
      <w:lvlText w:val="%1."/>
      <w:lvlJc w:val="left"/>
    </w:lvl>
  </w:abstractNum>
  <w:abstractNum w:abstractNumId="23">
    <w:nsid w:val="1C431EA1"/>
    <w:multiLevelType w:val="singleLevel"/>
    <w:tmpl w:val="1C431EA1"/>
    <w:lvl w:ilvl="0" w:tentative="0">
      <w:start w:val="1"/>
      <w:numFmt w:val="chineseCounting"/>
      <w:suff w:val="nothing"/>
      <w:lvlText w:val="（%1）"/>
      <w:lvlJc w:val="left"/>
      <w:rPr>
        <w:rFonts w:hint="eastAsia"/>
      </w:rPr>
    </w:lvl>
  </w:abstractNum>
  <w:abstractNum w:abstractNumId="24">
    <w:nsid w:val="31F0A99F"/>
    <w:multiLevelType w:val="singleLevel"/>
    <w:tmpl w:val="31F0A99F"/>
    <w:lvl w:ilvl="0" w:tentative="0">
      <w:start w:val="2"/>
      <w:numFmt w:val="chineseCounting"/>
      <w:suff w:val="nothing"/>
      <w:lvlText w:val="%1、"/>
      <w:lvlJc w:val="left"/>
      <w:rPr>
        <w:rFonts w:hint="eastAsia"/>
      </w:rPr>
    </w:lvl>
  </w:abstractNum>
  <w:abstractNum w:abstractNumId="25">
    <w:nsid w:val="4428542C"/>
    <w:multiLevelType w:val="singleLevel"/>
    <w:tmpl w:val="4428542C"/>
    <w:lvl w:ilvl="0" w:tentative="0">
      <w:start w:val="3"/>
      <w:numFmt w:val="decimal"/>
      <w:suff w:val="nothing"/>
      <w:lvlText w:val="（%1）"/>
      <w:lvlJc w:val="left"/>
    </w:lvl>
  </w:abstractNum>
  <w:abstractNum w:abstractNumId="26">
    <w:nsid w:val="6F208CC4"/>
    <w:multiLevelType w:val="singleLevel"/>
    <w:tmpl w:val="6F208CC4"/>
    <w:lvl w:ilvl="0" w:tentative="0">
      <w:start w:val="3"/>
      <w:numFmt w:val="decimal"/>
      <w:suff w:val="space"/>
      <w:lvlText w:val="%1."/>
      <w:lvlJc w:val="left"/>
    </w:lvl>
  </w:abstractNum>
  <w:abstractNum w:abstractNumId="27">
    <w:nsid w:val="76D17989"/>
    <w:multiLevelType w:val="singleLevel"/>
    <w:tmpl w:val="76D17989"/>
    <w:lvl w:ilvl="0" w:tentative="0">
      <w:start w:val="1"/>
      <w:numFmt w:val="chineseCounting"/>
      <w:suff w:val="space"/>
      <w:lvlText w:val="第%1节"/>
      <w:lvlJc w:val="left"/>
      <w:rPr>
        <w:rFonts w:hint="eastAsia"/>
      </w:rPr>
    </w:lvl>
  </w:abstractNum>
  <w:abstractNum w:abstractNumId="28">
    <w:nsid w:val="7F6F7CCD"/>
    <w:multiLevelType w:val="singleLevel"/>
    <w:tmpl w:val="7F6F7CCD"/>
    <w:lvl w:ilvl="0" w:tentative="0">
      <w:start w:val="1"/>
      <w:numFmt w:val="decimal"/>
      <w:suff w:val="space"/>
      <w:lvlText w:val="%1."/>
      <w:lvlJc w:val="left"/>
      <w:pPr>
        <w:ind w:left="65"/>
      </w:pPr>
    </w:lvl>
  </w:abstractNum>
  <w:num w:numId="1">
    <w:abstractNumId w:val="8"/>
  </w:num>
  <w:num w:numId="2">
    <w:abstractNumId w:val="24"/>
  </w:num>
  <w:num w:numId="3">
    <w:abstractNumId w:val="5"/>
  </w:num>
  <w:num w:numId="4">
    <w:abstractNumId w:val="1"/>
  </w:num>
  <w:num w:numId="5">
    <w:abstractNumId w:val="28"/>
  </w:num>
  <w:num w:numId="6">
    <w:abstractNumId w:val="2"/>
  </w:num>
  <w:num w:numId="7">
    <w:abstractNumId w:val="4"/>
  </w:num>
  <w:num w:numId="8">
    <w:abstractNumId w:val="0"/>
  </w:num>
  <w:num w:numId="9">
    <w:abstractNumId w:val="23"/>
  </w:num>
  <w:num w:numId="10">
    <w:abstractNumId w:val="3"/>
  </w:num>
  <w:num w:numId="11">
    <w:abstractNumId w:val="27"/>
  </w:num>
  <w:num w:numId="12">
    <w:abstractNumId w:val="25"/>
  </w:num>
  <w:num w:numId="13">
    <w:abstractNumId w:val="6"/>
  </w:num>
  <w:num w:numId="14">
    <w:abstractNumId w:val="7"/>
  </w:num>
  <w:num w:numId="15">
    <w:abstractNumId w:val="19"/>
  </w:num>
  <w:num w:numId="16">
    <w:abstractNumId w:val="16"/>
  </w:num>
  <w:num w:numId="17">
    <w:abstractNumId w:val="13"/>
  </w:num>
  <w:num w:numId="18">
    <w:abstractNumId w:val="14"/>
  </w:num>
  <w:num w:numId="19">
    <w:abstractNumId w:val="10"/>
  </w:num>
  <w:num w:numId="20">
    <w:abstractNumId w:val="15"/>
  </w:num>
  <w:num w:numId="21">
    <w:abstractNumId w:val="17"/>
  </w:num>
  <w:num w:numId="22">
    <w:abstractNumId w:val="11"/>
  </w:num>
  <w:num w:numId="23">
    <w:abstractNumId w:val="20"/>
  </w:num>
  <w:num w:numId="24">
    <w:abstractNumId w:val="21"/>
  </w:num>
  <w:num w:numId="25">
    <w:abstractNumId w:val="12"/>
  </w:num>
  <w:num w:numId="26">
    <w:abstractNumId w:val="9"/>
  </w:num>
  <w:num w:numId="27">
    <w:abstractNumId w:val="18"/>
  </w:num>
  <w:num w:numId="28">
    <w:abstractNumId w:val="2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jYWIyN2U0NTUwNDRkZjQ1ZThhNzBjZTQ3OTE0NjIifQ=="/>
  </w:docVars>
  <w:rsids>
    <w:rsidRoot w:val="00CE58EF"/>
    <w:rsid w:val="00004D48"/>
    <w:rsid w:val="0001100D"/>
    <w:rsid w:val="00062A8B"/>
    <w:rsid w:val="00064694"/>
    <w:rsid w:val="0006783D"/>
    <w:rsid w:val="00073B63"/>
    <w:rsid w:val="00096133"/>
    <w:rsid w:val="000B172D"/>
    <w:rsid w:val="000C1B0A"/>
    <w:rsid w:val="000C4AE3"/>
    <w:rsid w:val="000F1506"/>
    <w:rsid w:val="0014738F"/>
    <w:rsid w:val="001C20AC"/>
    <w:rsid w:val="001C63F4"/>
    <w:rsid w:val="001D54B7"/>
    <w:rsid w:val="001D7BC8"/>
    <w:rsid w:val="001F479D"/>
    <w:rsid w:val="001F7E7A"/>
    <w:rsid w:val="00237F17"/>
    <w:rsid w:val="002507D7"/>
    <w:rsid w:val="00267747"/>
    <w:rsid w:val="00272069"/>
    <w:rsid w:val="00283F97"/>
    <w:rsid w:val="00295F07"/>
    <w:rsid w:val="002B1825"/>
    <w:rsid w:val="002C3CE2"/>
    <w:rsid w:val="002E738A"/>
    <w:rsid w:val="00300E8B"/>
    <w:rsid w:val="00302345"/>
    <w:rsid w:val="003123CD"/>
    <w:rsid w:val="003226FE"/>
    <w:rsid w:val="0038330E"/>
    <w:rsid w:val="0039177E"/>
    <w:rsid w:val="00405D21"/>
    <w:rsid w:val="00446EFF"/>
    <w:rsid w:val="00495765"/>
    <w:rsid w:val="004B536E"/>
    <w:rsid w:val="004F1C64"/>
    <w:rsid w:val="005670A8"/>
    <w:rsid w:val="005C5A95"/>
    <w:rsid w:val="005E27A9"/>
    <w:rsid w:val="005E29DF"/>
    <w:rsid w:val="005E6512"/>
    <w:rsid w:val="0062600E"/>
    <w:rsid w:val="00627EA3"/>
    <w:rsid w:val="00673F85"/>
    <w:rsid w:val="006766EA"/>
    <w:rsid w:val="006A0A64"/>
    <w:rsid w:val="006C09C2"/>
    <w:rsid w:val="006F4892"/>
    <w:rsid w:val="007768A8"/>
    <w:rsid w:val="007A0E75"/>
    <w:rsid w:val="007E3208"/>
    <w:rsid w:val="007F42B9"/>
    <w:rsid w:val="00825D65"/>
    <w:rsid w:val="0085404D"/>
    <w:rsid w:val="00877B68"/>
    <w:rsid w:val="00885CEF"/>
    <w:rsid w:val="008D2D9F"/>
    <w:rsid w:val="008E2769"/>
    <w:rsid w:val="00904E03"/>
    <w:rsid w:val="00904E98"/>
    <w:rsid w:val="009151A4"/>
    <w:rsid w:val="009346CC"/>
    <w:rsid w:val="00946F18"/>
    <w:rsid w:val="009577E5"/>
    <w:rsid w:val="009822DA"/>
    <w:rsid w:val="009C5414"/>
    <w:rsid w:val="00A50655"/>
    <w:rsid w:val="00A514C8"/>
    <w:rsid w:val="00AC3C3C"/>
    <w:rsid w:val="00AD4300"/>
    <w:rsid w:val="00AE1107"/>
    <w:rsid w:val="00AE5724"/>
    <w:rsid w:val="00AF03D8"/>
    <w:rsid w:val="00B06E28"/>
    <w:rsid w:val="00B246AD"/>
    <w:rsid w:val="00B41135"/>
    <w:rsid w:val="00B65B86"/>
    <w:rsid w:val="00B77159"/>
    <w:rsid w:val="00B96F0C"/>
    <w:rsid w:val="00BB3E3D"/>
    <w:rsid w:val="00BE6A0E"/>
    <w:rsid w:val="00C06072"/>
    <w:rsid w:val="00C14312"/>
    <w:rsid w:val="00C35162"/>
    <w:rsid w:val="00C71796"/>
    <w:rsid w:val="00C975BE"/>
    <w:rsid w:val="00CA36D1"/>
    <w:rsid w:val="00CA381A"/>
    <w:rsid w:val="00CB0163"/>
    <w:rsid w:val="00CE58EF"/>
    <w:rsid w:val="00D20CC4"/>
    <w:rsid w:val="00D41306"/>
    <w:rsid w:val="00D458C8"/>
    <w:rsid w:val="00D6590E"/>
    <w:rsid w:val="00D81569"/>
    <w:rsid w:val="00DB0B19"/>
    <w:rsid w:val="00DD5875"/>
    <w:rsid w:val="00DE43EA"/>
    <w:rsid w:val="00DF7606"/>
    <w:rsid w:val="00E02284"/>
    <w:rsid w:val="00E41488"/>
    <w:rsid w:val="00E664D5"/>
    <w:rsid w:val="00E70935"/>
    <w:rsid w:val="00E86289"/>
    <w:rsid w:val="00E97130"/>
    <w:rsid w:val="00ED44C4"/>
    <w:rsid w:val="00ED4FCE"/>
    <w:rsid w:val="00EE74DC"/>
    <w:rsid w:val="00EF6F87"/>
    <w:rsid w:val="00F122E7"/>
    <w:rsid w:val="00F555D8"/>
    <w:rsid w:val="00F905EC"/>
    <w:rsid w:val="00FF7258"/>
    <w:rsid w:val="01BF53D8"/>
    <w:rsid w:val="01D9415D"/>
    <w:rsid w:val="02864D8D"/>
    <w:rsid w:val="02A14C7A"/>
    <w:rsid w:val="02B9449F"/>
    <w:rsid w:val="02C06881"/>
    <w:rsid w:val="02F70D3E"/>
    <w:rsid w:val="034A3564"/>
    <w:rsid w:val="036B7036"/>
    <w:rsid w:val="03F90AE6"/>
    <w:rsid w:val="040B6A2E"/>
    <w:rsid w:val="046B3792"/>
    <w:rsid w:val="05185362"/>
    <w:rsid w:val="05720396"/>
    <w:rsid w:val="05B42F17"/>
    <w:rsid w:val="06053772"/>
    <w:rsid w:val="06213F95"/>
    <w:rsid w:val="06224324"/>
    <w:rsid w:val="062B1453"/>
    <w:rsid w:val="06C76681"/>
    <w:rsid w:val="07BB31AF"/>
    <w:rsid w:val="07E86EF1"/>
    <w:rsid w:val="081303C8"/>
    <w:rsid w:val="082B5E26"/>
    <w:rsid w:val="086C2F62"/>
    <w:rsid w:val="08971538"/>
    <w:rsid w:val="08B60D54"/>
    <w:rsid w:val="09392071"/>
    <w:rsid w:val="093C1C13"/>
    <w:rsid w:val="0A0C3321"/>
    <w:rsid w:val="0A4E393A"/>
    <w:rsid w:val="0B9B3A70"/>
    <w:rsid w:val="0C236700"/>
    <w:rsid w:val="0CA27F6D"/>
    <w:rsid w:val="0CB103DB"/>
    <w:rsid w:val="0CD77964"/>
    <w:rsid w:val="0CFB767D"/>
    <w:rsid w:val="0D340B5E"/>
    <w:rsid w:val="0D3C216F"/>
    <w:rsid w:val="0D411534"/>
    <w:rsid w:val="0DEB5944"/>
    <w:rsid w:val="0F3F5F47"/>
    <w:rsid w:val="0F6F0AD3"/>
    <w:rsid w:val="0F792B75"/>
    <w:rsid w:val="106B4B1A"/>
    <w:rsid w:val="11D11587"/>
    <w:rsid w:val="128A572B"/>
    <w:rsid w:val="12942106"/>
    <w:rsid w:val="12A54EC3"/>
    <w:rsid w:val="12AF5824"/>
    <w:rsid w:val="132A0CBC"/>
    <w:rsid w:val="137F4B64"/>
    <w:rsid w:val="138A4A88"/>
    <w:rsid w:val="14986CC5"/>
    <w:rsid w:val="14FC21E4"/>
    <w:rsid w:val="157306F8"/>
    <w:rsid w:val="15B36D47"/>
    <w:rsid w:val="15DD3CFA"/>
    <w:rsid w:val="15E80BDE"/>
    <w:rsid w:val="169326D4"/>
    <w:rsid w:val="16C71753"/>
    <w:rsid w:val="17A83C46"/>
    <w:rsid w:val="17C5328D"/>
    <w:rsid w:val="17C57205"/>
    <w:rsid w:val="17ED3774"/>
    <w:rsid w:val="18034A87"/>
    <w:rsid w:val="18607C7F"/>
    <w:rsid w:val="19213224"/>
    <w:rsid w:val="192A2C7D"/>
    <w:rsid w:val="19850175"/>
    <w:rsid w:val="19F474DA"/>
    <w:rsid w:val="1A516B2E"/>
    <w:rsid w:val="1A8B7A46"/>
    <w:rsid w:val="1AF26175"/>
    <w:rsid w:val="1B1A33C4"/>
    <w:rsid w:val="1B1A7868"/>
    <w:rsid w:val="1B724FAE"/>
    <w:rsid w:val="1B7BF897"/>
    <w:rsid w:val="1BBC08B6"/>
    <w:rsid w:val="1BFE54F7"/>
    <w:rsid w:val="1D295F47"/>
    <w:rsid w:val="1E206F43"/>
    <w:rsid w:val="1E2C6CC1"/>
    <w:rsid w:val="1E6F1C79"/>
    <w:rsid w:val="1E885944"/>
    <w:rsid w:val="1EA47B9E"/>
    <w:rsid w:val="1EB73CF4"/>
    <w:rsid w:val="1EFC7A81"/>
    <w:rsid w:val="1F174E38"/>
    <w:rsid w:val="1FD04999"/>
    <w:rsid w:val="201E6DFF"/>
    <w:rsid w:val="20F14BC7"/>
    <w:rsid w:val="21824A35"/>
    <w:rsid w:val="2186076B"/>
    <w:rsid w:val="21CF315A"/>
    <w:rsid w:val="22D86971"/>
    <w:rsid w:val="22FB04BB"/>
    <w:rsid w:val="230535DD"/>
    <w:rsid w:val="2338088B"/>
    <w:rsid w:val="238EB71B"/>
    <w:rsid w:val="24383F19"/>
    <w:rsid w:val="24474E9B"/>
    <w:rsid w:val="248A22F4"/>
    <w:rsid w:val="24961D0D"/>
    <w:rsid w:val="24D216DE"/>
    <w:rsid w:val="250E4F12"/>
    <w:rsid w:val="253B4663"/>
    <w:rsid w:val="2553123C"/>
    <w:rsid w:val="25AE653B"/>
    <w:rsid w:val="26802C75"/>
    <w:rsid w:val="26A821CC"/>
    <w:rsid w:val="26B07208"/>
    <w:rsid w:val="26E56F7C"/>
    <w:rsid w:val="285048C9"/>
    <w:rsid w:val="286E370E"/>
    <w:rsid w:val="293E4722"/>
    <w:rsid w:val="2976210D"/>
    <w:rsid w:val="2A13160C"/>
    <w:rsid w:val="2A571F3F"/>
    <w:rsid w:val="2B7039CD"/>
    <w:rsid w:val="2BBD2DD0"/>
    <w:rsid w:val="2BEA0B91"/>
    <w:rsid w:val="2C912C6C"/>
    <w:rsid w:val="2CE64163"/>
    <w:rsid w:val="2DA3549B"/>
    <w:rsid w:val="2DEA0F4C"/>
    <w:rsid w:val="2E162C98"/>
    <w:rsid w:val="2E6B213A"/>
    <w:rsid w:val="2E802168"/>
    <w:rsid w:val="2EC41B6D"/>
    <w:rsid w:val="2EDA6C9B"/>
    <w:rsid w:val="2F88348F"/>
    <w:rsid w:val="30432446"/>
    <w:rsid w:val="304801F1"/>
    <w:rsid w:val="305807BF"/>
    <w:rsid w:val="309E3D0E"/>
    <w:rsid w:val="31085951"/>
    <w:rsid w:val="318B05FB"/>
    <w:rsid w:val="32026C34"/>
    <w:rsid w:val="32655415"/>
    <w:rsid w:val="32F60D50"/>
    <w:rsid w:val="333107F5"/>
    <w:rsid w:val="33723946"/>
    <w:rsid w:val="34594B05"/>
    <w:rsid w:val="34A00986"/>
    <w:rsid w:val="34BB756E"/>
    <w:rsid w:val="35800FE2"/>
    <w:rsid w:val="35C54669"/>
    <w:rsid w:val="35D2691D"/>
    <w:rsid w:val="35DC0BAA"/>
    <w:rsid w:val="3612487C"/>
    <w:rsid w:val="36366A26"/>
    <w:rsid w:val="36714388"/>
    <w:rsid w:val="3676374D"/>
    <w:rsid w:val="36D52B69"/>
    <w:rsid w:val="36D81DC5"/>
    <w:rsid w:val="36F624EF"/>
    <w:rsid w:val="370E1BD7"/>
    <w:rsid w:val="37217B5C"/>
    <w:rsid w:val="374C3B5A"/>
    <w:rsid w:val="3869757A"/>
    <w:rsid w:val="389F46CB"/>
    <w:rsid w:val="38A55FDC"/>
    <w:rsid w:val="38A94163"/>
    <w:rsid w:val="38AC3BE2"/>
    <w:rsid w:val="38C9516C"/>
    <w:rsid w:val="38FF7AFA"/>
    <w:rsid w:val="399D3ACE"/>
    <w:rsid w:val="39A77C45"/>
    <w:rsid w:val="39AC7709"/>
    <w:rsid w:val="39D36D71"/>
    <w:rsid w:val="3A0526AD"/>
    <w:rsid w:val="3A2A5154"/>
    <w:rsid w:val="3B0959A1"/>
    <w:rsid w:val="3B7D557D"/>
    <w:rsid w:val="3BCD6080"/>
    <w:rsid w:val="3BF53366"/>
    <w:rsid w:val="3C5938F5"/>
    <w:rsid w:val="3D272DBF"/>
    <w:rsid w:val="3D2748D8"/>
    <w:rsid w:val="3D687B67"/>
    <w:rsid w:val="3E350391"/>
    <w:rsid w:val="3EBD3E9A"/>
    <w:rsid w:val="3ECE2E45"/>
    <w:rsid w:val="3EF44D59"/>
    <w:rsid w:val="3EFEB443"/>
    <w:rsid w:val="3F340649"/>
    <w:rsid w:val="3F36616F"/>
    <w:rsid w:val="3FBFA1C7"/>
    <w:rsid w:val="40537DE8"/>
    <w:rsid w:val="41182AC4"/>
    <w:rsid w:val="416A2100"/>
    <w:rsid w:val="41E713D8"/>
    <w:rsid w:val="42243853"/>
    <w:rsid w:val="42360234"/>
    <w:rsid w:val="42502EF2"/>
    <w:rsid w:val="42B65CDA"/>
    <w:rsid w:val="42D068DB"/>
    <w:rsid w:val="42E66EDA"/>
    <w:rsid w:val="430C3BC8"/>
    <w:rsid w:val="434075BC"/>
    <w:rsid w:val="435B61A4"/>
    <w:rsid w:val="43617533"/>
    <w:rsid w:val="438C0A54"/>
    <w:rsid w:val="43947908"/>
    <w:rsid w:val="4397504F"/>
    <w:rsid w:val="4420119C"/>
    <w:rsid w:val="443133A9"/>
    <w:rsid w:val="44613C8E"/>
    <w:rsid w:val="448160DE"/>
    <w:rsid w:val="44FE52F4"/>
    <w:rsid w:val="457F0FBD"/>
    <w:rsid w:val="45C251E2"/>
    <w:rsid w:val="45C5024D"/>
    <w:rsid w:val="45CC3389"/>
    <w:rsid w:val="45DC061A"/>
    <w:rsid w:val="45EB3AC9"/>
    <w:rsid w:val="461C3CD9"/>
    <w:rsid w:val="462600D5"/>
    <w:rsid w:val="466563F2"/>
    <w:rsid w:val="470F3FFB"/>
    <w:rsid w:val="47F941DE"/>
    <w:rsid w:val="48225279"/>
    <w:rsid w:val="48482A6F"/>
    <w:rsid w:val="489164BE"/>
    <w:rsid w:val="48C96795"/>
    <w:rsid w:val="48D938B3"/>
    <w:rsid w:val="490B241B"/>
    <w:rsid w:val="490D36CB"/>
    <w:rsid w:val="497B64D3"/>
    <w:rsid w:val="49B0540B"/>
    <w:rsid w:val="4A0C644A"/>
    <w:rsid w:val="4A3E672A"/>
    <w:rsid w:val="4A946925"/>
    <w:rsid w:val="4AAB319D"/>
    <w:rsid w:val="4B1D5E2E"/>
    <w:rsid w:val="4C602AB7"/>
    <w:rsid w:val="4C793DC8"/>
    <w:rsid w:val="4C877E72"/>
    <w:rsid w:val="4CD2560A"/>
    <w:rsid w:val="4CD45C64"/>
    <w:rsid w:val="4D1B26B0"/>
    <w:rsid w:val="4D6E716E"/>
    <w:rsid w:val="4D9C6330"/>
    <w:rsid w:val="4DB15DA8"/>
    <w:rsid w:val="4DCE1C69"/>
    <w:rsid w:val="4DFE695A"/>
    <w:rsid w:val="4EC54E1A"/>
    <w:rsid w:val="4F6B59C1"/>
    <w:rsid w:val="4F9B2C4A"/>
    <w:rsid w:val="4FA169AF"/>
    <w:rsid w:val="4FF47FB6"/>
    <w:rsid w:val="506D39EA"/>
    <w:rsid w:val="50A017D0"/>
    <w:rsid w:val="50AE3EC8"/>
    <w:rsid w:val="50F626E2"/>
    <w:rsid w:val="51405126"/>
    <w:rsid w:val="51450494"/>
    <w:rsid w:val="51782617"/>
    <w:rsid w:val="523522B6"/>
    <w:rsid w:val="52383B54"/>
    <w:rsid w:val="52AB4326"/>
    <w:rsid w:val="52C32E8E"/>
    <w:rsid w:val="5343751D"/>
    <w:rsid w:val="53C92B62"/>
    <w:rsid w:val="542362A5"/>
    <w:rsid w:val="543F741C"/>
    <w:rsid w:val="544113F6"/>
    <w:rsid w:val="55284354"/>
    <w:rsid w:val="55603AEE"/>
    <w:rsid w:val="55D43B94"/>
    <w:rsid w:val="56684324"/>
    <w:rsid w:val="56744F0C"/>
    <w:rsid w:val="56D24578"/>
    <w:rsid w:val="57006C1C"/>
    <w:rsid w:val="57062473"/>
    <w:rsid w:val="57307D28"/>
    <w:rsid w:val="581F7994"/>
    <w:rsid w:val="58423EC4"/>
    <w:rsid w:val="589F492D"/>
    <w:rsid w:val="58C779E0"/>
    <w:rsid w:val="590A624B"/>
    <w:rsid w:val="594409E2"/>
    <w:rsid w:val="59B60181"/>
    <w:rsid w:val="59C92885"/>
    <w:rsid w:val="59F157B8"/>
    <w:rsid w:val="5A192C7D"/>
    <w:rsid w:val="5A4532B2"/>
    <w:rsid w:val="5A6E2809"/>
    <w:rsid w:val="5B871DD5"/>
    <w:rsid w:val="5BEB729E"/>
    <w:rsid w:val="5BEF0443"/>
    <w:rsid w:val="5BF1724E"/>
    <w:rsid w:val="5C593045"/>
    <w:rsid w:val="5CA00C74"/>
    <w:rsid w:val="5CD5091E"/>
    <w:rsid w:val="5CEF6E5E"/>
    <w:rsid w:val="5D3752E5"/>
    <w:rsid w:val="5D5F28DD"/>
    <w:rsid w:val="5D76398A"/>
    <w:rsid w:val="5DC2275F"/>
    <w:rsid w:val="5DD40BD5"/>
    <w:rsid w:val="5E282167"/>
    <w:rsid w:val="5E761FF9"/>
    <w:rsid w:val="5EAC7224"/>
    <w:rsid w:val="5F924B34"/>
    <w:rsid w:val="5FDC0215"/>
    <w:rsid w:val="5FEC33AA"/>
    <w:rsid w:val="60043B33"/>
    <w:rsid w:val="607943CB"/>
    <w:rsid w:val="61016185"/>
    <w:rsid w:val="612C2AD6"/>
    <w:rsid w:val="615B4317"/>
    <w:rsid w:val="61684019"/>
    <w:rsid w:val="61AB4343"/>
    <w:rsid w:val="61FA57DB"/>
    <w:rsid w:val="6200602F"/>
    <w:rsid w:val="62173C1A"/>
    <w:rsid w:val="628801E0"/>
    <w:rsid w:val="62E23D94"/>
    <w:rsid w:val="632048BD"/>
    <w:rsid w:val="632B5B70"/>
    <w:rsid w:val="63C24F56"/>
    <w:rsid w:val="63C811DC"/>
    <w:rsid w:val="649B244D"/>
    <w:rsid w:val="655A2F5E"/>
    <w:rsid w:val="655B0DB1"/>
    <w:rsid w:val="65F63EB7"/>
    <w:rsid w:val="662B18B7"/>
    <w:rsid w:val="669E4B41"/>
    <w:rsid w:val="66B55864"/>
    <w:rsid w:val="66C45248"/>
    <w:rsid w:val="66F56BED"/>
    <w:rsid w:val="66F916AD"/>
    <w:rsid w:val="673B3A73"/>
    <w:rsid w:val="678741BB"/>
    <w:rsid w:val="67C43A69"/>
    <w:rsid w:val="67C717AB"/>
    <w:rsid w:val="683C59C9"/>
    <w:rsid w:val="686773CC"/>
    <w:rsid w:val="691C20B4"/>
    <w:rsid w:val="69280FDA"/>
    <w:rsid w:val="69AA3358"/>
    <w:rsid w:val="69C04704"/>
    <w:rsid w:val="69E10169"/>
    <w:rsid w:val="6A266C5C"/>
    <w:rsid w:val="6AFC5C0F"/>
    <w:rsid w:val="6B0B2527"/>
    <w:rsid w:val="6B3E1D84"/>
    <w:rsid w:val="6B557F02"/>
    <w:rsid w:val="6B822BB4"/>
    <w:rsid w:val="6BA75B7B"/>
    <w:rsid w:val="6BAF072F"/>
    <w:rsid w:val="6BED111B"/>
    <w:rsid w:val="6BFB7139"/>
    <w:rsid w:val="6C17422B"/>
    <w:rsid w:val="6C1D7BEB"/>
    <w:rsid w:val="6CF46B9E"/>
    <w:rsid w:val="6D1630E3"/>
    <w:rsid w:val="6D57537F"/>
    <w:rsid w:val="6D5F5D4E"/>
    <w:rsid w:val="6DAA54AF"/>
    <w:rsid w:val="6E8144A5"/>
    <w:rsid w:val="6E8F0F07"/>
    <w:rsid w:val="6EB34837"/>
    <w:rsid w:val="6ED36C87"/>
    <w:rsid w:val="6EF52DAE"/>
    <w:rsid w:val="6EFB1938"/>
    <w:rsid w:val="6F001D74"/>
    <w:rsid w:val="7080327A"/>
    <w:rsid w:val="712E33E0"/>
    <w:rsid w:val="718A7AD1"/>
    <w:rsid w:val="71900E5F"/>
    <w:rsid w:val="71FC1481"/>
    <w:rsid w:val="720E3156"/>
    <w:rsid w:val="72DA6836"/>
    <w:rsid w:val="7329132E"/>
    <w:rsid w:val="732D2E0A"/>
    <w:rsid w:val="733028FA"/>
    <w:rsid w:val="737E55E8"/>
    <w:rsid w:val="73842C37"/>
    <w:rsid w:val="73E25166"/>
    <w:rsid w:val="74116287"/>
    <w:rsid w:val="752978B8"/>
    <w:rsid w:val="753170DA"/>
    <w:rsid w:val="755521A4"/>
    <w:rsid w:val="7621477C"/>
    <w:rsid w:val="765443A3"/>
    <w:rsid w:val="76B111A6"/>
    <w:rsid w:val="772A6665"/>
    <w:rsid w:val="77A15B74"/>
    <w:rsid w:val="77BF4219"/>
    <w:rsid w:val="783A7396"/>
    <w:rsid w:val="787768D5"/>
    <w:rsid w:val="787B67CB"/>
    <w:rsid w:val="79020895"/>
    <w:rsid w:val="79206F6D"/>
    <w:rsid w:val="797668A3"/>
    <w:rsid w:val="798D01E3"/>
    <w:rsid w:val="79B0209F"/>
    <w:rsid w:val="7A4776B9"/>
    <w:rsid w:val="7AC168B6"/>
    <w:rsid w:val="7AC65B05"/>
    <w:rsid w:val="7BA440A0"/>
    <w:rsid w:val="7BBD0AA3"/>
    <w:rsid w:val="7BE0527E"/>
    <w:rsid w:val="7BF859C7"/>
    <w:rsid w:val="7C21195B"/>
    <w:rsid w:val="7C5E1319"/>
    <w:rsid w:val="7C5E2286"/>
    <w:rsid w:val="7C7F0E4F"/>
    <w:rsid w:val="7C9712F4"/>
    <w:rsid w:val="7D32607E"/>
    <w:rsid w:val="7D9B4E14"/>
    <w:rsid w:val="7DE15CAB"/>
    <w:rsid w:val="7ECF1219"/>
    <w:rsid w:val="7EEA6053"/>
    <w:rsid w:val="7F995383"/>
    <w:rsid w:val="7FE82F9F"/>
    <w:rsid w:val="AF0BC981"/>
    <w:rsid w:val="BF7F9D7F"/>
    <w:rsid w:val="DDFF53C7"/>
    <w:rsid w:val="EF7FC437"/>
    <w:rsid w:val="FEFF64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2"/>
    <w:unhideWhenUsed/>
    <w:qFormat/>
    <w:uiPriority w:val="0"/>
    <w:pPr>
      <w:ind w:firstLine="420" w:firstLineChars="200"/>
    </w:pPr>
  </w:style>
  <w:style w:type="paragraph" w:styleId="3">
    <w:name w:val="Body Text Indent"/>
    <w:basedOn w:val="1"/>
    <w:next w:val="1"/>
    <w:link w:val="31"/>
    <w:semiHidden/>
    <w:unhideWhenUsed/>
    <w:qFormat/>
    <w:uiPriority w:val="99"/>
    <w:pPr>
      <w:spacing w:after="120"/>
      <w:ind w:left="420" w:leftChars="200"/>
    </w:pPr>
  </w:style>
  <w:style w:type="paragraph" w:styleId="8">
    <w:name w:val="Normal Indent"/>
    <w:basedOn w:val="1"/>
    <w:next w:val="1"/>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w:basedOn w:val="1"/>
    <w:link w:val="29"/>
    <w:unhideWhenUsed/>
    <w:qFormat/>
    <w:uiPriority w:val="99"/>
    <w:pPr>
      <w:spacing w:after="120"/>
    </w:pPr>
  </w:style>
  <w:style w:type="paragraph" w:styleId="11">
    <w:name w:val="Block Text"/>
    <w:basedOn w:val="1"/>
    <w:qFormat/>
    <w:uiPriority w:val="0"/>
    <w:pPr>
      <w:spacing w:after="120"/>
      <w:ind w:left="1440" w:leftChars="700" w:right="1440" w:rightChars="700"/>
    </w:pPr>
    <w:rPr>
      <w:rFonts w:ascii="Times New Roman" w:hAnsi="Times New Roman" w:eastAsia="宋体" w:cs="Times New Roman"/>
    </w:rPr>
  </w:style>
  <w:style w:type="paragraph" w:styleId="12">
    <w:name w:val="toc 3"/>
    <w:basedOn w:val="1"/>
    <w:next w:val="1"/>
    <w:qFormat/>
    <w:uiPriority w:val="39"/>
    <w:pPr>
      <w:widowControl/>
      <w:tabs>
        <w:tab w:val="right" w:leader="dot" w:pos="9061"/>
      </w:tabs>
      <w:spacing w:line="300" w:lineRule="exact"/>
      <w:ind w:left="442"/>
      <w:jc w:val="left"/>
    </w:pPr>
    <w:rPr>
      <w:rFonts w:ascii="仿宋_GB2312" w:eastAsia="仿宋_GB2312" w:cs="Times New Roman"/>
      <w:kern w:val="0"/>
      <w:sz w:val="24"/>
    </w:rPr>
  </w:style>
  <w:style w:type="paragraph" w:styleId="13">
    <w:name w:val="Plain Text"/>
    <w:basedOn w:val="1"/>
    <w:link w:val="28"/>
    <w:qFormat/>
    <w:uiPriority w:val="0"/>
    <w:rPr>
      <w:rFonts w:ascii="宋体" w:hAnsi="Courier New"/>
      <w:szCs w:val="20"/>
    </w:rPr>
  </w:style>
  <w:style w:type="paragraph" w:styleId="14">
    <w:name w:val="Balloon Text"/>
    <w:basedOn w:val="1"/>
    <w:link w:val="30"/>
    <w:qFormat/>
    <w:uiPriority w:val="0"/>
    <w:rPr>
      <w:sz w:val="18"/>
      <w:szCs w:val="18"/>
    </w:rPr>
  </w:style>
  <w:style w:type="paragraph" w:styleId="15">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qFormat/>
    <w:uiPriority w:val="39"/>
    <w:pPr>
      <w:tabs>
        <w:tab w:val="left" w:pos="420"/>
        <w:tab w:val="right" w:leader="dot" w:pos="8943"/>
      </w:tabs>
      <w:spacing w:line="360" w:lineRule="auto"/>
    </w:pPr>
    <w:rPr>
      <w:rFonts w:ascii="宋体" w:hAnsi="宋体"/>
      <w:b/>
    </w:rPr>
  </w:style>
  <w:style w:type="paragraph" w:styleId="18">
    <w:name w:val="Body Text Indent 3"/>
    <w:basedOn w:val="1"/>
    <w:link w:val="33"/>
    <w:semiHidden/>
    <w:unhideWhenUsed/>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line="360" w:lineRule="auto"/>
    </w:pPr>
    <w:rPr>
      <w:rFonts w:ascii="Times New Roman" w:hAnsi="Times New Roman" w:cs="Times New Roman"/>
      <w:sz w:val="24"/>
    </w:r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basedOn w:val="22"/>
    <w:qFormat/>
    <w:uiPriority w:val="0"/>
  </w:style>
  <w:style w:type="character" w:styleId="24">
    <w:name w:val="Hyperlink"/>
    <w:basedOn w:val="22"/>
    <w:semiHidden/>
    <w:unhideWhenUsed/>
    <w:qFormat/>
    <w:uiPriority w:val="99"/>
    <w:rPr>
      <w:color w:val="0000FF"/>
      <w:u w:val="single"/>
    </w:rPr>
  </w:style>
  <w:style w:type="paragraph" w:customStyle="1" w:styleId="25">
    <w:name w:val="标4"/>
    <w:qFormat/>
    <w:uiPriority w:val="0"/>
    <w:pPr>
      <w:widowControl w:val="0"/>
      <w:spacing w:before="240" w:after="360" w:line="240" w:lineRule="exact"/>
      <w:ind w:firstLine="200" w:firstLineChars="200"/>
      <w:jc w:val="both"/>
      <w:outlineLvl w:val="3"/>
    </w:pPr>
    <w:rPr>
      <w:rFonts w:ascii="Arial" w:hAnsi="Arial" w:eastAsia="仿宋_GB2312" w:cs="Arial"/>
      <w:b/>
      <w:bCs/>
      <w:kern w:val="24"/>
      <w:sz w:val="28"/>
      <w:szCs w:val="22"/>
      <w:lang w:val="en-US" w:eastAsia="zh-CN" w:bidi="ar-SA"/>
    </w:rPr>
  </w:style>
  <w:style w:type="character" w:customStyle="1" w:styleId="26">
    <w:name w:val="页眉 字符"/>
    <w:basedOn w:val="22"/>
    <w:link w:val="16"/>
    <w:semiHidden/>
    <w:qFormat/>
    <w:uiPriority w:val="99"/>
    <w:rPr>
      <w:sz w:val="18"/>
      <w:szCs w:val="18"/>
    </w:rPr>
  </w:style>
  <w:style w:type="character" w:customStyle="1" w:styleId="27">
    <w:name w:val="页脚 字符"/>
    <w:basedOn w:val="22"/>
    <w:link w:val="15"/>
    <w:qFormat/>
    <w:uiPriority w:val="99"/>
    <w:rPr>
      <w:sz w:val="18"/>
      <w:szCs w:val="18"/>
    </w:rPr>
  </w:style>
  <w:style w:type="character" w:customStyle="1" w:styleId="28">
    <w:name w:val="纯文本 字符"/>
    <w:basedOn w:val="22"/>
    <w:link w:val="13"/>
    <w:qFormat/>
    <w:uiPriority w:val="0"/>
    <w:rPr>
      <w:rFonts w:ascii="宋体" w:hAnsi="Courier New" w:eastAsia="宋体" w:cs="黑体"/>
      <w:szCs w:val="20"/>
    </w:rPr>
  </w:style>
  <w:style w:type="character" w:customStyle="1" w:styleId="29">
    <w:name w:val="正文文本 字符"/>
    <w:basedOn w:val="22"/>
    <w:link w:val="10"/>
    <w:qFormat/>
    <w:uiPriority w:val="99"/>
    <w:rPr>
      <w:rFonts w:ascii="Calibri" w:hAnsi="Calibri" w:eastAsia="宋体" w:cs="黑体"/>
      <w:szCs w:val="24"/>
    </w:rPr>
  </w:style>
  <w:style w:type="character" w:customStyle="1" w:styleId="30">
    <w:name w:val="批注框文本 字符"/>
    <w:basedOn w:val="22"/>
    <w:link w:val="14"/>
    <w:qFormat/>
    <w:uiPriority w:val="0"/>
    <w:rPr>
      <w:rFonts w:ascii="Calibri" w:hAnsi="Calibri" w:eastAsia="宋体" w:cs="黑体"/>
      <w:sz w:val="18"/>
      <w:szCs w:val="18"/>
    </w:rPr>
  </w:style>
  <w:style w:type="character" w:customStyle="1" w:styleId="31">
    <w:name w:val="正文文本缩进 字符"/>
    <w:basedOn w:val="22"/>
    <w:link w:val="3"/>
    <w:semiHidden/>
    <w:qFormat/>
    <w:uiPriority w:val="99"/>
    <w:rPr>
      <w:rFonts w:ascii="Calibri" w:hAnsi="Calibri" w:eastAsia="宋体" w:cs="黑体"/>
      <w:szCs w:val="24"/>
    </w:rPr>
  </w:style>
  <w:style w:type="character" w:customStyle="1" w:styleId="32">
    <w:name w:val="正文文本首行缩进 2 字符"/>
    <w:basedOn w:val="31"/>
    <w:link w:val="2"/>
    <w:semiHidden/>
    <w:qFormat/>
    <w:uiPriority w:val="99"/>
    <w:rPr>
      <w:rFonts w:ascii="Calibri" w:hAnsi="Calibri" w:eastAsia="宋体" w:cs="黑体"/>
      <w:szCs w:val="24"/>
    </w:rPr>
  </w:style>
  <w:style w:type="character" w:customStyle="1" w:styleId="33">
    <w:name w:val="正文文本缩进 3 字符"/>
    <w:basedOn w:val="22"/>
    <w:link w:val="18"/>
    <w:semiHidden/>
    <w:qFormat/>
    <w:uiPriority w:val="99"/>
    <w:rPr>
      <w:rFonts w:ascii="Calibri" w:hAnsi="Calibri" w:eastAsia="宋体" w:cs="黑体"/>
      <w:sz w:val="16"/>
      <w:szCs w:val="16"/>
    </w:rPr>
  </w:style>
  <w:style w:type="paragraph" w:customStyle="1" w:styleId="34">
    <w:name w:val="Table Paragraph"/>
    <w:basedOn w:val="1"/>
    <w:qFormat/>
    <w:uiPriority w:val="0"/>
    <w:pPr>
      <w:autoSpaceDE w:val="0"/>
      <w:autoSpaceDN w:val="0"/>
      <w:adjustRightInd w:val="0"/>
      <w:jc w:val="left"/>
    </w:pPr>
    <w:rPr>
      <w:rFonts w:ascii="Times New Roman" w:hAnsi="Times New Roman" w:cs="Times New Roman"/>
      <w:kern w:val="0"/>
      <w:sz w:val="24"/>
    </w:rPr>
  </w:style>
  <w:style w:type="paragraph" w:customStyle="1" w:styleId="35">
    <w:name w:val="正文样式"/>
    <w:qFormat/>
    <w:uiPriority w:val="0"/>
    <w:pPr>
      <w:widowControl w:val="0"/>
      <w:adjustRightInd w:val="0"/>
      <w:snapToGri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font101"/>
    <w:basedOn w:val="22"/>
    <w:qFormat/>
    <w:uiPriority w:val="0"/>
    <w:rPr>
      <w:rFonts w:hint="eastAsia" w:ascii="宋体" w:hAnsi="宋体" w:eastAsia="宋体" w:cs="宋体"/>
      <w:color w:val="000000"/>
      <w:sz w:val="22"/>
      <w:szCs w:val="22"/>
      <w:u w:val="none"/>
    </w:rPr>
  </w:style>
  <w:style w:type="character" w:customStyle="1" w:styleId="38">
    <w:name w:val="font121"/>
    <w:basedOn w:val="22"/>
    <w:qFormat/>
    <w:uiPriority w:val="0"/>
    <w:rPr>
      <w:rFonts w:hint="eastAsia" w:ascii="宋体" w:hAnsi="宋体" w:eastAsia="宋体" w:cs="宋体"/>
      <w:color w:val="000000"/>
      <w:sz w:val="22"/>
      <w:szCs w:val="22"/>
      <w:u w:val="none"/>
      <w:vertAlign w:val="superscript"/>
    </w:rPr>
  </w:style>
  <w:style w:type="character" w:customStyle="1" w:styleId="39">
    <w:name w:val="font81"/>
    <w:basedOn w:val="22"/>
    <w:qFormat/>
    <w:uiPriority w:val="0"/>
    <w:rPr>
      <w:rFonts w:hint="eastAsia" w:ascii="宋体" w:hAnsi="宋体" w:eastAsia="宋体" w:cs="宋体"/>
      <w:color w:val="000000"/>
      <w:sz w:val="22"/>
      <w:szCs w:val="22"/>
      <w:u w:val="none"/>
    </w:rPr>
  </w:style>
  <w:style w:type="paragraph" w:customStyle="1" w:styleId="40">
    <w:name w:val="Table Text"/>
    <w:basedOn w:val="1"/>
    <w:semiHidden/>
    <w:qFormat/>
    <w:uiPriority w:val="0"/>
    <w:rPr>
      <w:rFonts w:ascii="仿宋" w:hAnsi="仿宋" w:eastAsia="仿宋" w:cs="仿宋"/>
      <w:sz w:val="16"/>
      <w:szCs w:val="16"/>
      <w:lang w:eastAsia="en-US"/>
    </w:rPr>
  </w:style>
  <w:style w:type="paragraph" w:customStyle="1" w:styleId="41">
    <w:name w:val="标题 + 小二"/>
    <w:basedOn w:val="1"/>
    <w:qFormat/>
    <w:uiPriority w:val="0"/>
    <w:pPr>
      <w:spacing w:afterLines="50" w:line="700" w:lineRule="exact"/>
      <w:jc w:val="center"/>
      <w:outlineLvl w:val="0"/>
    </w:pPr>
    <w:rPr>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2386</Words>
  <Characters>2803</Characters>
  <Lines>366</Lines>
  <Paragraphs>103</Paragraphs>
  <TotalTime>11</TotalTime>
  <ScaleCrop>false</ScaleCrop>
  <LinksUpToDate>false</LinksUpToDate>
  <CharactersWithSpaces>2928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2023-04-20T23:30:00Z</dcterms:created>
  <dc:creator>Administrator</dc:creator>
  <cp:lastModifiedBy>嫻</cp:lastModifiedBy>
  <cp:lastPrinted>2025-07-09T07:01:00Z</cp:lastPrinted>
  <dcterms:modified xsi:type="dcterms:W3CDTF">2025-07-31T04:02:41Z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5BA1D80CF6DD4B27A809A1049C3391CA_13</vt:lpwstr>
  </property>
  <property fmtid="{D5CDD505-2E9C-101B-9397-08002B2CF9AE}" pid="4" name="KSOTemplateDocerSaveRecord">
    <vt:lpwstr>eyJoZGlkIjoiYWZjYWIyN2U0NTUwNDRkZjQ1ZThhNzBjZTQ3OTE0NjIiLCJ1c2VySWQiOiI1MjYzODc4MDYifQ==</vt:lpwstr>
  </property>
</Properties>
</file>