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3449B">
      <w:pPr>
        <w:pStyle w:val="13"/>
        <w:ind w:left="0" w:leftChars="0" w:firstLine="0" w:firstLineChars="0"/>
        <w:jc w:val="center"/>
        <w:rPr>
          <w:rFonts w:hint="eastAsia" w:ascii="仿宋" w:hAnsi="仿宋" w:eastAsia="仿宋" w:cstheme="minorEastAsia"/>
          <w:b/>
          <w:bCs/>
          <w:color w:val="000000" w:themeColor="text1"/>
          <w:sz w:val="36"/>
          <w:szCs w:val="36"/>
          <w:highlight w:val="none"/>
          <w:lang w:val="en-US" w:eastAsia="zh-CN"/>
          <w14:textFill>
            <w14:solidFill>
              <w14:schemeClr w14:val="tx1"/>
            </w14:solidFill>
          </w14:textFill>
        </w:rPr>
      </w:pPr>
      <w:r>
        <w:rPr>
          <w:rFonts w:hint="eastAsia" w:ascii="仿宋" w:hAnsi="仿宋" w:eastAsia="仿宋" w:cstheme="minorEastAsia"/>
          <w:b/>
          <w:bCs/>
          <w:color w:val="000000" w:themeColor="text1"/>
          <w:sz w:val="36"/>
          <w:szCs w:val="36"/>
          <w:highlight w:val="none"/>
          <w:lang w:val="en-US" w:eastAsia="zh-CN"/>
          <w14:textFill>
            <w14:solidFill>
              <w14:schemeClr w14:val="tx1"/>
            </w14:solidFill>
          </w14:textFill>
        </w:rPr>
        <w:t>全省9个市（州）、贵安新区和88个县（市、区、特区）县城建设情况调查、贵州省推进以县城为重要载体的城镇化建设课题研究以及《贵州省“十五五”住房城乡建设事业高质量发展规划》</w:t>
      </w:r>
    </w:p>
    <w:p w14:paraId="57E0E9DA">
      <w:pPr>
        <w:ind w:left="0" w:leftChars="0" w:firstLine="0" w:firstLineChars="0"/>
        <w:jc w:val="both"/>
        <w:rPr>
          <w:rFonts w:hint="eastAsia" w:ascii="仿宋" w:hAnsi="仿宋" w:eastAsia="仿宋" w:cstheme="minorEastAsia"/>
          <w:b/>
          <w:bCs/>
          <w:color w:val="000000" w:themeColor="text1"/>
          <w:sz w:val="56"/>
          <w:szCs w:val="56"/>
          <w:highlight w:val="none"/>
          <w:lang w:val="en-US" w:eastAsia="zh-CN"/>
          <w14:textFill>
            <w14:solidFill>
              <w14:schemeClr w14:val="tx1"/>
            </w14:solidFill>
          </w14:textFill>
        </w:rPr>
      </w:pPr>
    </w:p>
    <w:p w14:paraId="723E3C8C">
      <w:pPr>
        <w:ind w:left="0" w:leftChars="0" w:firstLine="0" w:firstLineChars="0"/>
        <w:jc w:val="both"/>
        <w:rPr>
          <w:rFonts w:hint="eastAsia" w:ascii="仿宋" w:hAnsi="仿宋" w:eastAsia="仿宋" w:cstheme="minorEastAsia"/>
          <w:b/>
          <w:bCs/>
          <w:color w:val="000000" w:themeColor="text1"/>
          <w:sz w:val="56"/>
          <w:szCs w:val="56"/>
          <w:highlight w:val="none"/>
          <w:lang w:val="en-US" w:eastAsia="zh-CN"/>
          <w14:textFill>
            <w14:solidFill>
              <w14:schemeClr w14:val="tx1"/>
            </w14:solidFill>
          </w14:textFill>
        </w:rPr>
      </w:pPr>
    </w:p>
    <w:p w14:paraId="3C1B0F18">
      <w:pPr>
        <w:ind w:firstLine="3092" w:firstLineChars="550"/>
        <w:jc w:val="both"/>
        <w:rPr>
          <w:rFonts w:hint="eastAsia" w:ascii="仿宋" w:hAnsi="仿宋" w:eastAsia="仿宋" w:cstheme="minorEastAsia"/>
          <w:b/>
          <w:bCs/>
          <w:color w:val="000000" w:themeColor="text1"/>
          <w:sz w:val="56"/>
          <w:szCs w:val="56"/>
          <w:highlight w:val="none"/>
          <w:lang w:val="en-US" w:eastAsia="zh-CN"/>
          <w14:textFill>
            <w14:solidFill>
              <w14:schemeClr w14:val="tx1"/>
            </w14:solidFill>
          </w14:textFill>
        </w:rPr>
      </w:pPr>
      <w:r>
        <w:rPr>
          <w:rFonts w:hint="eastAsia" w:ascii="仿宋" w:hAnsi="仿宋" w:eastAsia="仿宋" w:cstheme="minorEastAsia"/>
          <w:b/>
          <w:bCs/>
          <w:color w:val="000000" w:themeColor="text1"/>
          <w:sz w:val="56"/>
          <w:szCs w:val="56"/>
          <w:highlight w:val="none"/>
          <w:lang w:val="en-US" w:eastAsia="zh-CN"/>
          <w14:textFill>
            <w14:solidFill>
              <w14:schemeClr w14:val="tx1"/>
            </w14:solidFill>
          </w14:textFill>
        </w:rPr>
        <w:t>磋商文件</w:t>
      </w:r>
    </w:p>
    <w:p w14:paraId="0E20FCB3">
      <w:pPr>
        <w:pStyle w:val="13"/>
        <w:rPr>
          <w:rFonts w:hint="eastAsia" w:ascii="仿宋" w:hAnsi="仿宋" w:eastAsia="仿宋" w:cstheme="minorEastAsia"/>
          <w:color w:val="000000" w:themeColor="text1"/>
          <w:highlight w:val="none"/>
          <w14:textFill>
            <w14:solidFill>
              <w14:schemeClr w14:val="tx1"/>
            </w14:solidFill>
          </w14:textFill>
        </w:rPr>
      </w:pPr>
    </w:p>
    <w:p w14:paraId="76824195">
      <w:pPr>
        <w:rPr>
          <w:rFonts w:hint="eastAsia" w:ascii="仿宋" w:hAnsi="仿宋" w:eastAsia="仿宋" w:cstheme="minorEastAsia"/>
          <w:color w:val="000000" w:themeColor="text1"/>
          <w:highlight w:val="none"/>
          <w14:textFill>
            <w14:solidFill>
              <w14:schemeClr w14:val="tx1"/>
            </w14:solidFill>
          </w14:textFill>
        </w:rPr>
      </w:pPr>
    </w:p>
    <w:p w14:paraId="1F739EF0">
      <w:pPr>
        <w:pStyle w:val="13"/>
        <w:ind w:left="0" w:leftChars="0" w:firstLine="0" w:firstLineChars="0"/>
        <w:rPr>
          <w:rFonts w:hint="eastAsia" w:ascii="仿宋" w:hAnsi="仿宋" w:eastAsia="仿宋" w:cstheme="minorEastAsia"/>
          <w:color w:val="000000" w:themeColor="text1"/>
          <w:highlight w:val="none"/>
          <w14:textFill>
            <w14:solidFill>
              <w14:schemeClr w14:val="tx1"/>
            </w14:solidFill>
          </w14:textFill>
        </w:rPr>
      </w:pPr>
    </w:p>
    <w:p w14:paraId="7CA20DCD">
      <w:pPr>
        <w:rPr>
          <w:rFonts w:hint="eastAsia" w:ascii="仿宋" w:hAnsi="仿宋" w:eastAsia="仿宋" w:cstheme="minorEastAsia"/>
          <w:color w:val="000000" w:themeColor="text1"/>
          <w:highlight w:val="none"/>
          <w14:textFill>
            <w14:solidFill>
              <w14:schemeClr w14:val="tx1"/>
            </w14:solidFill>
          </w14:textFill>
        </w:rPr>
      </w:pPr>
    </w:p>
    <w:p w14:paraId="01B81B61">
      <w:pPr>
        <w:pStyle w:val="13"/>
        <w:ind w:left="0" w:leftChars="0" w:firstLine="0" w:firstLineChars="0"/>
        <w:rPr>
          <w:rFonts w:hint="eastAsia" w:ascii="仿宋" w:hAnsi="仿宋" w:eastAsia="仿宋" w:cstheme="minorEastAsia"/>
          <w:color w:val="000000" w:themeColor="text1"/>
          <w:highlight w:val="none"/>
          <w14:textFill>
            <w14:solidFill>
              <w14:schemeClr w14:val="tx1"/>
            </w14:solidFill>
          </w14:textFill>
        </w:rPr>
      </w:pPr>
    </w:p>
    <w:p w14:paraId="0E7A8B0F">
      <w:pPr>
        <w:rPr>
          <w:rFonts w:hint="eastAsia" w:ascii="仿宋" w:hAnsi="仿宋" w:eastAsia="仿宋" w:cstheme="minorEastAsia"/>
          <w:color w:val="000000" w:themeColor="text1"/>
          <w:highlight w:val="none"/>
          <w14:textFill>
            <w14:solidFill>
              <w14:schemeClr w14:val="tx1"/>
            </w14:solidFill>
          </w14:textFill>
        </w:rPr>
      </w:pPr>
    </w:p>
    <w:p w14:paraId="0AA4C797">
      <w:pPr>
        <w:pStyle w:val="5"/>
        <w:rPr>
          <w:rFonts w:hint="eastAsia" w:ascii="仿宋" w:hAnsi="仿宋" w:eastAsia="仿宋" w:cstheme="minorEastAsia"/>
          <w:color w:val="000000" w:themeColor="text1"/>
          <w:highlight w:val="none"/>
          <w14:textFill>
            <w14:solidFill>
              <w14:schemeClr w14:val="tx1"/>
            </w14:solidFill>
          </w14:textFill>
        </w:rPr>
      </w:pPr>
    </w:p>
    <w:p w14:paraId="73E5FD87">
      <w:pPr>
        <w:rPr>
          <w:rFonts w:hint="eastAsia"/>
        </w:rPr>
      </w:pPr>
    </w:p>
    <w:p w14:paraId="20C299FA">
      <w:pPr>
        <w:rPr>
          <w:rFonts w:hint="eastAsia"/>
          <w:color w:val="000000" w:themeColor="text1"/>
          <w:highlight w:val="none"/>
          <w14:textFill>
            <w14:solidFill>
              <w14:schemeClr w14:val="tx1"/>
            </w14:solidFill>
          </w14:textFill>
        </w:rPr>
      </w:pPr>
    </w:p>
    <w:p w14:paraId="319FF26B">
      <w:pPr>
        <w:pStyle w:val="13"/>
        <w:ind w:left="0" w:leftChars="0" w:firstLine="0" w:firstLineChars="0"/>
        <w:rPr>
          <w:rFonts w:hint="eastAsia"/>
          <w:color w:val="000000" w:themeColor="text1"/>
          <w:highlight w:val="none"/>
          <w14:textFill>
            <w14:solidFill>
              <w14:schemeClr w14:val="tx1"/>
            </w14:solidFill>
          </w14:textFill>
        </w:rPr>
      </w:pPr>
    </w:p>
    <w:p w14:paraId="136FDD8C">
      <w:pPr>
        <w:rPr>
          <w:rFonts w:hint="eastAsia" w:ascii="仿宋" w:hAnsi="仿宋" w:eastAsia="仿宋" w:cstheme="minorEastAsia"/>
          <w:color w:val="000000" w:themeColor="text1"/>
          <w:highlight w:val="none"/>
          <w14:textFill>
            <w14:solidFill>
              <w14:schemeClr w14:val="tx1"/>
            </w14:solidFill>
          </w14:textFill>
        </w:rPr>
      </w:pPr>
    </w:p>
    <w:p w14:paraId="0B6CB186">
      <w:pPr>
        <w:pStyle w:val="13"/>
        <w:ind w:left="958" w:leftChars="399" w:firstLine="0" w:firstLineChars="0"/>
        <w:rPr>
          <w:rFonts w:hint="default" w:ascii="仿宋" w:hAnsi="仿宋" w:eastAsia="仿宋" w:cstheme="minorEastAsia"/>
          <w:b/>
          <w:bCs/>
          <w:color w:val="000000" w:themeColor="text1"/>
          <w:sz w:val="36"/>
          <w:szCs w:val="32"/>
          <w:highlight w:val="none"/>
          <w:u w:val="single"/>
          <w:lang w:val="en-US" w:eastAsia="zh-CN"/>
          <w14:textFill>
            <w14:solidFill>
              <w14:schemeClr w14:val="tx1"/>
            </w14:solidFill>
          </w14:textFill>
        </w:rPr>
      </w:pPr>
      <w:r>
        <w:rPr>
          <w:rFonts w:hint="eastAsia" w:ascii="仿宋" w:hAnsi="仿宋" w:eastAsia="仿宋" w:cstheme="minorEastAsia"/>
          <w:b/>
          <w:bCs/>
          <w:color w:val="000000" w:themeColor="text1"/>
          <w:sz w:val="36"/>
          <w:szCs w:val="32"/>
          <w:highlight w:val="none"/>
          <w:lang w:eastAsia="zh-CN"/>
          <w14:textFill>
            <w14:solidFill>
              <w14:schemeClr w14:val="tx1"/>
            </w14:solidFill>
          </w14:textFill>
        </w:rPr>
        <w:t>采</w:t>
      </w:r>
      <w:r>
        <w:rPr>
          <w:rFonts w:hint="eastAsia" w:ascii="仿宋" w:hAnsi="仿宋" w:eastAsia="仿宋" w:cstheme="minorEastAsia"/>
          <w:b/>
          <w:bCs/>
          <w:color w:val="000000" w:themeColor="text1"/>
          <w:sz w:val="36"/>
          <w:szCs w:val="32"/>
          <w:highlight w:val="none"/>
          <w:lang w:val="en-US" w:eastAsia="zh-CN"/>
          <w14:textFill>
            <w14:solidFill>
              <w14:schemeClr w14:val="tx1"/>
            </w14:solidFill>
          </w14:textFill>
        </w:rPr>
        <w:t xml:space="preserve">   </w:t>
      </w:r>
      <w:r>
        <w:rPr>
          <w:rFonts w:hint="eastAsia" w:ascii="仿宋" w:hAnsi="仿宋" w:eastAsia="仿宋" w:cstheme="minorEastAsia"/>
          <w:b/>
          <w:bCs/>
          <w:color w:val="000000" w:themeColor="text1"/>
          <w:sz w:val="36"/>
          <w:szCs w:val="32"/>
          <w:highlight w:val="none"/>
          <w:lang w:eastAsia="zh-CN"/>
          <w14:textFill>
            <w14:solidFill>
              <w14:schemeClr w14:val="tx1"/>
            </w14:solidFill>
          </w14:textFill>
        </w:rPr>
        <w:t>购</w:t>
      </w:r>
      <w:r>
        <w:rPr>
          <w:rFonts w:hint="eastAsia" w:ascii="仿宋" w:hAnsi="仿宋" w:eastAsia="仿宋" w:cstheme="minorEastAsia"/>
          <w:b/>
          <w:bCs/>
          <w:color w:val="000000" w:themeColor="text1"/>
          <w:sz w:val="36"/>
          <w:szCs w:val="32"/>
          <w:highlight w:val="none"/>
          <w:lang w:val="en-US" w:eastAsia="zh-CN"/>
          <w14:textFill>
            <w14:solidFill>
              <w14:schemeClr w14:val="tx1"/>
            </w14:solidFill>
          </w14:textFill>
        </w:rPr>
        <w:t xml:space="preserve">   </w:t>
      </w:r>
      <w:r>
        <w:rPr>
          <w:rFonts w:hint="eastAsia" w:ascii="仿宋" w:hAnsi="仿宋" w:eastAsia="仿宋" w:cstheme="minorEastAsia"/>
          <w:b/>
          <w:bCs/>
          <w:color w:val="000000" w:themeColor="text1"/>
          <w:sz w:val="36"/>
          <w:szCs w:val="32"/>
          <w:highlight w:val="none"/>
          <w:lang w:eastAsia="zh-CN"/>
          <w14:textFill>
            <w14:solidFill>
              <w14:schemeClr w14:val="tx1"/>
            </w14:solidFill>
          </w14:textFill>
        </w:rPr>
        <w:t>人：贵州省住房和城乡建设厅</w:t>
      </w:r>
    </w:p>
    <w:p w14:paraId="1BC1931B">
      <w:pPr>
        <w:pStyle w:val="13"/>
        <w:ind w:left="958" w:leftChars="399" w:firstLine="0" w:firstLineChars="0"/>
        <w:rPr>
          <w:rFonts w:hint="default" w:ascii="仿宋" w:hAnsi="仿宋" w:eastAsia="仿宋" w:cstheme="minorEastAsia"/>
          <w:b/>
          <w:bCs/>
          <w:color w:val="000000" w:themeColor="text1"/>
          <w:sz w:val="36"/>
          <w:szCs w:val="32"/>
          <w:highlight w:val="none"/>
          <w:lang w:val="en-US" w:eastAsia="zh-CN"/>
          <w14:textFill>
            <w14:solidFill>
              <w14:schemeClr w14:val="tx1"/>
            </w14:solidFill>
          </w14:textFill>
        </w:rPr>
      </w:pPr>
      <w:r>
        <w:rPr>
          <w:rFonts w:hint="eastAsia" w:ascii="仿宋" w:hAnsi="仿宋" w:eastAsia="仿宋" w:cstheme="minorEastAsia"/>
          <w:b/>
          <w:bCs/>
          <w:color w:val="000000" w:themeColor="text1"/>
          <w:sz w:val="36"/>
          <w:szCs w:val="32"/>
          <w:highlight w:val="none"/>
          <w:lang w:eastAsia="zh-CN"/>
          <w14:textFill>
            <w14:solidFill>
              <w14:schemeClr w14:val="tx1"/>
            </w14:solidFill>
          </w14:textFill>
        </w:rPr>
        <w:t>采购代理机构：贵州昱龙项目管理咨询有限公司</w:t>
      </w:r>
    </w:p>
    <w:p w14:paraId="3ABA9815">
      <w:pPr>
        <w:pStyle w:val="13"/>
        <w:ind w:left="958" w:leftChars="399" w:firstLine="0" w:firstLineChars="0"/>
        <w:rPr>
          <w:rFonts w:hint="eastAsia" w:ascii="仿宋" w:hAnsi="仿宋" w:eastAsia="仿宋" w:cstheme="minorEastAsia"/>
          <w:color w:val="auto"/>
          <w:sz w:val="48"/>
          <w:szCs w:val="48"/>
          <w:highlight w:val="none"/>
        </w:rPr>
      </w:pPr>
      <w:r>
        <w:rPr>
          <w:rFonts w:hint="eastAsia" w:ascii="仿宋" w:hAnsi="仿宋" w:eastAsia="仿宋" w:cstheme="minorEastAsia"/>
          <w:b/>
          <w:bCs/>
          <w:color w:val="000000" w:themeColor="text1"/>
          <w:sz w:val="36"/>
          <w:szCs w:val="32"/>
          <w:highlight w:val="none"/>
          <w:lang w:eastAsia="zh-CN"/>
          <w14:textFill>
            <w14:solidFill>
              <w14:schemeClr w14:val="tx1"/>
            </w14:solidFill>
          </w14:textFill>
        </w:rPr>
        <w:t>日</w:t>
      </w:r>
      <w:r>
        <w:rPr>
          <w:rFonts w:hint="eastAsia" w:ascii="仿宋" w:hAnsi="仿宋" w:eastAsia="仿宋" w:cstheme="minorEastAsia"/>
          <w:b/>
          <w:bCs/>
          <w:color w:val="000000" w:themeColor="text1"/>
          <w:sz w:val="36"/>
          <w:szCs w:val="32"/>
          <w:highlight w:val="none"/>
          <w:lang w:val="en-US" w:eastAsia="zh-CN"/>
          <w14:textFill>
            <w14:solidFill>
              <w14:schemeClr w14:val="tx1"/>
            </w14:solidFill>
          </w14:textFill>
        </w:rPr>
        <w:t xml:space="preserve">        </w:t>
      </w:r>
      <w:r>
        <w:rPr>
          <w:rFonts w:hint="eastAsia" w:ascii="仿宋" w:hAnsi="仿宋" w:eastAsia="仿宋" w:cstheme="minorEastAsia"/>
          <w:b/>
          <w:bCs/>
          <w:color w:val="000000" w:themeColor="text1"/>
          <w:sz w:val="36"/>
          <w:szCs w:val="32"/>
          <w:highlight w:val="none"/>
          <w:lang w:eastAsia="zh-CN"/>
          <w14:textFill>
            <w14:solidFill>
              <w14:schemeClr w14:val="tx1"/>
            </w14:solidFill>
          </w14:textFill>
        </w:rPr>
        <w:t>期：</w:t>
      </w:r>
      <w:r>
        <w:rPr>
          <w:rFonts w:hint="eastAsia" w:ascii="仿宋" w:hAnsi="仿宋" w:eastAsia="仿宋" w:cstheme="minorEastAsia"/>
          <w:b/>
          <w:bCs/>
          <w:color w:val="000000" w:themeColor="text1"/>
          <w:sz w:val="36"/>
          <w:szCs w:val="32"/>
          <w:highlight w:val="none"/>
          <w:lang w:val="en-US" w:eastAsia="zh-CN"/>
          <w14:textFill>
            <w14:solidFill>
              <w14:schemeClr w14:val="tx1"/>
            </w14:solidFill>
          </w14:textFill>
        </w:rPr>
        <w:t>2025年7月</w:t>
      </w:r>
    </w:p>
    <w:p w14:paraId="02A589F6">
      <w:pPr>
        <w:ind w:left="0" w:leftChars="0" w:firstLine="0" w:firstLineChars="0"/>
        <w:rPr>
          <w:color w:val="auto"/>
        </w:rPr>
      </w:pPr>
    </w:p>
    <w:p w14:paraId="23E140F0">
      <w:pPr>
        <w:ind w:left="0" w:leftChars="0" w:firstLine="4160" w:firstLineChars="800"/>
        <w:jc w:val="both"/>
        <w:rPr>
          <w:rFonts w:hint="eastAsia" w:ascii="仿宋" w:hAnsi="仿宋" w:eastAsia="仿宋" w:cstheme="minorEastAsia"/>
          <w:color w:val="auto"/>
          <w:sz w:val="52"/>
          <w:szCs w:val="52"/>
          <w:highlight w:val="none"/>
          <w:lang w:val="en-US" w:eastAsia="zh-CN"/>
        </w:rPr>
      </w:pPr>
      <w:r>
        <w:rPr>
          <w:rFonts w:hint="eastAsia" w:ascii="仿宋" w:hAnsi="仿宋" w:eastAsia="仿宋" w:cstheme="minorEastAsia"/>
          <w:color w:val="auto"/>
          <w:sz w:val="52"/>
          <w:szCs w:val="52"/>
          <w:highlight w:val="none"/>
          <w:lang w:val="en-US" w:eastAsia="zh-CN"/>
        </w:rPr>
        <w:t>目录</w:t>
      </w:r>
    </w:p>
    <w:p w14:paraId="037671F0">
      <w:pPr>
        <w:pStyle w:val="21"/>
        <w:tabs>
          <w:tab w:val="right" w:leader="dot" w:pos="8731"/>
          <w:tab w:val="clear" w:pos="8721"/>
        </w:tabs>
        <w:spacing w:line="240" w:lineRule="auto"/>
        <w:jc w:val="both"/>
        <w:rPr>
          <w:rFonts w:hint="eastAsia" w:ascii="仿宋" w:hAnsi="仿宋" w:eastAsia="仿宋" w:cstheme="minorEastAsia"/>
          <w:color w:val="auto"/>
          <w:highlight w:val="none"/>
        </w:rPr>
      </w:pPr>
    </w:p>
    <w:p w14:paraId="4EBA38AA">
      <w:pPr>
        <w:pStyle w:val="21"/>
        <w:tabs>
          <w:tab w:val="right" w:leader="dot" w:pos="8731"/>
          <w:tab w:val="clear" w:pos="8721"/>
        </w:tabs>
        <w:rPr>
          <w:color w:val="auto"/>
          <w:highlight w:val="none"/>
        </w:rPr>
      </w:pPr>
      <w:r>
        <w:rPr>
          <w:rFonts w:hint="eastAsia" w:ascii="仿宋" w:hAnsi="仿宋" w:eastAsia="仿宋" w:cstheme="minorEastAsia"/>
          <w:color w:val="auto"/>
          <w:highlight w:val="none"/>
        </w:rPr>
        <w:fldChar w:fldCharType="begin"/>
      </w:r>
      <w:r>
        <w:rPr>
          <w:rFonts w:hint="eastAsia" w:ascii="仿宋" w:hAnsi="仿宋" w:eastAsia="仿宋" w:cstheme="minorEastAsia"/>
          <w:color w:val="auto"/>
          <w:highlight w:val="none"/>
        </w:rPr>
        <w:instrText xml:space="preserve"> TOC \o "1-3" \u </w:instrText>
      </w:r>
      <w:r>
        <w:rPr>
          <w:rFonts w:hint="eastAsia" w:ascii="仿宋" w:hAnsi="仿宋" w:eastAsia="仿宋" w:cstheme="minorEastAsia"/>
          <w:color w:val="auto"/>
          <w:highlight w:val="none"/>
        </w:rPr>
        <w:fldChar w:fldCharType="separate"/>
      </w:r>
      <w:r>
        <w:rPr>
          <w:rFonts w:hint="eastAsia" w:ascii="仿宋" w:hAnsi="仿宋" w:eastAsia="仿宋" w:cs="宋体"/>
          <w:color w:val="auto"/>
          <w:kern w:val="2"/>
          <w:szCs w:val="24"/>
          <w:highlight w:val="none"/>
        </w:rPr>
        <w:t>采购公告</w:t>
      </w:r>
      <w:r>
        <w:rPr>
          <w:color w:val="auto"/>
          <w:highlight w:val="none"/>
        </w:rPr>
        <w:tab/>
      </w:r>
      <w:r>
        <w:rPr>
          <w:color w:val="auto"/>
          <w:highlight w:val="none"/>
        </w:rPr>
        <w:fldChar w:fldCharType="begin"/>
      </w:r>
      <w:r>
        <w:rPr>
          <w:color w:val="auto"/>
          <w:highlight w:val="none"/>
        </w:rPr>
        <w:instrText xml:space="preserve"> PAGEREF _Toc5348 \h </w:instrText>
      </w:r>
      <w:r>
        <w:rPr>
          <w:color w:val="auto"/>
          <w:highlight w:val="none"/>
        </w:rPr>
        <w:fldChar w:fldCharType="separate"/>
      </w:r>
      <w:r>
        <w:rPr>
          <w:color w:val="auto"/>
          <w:highlight w:val="none"/>
        </w:rPr>
        <w:t>4</w:t>
      </w:r>
      <w:r>
        <w:rPr>
          <w:color w:val="auto"/>
          <w:highlight w:val="none"/>
        </w:rPr>
        <w:fldChar w:fldCharType="end"/>
      </w:r>
    </w:p>
    <w:p w14:paraId="52D1B729">
      <w:pPr>
        <w:pStyle w:val="23"/>
        <w:tabs>
          <w:tab w:val="right" w:leader="dot" w:pos="8731"/>
          <w:tab w:val="clear" w:pos="8721"/>
        </w:tabs>
        <w:rPr>
          <w:color w:val="auto"/>
          <w:highlight w:val="none"/>
        </w:rPr>
      </w:pPr>
      <w:r>
        <w:rPr>
          <w:rFonts w:hint="eastAsia" w:ascii="仿宋" w:hAnsi="仿宋" w:eastAsia="仿宋" w:cstheme="minorEastAsia"/>
          <w:color w:val="auto"/>
          <w:szCs w:val="30"/>
          <w:highlight w:val="none"/>
        </w:rPr>
        <w:t>第一章 采购范围</w:t>
      </w:r>
      <w:r>
        <w:rPr>
          <w:color w:val="auto"/>
          <w:highlight w:val="none"/>
        </w:rPr>
        <w:tab/>
      </w:r>
      <w:r>
        <w:rPr>
          <w:color w:val="auto"/>
          <w:highlight w:val="none"/>
        </w:rPr>
        <w:fldChar w:fldCharType="begin"/>
      </w:r>
      <w:r>
        <w:rPr>
          <w:color w:val="auto"/>
          <w:highlight w:val="none"/>
        </w:rPr>
        <w:instrText xml:space="preserve"> PAGEREF _Toc2603 \h </w:instrText>
      </w:r>
      <w:r>
        <w:rPr>
          <w:color w:val="auto"/>
          <w:highlight w:val="none"/>
        </w:rPr>
        <w:fldChar w:fldCharType="separate"/>
      </w:r>
      <w:r>
        <w:rPr>
          <w:color w:val="auto"/>
          <w:highlight w:val="none"/>
        </w:rPr>
        <w:t>8</w:t>
      </w:r>
      <w:r>
        <w:rPr>
          <w:color w:val="auto"/>
          <w:highlight w:val="none"/>
        </w:rPr>
        <w:fldChar w:fldCharType="end"/>
      </w:r>
    </w:p>
    <w:p w14:paraId="1DB59AFF">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第一节 采购项目概述</w:t>
      </w:r>
      <w:r>
        <w:rPr>
          <w:color w:val="auto"/>
          <w:highlight w:val="none"/>
        </w:rPr>
        <w:tab/>
      </w:r>
      <w:r>
        <w:rPr>
          <w:color w:val="auto"/>
          <w:highlight w:val="none"/>
        </w:rPr>
        <w:fldChar w:fldCharType="begin"/>
      </w:r>
      <w:r>
        <w:rPr>
          <w:color w:val="auto"/>
          <w:highlight w:val="none"/>
        </w:rPr>
        <w:instrText xml:space="preserve"> PAGEREF _Toc27518 \h </w:instrText>
      </w:r>
      <w:r>
        <w:rPr>
          <w:color w:val="auto"/>
          <w:highlight w:val="none"/>
        </w:rPr>
        <w:fldChar w:fldCharType="separate"/>
      </w:r>
      <w:r>
        <w:rPr>
          <w:color w:val="auto"/>
          <w:highlight w:val="none"/>
        </w:rPr>
        <w:t>8</w:t>
      </w:r>
      <w:r>
        <w:rPr>
          <w:color w:val="auto"/>
          <w:highlight w:val="none"/>
        </w:rPr>
        <w:fldChar w:fldCharType="end"/>
      </w:r>
    </w:p>
    <w:p w14:paraId="128B4A51">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第二节 服务要求</w:t>
      </w:r>
      <w:r>
        <w:rPr>
          <w:color w:val="auto"/>
          <w:highlight w:val="none"/>
        </w:rPr>
        <w:tab/>
      </w:r>
      <w:r>
        <w:rPr>
          <w:color w:val="auto"/>
          <w:highlight w:val="none"/>
        </w:rPr>
        <w:fldChar w:fldCharType="begin"/>
      </w:r>
      <w:r>
        <w:rPr>
          <w:color w:val="auto"/>
          <w:highlight w:val="none"/>
        </w:rPr>
        <w:instrText xml:space="preserve"> PAGEREF _Toc22590 \h </w:instrText>
      </w:r>
      <w:r>
        <w:rPr>
          <w:color w:val="auto"/>
          <w:highlight w:val="none"/>
        </w:rPr>
        <w:fldChar w:fldCharType="separate"/>
      </w:r>
      <w:r>
        <w:rPr>
          <w:color w:val="auto"/>
          <w:highlight w:val="none"/>
        </w:rPr>
        <w:t>9</w:t>
      </w:r>
      <w:r>
        <w:rPr>
          <w:color w:val="auto"/>
          <w:highlight w:val="none"/>
        </w:rPr>
        <w:fldChar w:fldCharType="end"/>
      </w:r>
    </w:p>
    <w:p w14:paraId="41D91B3A">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第三节 供应商资格条件</w:t>
      </w:r>
      <w:r>
        <w:rPr>
          <w:color w:val="auto"/>
          <w:highlight w:val="none"/>
        </w:rPr>
        <w:tab/>
      </w:r>
      <w:r>
        <w:rPr>
          <w:color w:val="auto"/>
          <w:highlight w:val="none"/>
        </w:rPr>
        <w:fldChar w:fldCharType="begin"/>
      </w:r>
      <w:r>
        <w:rPr>
          <w:color w:val="auto"/>
          <w:highlight w:val="none"/>
        </w:rPr>
        <w:instrText xml:space="preserve"> PAGEREF _Toc9024 \h </w:instrText>
      </w:r>
      <w:r>
        <w:rPr>
          <w:color w:val="auto"/>
          <w:highlight w:val="none"/>
        </w:rPr>
        <w:fldChar w:fldCharType="separate"/>
      </w:r>
      <w:r>
        <w:rPr>
          <w:color w:val="auto"/>
          <w:highlight w:val="none"/>
        </w:rPr>
        <w:t>11</w:t>
      </w:r>
      <w:r>
        <w:rPr>
          <w:color w:val="auto"/>
          <w:highlight w:val="none"/>
        </w:rPr>
        <w:fldChar w:fldCharType="end"/>
      </w:r>
    </w:p>
    <w:p w14:paraId="697DC65B">
      <w:pPr>
        <w:pStyle w:val="23"/>
        <w:tabs>
          <w:tab w:val="right" w:leader="dot" w:pos="8731"/>
          <w:tab w:val="clear" w:pos="8721"/>
        </w:tabs>
        <w:rPr>
          <w:color w:val="auto"/>
          <w:highlight w:val="none"/>
        </w:rPr>
      </w:pPr>
      <w:r>
        <w:rPr>
          <w:rFonts w:hint="eastAsia" w:ascii="仿宋" w:hAnsi="仿宋" w:eastAsia="仿宋" w:cstheme="minorEastAsia"/>
          <w:color w:val="auto"/>
          <w:szCs w:val="30"/>
          <w:highlight w:val="none"/>
        </w:rPr>
        <w:t>第二章 采购清单、技术要求及商务要求</w:t>
      </w:r>
      <w:r>
        <w:rPr>
          <w:color w:val="auto"/>
          <w:highlight w:val="none"/>
        </w:rPr>
        <w:tab/>
      </w:r>
      <w:r>
        <w:rPr>
          <w:color w:val="auto"/>
          <w:highlight w:val="none"/>
        </w:rPr>
        <w:fldChar w:fldCharType="begin"/>
      </w:r>
      <w:r>
        <w:rPr>
          <w:color w:val="auto"/>
          <w:highlight w:val="none"/>
        </w:rPr>
        <w:instrText xml:space="preserve"> PAGEREF _Toc1063 \h </w:instrText>
      </w:r>
      <w:r>
        <w:rPr>
          <w:color w:val="auto"/>
          <w:highlight w:val="none"/>
        </w:rPr>
        <w:fldChar w:fldCharType="separate"/>
      </w:r>
      <w:r>
        <w:rPr>
          <w:color w:val="auto"/>
          <w:highlight w:val="none"/>
        </w:rPr>
        <w:t>13</w:t>
      </w:r>
      <w:r>
        <w:rPr>
          <w:color w:val="auto"/>
          <w:highlight w:val="none"/>
        </w:rPr>
        <w:fldChar w:fldCharType="end"/>
      </w:r>
    </w:p>
    <w:p w14:paraId="048B23F5">
      <w:pPr>
        <w:pStyle w:val="14"/>
        <w:tabs>
          <w:tab w:val="right" w:leader="dot" w:pos="8731"/>
        </w:tabs>
        <w:ind w:left="0" w:leftChars="0" w:firstLine="0" w:firstLineChars="0"/>
        <w:rPr>
          <w:color w:val="auto"/>
          <w:highlight w:val="none"/>
        </w:rPr>
      </w:pPr>
      <w:r>
        <w:rPr>
          <w:rFonts w:hint="eastAsia" w:ascii="仿宋" w:hAnsi="仿宋" w:eastAsia="仿宋" w:cs="宋体"/>
          <w:bCs w:val="0"/>
          <w:color w:val="auto"/>
          <w:szCs w:val="28"/>
          <w:highlight w:val="none"/>
        </w:rPr>
        <w:t>第一节 采购清单</w:t>
      </w:r>
      <w:r>
        <w:rPr>
          <w:rFonts w:hint="eastAsia" w:ascii="仿宋" w:hAnsi="仿宋" w:eastAsia="仿宋" w:cstheme="minorEastAsia"/>
          <w:color w:val="auto"/>
          <w:szCs w:val="30"/>
          <w:highlight w:val="none"/>
        </w:rPr>
        <w:t>、技术要求</w:t>
      </w:r>
      <w:r>
        <w:rPr>
          <w:color w:val="auto"/>
          <w:highlight w:val="none"/>
        </w:rPr>
        <w:tab/>
      </w:r>
      <w:r>
        <w:rPr>
          <w:color w:val="auto"/>
          <w:highlight w:val="none"/>
        </w:rPr>
        <w:fldChar w:fldCharType="begin"/>
      </w:r>
      <w:r>
        <w:rPr>
          <w:color w:val="auto"/>
          <w:highlight w:val="none"/>
        </w:rPr>
        <w:instrText xml:space="preserve"> PAGEREF _Toc31392 \h </w:instrText>
      </w:r>
      <w:r>
        <w:rPr>
          <w:color w:val="auto"/>
          <w:highlight w:val="none"/>
        </w:rPr>
        <w:fldChar w:fldCharType="separate"/>
      </w:r>
      <w:r>
        <w:rPr>
          <w:color w:val="auto"/>
          <w:highlight w:val="none"/>
        </w:rPr>
        <w:t>13</w:t>
      </w:r>
      <w:r>
        <w:rPr>
          <w:color w:val="auto"/>
          <w:highlight w:val="none"/>
        </w:rPr>
        <w:fldChar w:fldCharType="end"/>
      </w:r>
    </w:p>
    <w:p w14:paraId="08973061">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24"/>
          <w:highlight w:val="none"/>
        </w:rPr>
        <w:t>第二节 商务要求</w:t>
      </w:r>
      <w:r>
        <w:rPr>
          <w:color w:val="auto"/>
          <w:highlight w:val="none"/>
        </w:rPr>
        <w:tab/>
      </w:r>
      <w:r>
        <w:rPr>
          <w:color w:val="auto"/>
          <w:highlight w:val="none"/>
        </w:rPr>
        <w:fldChar w:fldCharType="begin"/>
      </w:r>
      <w:r>
        <w:rPr>
          <w:color w:val="auto"/>
          <w:highlight w:val="none"/>
        </w:rPr>
        <w:instrText xml:space="preserve"> PAGEREF _Toc7471 \h </w:instrText>
      </w:r>
      <w:r>
        <w:rPr>
          <w:color w:val="auto"/>
          <w:highlight w:val="none"/>
        </w:rPr>
        <w:fldChar w:fldCharType="separate"/>
      </w:r>
      <w:r>
        <w:rPr>
          <w:color w:val="auto"/>
          <w:highlight w:val="none"/>
        </w:rPr>
        <w:t>13</w:t>
      </w:r>
      <w:r>
        <w:rPr>
          <w:color w:val="auto"/>
          <w:highlight w:val="none"/>
        </w:rPr>
        <w:fldChar w:fldCharType="end"/>
      </w:r>
    </w:p>
    <w:p w14:paraId="02B749F7">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第三节 图纸附件</w:t>
      </w:r>
      <w:r>
        <w:rPr>
          <w:color w:val="auto"/>
          <w:highlight w:val="none"/>
        </w:rPr>
        <w:tab/>
      </w:r>
      <w:r>
        <w:rPr>
          <w:color w:val="auto"/>
          <w:highlight w:val="none"/>
        </w:rPr>
        <w:fldChar w:fldCharType="begin"/>
      </w:r>
      <w:r>
        <w:rPr>
          <w:color w:val="auto"/>
          <w:highlight w:val="none"/>
        </w:rPr>
        <w:instrText xml:space="preserve"> PAGEREF _Toc13270 \h </w:instrText>
      </w:r>
      <w:r>
        <w:rPr>
          <w:color w:val="auto"/>
          <w:highlight w:val="none"/>
        </w:rPr>
        <w:fldChar w:fldCharType="separate"/>
      </w:r>
      <w:r>
        <w:rPr>
          <w:color w:val="auto"/>
          <w:highlight w:val="none"/>
        </w:rPr>
        <w:t>14</w:t>
      </w:r>
      <w:r>
        <w:rPr>
          <w:color w:val="auto"/>
          <w:highlight w:val="none"/>
        </w:rPr>
        <w:fldChar w:fldCharType="end"/>
      </w:r>
    </w:p>
    <w:p w14:paraId="51323209">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第四节 实质性要求明细表</w:t>
      </w:r>
      <w:r>
        <w:rPr>
          <w:color w:val="auto"/>
          <w:highlight w:val="none"/>
        </w:rPr>
        <w:tab/>
      </w:r>
      <w:r>
        <w:rPr>
          <w:color w:val="auto"/>
          <w:highlight w:val="none"/>
        </w:rPr>
        <w:fldChar w:fldCharType="begin"/>
      </w:r>
      <w:r>
        <w:rPr>
          <w:color w:val="auto"/>
          <w:highlight w:val="none"/>
        </w:rPr>
        <w:instrText xml:space="preserve"> PAGEREF _Toc24877 \h </w:instrText>
      </w:r>
      <w:r>
        <w:rPr>
          <w:color w:val="auto"/>
          <w:highlight w:val="none"/>
        </w:rPr>
        <w:fldChar w:fldCharType="separate"/>
      </w:r>
      <w:r>
        <w:rPr>
          <w:color w:val="auto"/>
          <w:highlight w:val="none"/>
        </w:rPr>
        <w:t>15</w:t>
      </w:r>
      <w:r>
        <w:rPr>
          <w:color w:val="auto"/>
          <w:highlight w:val="none"/>
        </w:rPr>
        <w:fldChar w:fldCharType="end"/>
      </w:r>
    </w:p>
    <w:p w14:paraId="39BB0120">
      <w:pPr>
        <w:pStyle w:val="23"/>
        <w:tabs>
          <w:tab w:val="right" w:leader="dot" w:pos="8731"/>
          <w:tab w:val="clear" w:pos="8721"/>
        </w:tabs>
        <w:rPr>
          <w:color w:val="auto"/>
          <w:highlight w:val="none"/>
        </w:rPr>
      </w:pPr>
      <w:r>
        <w:rPr>
          <w:rFonts w:hint="eastAsia" w:ascii="仿宋" w:hAnsi="仿宋" w:eastAsia="仿宋" w:cstheme="minorEastAsia"/>
          <w:color w:val="auto"/>
          <w:szCs w:val="30"/>
          <w:highlight w:val="none"/>
        </w:rPr>
        <w:t>第三章 评标办法及评分标准</w:t>
      </w:r>
      <w:r>
        <w:rPr>
          <w:color w:val="auto"/>
          <w:highlight w:val="none"/>
        </w:rPr>
        <w:tab/>
      </w:r>
      <w:r>
        <w:rPr>
          <w:color w:val="auto"/>
          <w:highlight w:val="none"/>
        </w:rPr>
        <w:fldChar w:fldCharType="begin"/>
      </w:r>
      <w:r>
        <w:rPr>
          <w:color w:val="auto"/>
          <w:highlight w:val="none"/>
        </w:rPr>
        <w:instrText xml:space="preserve"> PAGEREF _Toc12334 \h </w:instrText>
      </w:r>
      <w:r>
        <w:rPr>
          <w:color w:val="auto"/>
          <w:highlight w:val="none"/>
        </w:rPr>
        <w:fldChar w:fldCharType="separate"/>
      </w:r>
      <w:r>
        <w:rPr>
          <w:color w:val="auto"/>
          <w:highlight w:val="none"/>
        </w:rPr>
        <w:t>16</w:t>
      </w:r>
      <w:r>
        <w:rPr>
          <w:color w:val="auto"/>
          <w:highlight w:val="none"/>
        </w:rPr>
        <w:fldChar w:fldCharType="end"/>
      </w:r>
    </w:p>
    <w:p w14:paraId="5FBE821B">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第一节 评标办法</w:t>
      </w:r>
      <w:r>
        <w:rPr>
          <w:color w:val="auto"/>
          <w:highlight w:val="none"/>
        </w:rPr>
        <w:tab/>
      </w:r>
      <w:r>
        <w:rPr>
          <w:color w:val="auto"/>
          <w:highlight w:val="none"/>
        </w:rPr>
        <w:fldChar w:fldCharType="begin"/>
      </w:r>
      <w:r>
        <w:rPr>
          <w:color w:val="auto"/>
          <w:highlight w:val="none"/>
        </w:rPr>
        <w:instrText xml:space="preserve"> PAGEREF _Toc32074 \h </w:instrText>
      </w:r>
      <w:r>
        <w:rPr>
          <w:color w:val="auto"/>
          <w:highlight w:val="none"/>
        </w:rPr>
        <w:fldChar w:fldCharType="separate"/>
      </w:r>
      <w:r>
        <w:rPr>
          <w:color w:val="auto"/>
          <w:highlight w:val="none"/>
        </w:rPr>
        <w:t>16</w:t>
      </w:r>
      <w:r>
        <w:rPr>
          <w:color w:val="auto"/>
          <w:highlight w:val="none"/>
        </w:rPr>
        <w:fldChar w:fldCharType="end"/>
      </w:r>
    </w:p>
    <w:p w14:paraId="7ABD7067">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第二节 废标条款</w:t>
      </w:r>
      <w:r>
        <w:rPr>
          <w:color w:val="auto"/>
          <w:highlight w:val="none"/>
        </w:rPr>
        <w:tab/>
      </w:r>
      <w:r>
        <w:rPr>
          <w:color w:val="auto"/>
          <w:highlight w:val="none"/>
        </w:rPr>
        <w:fldChar w:fldCharType="begin"/>
      </w:r>
      <w:r>
        <w:rPr>
          <w:color w:val="auto"/>
          <w:highlight w:val="none"/>
        </w:rPr>
        <w:instrText xml:space="preserve"> PAGEREF _Toc27150 \h </w:instrText>
      </w:r>
      <w:r>
        <w:rPr>
          <w:color w:val="auto"/>
          <w:highlight w:val="none"/>
        </w:rPr>
        <w:fldChar w:fldCharType="separate"/>
      </w:r>
      <w:r>
        <w:rPr>
          <w:color w:val="auto"/>
          <w:highlight w:val="none"/>
        </w:rPr>
        <w:t>25</w:t>
      </w:r>
      <w:r>
        <w:rPr>
          <w:color w:val="auto"/>
          <w:highlight w:val="none"/>
        </w:rPr>
        <w:fldChar w:fldCharType="end"/>
      </w:r>
    </w:p>
    <w:p w14:paraId="53392C24">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第三节 无效标条款</w:t>
      </w:r>
      <w:r>
        <w:rPr>
          <w:color w:val="auto"/>
          <w:highlight w:val="none"/>
        </w:rPr>
        <w:tab/>
      </w:r>
      <w:r>
        <w:rPr>
          <w:color w:val="auto"/>
          <w:highlight w:val="none"/>
        </w:rPr>
        <w:fldChar w:fldCharType="begin"/>
      </w:r>
      <w:r>
        <w:rPr>
          <w:color w:val="auto"/>
          <w:highlight w:val="none"/>
        </w:rPr>
        <w:instrText xml:space="preserve"> PAGEREF _Toc24622 \h </w:instrText>
      </w:r>
      <w:r>
        <w:rPr>
          <w:color w:val="auto"/>
          <w:highlight w:val="none"/>
        </w:rPr>
        <w:fldChar w:fldCharType="separate"/>
      </w:r>
      <w:r>
        <w:rPr>
          <w:color w:val="auto"/>
          <w:highlight w:val="none"/>
        </w:rPr>
        <w:t>25</w:t>
      </w:r>
      <w:r>
        <w:rPr>
          <w:color w:val="auto"/>
          <w:highlight w:val="none"/>
        </w:rPr>
        <w:fldChar w:fldCharType="end"/>
      </w:r>
    </w:p>
    <w:p w14:paraId="256565EE">
      <w:pPr>
        <w:pStyle w:val="21"/>
        <w:tabs>
          <w:tab w:val="right" w:leader="dot" w:pos="8731"/>
          <w:tab w:val="clear" w:pos="8721"/>
        </w:tabs>
        <w:rPr>
          <w:color w:val="auto"/>
          <w:highlight w:val="none"/>
        </w:rPr>
      </w:pPr>
      <w:r>
        <w:rPr>
          <w:rFonts w:hint="eastAsia" w:ascii="仿宋" w:hAnsi="仿宋" w:eastAsia="仿宋" w:cstheme="minorEastAsia"/>
          <w:color w:val="auto"/>
          <w:highlight w:val="none"/>
        </w:rPr>
        <w:t>第二部分 通用部分</w:t>
      </w:r>
      <w:r>
        <w:rPr>
          <w:color w:val="auto"/>
          <w:highlight w:val="none"/>
        </w:rPr>
        <w:tab/>
      </w:r>
      <w:r>
        <w:rPr>
          <w:color w:val="auto"/>
          <w:highlight w:val="none"/>
        </w:rPr>
        <w:fldChar w:fldCharType="begin"/>
      </w:r>
      <w:r>
        <w:rPr>
          <w:color w:val="auto"/>
          <w:highlight w:val="none"/>
        </w:rPr>
        <w:instrText xml:space="preserve"> PAGEREF _Toc24184 \h </w:instrText>
      </w:r>
      <w:r>
        <w:rPr>
          <w:color w:val="auto"/>
          <w:highlight w:val="none"/>
        </w:rPr>
        <w:fldChar w:fldCharType="separate"/>
      </w:r>
      <w:r>
        <w:rPr>
          <w:color w:val="auto"/>
          <w:highlight w:val="none"/>
        </w:rPr>
        <w:t>27</w:t>
      </w:r>
      <w:r>
        <w:rPr>
          <w:color w:val="auto"/>
          <w:highlight w:val="none"/>
        </w:rPr>
        <w:fldChar w:fldCharType="end"/>
      </w:r>
    </w:p>
    <w:p w14:paraId="6DF23DDE">
      <w:pPr>
        <w:pStyle w:val="23"/>
        <w:tabs>
          <w:tab w:val="right" w:leader="dot" w:pos="8731"/>
          <w:tab w:val="clear" w:pos="8721"/>
        </w:tabs>
        <w:rPr>
          <w:color w:val="auto"/>
          <w:highlight w:val="none"/>
        </w:rPr>
      </w:pPr>
      <w:r>
        <w:rPr>
          <w:rFonts w:hint="eastAsia" w:ascii="仿宋" w:hAnsi="仿宋" w:eastAsia="仿宋" w:cstheme="minorEastAsia"/>
          <w:color w:val="auto"/>
          <w:szCs w:val="30"/>
          <w:highlight w:val="none"/>
        </w:rPr>
        <w:t>第四章 政府采购程序</w:t>
      </w:r>
      <w:r>
        <w:rPr>
          <w:color w:val="auto"/>
          <w:highlight w:val="none"/>
        </w:rPr>
        <w:tab/>
      </w:r>
      <w:r>
        <w:rPr>
          <w:color w:val="auto"/>
          <w:highlight w:val="none"/>
        </w:rPr>
        <w:fldChar w:fldCharType="begin"/>
      </w:r>
      <w:r>
        <w:rPr>
          <w:color w:val="auto"/>
          <w:highlight w:val="none"/>
        </w:rPr>
        <w:instrText xml:space="preserve"> PAGEREF _Toc16331 \h </w:instrText>
      </w:r>
      <w:r>
        <w:rPr>
          <w:color w:val="auto"/>
          <w:highlight w:val="none"/>
        </w:rPr>
        <w:fldChar w:fldCharType="separate"/>
      </w:r>
      <w:r>
        <w:rPr>
          <w:color w:val="auto"/>
          <w:highlight w:val="none"/>
        </w:rPr>
        <w:t>27</w:t>
      </w:r>
      <w:r>
        <w:rPr>
          <w:color w:val="auto"/>
          <w:highlight w:val="none"/>
        </w:rPr>
        <w:fldChar w:fldCharType="end"/>
      </w:r>
    </w:p>
    <w:p w14:paraId="5B0AA230">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第一节 发布采购公告</w:t>
      </w:r>
      <w:r>
        <w:rPr>
          <w:color w:val="auto"/>
          <w:highlight w:val="none"/>
        </w:rPr>
        <w:tab/>
      </w:r>
      <w:r>
        <w:rPr>
          <w:color w:val="auto"/>
          <w:highlight w:val="none"/>
        </w:rPr>
        <w:fldChar w:fldCharType="begin"/>
      </w:r>
      <w:r>
        <w:rPr>
          <w:color w:val="auto"/>
          <w:highlight w:val="none"/>
        </w:rPr>
        <w:instrText xml:space="preserve"> PAGEREF _Toc19628 \h </w:instrText>
      </w:r>
      <w:r>
        <w:rPr>
          <w:color w:val="auto"/>
          <w:highlight w:val="none"/>
        </w:rPr>
        <w:fldChar w:fldCharType="separate"/>
      </w:r>
      <w:r>
        <w:rPr>
          <w:color w:val="auto"/>
          <w:highlight w:val="none"/>
        </w:rPr>
        <w:t>27</w:t>
      </w:r>
      <w:r>
        <w:rPr>
          <w:color w:val="auto"/>
          <w:highlight w:val="none"/>
        </w:rPr>
        <w:fldChar w:fldCharType="end"/>
      </w:r>
    </w:p>
    <w:p w14:paraId="772B83AD">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第二节 获取采购文件</w:t>
      </w:r>
      <w:r>
        <w:rPr>
          <w:color w:val="auto"/>
          <w:highlight w:val="none"/>
        </w:rPr>
        <w:tab/>
      </w:r>
      <w:r>
        <w:rPr>
          <w:color w:val="auto"/>
          <w:highlight w:val="none"/>
        </w:rPr>
        <w:fldChar w:fldCharType="begin"/>
      </w:r>
      <w:r>
        <w:rPr>
          <w:color w:val="auto"/>
          <w:highlight w:val="none"/>
        </w:rPr>
        <w:instrText xml:space="preserve"> PAGEREF _Toc814 \h </w:instrText>
      </w:r>
      <w:r>
        <w:rPr>
          <w:color w:val="auto"/>
          <w:highlight w:val="none"/>
        </w:rPr>
        <w:fldChar w:fldCharType="separate"/>
      </w:r>
      <w:r>
        <w:rPr>
          <w:color w:val="auto"/>
          <w:highlight w:val="none"/>
        </w:rPr>
        <w:t>27</w:t>
      </w:r>
      <w:r>
        <w:rPr>
          <w:color w:val="auto"/>
          <w:highlight w:val="none"/>
        </w:rPr>
        <w:fldChar w:fldCharType="end"/>
      </w:r>
    </w:p>
    <w:p w14:paraId="7610E624">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第三节 交纳投标保证金</w:t>
      </w:r>
      <w:r>
        <w:rPr>
          <w:color w:val="auto"/>
          <w:highlight w:val="none"/>
        </w:rPr>
        <w:tab/>
      </w:r>
      <w:r>
        <w:rPr>
          <w:color w:val="auto"/>
          <w:highlight w:val="none"/>
        </w:rPr>
        <w:fldChar w:fldCharType="begin"/>
      </w:r>
      <w:r>
        <w:rPr>
          <w:color w:val="auto"/>
          <w:highlight w:val="none"/>
        </w:rPr>
        <w:instrText xml:space="preserve"> PAGEREF _Toc14626 \h </w:instrText>
      </w:r>
      <w:r>
        <w:rPr>
          <w:color w:val="auto"/>
          <w:highlight w:val="none"/>
        </w:rPr>
        <w:fldChar w:fldCharType="separate"/>
      </w:r>
      <w:r>
        <w:rPr>
          <w:color w:val="auto"/>
          <w:highlight w:val="none"/>
        </w:rPr>
        <w:t>28</w:t>
      </w:r>
      <w:r>
        <w:rPr>
          <w:color w:val="auto"/>
          <w:highlight w:val="none"/>
        </w:rPr>
        <w:fldChar w:fldCharType="end"/>
      </w:r>
    </w:p>
    <w:p w14:paraId="2364E86D">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第四节 递交响应文件</w:t>
      </w:r>
      <w:r>
        <w:rPr>
          <w:color w:val="auto"/>
          <w:highlight w:val="none"/>
        </w:rPr>
        <w:tab/>
      </w:r>
      <w:r>
        <w:rPr>
          <w:color w:val="auto"/>
          <w:highlight w:val="none"/>
        </w:rPr>
        <w:fldChar w:fldCharType="begin"/>
      </w:r>
      <w:r>
        <w:rPr>
          <w:color w:val="auto"/>
          <w:highlight w:val="none"/>
        </w:rPr>
        <w:instrText xml:space="preserve"> PAGEREF _Toc30731 \h </w:instrText>
      </w:r>
      <w:r>
        <w:rPr>
          <w:color w:val="auto"/>
          <w:highlight w:val="none"/>
        </w:rPr>
        <w:fldChar w:fldCharType="separate"/>
      </w:r>
      <w:r>
        <w:rPr>
          <w:color w:val="auto"/>
          <w:highlight w:val="none"/>
        </w:rPr>
        <w:t>30</w:t>
      </w:r>
      <w:r>
        <w:rPr>
          <w:color w:val="auto"/>
          <w:highlight w:val="none"/>
        </w:rPr>
        <w:fldChar w:fldCharType="end"/>
      </w:r>
    </w:p>
    <w:p w14:paraId="357BFE2E">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第五节 竞争性磋商程序</w:t>
      </w:r>
      <w:r>
        <w:rPr>
          <w:color w:val="auto"/>
          <w:highlight w:val="none"/>
        </w:rPr>
        <w:tab/>
      </w:r>
      <w:r>
        <w:rPr>
          <w:color w:val="auto"/>
          <w:highlight w:val="none"/>
        </w:rPr>
        <w:fldChar w:fldCharType="begin"/>
      </w:r>
      <w:r>
        <w:rPr>
          <w:color w:val="auto"/>
          <w:highlight w:val="none"/>
        </w:rPr>
        <w:instrText xml:space="preserve"> PAGEREF _Toc4468 \h </w:instrText>
      </w:r>
      <w:r>
        <w:rPr>
          <w:color w:val="auto"/>
          <w:highlight w:val="none"/>
        </w:rPr>
        <w:fldChar w:fldCharType="separate"/>
      </w:r>
      <w:r>
        <w:rPr>
          <w:color w:val="auto"/>
          <w:highlight w:val="none"/>
        </w:rPr>
        <w:t>30</w:t>
      </w:r>
      <w:r>
        <w:rPr>
          <w:color w:val="auto"/>
          <w:highlight w:val="none"/>
        </w:rPr>
        <w:fldChar w:fldCharType="end"/>
      </w:r>
    </w:p>
    <w:p w14:paraId="77EF5F88">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第六节 发布成交公告</w:t>
      </w:r>
      <w:r>
        <w:rPr>
          <w:color w:val="auto"/>
          <w:highlight w:val="none"/>
        </w:rPr>
        <w:tab/>
      </w:r>
      <w:r>
        <w:rPr>
          <w:color w:val="auto"/>
          <w:highlight w:val="none"/>
        </w:rPr>
        <w:fldChar w:fldCharType="begin"/>
      </w:r>
      <w:r>
        <w:rPr>
          <w:color w:val="auto"/>
          <w:highlight w:val="none"/>
        </w:rPr>
        <w:instrText xml:space="preserve"> PAGEREF _Toc6519 \h </w:instrText>
      </w:r>
      <w:r>
        <w:rPr>
          <w:color w:val="auto"/>
          <w:highlight w:val="none"/>
        </w:rPr>
        <w:fldChar w:fldCharType="separate"/>
      </w:r>
      <w:r>
        <w:rPr>
          <w:color w:val="auto"/>
          <w:highlight w:val="none"/>
        </w:rPr>
        <w:t>34</w:t>
      </w:r>
      <w:r>
        <w:rPr>
          <w:color w:val="auto"/>
          <w:highlight w:val="none"/>
        </w:rPr>
        <w:fldChar w:fldCharType="end"/>
      </w:r>
    </w:p>
    <w:p w14:paraId="0FB133DF">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第七节 支付代理服务费</w:t>
      </w:r>
      <w:r>
        <w:rPr>
          <w:color w:val="auto"/>
          <w:highlight w:val="none"/>
        </w:rPr>
        <w:tab/>
      </w:r>
      <w:r>
        <w:rPr>
          <w:color w:val="auto"/>
          <w:highlight w:val="none"/>
        </w:rPr>
        <w:fldChar w:fldCharType="begin"/>
      </w:r>
      <w:r>
        <w:rPr>
          <w:color w:val="auto"/>
          <w:highlight w:val="none"/>
        </w:rPr>
        <w:instrText xml:space="preserve"> PAGEREF _Toc16548 \h </w:instrText>
      </w:r>
      <w:r>
        <w:rPr>
          <w:color w:val="auto"/>
          <w:highlight w:val="none"/>
        </w:rPr>
        <w:fldChar w:fldCharType="separate"/>
      </w:r>
      <w:r>
        <w:rPr>
          <w:color w:val="auto"/>
          <w:highlight w:val="none"/>
        </w:rPr>
        <w:t>35</w:t>
      </w:r>
      <w:r>
        <w:rPr>
          <w:color w:val="auto"/>
          <w:highlight w:val="none"/>
        </w:rPr>
        <w:fldChar w:fldCharType="end"/>
      </w:r>
    </w:p>
    <w:p w14:paraId="0B283C30">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第八节 政府采购合同签订、备案及公告</w:t>
      </w:r>
      <w:r>
        <w:rPr>
          <w:color w:val="auto"/>
          <w:highlight w:val="none"/>
        </w:rPr>
        <w:tab/>
      </w:r>
      <w:r>
        <w:rPr>
          <w:color w:val="auto"/>
          <w:highlight w:val="none"/>
        </w:rPr>
        <w:fldChar w:fldCharType="begin"/>
      </w:r>
      <w:r>
        <w:rPr>
          <w:color w:val="auto"/>
          <w:highlight w:val="none"/>
        </w:rPr>
        <w:instrText xml:space="preserve"> PAGEREF _Toc6574 \h </w:instrText>
      </w:r>
      <w:r>
        <w:rPr>
          <w:color w:val="auto"/>
          <w:highlight w:val="none"/>
        </w:rPr>
        <w:fldChar w:fldCharType="separate"/>
      </w:r>
      <w:r>
        <w:rPr>
          <w:color w:val="auto"/>
          <w:highlight w:val="none"/>
        </w:rPr>
        <w:t>36</w:t>
      </w:r>
      <w:r>
        <w:rPr>
          <w:color w:val="auto"/>
          <w:highlight w:val="none"/>
        </w:rPr>
        <w:fldChar w:fldCharType="end"/>
      </w:r>
    </w:p>
    <w:p w14:paraId="0B54E85B">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第九节 退还投标保证金</w:t>
      </w:r>
      <w:r>
        <w:rPr>
          <w:color w:val="auto"/>
          <w:highlight w:val="none"/>
        </w:rPr>
        <w:tab/>
      </w:r>
      <w:r>
        <w:rPr>
          <w:color w:val="auto"/>
          <w:highlight w:val="none"/>
        </w:rPr>
        <w:fldChar w:fldCharType="begin"/>
      </w:r>
      <w:r>
        <w:rPr>
          <w:color w:val="auto"/>
          <w:highlight w:val="none"/>
        </w:rPr>
        <w:instrText xml:space="preserve"> PAGEREF _Toc15952 \h </w:instrText>
      </w:r>
      <w:r>
        <w:rPr>
          <w:color w:val="auto"/>
          <w:highlight w:val="none"/>
        </w:rPr>
        <w:fldChar w:fldCharType="separate"/>
      </w:r>
      <w:r>
        <w:rPr>
          <w:color w:val="auto"/>
          <w:highlight w:val="none"/>
        </w:rPr>
        <w:t>36</w:t>
      </w:r>
      <w:r>
        <w:rPr>
          <w:color w:val="auto"/>
          <w:highlight w:val="none"/>
        </w:rPr>
        <w:fldChar w:fldCharType="end"/>
      </w:r>
    </w:p>
    <w:p w14:paraId="0965D8E4">
      <w:pPr>
        <w:pStyle w:val="23"/>
        <w:tabs>
          <w:tab w:val="right" w:leader="dot" w:pos="8731"/>
          <w:tab w:val="clear" w:pos="8721"/>
        </w:tabs>
        <w:rPr>
          <w:color w:val="auto"/>
          <w:highlight w:val="none"/>
        </w:rPr>
      </w:pPr>
      <w:r>
        <w:rPr>
          <w:rFonts w:hint="eastAsia" w:ascii="仿宋" w:hAnsi="仿宋" w:eastAsia="仿宋" w:cstheme="minorEastAsia"/>
          <w:color w:val="auto"/>
          <w:szCs w:val="30"/>
          <w:highlight w:val="none"/>
        </w:rPr>
        <w:t>第五章  政府采购合同</w:t>
      </w:r>
      <w:r>
        <w:rPr>
          <w:color w:val="auto"/>
          <w:highlight w:val="none"/>
        </w:rPr>
        <w:tab/>
      </w:r>
      <w:r>
        <w:rPr>
          <w:color w:val="auto"/>
          <w:highlight w:val="none"/>
        </w:rPr>
        <w:fldChar w:fldCharType="begin"/>
      </w:r>
      <w:r>
        <w:rPr>
          <w:color w:val="auto"/>
          <w:highlight w:val="none"/>
        </w:rPr>
        <w:instrText xml:space="preserve"> PAGEREF _Toc11994 \h </w:instrText>
      </w:r>
      <w:r>
        <w:rPr>
          <w:color w:val="auto"/>
          <w:highlight w:val="none"/>
        </w:rPr>
        <w:fldChar w:fldCharType="separate"/>
      </w:r>
      <w:r>
        <w:rPr>
          <w:color w:val="auto"/>
          <w:highlight w:val="none"/>
        </w:rPr>
        <w:t>38</w:t>
      </w:r>
      <w:r>
        <w:rPr>
          <w:color w:val="auto"/>
          <w:highlight w:val="none"/>
        </w:rPr>
        <w:fldChar w:fldCharType="end"/>
      </w:r>
    </w:p>
    <w:p w14:paraId="5A74E884">
      <w:pPr>
        <w:pStyle w:val="21"/>
        <w:tabs>
          <w:tab w:val="right" w:leader="dot" w:pos="8731"/>
          <w:tab w:val="clear" w:pos="8721"/>
        </w:tabs>
        <w:rPr>
          <w:color w:val="auto"/>
          <w:highlight w:val="none"/>
        </w:rPr>
      </w:pPr>
      <w:r>
        <w:rPr>
          <w:rFonts w:hint="eastAsia" w:ascii="仿宋" w:hAnsi="仿宋" w:eastAsia="仿宋" w:cstheme="minorEastAsia"/>
          <w:color w:val="auto"/>
          <w:highlight w:val="none"/>
        </w:rPr>
        <w:t>第三部分 响应文件编制规范</w:t>
      </w:r>
      <w:r>
        <w:rPr>
          <w:color w:val="auto"/>
          <w:highlight w:val="none"/>
        </w:rPr>
        <w:tab/>
      </w:r>
      <w:r>
        <w:rPr>
          <w:color w:val="auto"/>
          <w:highlight w:val="none"/>
        </w:rPr>
        <w:fldChar w:fldCharType="begin"/>
      </w:r>
      <w:r>
        <w:rPr>
          <w:color w:val="auto"/>
          <w:highlight w:val="none"/>
        </w:rPr>
        <w:instrText xml:space="preserve"> PAGEREF _Toc14555 \h </w:instrText>
      </w:r>
      <w:r>
        <w:rPr>
          <w:color w:val="auto"/>
          <w:highlight w:val="none"/>
        </w:rPr>
        <w:fldChar w:fldCharType="separate"/>
      </w:r>
      <w:r>
        <w:rPr>
          <w:color w:val="auto"/>
          <w:highlight w:val="none"/>
        </w:rPr>
        <w:t>42</w:t>
      </w:r>
      <w:r>
        <w:rPr>
          <w:color w:val="auto"/>
          <w:highlight w:val="none"/>
        </w:rPr>
        <w:fldChar w:fldCharType="end"/>
      </w:r>
    </w:p>
    <w:p w14:paraId="684AA1C1">
      <w:pPr>
        <w:pStyle w:val="23"/>
        <w:tabs>
          <w:tab w:val="right" w:leader="dot" w:pos="8731"/>
          <w:tab w:val="clear" w:pos="8721"/>
        </w:tabs>
        <w:rPr>
          <w:color w:val="auto"/>
          <w:highlight w:val="none"/>
        </w:rPr>
      </w:pPr>
      <w:r>
        <w:rPr>
          <w:rFonts w:hint="eastAsia" w:ascii="仿宋" w:hAnsi="仿宋" w:eastAsia="仿宋" w:cstheme="minorEastAsia"/>
          <w:color w:val="auto"/>
          <w:szCs w:val="30"/>
          <w:highlight w:val="none"/>
        </w:rPr>
        <w:t>第六章 响应文件的编制</w:t>
      </w:r>
      <w:r>
        <w:rPr>
          <w:color w:val="auto"/>
          <w:highlight w:val="none"/>
        </w:rPr>
        <w:tab/>
      </w:r>
      <w:r>
        <w:rPr>
          <w:color w:val="auto"/>
          <w:highlight w:val="none"/>
        </w:rPr>
        <w:fldChar w:fldCharType="begin"/>
      </w:r>
      <w:r>
        <w:rPr>
          <w:color w:val="auto"/>
          <w:highlight w:val="none"/>
        </w:rPr>
        <w:instrText xml:space="preserve"> PAGEREF _Toc25392 \h </w:instrText>
      </w:r>
      <w:r>
        <w:rPr>
          <w:color w:val="auto"/>
          <w:highlight w:val="none"/>
        </w:rPr>
        <w:fldChar w:fldCharType="separate"/>
      </w:r>
      <w:r>
        <w:rPr>
          <w:color w:val="auto"/>
          <w:highlight w:val="none"/>
        </w:rPr>
        <w:t>42</w:t>
      </w:r>
      <w:r>
        <w:rPr>
          <w:color w:val="auto"/>
          <w:highlight w:val="none"/>
        </w:rPr>
        <w:fldChar w:fldCharType="end"/>
      </w:r>
    </w:p>
    <w:p w14:paraId="3F6D19D6">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第一节 编制要求</w:t>
      </w:r>
      <w:r>
        <w:rPr>
          <w:color w:val="auto"/>
          <w:highlight w:val="none"/>
        </w:rPr>
        <w:tab/>
      </w:r>
      <w:r>
        <w:rPr>
          <w:color w:val="auto"/>
          <w:highlight w:val="none"/>
        </w:rPr>
        <w:fldChar w:fldCharType="begin"/>
      </w:r>
      <w:r>
        <w:rPr>
          <w:color w:val="auto"/>
          <w:highlight w:val="none"/>
        </w:rPr>
        <w:instrText xml:space="preserve"> PAGEREF _Toc14741 \h </w:instrText>
      </w:r>
      <w:r>
        <w:rPr>
          <w:color w:val="auto"/>
          <w:highlight w:val="none"/>
        </w:rPr>
        <w:fldChar w:fldCharType="separate"/>
      </w:r>
      <w:r>
        <w:rPr>
          <w:color w:val="auto"/>
          <w:highlight w:val="none"/>
        </w:rPr>
        <w:t>42</w:t>
      </w:r>
      <w:r>
        <w:rPr>
          <w:color w:val="auto"/>
          <w:highlight w:val="none"/>
        </w:rPr>
        <w:fldChar w:fldCharType="end"/>
      </w:r>
    </w:p>
    <w:p w14:paraId="32C6E152">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30"/>
          <w:highlight w:val="none"/>
        </w:rPr>
        <w:t>第二节 响应文件组成</w:t>
      </w:r>
      <w:r>
        <w:rPr>
          <w:color w:val="auto"/>
          <w:highlight w:val="none"/>
        </w:rPr>
        <w:tab/>
      </w:r>
      <w:r>
        <w:rPr>
          <w:color w:val="auto"/>
          <w:highlight w:val="none"/>
        </w:rPr>
        <w:fldChar w:fldCharType="begin"/>
      </w:r>
      <w:r>
        <w:rPr>
          <w:color w:val="auto"/>
          <w:highlight w:val="none"/>
        </w:rPr>
        <w:instrText xml:space="preserve"> PAGEREF _Toc27365 \h </w:instrText>
      </w:r>
      <w:r>
        <w:rPr>
          <w:color w:val="auto"/>
          <w:highlight w:val="none"/>
        </w:rPr>
        <w:fldChar w:fldCharType="separate"/>
      </w:r>
      <w:r>
        <w:rPr>
          <w:color w:val="auto"/>
          <w:highlight w:val="none"/>
        </w:rPr>
        <w:t>43</w:t>
      </w:r>
      <w:r>
        <w:rPr>
          <w:color w:val="auto"/>
          <w:highlight w:val="none"/>
        </w:rPr>
        <w:fldChar w:fldCharType="end"/>
      </w:r>
    </w:p>
    <w:p w14:paraId="1D01E548">
      <w:pPr>
        <w:pStyle w:val="14"/>
        <w:tabs>
          <w:tab w:val="right" w:leader="dot" w:pos="8731"/>
        </w:tabs>
        <w:ind w:left="0" w:leftChars="0" w:firstLine="0" w:firstLineChars="0"/>
        <w:rPr>
          <w:color w:val="auto"/>
          <w:highlight w:val="none"/>
        </w:rPr>
      </w:pPr>
      <w:r>
        <w:rPr>
          <w:rFonts w:hint="eastAsia" w:ascii="仿宋" w:hAnsi="仿宋" w:eastAsia="仿宋" w:cstheme="minorEastAsia"/>
          <w:color w:val="auto"/>
          <w:szCs w:val="24"/>
          <w:highlight w:val="none"/>
        </w:rPr>
        <w:t>附件：优惠性政策法律法规</w:t>
      </w:r>
      <w:r>
        <w:rPr>
          <w:color w:val="auto"/>
          <w:highlight w:val="none"/>
        </w:rPr>
        <w:tab/>
      </w:r>
      <w:r>
        <w:rPr>
          <w:color w:val="auto"/>
          <w:highlight w:val="none"/>
        </w:rPr>
        <w:fldChar w:fldCharType="begin"/>
      </w:r>
      <w:r>
        <w:rPr>
          <w:color w:val="auto"/>
          <w:highlight w:val="none"/>
        </w:rPr>
        <w:instrText xml:space="preserve"> PAGEREF _Toc23398 \h </w:instrText>
      </w:r>
      <w:r>
        <w:rPr>
          <w:color w:val="auto"/>
          <w:highlight w:val="none"/>
        </w:rPr>
        <w:fldChar w:fldCharType="separate"/>
      </w:r>
      <w:r>
        <w:rPr>
          <w:color w:val="auto"/>
          <w:highlight w:val="none"/>
        </w:rPr>
        <w:t>44</w:t>
      </w:r>
      <w:r>
        <w:rPr>
          <w:color w:val="auto"/>
          <w:highlight w:val="none"/>
        </w:rPr>
        <w:fldChar w:fldCharType="end"/>
      </w:r>
    </w:p>
    <w:p w14:paraId="51BA3DC7">
      <w:pPr>
        <w:pStyle w:val="14"/>
        <w:tabs>
          <w:tab w:val="right" w:leader="dot" w:pos="8721"/>
        </w:tabs>
        <w:spacing w:line="240" w:lineRule="auto"/>
        <w:ind w:left="0" w:leftChars="0" w:firstLine="0" w:firstLineChars="0"/>
        <w:rPr>
          <w:rFonts w:ascii="仿宋" w:hAnsi="仿宋" w:eastAsia="仿宋" w:cstheme="minorEastAsia"/>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304" w:right="1588" w:bottom="1304" w:left="1588" w:header="720" w:footer="720" w:gutter="0"/>
          <w:pgNumType w:start="1"/>
          <w:cols w:space="425" w:num="1"/>
          <w:docGrid w:linePitch="285" w:charSpace="0"/>
        </w:sectPr>
      </w:pPr>
      <w:r>
        <w:rPr>
          <w:rFonts w:hint="eastAsia" w:ascii="仿宋" w:hAnsi="仿宋" w:eastAsia="仿宋" w:cstheme="minorEastAsia"/>
          <w:color w:val="auto"/>
          <w:highlight w:val="none"/>
        </w:rPr>
        <w:fldChar w:fldCharType="end"/>
      </w:r>
      <w:bookmarkStart w:id="0" w:name="_Toc407182659"/>
      <w:bookmarkStart w:id="1" w:name="_Toc407182460"/>
      <w:bookmarkStart w:id="2" w:name="_Toc407169867"/>
      <w:bookmarkStart w:id="3" w:name="_Toc4893"/>
      <w:bookmarkStart w:id="4" w:name="_Toc22572"/>
    </w:p>
    <w:p w14:paraId="03437E1F">
      <w:pPr>
        <w:pStyle w:val="4"/>
        <w:rPr>
          <w:rFonts w:ascii="仿宋" w:hAnsi="仿宋" w:eastAsia="仿宋" w:cs="宋体"/>
          <w:b/>
          <w:color w:val="auto"/>
          <w:kern w:val="2"/>
          <w:sz w:val="24"/>
          <w:szCs w:val="24"/>
          <w:highlight w:val="none"/>
        </w:rPr>
      </w:pPr>
      <w:bookmarkStart w:id="5" w:name="_Toc13015"/>
      <w:bookmarkStart w:id="6" w:name="_Toc5348"/>
      <w:r>
        <w:rPr>
          <w:rFonts w:hint="eastAsia" w:ascii="仿宋" w:hAnsi="仿宋" w:eastAsia="仿宋" w:cs="宋体"/>
          <w:b/>
          <w:color w:val="auto"/>
          <w:kern w:val="2"/>
          <w:sz w:val="24"/>
          <w:szCs w:val="24"/>
          <w:highlight w:val="none"/>
          <w:lang w:val="en-US"/>
        </w:rPr>
        <w:t>全省9个市（州）、贵安新区和88个县（市、区、特区）县城建设情况调查、贵州省推进以县城为重要载体的城镇化建设课题研究以及《贵州省“十五五”住房城乡建设事业高质量发展规划》</w:t>
      </w:r>
      <w:r>
        <w:rPr>
          <w:rFonts w:hint="eastAsia" w:ascii="仿宋" w:hAnsi="仿宋" w:eastAsia="仿宋" w:cs="宋体"/>
          <w:b/>
          <w:color w:val="auto"/>
          <w:kern w:val="2"/>
          <w:sz w:val="24"/>
          <w:szCs w:val="24"/>
          <w:highlight w:val="none"/>
        </w:rPr>
        <w:t>采购公告</w:t>
      </w:r>
      <w:bookmarkEnd w:id="5"/>
      <w:bookmarkEnd w:id="6"/>
    </w:p>
    <w:p w14:paraId="1F3F581D">
      <w:pPr>
        <w:ind w:firstLine="480"/>
        <w:rPr>
          <w:rFonts w:ascii="仿宋" w:hAnsi="仿宋" w:eastAsia="仿宋" w:cs="仿宋"/>
          <w:color w:val="auto"/>
          <w:highlight w:val="none"/>
        </w:rPr>
      </w:pPr>
      <w:r>
        <w:rPr>
          <w:rFonts w:hint="eastAsia" w:ascii="仿宋" w:hAnsi="仿宋" w:eastAsia="仿宋" w:cs="仿宋"/>
          <w:color w:val="auto"/>
          <w:highlight w:val="none"/>
        </w:rPr>
        <w:t>项目概况</w:t>
      </w:r>
    </w:p>
    <w:p w14:paraId="5EBEB0E3">
      <w:pPr>
        <w:ind w:firstLine="480"/>
        <w:rPr>
          <w:rFonts w:ascii="仿宋" w:hAnsi="仿宋" w:eastAsia="仿宋" w:cs="仿宋"/>
          <w:color w:val="auto"/>
          <w:highlight w:val="none"/>
        </w:rPr>
      </w:pPr>
      <w:r>
        <w:rPr>
          <w:rFonts w:hint="eastAsia" w:ascii="仿宋" w:hAnsi="仿宋" w:eastAsia="仿宋" w:cs="仿宋"/>
          <w:color w:val="auto"/>
          <w:highlight w:val="none"/>
          <w:lang w:val="en-US"/>
        </w:rPr>
        <w:t>全省9个市（州）、贵安新区和88个县（市、区、特区）县城建设情况调查、贵州省推进以县城为重要载体的城镇化建设课题研究以及《贵州省“十五五”住房城乡建设事业高质量发展规划》</w:t>
      </w:r>
      <w:r>
        <w:rPr>
          <w:rFonts w:hint="eastAsia" w:ascii="仿宋" w:hAnsi="仿宋" w:eastAsia="仿宋" w:cs="仿宋"/>
          <w:color w:val="auto"/>
          <w:highlight w:val="none"/>
        </w:rPr>
        <w:t>的潜在</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应在贵州省公共资源交易中心网上获取（交易中心网址：</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"http://ggzy.guizhou.gov.cn/）获取招标文件，并于2024年" </w:instrText>
      </w:r>
      <w:r>
        <w:rPr>
          <w:rFonts w:hint="eastAsia" w:ascii="仿宋" w:hAnsi="仿宋" w:eastAsia="仿宋" w:cs="仿宋"/>
          <w:color w:val="auto"/>
          <w:highlight w:val="none"/>
        </w:rPr>
        <w:fldChar w:fldCharType="separate"/>
      </w:r>
      <w:r>
        <w:rPr>
          <w:rStyle w:val="34"/>
          <w:rFonts w:hint="eastAsia" w:ascii="仿宋" w:hAnsi="仿宋" w:eastAsia="仿宋" w:cs="仿宋"/>
          <w:color w:val="auto"/>
          <w:highlight w:val="none"/>
        </w:rPr>
        <w:t>http://ggzy.guizhou.gov.cn/）获取招标文件，并于</w:t>
      </w:r>
      <w:r>
        <w:rPr>
          <w:rStyle w:val="34"/>
          <w:rFonts w:hint="eastAsia" w:ascii="仿宋" w:hAnsi="仿宋" w:eastAsia="仿宋" w:cs="仿宋"/>
          <w:color w:val="auto"/>
          <w:highlight w:val="none"/>
          <w:lang w:eastAsia="zh-CN"/>
        </w:rPr>
        <w:t>202</w:t>
      </w:r>
      <w:r>
        <w:rPr>
          <w:rStyle w:val="34"/>
          <w:rFonts w:hint="eastAsia" w:ascii="仿宋" w:hAnsi="仿宋" w:eastAsia="仿宋" w:cs="仿宋"/>
          <w:color w:val="auto"/>
          <w:highlight w:val="none"/>
          <w:lang w:val="en-US" w:eastAsia="zh-CN"/>
        </w:rPr>
        <w:t>5</w:t>
      </w:r>
      <w:r>
        <w:rPr>
          <w:rStyle w:val="34"/>
          <w:rFonts w:hint="eastAsia" w:ascii="仿宋" w:hAnsi="仿宋" w:eastAsia="仿宋" w:cs="仿宋"/>
          <w:color w:val="auto"/>
          <w:highlight w:val="none"/>
        </w:rPr>
        <w:t>年</w:t>
      </w:r>
      <w:r>
        <w:rPr>
          <w:rFonts w:hint="eastAsia" w:ascii="仿宋" w:hAnsi="仿宋" w:eastAsia="仿宋" w:cs="仿宋"/>
          <w:color w:val="auto"/>
          <w:highlight w:val="none"/>
        </w:rPr>
        <w:fldChar w:fldCharType="end"/>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日09点30</w:t>
      </w:r>
      <w:r>
        <w:rPr>
          <w:rFonts w:hint="eastAsia" w:ascii="仿宋" w:hAnsi="仿宋" w:eastAsia="仿宋" w:cs="仿宋"/>
          <w:color w:val="auto"/>
          <w:highlight w:val="none"/>
        </w:rPr>
        <w:t>分（北京时间）前递交</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w:t>
      </w:r>
    </w:p>
    <w:p w14:paraId="56B1E8A2">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一、项目基本信息</w:t>
      </w:r>
    </w:p>
    <w:p w14:paraId="01298B59">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rPr>
        <w:t>YLZB2025/</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lang w:val="en-US"/>
        </w:rPr>
        <w:t>号</w:t>
      </w:r>
    </w:p>
    <w:p w14:paraId="771F3580">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rPr>
        <w:t>全省9个市（州）、贵安新区和88个县（市、区、特区）县城建设情况调查、贵州省推进以县城为重要载体的城镇化建设课题研究以及《贵州省“十五五”住房城乡建设事业高质量发展规划》</w:t>
      </w:r>
    </w:p>
    <w:p w14:paraId="352A6B01">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项目序列号：</w:t>
      </w:r>
    </w:p>
    <w:p w14:paraId="01E8AD0B">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1614000.00元</w:t>
      </w:r>
      <w:r>
        <w:rPr>
          <w:rFonts w:hint="eastAsia" w:ascii="仿宋" w:hAnsi="仿宋" w:eastAsia="仿宋" w:cs="仿宋"/>
          <w:color w:val="auto"/>
          <w:sz w:val="24"/>
          <w:szCs w:val="24"/>
          <w:highlight w:val="none"/>
        </w:rPr>
        <w:t>；</w:t>
      </w:r>
    </w:p>
    <w:p w14:paraId="122D5224">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r>
        <w:rPr>
          <w:rFonts w:hint="eastAsia" w:ascii="仿宋" w:hAnsi="仿宋" w:eastAsia="仿宋" w:cs="仿宋"/>
          <w:color w:val="auto"/>
          <w:sz w:val="24"/>
          <w:szCs w:val="24"/>
          <w:highlight w:val="none"/>
          <w:lang w:val="en-US" w:eastAsia="zh-CN"/>
        </w:rPr>
        <w:t>1614000.00元</w:t>
      </w:r>
      <w:r>
        <w:rPr>
          <w:rFonts w:hint="eastAsia" w:ascii="仿宋" w:hAnsi="仿宋" w:eastAsia="仿宋" w:cs="仿宋"/>
          <w:color w:val="auto"/>
          <w:sz w:val="24"/>
          <w:szCs w:val="24"/>
          <w:highlight w:val="none"/>
        </w:rPr>
        <w:t>。</w:t>
      </w:r>
    </w:p>
    <w:p w14:paraId="481FC0B8">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14:paraId="46A26B08">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标项一</w:t>
      </w:r>
    </w:p>
    <w:p w14:paraId="022B347E">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标项名称:</w:t>
      </w:r>
      <w:r>
        <w:rPr>
          <w:rFonts w:hint="eastAsia" w:ascii="仿宋" w:hAnsi="仿宋" w:eastAsia="仿宋" w:cs="仿宋"/>
          <w:color w:val="auto"/>
          <w:sz w:val="24"/>
          <w:szCs w:val="24"/>
          <w:highlight w:val="none"/>
          <w:lang w:val="en-US"/>
        </w:rPr>
        <w:t>全省9个市（州）、贵安新区和88个县（市、区、特区）县城建设情况调查、贵州省推进以县城为重要载体的城镇化建设课题研究以及《贵州省“十五五”住房城乡建设事业高质量发展规划》</w:t>
      </w:r>
    </w:p>
    <w:p w14:paraId="35ABD2D0">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数量: </w:t>
      </w:r>
      <w:r>
        <w:rPr>
          <w:rFonts w:hint="eastAsia" w:ascii="仿宋" w:hAnsi="仿宋" w:eastAsia="仿宋" w:cs="仿宋"/>
          <w:color w:val="auto"/>
          <w:sz w:val="24"/>
          <w:szCs w:val="24"/>
          <w:highlight w:val="none"/>
          <w:lang w:val="en-US" w:eastAsia="zh-CN"/>
        </w:rPr>
        <w:t>1项</w:t>
      </w:r>
      <w:r>
        <w:rPr>
          <w:rFonts w:hint="eastAsia" w:ascii="仿宋" w:hAnsi="仿宋" w:eastAsia="仿宋" w:cs="仿宋"/>
          <w:color w:val="auto"/>
          <w:sz w:val="24"/>
          <w:szCs w:val="24"/>
          <w:highlight w:val="none"/>
        </w:rPr>
        <w:t>  </w:t>
      </w:r>
    </w:p>
    <w:p w14:paraId="32FE802D">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预算金额（元）:</w:t>
      </w:r>
      <w:r>
        <w:rPr>
          <w:rFonts w:hint="eastAsia" w:ascii="仿宋" w:hAnsi="仿宋" w:eastAsia="仿宋" w:cs="仿宋"/>
          <w:color w:val="auto"/>
          <w:sz w:val="24"/>
          <w:szCs w:val="24"/>
          <w:highlight w:val="none"/>
          <w:lang w:val="en-US" w:eastAsia="zh-CN"/>
        </w:rPr>
        <w:t>1614000.00元</w:t>
      </w:r>
    </w:p>
    <w:p w14:paraId="7C0C00D1">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val="en-US"/>
        </w:rPr>
        <w:t>全省9个市（州）、贵安新区和88个县（市、区、特区）县城建设情况调查、贵州省推进以县城为重要载体的城镇化建设课题研究以及《贵州省“十五五”住房城乡建设事业高质量发展规划》</w:t>
      </w:r>
      <w:r>
        <w:rPr>
          <w:rFonts w:hint="eastAsia" w:ascii="仿宋" w:hAnsi="仿宋" w:eastAsia="仿宋" w:cs="仿宋"/>
          <w:color w:val="auto"/>
          <w:sz w:val="24"/>
          <w:szCs w:val="24"/>
          <w:highlight w:val="none"/>
          <w:lang w:val="en-US" w:eastAsia="zh-CN"/>
        </w:rPr>
        <w:t>，具体详见采购文件。</w:t>
      </w:r>
    </w:p>
    <w:p w14:paraId="4754D5DA">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备注：             </w:t>
      </w:r>
    </w:p>
    <w:p w14:paraId="4ECDAC59">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p>
    <w:p w14:paraId="76AC9B05">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FF0000"/>
          <w:sz w:val="24"/>
          <w:szCs w:val="24"/>
          <w:highlight w:val="none"/>
          <w:lang w:val="en-US" w:eastAsia="zh-CN"/>
        </w:rPr>
        <w:t>2026年８月31日</w:t>
      </w:r>
      <w:r>
        <w:rPr>
          <w:rFonts w:hint="eastAsia" w:ascii="仿宋" w:hAnsi="仿宋" w:eastAsia="仿宋" w:cs="仿宋"/>
          <w:b w:val="0"/>
          <w:bCs w:val="0"/>
          <w:color w:val="FF0000"/>
          <w:sz w:val="24"/>
          <w:szCs w:val="24"/>
          <w:highlight w:val="none"/>
          <w:u w:val="none"/>
          <w:lang w:val="en-US" w:eastAsia="zh-CN"/>
        </w:rPr>
        <w:t>之前完成所有工作</w:t>
      </w:r>
      <w:r>
        <w:rPr>
          <w:rFonts w:hint="eastAsia" w:ascii="仿宋" w:hAnsi="仿宋" w:eastAsia="仿宋" w:cs="仿宋"/>
          <w:color w:val="FF0000"/>
          <w:sz w:val="24"/>
          <w:szCs w:val="24"/>
          <w:highlight w:val="none"/>
          <w:lang w:val="en-US" w:eastAsia="zh-CN"/>
        </w:rPr>
        <w:t>。</w:t>
      </w:r>
    </w:p>
    <w:p w14:paraId="2D7044B0">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是/</w:t>
      </w:r>
      <w:r>
        <w:rPr>
          <w:rFonts w:hint="eastAsia" w:ascii="仿宋" w:hAnsi="仿宋" w:eastAsia="仿宋" w:cs="仿宋"/>
          <w:color w:val="auto"/>
          <w:sz w:val="24"/>
          <w:szCs w:val="24"/>
          <w:highlight w:val="none"/>
        </w:rPr>
        <w:t>否）接受联合体投标。  </w:t>
      </w:r>
    </w:p>
    <w:p w14:paraId="206407CF">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1：是</w:t>
      </w:r>
      <w:r>
        <w:rPr>
          <w:rFonts w:hint="eastAsia" w:ascii="仿宋" w:hAnsi="仿宋" w:eastAsia="仿宋" w:cs="仿宋"/>
          <w:color w:val="auto"/>
          <w:sz w:val="24"/>
          <w:szCs w:val="24"/>
          <w:highlight w:val="none"/>
          <w:lang w:eastAsia="zh-CN"/>
        </w:rPr>
        <w:t>；</w:t>
      </w:r>
    </w:p>
    <w:p w14:paraId="254EA002">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lang w:val="en-US" w:eastAsia="zh-CN" w:bidi="ar-SA"/>
        </w:rPr>
        <w:t>联合体投标应满足以下条件：①联合体投标的，提交联合体协议书。参加联合体的供应商均需满足申请人的一般资格要求；②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③联合体协议中必须明确联合体牵头人及联合体成员单位名称及职责分工。</w:t>
      </w:r>
      <w:r>
        <w:rPr>
          <w:rFonts w:hint="eastAsia" w:ascii="仿宋" w:hAnsi="仿宋" w:eastAsia="仿宋" w:cs="仿宋"/>
          <w:color w:val="auto"/>
          <w:sz w:val="24"/>
          <w:szCs w:val="24"/>
          <w:highlight w:val="none"/>
        </w:rPr>
        <w:t>   </w:t>
      </w:r>
    </w:p>
    <w:p w14:paraId="5C91BAD5">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55B59110">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7BBBCEF0">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w:t>
      </w:r>
    </w:p>
    <w:p w14:paraId="1015CC2C">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none"/>
        </w:rPr>
        <w:t>标项1:</w:t>
      </w:r>
      <w:r>
        <w:rPr>
          <w:rFonts w:hint="eastAsia" w:ascii="仿宋" w:hAnsi="仿宋" w:eastAsia="仿宋" w:cs="仿宋"/>
          <w:color w:val="auto"/>
          <w:sz w:val="24"/>
          <w:szCs w:val="24"/>
          <w:highlight w:val="none"/>
          <w:lang w:val="en-US" w:eastAsia="zh-CN"/>
        </w:rPr>
        <w:t>无</w:t>
      </w:r>
    </w:p>
    <w:p w14:paraId="4316187B">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3.申请人的一般资格要求：</w:t>
      </w:r>
      <w:bookmarkStart w:id="87" w:name="_GoBack"/>
      <w:bookmarkEnd w:id="87"/>
    </w:p>
    <w:p w14:paraId="235B1826">
      <w:pPr>
        <w:pStyle w:val="13"/>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标项1：</w:t>
      </w:r>
    </w:p>
    <w:p w14:paraId="465D9AB8">
      <w:pPr>
        <w:pStyle w:val="13"/>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满足《中华人民共和国政府采购法》第二十二条规定；   </w:t>
      </w:r>
    </w:p>
    <w:p w14:paraId="02663C8F">
      <w:pPr>
        <w:pStyle w:val="13"/>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①具有独立承担民事责任的能力：</w:t>
      </w:r>
    </w:p>
    <w:p w14:paraId="0D764CBA">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具体要求：提供工商部门注册的有效的营业执照或事业单位单位法人证书或执业许可证或自然人身份证明等</w:t>
      </w:r>
      <w:r>
        <w:rPr>
          <w:rFonts w:hint="eastAsia" w:ascii="仿宋" w:hAnsi="仿宋" w:eastAsia="仿宋" w:cs="仿宋"/>
          <w:color w:val="auto"/>
          <w:sz w:val="24"/>
          <w:szCs w:val="24"/>
          <w:highlight w:val="none"/>
          <w:lang w:eastAsia="zh-CN"/>
        </w:rPr>
        <w:t>；</w:t>
      </w:r>
    </w:p>
    <w:p w14:paraId="74CB0F5C">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②具有良好的商业信誉和健全的财务会计制度：</w:t>
      </w:r>
    </w:p>
    <w:p w14:paraId="3ADF20C0">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具体要求：提供</w:t>
      </w:r>
      <w:r>
        <w:rPr>
          <w:rFonts w:hint="eastAsia" w:ascii="仿宋" w:hAnsi="仿宋" w:eastAsia="仿宋" w:cs="仿宋"/>
          <w:color w:val="auto"/>
          <w:sz w:val="24"/>
          <w:szCs w:val="24"/>
          <w:highlight w:val="none"/>
          <w:lang w:val="en-US" w:eastAsia="zh-CN"/>
        </w:rPr>
        <w:t>2024年度</w:t>
      </w:r>
      <w:r>
        <w:rPr>
          <w:rFonts w:hint="eastAsia" w:ascii="仿宋" w:hAnsi="仿宋" w:eastAsia="仿宋" w:cs="仿宋"/>
          <w:color w:val="auto"/>
          <w:sz w:val="24"/>
          <w:szCs w:val="24"/>
          <w:highlight w:val="none"/>
          <w:lang w:eastAsia="zh-CN"/>
        </w:rPr>
        <w:t>经会计师事务所</w:t>
      </w:r>
      <w:r>
        <w:rPr>
          <w:rFonts w:hint="eastAsia" w:ascii="仿宋" w:hAnsi="仿宋" w:eastAsia="仿宋" w:cs="仿宋"/>
          <w:color w:val="auto"/>
          <w:sz w:val="24"/>
          <w:szCs w:val="24"/>
          <w:highlight w:val="none"/>
        </w:rPr>
        <w:t>或审计机构出具的审计报告复印件（扫描件）或</w:t>
      </w:r>
      <w:r>
        <w:rPr>
          <w:rFonts w:hint="eastAsia" w:ascii="仿宋" w:hAnsi="仿宋" w:eastAsia="仿宋" w:cs="宋体"/>
          <w:color w:val="auto"/>
          <w:highlight w:val="none"/>
          <w:lang w:val="en-US" w:eastAsia="zh-CN"/>
        </w:rPr>
        <w:t>2025年1月</w:t>
      </w:r>
      <w:r>
        <w:rPr>
          <w:rFonts w:hint="eastAsia" w:ascii="仿宋" w:hAnsi="仿宋" w:eastAsia="仿宋" w:cs="仿宋"/>
          <w:color w:val="auto"/>
          <w:sz w:val="24"/>
          <w:szCs w:val="24"/>
          <w:highlight w:val="none"/>
          <w:lang w:val="en-US" w:eastAsia="zh-CN"/>
        </w:rPr>
        <w:t>至今</w:t>
      </w:r>
      <w:r>
        <w:rPr>
          <w:rFonts w:hint="eastAsia" w:ascii="仿宋" w:hAnsi="仿宋" w:eastAsia="仿宋" w:cs="仿宋"/>
          <w:color w:val="auto"/>
          <w:sz w:val="24"/>
          <w:szCs w:val="24"/>
          <w:highlight w:val="none"/>
        </w:rPr>
        <w:t>其基本开户银行出具的资信证明或自然人提供</w:t>
      </w:r>
      <w:r>
        <w:rPr>
          <w:rFonts w:hint="eastAsia" w:ascii="仿宋" w:hAnsi="仿宋" w:eastAsia="仿宋" w:cs="宋体"/>
          <w:color w:val="auto"/>
          <w:highlight w:val="none"/>
          <w:lang w:val="en-US" w:eastAsia="zh-CN"/>
        </w:rPr>
        <w:t>2025年1月</w:t>
      </w:r>
      <w:r>
        <w:rPr>
          <w:rFonts w:hint="eastAsia" w:ascii="仿宋" w:hAnsi="仿宋" w:eastAsia="仿宋" w:cs="仿宋"/>
          <w:color w:val="auto"/>
          <w:sz w:val="24"/>
          <w:szCs w:val="24"/>
          <w:highlight w:val="none"/>
          <w:lang w:val="en-US" w:eastAsia="zh-CN"/>
        </w:rPr>
        <w:t>至今</w:t>
      </w:r>
      <w:r>
        <w:rPr>
          <w:rFonts w:hint="eastAsia" w:ascii="仿宋" w:hAnsi="仿宋" w:eastAsia="仿宋" w:cs="仿宋"/>
          <w:color w:val="auto"/>
          <w:sz w:val="24"/>
          <w:szCs w:val="24"/>
          <w:highlight w:val="none"/>
        </w:rPr>
        <w:t>银行出具的资信证明。</w:t>
      </w:r>
    </w:p>
    <w:p w14:paraId="64CD542E">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③具有履行合同所必需的设备和专业技术能力：</w:t>
      </w:r>
    </w:p>
    <w:p w14:paraId="4446517F">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具体要求：供应商自行承诺具备履行合同所必需的设备和专业技术能力；</w:t>
      </w:r>
    </w:p>
    <w:p w14:paraId="17CEAEE6">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④具有依法缴纳税收和社会保障资金的良好记录：</w:t>
      </w:r>
    </w:p>
    <w:p w14:paraId="33E4DFB8">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具体要求：a.提供202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月至今任意</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个月缴纳税收的凭据或证明材料（依法免税的供应商须提供相应证明文件）；b.提供202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月至今任意</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个月缴纳社会保障资金证明材料（不需要缴纳社保资金的供应商须提供相应证明文件）；</w:t>
      </w:r>
    </w:p>
    <w:p w14:paraId="667F39E3">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⑤参加本次政府采购活动前三年内，在经营活动中没有违法违规记录：</w:t>
      </w:r>
    </w:p>
    <w:p w14:paraId="4B4B7C8C">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具体要求：提供参加政府采购活动前3年内在经营活动中没有重大违法记录的书面声明；</w:t>
      </w:r>
    </w:p>
    <w:p w14:paraId="6D53103E">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⑥法律、行政法规规定的其他条件：</w:t>
      </w:r>
    </w:p>
    <w:p w14:paraId="3D752ACC">
      <w:pPr>
        <w:keepNext w:val="0"/>
        <w:keepLines w:val="0"/>
        <w:pageBreakBefore w:val="0"/>
        <w:widowControl w:val="0"/>
        <w:tabs>
          <w:tab w:val="left" w:pos="312"/>
        </w:tabs>
        <w:kinsoku/>
        <w:wordWrap w:val="0"/>
        <w:overflowPunct/>
        <w:topLinePunct/>
        <w:autoSpaceDE/>
        <w:autoSpaceDN/>
        <w:bidi w:val="0"/>
        <w:adjustRightInd/>
        <w:snapToGrid w:val="0"/>
        <w:spacing w:before="0" w:beforeAutospacing="0" w:after="0" w:afterAutospacing="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具体要求：</w:t>
      </w:r>
      <w:r>
        <w:rPr>
          <w:rFonts w:hint="eastAsia" w:ascii="仿宋" w:hAnsi="仿宋" w:eastAsia="仿宋" w:cs="宋体"/>
          <w:color w:val="auto"/>
          <w:highlight w:val="none"/>
          <w:lang w:eastAsia="zh-CN"/>
        </w:rPr>
        <w:t>对被“信用中国（www.creditchina.gov.cn）”网站列入“重大税收违法失信主体”和“中国政府采购网（www.ccgp.gov.cn）”列入“政府采购严重违法失信行为记录名单”及“中国执行信息公开网（http://zxgk.court.gov.cn/shixin/）”列入“失信被执行人”的供应商，拒绝其参与本项目的政府采购活动。供应商须提供未被列入上述名单的承诺。</w:t>
      </w:r>
    </w:p>
    <w:p w14:paraId="7D6B1F4C">
      <w:pPr>
        <w:keepNext w:val="0"/>
        <w:keepLines w:val="0"/>
        <w:pageBreakBefore w:val="0"/>
        <w:widowControl w:val="0"/>
        <w:numPr>
          <w:ilvl w:val="0"/>
          <w:numId w:val="0"/>
        </w:numPr>
        <w:kinsoku/>
        <w:overflowPunct/>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w:t>
      </w:r>
    </w:p>
    <w:p w14:paraId="3E9AB61B">
      <w:pPr>
        <w:keepNext w:val="0"/>
        <w:keepLines w:val="0"/>
        <w:pageBreakBefore w:val="0"/>
        <w:widowControl w:val="0"/>
        <w:numPr>
          <w:ilvl w:val="0"/>
          <w:numId w:val="0"/>
        </w:numPr>
        <w:kinsoku/>
        <w:overflowPunct/>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FF0000"/>
          <w:sz w:val="24"/>
          <w:szCs w:val="24"/>
          <w:highlight w:val="none"/>
          <w:lang w:val="en-US"/>
        </w:rPr>
      </w:pPr>
      <w:r>
        <w:rPr>
          <w:rFonts w:hint="eastAsia" w:ascii="仿宋" w:hAnsi="仿宋" w:eastAsia="仿宋" w:cs="仿宋"/>
          <w:color w:val="FF0000"/>
          <w:sz w:val="24"/>
          <w:szCs w:val="24"/>
          <w:highlight w:val="none"/>
          <w:lang w:val="en-US" w:eastAsia="zh-CN"/>
        </w:rPr>
        <w:t>供应商具有自然资源主管部门颁发的城乡规划编制乙级及以上资质。</w:t>
      </w:r>
    </w:p>
    <w:p w14:paraId="26515432">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b/>
          <w:bCs/>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bidi="ar"/>
        </w:rPr>
        <w:t>三、获取</w:t>
      </w:r>
      <w:r>
        <w:rPr>
          <w:rFonts w:hint="eastAsia" w:ascii="仿宋" w:hAnsi="仿宋" w:eastAsia="仿宋" w:cs="仿宋"/>
          <w:b/>
          <w:bCs/>
          <w:color w:val="auto"/>
          <w:kern w:val="0"/>
          <w:sz w:val="24"/>
          <w:szCs w:val="24"/>
          <w:highlight w:val="none"/>
          <w:shd w:val="clear" w:color="auto" w:fill="FFFFFF"/>
          <w:lang w:eastAsia="zh-CN" w:bidi="ar"/>
        </w:rPr>
        <w:t>采购</w:t>
      </w:r>
      <w:r>
        <w:rPr>
          <w:rFonts w:hint="eastAsia" w:ascii="仿宋" w:hAnsi="仿宋" w:eastAsia="仿宋" w:cs="仿宋"/>
          <w:b/>
          <w:bCs/>
          <w:color w:val="auto"/>
          <w:kern w:val="0"/>
          <w:sz w:val="24"/>
          <w:szCs w:val="24"/>
          <w:highlight w:val="none"/>
          <w:shd w:val="clear" w:color="auto" w:fill="FFFFFF"/>
          <w:lang w:bidi="ar"/>
        </w:rPr>
        <w:t>文件</w:t>
      </w:r>
    </w:p>
    <w:p w14:paraId="27875759">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时间：</w:t>
      </w:r>
      <w:r>
        <w:rPr>
          <w:rFonts w:hint="eastAsia" w:ascii="仿宋" w:hAnsi="仿宋" w:eastAsia="仿宋" w:cs="仿宋"/>
          <w:color w:val="auto"/>
          <w:kern w:val="0"/>
          <w:sz w:val="24"/>
          <w:szCs w:val="24"/>
          <w:highlight w:val="none"/>
          <w:shd w:val="clear" w:color="auto" w:fill="FFFFFF"/>
          <w:lang w:eastAsia="zh-CN" w:bidi="ar"/>
        </w:rPr>
        <w:t>202</w:t>
      </w:r>
      <w:r>
        <w:rPr>
          <w:rFonts w:hint="eastAsia" w:ascii="仿宋" w:hAnsi="仿宋" w:eastAsia="仿宋" w:cs="仿宋"/>
          <w:color w:val="auto"/>
          <w:kern w:val="0"/>
          <w:sz w:val="24"/>
          <w:szCs w:val="24"/>
          <w:highlight w:val="none"/>
          <w:shd w:val="clear" w:color="auto" w:fill="FFFFFF"/>
          <w:lang w:val="en-US" w:eastAsia="zh-CN" w:bidi="ar"/>
        </w:rPr>
        <w:t>5</w:t>
      </w:r>
      <w:r>
        <w:rPr>
          <w:rFonts w:hint="eastAsia" w:ascii="仿宋" w:hAnsi="仿宋" w:eastAsia="仿宋" w:cs="仿宋"/>
          <w:color w:val="auto"/>
          <w:kern w:val="0"/>
          <w:sz w:val="24"/>
          <w:szCs w:val="24"/>
          <w:highlight w:val="none"/>
          <w:shd w:val="clear" w:color="auto" w:fill="FFFFFF"/>
          <w:lang w:eastAsia="zh-CN" w:bidi="ar"/>
        </w:rPr>
        <w:t>年</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eastAsia="zh-CN" w:bidi="ar"/>
        </w:rPr>
        <w:t>月</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eastAsia="zh-CN" w:bidi="ar"/>
        </w:rPr>
        <w:t>日至202</w:t>
      </w:r>
      <w:r>
        <w:rPr>
          <w:rFonts w:hint="eastAsia" w:ascii="仿宋" w:hAnsi="仿宋" w:eastAsia="仿宋" w:cs="仿宋"/>
          <w:color w:val="auto"/>
          <w:kern w:val="0"/>
          <w:sz w:val="24"/>
          <w:szCs w:val="24"/>
          <w:highlight w:val="none"/>
          <w:shd w:val="clear" w:color="auto" w:fill="FFFFFF"/>
          <w:lang w:val="en-US" w:eastAsia="zh-CN" w:bidi="ar"/>
        </w:rPr>
        <w:t>5</w:t>
      </w:r>
      <w:r>
        <w:rPr>
          <w:rFonts w:hint="eastAsia" w:ascii="仿宋" w:hAnsi="仿宋" w:eastAsia="仿宋" w:cs="仿宋"/>
          <w:color w:val="auto"/>
          <w:kern w:val="0"/>
          <w:sz w:val="24"/>
          <w:szCs w:val="24"/>
          <w:highlight w:val="none"/>
          <w:shd w:val="clear" w:color="auto" w:fill="FFFFFF"/>
          <w:lang w:eastAsia="zh-CN" w:bidi="ar"/>
        </w:rPr>
        <w:t>年</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eastAsia="zh-CN" w:bidi="ar"/>
        </w:rPr>
        <w:t>月</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eastAsia="zh-CN" w:bidi="ar"/>
        </w:rPr>
        <w:t>日 ，每天上午00:00至11:59 ，下午12:00至23:59（北京时间，法定节假日除外）    </w:t>
      </w:r>
    </w:p>
    <w:p w14:paraId="66CBAA37">
      <w:pPr>
        <w:keepNext w:val="0"/>
        <w:keepLines w:val="0"/>
        <w:pageBreakBefore w:val="0"/>
        <w:widowControl w:val="0"/>
        <w:tabs>
          <w:tab w:val="left" w:pos="312"/>
        </w:tabs>
        <w:kinsoku/>
        <w:wordWrap w:val="0"/>
        <w:overflowPunct/>
        <w:topLine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地点：贵州省公共资源交易系统（https://ggzy.guizhou.gov.cn/zfcg）“文件费交纳与文件下载”</w:t>
      </w:r>
    </w:p>
    <w:p w14:paraId="5F72A851">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方式：贵州省公共资源交易网-&gt;网上交易大厅-&gt;文件下载板块（交易中心网址：https://ggzy.guizhou.gov.cn/）</w:t>
      </w:r>
    </w:p>
    <w:p w14:paraId="5CDE9FFB">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eastAsia="zh-CN" w:bidi="ar"/>
        </w:rPr>
      </w:pPr>
      <w:r>
        <w:rPr>
          <w:rFonts w:hint="eastAsia" w:ascii="仿宋" w:hAnsi="仿宋" w:eastAsia="仿宋" w:cs="仿宋"/>
          <w:color w:val="auto"/>
          <w:kern w:val="0"/>
          <w:sz w:val="24"/>
          <w:szCs w:val="24"/>
          <w:highlight w:val="none"/>
          <w:shd w:val="clear" w:color="auto" w:fill="FFFFFF"/>
          <w:lang w:bidi="ar"/>
        </w:rPr>
        <w:t>售价：</w:t>
      </w:r>
      <w:r>
        <w:rPr>
          <w:rFonts w:hint="eastAsia" w:ascii="仿宋" w:hAnsi="仿宋" w:eastAsia="仿宋" w:cs="仿宋"/>
          <w:color w:val="auto"/>
          <w:kern w:val="0"/>
          <w:sz w:val="24"/>
          <w:szCs w:val="24"/>
          <w:highlight w:val="none"/>
          <w:shd w:val="clear" w:color="auto" w:fill="FFFFFF"/>
          <w:lang w:val="en-US" w:eastAsia="zh-CN" w:bidi="ar"/>
        </w:rPr>
        <w:t xml:space="preserve">0.00 </w:t>
      </w:r>
    </w:p>
    <w:p w14:paraId="2D229684">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2"/>
        <w:textAlignment w:val="auto"/>
        <w:rPr>
          <w:rFonts w:hint="eastAsia" w:ascii="仿宋" w:hAnsi="仿宋" w:eastAsia="仿宋" w:cs="仿宋"/>
          <w:b/>
          <w:bCs/>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bidi="ar"/>
        </w:rPr>
        <w:t>四、响应文件提交  </w:t>
      </w:r>
    </w:p>
    <w:p w14:paraId="1F4EB339">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2"/>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截止时间：202</w:t>
      </w:r>
      <w:r>
        <w:rPr>
          <w:rFonts w:hint="eastAsia" w:ascii="仿宋" w:hAnsi="仿宋" w:eastAsia="仿宋" w:cs="仿宋"/>
          <w:color w:val="auto"/>
          <w:kern w:val="0"/>
          <w:sz w:val="24"/>
          <w:szCs w:val="24"/>
          <w:highlight w:val="none"/>
          <w:shd w:val="clear" w:color="auto" w:fill="FFFFFF"/>
          <w:lang w:val="en-US" w:eastAsia="zh-CN" w:bidi="ar"/>
        </w:rPr>
        <w:t>5</w:t>
      </w:r>
      <w:r>
        <w:rPr>
          <w:rFonts w:hint="eastAsia" w:ascii="仿宋" w:hAnsi="仿宋" w:eastAsia="仿宋" w:cs="仿宋"/>
          <w:color w:val="auto"/>
          <w:kern w:val="0"/>
          <w:sz w:val="24"/>
          <w:szCs w:val="24"/>
          <w:highlight w:val="none"/>
          <w:shd w:val="clear" w:color="auto" w:fill="FFFFFF"/>
          <w:lang w:bidi="ar"/>
        </w:rPr>
        <w:t>年</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月</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日</w:t>
      </w:r>
      <w:r>
        <w:rPr>
          <w:rFonts w:hint="eastAsia" w:ascii="仿宋" w:hAnsi="仿宋" w:eastAsia="仿宋" w:cs="仿宋"/>
          <w:color w:val="auto"/>
          <w:kern w:val="0"/>
          <w:sz w:val="24"/>
          <w:szCs w:val="24"/>
          <w:highlight w:val="none"/>
          <w:shd w:val="clear" w:color="auto" w:fill="FFFFFF"/>
          <w:lang w:val="en-US" w:eastAsia="zh-CN" w:bidi="ar"/>
        </w:rPr>
        <w:t>09</w:t>
      </w:r>
      <w:r>
        <w:rPr>
          <w:rFonts w:hint="eastAsia" w:ascii="仿宋" w:hAnsi="仿宋" w:eastAsia="仿宋" w:cs="仿宋"/>
          <w:b w:val="0"/>
          <w:bCs w:val="0"/>
          <w:color w:val="auto"/>
          <w:kern w:val="0"/>
          <w:sz w:val="24"/>
          <w:szCs w:val="24"/>
          <w:highlight w:val="none"/>
          <w:shd w:val="clear" w:color="auto" w:fill="FFFFFF"/>
          <w:lang w:bidi="ar"/>
        </w:rPr>
        <w:t>时</w:t>
      </w:r>
      <w:r>
        <w:rPr>
          <w:rFonts w:hint="eastAsia" w:ascii="仿宋" w:hAnsi="仿宋" w:eastAsia="仿宋" w:cs="仿宋"/>
          <w:b w:val="0"/>
          <w:bCs w:val="0"/>
          <w:color w:val="auto"/>
          <w:kern w:val="0"/>
          <w:sz w:val="24"/>
          <w:szCs w:val="24"/>
          <w:highlight w:val="none"/>
          <w:shd w:val="clear" w:color="auto" w:fill="FFFFFF"/>
          <w:lang w:val="en-US" w:eastAsia="zh-CN" w:bidi="ar"/>
        </w:rPr>
        <w:t>30</w:t>
      </w:r>
      <w:r>
        <w:rPr>
          <w:rFonts w:hint="eastAsia" w:ascii="仿宋" w:hAnsi="仿宋" w:eastAsia="仿宋" w:cs="仿宋"/>
          <w:b w:val="0"/>
          <w:bCs w:val="0"/>
          <w:color w:val="auto"/>
          <w:kern w:val="0"/>
          <w:sz w:val="24"/>
          <w:szCs w:val="24"/>
          <w:highlight w:val="none"/>
          <w:shd w:val="clear" w:color="auto" w:fill="FFFFFF"/>
          <w:lang w:bidi="ar"/>
        </w:rPr>
        <w:t>分</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（北京时间）        </w:t>
      </w:r>
    </w:p>
    <w:p w14:paraId="1C364E5F">
      <w:pPr>
        <w:keepNext w:val="0"/>
        <w:keepLines/>
        <w:pageBreakBefore w:val="0"/>
        <w:widowControl w:val="0"/>
        <w:tabs>
          <w:tab w:val="left" w:pos="312"/>
        </w:tabs>
        <w:kinsoku/>
        <w:wordWrap w:val="0"/>
        <w:overflowPunct/>
        <w:topLinePunct/>
        <w:autoSpaceDE/>
        <w:autoSpaceDN/>
        <w:bidi w:val="0"/>
        <w:adjustRightInd/>
        <w:snapToGrid/>
        <w:spacing w:before="0" w:beforeAutospacing="0" w:after="0" w:afterAutospacing="0" w:line="360" w:lineRule="auto"/>
        <w:ind w:left="0" w:leftChars="0" w:firstLine="482"/>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地点：本项目为电子招标，</w:t>
      </w:r>
      <w:r>
        <w:rPr>
          <w:rFonts w:hint="eastAsia" w:ascii="仿宋" w:hAnsi="仿宋" w:eastAsia="仿宋" w:cs="仿宋"/>
          <w:color w:val="auto"/>
          <w:kern w:val="0"/>
          <w:sz w:val="24"/>
          <w:szCs w:val="24"/>
          <w:highlight w:val="none"/>
          <w:shd w:val="clear" w:color="auto" w:fill="FFFFFF"/>
          <w:lang w:eastAsia="zh-CN" w:bidi="ar"/>
        </w:rPr>
        <w:t>供应商</w:t>
      </w:r>
      <w:r>
        <w:rPr>
          <w:rFonts w:hint="eastAsia" w:ascii="仿宋" w:hAnsi="仿宋" w:eastAsia="仿宋" w:cs="仿宋"/>
          <w:color w:val="auto"/>
          <w:kern w:val="0"/>
          <w:sz w:val="24"/>
          <w:szCs w:val="24"/>
          <w:highlight w:val="none"/>
          <w:shd w:val="clear" w:color="auto" w:fill="FFFFFF"/>
          <w:lang w:bidi="ar"/>
        </w:rPr>
        <w:t>须在递交</w:t>
      </w:r>
      <w:r>
        <w:rPr>
          <w:rFonts w:hint="eastAsia" w:ascii="仿宋" w:hAnsi="仿宋" w:eastAsia="仿宋" w:cs="仿宋"/>
          <w:color w:val="auto"/>
          <w:kern w:val="0"/>
          <w:sz w:val="24"/>
          <w:szCs w:val="24"/>
          <w:highlight w:val="none"/>
          <w:shd w:val="clear" w:color="auto" w:fill="FFFFFF"/>
          <w:lang w:val="en-US" w:eastAsia="zh-CN" w:bidi="ar"/>
        </w:rPr>
        <w:t>相应</w:t>
      </w:r>
      <w:r>
        <w:rPr>
          <w:rFonts w:hint="eastAsia" w:ascii="仿宋" w:hAnsi="仿宋" w:eastAsia="仿宋" w:cs="仿宋"/>
          <w:color w:val="auto"/>
          <w:kern w:val="0"/>
          <w:sz w:val="24"/>
          <w:szCs w:val="24"/>
          <w:highlight w:val="none"/>
          <w:shd w:val="clear" w:color="auto" w:fill="FFFFFF"/>
          <w:lang w:bidi="ar"/>
        </w:rPr>
        <w:t>文件截止时间前完整的将加密电子</w:t>
      </w:r>
      <w:r>
        <w:rPr>
          <w:rFonts w:hint="eastAsia" w:ascii="仿宋" w:hAnsi="仿宋" w:eastAsia="仿宋" w:cs="仿宋"/>
          <w:color w:val="auto"/>
          <w:kern w:val="0"/>
          <w:sz w:val="24"/>
          <w:szCs w:val="24"/>
          <w:highlight w:val="none"/>
          <w:shd w:val="clear" w:color="auto" w:fill="FFFFFF"/>
          <w:lang w:val="en-US" w:eastAsia="zh-CN" w:bidi="ar"/>
        </w:rPr>
        <w:t>相应</w:t>
      </w:r>
      <w:r>
        <w:rPr>
          <w:rFonts w:hint="eastAsia" w:ascii="仿宋" w:hAnsi="仿宋" w:eastAsia="仿宋" w:cs="仿宋"/>
          <w:color w:val="auto"/>
          <w:kern w:val="0"/>
          <w:sz w:val="24"/>
          <w:szCs w:val="24"/>
          <w:highlight w:val="none"/>
          <w:shd w:val="clear" w:color="auto" w:fill="FFFFFF"/>
          <w:lang w:bidi="ar"/>
        </w:rPr>
        <w:t>文件（.GPT格式）上传到全国公共资源交易平台（贵州省）（网址：ggzy.guizhou.gov.cn ），截止时间前未完成</w:t>
      </w:r>
      <w:r>
        <w:rPr>
          <w:rFonts w:hint="eastAsia" w:ascii="仿宋" w:hAnsi="仿宋" w:eastAsia="仿宋" w:cs="仿宋"/>
          <w:color w:val="auto"/>
          <w:kern w:val="0"/>
          <w:sz w:val="24"/>
          <w:szCs w:val="24"/>
          <w:highlight w:val="none"/>
          <w:shd w:val="clear" w:color="auto" w:fill="FFFFFF"/>
          <w:lang w:val="en-US" w:eastAsia="zh-CN" w:bidi="ar"/>
        </w:rPr>
        <w:t>相应</w:t>
      </w:r>
      <w:r>
        <w:rPr>
          <w:rFonts w:hint="eastAsia" w:ascii="仿宋" w:hAnsi="仿宋" w:eastAsia="仿宋" w:cs="仿宋"/>
          <w:color w:val="auto"/>
          <w:kern w:val="0"/>
          <w:sz w:val="24"/>
          <w:szCs w:val="24"/>
          <w:highlight w:val="none"/>
          <w:shd w:val="clear" w:color="auto" w:fill="FFFFFF"/>
          <w:lang w:bidi="ar"/>
        </w:rPr>
        <w:t>文件传输的，视为撤回</w:t>
      </w:r>
      <w:r>
        <w:rPr>
          <w:rFonts w:hint="eastAsia" w:ascii="仿宋" w:hAnsi="仿宋" w:eastAsia="仿宋" w:cs="仿宋"/>
          <w:color w:val="auto"/>
          <w:kern w:val="0"/>
          <w:sz w:val="24"/>
          <w:szCs w:val="24"/>
          <w:highlight w:val="none"/>
          <w:shd w:val="clear" w:color="auto" w:fill="FFFFFF"/>
          <w:lang w:val="en-US" w:eastAsia="zh-CN" w:bidi="ar"/>
        </w:rPr>
        <w:t>相应</w:t>
      </w:r>
      <w:r>
        <w:rPr>
          <w:rFonts w:hint="eastAsia" w:ascii="仿宋" w:hAnsi="仿宋" w:eastAsia="仿宋" w:cs="仿宋"/>
          <w:color w:val="auto"/>
          <w:kern w:val="0"/>
          <w:sz w:val="24"/>
          <w:szCs w:val="24"/>
          <w:highlight w:val="none"/>
          <w:shd w:val="clear" w:color="auto" w:fill="FFFFFF"/>
          <w:lang w:bidi="ar"/>
        </w:rPr>
        <w:t>文件。截止时间后，贵州省公共资源交易平台不再接收</w:t>
      </w:r>
      <w:r>
        <w:rPr>
          <w:rFonts w:hint="eastAsia" w:ascii="仿宋" w:hAnsi="仿宋" w:eastAsia="仿宋" w:cs="仿宋"/>
          <w:color w:val="auto"/>
          <w:kern w:val="0"/>
          <w:sz w:val="24"/>
          <w:szCs w:val="24"/>
          <w:highlight w:val="none"/>
          <w:shd w:val="clear" w:color="auto" w:fill="FFFFFF"/>
          <w:lang w:val="en-US" w:eastAsia="zh-CN" w:bidi="ar"/>
        </w:rPr>
        <w:t>响应</w:t>
      </w:r>
      <w:r>
        <w:rPr>
          <w:rFonts w:hint="eastAsia" w:ascii="仿宋" w:hAnsi="仿宋" w:eastAsia="仿宋" w:cs="仿宋"/>
          <w:color w:val="auto"/>
          <w:kern w:val="0"/>
          <w:sz w:val="24"/>
          <w:szCs w:val="24"/>
          <w:highlight w:val="none"/>
          <w:shd w:val="clear" w:color="auto" w:fill="FFFFFF"/>
          <w:lang w:bidi="ar"/>
        </w:rPr>
        <w:t>文件。        </w:t>
      </w:r>
    </w:p>
    <w:p w14:paraId="0A6FB5D4">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b/>
          <w:bCs/>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bidi="ar"/>
        </w:rPr>
        <w:t>五、响应文件开启</w:t>
      </w:r>
    </w:p>
    <w:p w14:paraId="48E64E4A">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b w:val="0"/>
          <w:bCs w:val="0"/>
          <w:color w:val="auto"/>
          <w:kern w:val="0"/>
          <w:sz w:val="24"/>
          <w:szCs w:val="24"/>
          <w:highlight w:val="none"/>
          <w:shd w:val="clear" w:color="auto" w:fill="FFFFFF"/>
          <w:lang w:bidi="ar"/>
        </w:rPr>
        <w:t>解密时间：</w:t>
      </w:r>
      <w:r>
        <w:rPr>
          <w:rFonts w:hint="eastAsia" w:ascii="仿宋" w:hAnsi="仿宋" w:eastAsia="仿宋" w:cs="仿宋"/>
          <w:color w:val="auto"/>
          <w:kern w:val="0"/>
          <w:sz w:val="24"/>
          <w:szCs w:val="24"/>
          <w:highlight w:val="none"/>
          <w:shd w:val="clear" w:color="auto" w:fill="FFFFFF"/>
          <w:lang w:bidi="ar"/>
        </w:rPr>
        <w:t>202</w:t>
      </w:r>
      <w:r>
        <w:rPr>
          <w:rFonts w:hint="eastAsia" w:ascii="仿宋" w:hAnsi="仿宋" w:eastAsia="仿宋" w:cs="仿宋"/>
          <w:color w:val="auto"/>
          <w:kern w:val="0"/>
          <w:sz w:val="24"/>
          <w:szCs w:val="24"/>
          <w:highlight w:val="none"/>
          <w:shd w:val="clear" w:color="auto" w:fill="FFFFFF"/>
          <w:lang w:val="en-US" w:eastAsia="zh-CN" w:bidi="ar"/>
        </w:rPr>
        <w:t>5</w:t>
      </w:r>
      <w:r>
        <w:rPr>
          <w:rFonts w:hint="eastAsia" w:ascii="仿宋" w:hAnsi="仿宋" w:eastAsia="仿宋" w:cs="仿宋"/>
          <w:color w:val="auto"/>
          <w:kern w:val="0"/>
          <w:sz w:val="24"/>
          <w:szCs w:val="24"/>
          <w:highlight w:val="none"/>
          <w:shd w:val="clear" w:color="auto" w:fill="FFFFFF"/>
          <w:lang w:bidi="ar"/>
        </w:rPr>
        <w:t>年</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月</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日</w:t>
      </w:r>
      <w:r>
        <w:rPr>
          <w:rFonts w:hint="eastAsia" w:ascii="仿宋" w:hAnsi="仿宋" w:eastAsia="仿宋" w:cs="仿宋"/>
          <w:color w:val="auto"/>
          <w:kern w:val="0"/>
          <w:sz w:val="24"/>
          <w:szCs w:val="24"/>
          <w:highlight w:val="none"/>
          <w:shd w:val="clear" w:color="auto" w:fill="FFFFFF"/>
          <w:lang w:val="en-US" w:eastAsia="zh-CN" w:bidi="ar"/>
        </w:rPr>
        <w:t>09</w:t>
      </w:r>
      <w:r>
        <w:rPr>
          <w:rFonts w:hint="eastAsia" w:ascii="仿宋" w:hAnsi="仿宋" w:eastAsia="仿宋" w:cs="仿宋"/>
          <w:b w:val="0"/>
          <w:bCs w:val="0"/>
          <w:color w:val="auto"/>
          <w:kern w:val="0"/>
          <w:sz w:val="24"/>
          <w:szCs w:val="24"/>
          <w:highlight w:val="none"/>
          <w:shd w:val="clear" w:color="auto" w:fill="FFFFFF"/>
          <w:lang w:bidi="ar"/>
        </w:rPr>
        <w:t>时</w:t>
      </w:r>
      <w:r>
        <w:rPr>
          <w:rFonts w:hint="eastAsia" w:ascii="仿宋" w:hAnsi="仿宋" w:eastAsia="仿宋" w:cs="仿宋"/>
          <w:b w:val="0"/>
          <w:bCs w:val="0"/>
          <w:color w:val="auto"/>
          <w:kern w:val="0"/>
          <w:sz w:val="24"/>
          <w:szCs w:val="24"/>
          <w:highlight w:val="none"/>
          <w:shd w:val="clear" w:color="auto" w:fill="FFFFFF"/>
          <w:lang w:val="en-US" w:eastAsia="zh-CN" w:bidi="ar"/>
        </w:rPr>
        <w:t>30</w:t>
      </w:r>
      <w:r>
        <w:rPr>
          <w:rFonts w:hint="eastAsia" w:ascii="仿宋" w:hAnsi="仿宋" w:eastAsia="仿宋" w:cs="仿宋"/>
          <w:b w:val="0"/>
          <w:bCs w:val="0"/>
          <w:color w:val="auto"/>
          <w:kern w:val="0"/>
          <w:sz w:val="24"/>
          <w:szCs w:val="24"/>
          <w:highlight w:val="none"/>
          <w:shd w:val="clear" w:color="auto" w:fill="FFFFFF"/>
          <w:lang w:bidi="ar"/>
        </w:rPr>
        <w:t>分</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（北京时间）</w:t>
      </w:r>
    </w:p>
    <w:p w14:paraId="66DE251E">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b w:val="0"/>
          <w:bCs w:val="0"/>
          <w:color w:val="auto"/>
          <w:kern w:val="0"/>
          <w:sz w:val="24"/>
          <w:szCs w:val="24"/>
          <w:highlight w:val="none"/>
          <w:shd w:val="clear" w:color="auto" w:fill="FFFFFF"/>
          <w:lang w:val="en-US" w:eastAsia="zh-CN" w:bidi="ar"/>
        </w:rPr>
      </w:pPr>
      <w:r>
        <w:rPr>
          <w:rFonts w:hint="eastAsia" w:ascii="仿宋" w:hAnsi="仿宋" w:eastAsia="仿宋" w:cs="仿宋"/>
          <w:b w:val="0"/>
          <w:bCs w:val="0"/>
          <w:color w:val="auto"/>
          <w:kern w:val="0"/>
          <w:sz w:val="24"/>
          <w:szCs w:val="24"/>
          <w:highlight w:val="none"/>
          <w:shd w:val="clear" w:color="auto" w:fill="FFFFFF"/>
          <w:lang w:bidi="ar"/>
        </w:rPr>
        <w:t>开启</w:t>
      </w:r>
      <w:r>
        <w:rPr>
          <w:rFonts w:hint="eastAsia" w:ascii="仿宋" w:hAnsi="仿宋" w:eastAsia="仿宋" w:cs="仿宋"/>
          <w:b w:val="0"/>
          <w:bCs w:val="0"/>
          <w:color w:val="auto"/>
          <w:kern w:val="0"/>
          <w:sz w:val="24"/>
          <w:szCs w:val="24"/>
          <w:highlight w:val="none"/>
          <w:shd w:val="clear" w:color="auto" w:fill="FFFFFF"/>
          <w:lang w:val="en-US" w:eastAsia="zh-CN" w:bidi="ar"/>
        </w:rPr>
        <w:t>时间：</w:t>
      </w:r>
      <w:r>
        <w:rPr>
          <w:rFonts w:hint="eastAsia" w:ascii="仿宋" w:hAnsi="仿宋" w:eastAsia="仿宋" w:cs="仿宋"/>
          <w:color w:val="auto"/>
          <w:kern w:val="0"/>
          <w:sz w:val="24"/>
          <w:szCs w:val="24"/>
          <w:highlight w:val="none"/>
          <w:shd w:val="clear" w:color="auto" w:fill="FFFFFF"/>
          <w:lang w:bidi="ar"/>
        </w:rPr>
        <w:t>202</w:t>
      </w:r>
      <w:r>
        <w:rPr>
          <w:rFonts w:hint="eastAsia" w:ascii="仿宋" w:hAnsi="仿宋" w:eastAsia="仿宋" w:cs="仿宋"/>
          <w:color w:val="auto"/>
          <w:kern w:val="0"/>
          <w:sz w:val="24"/>
          <w:szCs w:val="24"/>
          <w:highlight w:val="none"/>
          <w:shd w:val="clear" w:color="auto" w:fill="FFFFFF"/>
          <w:lang w:val="en-US" w:eastAsia="zh-CN" w:bidi="ar"/>
        </w:rPr>
        <w:t>5</w:t>
      </w:r>
      <w:r>
        <w:rPr>
          <w:rFonts w:hint="eastAsia" w:ascii="仿宋" w:hAnsi="仿宋" w:eastAsia="仿宋" w:cs="仿宋"/>
          <w:color w:val="auto"/>
          <w:kern w:val="0"/>
          <w:sz w:val="24"/>
          <w:szCs w:val="24"/>
          <w:highlight w:val="none"/>
          <w:shd w:val="clear" w:color="auto" w:fill="FFFFFF"/>
          <w:lang w:bidi="ar"/>
        </w:rPr>
        <w:t>年</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月</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日</w:t>
      </w:r>
      <w:r>
        <w:rPr>
          <w:rFonts w:hint="eastAsia" w:ascii="仿宋" w:hAnsi="仿宋" w:eastAsia="仿宋" w:cs="仿宋"/>
          <w:color w:val="auto"/>
          <w:kern w:val="0"/>
          <w:sz w:val="24"/>
          <w:szCs w:val="24"/>
          <w:highlight w:val="none"/>
          <w:shd w:val="clear" w:color="auto" w:fill="FFFFFF"/>
          <w:lang w:val="en-US" w:eastAsia="zh-CN" w:bidi="ar"/>
        </w:rPr>
        <w:t>09</w:t>
      </w:r>
      <w:r>
        <w:rPr>
          <w:rFonts w:hint="eastAsia" w:ascii="仿宋" w:hAnsi="仿宋" w:eastAsia="仿宋" w:cs="仿宋"/>
          <w:b w:val="0"/>
          <w:bCs w:val="0"/>
          <w:color w:val="auto"/>
          <w:kern w:val="0"/>
          <w:sz w:val="24"/>
          <w:szCs w:val="24"/>
          <w:highlight w:val="none"/>
          <w:shd w:val="clear" w:color="auto" w:fill="FFFFFF"/>
          <w:lang w:bidi="ar"/>
        </w:rPr>
        <w:t>时</w:t>
      </w:r>
      <w:r>
        <w:rPr>
          <w:rFonts w:hint="eastAsia" w:ascii="仿宋" w:hAnsi="仿宋" w:eastAsia="仿宋" w:cs="仿宋"/>
          <w:b w:val="0"/>
          <w:bCs w:val="0"/>
          <w:color w:val="auto"/>
          <w:kern w:val="0"/>
          <w:sz w:val="24"/>
          <w:szCs w:val="24"/>
          <w:highlight w:val="none"/>
          <w:shd w:val="clear" w:color="auto" w:fill="FFFFFF"/>
          <w:lang w:val="en-US" w:eastAsia="zh-CN" w:bidi="ar"/>
        </w:rPr>
        <w:t>30</w:t>
      </w:r>
      <w:r>
        <w:rPr>
          <w:rFonts w:hint="eastAsia" w:ascii="仿宋" w:hAnsi="仿宋" w:eastAsia="仿宋" w:cs="仿宋"/>
          <w:b w:val="0"/>
          <w:bCs w:val="0"/>
          <w:color w:val="auto"/>
          <w:kern w:val="0"/>
          <w:sz w:val="24"/>
          <w:szCs w:val="24"/>
          <w:highlight w:val="none"/>
          <w:shd w:val="clear" w:color="auto" w:fill="FFFFFF"/>
          <w:lang w:bidi="ar"/>
        </w:rPr>
        <w:t>分</w:t>
      </w:r>
      <w:r>
        <w:rPr>
          <w:rFonts w:hint="eastAsia" w:ascii="仿宋" w:hAnsi="仿宋" w:eastAsia="仿宋" w:cs="仿宋"/>
          <w:color w:val="auto"/>
          <w:kern w:val="0"/>
          <w:sz w:val="24"/>
          <w:szCs w:val="24"/>
          <w:highlight w:val="none"/>
          <w:shd w:val="clear" w:color="auto" w:fill="FFFFFF"/>
          <w:lang w:val="en-US" w:eastAsia="zh-CN" w:bidi="ar"/>
        </w:rPr>
        <w:t xml:space="preserve"> </w:t>
      </w:r>
      <w:r>
        <w:rPr>
          <w:rFonts w:hint="eastAsia" w:ascii="仿宋" w:hAnsi="仿宋" w:eastAsia="仿宋" w:cs="仿宋"/>
          <w:color w:val="auto"/>
          <w:kern w:val="0"/>
          <w:sz w:val="24"/>
          <w:szCs w:val="24"/>
          <w:highlight w:val="none"/>
          <w:shd w:val="clear" w:color="auto" w:fill="FFFFFF"/>
          <w:lang w:bidi="ar"/>
        </w:rPr>
        <w:t>（北京时间）</w:t>
      </w:r>
    </w:p>
    <w:p w14:paraId="54CAC7B2">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default" w:ascii="仿宋" w:hAnsi="仿宋" w:eastAsia="仿宋" w:cs="仿宋"/>
          <w:b/>
          <w:bCs/>
          <w:color w:val="auto"/>
          <w:kern w:val="0"/>
          <w:sz w:val="24"/>
          <w:szCs w:val="24"/>
          <w:highlight w:val="none"/>
          <w:shd w:val="clear" w:color="auto" w:fill="FFFFFF"/>
          <w:lang w:val="en-US" w:eastAsia="zh-CN" w:bidi="ar"/>
        </w:rPr>
      </w:pPr>
      <w:r>
        <w:rPr>
          <w:rFonts w:hint="eastAsia" w:ascii="仿宋" w:hAnsi="仿宋" w:eastAsia="仿宋" w:cs="仿宋"/>
          <w:b w:val="0"/>
          <w:bCs w:val="0"/>
          <w:color w:val="auto"/>
          <w:kern w:val="0"/>
          <w:sz w:val="24"/>
          <w:szCs w:val="24"/>
          <w:highlight w:val="none"/>
          <w:shd w:val="clear" w:color="auto" w:fill="FFFFFF"/>
          <w:lang w:bidi="ar"/>
        </w:rPr>
        <w:t>地点：贵州省公共资源交易中心</w:t>
      </w:r>
    </w:p>
    <w:p w14:paraId="31483823">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b/>
          <w:bCs/>
          <w:color w:val="auto"/>
          <w:kern w:val="0"/>
          <w:sz w:val="24"/>
          <w:szCs w:val="24"/>
          <w:highlight w:val="none"/>
          <w:shd w:val="clear" w:color="auto" w:fill="FFFFFF"/>
          <w:lang w:eastAsia="zh-CN" w:bidi="ar"/>
        </w:rPr>
      </w:pPr>
      <w:r>
        <w:rPr>
          <w:rFonts w:hint="eastAsia" w:ascii="仿宋" w:hAnsi="仿宋" w:eastAsia="仿宋" w:cs="仿宋"/>
          <w:b/>
          <w:bCs/>
          <w:color w:val="auto"/>
          <w:kern w:val="0"/>
          <w:sz w:val="24"/>
          <w:szCs w:val="24"/>
          <w:highlight w:val="none"/>
          <w:shd w:val="clear" w:color="auto" w:fill="FFFFFF"/>
          <w:lang w:eastAsia="zh-CN" w:bidi="ar"/>
        </w:rPr>
        <w:t>六、公告期限</w:t>
      </w:r>
    </w:p>
    <w:p w14:paraId="52403ABB">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自本公告发布之日起5个工作日。</w:t>
      </w:r>
    </w:p>
    <w:p w14:paraId="36DB806B">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2"/>
        <w:textAlignment w:val="auto"/>
        <w:rPr>
          <w:rFonts w:hint="eastAsia" w:ascii="仿宋" w:hAnsi="仿宋" w:eastAsia="仿宋" w:cs="仿宋"/>
          <w:b/>
          <w:bCs/>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eastAsia="zh-CN" w:bidi="ar"/>
        </w:rPr>
        <w:t>七</w:t>
      </w:r>
      <w:r>
        <w:rPr>
          <w:rFonts w:hint="eastAsia" w:ascii="仿宋" w:hAnsi="仿宋" w:eastAsia="仿宋" w:cs="仿宋"/>
          <w:b/>
          <w:bCs/>
          <w:color w:val="auto"/>
          <w:kern w:val="0"/>
          <w:sz w:val="24"/>
          <w:szCs w:val="24"/>
          <w:highlight w:val="none"/>
          <w:shd w:val="clear" w:color="auto" w:fill="FFFFFF"/>
          <w:lang w:bidi="ar"/>
        </w:rPr>
        <w:t>、其他补充事宜</w:t>
      </w:r>
    </w:p>
    <w:p w14:paraId="13A06119">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1.是否需要提交样品或现场踏勘：</w:t>
      </w:r>
    </w:p>
    <w:p w14:paraId="2AA81D46">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标项1:否</w:t>
      </w:r>
    </w:p>
    <w:p w14:paraId="7468918E">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2.交货地点或服务地点</w:t>
      </w:r>
    </w:p>
    <w:p w14:paraId="3A7E70AE">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标项1：采购人指定地点</w:t>
      </w:r>
    </w:p>
    <w:p w14:paraId="6610D08A">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2"/>
        <w:textAlignment w:val="auto"/>
        <w:rPr>
          <w:rFonts w:hint="eastAsia" w:ascii="仿宋" w:hAnsi="仿宋" w:eastAsia="仿宋" w:cs="仿宋"/>
          <w:color w:val="auto"/>
          <w:kern w:val="0"/>
          <w:sz w:val="24"/>
          <w:szCs w:val="24"/>
          <w:highlight w:val="none"/>
          <w:shd w:val="clear" w:color="auto" w:fill="FFFFFF"/>
          <w:lang w:eastAsia="zh-CN" w:bidi="ar"/>
        </w:rPr>
      </w:pPr>
      <w:r>
        <w:rPr>
          <w:rFonts w:hint="eastAsia" w:ascii="仿宋" w:hAnsi="仿宋" w:eastAsia="仿宋" w:cs="仿宋"/>
          <w:color w:val="auto"/>
          <w:kern w:val="0"/>
          <w:sz w:val="24"/>
          <w:szCs w:val="24"/>
          <w:highlight w:val="none"/>
          <w:shd w:val="clear" w:color="auto" w:fill="FFFFFF"/>
          <w:lang w:bidi="ar"/>
        </w:rPr>
        <w:t>3.其他事项：</w:t>
      </w:r>
      <w:r>
        <w:rPr>
          <w:rFonts w:hint="eastAsia" w:ascii="仿宋" w:hAnsi="仿宋" w:eastAsia="仿宋" w:cs="仿宋"/>
          <w:color w:val="auto"/>
          <w:kern w:val="0"/>
          <w:sz w:val="24"/>
          <w:szCs w:val="24"/>
          <w:highlight w:val="none"/>
          <w:shd w:val="clear" w:color="auto" w:fill="FFFFFF"/>
          <w:lang w:val="en-US" w:eastAsia="zh-CN" w:bidi="ar"/>
        </w:rPr>
        <w:t>/</w:t>
      </w:r>
    </w:p>
    <w:p w14:paraId="73EED48A">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2"/>
        <w:textAlignment w:val="auto"/>
        <w:rPr>
          <w:rFonts w:hint="eastAsia" w:ascii="仿宋" w:hAnsi="仿宋" w:eastAsia="仿宋" w:cs="仿宋"/>
          <w:b/>
          <w:bCs/>
          <w:color w:val="auto"/>
          <w:kern w:val="0"/>
          <w:sz w:val="24"/>
          <w:szCs w:val="24"/>
          <w:highlight w:val="none"/>
          <w:shd w:val="clear" w:color="auto" w:fill="FFFFFF"/>
          <w:lang w:bidi="ar"/>
        </w:rPr>
      </w:pPr>
      <w:r>
        <w:rPr>
          <w:rFonts w:hint="eastAsia" w:ascii="仿宋" w:hAnsi="仿宋" w:eastAsia="仿宋" w:cs="仿宋"/>
          <w:b/>
          <w:bCs/>
          <w:color w:val="auto"/>
          <w:kern w:val="0"/>
          <w:sz w:val="24"/>
          <w:szCs w:val="24"/>
          <w:highlight w:val="none"/>
          <w:shd w:val="clear" w:color="auto" w:fill="FFFFFF"/>
          <w:lang w:eastAsia="zh-CN" w:bidi="ar"/>
        </w:rPr>
        <w:t>八</w:t>
      </w:r>
      <w:r>
        <w:rPr>
          <w:rFonts w:hint="eastAsia" w:ascii="仿宋" w:hAnsi="仿宋" w:eastAsia="仿宋" w:cs="仿宋"/>
          <w:b/>
          <w:bCs/>
          <w:color w:val="auto"/>
          <w:kern w:val="0"/>
          <w:sz w:val="24"/>
          <w:szCs w:val="24"/>
          <w:highlight w:val="none"/>
          <w:shd w:val="clear" w:color="auto" w:fill="FFFFFF"/>
          <w:lang w:bidi="ar"/>
        </w:rPr>
        <w:t>、对本次</w:t>
      </w:r>
      <w:r>
        <w:rPr>
          <w:rFonts w:hint="eastAsia" w:ascii="仿宋" w:hAnsi="仿宋" w:eastAsia="仿宋" w:cs="仿宋"/>
          <w:b/>
          <w:bCs/>
          <w:color w:val="auto"/>
          <w:kern w:val="0"/>
          <w:sz w:val="24"/>
          <w:szCs w:val="24"/>
          <w:highlight w:val="none"/>
          <w:shd w:val="clear" w:color="auto" w:fill="FFFFFF"/>
          <w:lang w:eastAsia="zh-CN" w:bidi="ar"/>
        </w:rPr>
        <w:t>采购</w:t>
      </w:r>
      <w:r>
        <w:rPr>
          <w:rFonts w:hint="eastAsia" w:ascii="仿宋" w:hAnsi="仿宋" w:eastAsia="仿宋" w:cs="仿宋"/>
          <w:b/>
          <w:bCs/>
          <w:color w:val="auto"/>
          <w:kern w:val="0"/>
          <w:sz w:val="24"/>
          <w:szCs w:val="24"/>
          <w:highlight w:val="none"/>
          <w:shd w:val="clear" w:color="auto" w:fill="FFFFFF"/>
          <w:lang w:bidi="ar"/>
        </w:rPr>
        <w:t>提出询问，请按以下方式联系</w:t>
      </w:r>
    </w:p>
    <w:p w14:paraId="5DF54D7C">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1.采购人信息</w:t>
      </w:r>
    </w:p>
    <w:p w14:paraId="0DF766ED">
      <w:pPr>
        <w:tabs>
          <w:tab w:val="left" w:pos="312"/>
        </w:tabs>
        <w:ind w:firstLine="480"/>
        <w:rPr>
          <w:rFonts w:hint="default" w:ascii="仿宋" w:hAnsi="仿宋" w:eastAsia="仿宋" w:cs="仿宋"/>
          <w:color w:val="auto"/>
          <w:kern w:val="0"/>
          <w:highlight w:val="none"/>
          <w:shd w:val="clear" w:color="auto" w:fill="FFFFFF"/>
          <w:lang w:val="en-US" w:eastAsia="zh-CN" w:bidi="ar"/>
        </w:rPr>
      </w:pPr>
      <w:r>
        <w:rPr>
          <w:rFonts w:hint="eastAsia" w:ascii="仿宋" w:hAnsi="仿宋" w:eastAsia="仿宋" w:cs="仿宋"/>
          <w:color w:val="auto"/>
          <w:kern w:val="0"/>
          <w:highlight w:val="none"/>
          <w:shd w:val="clear" w:color="auto" w:fill="FFFFFF"/>
          <w:lang w:bidi="ar"/>
        </w:rPr>
        <w:t>名称：</w:t>
      </w:r>
      <w:r>
        <w:rPr>
          <w:rFonts w:hint="eastAsia" w:ascii="仿宋" w:hAnsi="仿宋" w:eastAsia="仿宋" w:cs="仿宋"/>
          <w:color w:val="auto"/>
          <w:kern w:val="0"/>
          <w:highlight w:val="none"/>
          <w:shd w:val="clear" w:color="auto" w:fill="FFFFFF"/>
          <w:lang w:eastAsia="zh-CN" w:bidi="ar"/>
        </w:rPr>
        <w:t>贵州省住房和城乡建设厅</w:t>
      </w:r>
    </w:p>
    <w:p w14:paraId="456D448D">
      <w:pPr>
        <w:tabs>
          <w:tab w:val="left" w:pos="312"/>
        </w:tabs>
        <w:ind w:firstLine="480"/>
        <w:rPr>
          <w:rFonts w:hint="eastAsia" w:ascii="仿宋" w:hAnsi="仿宋" w:eastAsia="仿宋" w:cs="仿宋"/>
          <w:color w:val="auto"/>
          <w:kern w:val="0"/>
          <w:highlight w:val="none"/>
          <w:shd w:val="clear" w:color="auto" w:fill="FFFFFF"/>
          <w:lang w:eastAsia="zh-CN" w:bidi="ar"/>
        </w:rPr>
      </w:pPr>
      <w:r>
        <w:rPr>
          <w:rFonts w:hint="eastAsia" w:ascii="仿宋" w:hAnsi="仿宋" w:eastAsia="仿宋" w:cs="仿宋"/>
          <w:color w:val="auto"/>
          <w:kern w:val="0"/>
          <w:highlight w:val="none"/>
          <w:shd w:val="clear" w:color="auto" w:fill="FFFFFF"/>
          <w:lang w:bidi="ar"/>
        </w:rPr>
        <w:t>地址：</w:t>
      </w:r>
      <w:r>
        <w:rPr>
          <w:rFonts w:hint="eastAsia" w:ascii="仿宋" w:hAnsi="仿宋" w:eastAsia="仿宋" w:cs="仿宋"/>
          <w:color w:val="auto"/>
          <w:kern w:val="0"/>
          <w:sz w:val="24"/>
          <w:highlight w:val="none"/>
          <w:shd w:val="clear" w:color="auto" w:fill="FFFFFF"/>
        </w:rPr>
        <w:t>贵阳市云岩区延安西路2号</w:t>
      </w:r>
      <w:r>
        <w:rPr>
          <w:rFonts w:hint="eastAsia" w:ascii="仿宋" w:hAnsi="仿宋" w:eastAsia="仿宋" w:cs="仿宋"/>
          <w:color w:val="auto"/>
          <w:kern w:val="0"/>
          <w:highlight w:val="none"/>
          <w:shd w:val="clear" w:color="auto" w:fill="FFFFFF"/>
          <w:lang w:val="en-US" w:eastAsia="zh-CN" w:bidi="ar"/>
        </w:rPr>
        <w:t xml:space="preserve"> </w:t>
      </w:r>
    </w:p>
    <w:p w14:paraId="7D83A9A6">
      <w:pPr>
        <w:tabs>
          <w:tab w:val="left" w:pos="312"/>
        </w:tabs>
        <w:ind w:firstLine="480"/>
        <w:rPr>
          <w:rFonts w:hint="eastAsia" w:ascii="仿宋" w:hAnsi="仿宋" w:eastAsia="仿宋" w:cs="仿宋"/>
          <w:color w:val="auto"/>
          <w:kern w:val="0"/>
          <w:highlight w:val="none"/>
          <w:shd w:val="clear" w:color="auto" w:fill="FFFFFF"/>
          <w:lang w:eastAsia="zh-CN" w:bidi="ar"/>
        </w:rPr>
      </w:pPr>
      <w:r>
        <w:rPr>
          <w:rFonts w:hint="eastAsia" w:ascii="仿宋" w:hAnsi="仿宋" w:eastAsia="仿宋" w:cs="仿宋"/>
          <w:color w:val="auto"/>
          <w:kern w:val="0"/>
          <w:highlight w:val="none"/>
          <w:shd w:val="clear" w:color="auto" w:fill="FFFFFF"/>
          <w:lang w:eastAsia="zh-CN" w:bidi="ar"/>
        </w:rPr>
        <w:t>传真：</w:t>
      </w:r>
      <w:r>
        <w:rPr>
          <w:rFonts w:hint="eastAsia" w:ascii="仿宋" w:hAnsi="仿宋" w:eastAsia="仿宋" w:cs="仿宋"/>
          <w:color w:val="auto"/>
          <w:kern w:val="0"/>
          <w:highlight w:val="none"/>
          <w:shd w:val="clear" w:color="auto" w:fill="FFFFFF"/>
          <w:lang w:val="en-US" w:eastAsia="zh-CN" w:bidi="ar"/>
        </w:rPr>
        <w:t>/</w:t>
      </w:r>
    </w:p>
    <w:p w14:paraId="443D74B2">
      <w:pPr>
        <w:tabs>
          <w:tab w:val="left" w:pos="312"/>
        </w:tabs>
        <w:ind w:firstLine="480"/>
        <w:rPr>
          <w:rFonts w:hint="default" w:ascii="仿宋" w:hAnsi="仿宋" w:eastAsia="仿宋" w:cs="仿宋"/>
          <w:color w:val="FF0000"/>
          <w:kern w:val="0"/>
          <w:highlight w:val="none"/>
          <w:shd w:val="clear" w:color="auto" w:fill="FFFFFF"/>
          <w:lang w:val="en-US" w:eastAsia="zh-CN" w:bidi="ar"/>
        </w:rPr>
      </w:pPr>
      <w:r>
        <w:rPr>
          <w:rFonts w:hint="eastAsia" w:ascii="仿宋" w:hAnsi="仿宋" w:eastAsia="仿宋" w:cs="仿宋"/>
          <w:color w:val="FF0000"/>
          <w:kern w:val="0"/>
          <w:highlight w:val="none"/>
          <w:shd w:val="clear" w:color="auto" w:fill="FFFFFF"/>
          <w:lang w:eastAsia="zh-CN" w:bidi="ar"/>
        </w:rPr>
        <w:t>项目</w:t>
      </w:r>
      <w:r>
        <w:rPr>
          <w:rFonts w:hint="eastAsia" w:ascii="仿宋" w:hAnsi="仿宋" w:eastAsia="仿宋" w:cs="仿宋"/>
          <w:color w:val="FF0000"/>
          <w:kern w:val="0"/>
          <w:highlight w:val="none"/>
          <w:shd w:val="clear" w:color="auto" w:fill="FFFFFF"/>
          <w:lang w:bidi="ar"/>
        </w:rPr>
        <w:t>联系人</w:t>
      </w:r>
      <w:r>
        <w:rPr>
          <w:rFonts w:hint="eastAsia" w:ascii="仿宋" w:hAnsi="仿宋" w:eastAsia="仿宋" w:cs="仿宋"/>
          <w:color w:val="FF0000"/>
          <w:kern w:val="0"/>
          <w:highlight w:val="none"/>
          <w:shd w:val="clear" w:color="auto" w:fill="FFFFFF"/>
          <w:lang w:eastAsia="zh-CN" w:bidi="ar"/>
        </w:rPr>
        <w:t>：</w:t>
      </w:r>
      <w:r>
        <w:rPr>
          <w:rFonts w:hint="eastAsia" w:ascii="仿宋" w:hAnsi="仿宋" w:eastAsia="仿宋" w:cs="仿宋"/>
          <w:color w:val="FF0000"/>
          <w:kern w:val="0"/>
          <w:highlight w:val="none"/>
          <w:shd w:val="clear" w:color="auto" w:fill="FFFFFF"/>
          <w:lang w:val="en-US" w:eastAsia="zh-CN" w:bidi="ar"/>
        </w:rPr>
        <w:t>曾杰钰</w:t>
      </w:r>
    </w:p>
    <w:p w14:paraId="40EDB193">
      <w:pPr>
        <w:tabs>
          <w:tab w:val="left" w:pos="312"/>
        </w:tabs>
        <w:ind w:firstLine="480"/>
        <w:rPr>
          <w:rFonts w:hint="default" w:ascii="仿宋" w:hAnsi="仿宋" w:eastAsia="仿宋" w:cs="仿宋"/>
          <w:color w:val="FF0000"/>
          <w:kern w:val="0"/>
          <w:highlight w:val="none"/>
          <w:shd w:val="clear" w:color="auto" w:fill="FFFFFF"/>
          <w:lang w:val="en-US" w:eastAsia="zh-CN" w:bidi="ar"/>
        </w:rPr>
      </w:pPr>
      <w:r>
        <w:rPr>
          <w:rFonts w:hint="eastAsia" w:ascii="仿宋" w:hAnsi="仿宋" w:eastAsia="仿宋" w:cs="仿宋"/>
          <w:color w:val="FF0000"/>
          <w:kern w:val="0"/>
          <w:highlight w:val="none"/>
          <w:shd w:val="clear" w:color="auto" w:fill="FFFFFF"/>
          <w:lang w:bidi="ar"/>
        </w:rPr>
        <w:t>联系方式：</w:t>
      </w:r>
      <w:r>
        <w:rPr>
          <w:rFonts w:hint="eastAsia" w:ascii="仿宋" w:hAnsi="仿宋" w:eastAsia="仿宋" w:cs="仿宋"/>
          <w:color w:val="FF0000"/>
          <w:kern w:val="0"/>
          <w:highlight w:val="none"/>
          <w:shd w:val="clear" w:color="auto" w:fill="FFFFFF"/>
          <w:lang w:val="en-US" w:eastAsia="zh-CN" w:bidi="ar"/>
        </w:rPr>
        <w:t>18302682150</w:t>
      </w:r>
    </w:p>
    <w:p w14:paraId="4B297DEB">
      <w:pPr>
        <w:keepNext w:val="0"/>
        <w:keepLines w:val="0"/>
        <w:pageBreakBefore w:val="0"/>
        <w:widowControl w:val="0"/>
        <w:tabs>
          <w:tab w:val="left" w:pos="312"/>
        </w:tabs>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val="en-US" w:eastAsia="zh-CN" w:bidi="ar"/>
        </w:rPr>
        <w:t>2.采购</w:t>
      </w:r>
      <w:r>
        <w:rPr>
          <w:rFonts w:hint="eastAsia" w:ascii="仿宋" w:hAnsi="仿宋" w:eastAsia="仿宋" w:cs="仿宋"/>
          <w:color w:val="auto"/>
          <w:kern w:val="0"/>
          <w:sz w:val="24"/>
          <w:szCs w:val="24"/>
          <w:highlight w:val="none"/>
          <w:shd w:val="clear" w:color="auto" w:fill="FFFFFF"/>
          <w:lang w:bidi="ar"/>
        </w:rPr>
        <w:t xml:space="preserve">代理机构信息                                                    </w:t>
      </w:r>
    </w:p>
    <w:p w14:paraId="2C9DAA75">
      <w:pPr>
        <w:keepNext w:val="0"/>
        <w:keepLines w:val="0"/>
        <w:pageBreakBefore w:val="0"/>
        <w:widowControl w:val="0"/>
        <w:numPr>
          <w:ilvl w:val="0"/>
          <w:numId w:val="0"/>
        </w:numPr>
        <w:kinsoku/>
        <w:overflowPunct/>
        <w:autoSpaceDE/>
        <w:autoSpaceDN/>
        <w:bidi w:val="0"/>
        <w:adjustRightInd/>
        <w:snapToGrid/>
        <w:spacing w:before="0" w:beforeAutospacing="0" w:after="0" w:afterAutospacing="0" w:line="36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shd w:val="clear" w:color="auto" w:fill="FFFFFF"/>
          <w:lang w:eastAsia="zh-CN" w:bidi="ar"/>
        </w:rPr>
        <w:t>名称</w:t>
      </w:r>
      <w:r>
        <w:rPr>
          <w:rFonts w:hint="eastAsia" w:ascii="仿宋" w:hAnsi="仿宋" w:eastAsia="仿宋" w:cs="仿宋"/>
          <w:color w:val="auto"/>
          <w:kern w:val="0"/>
          <w:sz w:val="24"/>
          <w:szCs w:val="24"/>
          <w:highlight w:val="none"/>
          <w:shd w:val="clear" w:color="auto" w:fill="FFFFFF"/>
          <w:lang w:bidi="ar"/>
        </w:rPr>
        <w:t>：</w:t>
      </w:r>
      <w:r>
        <w:rPr>
          <w:rFonts w:hint="eastAsia" w:ascii="仿宋" w:hAnsi="仿宋" w:eastAsia="仿宋" w:cs="仿宋"/>
          <w:color w:val="auto"/>
          <w:sz w:val="24"/>
          <w:szCs w:val="24"/>
          <w:highlight w:val="none"/>
        </w:rPr>
        <w:t>贵州昱龙项目管理咨询有限公司</w:t>
      </w:r>
    </w:p>
    <w:p w14:paraId="1A677ACB">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sz w:val="24"/>
          <w:szCs w:val="24"/>
          <w:highlight w:val="none"/>
          <w:shd w:val="clear" w:color="auto" w:fill="FFFFFF"/>
          <w:lang w:bidi="ar"/>
        </w:rPr>
        <w:t>地址：贵阳市观山湖区合肥路70号恒大中央广场C1 B栋419室</w:t>
      </w:r>
    </w:p>
    <w:p w14:paraId="176FD5BC">
      <w:pPr>
        <w:tabs>
          <w:tab w:val="left" w:pos="312"/>
        </w:tabs>
        <w:ind w:firstLine="480"/>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highlight w:val="none"/>
          <w:shd w:val="clear" w:color="auto" w:fill="FFFFFF"/>
          <w:lang w:eastAsia="zh-CN" w:bidi="ar"/>
        </w:rPr>
        <w:t>传真：</w:t>
      </w:r>
      <w:r>
        <w:rPr>
          <w:rFonts w:hint="eastAsia" w:ascii="仿宋" w:hAnsi="仿宋" w:eastAsia="仿宋" w:cs="仿宋"/>
          <w:color w:val="auto"/>
          <w:kern w:val="0"/>
          <w:highlight w:val="none"/>
          <w:shd w:val="clear" w:color="auto" w:fill="FFFFFF"/>
          <w:lang w:val="en-US" w:eastAsia="zh-CN" w:bidi="ar"/>
        </w:rPr>
        <w:t>/</w:t>
      </w:r>
    </w:p>
    <w:p w14:paraId="4333BA74">
      <w:pPr>
        <w:spacing w:line="360" w:lineRule="auto"/>
        <w:ind w:firstLine="480"/>
        <w:rPr>
          <w:rFonts w:hint="eastAsia" w:ascii="仿宋" w:hAnsi="仿宋" w:eastAsia="仿宋" w:cs="仿宋"/>
          <w:color w:val="auto"/>
          <w:kern w:val="0"/>
          <w:highlight w:val="none"/>
          <w:shd w:val="clear" w:color="auto" w:fill="FFFFFF"/>
          <w:lang w:eastAsia="zh-CN" w:bidi="ar"/>
        </w:rPr>
      </w:pPr>
      <w:r>
        <w:rPr>
          <w:rFonts w:hint="eastAsia" w:ascii="仿宋" w:hAnsi="仿宋" w:eastAsia="仿宋" w:cs="仿宋"/>
          <w:color w:val="auto"/>
          <w:kern w:val="0"/>
          <w:highlight w:val="none"/>
          <w:shd w:val="clear" w:color="auto" w:fill="FFFFFF"/>
          <w:lang w:bidi="ar"/>
        </w:rPr>
        <w:t>项目联系人：</w:t>
      </w:r>
      <w:r>
        <w:rPr>
          <w:rFonts w:hint="eastAsia" w:ascii="仿宋" w:hAnsi="仿宋" w:eastAsia="仿宋" w:cs="仿宋"/>
          <w:color w:val="auto"/>
          <w:kern w:val="0"/>
          <w:highlight w:val="none"/>
          <w:shd w:val="clear" w:color="auto" w:fill="FFFFFF"/>
          <w:lang w:val="en-US" w:eastAsia="zh-CN" w:bidi="ar"/>
        </w:rPr>
        <w:t>苟明望</w:t>
      </w:r>
    </w:p>
    <w:p w14:paraId="1950E439">
      <w:pPr>
        <w:spacing w:line="360" w:lineRule="auto"/>
        <w:ind w:firstLine="480"/>
        <w:rPr>
          <w:rFonts w:ascii="仿宋" w:hAnsi="仿宋" w:eastAsia="仿宋" w:cs="仿宋"/>
          <w:color w:val="auto"/>
          <w:kern w:val="0"/>
          <w:highlight w:val="none"/>
          <w:shd w:val="clear" w:color="auto" w:fill="FFFFFF"/>
          <w:lang w:bidi="ar"/>
        </w:rPr>
      </w:pPr>
      <w:r>
        <w:rPr>
          <w:rFonts w:hint="eastAsia" w:ascii="仿宋" w:hAnsi="仿宋" w:eastAsia="仿宋" w:cs="仿宋"/>
          <w:color w:val="auto"/>
          <w:kern w:val="0"/>
          <w:highlight w:val="none"/>
          <w:shd w:val="clear" w:color="auto" w:fill="FFFFFF"/>
          <w:lang w:bidi="ar"/>
        </w:rPr>
        <w:t>联系方式：</w:t>
      </w:r>
      <w:r>
        <w:rPr>
          <w:rFonts w:hint="eastAsia" w:ascii="仿宋" w:hAnsi="仿宋" w:eastAsia="仿宋" w:cs="仿宋"/>
          <w:color w:val="auto"/>
          <w:kern w:val="0"/>
          <w:highlight w:val="none"/>
          <w:shd w:val="clear" w:color="auto" w:fill="FFFFFF"/>
          <w:lang w:eastAsia="zh-CN" w:bidi="ar"/>
        </w:rPr>
        <w:t>0851-</w:t>
      </w:r>
      <w:r>
        <w:rPr>
          <w:rFonts w:hint="eastAsia" w:ascii="仿宋" w:hAnsi="仿宋" w:eastAsia="仿宋" w:cs="仿宋"/>
          <w:color w:val="auto"/>
          <w:kern w:val="0"/>
          <w:highlight w:val="none"/>
          <w:shd w:val="clear" w:color="auto" w:fill="FFFFFF"/>
          <w:lang w:val="en-US" w:eastAsia="zh-CN" w:bidi="ar"/>
        </w:rPr>
        <w:t>85809113</w:t>
      </w:r>
      <w:r>
        <w:rPr>
          <w:rFonts w:hint="eastAsia" w:ascii="仿宋" w:hAnsi="仿宋" w:eastAsia="仿宋" w:cs="仿宋"/>
          <w:color w:val="auto"/>
          <w:kern w:val="0"/>
          <w:highlight w:val="none"/>
          <w:shd w:val="clear" w:color="auto" w:fill="FFFFFF"/>
          <w:lang w:bidi="ar"/>
        </w:rPr>
        <w:t xml:space="preserve">          </w:t>
      </w:r>
    </w:p>
    <w:p w14:paraId="0272C784">
      <w:pPr>
        <w:spacing w:line="360" w:lineRule="auto"/>
        <w:ind w:firstLine="480"/>
        <w:rPr>
          <w:rFonts w:ascii="仿宋" w:hAnsi="仿宋" w:eastAsia="仿宋" w:cs="仿宋"/>
          <w:color w:val="auto"/>
          <w:kern w:val="0"/>
          <w:highlight w:val="none"/>
          <w:shd w:val="clear" w:color="auto" w:fill="FFFFFF"/>
          <w:lang w:bidi="ar"/>
        </w:rPr>
      </w:pPr>
      <w:r>
        <w:rPr>
          <w:rFonts w:hint="eastAsia" w:ascii="仿宋" w:hAnsi="仿宋" w:eastAsia="仿宋" w:cs="仿宋"/>
          <w:color w:val="auto"/>
          <w:kern w:val="0"/>
          <w:highlight w:val="none"/>
          <w:shd w:val="clear" w:color="auto" w:fill="FFFFFF"/>
          <w:lang w:bidi="ar"/>
        </w:rPr>
        <w:t>3.项目联系方式</w:t>
      </w:r>
    </w:p>
    <w:p w14:paraId="0F31CF7A">
      <w:pPr>
        <w:spacing w:line="360" w:lineRule="auto"/>
        <w:ind w:firstLine="480"/>
        <w:rPr>
          <w:rFonts w:hint="eastAsia" w:ascii="仿宋" w:hAnsi="仿宋" w:eastAsia="仿宋" w:cs="仿宋"/>
          <w:color w:val="auto"/>
          <w:kern w:val="0"/>
          <w:highlight w:val="none"/>
          <w:shd w:val="clear" w:color="auto" w:fill="FFFFFF"/>
          <w:lang w:eastAsia="zh-CN" w:bidi="ar"/>
        </w:rPr>
      </w:pPr>
      <w:r>
        <w:rPr>
          <w:rFonts w:hint="eastAsia" w:ascii="仿宋" w:hAnsi="仿宋" w:eastAsia="仿宋" w:cs="仿宋"/>
          <w:color w:val="auto"/>
          <w:kern w:val="0"/>
          <w:highlight w:val="none"/>
          <w:shd w:val="clear" w:color="auto" w:fill="FFFFFF"/>
          <w:lang w:bidi="ar"/>
        </w:rPr>
        <w:t>项目联系人：</w:t>
      </w:r>
      <w:r>
        <w:rPr>
          <w:rFonts w:hint="eastAsia" w:ascii="仿宋" w:hAnsi="仿宋" w:eastAsia="仿宋" w:cs="仿宋"/>
          <w:color w:val="auto"/>
          <w:kern w:val="0"/>
          <w:highlight w:val="none"/>
          <w:shd w:val="clear" w:color="auto" w:fill="FFFFFF"/>
          <w:lang w:val="en-US" w:eastAsia="zh-CN" w:bidi="ar"/>
        </w:rPr>
        <w:t>苟明望</w:t>
      </w:r>
    </w:p>
    <w:p w14:paraId="0E84E4E2">
      <w:pPr>
        <w:keepNext w:val="0"/>
        <w:keepLines w:val="0"/>
        <w:pageBreakBefore w:val="0"/>
        <w:widowControl w:val="0"/>
        <w:kinsoku/>
        <w:overflowPunct/>
        <w:autoSpaceDE/>
        <w:autoSpaceDN/>
        <w:bidi w:val="0"/>
        <w:adjustRightInd/>
        <w:snapToGrid/>
        <w:spacing w:before="0" w:beforeAutospacing="0" w:after="0" w:afterAutospacing="0" w:line="360" w:lineRule="auto"/>
        <w:ind w:left="0" w:leftChars="0" w:firstLine="480"/>
        <w:textAlignment w:val="auto"/>
        <w:rPr>
          <w:rFonts w:hint="eastAsia" w:ascii="仿宋" w:hAnsi="仿宋" w:eastAsia="仿宋" w:cs="仿宋"/>
          <w:color w:val="auto"/>
          <w:kern w:val="0"/>
          <w:sz w:val="24"/>
          <w:szCs w:val="24"/>
          <w:highlight w:val="none"/>
          <w:shd w:val="clear" w:color="auto" w:fill="FFFFFF"/>
          <w:lang w:bidi="ar"/>
        </w:rPr>
      </w:pPr>
      <w:r>
        <w:rPr>
          <w:rFonts w:hint="eastAsia" w:ascii="仿宋" w:hAnsi="仿宋" w:eastAsia="仿宋" w:cs="仿宋"/>
          <w:color w:val="auto"/>
          <w:kern w:val="0"/>
          <w:highlight w:val="none"/>
          <w:shd w:val="clear" w:color="auto" w:fill="FFFFFF"/>
          <w:lang w:bidi="ar"/>
        </w:rPr>
        <w:t>电话：</w:t>
      </w:r>
      <w:r>
        <w:rPr>
          <w:rFonts w:hint="eastAsia" w:ascii="仿宋" w:hAnsi="仿宋" w:eastAsia="仿宋" w:cs="仿宋"/>
          <w:color w:val="auto"/>
          <w:kern w:val="0"/>
          <w:highlight w:val="none"/>
          <w:shd w:val="clear" w:color="auto" w:fill="FFFFFF"/>
          <w:lang w:eastAsia="zh-CN" w:bidi="ar"/>
        </w:rPr>
        <w:t>0851-85809113</w:t>
      </w:r>
      <w:r>
        <w:rPr>
          <w:rFonts w:hint="eastAsia" w:ascii="仿宋" w:hAnsi="仿宋" w:eastAsia="仿宋" w:cs="仿宋"/>
          <w:color w:val="auto"/>
          <w:kern w:val="0"/>
          <w:highlight w:val="none"/>
          <w:shd w:val="clear" w:color="auto" w:fill="FFFFFF"/>
          <w:lang w:bidi="ar"/>
        </w:rPr>
        <w:t xml:space="preserve"> </w:t>
      </w:r>
      <w:r>
        <w:rPr>
          <w:rFonts w:hint="eastAsia" w:ascii="仿宋" w:hAnsi="仿宋" w:eastAsia="仿宋" w:cs="仿宋"/>
          <w:color w:val="auto"/>
          <w:kern w:val="0"/>
          <w:sz w:val="24"/>
          <w:szCs w:val="24"/>
          <w:highlight w:val="none"/>
          <w:shd w:val="clear" w:color="auto" w:fill="FFFFFF"/>
          <w:lang w:bidi="ar"/>
        </w:rPr>
        <w:t xml:space="preserve">  </w:t>
      </w:r>
    </w:p>
    <w:p w14:paraId="36FE56CB">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E68F551">
      <w:pPr>
        <w:pStyle w:val="14"/>
        <w:tabs>
          <w:tab w:val="right" w:leader="dot" w:pos="8721"/>
        </w:tabs>
        <w:spacing w:line="300" w:lineRule="auto"/>
        <w:ind w:left="0" w:leftChars="0" w:firstLine="0" w:firstLineChars="0"/>
        <w:jc w:val="center"/>
        <w:rPr>
          <w:rFonts w:ascii="仿宋" w:hAnsi="仿宋" w:eastAsia="仿宋" w:cstheme="minorEastAsia"/>
          <w:color w:val="auto"/>
          <w:highlight w:val="none"/>
          <w:u w:val="single"/>
        </w:rPr>
      </w:pPr>
      <w:r>
        <w:rPr>
          <w:rFonts w:hint="eastAsia" w:ascii="仿宋" w:hAnsi="仿宋" w:eastAsia="仿宋" w:cstheme="minorEastAsia"/>
          <w:color w:val="auto"/>
          <w:sz w:val="44"/>
          <w:highlight w:val="none"/>
        </w:rPr>
        <w:t>第一部分 专用部分</w:t>
      </w:r>
      <w:bookmarkEnd w:id="0"/>
      <w:bookmarkEnd w:id="1"/>
      <w:bookmarkEnd w:id="2"/>
      <w:bookmarkEnd w:id="3"/>
      <w:bookmarkEnd w:id="4"/>
    </w:p>
    <w:p w14:paraId="07FDD875">
      <w:pPr>
        <w:pStyle w:val="5"/>
        <w:spacing w:before="120" w:after="120"/>
        <w:rPr>
          <w:rFonts w:ascii="仿宋" w:hAnsi="仿宋" w:eastAsia="仿宋" w:cstheme="minorEastAsia"/>
          <w:color w:val="auto"/>
          <w:sz w:val="30"/>
          <w:szCs w:val="30"/>
          <w:highlight w:val="none"/>
        </w:rPr>
      </w:pPr>
      <w:bookmarkStart w:id="7" w:name="_Toc407169869"/>
      <w:bookmarkStart w:id="8" w:name="_Toc407182661"/>
      <w:bookmarkStart w:id="9" w:name="_Toc2603"/>
      <w:r>
        <w:rPr>
          <w:rFonts w:hint="eastAsia" w:ascii="仿宋" w:hAnsi="仿宋" w:eastAsia="仿宋" w:cstheme="minorEastAsia"/>
          <w:color w:val="auto"/>
          <w:sz w:val="30"/>
          <w:szCs w:val="30"/>
          <w:highlight w:val="none"/>
        </w:rPr>
        <w:t>第一章 采购范围</w:t>
      </w:r>
      <w:bookmarkEnd w:id="7"/>
      <w:bookmarkEnd w:id="8"/>
      <w:bookmarkEnd w:id="9"/>
    </w:p>
    <w:p w14:paraId="7F74FC6D">
      <w:pPr>
        <w:pStyle w:val="6"/>
        <w:spacing w:before="240" w:after="240"/>
        <w:rPr>
          <w:rFonts w:ascii="仿宋" w:hAnsi="仿宋" w:eastAsia="仿宋" w:cstheme="minorEastAsia"/>
          <w:color w:val="auto"/>
          <w:highlight w:val="none"/>
        </w:rPr>
      </w:pPr>
      <w:bookmarkStart w:id="10" w:name="_Toc27518"/>
      <w:bookmarkStart w:id="11" w:name="_Toc407182662"/>
      <w:r>
        <w:rPr>
          <w:rFonts w:hint="eastAsia" w:ascii="仿宋" w:hAnsi="仿宋" w:eastAsia="仿宋" w:cstheme="minorEastAsia"/>
          <w:color w:val="auto"/>
          <w:sz w:val="30"/>
          <w:szCs w:val="30"/>
          <w:highlight w:val="none"/>
        </w:rPr>
        <w:t>第一节 采购项目概述</w:t>
      </w:r>
      <w:bookmarkEnd w:id="10"/>
      <w:bookmarkEnd w:id="11"/>
    </w:p>
    <w:p w14:paraId="673BF73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一、项目概述</w:t>
      </w:r>
    </w:p>
    <w:p w14:paraId="4FD97572">
      <w:pPr>
        <w:bidi w:val="0"/>
        <w:rPr>
          <w:rFonts w:hint="default"/>
          <w:color w:val="auto"/>
          <w:highlight w:val="none"/>
          <w:lang w:val="en-US" w:eastAsia="zh-CN"/>
        </w:rPr>
      </w:pPr>
      <w:r>
        <w:rPr>
          <w:rFonts w:hint="default"/>
          <w:color w:val="auto"/>
          <w:highlight w:val="none"/>
          <w:lang w:val="en-US" w:eastAsia="zh-CN"/>
        </w:rPr>
        <w:t>根据省财政厅印发的《省级规划编制项目支出预算标准(试行)》和《贵州省住房城乡建设领域“十五五”规划编制工作方案》，为做好贵州省“十五五”住房城乡建设事业高质量发展规划编制工作。</w:t>
      </w:r>
    </w:p>
    <w:p w14:paraId="26FA53FE">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二、资金来源</w:t>
      </w:r>
    </w:p>
    <w:p w14:paraId="4911BD8C">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本项目资金来源为财政性资金。项目采购预算为</w:t>
      </w:r>
      <w:r>
        <w:rPr>
          <w:rFonts w:hint="eastAsia" w:ascii="仿宋" w:hAnsi="仿宋" w:eastAsia="仿宋" w:cstheme="minorEastAsia"/>
          <w:color w:val="auto"/>
          <w:highlight w:val="none"/>
          <w:u w:val="single"/>
          <w:lang w:val="en-US" w:eastAsia="zh-CN"/>
        </w:rPr>
        <w:t>壹佰陆拾壹万肆仟元整</w:t>
      </w:r>
      <w:r>
        <w:rPr>
          <w:rFonts w:hint="eastAsia" w:ascii="仿宋" w:hAnsi="仿宋" w:eastAsia="仿宋" w:cstheme="minorEastAsia"/>
          <w:color w:val="auto"/>
          <w:highlight w:val="none"/>
        </w:rPr>
        <w:t>（￥</w:t>
      </w:r>
      <w:r>
        <w:rPr>
          <w:rFonts w:hint="eastAsia" w:ascii="仿宋" w:hAnsi="仿宋" w:eastAsia="仿宋" w:cstheme="minorEastAsia"/>
          <w:color w:val="auto"/>
          <w:highlight w:val="none"/>
          <w:u w:val="single"/>
          <w:lang w:val="en-US" w:eastAsia="zh-CN"/>
        </w:rPr>
        <w:t>1614000.00</w:t>
      </w:r>
      <w:r>
        <w:rPr>
          <w:rFonts w:hint="eastAsia" w:ascii="仿宋" w:hAnsi="仿宋" w:eastAsia="仿宋" w:cstheme="minorEastAsia"/>
          <w:color w:val="auto"/>
          <w:highlight w:val="none"/>
          <w:u w:val="single"/>
        </w:rPr>
        <w:t>元</w:t>
      </w:r>
      <w:r>
        <w:rPr>
          <w:rFonts w:hint="eastAsia" w:ascii="仿宋" w:hAnsi="仿宋" w:eastAsia="仿宋" w:cstheme="minorEastAsia"/>
          <w:color w:val="auto"/>
          <w:highlight w:val="none"/>
        </w:rPr>
        <w:t>）。</w:t>
      </w:r>
    </w:p>
    <w:p w14:paraId="38981E12">
      <w:pPr>
        <w:spacing w:before="120" w:beforeLines="50" w:after="120" w:afterLines="50"/>
        <w:ind w:firstLine="480"/>
        <w:rPr>
          <w:rFonts w:ascii="仿宋" w:hAnsi="仿宋" w:eastAsia="仿宋" w:cstheme="minorEastAsia"/>
          <w:color w:val="auto"/>
          <w:highlight w:val="none"/>
          <w:u w:val="single"/>
        </w:rPr>
      </w:pPr>
      <w:r>
        <w:rPr>
          <w:rFonts w:hint="eastAsia" w:ascii="仿宋" w:hAnsi="仿宋" w:eastAsia="仿宋" w:cstheme="minorEastAsia"/>
          <w:color w:val="auto"/>
          <w:highlight w:val="none"/>
        </w:rPr>
        <w:t>本项目的最高限价为：</w:t>
      </w:r>
    </w:p>
    <w:p w14:paraId="247DFEE1">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大写：</w:t>
      </w:r>
      <w:r>
        <w:rPr>
          <w:rFonts w:hint="eastAsia" w:ascii="仿宋" w:hAnsi="仿宋" w:eastAsia="仿宋" w:cstheme="minorEastAsia"/>
          <w:color w:val="auto"/>
          <w:highlight w:val="none"/>
          <w:u w:val="single"/>
          <w:lang w:val="en-US" w:eastAsia="zh-CN"/>
        </w:rPr>
        <w:t>壹佰陆拾壹万肆仟元整</w:t>
      </w:r>
      <w:r>
        <w:rPr>
          <w:rFonts w:hint="eastAsia" w:ascii="仿宋" w:hAnsi="仿宋" w:eastAsia="仿宋" w:cstheme="minorEastAsia"/>
          <w:color w:val="auto"/>
          <w:highlight w:val="none"/>
        </w:rPr>
        <w:t xml:space="preserve">。                  </w:t>
      </w:r>
    </w:p>
    <w:p w14:paraId="02974BC2">
      <w:pPr>
        <w:spacing w:before="120" w:beforeLines="50" w:after="120" w:afterLines="50"/>
        <w:ind w:firstLine="480"/>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rPr>
        <w:t>小写：</w:t>
      </w:r>
      <w:r>
        <w:rPr>
          <w:rFonts w:hint="eastAsia" w:ascii="仿宋" w:hAnsi="仿宋" w:eastAsia="仿宋" w:cstheme="minorEastAsia"/>
          <w:color w:val="auto"/>
          <w:highlight w:val="none"/>
          <w:u w:val="single"/>
          <w:lang w:val="en-US" w:eastAsia="zh-CN"/>
        </w:rPr>
        <w:t>1614000.00元</w:t>
      </w:r>
      <w:r>
        <w:rPr>
          <w:rFonts w:hint="eastAsia" w:ascii="仿宋" w:hAnsi="仿宋" w:eastAsia="仿宋" w:cstheme="minorEastAsia"/>
          <w:color w:val="auto"/>
          <w:highlight w:val="none"/>
          <w:lang w:eastAsia="zh-CN"/>
        </w:rPr>
        <w:t>。</w:t>
      </w:r>
    </w:p>
    <w:p w14:paraId="5E186F90">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三、采购合同管理：</w:t>
      </w:r>
    </w:p>
    <w:p w14:paraId="5DFECB60">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1.是否允许分包：</w:t>
      </w:r>
      <w:r>
        <w:rPr>
          <w:rFonts w:hint="eastAsia" w:ascii="仿宋" w:hAnsi="仿宋" w:eastAsia="仿宋" w:cstheme="minorEastAsia"/>
          <w:color w:val="auto"/>
          <w:highlight w:val="none"/>
          <w:u w:val="single"/>
        </w:rPr>
        <w:t xml:space="preserve"> 否 </w:t>
      </w:r>
    </w:p>
    <w:p w14:paraId="0D8EEDDF">
      <w:pPr>
        <w:spacing w:before="120" w:beforeLines="50" w:after="120" w:afterLines="50"/>
        <w:ind w:firstLine="480"/>
        <w:rPr>
          <w:rFonts w:hint="eastAsia" w:ascii="仿宋" w:hAnsi="仿宋" w:eastAsia="仿宋" w:cstheme="minorEastAsia"/>
          <w:color w:val="auto"/>
          <w:highlight w:val="none"/>
          <w:u w:val="single"/>
        </w:rPr>
      </w:pPr>
      <w:r>
        <w:rPr>
          <w:rFonts w:hint="eastAsia" w:ascii="仿宋" w:hAnsi="仿宋" w:eastAsia="仿宋" w:cstheme="minorEastAsia"/>
          <w:color w:val="auto"/>
          <w:highlight w:val="none"/>
        </w:rPr>
        <w:t>2.</w:t>
      </w:r>
      <w:r>
        <w:rPr>
          <w:rFonts w:hint="eastAsia" w:ascii="仿宋" w:hAnsi="仿宋" w:eastAsia="仿宋" w:cs="宋体"/>
          <w:color w:val="auto"/>
          <w:kern w:val="0"/>
          <w:sz w:val="20"/>
          <w:szCs w:val="20"/>
          <w:highlight w:val="none"/>
        </w:rPr>
        <w:t xml:space="preserve"> </w:t>
      </w:r>
      <w:r>
        <w:rPr>
          <w:rFonts w:hint="eastAsia" w:ascii="仿宋" w:hAnsi="仿宋" w:eastAsia="仿宋" w:cstheme="minorEastAsia"/>
          <w:color w:val="auto"/>
          <w:highlight w:val="none"/>
        </w:rPr>
        <w:t>分包履行的具体内容、金额或者比例：</w:t>
      </w:r>
      <w:r>
        <w:rPr>
          <w:rFonts w:hint="eastAsia" w:ascii="仿宋" w:hAnsi="仿宋" w:eastAsia="仿宋" w:cstheme="minorEastAsia"/>
          <w:color w:val="auto"/>
          <w:highlight w:val="none"/>
          <w:u w:val="single"/>
        </w:rPr>
        <w:t xml:space="preserve"> /    </w:t>
      </w:r>
    </w:p>
    <w:p w14:paraId="36DEBB62">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四、根据《政府采购促进中小企业发展管理办法》财库〔2020〕46号规定</w:t>
      </w:r>
    </w:p>
    <w:p w14:paraId="060744BC">
      <w:pPr>
        <w:spacing w:before="120" w:beforeLines="50" w:after="120" w:afterLines="50"/>
        <w:ind w:firstLine="480"/>
        <w:rPr>
          <w:rFonts w:hint="eastAsia" w:ascii="仿宋" w:hAnsi="仿宋" w:eastAsia="仿宋" w:cstheme="minorEastAsia"/>
          <w:color w:val="auto"/>
          <w:highlight w:val="none"/>
          <w:lang w:val="en-US" w:eastAsia="zh-CN"/>
        </w:rPr>
      </w:pPr>
      <w:r>
        <w:rPr>
          <w:rFonts w:hint="eastAsia" w:ascii="仿宋" w:hAnsi="仿宋" w:eastAsia="仿宋" w:cstheme="minorEastAsia"/>
          <w:color w:val="auto"/>
          <w:highlight w:val="none"/>
        </w:rPr>
        <w:t>本项目是否专门面向中小企业采购：</w:t>
      </w:r>
      <w:r>
        <w:rPr>
          <w:rFonts w:hint="eastAsia" w:ascii="仿宋" w:hAnsi="仿宋" w:eastAsia="仿宋" w:cstheme="minorEastAsia"/>
          <w:color w:val="auto"/>
          <w:highlight w:val="none"/>
          <w:u w:val="single"/>
          <w:lang w:val="en-US" w:eastAsia="zh-CN"/>
        </w:rPr>
        <w:t>否</w:t>
      </w:r>
      <w:r>
        <w:rPr>
          <w:rFonts w:hint="eastAsia" w:ascii="仿宋" w:hAnsi="仿宋" w:eastAsia="仿宋" w:cstheme="minorEastAsia"/>
          <w:color w:val="auto"/>
          <w:highlight w:val="none"/>
        </w:rPr>
        <w:t>，具体内容为：</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u w:val="single"/>
          <w:lang w:val="en-US" w:eastAsia="zh-CN"/>
        </w:rPr>
        <w:t>/</w:t>
      </w:r>
    </w:p>
    <w:p w14:paraId="0D6FA5C4">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特别提示：如采购项目或品目涉及中小企业采购的，采购文件应当遵守《政府采购促进中小企业发展管理办法》财库〔2020〕46号第十二条规定。</w:t>
      </w:r>
    </w:p>
    <w:p w14:paraId="1F42DE60">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五、竞争性磋商文件解释权</w:t>
      </w:r>
    </w:p>
    <w:p w14:paraId="6D93650D">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本项目竞争性磋商文件的最终解释权归采购人。</w:t>
      </w:r>
    </w:p>
    <w:p w14:paraId="457F45BD">
      <w:pPr>
        <w:spacing w:before="120" w:beforeLines="50" w:after="120" w:afterLines="50"/>
        <w:ind w:firstLine="480"/>
        <w:rPr>
          <w:rFonts w:ascii="仿宋" w:hAnsi="仿宋" w:eastAsia="仿宋" w:cstheme="minorEastAsia"/>
          <w:color w:val="auto"/>
          <w:highlight w:val="none"/>
        </w:rPr>
      </w:pPr>
      <w:bookmarkStart w:id="12" w:name="_Toc407182663"/>
      <w:r>
        <w:rPr>
          <w:rFonts w:hint="eastAsia" w:ascii="仿宋" w:hAnsi="仿宋" w:eastAsia="仿宋" w:cstheme="minorEastAsia"/>
          <w:color w:val="auto"/>
          <w:highlight w:val="none"/>
        </w:rPr>
        <w:t>六、采 购 人</w:t>
      </w:r>
    </w:p>
    <w:p w14:paraId="32DCF362">
      <w:pPr>
        <w:spacing w:before="120" w:beforeLines="50" w:after="120" w:afterLines="50"/>
        <w:ind w:firstLine="480"/>
        <w:jc w:val="both"/>
        <w:rPr>
          <w:rFonts w:hint="eastAsia" w:ascii="仿宋" w:hAnsi="仿宋" w:eastAsia="仿宋" w:cstheme="minorEastAsia"/>
          <w:color w:val="auto"/>
          <w:highlight w:val="none"/>
          <w:u w:val="single"/>
          <w:lang w:eastAsia="zh-CN"/>
        </w:rPr>
      </w:pPr>
      <w:r>
        <w:rPr>
          <w:rFonts w:hint="eastAsia" w:ascii="仿宋" w:hAnsi="仿宋" w:eastAsia="仿宋" w:cstheme="minorEastAsia"/>
          <w:color w:val="auto"/>
          <w:highlight w:val="none"/>
        </w:rPr>
        <w:t>1.采购人名称：</w:t>
      </w:r>
      <w:r>
        <w:rPr>
          <w:rFonts w:hint="eastAsia" w:ascii="仿宋" w:hAnsi="仿宋" w:eastAsia="仿宋" w:cstheme="minorEastAsia"/>
          <w:color w:val="auto"/>
          <w:highlight w:val="none"/>
          <w:u w:val="single"/>
          <w:lang w:eastAsia="zh-CN"/>
        </w:rPr>
        <w:t xml:space="preserve"> 贵州省住房和城乡建设厅    </w:t>
      </w:r>
    </w:p>
    <w:p w14:paraId="1483AF90">
      <w:pPr>
        <w:spacing w:before="120" w:beforeLines="50" w:after="120" w:afterLines="50"/>
        <w:ind w:firstLine="480"/>
        <w:jc w:val="both"/>
        <w:rPr>
          <w:rFonts w:hint="eastAsia" w:ascii="仿宋" w:hAnsi="仿宋" w:eastAsia="仿宋" w:cstheme="minorEastAsia"/>
          <w:color w:val="auto"/>
          <w:highlight w:val="none"/>
          <w:u w:val="single"/>
          <w:lang w:eastAsia="zh-CN"/>
        </w:rPr>
      </w:pPr>
      <w:r>
        <w:rPr>
          <w:rFonts w:hint="eastAsia" w:ascii="仿宋" w:hAnsi="仿宋" w:eastAsia="仿宋" w:cstheme="minorEastAsia"/>
          <w:color w:val="auto"/>
          <w:highlight w:val="none"/>
        </w:rPr>
        <w:t>2.地      址：</w:t>
      </w:r>
      <w:r>
        <w:rPr>
          <w:rFonts w:hint="eastAsia" w:ascii="仿宋" w:hAnsi="仿宋" w:eastAsia="仿宋" w:cstheme="minorEastAsia"/>
          <w:color w:val="auto"/>
          <w:highlight w:val="none"/>
          <w:u w:val="single"/>
          <w:lang w:eastAsia="zh-CN"/>
        </w:rPr>
        <w:t xml:space="preserve"> 贵阳市云岩区延安西路2号 </w:t>
      </w:r>
    </w:p>
    <w:p w14:paraId="7F69AA50">
      <w:pPr>
        <w:spacing w:before="120" w:beforeLines="50" w:after="120" w:afterLines="50"/>
        <w:ind w:firstLine="480"/>
        <w:jc w:val="both"/>
        <w:rPr>
          <w:rFonts w:hint="eastAsia" w:ascii="仿宋" w:hAnsi="仿宋" w:eastAsia="仿宋" w:cstheme="minorEastAsia"/>
          <w:color w:val="auto"/>
          <w:highlight w:val="none"/>
          <w:u w:val="single"/>
          <w:lang w:eastAsia="zh-CN"/>
        </w:rPr>
      </w:pPr>
      <w:r>
        <w:rPr>
          <w:rFonts w:hint="eastAsia" w:ascii="仿宋" w:hAnsi="仿宋" w:eastAsia="仿宋" w:cstheme="minorEastAsia"/>
          <w:color w:val="auto"/>
          <w:highlight w:val="none"/>
        </w:rPr>
        <w:t xml:space="preserve">3.联  系  人： </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u w:val="single"/>
          <w:lang w:val="en-US" w:eastAsia="zh-CN"/>
        </w:rPr>
        <w:t>曾杰钰</w:t>
      </w:r>
      <w:r>
        <w:rPr>
          <w:rFonts w:hint="eastAsia" w:ascii="仿宋" w:hAnsi="仿宋" w:eastAsia="仿宋" w:cstheme="minorEastAsia"/>
          <w:color w:val="auto"/>
          <w:highlight w:val="none"/>
          <w:u w:val="single"/>
          <w:lang w:eastAsia="zh-CN"/>
        </w:rPr>
        <w:t xml:space="preserve">  </w:t>
      </w:r>
    </w:p>
    <w:p w14:paraId="16684D58">
      <w:pPr>
        <w:spacing w:before="120" w:beforeLines="50" w:after="120" w:afterLines="50"/>
        <w:ind w:firstLine="480"/>
        <w:jc w:val="both"/>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rPr>
        <w:t>4.联系电话/传真：</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u w:val="single"/>
          <w:lang w:val="en-US" w:eastAsia="zh-CN"/>
        </w:rPr>
        <w:t>18302682150</w:t>
      </w:r>
      <w:r>
        <w:rPr>
          <w:rFonts w:hint="eastAsia" w:ascii="仿宋" w:hAnsi="仿宋" w:eastAsia="仿宋" w:cstheme="minorEastAsia"/>
          <w:color w:val="auto"/>
          <w:highlight w:val="none"/>
          <w:u w:val="single"/>
          <w:lang w:eastAsia="zh-CN"/>
        </w:rPr>
        <w:t xml:space="preserve"> </w:t>
      </w:r>
    </w:p>
    <w:p w14:paraId="1B887C43">
      <w:pPr>
        <w:spacing w:before="120" w:beforeLines="50" w:after="120" w:afterLines="50"/>
        <w:ind w:firstLine="480"/>
        <w:jc w:val="both"/>
        <w:rPr>
          <w:rFonts w:ascii="仿宋" w:hAnsi="仿宋" w:eastAsia="仿宋" w:cstheme="minorEastAsia"/>
          <w:color w:val="auto"/>
          <w:highlight w:val="none"/>
          <w:u w:val="single"/>
        </w:rPr>
      </w:pPr>
      <w:r>
        <w:rPr>
          <w:rFonts w:hint="eastAsia" w:ascii="仿宋" w:hAnsi="仿宋" w:eastAsia="仿宋" w:cstheme="minorEastAsia"/>
          <w:color w:val="auto"/>
          <w:highlight w:val="none"/>
        </w:rPr>
        <w:t>5.电子邮箱：</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u w:val="single"/>
          <w:lang w:val="en-US" w:eastAsia="zh-CN"/>
        </w:rPr>
        <w:t>/</w:t>
      </w:r>
      <w:r>
        <w:rPr>
          <w:rFonts w:hint="eastAsia" w:ascii="仿宋" w:hAnsi="仿宋" w:eastAsia="仿宋" w:cstheme="minorEastAsia"/>
          <w:color w:val="auto"/>
          <w:highlight w:val="none"/>
          <w:u w:val="single"/>
        </w:rPr>
        <w:t xml:space="preserve">  </w:t>
      </w:r>
    </w:p>
    <w:p w14:paraId="17738236">
      <w:pPr>
        <w:spacing w:before="120" w:beforeLines="50" w:after="120" w:afterLines="50"/>
        <w:ind w:firstLine="0" w:firstLineChars="0"/>
        <w:jc w:val="both"/>
        <w:rPr>
          <w:rFonts w:ascii="仿宋" w:hAnsi="仿宋" w:eastAsia="仿宋" w:cstheme="minorEastAsia"/>
          <w:color w:val="auto"/>
          <w:highlight w:val="none"/>
        </w:rPr>
      </w:pPr>
      <w:bookmarkStart w:id="13" w:name="_Toc406671677"/>
      <w:bookmarkStart w:id="14" w:name="_Toc406671087"/>
      <w:bookmarkStart w:id="15" w:name="_Toc406670716"/>
      <w:r>
        <w:rPr>
          <w:rFonts w:hint="eastAsia" w:ascii="仿宋" w:hAnsi="仿宋" w:eastAsia="仿宋" w:cstheme="minorEastAsia"/>
          <w:color w:val="auto"/>
          <w:highlight w:val="none"/>
        </w:rPr>
        <w:t>七、代理机构</w:t>
      </w:r>
      <w:bookmarkEnd w:id="13"/>
      <w:bookmarkEnd w:id="14"/>
      <w:bookmarkEnd w:id="15"/>
    </w:p>
    <w:p w14:paraId="5B665727">
      <w:pPr>
        <w:spacing w:before="120" w:beforeLines="50" w:after="120" w:afterLines="50"/>
        <w:ind w:firstLine="480"/>
        <w:jc w:val="both"/>
        <w:rPr>
          <w:rFonts w:ascii="仿宋" w:hAnsi="仿宋" w:eastAsia="仿宋" w:cstheme="minorEastAsia"/>
          <w:color w:val="auto"/>
          <w:highlight w:val="none"/>
          <w:u w:val="single"/>
        </w:rPr>
      </w:pPr>
      <w:r>
        <w:rPr>
          <w:rFonts w:hint="eastAsia" w:ascii="仿宋" w:hAnsi="仿宋" w:eastAsia="仿宋" w:cstheme="minorEastAsia"/>
          <w:color w:val="auto"/>
          <w:highlight w:val="none"/>
        </w:rPr>
        <w:t>1.名称：</w:t>
      </w:r>
      <w:r>
        <w:rPr>
          <w:rFonts w:hint="eastAsia" w:ascii="仿宋" w:hAnsi="仿宋" w:eastAsia="仿宋" w:cstheme="minorEastAsia"/>
          <w:color w:val="auto"/>
          <w:highlight w:val="none"/>
          <w:u w:val="single"/>
        </w:rPr>
        <w:t xml:space="preserve"> 贵州昱龙项目管理咨询有限公司  </w:t>
      </w:r>
    </w:p>
    <w:p w14:paraId="65762093">
      <w:pPr>
        <w:spacing w:before="120" w:beforeLines="50" w:after="120" w:afterLines="50"/>
        <w:ind w:firstLine="480"/>
        <w:jc w:val="both"/>
        <w:rPr>
          <w:rFonts w:ascii="仿宋" w:hAnsi="仿宋" w:eastAsia="仿宋" w:cstheme="minorEastAsia"/>
          <w:color w:val="auto"/>
          <w:highlight w:val="none"/>
          <w:u w:val="single"/>
        </w:rPr>
      </w:pPr>
      <w:r>
        <w:rPr>
          <w:rFonts w:hint="eastAsia" w:ascii="仿宋" w:hAnsi="仿宋" w:eastAsia="仿宋" w:cstheme="minorEastAsia"/>
          <w:color w:val="auto"/>
          <w:highlight w:val="none"/>
        </w:rPr>
        <w:t>2.地址：</w:t>
      </w:r>
      <w:r>
        <w:rPr>
          <w:rFonts w:hint="eastAsia" w:ascii="仿宋" w:hAnsi="仿宋" w:eastAsia="仿宋" w:cstheme="minorEastAsia"/>
          <w:color w:val="auto"/>
          <w:highlight w:val="none"/>
          <w:u w:val="single"/>
        </w:rPr>
        <w:t>贵阳市观山湖区合肥路70号恒大中央广场C1B栋419室</w:t>
      </w:r>
    </w:p>
    <w:p w14:paraId="465B0EE9">
      <w:pPr>
        <w:spacing w:before="120" w:beforeLines="50" w:after="120" w:afterLines="50"/>
        <w:ind w:firstLine="480"/>
        <w:jc w:val="both"/>
        <w:rPr>
          <w:rFonts w:hint="eastAsia" w:ascii="仿宋" w:hAnsi="仿宋" w:eastAsia="仿宋" w:cstheme="minorEastAsia"/>
          <w:color w:val="auto"/>
          <w:highlight w:val="none"/>
          <w:u w:val="single"/>
          <w:lang w:val="en-US" w:eastAsia="zh-CN"/>
        </w:rPr>
      </w:pPr>
      <w:r>
        <w:rPr>
          <w:rFonts w:hint="eastAsia" w:ascii="仿宋" w:hAnsi="仿宋" w:eastAsia="仿宋" w:cstheme="minorEastAsia"/>
          <w:color w:val="auto"/>
          <w:highlight w:val="none"/>
        </w:rPr>
        <w:t>3.联系人：</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u w:val="single"/>
          <w:lang w:val="en-US" w:eastAsia="zh-CN"/>
        </w:rPr>
        <w:t xml:space="preserve">苟明望   </w:t>
      </w:r>
    </w:p>
    <w:p w14:paraId="09273B3F">
      <w:pPr>
        <w:spacing w:before="120" w:beforeLines="50" w:after="120" w:afterLines="50"/>
        <w:ind w:firstLine="480"/>
        <w:jc w:val="both"/>
        <w:rPr>
          <w:rFonts w:ascii="仿宋" w:hAnsi="仿宋" w:eastAsia="仿宋" w:cstheme="minorEastAsia"/>
          <w:color w:val="auto"/>
          <w:highlight w:val="none"/>
        </w:rPr>
      </w:pPr>
      <w:r>
        <w:rPr>
          <w:rFonts w:hint="eastAsia" w:ascii="仿宋" w:hAnsi="仿宋" w:eastAsia="仿宋" w:cstheme="minorEastAsia"/>
          <w:color w:val="auto"/>
          <w:highlight w:val="none"/>
        </w:rPr>
        <w:t>4.联系电话/传真：</w:t>
      </w:r>
      <w:r>
        <w:rPr>
          <w:rFonts w:hint="eastAsia" w:ascii="仿宋" w:hAnsi="仿宋" w:eastAsia="仿宋" w:cstheme="minorEastAsia"/>
          <w:color w:val="auto"/>
          <w:highlight w:val="none"/>
          <w:u w:val="single"/>
          <w:lang w:eastAsia="zh-CN"/>
        </w:rPr>
        <w:t>0851-85809113</w:t>
      </w:r>
      <w:r>
        <w:rPr>
          <w:rFonts w:hint="eastAsia" w:ascii="仿宋" w:hAnsi="仿宋" w:eastAsia="仿宋" w:cstheme="minorEastAsia"/>
          <w:color w:val="auto"/>
          <w:highlight w:val="none"/>
          <w:u w:val="single"/>
        </w:rPr>
        <w:t xml:space="preserve">  </w:t>
      </w:r>
    </w:p>
    <w:p w14:paraId="11C23A11">
      <w:pPr>
        <w:spacing w:before="120" w:beforeLines="50" w:after="120" w:afterLines="50"/>
        <w:ind w:firstLine="480"/>
        <w:jc w:val="both"/>
        <w:rPr>
          <w:rFonts w:ascii="仿宋" w:hAnsi="仿宋" w:eastAsia="仿宋" w:cstheme="minorEastAsia"/>
          <w:color w:val="auto"/>
          <w:highlight w:val="none"/>
          <w:u w:val="single"/>
        </w:rPr>
      </w:pPr>
      <w:r>
        <w:rPr>
          <w:rFonts w:hint="eastAsia" w:ascii="仿宋" w:hAnsi="仿宋" w:eastAsia="仿宋" w:cstheme="minorEastAsia"/>
          <w:color w:val="auto"/>
          <w:highlight w:val="none"/>
        </w:rPr>
        <w:t>5.电子邮箱：</w:t>
      </w:r>
      <w:r>
        <w:rPr>
          <w:rFonts w:hint="eastAsia" w:ascii="仿宋" w:hAnsi="仿宋" w:eastAsia="仿宋" w:cstheme="minorEastAsia"/>
          <w:color w:val="auto"/>
          <w:highlight w:val="none"/>
          <w:u w:val="single"/>
          <w:lang w:val="en-US" w:eastAsia="zh-CN"/>
        </w:rPr>
        <w:t>/</w:t>
      </w:r>
      <w:r>
        <w:rPr>
          <w:rFonts w:hint="eastAsia" w:ascii="仿宋" w:hAnsi="仿宋" w:eastAsia="仿宋" w:cstheme="minorEastAsia"/>
          <w:color w:val="auto"/>
          <w:highlight w:val="none"/>
          <w:u w:val="single"/>
        </w:rPr>
        <w:t xml:space="preserve">       </w:t>
      </w:r>
    </w:p>
    <w:p w14:paraId="120AE163">
      <w:pPr>
        <w:spacing w:before="120" w:beforeLines="50" w:after="120" w:afterLines="50"/>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八、监督部门</w:t>
      </w:r>
    </w:p>
    <w:p w14:paraId="087BBB71">
      <w:pPr>
        <w:spacing w:before="120" w:beforeLines="50" w:after="120" w:afterLines="50"/>
        <w:ind w:firstLine="491" w:firstLineChars="205"/>
        <w:jc w:val="both"/>
        <w:rPr>
          <w:rFonts w:ascii="仿宋" w:hAnsi="仿宋" w:eastAsia="仿宋" w:cstheme="minorEastAsia"/>
          <w:color w:val="auto"/>
          <w:highlight w:val="none"/>
          <w:u w:val="single"/>
        </w:rPr>
      </w:pPr>
      <w:r>
        <w:rPr>
          <w:rFonts w:hint="eastAsia" w:ascii="仿宋" w:hAnsi="仿宋" w:eastAsia="仿宋" w:cstheme="minorEastAsia"/>
          <w:color w:val="auto"/>
          <w:highlight w:val="none"/>
        </w:rPr>
        <w:t>监督部门：</w:t>
      </w:r>
      <w:r>
        <w:rPr>
          <w:rFonts w:hint="eastAsia" w:ascii="仿宋" w:hAnsi="仿宋" w:eastAsia="仿宋" w:cstheme="minorEastAsia"/>
          <w:color w:val="auto"/>
          <w:highlight w:val="none"/>
          <w:u w:val="single"/>
        </w:rPr>
        <w:t xml:space="preserve"> 贵州省财政厅   </w:t>
      </w:r>
    </w:p>
    <w:p w14:paraId="031D124E">
      <w:pPr>
        <w:spacing w:before="120" w:beforeLines="50" w:after="120" w:afterLines="50"/>
        <w:ind w:firstLine="491" w:firstLineChars="205"/>
        <w:jc w:val="both"/>
        <w:rPr>
          <w:rFonts w:hint="default" w:ascii="仿宋" w:hAnsi="仿宋" w:eastAsia="仿宋" w:cstheme="minorEastAsia"/>
          <w:color w:val="auto"/>
          <w:highlight w:val="none"/>
          <w:u w:val="single"/>
          <w:lang w:val="en-US"/>
        </w:rPr>
      </w:pPr>
      <w:r>
        <w:rPr>
          <w:rFonts w:hint="eastAsia" w:ascii="仿宋" w:hAnsi="仿宋" w:eastAsia="仿宋" w:cstheme="minorEastAsia"/>
          <w:color w:val="auto"/>
          <w:highlight w:val="none"/>
        </w:rPr>
        <w:t>监督电话</w:t>
      </w:r>
      <w:r>
        <w:rPr>
          <w:rFonts w:hint="default" w:ascii="仿宋" w:hAnsi="仿宋" w:eastAsia="仿宋" w:cstheme="minorEastAsia"/>
          <w:color w:val="auto"/>
          <w:highlight w:val="none"/>
          <w:lang w:val="en-US"/>
        </w:rPr>
        <w:t>:</w:t>
      </w:r>
      <w:r>
        <w:rPr>
          <w:rFonts w:hint="eastAsia" w:ascii="仿宋" w:hAnsi="仿宋" w:eastAsia="仿宋" w:cstheme="minorEastAsia"/>
          <w:color w:val="auto"/>
          <w:highlight w:val="none"/>
          <w:u w:val="single"/>
        </w:rPr>
        <w:t xml:space="preserve"> 0851-</w:t>
      </w:r>
      <w:r>
        <w:rPr>
          <w:rFonts w:hint="eastAsia" w:ascii="仿宋" w:hAnsi="仿宋" w:eastAsia="仿宋" w:cstheme="minorEastAsia"/>
          <w:color w:val="auto"/>
          <w:highlight w:val="none"/>
          <w:u w:val="single"/>
          <w:lang w:val="en-US" w:eastAsia="zh-CN"/>
        </w:rPr>
        <w:t>86822706</w:t>
      </w:r>
      <w:r>
        <w:rPr>
          <w:rFonts w:hint="default" w:ascii="仿宋" w:hAnsi="仿宋" w:eastAsia="仿宋" w:cstheme="minorEastAsia"/>
          <w:color w:val="auto"/>
          <w:highlight w:val="none"/>
          <w:u w:val="single"/>
          <w:lang w:val="en-US"/>
        </w:rPr>
        <w:t xml:space="preserve">      </w:t>
      </w:r>
    </w:p>
    <w:p w14:paraId="5BFDCA81">
      <w:pPr>
        <w:spacing w:before="120" w:beforeLines="50" w:after="120" w:afterLines="50"/>
        <w:ind w:firstLine="491" w:firstLineChars="205"/>
        <w:rPr>
          <w:rFonts w:ascii="仿宋" w:hAnsi="仿宋" w:eastAsia="仿宋" w:cstheme="minorEastAsia"/>
          <w:color w:val="auto"/>
          <w:highlight w:val="none"/>
          <w:u w:val="single"/>
        </w:rPr>
      </w:pPr>
      <w:r>
        <w:rPr>
          <w:rFonts w:hint="eastAsia" w:ascii="仿宋" w:hAnsi="仿宋" w:eastAsia="仿宋" w:cstheme="minorEastAsia"/>
          <w:color w:val="auto"/>
          <w:highlight w:val="none"/>
        </w:rPr>
        <w:t>详细地址：</w:t>
      </w:r>
      <w:r>
        <w:rPr>
          <w:rFonts w:hint="eastAsia" w:ascii="仿宋" w:hAnsi="仿宋" w:eastAsia="仿宋" w:cstheme="minorEastAsia"/>
          <w:color w:val="auto"/>
          <w:highlight w:val="none"/>
          <w:u w:val="single"/>
        </w:rPr>
        <w:t xml:space="preserve">省政府大院七号楼3楼 </w:t>
      </w:r>
    </w:p>
    <w:p w14:paraId="51105057">
      <w:pPr>
        <w:ind w:left="0" w:leftChars="0" w:firstLine="0" w:firstLineChars="0"/>
        <w:rPr>
          <w:rFonts w:hint="eastAsia"/>
          <w:color w:val="auto"/>
          <w:highlight w:val="none"/>
        </w:rPr>
      </w:pPr>
    </w:p>
    <w:p w14:paraId="552A32C1">
      <w:pPr>
        <w:pStyle w:val="6"/>
        <w:spacing w:before="240" w:after="240"/>
        <w:ind w:firstLine="600" w:firstLineChars="200"/>
        <w:jc w:val="center"/>
        <w:rPr>
          <w:rFonts w:ascii="仿宋" w:hAnsi="仿宋" w:eastAsia="仿宋" w:cstheme="minorEastAsia"/>
          <w:color w:val="auto"/>
          <w:highlight w:val="none"/>
        </w:rPr>
      </w:pPr>
      <w:bookmarkStart w:id="16" w:name="_Toc22590"/>
      <w:r>
        <w:rPr>
          <w:rFonts w:hint="eastAsia" w:ascii="仿宋" w:hAnsi="仿宋" w:eastAsia="仿宋" w:cstheme="minorEastAsia"/>
          <w:color w:val="auto"/>
          <w:sz w:val="30"/>
          <w:szCs w:val="30"/>
          <w:highlight w:val="none"/>
        </w:rPr>
        <w:t>第二节 服务要求</w:t>
      </w:r>
      <w:bookmarkEnd w:id="12"/>
      <w:bookmarkEnd w:id="16"/>
    </w:p>
    <w:p w14:paraId="2CDA0B50">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一、服务范围</w:t>
      </w:r>
    </w:p>
    <w:p w14:paraId="724E4990">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本项目采购的服务</w:t>
      </w:r>
      <w:r>
        <w:rPr>
          <w:rFonts w:hint="eastAsia" w:ascii="仿宋" w:hAnsi="仿宋" w:eastAsia="仿宋" w:cstheme="minorEastAsia"/>
          <w:bCs/>
          <w:color w:val="auto"/>
          <w:highlight w:val="none"/>
        </w:rPr>
        <w:t>范围</w:t>
      </w:r>
      <w:r>
        <w:rPr>
          <w:rFonts w:hint="eastAsia" w:ascii="仿宋" w:hAnsi="仿宋" w:eastAsia="仿宋" w:cstheme="minorEastAsia"/>
          <w:color w:val="auto"/>
          <w:highlight w:val="none"/>
        </w:rPr>
        <w:t>要求为本国合法生产商、经销商提供的</w:t>
      </w:r>
      <w:r>
        <w:rPr>
          <w:rFonts w:hint="eastAsia" w:ascii="仿宋" w:hAnsi="仿宋" w:eastAsia="仿宋" w:cs="仿宋"/>
          <w:color w:val="auto"/>
          <w:sz w:val="24"/>
          <w:szCs w:val="24"/>
          <w:highlight w:val="none"/>
          <w:lang w:val="en-US"/>
        </w:rPr>
        <w:t>全省9个市（州）、贵安新区和88个县（市、区、特区）县城建设情况调查、贵州省推进以县城为重要载体的城镇化建设课题研究以及《贵州省“十五五”住房城乡建设事业高质量发展规划》</w:t>
      </w:r>
      <w:r>
        <w:rPr>
          <w:rFonts w:hint="eastAsia" w:ascii="仿宋" w:hAnsi="仿宋" w:eastAsia="仿宋" w:cs="仿宋"/>
          <w:color w:val="auto"/>
          <w:sz w:val="24"/>
          <w:szCs w:val="24"/>
          <w:highlight w:val="none"/>
          <w:lang w:val="en-US" w:eastAsia="zh-CN"/>
        </w:rPr>
        <w:t>编制</w:t>
      </w:r>
      <w:r>
        <w:rPr>
          <w:rFonts w:hint="eastAsia" w:ascii="仿宋" w:hAnsi="仿宋" w:eastAsia="仿宋" w:cstheme="minorEastAsia"/>
          <w:color w:val="auto"/>
          <w:highlight w:val="none"/>
        </w:rPr>
        <w:t>服务。</w:t>
      </w:r>
    </w:p>
    <w:p w14:paraId="33BFE844">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二、服务须满足的规范、标准</w:t>
      </w:r>
    </w:p>
    <w:p w14:paraId="08495338">
      <w:pPr>
        <w:ind w:firstLine="480" w:firstLineChars="200"/>
        <w:rPr>
          <w:rStyle w:val="30"/>
          <w:rFonts w:hint="eastAsia" w:ascii="仿宋" w:hAnsi="仿宋" w:eastAsia="仿宋" w:cstheme="minorEastAsia"/>
          <w:color w:val="auto"/>
          <w:highlight w:val="none"/>
        </w:rPr>
      </w:pPr>
      <w:r>
        <w:rPr>
          <w:rStyle w:val="30"/>
          <w:rFonts w:hint="eastAsia" w:ascii="仿宋" w:hAnsi="仿宋" w:eastAsia="仿宋" w:cstheme="minorEastAsia"/>
          <w:color w:val="auto"/>
          <w:highlight w:val="none"/>
          <w:lang w:val="en-US" w:eastAsia="zh-CN"/>
        </w:rPr>
        <w:t>符合国家和地区颁发的现行法律法规、规范、规定、规程、标准、规划和要求，如果颁发新的技术标准，则按照新标准规定执行。</w:t>
      </w:r>
    </w:p>
    <w:p w14:paraId="0E760F2A">
      <w:pPr>
        <w:pStyle w:val="6"/>
        <w:spacing w:before="240" w:after="240"/>
        <w:rPr>
          <w:rFonts w:ascii="仿宋" w:hAnsi="仿宋" w:eastAsia="仿宋" w:cstheme="minorEastAsia"/>
          <w:color w:val="auto"/>
          <w:highlight w:val="none"/>
        </w:rPr>
      </w:pPr>
      <w:bookmarkStart w:id="17" w:name="_Toc407182664"/>
      <w:bookmarkStart w:id="18" w:name="_Toc9024"/>
      <w:r>
        <w:rPr>
          <w:rFonts w:hint="eastAsia" w:ascii="仿宋" w:hAnsi="仿宋" w:eastAsia="仿宋" w:cstheme="minorEastAsia"/>
          <w:color w:val="auto"/>
          <w:sz w:val="30"/>
          <w:szCs w:val="30"/>
          <w:highlight w:val="none"/>
        </w:rPr>
        <w:t>第三节 供应商资格条件</w:t>
      </w:r>
      <w:bookmarkEnd w:id="17"/>
      <w:bookmarkEnd w:id="18"/>
    </w:p>
    <w:p w14:paraId="264B0E8C">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本项目供应商资格条件要求如下：</w:t>
      </w:r>
    </w:p>
    <w:p w14:paraId="2F0D3E88">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一、供应商属于企业法人、其他组织或自然人</w:t>
      </w:r>
    </w:p>
    <w:p w14:paraId="153EE153">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（一）符合政府采购法第二十二条规定，提供政府采购法实施条例第十七条规定资料。</w:t>
      </w:r>
    </w:p>
    <w:p w14:paraId="5D7AAFE5">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ascii="仿宋" w:hAnsi="仿宋" w:eastAsia="仿宋" w:cs="宋体"/>
          <w:color w:val="auto"/>
          <w:highlight w:val="none"/>
        </w:rPr>
      </w:pPr>
      <w:r>
        <w:rPr>
          <w:rFonts w:hint="eastAsia" w:ascii="仿宋" w:hAnsi="仿宋" w:eastAsia="仿宋" w:cs="宋体"/>
          <w:color w:val="auto"/>
          <w:highlight w:val="none"/>
        </w:rPr>
        <w:t>①具有独立承担民事责任的能力：</w:t>
      </w:r>
    </w:p>
    <w:p w14:paraId="3133ABA9">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hint="default" w:ascii="仿宋" w:hAnsi="仿宋" w:eastAsia="仿宋" w:cs="宋体"/>
          <w:color w:val="auto"/>
          <w:highlight w:val="none"/>
          <w:u w:val="single"/>
          <w:lang w:val="en-US"/>
        </w:rPr>
      </w:pPr>
      <w:r>
        <w:rPr>
          <w:rFonts w:hint="eastAsia" w:ascii="仿宋" w:hAnsi="仿宋" w:eastAsia="仿宋" w:cs="宋体"/>
          <w:color w:val="auto"/>
          <w:highlight w:val="none"/>
        </w:rPr>
        <w:t>具体要求：</w:t>
      </w:r>
      <w:r>
        <w:rPr>
          <w:rFonts w:hint="eastAsia" w:ascii="仿宋" w:hAnsi="仿宋" w:eastAsia="仿宋" w:cs="宋体"/>
          <w:color w:val="auto"/>
          <w:highlight w:val="none"/>
          <w:u w:val="single"/>
        </w:rPr>
        <w:t>供应商需是法人、其他组织或自然人，需提供工商部门注册的有效的营业执照或事业单位单位法人证书或执业许可证或自然人身份证明等；</w:t>
      </w:r>
    </w:p>
    <w:p w14:paraId="48A15C22">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hint="eastAsia" w:ascii="仿宋" w:hAnsi="仿宋" w:eastAsia="仿宋" w:cs="宋体"/>
          <w:color w:val="auto"/>
          <w:highlight w:val="none"/>
        </w:rPr>
      </w:pPr>
      <w:r>
        <w:rPr>
          <w:rFonts w:hint="eastAsia" w:ascii="仿宋" w:hAnsi="仿宋" w:eastAsia="仿宋" w:cs="宋体"/>
          <w:color w:val="auto"/>
          <w:highlight w:val="none"/>
          <w:u w:val="none"/>
        </w:rPr>
        <w:t>②</w:t>
      </w:r>
      <w:r>
        <w:rPr>
          <w:rFonts w:hint="eastAsia" w:ascii="仿宋" w:hAnsi="仿宋" w:eastAsia="仿宋" w:cs="宋体"/>
          <w:color w:val="auto"/>
          <w:highlight w:val="none"/>
        </w:rPr>
        <w:t>具有良好的商业信誉和健全的财务会计制度：</w:t>
      </w:r>
    </w:p>
    <w:p w14:paraId="53965273">
      <w:pPr>
        <w:keepNext w:val="0"/>
        <w:keepLines w:val="0"/>
        <w:pageBreakBefore w:val="0"/>
        <w:widowControl w:val="0"/>
        <w:kinsoku/>
        <w:wordWrap w:val="0"/>
        <w:overflowPunct/>
        <w:topLinePunct/>
        <w:autoSpaceDE/>
        <w:autoSpaceDN/>
        <w:bidi w:val="0"/>
        <w:adjustRightInd/>
        <w:spacing w:before="120" w:beforeLines="50" w:after="120" w:afterLines="50" w:line="360" w:lineRule="auto"/>
        <w:ind w:firstLine="480"/>
        <w:rPr>
          <w:rFonts w:hint="eastAsia" w:ascii="仿宋" w:hAnsi="仿宋" w:eastAsia="仿宋" w:cs="宋体"/>
          <w:color w:val="auto"/>
          <w:highlight w:val="none"/>
          <w:u w:val="single"/>
          <w:lang w:eastAsia="zh-CN"/>
        </w:rPr>
      </w:pPr>
      <w:r>
        <w:rPr>
          <w:rFonts w:hint="eastAsia" w:ascii="仿宋" w:hAnsi="仿宋" w:eastAsia="仿宋" w:cs="宋体"/>
          <w:color w:val="auto"/>
          <w:highlight w:val="none"/>
        </w:rPr>
        <w:t>具体要求：</w:t>
      </w:r>
      <w:r>
        <w:rPr>
          <w:rFonts w:hint="eastAsia" w:ascii="仿宋" w:hAnsi="仿宋" w:eastAsia="仿宋" w:cs="宋体"/>
          <w:color w:val="auto"/>
          <w:highlight w:val="none"/>
          <w:u w:val="single"/>
        </w:rPr>
        <w:t>提供</w:t>
      </w:r>
      <w:r>
        <w:rPr>
          <w:rFonts w:hint="eastAsia" w:ascii="仿宋" w:hAnsi="仿宋" w:eastAsia="仿宋" w:cs="宋体"/>
          <w:color w:val="auto"/>
          <w:highlight w:val="none"/>
          <w:u w:val="single"/>
          <w:lang w:val="en-US" w:eastAsia="zh-CN"/>
        </w:rPr>
        <w:t>2024年度</w:t>
      </w:r>
      <w:r>
        <w:rPr>
          <w:rFonts w:hint="eastAsia" w:ascii="仿宋" w:hAnsi="仿宋" w:eastAsia="仿宋" w:cs="宋体"/>
          <w:color w:val="auto"/>
          <w:highlight w:val="none"/>
          <w:u w:val="single"/>
          <w:lang w:eastAsia="zh-CN"/>
        </w:rPr>
        <w:t>经会计师事务所</w:t>
      </w:r>
      <w:r>
        <w:rPr>
          <w:rFonts w:hint="eastAsia" w:ascii="仿宋" w:hAnsi="仿宋" w:eastAsia="仿宋" w:cs="宋体"/>
          <w:color w:val="auto"/>
          <w:highlight w:val="none"/>
          <w:u w:val="single"/>
        </w:rPr>
        <w:t>或审计机构出具的审计报告复印件（扫描件）或</w:t>
      </w:r>
      <w:r>
        <w:rPr>
          <w:rFonts w:hint="eastAsia" w:ascii="仿宋" w:hAnsi="仿宋" w:eastAsia="仿宋" w:cs="宋体"/>
          <w:color w:val="auto"/>
          <w:highlight w:val="none"/>
          <w:u w:val="single"/>
          <w:lang w:val="en-US" w:eastAsia="zh-CN"/>
        </w:rPr>
        <w:t>2025年1月至今</w:t>
      </w:r>
      <w:r>
        <w:rPr>
          <w:rFonts w:hint="eastAsia" w:ascii="仿宋" w:hAnsi="仿宋" w:eastAsia="仿宋" w:cs="宋体"/>
          <w:color w:val="auto"/>
          <w:highlight w:val="none"/>
          <w:u w:val="single"/>
        </w:rPr>
        <w:t>其基本开户银行出具的资信证明或自然人提供</w:t>
      </w:r>
      <w:r>
        <w:rPr>
          <w:rFonts w:hint="eastAsia" w:ascii="仿宋" w:hAnsi="仿宋" w:eastAsia="仿宋" w:cs="宋体"/>
          <w:color w:val="auto"/>
          <w:highlight w:val="none"/>
          <w:u w:val="single"/>
          <w:lang w:val="en-US" w:eastAsia="zh-CN"/>
        </w:rPr>
        <w:t>2025年1月至今</w:t>
      </w:r>
      <w:r>
        <w:rPr>
          <w:rFonts w:hint="eastAsia" w:ascii="仿宋" w:hAnsi="仿宋" w:eastAsia="仿宋" w:cs="宋体"/>
          <w:color w:val="auto"/>
          <w:highlight w:val="none"/>
          <w:u w:val="single"/>
        </w:rPr>
        <w:t>银行出具的资信证明</w:t>
      </w:r>
      <w:r>
        <w:rPr>
          <w:rFonts w:hint="eastAsia" w:ascii="仿宋" w:hAnsi="仿宋" w:eastAsia="仿宋" w:cs="宋体"/>
          <w:color w:val="auto"/>
          <w:highlight w:val="none"/>
          <w:u w:val="single"/>
          <w:lang w:eastAsia="zh-CN"/>
        </w:rPr>
        <w:t>；</w:t>
      </w:r>
    </w:p>
    <w:p w14:paraId="2B52231E">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③具有履行合同所必需的设备和专业技术能力：</w:t>
      </w:r>
    </w:p>
    <w:p w14:paraId="4CF64D24">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具体要求：</w:t>
      </w:r>
      <w:r>
        <w:rPr>
          <w:rFonts w:hint="eastAsia" w:ascii="仿宋" w:hAnsi="仿宋" w:eastAsia="仿宋" w:cs="宋体"/>
          <w:color w:val="auto"/>
          <w:highlight w:val="none"/>
          <w:u w:val="single"/>
        </w:rPr>
        <w:t>供应商自行承诺具备履行合同所必需的设备和专业技术能力</w:t>
      </w:r>
      <w:r>
        <w:rPr>
          <w:rFonts w:hint="eastAsia" w:ascii="仿宋" w:hAnsi="仿宋" w:eastAsia="仿宋" w:cs="宋体"/>
          <w:color w:val="auto"/>
          <w:highlight w:val="none"/>
        </w:rPr>
        <w:t>；</w:t>
      </w:r>
    </w:p>
    <w:p w14:paraId="685976E0">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④具有依法缴纳税收和社会保障资金的良好记录：</w:t>
      </w:r>
    </w:p>
    <w:p w14:paraId="5F7B8A85">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具体要求：</w:t>
      </w:r>
      <w:r>
        <w:rPr>
          <w:rFonts w:hint="eastAsia" w:ascii="仿宋" w:hAnsi="仿宋" w:eastAsia="仿宋" w:cs="宋体"/>
          <w:color w:val="auto"/>
          <w:highlight w:val="none"/>
          <w:u w:val="single"/>
        </w:rPr>
        <w:t>a.提供202</w:t>
      </w:r>
      <w:r>
        <w:rPr>
          <w:rFonts w:hint="eastAsia" w:ascii="仿宋" w:hAnsi="仿宋" w:eastAsia="仿宋" w:cs="宋体"/>
          <w:color w:val="auto"/>
          <w:highlight w:val="none"/>
          <w:u w:val="single"/>
          <w:lang w:val="en-US" w:eastAsia="zh-CN"/>
        </w:rPr>
        <w:t>5</w:t>
      </w:r>
      <w:r>
        <w:rPr>
          <w:rFonts w:hint="eastAsia" w:ascii="仿宋" w:hAnsi="仿宋" w:eastAsia="仿宋" w:cs="宋体"/>
          <w:color w:val="auto"/>
          <w:highlight w:val="none"/>
          <w:u w:val="single"/>
        </w:rPr>
        <w:t>年</w:t>
      </w:r>
      <w:r>
        <w:rPr>
          <w:rFonts w:hint="eastAsia" w:ascii="仿宋" w:hAnsi="仿宋" w:eastAsia="仿宋" w:cs="宋体"/>
          <w:color w:val="auto"/>
          <w:highlight w:val="none"/>
          <w:u w:val="single"/>
          <w:lang w:val="en-US" w:eastAsia="zh-CN"/>
        </w:rPr>
        <w:t>1</w:t>
      </w:r>
      <w:r>
        <w:rPr>
          <w:rFonts w:hint="eastAsia" w:ascii="仿宋" w:hAnsi="仿宋" w:eastAsia="仿宋" w:cs="宋体"/>
          <w:color w:val="auto"/>
          <w:highlight w:val="none"/>
          <w:u w:val="single"/>
        </w:rPr>
        <w:t>月至今任意</w:t>
      </w:r>
      <w:r>
        <w:rPr>
          <w:rFonts w:hint="eastAsia" w:ascii="仿宋" w:hAnsi="仿宋" w:eastAsia="仿宋" w:cs="宋体"/>
          <w:color w:val="auto"/>
          <w:highlight w:val="none"/>
          <w:u w:val="single"/>
          <w:lang w:val="en-US" w:eastAsia="zh-CN"/>
        </w:rPr>
        <w:t>一</w:t>
      </w:r>
      <w:r>
        <w:rPr>
          <w:rFonts w:hint="eastAsia" w:ascii="仿宋" w:hAnsi="仿宋" w:eastAsia="仿宋" w:cs="宋体"/>
          <w:color w:val="auto"/>
          <w:highlight w:val="none"/>
          <w:u w:val="single"/>
        </w:rPr>
        <w:t>个月缴纳税收的凭据或证明材料（依法免税的供应商须提供相应证明文件）；b.提供202</w:t>
      </w:r>
      <w:r>
        <w:rPr>
          <w:rFonts w:hint="eastAsia" w:ascii="仿宋" w:hAnsi="仿宋" w:eastAsia="仿宋" w:cs="宋体"/>
          <w:color w:val="auto"/>
          <w:highlight w:val="none"/>
          <w:u w:val="single"/>
          <w:lang w:val="en-US" w:eastAsia="zh-CN"/>
        </w:rPr>
        <w:t>5</w:t>
      </w:r>
      <w:r>
        <w:rPr>
          <w:rFonts w:hint="eastAsia" w:ascii="仿宋" w:hAnsi="仿宋" w:eastAsia="仿宋" w:cs="宋体"/>
          <w:color w:val="auto"/>
          <w:highlight w:val="none"/>
          <w:u w:val="single"/>
        </w:rPr>
        <w:t>年</w:t>
      </w:r>
      <w:r>
        <w:rPr>
          <w:rFonts w:hint="eastAsia" w:ascii="仿宋" w:hAnsi="仿宋" w:eastAsia="仿宋" w:cs="宋体"/>
          <w:color w:val="auto"/>
          <w:highlight w:val="none"/>
          <w:u w:val="single"/>
          <w:lang w:val="en-US" w:eastAsia="zh-CN"/>
        </w:rPr>
        <w:t>1</w:t>
      </w:r>
      <w:r>
        <w:rPr>
          <w:rFonts w:hint="eastAsia" w:ascii="仿宋" w:hAnsi="仿宋" w:eastAsia="仿宋" w:cs="宋体"/>
          <w:color w:val="auto"/>
          <w:highlight w:val="none"/>
          <w:u w:val="single"/>
        </w:rPr>
        <w:t>月至今任意</w:t>
      </w:r>
      <w:r>
        <w:rPr>
          <w:rFonts w:hint="eastAsia" w:ascii="仿宋" w:hAnsi="仿宋" w:eastAsia="仿宋" w:cs="宋体"/>
          <w:color w:val="auto"/>
          <w:highlight w:val="none"/>
          <w:u w:val="single"/>
          <w:lang w:val="en-US" w:eastAsia="zh-CN"/>
        </w:rPr>
        <w:t>一</w:t>
      </w:r>
      <w:r>
        <w:rPr>
          <w:rFonts w:hint="eastAsia" w:ascii="仿宋" w:hAnsi="仿宋" w:eastAsia="仿宋" w:cs="宋体"/>
          <w:color w:val="auto"/>
          <w:highlight w:val="none"/>
          <w:u w:val="single"/>
        </w:rPr>
        <w:t>个月缴纳社会保障资金证明材料（不需要缴纳社保资金的供应商须提供相应证明文件）；</w:t>
      </w:r>
    </w:p>
    <w:p w14:paraId="318C9C11">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⑤参加本次政府采购活动前三年内，在经营活动中没有违法违规记录：</w:t>
      </w:r>
    </w:p>
    <w:p w14:paraId="5EB41A98">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具体要求：</w:t>
      </w:r>
      <w:r>
        <w:rPr>
          <w:rFonts w:hint="eastAsia" w:ascii="仿宋" w:hAnsi="仿宋" w:eastAsia="仿宋" w:cs="宋体"/>
          <w:color w:val="auto"/>
          <w:highlight w:val="none"/>
          <w:u w:val="single"/>
        </w:rPr>
        <w:t>提供参加政府采购活动前3年内在经营活动中没有重大违法记录的书面声明</w:t>
      </w:r>
      <w:r>
        <w:rPr>
          <w:rFonts w:hint="eastAsia" w:ascii="仿宋" w:hAnsi="仿宋" w:eastAsia="仿宋" w:cs="宋体"/>
          <w:color w:val="auto"/>
          <w:highlight w:val="none"/>
        </w:rPr>
        <w:t>；</w:t>
      </w:r>
    </w:p>
    <w:p w14:paraId="57EA31A4">
      <w:pPr>
        <w:keepNext w:val="0"/>
        <w:keepLines w:val="0"/>
        <w:pageBreakBefore w:val="0"/>
        <w:widowControl w:val="0"/>
        <w:kinsoku/>
        <w:wordWrap w:val="0"/>
        <w:overflowPunct/>
        <w:topLinePunct/>
        <w:autoSpaceDE/>
        <w:autoSpaceDN/>
        <w:bidi w:val="0"/>
        <w:adjustRightInd/>
        <w:spacing w:line="360" w:lineRule="auto"/>
        <w:ind w:firstLine="480"/>
        <w:rPr>
          <w:rFonts w:ascii="仿宋" w:hAnsi="仿宋" w:eastAsia="仿宋" w:cs="宋体"/>
          <w:color w:val="auto"/>
          <w:highlight w:val="none"/>
        </w:rPr>
      </w:pPr>
      <w:r>
        <w:rPr>
          <w:rFonts w:hint="eastAsia" w:ascii="仿宋" w:hAnsi="仿宋" w:eastAsia="仿宋" w:cs="宋体"/>
          <w:color w:val="auto"/>
          <w:highlight w:val="none"/>
        </w:rPr>
        <w:t>⑥法律、行政法规规定的其他条件：</w:t>
      </w:r>
    </w:p>
    <w:p w14:paraId="0778EABA">
      <w:pPr>
        <w:keepNext w:val="0"/>
        <w:keepLines w:val="0"/>
        <w:pageBreakBefore w:val="0"/>
        <w:widowControl w:val="0"/>
        <w:kinsoku/>
        <w:wordWrap w:val="0"/>
        <w:overflowPunct/>
        <w:topLinePunct/>
        <w:autoSpaceDE/>
        <w:autoSpaceDN/>
        <w:bidi w:val="0"/>
        <w:adjustRightInd/>
        <w:snapToGrid/>
        <w:spacing w:before="0" w:beforeAutospacing="0" w:after="0" w:afterAutospacing="0" w:line="360" w:lineRule="auto"/>
        <w:ind w:left="0" w:leftChars="0" w:firstLine="480"/>
        <w:textAlignment w:val="auto"/>
        <w:rPr>
          <w:rFonts w:ascii="仿宋" w:hAnsi="仿宋" w:eastAsia="仿宋" w:cs="宋体"/>
          <w:b w:val="0"/>
          <w:i w:val="0"/>
          <w:caps w:val="0"/>
          <w:color w:val="auto"/>
          <w:spacing w:val="0"/>
          <w:w w:val="100"/>
          <w:sz w:val="20"/>
          <w:highlight w:val="none"/>
          <w:u w:val="single"/>
        </w:rPr>
      </w:pPr>
      <w:r>
        <w:rPr>
          <w:rFonts w:hint="eastAsia" w:ascii="仿宋" w:hAnsi="仿宋" w:eastAsia="仿宋" w:cs="宋体"/>
          <w:color w:val="auto"/>
          <w:highlight w:val="none"/>
        </w:rPr>
        <w:t>具体要求：</w:t>
      </w:r>
      <w:r>
        <w:rPr>
          <w:rFonts w:hint="eastAsia" w:ascii="仿宋" w:hAnsi="仿宋" w:eastAsia="仿宋" w:cs="宋体"/>
          <w:color w:val="auto"/>
          <w:highlight w:val="none"/>
          <w:u w:val="single"/>
          <w:lang w:eastAsia="zh-CN"/>
        </w:rPr>
        <w:t>对被“信用中国（www.creditchina.gov.cn）”网站列入“重大税收违法失信主体”和“中国政府采购网（www.ccgp.gov.cn）”列入“政府采购严重违法失信行为记录名单”及“中国执行信息公开网（http://zxgk.court.gov.cn/shixin/）”列入“失信被执行人”的供应商，拒绝其参与本项目的政府采购活动。供应商须提供未被列入上述名单的承诺</w:t>
      </w:r>
      <w:r>
        <w:rPr>
          <w:rFonts w:hint="eastAsia" w:ascii="仿宋" w:hAnsi="仿宋" w:eastAsia="仿宋" w:cs="仿宋"/>
          <w:color w:val="auto"/>
          <w:sz w:val="24"/>
          <w:szCs w:val="24"/>
          <w:highlight w:val="none"/>
        </w:rPr>
        <w:t>。</w:t>
      </w:r>
    </w:p>
    <w:p w14:paraId="49D6C786">
      <w:pPr>
        <w:tabs>
          <w:tab w:val="left" w:pos="312"/>
        </w:tabs>
        <w:rPr>
          <w:rFonts w:hint="eastAsia" w:ascii="仿宋" w:hAnsi="仿宋" w:eastAsia="仿宋" w:cs="宋体"/>
          <w:color w:val="auto"/>
          <w:highlight w:val="none"/>
          <w:u w:val="none"/>
        </w:rPr>
      </w:pPr>
      <w:r>
        <w:rPr>
          <w:rFonts w:hint="eastAsia" w:ascii="仿宋" w:hAnsi="仿宋" w:eastAsia="仿宋" w:cs="宋体"/>
          <w:color w:val="auto"/>
          <w:highlight w:val="none"/>
        </w:rPr>
        <w:t>(二)特殊资格要求</w:t>
      </w:r>
      <w:r>
        <w:rPr>
          <w:rFonts w:hint="eastAsia" w:ascii="仿宋" w:hAnsi="仿宋" w:eastAsia="仿宋" w:cs="宋体"/>
          <w:color w:val="auto"/>
          <w:highlight w:val="none"/>
          <w:lang w:eastAsia="zh-CN"/>
        </w:rPr>
        <w:t>：</w:t>
      </w:r>
      <w:r>
        <w:rPr>
          <w:rFonts w:hint="eastAsia" w:ascii="仿宋" w:hAnsi="仿宋" w:eastAsia="仿宋" w:cs="宋体"/>
          <w:color w:val="auto"/>
          <w:highlight w:val="none"/>
          <w:lang w:val="en-US" w:eastAsia="zh-CN"/>
        </w:rPr>
        <w:t>供应商具有自然资源主管部门颁发的城乡规划编制乙级及以上资质。</w:t>
      </w:r>
      <w:r>
        <w:rPr>
          <w:rFonts w:hint="eastAsia" w:ascii="仿宋" w:hAnsi="仿宋" w:eastAsia="仿宋" w:cs="宋体"/>
          <w:color w:val="auto"/>
          <w:highlight w:val="none"/>
          <w:u w:val="none"/>
        </w:rPr>
        <w:t xml:space="preserve"> </w:t>
      </w:r>
    </w:p>
    <w:p w14:paraId="32E6581D">
      <w:pPr>
        <w:tabs>
          <w:tab w:val="left" w:pos="312"/>
        </w:tabs>
        <w:rPr>
          <w:rFonts w:hint="eastAsia" w:ascii="仿宋" w:hAnsi="仿宋" w:eastAsia="仿宋" w:cstheme="minorEastAsia"/>
          <w:color w:val="auto"/>
          <w:highlight w:val="none"/>
          <w:lang w:eastAsia="zh-CN"/>
        </w:rPr>
      </w:pPr>
      <w:r>
        <w:rPr>
          <w:rFonts w:hint="default" w:ascii="仿宋" w:hAnsi="仿宋" w:eastAsia="仿宋" w:cstheme="minorEastAsia"/>
          <w:color w:val="auto"/>
          <w:highlight w:val="none"/>
          <w:lang w:val="en-US"/>
        </w:rPr>
        <w:t>(</w:t>
      </w:r>
      <w:r>
        <w:rPr>
          <w:rFonts w:hint="eastAsia" w:ascii="仿宋" w:hAnsi="仿宋" w:eastAsia="仿宋" w:cstheme="minorEastAsia"/>
          <w:color w:val="auto"/>
          <w:highlight w:val="none"/>
          <w:lang w:val="en-US" w:eastAsia="zh-CN"/>
        </w:rPr>
        <w:t>三）3.</w:t>
      </w:r>
      <w:r>
        <w:rPr>
          <w:rFonts w:hint="eastAsia" w:ascii="仿宋" w:hAnsi="仿宋" w:eastAsia="仿宋" w:cstheme="minorEastAsia"/>
          <w:color w:val="auto"/>
          <w:highlight w:val="none"/>
        </w:rPr>
        <w:t>本项目</w:t>
      </w:r>
      <w:r>
        <w:rPr>
          <w:rFonts w:hint="eastAsia" w:ascii="仿宋" w:hAnsi="仿宋" w:eastAsia="仿宋" w:cstheme="minorEastAsia"/>
          <w:color w:val="auto"/>
          <w:highlight w:val="none"/>
          <w:u w:val="single"/>
        </w:rPr>
        <w:t xml:space="preserve">  接受  </w:t>
      </w:r>
      <w:r>
        <w:rPr>
          <w:rFonts w:hint="eastAsia" w:ascii="仿宋" w:hAnsi="仿宋" w:eastAsia="仿宋" w:cstheme="minorEastAsia"/>
          <w:color w:val="auto"/>
          <w:highlight w:val="none"/>
        </w:rPr>
        <w:t>联合体投标</w:t>
      </w:r>
      <w:r>
        <w:rPr>
          <w:rFonts w:hint="eastAsia" w:ascii="仿宋" w:hAnsi="仿宋" w:eastAsia="仿宋" w:cstheme="minorEastAsia"/>
          <w:color w:val="auto"/>
          <w:highlight w:val="none"/>
          <w:lang w:eastAsia="zh-CN"/>
        </w:rPr>
        <w:t>，</w:t>
      </w:r>
      <w:r>
        <w:rPr>
          <w:rFonts w:hint="eastAsia" w:ascii="仿宋" w:hAnsi="仿宋" w:eastAsia="仿宋" w:cs="仿宋"/>
          <w:color w:val="auto"/>
          <w:kern w:val="2"/>
          <w:sz w:val="24"/>
          <w:szCs w:val="24"/>
          <w:lang w:val="en-US" w:eastAsia="zh-CN" w:bidi="ar-SA"/>
        </w:rPr>
        <w:t>联合体投标应满足以下条件：①联合体投标的，提交联合体协议书。参加联合体的供应商均需满足申请人的一般资格要求；②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③联合体协议中必须明确联合体牵头人及联合体成员单位名称及职责分工</w:t>
      </w:r>
      <w:r>
        <w:rPr>
          <w:rFonts w:hint="eastAsia" w:ascii="仿宋" w:hAnsi="仿宋" w:eastAsia="仿宋" w:cstheme="minorEastAsia"/>
          <w:color w:val="auto"/>
          <w:highlight w:val="none"/>
        </w:rPr>
        <w:t>。</w:t>
      </w:r>
    </w:p>
    <w:p w14:paraId="618FD542">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（四）本项目是否专门面向中小企业采购：</w:t>
      </w:r>
      <w:r>
        <w:rPr>
          <w:rFonts w:hint="eastAsia" w:ascii="仿宋" w:hAnsi="仿宋" w:eastAsia="仿宋" w:cstheme="minorEastAsia"/>
          <w:color w:val="auto"/>
          <w:highlight w:val="none"/>
          <w:u w:val="single"/>
          <w:lang w:eastAsia="zh-CN"/>
        </w:rPr>
        <w:t>否</w:t>
      </w:r>
      <w:r>
        <w:rPr>
          <w:rFonts w:hint="eastAsia" w:ascii="仿宋" w:hAnsi="仿宋" w:eastAsia="仿宋" w:cstheme="minorEastAsia"/>
          <w:color w:val="auto"/>
          <w:highlight w:val="none"/>
        </w:rPr>
        <w:t>，具体内容为：</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u w:val="single"/>
          <w:lang w:val="en-US" w:eastAsia="zh-CN"/>
        </w:rPr>
        <w:t>/</w:t>
      </w:r>
      <w:r>
        <w:rPr>
          <w:rFonts w:hint="eastAsia" w:ascii="仿宋" w:hAnsi="仿宋" w:eastAsia="仿宋" w:cstheme="minorEastAsia"/>
          <w:color w:val="auto"/>
          <w:highlight w:val="none"/>
          <w:u w:val="none"/>
          <w:lang w:eastAsia="zh-CN"/>
        </w:rPr>
        <w:t>。</w:t>
      </w:r>
    </w:p>
    <w:p w14:paraId="376CA314">
      <w:pPr>
        <w:spacing w:before="120" w:beforeLines="50" w:after="120" w:afterLines="50"/>
        <w:ind w:firstLine="480"/>
        <w:rPr>
          <w:rFonts w:ascii="仿宋" w:hAnsi="仿宋" w:eastAsia="仿宋" w:cstheme="minorEastAsia"/>
          <w:color w:val="auto"/>
          <w:highlight w:val="none"/>
        </w:rPr>
      </w:pPr>
    </w:p>
    <w:p w14:paraId="5FDBD034">
      <w:pPr>
        <w:ind w:firstLine="600"/>
        <w:rPr>
          <w:rFonts w:ascii="仿宋" w:hAnsi="仿宋" w:eastAsia="仿宋" w:cstheme="minorEastAsia"/>
          <w:color w:val="auto"/>
          <w:sz w:val="30"/>
          <w:szCs w:val="30"/>
          <w:highlight w:val="none"/>
        </w:rPr>
      </w:pPr>
      <w:bookmarkStart w:id="19" w:name="_Toc407169873"/>
      <w:bookmarkStart w:id="20" w:name="_Toc407182665"/>
      <w:r>
        <w:rPr>
          <w:rFonts w:hint="eastAsia" w:ascii="仿宋" w:hAnsi="仿宋" w:eastAsia="仿宋" w:cstheme="minorEastAsia"/>
          <w:color w:val="auto"/>
          <w:sz w:val="30"/>
          <w:szCs w:val="30"/>
          <w:highlight w:val="none"/>
        </w:rPr>
        <w:br w:type="page"/>
      </w:r>
    </w:p>
    <w:p w14:paraId="5F33FD03">
      <w:pPr>
        <w:pStyle w:val="5"/>
        <w:spacing w:before="120" w:after="120"/>
        <w:rPr>
          <w:rFonts w:ascii="仿宋" w:hAnsi="仿宋" w:eastAsia="仿宋" w:cstheme="minorEastAsia"/>
          <w:color w:val="auto"/>
          <w:sz w:val="30"/>
          <w:szCs w:val="30"/>
          <w:highlight w:val="none"/>
        </w:rPr>
      </w:pPr>
      <w:bookmarkStart w:id="21" w:name="_Toc1063"/>
      <w:r>
        <w:rPr>
          <w:rFonts w:hint="eastAsia" w:ascii="仿宋" w:hAnsi="仿宋" w:eastAsia="仿宋" w:cstheme="minorEastAsia"/>
          <w:color w:val="auto"/>
          <w:sz w:val="30"/>
          <w:szCs w:val="30"/>
          <w:highlight w:val="none"/>
        </w:rPr>
        <w:t>第二章 采购清单</w:t>
      </w:r>
      <w:r>
        <w:rPr>
          <w:rFonts w:hint="eastAsia" w:ascii="仿宋" w:hAnsi="仿宋" w:eastAsia="仿宋" w:cstheme="minorEastAsia"/>
          <w:color w:val="auto"/>
          <w:sz w:val="30"/>
          <w:szCs w:val="30"/>
          <w:highlight w:val="none"/>
          <w:lang w:eastAsia="zh-CN"/>
        </w:rPr>
        <w:t>、技术要求</w:t>
      </w:r>
      <w:r>
        <w:rPr>
          <w:rFonts w:hint="eastAsia" w:ascii="仿宋" w:hAnsi="仿宋" w:eastAsia="仿宋" w:cstheme="minorEastAsia"/>
          <w:color w:val="auto"/>
          <w:sz w:val="30"/>
          <w:szCs w:val="30"/>
          <w:highlight w:val="none"/>
        </w:rPr>
        <w:t>及商务要求</w:t>
      </w:r>
      <w:bookmarkEnd w:id="19"/>
      <w:bookmarkEnd w:id="20"/>
      <w:bookmarkEnd w:id="21"/>
    </w:p>
    <w:p w14:paraId="240923B5">
      <w:pPr>
        <w:pStyle w:val="6"/>
        <w:spacing w:before="240" w:after="240"/>
        <w:rPr>
          <w:rFonts w:hint="default" w:ascii="仿宋" w:hAnsi="仿宋" w:eastAsia="仿宋" w:cs="宋体"/>
          <w:bCs w:val="0"/>
          <w:color w:val="auto"/>
          <w:sz w:val="28"/>
          <w:szCs w:val="28"/>
          <w:highlight w:val="none"/>
          <w:lang w:val="en-US" w:eastAsia="zh-CN"/>
        </w:rPr>
      </w:pPr>
      <w:bookmarkStart w:id="22" w:name="_Toc407182666"/>
      <w:bookmarkStart w:id="23" w:name="_Toc31392"/>
      <w:r>
        <w:rPr>
          <w:rFonts w:hint="eastAsia" w:ascii="仿宋" w:hAnsi="仿宋" w:eastAsia="仿宋" w:cs="宋体"/>
          <w:bCs w:val="0"/>
          <w:color w:val="auto"/>
          <w:sz w:val="28"/>
          <w:szCs w:val="28"/>
          <w:highlight w:val="none"/>
        </w:rPr>
        <w:t>第一节 采购清单</w:t>
      </w:r>
      <w:bookmarkEnd w:id="22"/>
      <w:bookmarkEnd w:id="23"/>
      <w:r>
        <w:rPr>
          <w:rFonts w:hint="eastAsia" w:ascii="仿宋" w:hAnsi="仿宋" w:eastAsia="仿宋" w:cstheme="minorEastAsia"/>
          <w:color w:val="auto"/>
          <w:sz w:val="30"/>
          <w:szCs w:val="30"/>
          <w:highlight w:val="none"/>
          <w:lang w:eastAsia="zh-CN"/>
        </w:rPr>
        <w:t>、技术要求</w:t>
      </w:r>
    </w:p>
    <w:p w14:paraId="1F82AAB3">
      <w:pPr>
        <w:rPr>
          <w:rFonts w:hint="eastAsia" w:ascii="仿宋" w:hAnsi="仿宋" w:eastAsia="仿宋" w:cs="仿宋"/>
          <w:color w:val="auto"/>
          <w:sz w:val="24"/>
          <w:szCs w:val="24"/>
          <w:highlight w:val="none"/>
          <w:lang w:val="en-US" w:eastAsia="zh-CN"/>
        </w:rPr>
      </w:pPr>
      <w:bookmarkStart w:id="24" w:name="_Toc28377"/>
      <w:r>
        <w:rPr>
          <w:rFonts w:hint="eastAsia" w:ascii="仿宋" w:hAnsi="仿宋" w:eastAsia="仿宋" w:cs="仿宋"/>
          <w:color w:val="auto"/>
          <w:sz w:val="24"/>
          <w:szCs w:val="24"/>
          <w:highlight w:val="none"/>
          <w:lang w:val="en-US" w:eastAsia="zh-CN"/>
        </w:rPr>
        <w:t>一、采购清单</w:t>
      </w:r>
      <w:bookmarkEnd w:id="24"/>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137"/>
        <w:gridCol w:w="882"/>
        <w:gridCol w:w="932"/>
        <w:gridCol w:w="3765"/>
        <w:gridCol w:w="817"/>
      </w:tblGrid>
      <w:tr w14:paraId="1176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03" w:type="pct"/>
            <w:vAlign w:val="center"/>
          </w:tcPr>
          <w:p w14:paraId="54EE1C5A">
            <w:pPr>
              <w:pStyle w:val="22"/>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序号</w:t>
            </w:r>
          </w:p>
        </w:tc>
        <w:tc>
          <w:tcPr>
            <w:tcW w:w="1151" w:type="pct"/>
            <w:vAlign w:val="center"/>
          </w:tcPr>
          <w:p w14:paraId="3CEDD6BA">
            <w:pPr>
              <w:pStyle w:val="22"/>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采购名称</w:t>
            </w:r>
          </w:p>
        </w:tc>
        <w:tc>
          <w:tcPr>
            <w:tcW w:w="475" w:type="pct"/>
            <w:vAlign w:val="center"/>
          </w:tcPr>
          <w:p w14:paraId="58BCFB86">
            <w:pPr>
              <w:pStyle w:val="22"/>
              <w:ind w:firstLine="0" w:firstLineChars="0"/>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单位</w:t>
            </w:r>
          </w:p>
        </w:tc>
        <w:tc>
          <w:tcPr>
            <w:tcW w:w="502" w:type="pct"/>
            <w:vAlign w:val="center"/>
          </w:tcPr>
          <w:p w14:paraId="118DB5C3">
            <w:pPr>
              <w:pStyle w:val="22"/>
              <w:ind w:firstLine="0" w:firstLineChars="0"/>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数量</w:t>
            </w:r>
          </w:p>
        </w:tc>
        <w:tc>
          <w:tcPr>
            <w:tcW w:w="2028" w:type="pct"/>
            <w:vAlign w:val="center"/>
          </w:tcPr>
          <w:p w14:paraId="2E12AF55">
            <w:pPr>
              <w:pStyle w:val="22"/>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技术要求</w:t>
            </w:r>
          </w:p>
        </w:tc>
        <w:tc>
          <w:tcPr>
            <w:tcW w:w="440" w:type="pct"/>
            <w:vAlign w:val="center"/>
          </w:tcPr>
          <w:p w14:paraId="17B93627">
            <w:pPr>
              <w:pStyle w:val="22"/>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备注</w:t>
            </w:r>
          </w:p>
        </w:tc>
      </w:tr>
      <w:tr w14:paraId="537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03" w:type="pct"/>
            <w:vAlign w:val="center"/>
          </w:tcPr>
          <w:p w14:paraId="187E857F">
            <w:pPr>
              <w:pStyle w:val="22"/>
              <w:jc w:val="center"/>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1</w:t>
            </w:r>
          </w:p>
        </w:tc>
        <w:tc>
          <w:tcPr>
            <w:tcW w:w="1151" w:type="pct"/>
            <w:vAlign w:val="center"/>
          </w:tcPr>
          <w:p w14:paraId="2ECF7388">
            <w:pPr>
              <w:widowControl/>
              <w:spacing w:line="240" w:lineRule="auto"/>
              <w:ind w:firstLine="0" w:firstLineChars="0"/>
              <w:jc w:val="center"/>
              <w:textAlignment w:val="baseline"/>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全省9个市（州）、贵安新区和88个县（市、区、特区）县城建设情况调查、贵州省推进以县城为重要载体的城镇化建设课题研究以及《贵州省“十五五”住房城乡建设事业高质量发展规划》</w:t>
            </w:r>
          </w:p>
        </w:tc>
        <w:tc>
          <w:tcPr>
            <w:tcW w:w="475" w:type="pct"/>
            <w:vAlign w:val="center"/>
          </w:tcPr>
          <w:p w14:paraId="28182DE6">
            <w:pPr>
              <w:pStyle w:val="22"/>
              <w:ind w:firstLine="0" w:firstLineChars="0"/>
              <w:jc w:val="center"/>
              <w:rPr>
                <w:rStyle w:val="30"/>
                <w:rFonts w:hint="default"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项</w:t>
            </w:r>
          </w:p>
        </w:tc>
        <w:tc>
          <w:tcPr>
            <w:tcW w:w="502" w:type="pct"/>
            <w:vAlign w:val="center"/>
          </w:tcPr>
          <w:p w14:paraId="084DAEF6">
            <w:pPr>
              <w:pStyle w:val="22"/>
              <w:ind w:firstLine="0" w:firstLineChars="0"/>
              <w:jc w:val="center"/>
              <w:rPr>
                <w:rStyle w:val="30"/>
                <w:rFonts w:hint="default" w:ascii="仿宋" w:hAnsi="仿宋" w:eastAsia="仿宋" w:cs="仿宋"/>
                <w:color w:val="auto"/>
                <w:kern w:val="2"/>
                <w:sz w:val="24"/>
                <w:szCs w:val="24"/>
                <w:highlight w:val="none"/>
                <w:lang w:val="en-US" w:eastAsia="zh-CN" w:bidi="ar-SA"/>
              </w:rPr>
            </w:pPr>
            <w:r>
              <w:rPr>
                <w:rStyle w:val="30"/>
                <w:rFonts w:hint="eastAsia" w:ascii="仿宋" w:hAnsi="仿宋" w:eastAsia="仿宋" w:cs="仿宋"/>
                <w:color w:val="auto"/>
                <w:kern w:val="2"/>
                <w:sz w:val="24"/>
                <w:szCs w:val="24"/>
                <w:highlight w:val="none"/>
                <w:lang w:val="en-US" w:eastAsia="zh-CN" w:bidi="ar-SA"/>
              </w:rPr>
              <w:t>1</w:t>
            </w:r>
          </w:p>
        </w:tc>
        <w:tc>
          <w:tcPr>
            <w:tcW w:w="2028" w:type="pct"/>
            <w:vAlign w:val="center"/>
          </w:tcPr>
          <w:p w14:paraId="18F88124">
            <w:pPr>
              <w:widowControl/>
              <w:spacing w:line="240" w:lineRule="auto"/>
              <w:ind w:firstLine="0" w:firstLineChars="0"/>
              <w:jc w:val="center"/>
              <w:textAlignment w:val="baseline"/>
              <w:rPr>
                <w:rStyle w:val="30"/>
                <w:rFonts w:hint="eastAsia" w:ascii="仿宋" w:hAnsi="仿宋" w:eastAsia="仿宋" w:cs="仿宋"/>
                <w:color w:val="auto"/>
                <w:kern w:val="2"/>
                <w:sz w:val="24"/>
                <w:szCs w:val="24"/>
                <w:highlight w:val="none"/>
                <w:lang w:val="en-US" w:eastAsia="zh-CN" w:bidi="ar-SA"/>
              </w:rPr>
            </w:pPr>
            <w:r>
              <w:rPr>
                <w:rStyle w:val="30"/>
                <w:rFonts w:hint="eastAsia" w:ascii="仿宋" w:hAnsi="仿宋" w:eastAsia="仿宋" w:cstheme="minorEastAsia"/>
                <w:color w:val="auto"/>
                <w:highlight w:val="none"/>
                <w:lang w:val="en-US" w:eastAsia="zh-CN"/>
              </w:rPr>
              <w:t>符合国家和地区颁发的现行法律法规、规范、规定、规程、标准、规划和要求，如果颁发新的技术标准，则按照新标准规定执行</w:t>
            </w:r>
          </w:p>
        </w:tc>
        <w:tc>
          <w:tcPr>
            <w:tcW w:w="440" w:type="pct"/>
            <w:vAlign w:val="center"/>
          </w:tcPr>
          <w:p w14:paraId="223B9F67">
            <w:pPr>
              <w:pStyle w:val="22"/>
              <w:jc w:val="center"/>
              <w:rPr>
                <w:rStyle w:val="30"/>
                <w:rFonts w:hint="eastAsia" w:ascii="仿宋" w:hAnsi="仿宋" w:eastAsia="仿宋" w:cs="仿宋"/>
                <w:color w:val="auto"/>
                <w:kern w:val="2"/>
                <w:sz w:val="24"/>
                <w:szCs w:val="24"/>
                <w:highlight w:val="none"/>
                <w:lang w:val="en-US" w:eastAsia="zh-CN" w:bidi="ar-SA"/>
              </w:rPr>
            </w:pPr>
          </w:p>
        </w:tc>
      </w:tr>
    </w:tbl>
    <w:p w14:paraId="35A9306A">
      <w:pPr>
        <w:ind w:left="0" w:leftChars="0" w:firstLine="0" w:firstLineChars="0"/>
        <w:rPr>
          <w:rFonts w:hint="eastAsia" w:ascii="仿宋" w:hAnsi="仿宋" w:eastAsia="仿宋" w:cstheme="minorEastAsia"/>
          <w:color w:val="auto"/>
          <w:szCs w:val="24"/>
          <w:highlight w:val="none"/>
          <w:lang w:val="en-US" w:eastAsia="zh-CN"/>
        </w:rPr>
      </w:pPr>
      <w:bookmarkStart w:id="25" w:name="_Toc407182667"/>
      <w:r>
        <w:rPr>
          <w:rFonts w:hint="eastAsia" w:ascii="仿宋" w:hAnsi="仿宋" w:eastAsia="仿宋" w:cstheme="minorEastAsia"/>
          <w:color w:val="auto"/>
          <w:szCs w:val="24"/>
          <w:highlight w:val="none"/>
          <w:lang w:val="en-US" w:eastAsia="zh-CN"/>
        </w:rPr>
        <w:t>二、技术要求</w:t>
      </w:r>
    </w:p>
    <w:p w14:paraId="5CA43E34">
      <w:pPr>
        <w:bidi w:val="0"/>
        <w:rPr>
          <w:rFonts w:hint="eastAsia" w:ascii="Times New Roman" w:hAnsi="Times New Roman" w:cs="Times New Roman"/>
          <w:color w:val="auto"/>
          <w:highlight w:val="none"/>
          <w:lang w:val="en-US" w:eastAsia="zh-CN"/>
        </w:rPr>
      </w:pPr>
      <w:bookmarkStart w:id="26" w:name="_Toc7471"/>
      <w:r>
        <w:rPr>
          <w:rFonts w:hint="eastAsia" w:cs="Times New Roman"/>
          <w:color w:val="auto"/>
          <w:highlight w:val="none"/>
          <w:lang w:val="en-US" w:eastAsia="zh-CN"/>
        </w:rPr>
        <w:t>1、采购内容：</w:t>
      </w:r>
      <w:r>
        <w:rPr>
          <w:rFonts w:hint="eastAsia" w:ascii="Times New Roman" w:hAnsi="Times New Roman" w:cs="Times New Roman"/>
          <w:color w:val="auto"/>
          <w:highlight w:val="none"/>
          <w:lang w:val="en-US" w:eastAsia="zh-CN"/>
        </w:rPr>
        <w:t>本次采购内容为全省9个市(州)、贵安新区和88个县(市、区、特区)县城建设情况调查、贵州省推进以县城为重要载体的城镇化建设课题研究以及《贵州省“十五五”住房城乡建设事业高质量发展规划》。</w:t>
      </w:r>
    </w:p>
    <w:p w14:paraId="0E7A106C">
      <w:pPr>
        <w:bidi w:val="0"/>
        <w:ind w:left="0" w:leftChars="0" w:firstLine="480" w:firstLineChars="20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规划概况</w:t>
      </w:r>
      <w:r>
        <w:rPr>
          <w:rFonts w:hint="eastAsia" w:cs="Times New Roman"/>
          <w:color w:val="auto"/>
          <w:highlight w:val="none"/>
          <w:lang w:val="en-US" w:eastAsia="zh-CN"/>
        </w:rPr>
        <w:t>：</w:t>
      </w:r>
      <w:r>
        <w:rPr>
          <w:rFonts w:hint="eastAsia" w:ascii="Times New Roman" w:hAnsi="Times New Roman" w:cs="Times New Roman"/>
          <w:color w:val="auto"/>
          <w:highlight w:val="none"/>
          <w:lang w:val="en-US" w:eastAsia="zh-CN"/>
        </w:rPr>
        <w:t>本规划为“十五五”时期全省住房城乡建设领域总纲规划。上轮“十四五”规划中未单独编制住房城乡建设领域总纲规划，为科学合理编制“十五五”规划,本轮“十五五”规划编制前将对全省9个市(州)贵安新区和88个县(市、区、特区)县城建设情况进行全面摸排调研,形成贵州省推进以县城为重要载体的城镇化建设课题研究成果，在此基础上结合我厅“十四五”专项规划实施情况，全面总结“十四五”全省住房城乡建设领域工作情况，分析“十五五”时期内外部环境发展形势科学确定全省“十五五”住房城乡建设事业发展重点目标围绕住建领域“四梁八柱”，提出“十五五”时期重点内容，推进全省“十五五”住房城乡建设事业高质量发展。</w:t>
      </w:r>
    </w:p>
    <w:p w14:paraId="7BB2BB21">
      <w:pPr>
        <w:bidi w:val="0"/>
        <w:ind w:left="0" w:leftChars="0" w:firstLine="480" w:firstLineChars="200"/>
        <w:rPr>
          <w:rFonts w:hint="eastAsia" w:cs="Times New Roman"/>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规划编制组织形式及进度计划</w:t>
      </w:r>
      <w:r>
        <w:rPr>
          <w:rFonts w:hint="eastAsia" w:cs="Times New Roman"/>
          <w:color w:val="auto"/>
          <w:highlight w:val="none"/>
          <w:lang w:val="en-US" w:eastAsia="zh-CN"/>
        </w:rPr>
        <w:t>：</w:t>
      </w:r>
    </w:p>
    <w:p w14:paraId="1D8E5A21">
      <w:pPr>
        <w:bidi w:val="0"/>
        <w:ind w:left="0" w:leftChars="0" w:firstLine="480" w:firstLineChars="200"/>
        <w:rPr>
          <w:rFonts w:hint="eastAsia"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eastAsia" w:ascii="Times New Roman" w:hAnsi="Times New Roman" w:cs="Times New Roman"/>
          <w:color w:val="auto"/>
          <w:highlight w:val="none"/>
          <w:lang w:val="en-US" w:eastAsia="zh-CN"/>
        </w:rPr>
        <w:t>谋划研究阶段(2025年7月底前)。完成政府采购有关程序，确定编制机构，初步明确规划基本思路。</w:t>
      </w:r>
    </w:p>
    <w:p w14:paraId="47989267">
      <w:pPr>
        <w:bidi w:val="0"/>
        <w:ind w:left="0" w:leftChars="0" w:firstLine="480" w:firstLineChars="200"/>
        <w:rPr>
          <w:rFonts w:hint="eastAsia"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cs="Times New Roman"/>
          <w:color w:val="auto"/>
          <w:highlight w:val="none"/>
          <w:lang w:val="en-US" w:eastAsia="zh-CN"/>
        </w:rPr>
        <w:t>实地调研阶段(2025年9月底前)。赴全省9个市(州)、贵安新区和88个县(市、区、特区)开展实地调查，完成规划课题实地调研</w:t>
      </w:r>
      <w:r>
        <w:rPr>
          <w:rFonts w:hint="eastAsia" w:cs="Times New Roman"/>
          <w:color w:val="auto"/>
          <w:highlight w:val="none"/>
          <w:lang w:val="en-US" w:eastAsia="zh-CN"/>
        </w:rPr>
        <w:t>。</w:t>
      </w:r>
    </w:p>
    <w:p w14:paraId="6407E843">
      <w:pPr>
        <w:pStyle w:val="2"/>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3）规划评估阶段(2025年10月底前)。形成贵州省推进以县城为重要载体的城镇化建设课题成果。对我厅“十四五”专项规划实施情况进行总结评估，提出“十五五”期间住房城乡建设事业发展的基本思路和工作重点。</w:t>
      </w:r>
    </w:p>
    <w:p w14:paraId="13750DAE">
      <w:pPr>
        <w:pStyle w:val="2"/>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4）规划编制阶段(2025午10月至2026年4月)。2025年12月底前，在前期课题和评估成果基础上，完成“十五五”规划初稿，并征求省有关部门、各市(州)及专家意见。规划编制过程中及2026年4月底前，与国家、省“十五五”规划《纲要》和相关规划进行衔接。</w:t>
      </w:r>
    </w:p>
    <w:p w14:paraId="0980B1CA">
      <w:pPr>
        <w:pStyle w:val="2"/>
        <w:rPr>
          <w:rFonts w:hint="eastAsia"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（5）规划报审阶段(2026年5月至8月)。2026年8月底前开展评审论证，修改完善有关内容，提请厅党组会议审议。</w:t>
      </w:r>
    </w:p>
    <w:p w14:paraId="5422B833">
      <w:pPr>
        <w:bidi w:val="0"/>
        <w:rPr>
          <w:rFonts w:hint="eastAsia"/>
        </w:rPr>
      </w:pPr>
    </w:p>
    <w:p w14:paraId="6FFC438A">
      <w:pPr>
        <w:bidi w:val="0"/>
        <w:rPr>
          <w:rFonts w:hint="eastAsia"/>
        </w:rPr>
      </w:pPr>
    </w:p>
    <w:p w14:paraId="5F901574">
      <w:pPr>
        <w:bidi w:val="0"/>
        <w:rPr>
          <w:rFonts w:hint="eastAsia"/>
        </w:rPr>
      </w:pPr>
    </w:p>
    <w:p w14:paraId="0F505122">
      <w:pPr>
        <w:bidi w:val="0"/>
        <w:rPr>
          <w:rFonts w:hint="eastAsia"/>
        </w:rPr>
      </w:pPr>
    </w:p>
    <w:p w14:paraId="39CAC5B0">
      <w:pPr>
        <w:bidi w:val="0"/>
        <w:rPr>
          <w:rFonts w:hint="eastAsia"/>
        </w:rPr>
      </w:pPr>
    </w:p>
    <w:p w14:paraId="46533E14">
      <w:pPr>
        <w:bidi w:val="0"/>
        <w:rPr>
          <w:rFonts w:hint="eastAsia"/>
        </w:rPr>
      </w:pPr>
    </w:p>
    <w:p w14:paraId="248921CE">
      <w:pPr>
        <w:bidi w:val="0"/>
        <w:rPr>
          <w:rFonts w:hint="eastAsia"/>
        </w:rPr>
      </w:pPr>
    </w:p>
    <w:p w14:paraId="77EDB818">
      <w:pPr>
        <w:bidi w:val="0"/>
        <w:rPr>
          <w:rFonts w:hint="eastAsia"/>
        </w:rPr>
      </w:pPr>
    </w:p>
    <w:p w14:paraId="184C1EB3">
      <w:pPr>
        <w:bidi w:val="0"/>
        <w:rPr>
          <w:rFonts w:hint="eastAsia"/>
        </w:rPr>
      </w:pPr>
    </w:p>
    <w:p w14:paraId="738A8F64">
      <w:pPr>
        <w:bidi w:val="0"/>
        <w:rPr>
          <w:rFonts w:hint="eastAsia"/>
        </w:rPr>
      </w:pPr>
    </w:p>
    <w:p w14:paraId="19B78984">
      <w:pPr>
        <w:bidi w:val="0"/>
        <w:rPr>
          <w:rFonts w:hint="eastAsia"/>
        </w:rPr>
      </w:pPr>
    </w:p>
    <w:p w14:paraId="647B12FD">
      <w:pPr>
        <w:bidi w:val="0"/>
        <w:rPr>
          <w:rFonts w:hint="eastAsia"/>
        </w:rPr>
      </w:pPr>
    </w:p>
    <w:p w14:paraId="0AF8E7CA">
      <w:pPr>
        <w:bidi w:val="0"/>
        <w:rPr>
          <w:rFonts w:hint="eastAsia"/>
        </w:rPr>
      </w:pPr>
    </w:p>
    <w:p w14:paraId="7D89E54D">
      <w:pPr>
        <w:bidi w:val="0"/>
        <w:rPr>
          <w:rFonts w:hint="eastAsia"/>
        </w:rPr>
      </w:pPr>
    </w:p>
    <w:p w14:paraId="0A5DD5B3">
      <w:pPr>
        <w:pStyle w:val="2"/>
        <w:rPr>
          <w:rFonts w:hint="eastAsia"/>
        </w:rPr>
      </w:pPr>
    </w:p>
    <w:p w14:paraId="715E2683">
      <w:pPr>
        <w:pStyle w:val="2"/>
        <w:rPr>
          <w:rFonts w:hint="eastAsia"/>
        </w:rPr>
      </w:pPr>
    </w:p>
    <w:p w14:paraId="760D2BC9">
      <w:pPr>
        <w:pStyle w:val="2"/>
        <w:rPr>
          <w:rFonts w:hint="eastAsia"/>
        </w:rPr>
      </w:pPr>
    </w:p>
    <w:p w14:paraId="3A9A5AD9">
      <w:pPr>
        <w:pStyle w:val="2"/>
        <w:rPr>
          <w:rFonts w:hint="eastAsia"/>
        </w:rPr>
      </w:pPr>
    </w:p>
    <w:p w14:paraId="65DF309D">
      <w:pPr>
        <w:bidi w:val="0"/>
        <w:rPr>
          <w:rFonts w:hint="eastAsia"/>
        </w:rPr>
      </w:pPr>
    </w:p>
    <w:p w14:paraId="3BC0C0DD">
      <w:pPr>
        <w:bidi w:val="0"/>
        <w:rPr>
          <w:rFonts w:hint="eastAsia"/>
        </w:rPr>
      </w:pPr>
    </w:p>
    <w:p w14:paraId="44F33D82">
      <w:pPr>
        <w:bidi w:val="0"/>
        <w:rPr>
          <w:rFonts w:hint="eastAsia"/>
        </w:rPr>
      </w:pPr>
    </w:p>
    <w:p w14:paraId="49078340">
      <w:pPr>
        <w:pStyle w:val="6"/>
        <w:spacing w:before="240" w:after="240"/>
        <w:jc w:val="center"/>
        <w:rPr>
          <w:rFonts w:hint="eastAsia" w:ascii="仿宋" w:hAnsi="仿宋" w:eastAsia="仿宋" w:cstheme="minorEastAsia"/>
          <w:color w:val="auto"/>
          <w:szCs w:val="24"/>
          <w:highlight w:val="none"/>
        </w:rPr>
      </w:pPr>
    </w:p>
    <w:p w14:paraId="7628E903">
      <w:pPr>
        <w:pStyle w:val="6"/>
        <w:spacing w:before="240" w:after="240"/>
        <w:jc w:val="center"/>
        <w:rPr>
          <w:rFonts w:hint="eastAsia" w:ascii="仿宋" w:hAnsi="仿宋" w:eastAsia="仿宋" w:cstheme="minorEastAsia"/>
          <w:color w:val="auto"/>
          <w:szCs w:val="24"/>
          <w:highlight w:val="none"/>
        </w:rPr>
      </w:pPr>
    </w:p>
    <w:p w14:paraId="47C61450">
      <w:pPr>
        <w:pStyle w:val="6"/>
        <w:spacing w:before="240" w:after="240"/>
        <w:jc w:val="center"/>
        <w:rPr>
          <w:rFonts w:ascii="仿宋" w:hAnsi="仿宋" w:eastAsia="仿宋" w:cstheme="minorEastAsia"/>
          <w:color w:val="auto"/>
          <w:szCs w:val="24"/>
          <w:highlight w:val="none"/>
        </w:rPr>
      </w:pPr>
      <w:r>
        <w:rPr>
          <w:rFonts w:hint="eastAsia" w:ascii="仿宋" w:hAnsi="仿宋" w:eastAsia="仿宋" w:cstheme="minorEastAsia"/>
          <w:color w:val="auto"/>
          <w:szCs w:val="24"/>
          <w:highlight w:val="none"/>
        </w:rPr>
        <w:t>第二节 商务要求</w:t>
      </w:r>
      <w:bookmarkEnd w:id="25"/>
      <w:bookmarkEnd w:id="26"/>
    </w:p>
    <w:p w14:paraId="1FB96F46">
      <w:pPr>
        <w:ind w:firstLine="0" w:firstLineChars="0"/>
        <w:rPr>
          <w:rStyle w:val="30"/>
          <w:rFonts w:hint="eastAsia" w:ascii="仿宋" w:hAnsi="仿宋" w:eastAsia="仿宋" w:cs="仿宋"/>
          <w:color w:val="auto"/>
          <w:highlight w:val="none"/>
        </w:rPr>
      </w:pPr>
      <w:r>
        <w:rPr>
          <w:rStyle w:val="30"/>
          <w:rFonts w:hint="eastAsia" w:ascii="仿宋" w:hAnsi="仿宋" w:eastAsia="仿宋" w:cs="仿宋"/>
          <w:color w:val="auto"/>
          <w:highlight w:val="none"/>
        </w:rPr>
        <w:t>一、</w:t>
      </w:r>
      <w:r>
        <w:rPr>
          <w:rStyle w:val="30"/>
          <w:rFonts w:hint="eastAsia" w:ascii="仿宋" w:hAnsi="仿宋" w:eastAsia="仿宋" w:cs="仿宋"/>
          <w:color w:val="auto"/>
          <w:highlight w:val="none"/>
          <w:lang w:eastAsia="zh-CN"/>
        </w:rPr>
        <w:t>服务</w:t>
      </w:r>
      <w:r>
        <w:rPr>
          <w:rStyle w:val="30"/>
          <w:rFonts w:hint="eastAsia" w:ascii="仿宋" w:hAnsi="仿宋" w:eastAsia="仿宋" w:cs="仿宋"/>
          <w:color w:val="auto"/>
          <w:highlight w:val="none"/>
        </w:rPr>
        <w:t>期及</w:t>
      </w:r>
      <w:r>
        <w:rPr>
          <w:rStyle w:val="30"/>
          <w:rFonts w:hint="eastAsia" w:ascii="仿宋" w:hAnsi="仿宋" w:eastAsia="仿宋" w:cs="仿宋"/>
          <w:color w:val="auto"/>
          <w:highlight w:val="none"/>
          <w:lang w:eastAsia="zh-CN"/>
        </w:rPr>
        <w:t>服务</w:t>
      </w:r>
      <w:r>
        <w:rPr>
          <w:rStyle w:val="30"/>
          <w:rFonts w:hint="eastAsia" w:ascii="仿宋" w:hAnsi="仿宋" w:eastAsia="仿宋" w:cs="仿宋"/>
          <w:color w:val="auto"/>
          <w:highlight w:val="none"/>
        </w:rPr>
        <w:t>地点</w:t>
      </w:r>
    </w:p>
    <w:p w14:paraId="383B4CEB">
      <w:pPr>
        <w:spacing w:before="0" w:beforeAutospacing="0" w:after="0" w:afterAutospacing="0"/>
        <w:ind w:left="0" w:leftChars="0" w:firstLine="480" w:firstLineChars="200"/>
        <w:jc w:val="both"/>
        <w:rPr>
          <w:rFonts w:hint="eastAsia" w:ascii="仿宋" w:hAnsi="仿宋" w:eastAsia="仿宋" w:cs="仿宋"/>
          <w:b w:val="0"/>
          <w:bCs w:val="0"/>
          <w:color w:val="FF0000"/>
          <w:sz w:val="24"/>
          <w:highlight w:val="none"/>
          <w:u w:val="single"/>
        </w:rPr>
      </w:pPr>
      <w:r>
        <w:rPr>
          <w:rFonts w:hint="eastAsia" w:ascii="仿宋" w:hAnsi="仿宋" w:eastAsia="仿宋" w:cs="仿宋"/>
          <w:b w:val="0"/>
          <w:bCs w:val="0"/>
          <w:color w:val="FF0000"/>
          <w:sz w:val="24"/>
          <w:highlight w:val="none"/>
        </w:rPr>
        <w:t>1.服务期：</w:t>
      </w:r>
      <w:r>
        <w:rPr>
          <w:rFonts w:hint="eastAsia" w:ascii="仿宋" w:hAnsi="仿宋" w:eastAsia="仿宋" w:cs="仿宋"/>
          <w:color w:val="FF0000"/>
          <w:sz w:val="24"/>
          <w:szCs w:val="24"/>
          <w:highlight w:val="none"/>
          <w:lang w:val="en-US" w:eastAsia="zh-CN"/>
        </w:rPr>
        <w:t>2026年８月31日</w:t>
      </w:r>
      <w:r>
        <w:rPr>
          <w:rFonts w:hint="eastAsia" w:ascii="仿宋" w:hAnsi="仿宋" w:eastAsia="仿宋" w:cs="仿宋"/>
          <w:b w:val="0"/>
          <w:bCs w:val="0"/>
          <w:color w:val="FF0000"/>
          <w:sz w:val="24"/>
          <w:szCs w:val="24"/>
          <w:highlight w:val="none"/>
          <w:u w:val="none"/>
          <w:lang w:val="en-US" w:eastAsia="zh-CN"/>
        </w:rPr>
        <w:t>之前完成所有工作</w:t>
      </w:r>
      <w:r>
        <w:rPr>
          <w:rFonts w:hint="eastAsia" w:ascii="仿宋" w:hAnsi="仿宋" w:eastAsia="仿宋" w:cs="仿宋"/>
          <w:b w:val="0"/>
          <w:bCs w:val="0"/>
          <w:color w:val="FF0000"/>
          <w:sz w:val="24"/>
          <w:szCs w:val="24"/>
          <w:highlight w:val="none"/>
          <w:lang w:val="en-US" w:eastAsia="zh-CN"/>
        </w:rPr>
        <w:t>。</w:t>
      </w:r>
    </w:p>
    <w:p w14:paraId="5899444C">
      <w:pPr>
        <w:spacing w:before="0" w:beforeAutospacing="0" w:after="0" w:afterAutospacing="0"/>
        <w:ind w:left="0" w:leftChars="0" w:firstLine="480" w:firstLineChars="200"/>
        <w:jc w:val="both"/>
        <w:rPr>
          <w:rFonts w:hint="eastAsia" w:ascii="仿宋" w:hAnsi="仿宋" w:eastAsia="仿宋" w:cs="仿宋"/>
          <w:color w:val="FF0000"/>
          <w:sz w:val="24"/>
          <w:highlight w:val="none"/>
          <w:u w:val="none"/>
        </w:rPr>
      </w:pPr>
      <w:r>
        <w:rPr>
          <w:rFonts w:hint="eastAsia" w:ascii="仿宋" w:hAnsi="仿宋" w:eastAsia="仿宋" w:cs="仿宋"/>
          <w:color w:val="FF0000"/>
          <w:sz w:val="24"/>
          <w:highlight w:val="none"/>
        </w:rPr>
        <w:t>2.服务地点：</w:t>
      </w:r>
      <w:r>
        <w:rPr>
          <w:rFonts w:hint="eastAsia" w:ascii="仿宋" w:hAnsi="仿宋" w:eastAsia="仿宋" w:cs="仿宋"/>
          <w:color w:val="FF0000"/>
          <w:sz w:val="24"/>
          <w:highlight w:val="none"/>
          <w:u w:val="none"/>
        </w:rPr>
        <w:t>采购人指定地点。</w:t>
      </w:r>
    </w:p>
    <w:p w14:paraId="68560A69">
      <w:pPr>
        <w:ind w:firstLine="0" w:firstLineChars="0"/>
        <w:rPr>
          <w:rStyle w:val="30"/>
          <w:rFonts w:hint="eastAsia" w:ascii="仿宋" w:hAnsi="仿宋" w:eastAsia="仿宋" w:cs="仿宋"/>
          <w:color w:val="auto"/>
          <w:highlight w:val="none"/>
        </w:rPr>
      </w:pPr>
      <w:r>
        <w:rPr>
          <w:rStyle w:val="30"/>
          <w:rFonts w:hint="eastAsia" w:ascii="仿宋" w:hAnsi="仿宋" w:eastAsia="仿宋" w:cs="仿宋"/>
          <w:color w:val="auto"/>
          <w:highlight w:val="none"/>
        </w:rPr>
        <w:t>二、验收标准、规范</w:t>
      </w:r>
    </w:p>
    <w:p w14:paraId="2C44CD3D">
      <w:pPr>
        <w:ind w:firstLine="480" w:firstLineChars="200"/>
        <w:rPr>
          <w:rStyle w:val="30"/>
          <w:rFonts w:hint="eastAsia" w:ascii="仿宋" w:hAnsi="仿宋" w:eastAsia="仿宋" w:cs="仿宋"/>
          <w:color w:val="auto"/>
          <w:highlight w:val="none"/>
        </w:rPr>
      </w:pPr>
      <w:r>
        <w:rPr>
          <w:rStyle w:val="30"/>
          <w:rFonts w:hint="eastAsia" w:ascii="仿宋" w:hAnsi="仿宋" w:eastAsia="仿宋" w:cs="仿宋"/>
          <w:color w:val="auto"/>
          <w:highlight w:val="none"/>
          <w:lang w:val="en-US" w:eastAsia="zh-CN"/>
        </w:rPr>
        <w:t>符合国家及行业现行有关标准及规范</w:t>
      </w:r>
      <w:r>
        <w:rPr>
          <w:rStyle w:val="30"/>
          <w:rFonts w:hint="eastAsia" w:ascii="仿宋" w:hAnsi="仿宋" w:eastAsia="仿宋" w:cs="仿宋"/>
          <w:color w:val="auto"/>
          <w:highlight w:val="none"/>
        </w:rPr>
        <w:t>。</w:t>
      </w:r>
    </w:p>
    <w:p w14:paraId="1660170B">
      <w:pPr>
        <w:ind w:left="0" w:leftChars="0" w:firstLine="0" w:firstLineChars="0"/>
        <w:rPr>
          <w:rStyle w:val="30"/>
          <w:rFonts w:hint="eastAsia" w:ascii="仿宋" w:hAnsi="仿宋" w:eastAsia="仿宋" w:cs="仿宋"/>
          <w:color w:val="auto"/>
          <w:highlight w:val="none"/>
        </w:rPr>
      </w:pPr>
      <w:r>
        <w:rPr>
          <w:rStyle w:val="30"/>
          <w:rFonts w:hint="eastAsia" w:ascii="仿宋" w:hAnsi="仿宋" w:eastAsia="仿宋" w:cs="仿宋"/>
          <w:color w:val="auto"/>
          <w:highlight w:val="none"/>
        </w:rPr>
        <w:t>三、售后服务</w:t>
      </w:r>
    </w:p>
    <w:p w14:paraId="2247E2ED">
      <w:pPr>
        <w:ind w:firstLine="480" w:firstLineChars="200"/>
        <w:rPr>
          <w:rStyle w:val="30"/>
          <w:rFonts w:hint="eastAsia" w:ascii="仿宋" w:hAnsi="仿宋" w:eastAsia="仿宋" w:cs="仿宋"/>
          <w:color w:val="auto"/>
          <w:highlight w:val="none"/>
          <w:lang w:val="en-US" w:eastAsia="zh-CN"/>
        </w:rPr>
      </w:pPr>
      <w:r>
        <w:rPr>
          <w:rStyle w:val="30"/>
          <w:rFonts w:hint="eastAsia" w:ascii="仿宋" w:hAnsi="仿宋" w:eastAsia="仿宋" w:cs="仿宋"/>
          <w:color w:val="auto"/>
          <w:highlight w:val="none"/>
          <w:lang w:val="en-US" w:eastAsia="zh-CN"/>
        </w:rPr>
        <w:t>配合业主完成相关后续工作。</w:t>
      </w:r>
    </w:p>
    <w:p w14:paraId="3EE85D8A">
      <w:pPr>
        <w:numPr>
          <w:ilvl w:val="0"/>
          <w:numId w:val="1"/>
        </w:numPr>
        <w:ind w:firstLine="0" w:firstLineChars="0"/>
        <w:rPr>
          <w:rStyle w:val="30"/>
          <w:rFonts w:hint="eastAsia" w:ascii="仿宋" w:hAnsi="仿宋" w:eastAsia="仿宋" w:cs="仿宋"/>
          <w:color w:val="auto"/>
          <w:highlight w:val="none"/>
        </w:rPr>
      </w:pPr>
      <w:r>
        <w:rPr>
          <w:rStyle w:val="30"/>
          <w:rFonts w:hint="eastAsia" w:ascii="仿宋" w:hAnsi="仿宋" w:eastAsia="仿宋" w:cs="仿宋"/>
          <w:color w:val="auto"/>
          <w:highlight w:val="none"/>
        </w:rPr>
        <w:t>付款方式</w:t>
      </w:r>
    </w:p>
    <w:p w14:paraId="4F8A49A1">
      <w:pPr>
        <w:pStyle w:val="2"/>
        <w:numPr>
          <w:numId w:val="0"/>
        </w:numPr>
        <w:ind w:firstLine="480" w:firstLineChars="200"/>
        <w:rPr>
          <w:rFonts w:hint="eastAsia" w:ascii="Times New Roman" w:hAnsi="Times New Roman" w:eastAsia="仿宋_GB2312" w:cs="Times New Roman"/>
          <w:color w:val="FF0000"/>
          <w:kern w:val="2"/>
          <w:sz w:val="24"/>
          <w:szCs w:val="24"/>
          <w:highlight w:val="none"/>
          <w:lang w:val="en-US" w:eastAsia="zh-CN" w:bidi="ar-SA"/>
        </w:rPr>
      </w:pPr>
      <w:r>
        <w:rPr>
          <w:rFonts w:hint="eastAsia" w:ascii="Times New Roman" w:hAnsi="Times New Roman" w:eastAsia="仿宋_GB2312" w:cs="Times New Roman"/>
          <w:color w:val="FF0000"/>
          <w:kern w:val="2"/>
          <w:sz w:val="24"/>
          <w:szCs w:val="24"/>
          <w:highlight w:val="none"/>
          <w:lang w:val="en-US" w:eastAsia="zh-CN" w:bidi="ar-SA"/>
        </w:rPr>
        <w:t xml:space="preserve">合同签订后 15 日内支付至合同价款的 </w:t>
      </w:r>
      <w:r>
        <w:rPr>
          <w:rFonts w:hint="eastAsia" w:eastAsia="仿宋_GB2312" w:cs="Times New Roman"/>
          <w:color w:val="FF0000"/>
          <w:kern w:val="2"/>
          <w:sz w:val="24"/>
          <w:szCs w:val="24"/>
          <w:highlight w:val="none"/>
          <w:lang w:val="en-US" w:eastAsia="zh-CN" w:bidi="ar-SA"/>
        </w:rPr>
        <w:t>2</w:t>
      </w:r>
      <w:r>
        <w:rPr>
          <w:rFonts w:hint="eastAsia" w:ascii="Times New Roman" w:hAnsi="Times New Roman" w:eastAsia="仿宋_GB2312" w:cs="Times New Roman"/>
          <w:color w:val="FF0000"/>
          <w:kern w:val="2"/>
          <w:sz w:val="24"/>
          <w:szCs w:val="24"/>
          <w:highlight w:val="none"/>
          <w:lang w:val="en-US" w:eastAsia="zh-CN" w:bidi="ar-SA"/>
        </w:rPr>
        <w:t>0%</w:t>
      </w:r>
      <w:r>
        <w:rPr>
          <w:rFonts w:hint="eastAsia" w:eastAsia="仿宋_GB2312" w:cs="Times New Roman"/>
          <w:color w:val="FF0000"/>
          <w:kern w:val="2"/>
          <w:sz w:val="24"/>
          <w:szCs w:val="24"/>
          <w:highlight w:val="none"/>
          <w:lang w:val="en-US" w:eastAsia="zh-CN" w:bidi="ar-SA"/>
        </w:rPr>
        <w:t>，</w:t>
      </w:r>
      <w:r>
        <w:rPr>
          <w:rFonts w:hint="eastAsia" w:ascii="Times New Roman" w:hAnsi="Times New Roman" w:eastAsia="仿宋_GB2312" w:cs="Times New Roman"/>
          <w:color w:val="FF0000"/>
          <w:kern w:val="2"/>
          <w:sz w:val="24"/>
          <w:szCs w:val="24"/>
          <w:highlight w:val="none"/>
          <w:lang w:val="en-US" w:eastAsia="zh-CN" w:bidi="ar-SA"/>
        </w:rPr>
        <w:t>完成实地调研阶段后支付至合同价款的</w:t>
      </w:r>
      <w:r>
        <w:rPr>
          <w:rFonts w:hint="eastAsia" w:eastAsia="仿宋_GB2312" w:cs="Times New Roman"/>
          <w:color w:val="FF0000"/>
          <w:kern w:val="2"/>
          <w:sz w:val="24"/>
          <w:szCs w:val="24"/>
          <w:highlight w:val="none"/>
          <w:lang w:val="en-US" w:eastAsia="zh-CN" w:bidi="ar-SA"/>
        </w:rPr>
        <w:t>5</w:t>
      </w:r>
      <w:r>
        <w:rPr>
          <w:rFonts w:hint="eastAsia" w:ascii="Times New Roman" w:hAnsi="Times New Roman" w:eastAsia="仿宋_GB2312" w:cs="Times New Roman"/>
          <w:color w:val="FF0000"/>
          <w:kern w:val="2"/>
          <w:sz w:val="24"/>
          <w:szCs w:val="24"/>
          <w:highlight w:val="none"/>
          <w:lang w:val="en-US" w:eastAsia="zh-CN" w:bidi="ar-SA"/>
        </w:rPr>
        <w:t>0%</w:t>
      </w:r>
      <w:r>
        <w:rPr>
          <w:rFonts w:hint="eastAsia" w:eastAsia="仿宋_GB2312" w:cs="Times New Roman"/>
          <w:color w:val="FF0000"/>
          <w:kern w:val="2"/>
          <w:sz w:val="24"/>
          <w:szCs w:val="24"/>
          <w:highlight w:val="none"/>
          <w:lang w:val="en-US" w:eastAsia="zh-CN" w:bidi="ar-SA"/>
        </w:rPr>
        <w:t>，完成</w:t>
      </w:r>
      <w:r>
        <w:rPr>
          <w:rFonts w:hint="eastAsia" w:ascii="Times New Roman" w:hAnsi="Times New Roman" w:eastAsia="仿宋_GB2312" w:cs="Times New Roman"/>
          <w:color w:val="FF0000"/>
          <w:kern w:val="2"/>
          <w:sz w:val="24"/>
          <w:szCs w:val="24"/>
          <w:highlight w:val="none"/>
          <w:lang w:val="en-US" w:eastAsia="zh-CN" w:bidi="ar-SA"/>
        </w:rPr>
        <w:t>规划评估</w:t>
      </w:r>
      <w:r>
        <w:rPr>
          <w:rFonts w:hint="eastAsia" w:eastAsia="仿宋_GB2312" w:cs="Times New Roman"/>
          <w:color w:val="FF0000"/>
          <w:kern w:val="2"/>
          <w:sz w:val="24"/>
          <w:szCs w:val="24"/>
          <w:highlight w:val="none"/>
          <w:lang w:val="en-US" w:eastAsia="zh-CN" w:bidi="ar-SA"/>
        </w:rPr>
        <w:t>、课题</w:t>
      </w:r>
      <w:r>
        <w:rPr>
          <w:rFonts w:hint="eastAsia" w:ascii="Times New Roman" w:hAnsi="Times New Roman" w:eastAsia="仿宋_GB2312" w:cs="Times New Roman"/>
          <w:color w:val="FF0000"/>
          <w:kern w:val="2"/>
          <w:sz w:val="24"/>
          <w:szCs w:val="24"/>
          <w:highlight w:val="none"/>
          <w:lang w:val="en-US" w:eastAsia="zh-CN" w:bidi="ar-SA"/>
        </w:rPr>
        <w:t>阶段</w:t>
      </w:r>
      <w:r>
        <w:rPr>
          <w:rFonts w:hint="eastAsia" w:eastAsia="仿宋_GB2312" w:cs="Times New Roman"/>
          <w:color w:val="FF0000"/>
          <w:kern w:val="2"/>
          <w:sz w:val="24"/>
          <w:szCs w:val="24"/>
          <w:highlight w:val="none"/>
          <w:lang w:val="en-US" w:eastAsia="zh-CN" w:bidi="ar-SA"/>
        </w:rPr>
        <w:t>后</w:t>
      </w:r>
      <w:r>
        <w:rPr>
          <w:rFonts w:hint="eastAsia" w:ascii="Times New Roman" w:hAnsi="Times New Roman" w:eastAsia="仿宋_GB2312" w:cs="Times New Roman"/>
          <w:color w:val="FF0000"/>
          <w:kern w:val="2"/>
          <w:sz w:val="24"/>
          <w:szCs w:val="24"/>
          <w:highlight w:val="none"/>
          <w:lang w:val="en-US" w:eastAsia="zh-CN" w:bidi="ar-SA"/>
        </w:rPr>
        <w:t>支付至合同价款的</w:t>
      </w:r>
      <w:r>
        <w:rPr>
          <w:rFonts w:hint="eastAsia" w:eastAsia="仿宋_GB2312" w:cs="Times New Roman"/>
          <w:color w:val="FF0000"/>
          <w:kern w:val="2"/>
          <w:sz w:val="24"/>
          <w:szCs w:val="24"/>
          <w:highlight w:val="none"/>
          <w:lang w:val="en-US" w:eastAsia="zh-CN" w:bidi="ar-SA"/>
        </w:rPr>
        <w:t>6</w:t>
      </w:r>
      <w:r>
        <w:rPr>
          <w:rFonts w:hint="eastAsia" w:ascii="Times New Roman" w:hAnsi="Times New Roman" w:eastAsia="仿宋_GB2312" w:cs="Times New Roman"/>
          <w:color w:val="FF0000"/>
          <w:kern w:val="2"/>
          <w:sz w:val="24"/>
          <w:szCs w:val="24"/>
          <w:highlight w:val="none"/>
          <w:lang w:val="en-US" w:eastAsia="zh-CN" w:bidi="ar-SA"/>
        </w:rPr>
        <w:t>2%</w:t>
      </w:r>
      <w:r>
        <w:rPr>
          <w:rFonts w:hint="eastAsia" w:eastAsia="仿宋_GB2312" w:cs="Times New Roman"/>
          <w:color w:val="FF0000"/>
          <w:kern w:val="2"/>
          <w:sz w:val="24"/>
          <w:szCs w:val="24"/>
          <w:highlight w:val="none"/>
          <w:lang w:val="en-US" w:eastAsia="zh-CN" w:bidi="ar-SA"/>
        </w:rPr>
        <w:t>,</w:t>
      </w:r>
      <w:r>
        <w:rPr>
          <w:rFonts w:hint="eastAsia" w:ascii="Times New Roman" w:hAnsi="Times New Roman" w:eastAsia="仿宋_GB2312" w:cs="Times New Roman"/>
          <w:color w:val="FF0000"/>
          <w:kern w:val="2"/>
          <w:sz w:val="24"/>
          <w:szCs w:val="24"/>
          <w:highlight w:val="none"/>
          <w:lang w:val="en-US" w:eastAsia="zh-CN" w:bidi="ar-SA"/>
        </w:rPr>
        <w:t>完成规划编制阶段</w:t>
      </w:r>
      <w:r>
        <w:rPr>
          <w:rFonts w:hint="eastAsia" w:eastAsia="仿宋_GB2312" w:cs="Times New Roman"/>
          <w:color w:val="FF0000"/>
          <w:kern w:val="2"/>
          <w:sz w:val="24"/>
          <w:szCs w:val="24"/>
          <w:highlight w:val="none"/>
          <w:lang w:val="en-US" w:eastAsia="zh-CN" w:bidi="ar-SA"/>
        </w:rPr>
        <w:t>后</w:t>
      </w:r>
      <w:r>
        <w:rPr>
          <w:rFonts w:hint="eastAsia" w:ascii="Times New Roman" w:hAnsi="Times New Roman" w:eastAsia="仿宋_GB2312" w:cs="Times New Roman"/>
          <w:color w:val="FF0000"/>
          <w:kern w:val="2"/>
          <w:sz w:val="24"/>
          <w:szCs w:val="24"/>
          <w:highlight w:val="none"/>
          <w:lang w:val="en-US" w:eastAsia="zh-CN" w:bidi="ar-SA"/>
        </w:rPr>
        <w:t>支付至合同价款的</w:t>
      </w:r>
      <w:r>
        <w:rPr>
          <w:rFonts w:hint="eastAsia" w:eastAsia="仿宋_GB2312" w:cs="Times New Roman"/>
          <w:color w:val="FF0000"/>
          <w:kern w:val="2"/>
          <w:sz w:val="24"/>
          <w:szCs w:val="24"/>
          <w:highlight w:val="none"/>
          <w:lang w:val="en-US" w:eastAsia="zh-CN" w:bidi="ar-SA"/>
        </w:rPr>
        <w:t>90</w:t>
      </w:r>
      <w:r>
        <w:rPr>
          <w:rFonts w:hint="eastAsia" w:ascii="Times New Roman" w:hAnsi="Times New Roman" w:eastAsia="仿宋_GB2312" w:cs="Times New Roman"/>
          <w:color w:val="FF0000"/>
          <w:kern w:val="2"/>
          <w:sz w:val="24"/>
          <w:szCs w:val="24"/>
          <w:highlight w:val="none"/>
          <w:lang w:val="en-US" w:eastAsia="zh-CN" w:bidi="ar-SA"/>
        </w:rPr>
        <w:t>%</w:t>
      </w:r>
      <w:r>
        <w:rPr>
          <w:rFonts w:hint="eastAsia" w:eastAsia="仿宋_GB2312" w:cs="Times New Roman"/>
          <w:color w:val="FF0000"/>
          <w:kern w:val="2"/>
          <w:sz w:val="24"/>
          <w:szCs w:val="24"/>
          <w:highlight w:val="none"/>
          <w:lang w:val="en-US" w:eastAsia="zh-CN" w:bidi="ar-SA"/>
        </w:rPr>
        <w:t>,</w:t>
      </w:r>
      <w:r>
        <w:rPr>
          <w:rFonts w:hint="eastAsia" w:ascii="Times New Roman" w:hAnsi="Times New Roman" w:eastAsia="仿宋_GB2312" w:cs="Times New Roman"/>
          <w:color w:val="FF0000"/>
          <w:kern w:val="2"/>
          <w:sz w:val="24"/>
          <w:szCs w:val="24"/>
          <w:highlight w:val="none"/>
          <w:lang w:val="en-US" w:eastAsia="zh-CN" w:bidi="ar-SA"/>
        </w:rPr>
        <w:t>完成规划报审后支付合同价款</w:t>
      </w:r>
      <w:r>
        <w:rPr>
          <w:rFonts w:hint="eastAsia" w:eastAsia="仿宋_GB2312" w:cs="Times New Roman"/>
          <w:color w:val="FF0000"/>
          <w:kern w:val="2"/>
          <w:sz w:val="24"/>
          <w:szCs w:val="24"/>
          <w:highlight w:val="none"/>
          <w:lang w:val="en-US" w:eastAsia="zh-CN" w:bidi="ar-SA"/>
        </w:rPr>
        <w:t>剩余</w:t>
      </w:r>
      <w:r>
        <w:rPr>
          <w:rFonts w:hint="eastAsia" w:ascii="Times New Roman" w:hAnsi="Times New Roman" w:eastAsia="仿宋_GB2312" w:cs="Times New Roman"/>
          <w:color w:val="FF0000"/>
          <w:kern w:val="2"/>
          <w:sz w:val="24"/>
          <w:szCs w:val="24"/>
          <w:highlight w:val="none"/>
          <w:lang w:val="en-US" w:eastAsia="zh-CN" w:bidi="ar-SA"/>
        </w:rPr>
        <w:t>的10%；</w:t>
      </w:r>
    </w:p>
    <w:p w14:paraId="764891CF">
      <w:pPr>
        <w:pStyle w:val="2"/>
        <w:numPr>
          <w:ilvl w:val="0"/>
          <w:numId w:val="0"/>
        </w:numPr>
        <w:rPr>
          <w:rStyle w:val="30"/>
          <w:rFonts w:hint="eastAsia" w:ascii="仿宋" w:hAnsi="仿宋" w:eastAsia="仿宋" w:cs="仿宋"/>
          <w:color w:val="auto"/>
          <w:highlight w:val="none"/>
        </w:rPr>
      </w:pPr>
      <w:r>
        <w:rPr>
          <w:rStyle w:val="30"/>
          <w:rFonts w:hint="eastAsia" w:ascii="仿宋" w:hAnsi="仿宋" w:eastAsia="仿宋" w:cs="仿宋"/>
          <w:color w:val="auto"/>
          <w:highlight w:val="none"/>
          <w:lang w:eastAsia="zh-CN"/>
        </w:rPr>
        <w:t>五</w:t>
      </w:r>
      <w:r>
        <w:rPr>
          <w:rStyle w:val="30"/>
          <w:rFonts w:hint="eastAsia" w:ascii="仿宋" w:hAnsi="仿宋" w:eastAsia="仿宋" w:cs="仿宋"/>
          <w:color w:val="auto"/>
          <w:highlight w:val="none"/>
        </w:rPr>
        <w:t>、履约保证金</w:t>
      </w:r>
    </w:p>
    <w:p w14:paraId="03621672">
      <w:pPr>
        <w:rPr>
          <w:rStyle w:val="30"/>
          <w:rFonts w:hint="eastAsia" w:ascii="仿宋" w:hAnsi="仿宋" w:eastAsia="仿宋" w:cs="仿宋"/>
          <w:color w:val="auto"/>
          <w:highlight w:val="none"/>
        </w:rPr>
      </w:pPr>
      <w:r>
        <w:rPr>
          <w:rStyle w:val="30"/>
          <w:rFonts w:hint="eastAsia" w:ascii="仿宋" w:hAnsi="仿宋" w:eastAsia="仿宋" w:cs="仿宋"/>
          <w:color w:val="auto"/>
          <w:highlight w:val="none"/>
        </w:rPr>
        <w:t>不提交。</w:t>
      </w:r>
    </w:p>
    <w:p w14:paraId="38DE1BFC">
      <w:pPr>
        <w:ind w:firstLine="0" w:firstLineChars="0"/>
        <w:rPr>
          <w:rStyle w:val="30"/>
          <w:rFonts w:hint="eastAsia" w:ascii="仿宋" w:hAnsi="仿宋" w:eastAsia="仿宋" w:cs="仿宋"/>
          <w:color w:val="auto"/>
          <w:highlight w:val="none"/>
        </w:rPr>
      </w:pPr>
      <w:r>
        <w:rPr>
          <w:rStyle w:val="30"/>
          <w:rFonts w:hint="eastAsia" w:ascii="仿宋" w:hAnsi="仿宋" w:eastAsia="仿宋" w:cs="仿宋"/>
          <w:color w:val="auto"/>
          <w:highlight w:val="none"/>
          <w:lang w:eastAsia="zh-CN"/>
        </w:rPr>
        <w:t>六</w:t>
      </w:r>
      <w:r>
        <w:rPr>
          <w:rStyle w:val="30"/>
          <w:rFonts w:hint="eastAsia" w:ascii="仿宋" w:hAnsi="仿宋" w:eastAsia="仿宋" w:cs="仿宋"/>
          <w:color w:val="auto"/>
          <w:highlight w:val="none"/>
        </w:rPr>
        <w:t>、</w:t>
      </w:r>
      <w:r>
        <w:rPr>
          <w:rStyle w:val="30"/>
          <w:rFonts w:hint="eastAsia" w:ascii="仿宋" w:hAnsi="仿宋" w:eastAsia="仿宋" w:cs="仿宋"/>
          <w:color w:val="auto"/>
          <w:highlight w:val="none"/>
          <w:lang w:eastAsia="zh-CN"/>
        </w:rPr>
        <w:t>竞标</w:t>
      </w:r>
      <w:r>
        <w:rPr>
          <w:rStyle w:val="30"/>
          <w:rFonts w:hint="eastAsia" w:ascii="仿宋" w:hAnsi="仿宋" w:eastAsia="仿宋" w:cs="仿宋"/>
          <w:color w:val="auto"/>
          <w:highlight w:val="none"/>
        </w:rPr>
        <w:t>有效期</w:t>
      </w:r>
    </w:p>
    <w:p w14:paraId="4EDC9492">
      <w:pPr>
        <w:ind w:firstLine="480" w:firstLineChars="200"/>
        <w:rPr>
          <w:rStyle w:val="30"/>
          <w:rFonts w:hint="eastAsia" w:ascii="仿宋" w:hAnsi="仿宋" w:eastAsia="仿宋" w:cs="仿宋"/>
          <w:color w:val="auto"/>
          <w:highlight w:val="none"/>
        </w:rPr>
      </w:pPr>
      <w:r>
        <w:rPr>
          <w:rFonts w:hint="eastAsia" w:ascii="仿宋" w:hAnsi="仿宋" w:eastAsia="仿宋" w:cs="仿宋"/>
          <w:color w:val="auto"/>
          <w:highlight w:val="none"/>
          <w:lang w:val="en-US" w:eastAsia="zh-CN"/>
        </w:rPr>
        <w:t>60日历天</w:t>
      </w:r>
      <w:r>
        <w:rPr>
          <w:rStyle w:val="30"/>
          <w:rFonts w:hint="eastAsia" w:ascii="仿宋" w:hAnsi="仿宋" w:eastAsia="仿宋" w:cs="仿宋"/>
          <w:color w:val="auto"/>
          <w:highlight w:val="none"/>
        </w:rPr>
        <w:t>。</w:t>
      </w:r>
    </w:p>
    <w:p w14:paraId="6378EB09">
      <w:pPr>
        <w:numPr>
          <w:ilvl w:val="0"/>
          <w:numId w:val="2"/>
        </w:numP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其他未尽事宜由甲乙双方在合同中约定</w:t>
      </w:r>
      <w:r>
        <w:rPr>
          <w:rFonts w:hint="eastAsia" w:ascii="仿宋" w:hAnsi="仿宋" w:eastAsia="仿宋" w:cs="仿宋"/>
          <w:color w:val="auto"/>
          <w:highlight w:val="none"/>
        </w:rPr>
        <w:t>。</w:t>
      </w:r>
    </w:p>
    <w:p w14:paraId="703B2ABC">
      <w:pPr>
        <w:keepNext w:val="0"/>
        <w:keepLines w:val="0"/>
        <w:widowControl/>
        <w:suppressLineNumbers w:val="0"/>
        <w:jc w:val="left"/>
      </w:pPr>
      <w:r>
        <w:rPr>
          <w:rFonts w:hint="eastAsia" w:ascii="仿宋" w:hAnsi="仿宋" w:eastAsia="仿宋" w:cs="仿宋"/>
          <w:color w:val="000000"/>
          <w:kern w:val="0"/>
          <w:sz w:val="24"/>
          <w:szCs w:val="24"/>
          <w:lang w:val="en-US" w:eastAsia="zh-CN" w:bidi="ar"/>
        </w:rPr>
        <w:t>2、</w:t>
      </w:r>
      <w:r>
        <w:rPr>
          <w:rFonts w:ascii="仿宋" w:hAnsi="仿宋" w:eastAsia="仿宋" w:cs="仿宋"/>
          <w:color w:val="000000"/>
          <w:kern w:val="0"/>
          <w:sz w:val="24"/>
          <w:szCs w:val="24"/>
          <w:lang w:val="en-US" w:eastAsia="zh-CN" w:bidi="ar"/>
        </w:rPr>
        <w:t>本项目采购标的对应的中小企业划分标准所属行业为</w:t>
      </w:r>
      <w:r>
        <w:rPr>
          <w:rFonts w:hint="eastAsia" w:ascii="仿宋" w:hAnsi="仿宋" w:eastAsia="仿宋" w:cs="仿宋"/>
          <w:color w:val="000000"/>
          <w:kern w:val="0"/>
          <w:sz w:val="24"/>
          <w:szCs w:val="24"/>
          <w:lang w:val="en-US" w:eastAsia="zh-CN" w:bidi="ar"/>
        </w:rPr>
        <w:t>租赁和商务服务业</w:t>
      </w:r>
      <w:r>
        <w:rPr>
          <w:rFonts w:ascii="仿宋" w:hAnsi="仿宋" w:eastAsia="仿宋" w:cs="仿宋"/>
          <w:color w:val="000000"/>
          <w:kern w:val="0"/>
          <w:sz w:val="24"/>
          <w:szCs w:val="24"/>
          <w:lang w:val="en-US" w:eastAsia="zh-CN" w:bidi="ar"/>
        </w:rPr>
        <w:t>。</w:t>
      </w:r>
    </w:p>
    <w:p w14:paraId="37581538">
      <w:pPr>
        <w:pStyle w:val="2"/>
        <w:numPr>
          <w:numId w:val="0"/>
        </w:numPr>
        <w:rPr>
          <w:rFonts w:hint="eastAsia"/>
        </w:rPr>
      </w:pPr>
    </w:p>
    <w:p w14:paraId="039AA193">
      <w:pPr>
        <w:pStyle w:val="6"/>
        <w:spacing w:before="240" w:after="240"/>
        <w:rPr>
          <w:rFonts w:ascii="仿宋" w:hAnsi="仿宋" w:eastAsia="仿宋" w:cstheme="minorEastAsia"/>
          <w:color w:val="auto"/>
          <w:sz w:val="30"/>
          <w:szCs w:val="30"/>
          <w:highlight w:val="none"/>
        </w:rPr>
      </w:pPr>
      <w:bookmarkStart w:id="27" w:name="_Toc13270"/>
      <w:bookmarkStart w:id="28" w:name="_Toc407182668"/>
      <w:r>
        <w:rPr>
          <w:rFonts w:hint="eastAsia" w:ascii="仿宋" w:hAnsi="仿宋" w:eastAsia="仿宋" w:cstheme="minorEastAsia"/>
          <w:color w:val="auto"/>
          <w:sz w:val="30"/>
          <w:szCs w:val="30"/>
          <w:highlight w:val="none"/>
        </w:rPr>
        <w:t>第三节 图纸附件</w:t>
      </w:r>
      <w:bookmarkEnd w:id="27"/>
      <w:bookmarkEnd w:id="28"/>
    </w:p>
    <w:p w14:paraId="52202C77">
      <w:pPr>
        <w:spacing w:before="240" w:beforeLines="100" w:after="120" w:afterLines="50"/>
        <w:ind w:firstLine="640"/>
        <w:jc w:val="center"/>
        <w:rPr>
          <w:rFonts w:ascii="仿宋" w:hAnsi="仿宋" w:eastAsia="仿宋" w:cstheme="minorEastAsia"/>
          <w:color w:val="auto"/>
          <w:sz w:val="36"/>
          <w:szCs w:val="36"/>
          <w:highlight w:val="none"/>
        </w:rPr>
      </w:pPr>
      <w:r>
        <w:rPr>
          <w:rFonts w:hint="eastAsia" w:ascii="仿宋" w:hAnsi="仿宋" w:eastAsia="仿宋" w:cstheme="minorEastAsia"/>
          <w:color w:val="auto"/>
          <w:sz w:val="32"/>
          <w:szCs w:val="32"/>
          <w:highlight w:val="none"/>
        </w:rPr>
        <w:t>无。</w:t>
      </w:r>
    </w:p>
    <w:p w14:paraId="181CD95B">
      <w:pPr>
        <w:ind w:firstLine="600"/>
        <w:rPr>
          <w:rFonts w:ascii="仿宋" w:hAnsi="仿宋" w:eastAsia="仿宋" w:cstheme="minorEastAsia"/>
          <w:color w:val="auto"/>
          <w:sz w:val="30"/>
          <w:szCs w:val="30"/>
          <w:highlight w:val="none"/>
        </w:rPr>
      </w:pPr>
      <w:r>
        <w:rPr>
          <w:rFonts w:hint="eastAsia" w:ascii="仿宋" w:hAnsi="仿宋" w:eastAsia="仿宋" w:cstheme="minorEastAsia"/>
          <w:color w:val="auto"/>
          <w:sz w:val="30"/>
          <w:szCs w:val="30"/>
          <w:highlight w:val="none"/>
        </w:rPr>
        <w:br w:type="page"/>
      </w:r>
    </w:p>
    <w:p w14:paraId="691EC8CA">
      <w:pPr>
        <w:spacing w:before="240" w:beforeLines="100" w:after="120" w:afterLines="50"/>
        <w:ind w:firstLine="600"/>
        <w:jc w:val="center"/>
        <w:outlineLvl w:val="2"/>
        <w:rPr>
          <w:rFonts w:ascii="仿宋" w:hAnsi="仿宋" w:eastAsia="仿宋" w:cstheme="minorEastAsia"/>
          <w:color w:val="auto"/>
          <w:sz w:val="30"/>
          <w:szCs w:val="30"/>
          <w:highlight w:val="none"/>
        </w:rPr>
      </w:pPr>
      <w:bookmarkStart w:id="29" w:name="_Toc24877"/>
      <w:r>
        <w:rPr>
          <w:rFonts w:hint="eastAsia" w:ascii="仿宋" w:hAnsi="仿宋" w:eastAsia="仿宋" w:cstheme="minorEastAsia"/>
          <w:color w:val="auto"/>
          <w:sz w:val="30"/>
          <w:szCs w:val="30"/>
          <w:highlight w:val="none"/>
        </w:rPr>
        <w:t>第四节 实质性要求明细表</w:t>
      </w:r>
      <w:bookmarkEnd w:id="29"/>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3634"/>
        <w:gridCol w:w="2425"/>
        <w:gridCol w:w="2286"/>
      </w:tblGrid>
      <w:tr w14:paraId="559E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7" w:type="pct"/>
            <w:vAlign w:val="center"/>
          </w:tcPr>
          <w:p w14:paraId="46869BB2">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序号</w:t>
            </w:r>
          </w:p>
        </w:tc>
        <w:tc>
          <w:tcPr>
            <w:tcW w:w="1955" w:type="pct"/>
            <w:vAlign w:val="center"/>
          </w:tcPr>
          <w:p w14:paraId="21DC2FA6">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商务实质性条款</w:t>
            </w:r>
          </w:p>
        </w:tc>
        <w:tc>
          <w:tcPr>
            <w:tcW w:w="1305" w:type="pct"/>
            <w:vAlign w:val="center"/>
          </w:tcPr>
          <w:p w14:paraId="348ADD37">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技术实质性要求</w:t>
            </w:r>
          </w:p>
        </w:tc>
        <w:tc>
          <w:tcPr>
            <w:tcW w:w="1230" w:type="pct"/>
            <w:vAlign w:val="center"/>
          </w:tcPr>
          <w:p w14:paraId="4AE43F88">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备注</w:t>
            </w:r>
          </w:p>
        </w:tc>
      </w:tr>
      <w:tr w14:paraId="2D227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7" w:type="pct"/>
            <w:vAlign w:val="center"/>
          </w:tcPr>
          <w:p w14:paraId="5557E6AE">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1</w:t>
            </w:r>
          </w:p>
        </w:tc>
        <w:tc>
          <w:tcPr>
            <w:tcW w:w="1955" w:type="pct"/>
            <w:vAlign w:val="center"/>
          </w:tcPr>
          <w:p w14:paraId="32742FF5">
            <w:pPr>
              <w:spacing w:before="240" w:beforeLines="100" w:after="120" w:afterLines="50"/>
              <w:ind w:firstLine="0" w:firstLineChars="0"/>
              <w:jc w:val="center"/>
              <w:rPr>
                <w:rFonts w:hint="eastAsia" w:ascii="仿宋" w:hAnsi="仿宋" w:eastAsia="仿宋" w:cstheme="minorEastAsia"/>
                <w:color w:val="auto"/>
                <w:highlight w:val="none"/>
              </w:rPr>
            </w:pPr>
            <w:r>
              <w:rPr>
                <w:rFonts w:hint="eastAsia" w:ascii="仿宋" w:hAnsi="仿宋" w:eastAsia="仿宋" w:cstheme="minorEastAsia"/>
                <w:color w:val="auto"/>
                <w:highlight w:val="none"/>
              </w:rPr>
              <w:t>服务期及服务地点</w:t>
            </w:r>
          </w:p>
        </w:tc>
        <w:tc>
          <w:tcPr>
            <w:tcW w:w="1305" w:type="pct"/>
            <w:vAlign w:val="center"/>
          </w:tcPr>
          <w:p w14:paraId="4B141C69">
            <w:pPr>
              <w:spacing w:before="240" w:beforeLines="100" w:after="120" w:afterLines="50"/>
              <w:ind w:firstLine="0" w:firstLineChars="0"/>
              <w:jc w:val="center"/>
              <w:rPr>
                <w:rFonts w:hint="eastAsia" w:ascii="仿宋" w:hAnsi="仿宋" w:eastAsia="仿宋" w:cstheme="minorEastAsia"/>
                <w:color w:val="auto"/>
                <w:highlight w:val="none"/>
              </w:rPr>
            </w:pPr>
            <w:r>
              <w:rPr>
                <w:rFonts w:hint="eastAsia" w:ascii="仿宋" w:hAnsi="仿宋" w:eastAsia="仿宋" w:cstheme="minorEastAsia"/>
                <w:color w:val="auto"/>
                <w:highlight w:val="none"/>
              </w:rPr>
              <w:t>采购清单及技术要求</w:t>
            </w:r>
          </w:p>
        </w:tc>
        <w:tc>
          <w:tcPr>
            <w:tcW w:w="1230" w:type="pct"/>
            <w:vAlign w:val="center"/>
          </w:tcPr>
          <w:p w14:paraId="3871D6A6">
            <w:pPr>
              <w:spacing w:before="240" w:beforeLines="100" w:after="120" w:afterLines="50"/>
              <w:ind w:firstLine="480"/>
              <w:jc w:val="center"/>
              <w:rPr>
                <w:rFonts w:ascii="仿宋" w:hAnsi="仿宋" w:eastAsia="仿宋" w:cstheme="minorEastAsia"/>
                <w:color w:val="auto"/>
                <w:highlight w:val="none"/>
              </w:rPr>
            </w:pPr>
          </w:p>
        </w:tc>
      </w:tr>
      <w:tr w14:paraId="439EB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7" w:type="pct"/>
            <w:vAlign w:val="center"/>
          </w:tcPr>
          <w:p w14:paraId="5F9DF5DD">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2</w:t>
            </w:r>
          </w:p>
        </w:tc>
        <w:tc>
          <w:tcPr>
            <w:tcW w:w="1955" w:type="pct"/>
            <w:vAlign w:val="center"/>
          </w:tcPr>
          <w:p w14:paraId="4A482C75">
            <w:pPr>
              <w:spacing w:before="240" w:beforeLines="100" w:after="120" w:afterLines="50"/>
              <w:ind w:firstLine="0" w:firstLineChars="0"/>
              <w:jc w:val="center"/>
              <w:rPr>
                <w:rFonts w:hint="eastAsia" w:ascii="仿宋" w:hAnsi="仿宋" w:eastAsia="仿宋" w:cstheme="minorEastAsia"/>
                <w:color w:val="auto"/>
                <w:highlight w:val="none"/>
              </w:rPr>
            </w:pPr>
            <w:r>
              <w:rPr>
                <w:rFonts w:hint="eastAsia" w:ascii="仿宋" w:hAnsi="仿宋" w:eastAsia="仿宋" w:cstheme="minorEastAsia"/>
                <w:color w:val="auto"/>
                <w:highlight w:val="none"/>
              </w:rPr>
              <w:t>验收标准、规范</w:t>
            </w:r>
          </w:p>
        </w:tc>
        <w:tc>
          <w:tcPr>
            <w:tcW w:w="1305" w:type="pct"/>
            <w:vAlign w:val="center"/>
          </w:tcPr>
          <w:p w14:paraId="5EA005FD">
            <w:pPr>
              <w:spacing w:before="240" w:beforeLines="100" w:after="120" w:afterLines="50"/>
              <w:ind w:firstLine="0" w:firstLineChars="0"/>
              <w:jc w:val="center"/>
              <w:rPr>
                <w:rFonts w:hint="eastAsia" w:ascii="仿宋" w:hAnsi="仿宋" w:eastAsia="仿宋" w:cstheme="minorEastAsia"/>
                <w:color w:val="auto"/>
                <w:highlight w:val="none"/>
              </w:rPr>
            </w:pPr>
          </w:p>
        </w:tc>
        <w:tc>
          <w:tcPr>
            <w:tcW w:w="1230" w:type="pct"/>
            <w:vAlign w:val="center"/>
          </w:tcPr>
          <w:p w14:paraId="2316F98C">
            <w:pPr>
              <w:spacing w:before="240" w:beforeLines="100" w:after="120" w:afterLines="50"/>
              <w:ind w:firstLine="480"/>
              <w:jc w:val="center"/>
              <w:rPr>
                <w:rFonts w:ascii="仿宋" w:hAnsi="仿宋" w:eastAsia="仿宋" w:cstheme="minorEastAsia"/>
                <w:color w:val="auto"/>
                <w:highlight w:val="none"/>
              </w:rPr>
            </w:pPr>
          </w:p>
        </w:tc>
      </w:tr>
      <w:tr w14:paraId="59D1B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7" w:type="pct"/>
            <w:vAlign w:val="center"/>
          </w:tcPr>
          <w:p w14:paraId="6D996C39">
            <w:pPr>
              <w:spacing w:before="240" w:beforeLines="100" w:after="120" w:afterLines="50"/>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3</w:t>
            </w:r>
          </w:p>
        </w:tc>
        <w:tc>
          <w:tcPr>
            <w:tcW w:w="1955" w:type="pct"/>
            <w:vAlign w:val="center"/>
          </w:tcPr>
          <w:p w14:paraId="72BE57DA">
            <w:pPr>
              <w:spacing w:before="240" w:beforeLines="100" w:after="120" w:afterLines="50"/>
              <w:ind w:firstLine="0" w:firstLineChars="0"/>
              <w:jc w:val="center"/>
              <w:rPr>
                <w:rFonts w:hint="eastAsia" w:ascii="仿宋" w:hAnsi="仿宋" w:eastAsia="仿宋" w:cstheme="minorEastAsia"/>
                <w:color w:val="auto"/>
                <w:highlight w:val="none"/>
              </w:rPr>
            </w:pPr>
            <w:r>
              <w:rPr>
                <w:rFonts w:hint="eastAsia" w:ascii="仿宋" w:hAnsi="仿宋" w:eastAsia="仿宋" w:cstheme="minorEastAsia"/>
                <w:color w:val="auto"/>
                <w:highlight w:val="none"/>
              </w:rPr>
              <w:t>售后服务</w:t>
            </w:r>
          </w:p>
        </w:tc>
        <w:tc>
          <w:tcPr>
            <w:tcW w:w="1305" w:type="pct"/>
            <w:vAlign w:val="center"/>
          </w:tcPr>
          <w:p w14:paraId="7D3B3594">
            <w:pPr>
              <w:spacing w:before="240" w:beforeLines="100" w:after="120" w:afterLines="50"/>
              <w:ind w:firstLine="0" w:firstLineChars="0"/>
              <w:jc w:val="center"/>
              <w:rPr>
                <w:rFonts w:hint="eastAsia" w:ascii="仿宋" w:hAnsi="仿宋" w:eastAsia="仿宋" w:cstheme="minorEastAsia"/>
                <w:color w:val="auto"/>
                <w:highlight w:val="none"/>
              </w:rPr>
            </w:pPr>
          </w:p>
        </w:tc>
        <w:tc>
          <w:tcPr>
            <w:tcW w:w="1230" w:type="pct"/>
            <w:vAlign w:val="center"/>
          </w:tcPr>
          <w:p w14:paraId="7C833DD7">
            <w:pPr>
              <w:spacing w:before="240" w:beforeLines="100" w:after="120" w:afterLines="50"/>
              <w:ind w:firstLine="480"/>
              <w:jc w:val="center"/>
              <w:rPr>
                <w:rFonts w:ascii="仿宋" w:hAnsi="仿宋" w:eastAsia="仿宋" w:cstheme="minorEastAsia"/>
                <w:color w:val="auto"/>
                <w:highlight w:val="none"/>
              </w:rPr>
            </w:pPr>
          </w:p>
        </w:tc>
      </w:tr>
      <w:tr w14:paraId="4F698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07" w:type="pct"/>
            <w:vAlign w:val="center"/>
          </w:tcPr>
          <w:p w14:paraId="672D365B">
            <w:pPr>
              <w:tabs>
                <w:tab w:val="left" w:pos="562"/>
              </w:tabs>
              <w:spacing w:before="240" w:beforeLines="100" w:after="120" w:afterLines="50"/>
              <w:ind w:firstLine="240" w:firstLineChars="100"/>
              <w:jc w:val="left"/>
              <w:rPr>
                <w:rFonts w:hint="default" w:ascii="仿宋" w:hAnsi="仿宋" w:eastAsia="仿宋" w:cstheme="minorEastAsia"/>
                <w:color w:val="auto"/>
                <w:highlight w:val="none"/>
                <w:lang w:val="en-US" w:eastAsia="zh-CN"/>
              </w:rPr>
            </w:pPr>
            <w:r>
              <w:rPr>
                <w:rFonts w:hint="eastAsia" w:ascii="仿宋" w:hAnsi="仿宋" w:eastAsia="仿宋" w:cstheme="minorEastAsia"/>
                <w:color w:val="auto"/>
                <w:highlight w:val="none"/>
                <w:lang w:val="en-US" w:eastAsia="zh-CN"/>
              </w:rPr>
              <w:t>4</w:t>
            </w:r>
          </w:p>
        </w:tc>
        <w:tc>
          <w:tcPr>
            <w:tcW w:w="1955" w:type="pct"/>
            <w:vAlign w:val="center"/>
          </w:tcPr>
          <w:p w14:paraId="6C8B28FB">
            <w:pPr>
              <w:spacing w:before="240" w:beforeLines="100" w:after="120" w:afterLines="50"/>
              <w:ind w:firstLine="0" w:firstLineChars="0"/>
              <w:jc w:val="center"/>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lang w:eastAsia="zh-CN"/>
              </w:rPr>
              <w:t>付款方式</w:t>
            </w:r>
          </w:p>
        </w:tc>
        <w:tc>
          <w:tcPr>
            <w:tcW w:w="1305" w:type="pct"/>
            <w:vAlign w:val="center"/>
          </w:tcPr>
          <w:p w14:paraId="2B597D46">
            <w:pPr>
              <w:spacing w:before="240" w:beforeLines="100" w:after="120" w:afterLines="50"/>
              <w:ind w:firstLine="0" w:firstLineChars="0"/>
              <w:jc w:val="center"/>
              <w:rPr>
                <w:rFonts w:hint="eastAsia" w:ascii="仿宋" w:hAnsi="仿宋" w:eastAsia="仿宋" w:cstheme="minorEastAsia"/>
                <w:color w:val="auto"/>
                <w:highlight w:val="none"/>
              </w:rPr>
            </w:pPr>
          </w:p>
        </w:tc>
        <w:tc>
          <w:tcPr>
            <w:tcW w:w="1230" w:type="pct"/>
            <w:vAlign w:val="center"/>
          </w:tcPr>
          <w:p w14:paraId="5099A2D3">
            <w:pPr>
              <w:spacing w:before="240" w:beforeLines="100" w:after="120" w:afterLines="50"/>
              <w:ind w:firstLine="480"/>
              <w:jc w:val="center"/>
              <w:rPr>
                <w:rFonts w:ascii="仿宋" w:hAnsi="仿宋" w:eastAsia="仿宋" w:cstheme="minorEastAsia"/>
                <w:color w:val="auto"/>
                <w:highlight w:val="none"/>
              </w:rPr>
            </w:pPr>
          </w:p>
        </w:tc>
      </w:tr>
      <w:tr w14:paraId="6E8FA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7" w:type="pct"/>
            <w:vAlign w:val="center"/>
          </w:tcPr>
          <w:p w14:paraId="4F42F857">
            <w:pPr>
              <w:spacing w:before="240" w:beforeLines="100" w:after="120" w:afterLines="50"/>
              <w:ind w:firstLine="0" w:firstLineChars="0"/>
              <w:jc w:val="center"/>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lang w:val="en-US" w:eastAsia="zh-CN"/>
              </w:rPr>
              <w:t>5</w:t>
            </w:r>
          </w:p>
        </w:tc>
        <w:tc>
          <w:tcPr>
            <w:tcW w:w="1955" w:type="pct"/>
            <w:vAlign w:val="center"/>
          </w:tcPr>
          <w:p w14:paraId="5B01C848">
            <w:pPr>
              <w:spacing w:before="240" w:beforeLines="100" w:after="120" w:afterLines="50"/>
              <w:ind w:firstLine="0" w:firstLineChars="0"/>
              <w:jc w:val="center"/>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lang w:eastAsia="zh-CN"/>
              </w:rPr>
              <w:t>竞标有效期</w:t>
            </w:r>
          </w:p>
        </w:tc>
        <w:tc>
          <w:tcPr>
            <w:tcW w:w="1305" w:type="pct"/>
            <w:vAlign w:val="center"/>
          </w:tcPr>
          <w:p w14:paraId="75E9DF55">
            <w:pPr>
              <w:spacing w:before="240" w:beforeLines="100" w:after="120" w:afterLines="50"/>
              <w:ind w:firstLine="0" w:firstLineChars="0"/>
              <w:jc w:val="center"/>
              <w:rPr>
                <w:rFonts w:hint="eastAsia" w:ascii="仿宋" w:hAnsi="仿宋" w:eastAsia="仿宋" w:cstheme="minorEastAsia"/>
                <w:color w:val="auto"/>
                <w:highlight w:val="none"/>
              </w:rPr>
            </w:pPr>
          </w:p>
        </w:tc>
        <w:tc>
          <w:tcPr>
            <w:tcW w:w="1230" w:type="pct"/>
            <w:vAlign w:val="center"/>
          </w:tcPr>
          <w:p w14:paraId="2325B092">
            <w:pPr>
              <w:spacing w:before="240" w:beforeLines="100" w:after="120" w:afterLines="50"/>
              <w:ind w:firstLine="480"/>
              <w:jc w:val="center"/>
              <w:rPr>
                <w:rFonts w:ascii="仿宋" w:hAnsi="仿宋" w:eastAsia="仿宋" w:cstheme="minorEastAsia"/>
                <w:color w:val="auto"/>
                <w:highlight w:val="none"/>
              </w:rPr>
            </w:pPr>
          </w:p>
        </w:tc>
      </w:tr>
    </w:tbl>
    <w:p w14:paraId="15FB5550">
      <w:pPr>
        <w:ind w:firstLine="600"/>
        <w:rPr>
          <w:rFonts w:ascii="仿宋" w:hAnsi="仿宋" w:eastAsia="仿宋" w:cstheme="minorEastAsia"/>
          <w:color w:val="auto"/>
          <w:sz w:val="30"/>
          <w:szCs w:val="30"/>
          <w:highlight w:val="none"/>
        </w:rPr>
      </w:pPr>
      <w:bookmarkStart w:id="30" w:name="_Toc407182669"/>
      <w:bookmarkStart w:id="31" w:name="_Toc407169877"/>
      <w:r>
        <w:rPr>
          <w:rFonts w:hint="eastAsia" w:ascii="仿宋" w:hAnsi="仿宋" w:eastAsia="仿宋" w:cstheme="minorEastAsia"/>
          <w:color w:val="auto"/>
          <w:sz w:val="30"/>
          <w:szCs w:val="30"/>
          <w:highlight w:val="none"/>
        </w:rPr>
        <w:br w:type="page"/>
      </w:r>
    </w:p>
    <w:p w14:paraId="51C1AB61">
      <w:pPr>
        <w:pStyle w:val="5"/>
        <w:spacing w:before="120" w:after="120"/>
        <w:rPr>
          <w:rFonts w:ascii="仿宋" w:hAnsi="仿宋" w:eastAsia="仿宋" w:cstheme="minorEastAsia"/>
          <w:color w:val="auto"/>
          <w:sz w:val="30"/>
          <w:szCs w:val="30"/>
          <w:highlight w:val="none"/>
        </w:rPr>
      </w:pPr>
      <w:bookmarkStart w:id="32" w:name="_Toc12334"/>
      <w:r>
        <w:rPr>
          <w:rFonts w:hint="eastAsia" w:ascii="仿宋" w:hAnsi="仿宋" w:eastAsia="仿宋" w:cstheme="minorEastAsia"/>
          <w:color w:val="auto"/>
          <w:sz w:val="30"/>
          <w:szCs w:val="30"/>
          <w:highlight w:val="none"/>
        </w:rPr>
        <w:t>第三章 评标办法</w:t>
      </w:r>
      <w:bookmarkEnd w:id="30"/>
      <w:bookmarkEnd w:id="31"/>
      <w:r>
        <w:rPr>
          <w:rFonts w:hint="eastAsia" w:ascii="仿宋" w:hAnsi="仿宋" w:eastAsia="仿宋" w:cstheme="minorEastAsia"/>
          <w:color w:val="auto"/>
          <w:sz w:val="30"/>
          <w:szCs w:val="30"/>
          <w:highlight w:val="none"/>
        </w:rPr>
        <w:t>及评分标准</w:t>
      </w:r>
      <w:bookmarkEnd w:id="32"/>
    </w:p>
    <w:p w14:paraId="2E9F063B">
      <w:pPr>
        <w:pStyle w:val="6"/>
        <w:spacing w:before="240" w:after="240"/>
        <w:rPr>
          <w:rFonts w:ascii="仿宋" w:hAnsi="仿宋" w:eastAsia="仿宋" w:cstheme="minorEastAsia"/>
          <w:color w:val="auto"/>
          <w:highlight w:val="none"/>
        </w:rPr>
      </w:pPr>
      <w:bookmarkStart w:id="33" w:name="_Toc32074"/>
      <w:bookmarkStart w:id="34" w:name="_Toc407182670"/>
      <w:r>
        <w:rPr>
          <w:rFonts w:hint="eastAsia" w:ascii="仿宋" w:hAnsi="仿宋" w:eastAsia="仿宋" w:cstheme="minorEastAsia"/>
          <w:color w:val="auto"/>
          <w:sz w:val="30"/>
          <w:szCs w:val="30"/>
          <w:highlight w:val="none"/>
        </w:rPr>
        <w:t>第一节 评标办法</w:t>
      </w:r>
      <w:bookmarkEnd w:id="33"/>
      <w:bookmarkEnd w:id="34"/>
    </w:p>
    <w:p w14:paraId="6DDFF19C">
      <w:pPr>
        <w:ind w:firstLine="424" w:firstLineChars="177"/>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一、评标办法</w:t>
      </w:r>
    </w:p>
    <w:p w14:paraId="43B3E8E8">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本项目采用</w:t>
      </w:r>
      <w:r>
        <w:rPr>
          <w:rFonts w:hint="eastAsia" w:ascii="仿宋" w:hAnsi="仿宋" w:eastAsia="仿宋" w:cstheme="minorEastAsia"/>
          <w:color w:val="auto"/>
          <w:highlight w:val="none"/>
          <w:u w:val="single"/>
        </w:rPr>
        <w:t xml:space="preserve">  综合评分法  </w:t>
      </w:r>
      <w:r>
        <w:rPr>
          <w:rFonts w:hint="eastAsia" w:ascii="仿宋" w:hAnsi="仿宋" w:eastAsia="仿宋" w:cstheme="minorEastAsia"/>
          <w:color w:val="auto"/>
          <w:highlight w:val="none"/>
        </w:rPr>
        <w:t>进行评审。</w:t>
      </w:r>
    </w:p>
    <w:p w14:paraId="6BD74C0D">
      <w:pPr>
        <w:ind w:firstLine="424" w:firstLineChars="177"/>
        <w:rPr>
          <w:rStyle w:val="30"/>
          <w:rFonts w:hint="eastAsia" w:ascii="仿宋" w:hAnsi="仿宋" w:eastAsia="仿宋" w:cstheme="minorEastAsia"/>
          <w:color w:val="auto"/>
          <w:highlight w:val="none"/>
        </w:rPr>
      </w:pPr>
      <w:r>
        <w:rPr>
          <w:rStyle w:val="30"/>
          <w:rFonts w:hint="eastAsia" w:ascii="仿宋" w:hAnsi="仿宋" w:eastAsia="仿宋" w:cstheme="minorEastAsia"/>
          <w:color w:val="auto"/>
          <w:highlight w:val="none"/>
        </w:rPr>
        <w:t>综合评分法，是指投标文件满足招标文件全部实质性要求，且按照评审因素的量化指标评审得分最高的</w:t>
      </w:r>
      <w:r>
        <w:rPr>
          <w:rStyle w:val="30"/>
          <w:rFonts w:hint="eastAsia" w:ascii="仿宋" w:hAnsi="仿宋" w:eastAsia="仿宋" w:cstheme="minorEastAsia"/>
          <w:color w:val="auto"/>
          <w:highlight w:val="none"/>
          <w:lang w:val="en-US" w:eastAsia="zh-CN"/>
        </w:rPr>
        <w:t>供应商</w:t>
      </w:r>
      <w:r>
        <w:rPr>
          <w:rStyle w:val="30"/>
          <w:rFonts w:hint="eastAsia" w:ascii="仿宋" w:hAnsi="仿宋" w:eastAsia="仿宋" w:cstheme="minorEastAsia"/>
          <w:color w:val="auto"/>
          <w:highlight w:val="none"/>
        </w:rPr>
        <w:t>为中标候选人的评标方法。采用综合评分法的，评标结果按评审后得分由高到低顺序排列。得分相同的，按投标报价由低到高顺序排列。得分且投标报价相同的，按技术和商务优劣顺序排列。投标文件满足招标文件全部实质性要求，且按照评审因素的量化指标评审得分最高的</w:t>
      </w:r>
      <w:r>
        <w:rPr>
          <w:rStyle w:val="30"/>
          <w:rFonts w:hint="eastAsia" w:ascii="仿宋" w:hAnsi="仿宋" w:eastAsia="仿宋" w:cstheme="minorEastAsia"/>
          <w:color w:val="auto"/>
          <w:highlight w:val="none"/>
          <w:lang w:val="en-US" w:eastAsia="zh-CN"/>
        </w:rPr>
        <w:t>供应商</w:t>
      </w:r>
      <w:r>
        <w:rPr>
          <w:rStyle w:val="30"/>
          <w:rFonts w:hint="eastAsia" w:ascii="仿宋" w:hAnsi="仿宋" w:eastAsia="仿宋" w:cstheme="minorEastAsia"/>
          <w:color w:val="auto"/>
          <w:highlight w:val="none"/>
        </w:rPr>
        <w:t>为排名第一的</w:t>
      </w:r>
      <w:r>
        <w:rPr>
          <w:rStyle w:val="30"/>
          <w:rFonts w:hint="eastAsia" w:ascii="仿宋" w:hAnsi="仿宋" w:eastAsia="仿宋" w:cstheme="minorEastAsia"/>
          <w:color w:val="auto"/>
          <w:highlight w:val="none"/>
          <w:lang w:eastAsia="zh-CN"/>
        </w:rPr>
        <w:t>成交</w:t>
      </w:r>
      <w:r>
        <w:rPr>
          <w:rStyle w:val="30"/>
          <w:rFonts w:hint="eastAsia" w:ascii="仿宋" w:hAnsi="仿宋" w:eastAsia="仿宋" w:cstheme="minorEastAsia"/>
          <w:color w:val="auto"/>
          <w:highlight w:val="none"/>
        </w:rPr>
        <w:t>候选人。</w:t>
      </w:r>
    </w:p>
    <w:p w14:paraId="0E69637A">
      <w:pPr>
        <w:ind w:firstLine="424" w:firstLineChars="177"/>
        <w:rPr>
          <w:rFonts w:ascii="仿宋" w:hAnsi="仿宋" w:eastAsia="仿宋" w:cstheme="minorEastAsia"/>
          <w:bCs/>
          <w:color w:val="auto"/>
          <w:highlight w:val="none"/>
        </w:rPr>
      </w:pPr>
      <w:r>
        <w:rPr>
          <w:rStyle w:val="30"/>
          <w:rFonts w:hint="eastAsia" w:ascii="仿宋" w:hAnsi="仿宋" w:eastAsia="仿宋" w:cstheme="minorEastAsia"/>
          <w:color w:val="auto"/>
          <w:highlight w:val="none"/>
        </w:rPr>
        <w:t>二、</w:t>
      </w:r>
      <w:r>
        <w:rPr>
          <w:rFonts w:hint="eastAsia" w:ascii="仿宋" w:hAnsi="仿宋" w:eastAsia="仿宋" w:cstheme="minorEastAsia"/>
          <w:bCs/>
          <w:color w:val="auto"/>
          <w:highlight w:val="none"/>
        </w:rPr>
        <w:t>评分因素</w:t>
      </w:r>
    </w:p>
    <w:p w14:paraId="19AC63B2">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评分的主要因素分为价格因素、技术因素和商务因素。评分因素详见评分表。评标分值保留至两位小数。</w:t>
      </w:r>
      <w:bookmarkStart w:id="35" w:name="_Toc407182671"/>
      <w:r>
        <w:rPr>
          <w:rFonts w:hint="eastAsia" w:ascii="仿宋" w:hAnsi="仿宋" w:eastAsia="仿宋" w:cstheme="minorEastAsia"/>
          <w:color w:val="auto"/>
          <w:highlight w:val="none"/>
        </w:rPr>
        <w:t>评标时，</w:t>
      </w:r>
      <w:r>
        <w:rPr>
          <w:rFonts w:hint="eastAsia" w:ascii="仿宋" w:hAnsi="仿宋" w:eastAsia="仿宋" w:cstheme="minorEastAsia"/>
          <w:color w:val="auto"/>
          <w:kern w:val="0"/>
          <w:highlight w:val="none"/>
        </w:rPr>
        <w:t>磋商小组</w:t>
      </w:r>
      <w:r>
        <w:rPr>
          <w:rFonts w:hint="eastAsia" w:ascii="仿宋" w:hAnsi="仿宋" w:eastAsia="仿宋" w:cstheme="minorEastAsia"/>
          <w:color w:val="auto"/>
          <w:highlight w:val="none"/>
        </w:rPr>
        <w:t>依照评分表对每个有效供应商的磋商响应文件进行独立评审、打分。</w:t>
      </w:r>
    </w:p>
    <w:p w14:paraId="4A1E3BD1">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三、评分标准</w:t>
      </w:r>
    </w:p>
    <w:p w14:paraId="36C50C78">
      <w:pPr>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1.初步审查表</w:t>
      </w:r>
    </w:p>
    <w:p w14:paraId="04966A05">
      <w:pPr>
        <w:spacing w:before="240" w:beforeLines="100" w:after="120" w:afterLines="50"/>
        <w:ind w:firstLine="480"/>
        <w:rPr>
          <w:rFonts w:ascii="仿宋" w:hAnsi="仿宋" w:eastAsia="仿宋" w:cstheme="minorEastAsia"/>
          <w:color w:val="auto"/>
          <w:highlight w:val="none"/>
        </w:rPr>
        <w:sectPr>
          <w:headerReference r:id="rId11" w:type="default"/>
          <w:footerReference r:id="rId12" w:type="default"/>
          <w:pgSz w:w="11907" w:h="16840"/>
          <w:pgMar w:top="1531" w:right="1418" w:bottom="1361" w:left="1418" w:header="720" w:footer="720" w:gutter="0"/>
          <w:cols w:space="425" w:num="1"/>
          <w:docGrid w:linePitch="285" w:charSpace="0"/>
        </w:sectPr>
      </w:pPr>
    </w:p>
    <w:tbl>
      <w:tblPr>
        <w:tblStyle w:val="27"/>
        <w:tblW w:w="14922" w:type="dxa"/>
        <w:jc w:val="center"/>
        <w:tblLayout w:type="autofit"/>
        <w:tblCellMar>
          <w:top w:w="0" w:type="dxa"/>
          <w:left w:w="108" w:type="dxa"/>
          <w:bottom w:w="0" w:type="dxa"/>
          <w:right w:w="108" w:type="dxa"/>
        </w:tblCellMar>
      </w:tblPr>
      <w:tblGrid>
        <w:gridCol w:w="14922"/>
      </w:tblGrid>
      <w:tr w14:paraId="189E6210">
        <w:tblPrEx>
          <w:tblCellMar>
            <w:top w:w="0" w:type="dxa"/>
            <w:left w:w="108" w:type="dxa"/>
            <w:bottom w:w="0" w:type="dxa"/>
            <w:right w:w="108" w:type="dxa"/>
          </w:tblCellMar>
        </w:tblPrEx>
        <w:trPr>
          <w:trHeight w:val="8523" w:hRule="atLeast"/>
          <w:jc w:val="center"/>
        </w:trPr>
        <w:tc>
          <w:tcPr>
            <w:tcW w:w="14922" w:type="dxa"/>
            <w:tcBorders>
              <w:top w:val="nil"/>
              <w:left w:val="nil"/>
              <w:bottom w:val="nil"/>
              <w:right w:val="nil"/>
            </w:tcBorders>
            <w:shd w:val="clear" w:color="000000" w:fill="FFFFFF"/>
            <w:vAlign w:val="center"/>
          </w:tcPr>
          <w:p w14:paraId="527323CA">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b/>
                <w:bCs/>
                <w:color w:val="auto"/>
                <w:kern w:val="0"/>
                <w:sz w:val="36"/>
                <w:szCs w:val="36"/>
                <w:highlight w:val="none"/>
                <w:u w:val="single"/>
              </w:rPr>
              <w:t>资  格  审  查  表</w:t>
            </w:r>
          </w:p>
          <w:tbl>
            <w:tblPr>
              <w:tblStyle w:val="27"/>
              <w:tblW w:w="5000" w:type="pct"/>
              <w:jc w:val="center"/>
              <w:tblLayout w:type="autofit"/>
              <w:tblCellMar>
                <w:top w:w="0" w:type="dxa"/>
                <w:left w:w="108" w:type="dxa"/>
                <w:bottom w:w="0" w:type="dxa"/>
                <w:right w:w="108" w:type="dxa"/>
              </w:tblCellMar>
            </w:tblPr>
            <w:tblGrid>
              <w:gridCol w:w="532"/>
              <w:gridCol w:w="1941"/>
              <w:gridCol w:w="7750"/>
              <w:gridCol w:w="1112"/>
              <w:gridCol w:w="1162"/>
              <w:gridCol w:w="1106"/>
              <w:gridCol w:w="1103"/>
            </w:tblGrid>
            <w:tr w14:paraId="4C854731">
              <w:tblPrEx>
                <w:tblCellMar>
                  <w:top w:w="0" w:type="dxa"/>
                  <w:left w:w="108" w:type="dxa"/>
                  <w:bottom w:w="0" w:type="dxa"/>
                  <w:right w:w="108" w:type="dxa"/>
                </w:tblCellMar>
              </w:tblPrEx>
              <w:trPr>
                <w:trHeight w:val="340" w:hRule="atLeast"/>
                <w:jc w:val="center"/>
              </w:trPr>
              <w:tc>
                <w:tcPr>
                  <w:tcW w:w="5000" w:type="pct"/>
                  <w:gridSpan w:val="7"/>
                  <w:tcBorders>
                    <w:top w:val="nil"/>
                    <w:left w:val="nil"/>
                    <w:bottom w:val="nil"/>
                    <w:right w:val="nil"/>
                  </w:tcBorders>
                  <w:shd w:val="clear" w:color="000000" w:fill="FFFFFF"/>
                  <w:vAlign w:val="center"/>
                </w:tcPr>
                <w:p w14:paraId="0816AAA4">
                  <w:pPr>
                    <w:widowControl/>
                    <w:spacing w:line="240" w:lineRule="auto"/>
                    <w:ind w:firstLine="480"/>
                    <w:rPr>
                      <w:rFonts w:ascii="仿宋" w:hAnsi="仿宋" w:eastAsia="仿宋" w:cstheme="minorEastAsia"/>
                      <w:color w:val="auto"/>
                      <w:highlight w:val="none"/>
                      <w:u w:val="single"/>
                    </w:rPr>
                  </w:pPr>
                  <w:r>
                    <w:rPr>
                      <w:rFonts w:hint="eastAsia" w:ascii="仿宋" w:hAnsi="仿宋" w:eastAsia="仿宋" w:cstheme="minorEastAsia"/>
                      <w:color w:val="auto"/>
                      <w:highlight w:val="none"/>
                    </w:rPr>
                    <w:t>项目名称：</w:t>
                  </w:r>
                </w:p>
              </w:tc>
            </w:tr>
            <w:tr w14:paraId="33F75AD7">
              <w:tblPrEx>
                <w:tblCellMar>
                  <w:top w:w="0" w:type="dxa"/>
                  <w:left w:w="108" w:type="dxa"/>
                  <w:bottom w:w="0" w:type="dxa"/>
                  <w:right w:w="108" w:type="dxa"/>
                </w:tblCellMar>
              </w:tblPrEx>
              <w:trPr>
                <w:trHeight w:val="340" w:hRule="atLeast"/>
                <w:jc w:val="center"/>
              </w:trPr>
              <w:tc>
                <w:tcPr>
                  <w:tcW w:w="5000" w:type="pct"/>
                  <w:gridSpan w:val="7"/>
                  <w:tcBorders>
                    <w:top w:val="nil"/>
                    <w:left w:val="nil"/>
                    <w:bottom w:val="nil"/>
                    <w:right w:val="nil"/>
                  </w:tcBorders>
                  <w:shd w:val="clear" w:color="000000" w:fill="FFFFFF"/>
                  <w:vAlign w:val="center"/>
                </w:tcPr>
                <w:p w14:paraId="307D1563">
                  <w:pPr>
                    <w:widowControl/>
                    <w:spacing w:line="240" w:lineRule="auto"/>
                    <w:ind w:firstLine="480"/>
                    <w:rPr>
                      <w:rFonts w:ascii="仿宋" w:hAnsi="仿宋" w:eastAsia="仿宋" w:cstheme="minorEastAsia"/>
                      <w:color w:val="auto"/>
                      <w:highlight w:val="none"/>
                      <w:u w:val="single"/>
                    </w:rPr>
                  </w:pPr>
                  <w:r>
                    <w:rPr>
                      <w:rFonts w:hint="eastAsia" w:ascii="仿宋" w:hAnsi="仿宋" w:eastAsia="仿宋" w:cstheme="minorEastAsia"/>
                      <w:color w:val="auto"/>
                      <w:highlight w:val="none"/>
                    </w:rPr>
                    <w:t>项目编号：                                                                         202</w:t>
                  </w:r>
                  <w:r>
                    <w:rPr>
                      <w:rFonts w:hint="eastAsia" w:ascii="仿宋" w:hAnsi="仿宋" w:eastAsia="仿宋" w:cstheme="minorEastAsia"/>
                      <w:color w:val="auto"/>
                      <w:highlight w:val="none"/>
                      <w:lang w:val="en-US" w:eastAsia="zh-CN"/>
                    </w:rPr>
                    <w:t>5</w:t>
                  </w:r>
                  <w:r>
                    <w:rPr>
                      <w:rFonts w:hint="eastAsia" w:ascii="仿宋" w:hAnsi="仿宋" w:eastAsia="仿宋" w:cstheme="minorEastAsia"/>
                      <w:color w:val="auto"/>
                      <w:highlight w:val="none"/>
                    </w:rPr>
                    <w:t>.X.X</w:t>
                  </w:r>
                </w:p>
              </w:tc>
            </w:tr>
            <w:tr w14:paraId="1B57942A">
              <w:tblPrEx>
                <w:tblCellMar>
                  <w:top w:w="0" w:type="dxa"/>
                  <w:left w:w="108" w:type="dxa"/>
                  <w:bottom w:w="0" w:type="dxa"/>
                  <w:right w:w="108" w:type="dxa"/>
                </w:tblCellMar>
              </w:tblPrEx>
              <w:trPr>
                <w:trHeight w:val="340"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61A221AE">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序号</w:t>
                  </w:r>
                </w:p>
              </w:tc>
              <w:tc>
                <w:tcPr>
                  <w:tcW w:w="3294" w:type="pct"/>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14:paraId="37385C32">
                  <w:pPr>
                    <w:widowControl/>
                    <w:spacing w:line="240" w:lineRule="auto"/>
                    <w:ind w:firstLine="440"/>
                    <w:rPr>
                      <w:rFonts w:hint="default" w:ascii="仿宋" w:hAnsi="仿宋" w:eastAsia="仿宋" w:cstheme="minorEastAsia"/>
                      <w:color w:val="auto"/>
                      <w:sz w:val="22"/>
                      <w:szCs w:val="22"/>
                      <w:highlight w:val="none"/>
                      <w:lang w:val="en-US"/>
                    </w:rPr>
                  </w:pPr>
                  <w:r>
                    <w:rPr>
                      <w:rFonts w:hint="eastAsia" w:ascii="仿宋" w:hAnsi="仿宋" w:eastAsia="仿宋" w:cstheme="minorEastAsia"/>
                      <w:color w:val="auto"/>
                      <w:sz w:val="22"/>
                      <w:szCs w:val="22"/>
                      <w:highlight w:val="none"/>
                    </w:rPr>
                    <w:t xml:space="preserve">                                                         供应商名称</w:t>
                  </w:r>
                </w:p>
                <w:p w14:paraId="3E0AA7BB">
                  <w:pPr>
                    <w:widowControl/>
                    <w:spacing w:line="240" w:lineRule="auto"/>
                    <w:ind w:firstLine="44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资格要求</w:t>
                  </w:r>
                </w:p>
              </w:tc>
              <w:tc>
                <w:tcPr>
                  <w:tcW w:w="378" w:type="pct"/>
                  <w:tcBorders>
                    <w:top w:val="single" w:color="auto" w:sz="4" w:space="0"/>
                    <w:left w:val="nil"/>
                    <w:bottom w:val="single" w:color="auto" w:sz="4" w:space="0"/>
                    <w:right w:val="single" w:color="auto" w:sz="4" w:space="0"/>
                  </w:tcBorders>
                  <w:shd w:val="clear" w:color="000000" w:fill="FFFFFF"/>
                  <w:vAlign w:val="center"/>
                </w:tcPr>
                <w:p w14:paraId="54B00E17">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供应商1</w:t>
                  </w:r>
                </w:p>
              </w:tc>
              <w:tc>
                <w:tcPr>
                  <w:tcW w:w="395" w:type="pct"/>
                  <w:tcBorders>
                    <w:top w:val="single" w:color="auto" w:sz="4" w:space="0"/>
                    <w:left w:val="nil"/>
                    <w:bottom w:val="single" w:color="auto" w:sz="4" w:space="0"/>
                    <w:right w:val="single" w:color="auto" w:sz="4" w:space="0"/>
                  </w:tcBorders>
                  <w:shd w:val="clear" w:color="000000" w:fill="FFFFFF"/>
                  <w:vAlign w:val="center"/>
                </w:tcPr>
                <w:p w14:paraId="084D55D3">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供应商2</w:t>
                  </w:r>
                </w:p>
              </w:tc>
              <w:tc>
                <w:tcPr>
                  <w:tcW w:w="376" w:type="pct"/>
                  <w:tcBorders>
                    <w:top w:val="single" w:color="auto" w:sz="4" w:space="0"/>
                    <w:left w:val="nil"/>
                    <w:bottom w:val="single" w:color="auto" w:sz="4" w:space="0"/>
                    <w:right w:val="single" w:color="auto" w:sz="4" w:space="0"/>
                  </w:tcBorders>
                  <w:shd w:val="clear" w:color="000000" w:fill="FFFFFF"/>
                  <w:vAlign w:val="center"/>
                </w:tcPr>
                <w:p w14:paraId="06638485">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供应商3</w:t>
                  </w:r>
                </w:p>
              </w:tc>
              <w:tc>
                <w:tcPr>
                  <w:tcW w:w="373" w:type="pct"/>
                  <w:tcBorders>
                    <w:top w:val="single" w:color="auto" w:sz="4" w:space="0"/>
                    <w:left w:val="nil"/>
                    <w:bottom w:val="single" w:color="auto" w:sz="4" w:space="0"/>
                    <w:right w:val="single" w:color="auto" w:sz="4" w:space="0"/>
                  </w:tcBorders>
                  <w:shd w:val="clear" w:color="000000" w:fill="FFFFFF"/>
                  <w:vAlign w:val="center"/>
                </w:tcPr>
                <w:p w14:paraId="609CA0E0">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供应商4</w:t>
                  </w:r>
                </w:p>
              </w:tc>
            </w:tr>
            <w:tr w14:paraId="293BEB4C">
              <w:tblPrEx>
                <w:tblCellMar>
                  <w:top w:w="0" w:type="dxa"/>
                  <w:left w:w="108" w:type="dxa"/>
                  <w:bottom w:w="0" w:type="dxa"/>
                  <w:right w:w="108" w:type="dxa"/>
                </w:tblCellMar>
              </w:tblPrEx>
              <w:trPr>
                <w:trHeight w:val="340"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3058AFB0">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1</w:t>
                  </w:r>
                </w:p>
              </w:tc>
              <w:tc>
                <w:tcPr>
                  <w:tcW w:w="660" w:type="pct"/>
                  <w:vMerge w:val="restart"/>
                  <w:tcBorders>
                    <w:top w:val="single" w:color="auto" w:sz="4" w:space="0"/>
                    <w:left w:val="single" w:color="auto" w:sz="4" w:space="0"/>
                    <w:bottom w:val="single" w:color="auto" w:sz="4" w:space="0"/>
                    <w:right w:val="single" w:color="auto" w:sz="4" w:space="0"/>
                  </w:tcBorders>
                  <w:vAlign w:val="center"/>
                </w:tcPr>
                <w:p w14:paraId="7B8F7026">
                  <w:pPr>
                    <w:widowControl/>
                    <w:spacing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经营资格审查</w:t>
                  </w:r>
                </w:p>
              </w:tc>
              <w:tc>
                <w:tcPr>
                  <w:tcW w:w="2633" w:type="pct"/>
                  <w:tcBorders>
                    <w:top w:val="single" w:color="auto" w:sz="4" w:space="0"/>
                    <w:left w:val="single" w:color="auto" w:sz="4" w:space="0"/>
                    <w:bottom w:val="single" w:color="auto" w:sz="4" w:space="0"/>
                    <w:right w:val="single" w:color="auto" w:sz="4" w:space="0"/>
                  </w:tcBorders>
                  <w:shd w:val="clear" w:color="000000" w:fill="FFFFFF"/>
                  <w:vAlign w:val="center"/>
                </w:tcPr>
                <w:p w14:paraId="128A4894">
                  <w:pPr>
                    <w:widowControl/>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需提供工商部门注册的有效的营业执照或事业单位单位法人证书或执业许可证或自然人身份证明等</w:t>
                  </w:r>
                </w:p>
              </w:tc>
              <w:tc>
                <w:tcPr>
                  <w:tcW w:w="378" w:type="pct"/>
                  <w:tcBorders>
                    <w:top w:val="single" w:color="auto" w:sz="4" w:space="0"/>
                    <w:left w:val="nil"/>
                    <w:bottom w:val="single" w:color="auto" w:sz="4" w:space="0"/>
                    <w:right w:val="single" w:color="auto" w:sz="4" w:space="0"/>
                  </w:tcBorders>
                  <w:shd w:val="clear" w:color="000000" w:fill="FFFFFF"/>
                  <w:vAlign w:val="center"/>
                </w:tcPr>
                <w:p w14:paraId="35E81162">
                  <w:pPr>
                    <w:widowControl/>
                    <w:spacing w:line="240" w:lineRule="auto"/>
                    <w:ind w:firstLine="440"/>
                    <w:rPr>
                      <w:rFonts w:ascii="仿宋" w:hAnsi="仿宋" w:eastAsia="仿宋" w:cstheme="minorEastAsia"/>
                      <w:color w:val="auto"/>
                      <w:sz w:val="22"/>
                      <w:szCs w:val="22"/>
                      <w:highlight w:val="none"/>
                    </w:rPr>
                  </w:pPr>
                </w:p>
              </w:tc>
              <w:tc>
                <w:tcPr>
                  <w:tcW w:w="395" w:type="pct"/>
                  <w:tcBorders>
                    <w:top w:val="single" w:color="auto" w:sz="4" w:space="0"/>
                    <w:left w:val="nil"/>
                    <w:bottom w:val="single" w:color="auto" w:sz="4" w:space="0"/>
                    <w:right w:val="single" w:color="auto" w:sz="4" w:space="0"/>
                  </w:tcBorders>
                  <w:shd w:val="clear" w:color="000000" w:fill="FFFFFF"/>
                  <w:vAlign w:val="center"/>
                </w:tcPr>
                <w:p w14:paraId="17636BA5">
                  <w:pPr>
                    <w:widowControl/>
                    <w:spacing w:line="240" w:lineRule="auto"/>
                    <w:ind w:firstLine="440"/>
                    <w:rPr>
                      <w:rFonts w:ascii="仿宋" w:hAnsi="仿宋" w:eastAsia="仿宋" w:cstheme="minorEastAsia"/>
                      <w:color w:val="auto"/>
                      <w:sz w:val="22"/>
                      <w:szCs w:val="22"/>
                      <w:highlight w:val="none"/>
                    </w:rPr>
                  </w:pPr>
                </w:p>
              </w:tc>
              <w:tc>
                <w:tcPr>
                  <w:tcW w:w="376" w:type="pct"/>
                  <w:tcBorders>
                    <w:top w:val="single" w:color="auto" w:sz="4" w:space="0"/>
                    <w:left w:val="nil"/>
                    <w:bottom w:val="single" w:color="auto" w:sz="4" w:space="0"/>
                    <w:right w:val="single" w:color="auto" w:sz="4" w:space="0"/>
                  </w:tcBorders>
                  <w:shd w:val="clear" w:color="000000" w:fill="FFFFFF"/>
                  <w:vAlign w:val="center"/>
                </w:tcPr>
                <w:p w14:paraId="25FF719C">
                  <w:pPr>
                    <w:widowControl/>
                    <w:spacing w:line="240" w:lineRule="auto"/>
                    <w:ind w:firstLine="440"/>
                    <w:rPr>
                      <w:rFonts w:ascii="仿宋" w:hAnsi="仿宋" w:eastAsia="仿宋" w:cstheme="minorEastAsia"/>
                      <w:color w:val="auto"/>
                      <w:sz w:val="22"/>
                      <w:szCs w:val="22"/>
                      <w:highlight w:val="none"/>
                    </w:rPr>
                  </w:pPr>
                </w:p>
              </w:tc>
              <w:tc>
                <w:tcPr>
                  <w:tcW w:w="373" w:type="pct"/>
                  <w:tcBorders>
                    <w:top w:val="single" w:color="auto" w:sz="4" w:space="0"/>
                    <w:left w:val="nil"/>
                    <w:bottom w:val="single" w:color="auto" w:sz="4" w:space="0"/>
                    <w:right w:val="single" w:color="auto" w:sz="4" w:space="0"/>
                  </w:tcBorders>
                  <w:shd w:val="clear" w:color="000000" w:fill="FFFFFF"/>
                  <w:vAlign w:val="center"/>
                </w:tcPr>
                <w:p w14:paraId="10F13958">
                  <w:pPr>
                    <w:widowControl/>
                    <w:spacing w:line="240" w:lineRule="auto"/>
                    <w:ind w:firstLine="440"/>
                    <w:rPr>
                      <w:rFonts w:ascii="仿宋" w:hAnsi="仿宋" w:eastAsia="仿宋" w:cstheme="minorEastAsia"/>
                      <w:color w:val="auto"/>
                      <w:sz w:val="22"/>
                      <w:szCs w:val="22"/>
                      <w:highlight w:val="none"/>
                    </w:rPr>
                  </w:pPr>
                </w:p>
              </w:tc>
            </w:tr>
            <w:tr w14:paraId="7BDAC38A">
              <w:tblPrEx>
                <w:tblCellMar>
                  <w:top w:w="0" w:type="dxa"/>
                  <w:left w:w="108" w:type="dxa"/>
                  <w:bottom w:w="0" w:type="dxa"/>
                  <w:right w:w="108" w:type="dxa"/>
                </w:tblCellMar>
              </w:tblPrEx>
              <w:trPr>
                <w:trHeight w:val="340"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61340FD3">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2</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55821E8A">
                  <w:pPr>
                    <w:widowControl/>
                    <w:spacing w:line="240" w:lineRule="auto"/>
                    <w:ind w:firstLine="0" w:firstLineChars="0"/>
                    <w:jc w:val="center"/>
                    <w:rPr>
                      <w:rFonts w:ascii="仿宋" w:hAnsi="仿宋" w:eastAsia="仿宋" w:cstheme="minorEastAsia"/>
                      <w:bCs/>
                      <w:color w:val="auto"/>
                      <w:sz w:val="22"/>
                      <w:szCs w:val="22"/>
                      <w:highlight w:val="none"/>
                    </w:rPr>
                  </w:pPr>
                </w:p>
              </w:tc>
              <w:tc>
                <w:tcPr>
                  <w:tcW w:w="2633" w:type="pct"/>
                  <w:tcBorders>
                    <w:top w:val="single" w:color="auto" w:sz="4" w:space="0"/>
                    <w:left w:val="single" w:color="auto" w:sz="4" w:space="0"/>
                    <w:bottom w:val="single" w:color="auto" w:sz="4" w:space="0"/>
                    <w:right w:val="single" w:color="auto" w:sz="4" w:space="0"/>
                  </w:tcBorders>
                  <w:shd w:val="clear" w:color="000000" w:fill="FFFFFF"/>
                  <w:vAlign w:val="center"/>
                </w:tcPr>
                <w:p w14:paraId="527F9351">
                  <w:pPr>
                    <w:widowControl/>
                    <w:spacing w:line="240" w:lineRule="auto"/>
                    <w:ind w:firstLine="0" w:firstLineChars="0"/>
                    <w:rPr>
                      <w:rFonts w:hint="eastAsia" w:ascii="仿宋" w:hAnsi="仿宋" w:eastAsia="仿宋" w:cstheme="minorEastAsia"/>
                      <w:color w:val="auto"/>
                      <w:sz w:val="22"/>
                      <w:szCs w:val="22"/>
                      <w:highlight w:val="none"/>
                      <w:lang w:eastAsia="zh-CN"/>
                    </w:rPr>
                  </w:pPr>
                  <w:r>
                    <w:rPr>
                      <w:rFonts w:hint="eastAsia" w:ascii="仿宋" w:hAnsi="仿宋" w:eastAsia="仿宋" w:cstheme="minorEastAsia"/>
                      <w:color w:val="auto"/>
                      <w:sz w:val="22"/>
                      <w:szCs w:val="22"/>
                      <w:highlight w:val="none"/>
                    </w:rPr>
                    <w:t>提供</w:t>
                  </w:r>
                  <w:r>
                    <w:rPr>
                      <w:rFonts w:hint="eastAsia" w:ascii="仿宋" w:hAnsi="仿宋" w:eastAsia="仿宋" w:cstheme="minorEastAsia"/>
                      <w:color w:val="auto"/>
                      <w:sz w:val="22"/>
                      <w:szCs w:val="22"/>
                      <w:highlight w:val="none"/>
                      <w:lang w:eastAsia="zh-CN"/>
                    </w:rPr>
                    <w:t>2023年度</w:t>
                  </w:r>
                  <w:r>
                    <w:rPr>
                      <w:rFonts w:hint="eastAsia" w:ascii="仿宋" w:hAnsi="仿宋" w:eastAsia="仿宋" w:cstheme="minorEastAsia"/>
                      <w:color w:val="auto"/>
                      <w:sz w:val="22"/>
                      <w:szCs w:val="22"/>
                      <w:highlight w:val="none"/>
                      <w:lang w:val="en-US" w:eastAsia="zh-CN"/>
                    </w:rPr>
                    <w:t>或2024年度</w:t>
                  </w:r>
                  <w:r>
                    <w:rPr>
                      <w:rFonts w:hint="eastAsia" w:ascii="仿宋" w:hAnsi="仿宋" w:eastAsia="仿宋" w:cstheme="minorEastAsia"/>
                      <w:color w:val="auto"/>
                      <w:sz w:val="22"/>
                      <w:szCs w:val="22"/>
                      <w:highlight w:val="none"/>
                      <w:lang w:eastAsia="zh-CN"/>
                    </w:rPr>
                    <w:t>经会计师事务所</w:t>
                  </w:r>
                  <w:r>
                    <w:rPr>
                      <w:rFonts w:hint="eastAsia" w:ascii="仿宋" w:hAnsi="仿宋" w:eastAsia="仿宋" w:cstheme="minorEastAsia"/>
                      <w:color w:val="auto"/>
                      <w:sz w:val="22"/>
                      <w:szCs w:val="22"/>
                      <w:highlight w:val="none"/>
                    </w:rPr>
                    <w:t>或审计机构出具的审计报告复印件（扫描件）或</w:t>
                  </w:r>
                  <w:r>
                    <w:rPr>
                      <w:rFonts w:hint="eastAsia" w:ascii="仿宋" w:hAnsi="仿宋" w:eastAsia="仿宋" w:cstheme="minorEastAsia"/>
                      <w:color w:val="auto"/>
                      <w:sz w:val="22"/>
                      <w:szCs w:val="22"/>
                      <w:highlight w:val="none"/>
                      <w:lang w:val="en-US" w:eastAsia="zh-CN"/>
                    </w:rPr>
                    <w:t>2025年1月至今</w:t>
                  </w:r>
                  <w:r>
                    <w:rPr>
                      <w:rFonts w:hint="eastAsia" w:ascii="仿宋" w:hAnsi="仿宋" w:eastAsia="仿宋" w:cstheme="minorEastAsia"/>
                      <w:color w:val="auto"/>
                      <w:sz w:val="22"/>
                      <w:szCs w:val="22"/>
                      <w:highlight w:val="none"/>
                    </w:rPr>
                    <w:t>其基本开户银行出具的资信证明或自然人提供</w:t>
                  </w:r>
                  <w:r>
                    <w:rPr>
                      <w:rFonts w:hint="eastAsia" w:ascii="仿宋" w:hAnsi="仿宋" w:eastAsia="仿宋" w:cstheme="minorEastAsia"/>
                      <w:color w:val="auto"/>
                      <w:sz w:val="22"/>
                      <w:szCs w:val="22"/>
                      <w:highlight w:val="none"/>
                      <w:lang w:val="en-US" w:eastAsia="zh-CN"/>
                    </w:rPr>
                    <w:t>2025年1月至今</w:t>
                  </w:r>
                  <w:r>
                    <w:rPr>
                      <w:rFonts w:hint="eastAsia" w:ascii="仿宋" w:hAnsi="仿宋" w:eastAsia="仿宋" w:cstheme="minorEastAsia"/>
                      <w:color w:val="auto"/>
                      <w:sz w:val="22"/>
                      <w:szCs w:val="22"/>
                      <w:highlight w:val="none"/>
                    </w:rPr>
                    <w:t>银行出具的资信证明</w:t>
                  </w:r>
                  <w:r>
                    <w:rPr>
                      <w:rFonts w:hint="eastAsia" w:ascii="仿宋" w:hAnsi="仿宋" w:eastAsia="仿宋" w:cstheme="minorEastAsia"/>
                      <w:color w:val="auto"/>
                      <w:sz w:val="22"/>
                      <w:szCs w:val="22"/>
                      <w:highlight w:val="none"/>
                      <w:lang w:eastAsia="zh-CN"/>
                    </w:rPr>
                    <w:t>；</w:t>
                  </w:r>
                </w:p>
              </w:tc>
              <w:tc>
                <w:tcPr>
                  <w:tcW w:w="378" w:type="pct"/>
                  <w:tcBorders>
                    <w:top w:val="single" w:color="auto" w:sz="4" w:space="0"/>
                    <w:left w:val="nil"/>
                    <w:bottom w:val="single" w:color="auto" w:sz="4" w:space="0"/>
                    <w:right w:val="single" w:color="auto" w:sz="4" w:space="0"/>
                  </w:tcBorders>
                  <w:shd w:val="clear" w:color="000000" w:fill="FFFFFF"/>
                  <w:vAlign w:val="center"/>
                </w:tcPr>
                <w:p w14:paraId="1432BE3D">
                  <w:pPr>
                    <w:widowControl/>
                    <w:spacing w:line="240" w:lineRule="auto"/>
                    <w:ind w:firstLine="440"/>
                    <w:rPr>
                      <w:rFonts w:ascii="仿宋" w:hAnsi="仿宋" w:eastAsia="仿宋" w:cstheme="minorEastAsia"/>
                      <w:color w:val="auto"/>
                      <w:sz w:val="22"/>
                      <w:szCs w:val="22"/>
                      <w:highlight w:val="none"/>
                    </w:rPr>
                  </w:pPr>
                </w:p>
              </w:tc>
              <w:tc>
                <w:tcPr>
                  <w:tcW w:w="395" w:type="pct"/>
                  <w:tcBorders>
                    <w:top w:val="single" w:color="auto" w:sz="4" w:space="0"/>
                    <w:left w:val="nil"/>
                    <w:bottom w:val="single" w:color="auto" w:sz="4" w:space="0"/>
                    <w:right w:val="single" w:color="auto" w:sz="4" w:space="0"/>
                  </w:tcBorders>
                  <w:shd w:val="clear" w:color="000000" w:fill="FFFFFF"/>
                  <w:vAlign w:val="center"/>
                </w:tcPr>
                <w:p w14:paraId="51A771E6">
                  <w:pPr>
                    <w:widowControl/>
                    <w:spacing w:line="240" w:lineRule="auto"/>
                    <w:ind w:firstLine="440"/>
                    <w:rPr>
                      <w:rFonts w:ascii="仿宋" w:hAnsi="仿宋" w:eastAsia="仿宋" w:cstheme="minorEastAsia"/>
                      <w:color w:val="auto"/>
                      <w:sz w:val="22"/>
                      <w:szCs w:val="22"/>
                      <w:highlight w:val="none"/>
                    </w:rPr>
                  </w:pPr>
                </w:p>
              </w:tc>
              <w:tc>
                <w:tcPr>
                  <w:tcW w:w="376" w:type="pct"/>
                  <w:tcBorders>
                    <w:top w:val="single" w:color="auto" w:sz="4" w:space="0"/>
                    <w:left w:val="nil"/>
                    <w:bottom w:val="single" w:color="auto" w:sz="4" w:space="0"/>
                    <w:right w:val="single" w:color="auto" w:sz="4" w:space="0"/>
                  </w:tcBorders>
                  <w:shd w:val="clear" w:color="000000" w:fill="FFFFFF"/>
                  <w:vAlign w:val="center"/>
                </w:tcPr>
                <w:p w14:paraId="1FFD0093">
                  <w:pPr>
                    <w:widowControl/>
                    <w:spacing w:line="240" w:lineRule="auto"/>
                    <w:ind w:firstLine="440"/>
                    <w:rPr>
                      <w:rFonts w:ascii="仿宋" w:hAnsi="仿宋" w:eastAsia="仿宋" w:cstheme="minorEastAsia"/>
                      <w:color w:val="auto"/>
                      <w:sz w:val="22"/>
                      <w:szCs w:val="22"/>
                      <w:highlight w:val="none"/>
                    </w:rPr>
                  </w:pPr>
                </w:p>
              </w:tc>
              <w:tc>
                <w:tcPr>
                  <w:tcW w:w="373" w:type="pct"/>
                  <w:tcBorders>
                    <w:top w:val="single" w:color="auto" w:sz="4" w:space="0"/>
                    <w:left w:val="nil"/>
                    <w:bottom w:val="single" w:color="auto" w:sz="4" w:space="0"/>
                    <w:right w:val="single" w:color="auto" w:sz="4" w:space="0"/>
                  </w:tcBorders>
                  <w:shd w:val="clear" w:color="000000" w:fill="FFFFFF"/>
                  <w:vAlign w:val="center"/>
                </w:tcPr>
                <w:p w14:paraId="1C9D4DC1">
                  <w:pPr>
                    <w:widowControl/>
                    <w:spacing w:line="240" w:lineRule="auto"/>
                    <w:ind w:firstLine="440"/>
                    <w:rPr>
                      <w:rFonts w:ascii="仿宋" w:hAnsi="仿宋" w:eastAsia="仿宋" w:cstheme="minorEastAsia"/>
                      <w:color w:val="auto"/>
                      <w:sz w:val="22"/>
                      <w:szCs w:val="22"/>
                      <w:highlight w:val="none"/>
                    </w:rPr>
                  </w:pPr>
                </w:p>
              </w:tc>
            </w:tr>
            <w:tr w14:paraId="6EB84CD1">
              <w:tblPrEx>
                <w:tblCellMar>
                  <w:top w:w="0" w:type="dxa"/>
                  <w:left w:w="108" w:type="dxa"/>
                  <w:bottom w:w="0" w:type="dxa"/>
                  <w:right w:w="108" w:type="dxa"/>
                </w:tblCellMar>
              </w:tblPrEx>
              <w:trPr>
                <w:trHeight w:val="70"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4C4E1755">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3</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0B15C6A">
                  <w:pPr>
                    <w:widowControl/>
                    <w:spacing w:line="240" w:lineRule="auto"/>
                    <w:ind w:firstLine="0" w:firstLineChars="0"/>
                    <w:jc w:val="center"/>
                    <w:rPr>
                      <w:rFonts w:ascii="仿宋" w:hAnsi="仿宋" w:eastAsia="仿宋" w:cstheme="minorEastAsia"/>
                      <w:bCs/>
                      <w:color w:val="auto"/>
                      <w:sz w:val="22"/>
                      <w:szCs w:val="22"/>
                      <w:highlight w:val="none"/>
                    </w:rPr>
                  </w:pPr>
                </w:p>
              </w:tc>
              <w:tc>
                <w:tcPr>
                  <w:tcW w:w="2633" w:type="pct"/>
                  <w:tcBorders>
                    <w:top w:val="nil"/>
                    <w:left w:val="single" w:color="auto" w:sz="4" w:space="0"/>
                    <w:bottom w:val="single" w:color="auto" w:sz="4" w:space="0"/>
                    <w:right w:val="single" w:color="auto" w:sz="4" w:space="0"/>
                  </w:tcBorders>
                  <w:shd w:val="clear" w:color="000000" w:fill="FFFFFF"/>
                  <w:vAlign w:val="center"/>
                </w:tcPr>
                <w:p w14:paraId="71791C5F">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供应商自行承诺具备履行合同所必需的设备和专业技术能力；</w:t>
                  </w:r>
                </w:p>
              </w:tc>
              <w:tc>
                <w:tcPr>
                  <w:tcW w:w="378" w:type="pct"/>
                  <w:tcBorders>
                    <w:top w:val="nil"/>
                    <w:left w:val="nil"/>
                    <w:bottom w:val="single" w:color="auto" w:sz="4" w:space="0"/>
                    <w:right w:val="single" w:color="auto" w:sz="4" w:space="0"/>
                  </w:tcBorders>
                  <w:shd w:val="clear" w:color="000000" w:fill="FFFFFF"/>
                  <w:vAlign w:val="center"/>
                </w:tcPr>
                <w:p w14:paraId="607808A6">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15FBB59C">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57604361">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7E64EDCE">
                  <w:pPr>
                    <w:widowControl/>
                    <w:spacing w:line="240" w:lineRule="auto"/>
                    <w:ind w:firstLine="440"/>
                    <w:rPr>
                      <w:rFonts w:ascii="仿宋" w:hAnsi="仿宋" w:eastAsia="仿宋" w:cstheme="minorEastAsia"/>
                      <w:color w:val="auto"/>
                      <w:sz w:val="22"/>
                      <w:szCs w:val="22"/>
                      <w:highlight w:val="none"/>
                    </w:rPr>
                  </w:pPr>
                </w:p>
              </w:tc>
            </w:tr>
            <w:tr w14:paraId="2B13F5A0">
              <w:tblPrEx>
                <w:tblCellMar>
                  <w:top w:w="0" w:type="dxa"/>
                  <w:left w:w="108" w:type="dxa"/>
                  <w:bottom w:w="0" w:type="dxa"/>
                  <w:right w:w="108" w:type="dxa"/>
                </w:tblCellMar>
              </w:tblPrEx>
              <w:trPr>
                <w:trHeight w:val="888"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487E010D">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4</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13F4938C">
                  <w:pPr>
                    <w:widowControl/>
                    <w:spacing w:line="240" w:lineRule="auto"/>
                    <w:ind w:firstLine="0" w:firstLineChars="0"/>
                    <w:jc w:val="center"/>
                    <w:rPr>
                      <w:rFonts w:ascii="仿宋" w:hAnsi="仿宋" w:eastAsia="仿宋" w:cstheme="minorEastAsia"/>
                      <w:bCs/>
                      <w:color w:val="auto"/>
                      <w:sz w:val="22"/>
                      <w:szCs w:val="22"/>
                      <w:highlight w:val="none"/>
                    </w:rPr>
                  </w:pPr>
                </w:p>
              </w:tc>
              <w:tc>
                <w:tcPr>
                  <w:tcW w:w="2633" w:type="pct"/>
                  <w:tcBorders>
                    <w:top w:val="nil"/>
                    <w:left w:val="single" w:color="auto" w:sz="4" w:space="0"/>
                    <w:bottom w:val="single" w:color="auto" w:sz="4" w:space="0"/>
                    <w:right w:val="single" w:color="auto" w:sz="4" w:space="0"/>
                  </w:tcBorders>
                  <w:shd w:val="clear" w:color="000000" w:fill="FFFFFF"/>
                  <w:vAlign w:val="center"/>
                </w:tcPr>
                <w:p w14:paraId="35EA7811">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a.提供202</w:t>
                  </w:r>
                  <w:r>
                    <w:rPr>
                      <w:rFonts w:hint="eastAsia" w:ascii="仿宋" w:hAnsi="仿宋" w:eastAsia="仿宋" w:cstheme="minorEastAsia"/>
                      <w:color w:val="auto"/>
                      <w:sz w:val="22"/>
                      <w:szCs w:val="22"/>
                      <w:highlight w:val="none"/>
                      <w:lang w:val="en-US" w:eastAsia="zh-CN"/>
                    </w:rPr>
                    <w:t>5</w:t>
                  </w:r>
                  <w:r>
                    <w:rPr>
                      <w:rFonts w:hint="eastAsia" w:ascii="仿宋" w:hAnsi="仿宋" w:eastAsia="仿宋" w:cstheme="minorEastAsia"/>
                      <w:color w:val="auto"/>
                      <w:sz w:val="22"/>
                      <w:szCs w:val="22"/>
                      <w:highlight w:val="none"/>
                    </w:rPr>
                    <w:t>年</w:t>
                  </w:r>
                  <w:r>
                    <w:rPr>
                      <w:rFonts w:hint="eastAsia" w:ascii="仿宋" w:hAnsi="仿宋" w:eastAsia="仿宋" w:cstheme="minorEastAsia"/>
                      <w:color w:val="auto"/>
                      <w:sz w:val="22"/>
                      <w:szCs w:val="22"/>
                      <w:highlight w:val="none"/>
                      <w:lang w:val="en-US" w:eastAsia="zh-CN"/>
                    </w:rPr>
                    <w:t>1</w:t>
                  </w:r>
                  <w:r>
                    <w:rPr>
                      <w:rFonts w:hint="eastAsia" w:ascii="仿宋" w:hAnsi="仿宋" w:eastAsia="仿宋" w:cstheme="minorEastAsia"/>
                      <w:color w:val="auto"/>
                      <w:sz w:val="22"/>
                      <w:szCs w:val="22"/>
                      <w:highlight w:val="none"/>
                    </w:rPr>
                    <w:t>月至今任意</w:t>
                  </w:r>
                  <w:r>
                    <w:rPr>
                      <w:rFonts w:hint="eastAsia" w:ascii="仿宋" w:hAnsi="仿宋" w:eastAsia="仿宋" w:cstheme="minorEastAsia"/>
                      <w:color w:val="auto"/>
                      <w:sz w:val="22"/>
                      <w:szCs w:val="22"/>
                      <w:highlight w:val="none"/>
                      <w:lang w:val="en-US" w:eastAsia="zh-CN"/>
                    </w:rPr>
                    <w:t>一</w:t>
                  </w:r>
                  <w:r>
                    <w:rPr>
                      <w:rFonts w:hint="eastAsia" w:ascii="仿宋" w:hAnsi="仿宋" w:eastAsia="仿宋" w:cstheme="minorEastAsia"/>
                      <w:color w:val="auto"/>
                      <w:sz w:val="22"/>
                      <w:szCs w:val="22"/>
                      <w:highlight w:val="none"/>
                    </w:rPr>
                    <w:t>个月缴纳税收的凭据或证明材料（依法免税的供应商须提供相应证明文件）；b.202</w:t>
                  </w:r>
                  <w:r>
                    <w:rPr>
                      <w:rFonts w:hint="eastAsia" w:ascii="仿宋" w:hAnsi="仿宋" w:eastAsia="仿宋" w:cstheme="minorEastAsia"/>
                      <w:color w:val="auto"/>
                      <w:sz w:val="22"/>
                      <w:szCs w:val="22"/>
                      <w:highlight w:val="none"/>
                      <w:lang w:val="en-US" w:eastAsia="zh-CN"/>
                    </w:rPr>
                    <w:t>5</w:t>
                  </w:r>
                  <w:r>
                    <w:rPr>
                      <w:rFonts w:hint="eastAsia" w:ascii="仿宋" w:hAnsi="仿宋" w:eastAsia="仿宋" w:cstheme="minorEastAsia"/>
                      <w:color w:val="auto"/>
                      <w:sz w:val="22"/>
                      <w:szCs w:val="22"/>
                      <w:highlight w:val="none"/>
                    </w:rPr>
                    <w:t>年</w:t>
                  </w:r>
                  <w:r>
                    <w:rPr>
                      <w:rFonts w:hint="eastAsia" w:ascii="仿宋" w:hAnsi="仿宋" w:eastAsia="仿宋" w:cstheme="minorEastAsia"/>
                      <w:color w:val="auto"/>
                      <w:sz w:val="22"/>
                      <w:szCs w:val="22"/>
                      <w:highlight w:val="none"/>
                      <w:lang w:val="en-US" w:eastAsia="zh-CN"/>
                    </w:rPr>
                    <w:t>1</w:t>
                  </w:r>
                  <w:r>
                    <w:rPr>
                      <w:rFonts w:hint="eastAsia" w:ascii="仿宋" w:hAnsi="仿宋" w:eastAsia="仿宋" w:cstheme="minorEastAsia"/>
                      <w:color w:val="auto"/>
                      <w:sz w:val="22"/>
                      <w:szCs w:val="22"/>
                      <w:highlight w:val="none"/>
                    </w:rPr>
                    <w:t>月至今任意</w:t>
                  </w:r>
                  <w:r>
                    <w:rPr>
                      <w:rFonts w:hint="eastAsia" w:ascii="仿宋" w:hAnsi="仿宋" w:eastAsia="仿宋" w:cstheme="minorEastAsia"/>
                      <w:color w:val="auto"/>
                      <w:sz w:val="22"/>
                      <w:szCs w:val="22"/>
                      <w:highlight w:val="none"/>
                      <w:lang w:val="en-US" w:eastAsia="zh-CN"/>
                    </w:rPr>
                    <w:t>一</w:t>
                  </w:r>
                  <w:r>
                    <w:rPr>
                      <w:rFonts w:hint="eastAsia" w:ascii="仿宋" w:hAnsi="仿宋" w:eastAsia="仿宋" w:cstheme="minorEastAsia"/>
                      <w:color w:val="auto"/>
                      <w:sz w:val="22"/>
                      <w:szCs w:val="22"/>
                      <w:highlight w:val="none"/>
                    </w:rPr>
                    <w:t>个月缴纳社会保障资金证明材料（不需要缴纳社保资金的供应商须提供相应证明文件）；</w:t>
                  </w:r>
                </w:p>
              </w:tc>
              <w:tc>
                <w:tcPr>
                  <w:tcW w:w="378" w:type="pct"/>
                  <w:tcBorders>
                    <w:top w:val="nil"/>
                    <w:left w:val="nil"/>
                    <w:bottom w:val="single" w:color="auto" w:sz="4" w:space="0"/>
                    <w:right w:val="single" w:color="auto" w:sz="4" w:space="0"/>
                  </w:tcBorders>
                  <w:shd w:val="clear" w:color="000000" w:fill="FFFFFF"/>
                  <w:vAlign w:val="center"/>
                </w:tcPr>
                <w:p w14:paraId="16BA4779">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020F1B10">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25EEEDFB">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6D8DD4F6">
                  <w:pPr>
                    <w:widowControl/>
                    <w:spacing w:line="240" w:lineRule="auto"/>
                    <w:ind w:firstLine="440"/>
                    <w:rPr>
                      <w:rFonts w:ascii="仿宋" w:hAnsi="仿宋" w:eastAsia="仿宋" w:cstheme="minorEastAsia"/>
                      <w:color w:val="auto"/>
                      <w:sz w:val="22"/>
                      <w:szCs w:val="22"/>
                      <w:highlight w:val="none"/>
                    </w:rPr>
                  </w:pPr>
                </w:p>
              </w:tc>
            </w:tr>
            <w:tr w14:paraId="7A1EEDE3">
              <w:tblPrEx>
                <w:tblCellMar>
                  <w:top w:w="0" w:type="dxa"/>
                  <w:left w:w="108" w:type="dxa"/>
                  <w:bottom w:w="0" w:type="dxa"/>
                  <w:right w:w="108" w:type="dxa"/>
                </w:tblCellMar>
              </w:tblPrEx>
              <w:trPr>
                <w:trHeight w:val="315"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17741900">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5</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BF9E013">
                  <w:pPr>
                    <w:widowControl/>
                    <w:spacing w:line="240" w:lineRule="auto"/>
                    <w:ind w:firstLine="0" w:firstLineChars="0"/>
                    <w:jc w:val="center"/>
                    <w:rPr>
                      <w:rFonts w:ascii="仿宋" w:hAnsi="仿宋" w:eastAsia="仿宋" w:cstheme="minorEastAsia"/>
                      <w:bCs/>
                      <w:color w:val="auto"/>
                      <w:sz w:val="22"/>
                      <w:szCs w:val="22"/>
                      <w:highlight w:val="none"/>
                    </w:rPr>
                  </w:pPr>
                </w:p>
              </w:tc>
              <w:tc>
                <w:tcPr>
                  <w:tcW w:w="2633" w:type="pct"/>
                  <w:tcBorders>
                    <w:top w:val="nil"/>
                    <w:left w:val="single" w:color="auto" w:sz="4" w:space="0"/>
                    <w:bottom w:val="single" w:color="auto" w:sz="4" w:space="0"/>
                    <w:right w:val="single" w:color="auto" w:sz="4" w:space="0"/>
                  </w:tcBorders>
                  <w:shd w:val="clear" w:color="000000" w:fill="FFFFFF"/>
                  <w:vAlign w:val="center"/>
                </w:tcPr>
                <w:p w14:paraId="31E13C9E">
                  <w:pPr>
                    <w:spacing w:line="240" w:lineRule="auto"/>
                    <w:ind w:firstLine="0" w:firstLineChars="0"/>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提供参加政府采购活动前3年内在经营活动中没有重大违法记录的书面声明；</w:t>
                  </w:r>
                </w:p>
              </w:tc>
              <w:tc>
                <w:tcPr>
                  <w:tcW w:w="378" w:type="pct"/>
                  <w:tcBorders>
                    <w:top w:val="nil"/>
                    <w:left w:val="nil"/>
                    <w:bottom w:val="single" w:color="auto" w:sz="4" w:space="0"/>
                    <w:right w:val="single" w:color="auto" w:sz="4" w:space="0"/>
                  </w:tcBorders>
                  <w:shd w:val="clear" w:color="000000" w:fill="FFFFFF"/>
                  <w:vAlign w:val="center"/>
                </w:tcPr>
                <w:p w14:paraId="356A9007">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2FF22388">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7EB4AAEA">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1FC5E2C4">
                  <w:pPr>
                    <w:widowControl/>
                    <w:spacing w:line="240" w:lineRule="auto"/>
                    <w:ind w:firstLine="440"/>
                    <w:rPr>
                      <w:rFonts w:ascii="仿宋" w:hAnsi="仿宋" w:eastAsia="仿宋" w:cstheme="minorEastAsia"/>
                      <w:color w:val="auto"/>
                      <w:sz w:val="22"/>
                      <w:szCs w:val="22"/>
                      <w:highlight w:val="none"/>
                    </w:rPr>
                  </w:pPr>
                </w:p>
              </w:tc>
            </w:tr>
            <w:tr w14:paraId="4EC51C62">
              <w:tblPrEx>
                <w:tblCellMar>
                  <w:top w:w="0" w:type="dxa"/>
                  <w:left w:w="108" w:type="dxa"/>
                  <w:bottom w:w="0" w:type="dxa"/>
                  <w:right w:w="108" w:type="dxa"/>
                </w:tblCellMar>
              </w:tblPrEx>
              <w:trPr>
                <w:trHeight w:val="804"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7E70E1F4">
                  <w:pPr>
                    <w:widowControl/>
                    <w:spacing w:before="100" w:beforeAutospacing="1" w:after="100" w:afterAutospacing="1" w:line="240" w:lineRule="auto"/>
                    <w:ind w:firstLine="0" w:firstLineChars="0"/>
                    <w:jc w:val="center"/>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6</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6CCAB1F">
                  <w:pPr>
                    <w:widowControl/>
                    <w:spacing w:line="240" w:lineRule="auto"/>
                    <w:ind w:firstLine="0" w:firstLineChars="0"/>
                    <w:jc w:val="center"/>
                    <w:rPr>
                      <w:rFonts w:ascii="仿宋" w:hAnsi="仿宋" w:eastAsia="仿宋" w:cstheme="minorEastAsia"/>
                      <w:bCs/>
                      <w:color w:val="auto"/>
                      <w:sz w:val="22"/>
                      <w:szCs w:val="22"/>
                      <w:highlight w:val="none"/>
                    </w:rPr>
                  </w:pPr>
                </w:p>
              </w:tc>
              <w:tc>
                <w:tcPr>
                  <w:tcW w:w="2633" w:type="pct"/>
                  <w:tcBorders>
                    <w:top w:val="nil"/>
                    <w:left w:val="single" w:color="auto" w:sz="4" w:space="0"/>
                    <w:bottom w:val="single" w:color="auto" w:sz="4" w:space="0"/>
                    <w:right w:val="single" w:color="auto" w:sz="4" w:space="0"/>
                  </w:tcBorders>
                  <w:shd w:val="clear" w:color="000000" w:fill="FFFFFF"/>
                  <w:vAlign w:val="center"/>
                </w:tcPr>
                <w:p w14:paraId="67ED11C4">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lang w:eastAsia="zh-CN"/>
                    </w:rPr>
                    <w:t>对被“信用中国（www.creditchina.gov.cn）”网站列入“重大税收违法失信主体”和“中国政府采购网（www.ccgp.gov.cn）”列入“政府采购严重违法失信行为记录名单”及“中国执行信息公开网（http://zxgk.court.gov.cn/shixin/）”列入“失信被执行人”的供应商，拒绝其参与本项目的政府采购活动。供应商须提供未被列入上述名单的承诺或提供相关的查询截图，</w:t>
                  </w:r>
                  <w:r>
                    <w:rPr>
                      <w:rFonts w:hint="eastAsia" w:ascii="仿宋" w:hAnsi="仿宋" w:eastAsia="仿宋" w:cstheme="minorEastAsia"/>
                      <w:color w:val="auto"/>
                      <w:sz w:val="22"/>
                      <w:szCs w:val="22"/>
                      <w:highlight w:val="none"/>
                    </w:rPr>
                    <w:t>查询时间为</w:t>
                  </w:r>
                  <w:r>
                    <w:rPr>
                      <w:rFonts w:hint="eastAsia" w:ascii="仿宋" w:hAnsi="仿宋" w:eastAsia="仿宋" w:cstheme="minorEastAsia"/>
                      <w:color w:val="auto"/>
                      <w:sz w:val="22"/>
                      <w:szCs w:val="22"/>
                      <w:highlight w:val="none"/>
                      <w:lang w:eastAsia="zh-CN"/>
                    </w:rPr>
                    <w:t>贵州省公共资源交易网（交易中心网址：https://ggzy.guizhou.gov.cn/）</w:t>
                  </w:r>
                  <w:r>
                    <w:rPr>
                      <w:rFonts w:hint="eastAsia" w:ascii="仿宋" w:hAnsi="仿宋" w:eastAsia="仿宋" w:cstheme="minorEastAsia"/>
                      <w:color w:val="auto"/>
                      <w:sz w:val="22"/>
                      <w:szCs w:val="22"/>
                      <w:highlight w:val="none"/>
                    </w:rPr>
                    <w:t>-&gt;网上交易大厅-&gt;文件下载板块下载之日至递交文件截止时间前的任意时间</w:t>
                  </w:r>
                </w:p>
              </w:tc>
              <w:tc>
                <w:tcPr>
                  <w:tcW w:w="378" w:type="pct"/>
                  <w:tcBorders>
                    <w:top w:val="nil"/>
                    <w:left w:val="nil"/>
                    <w:bottom w:val="single" w:color="auto" w:sz="4" w:space="0"/>
                    <w:right w:val="single" w:color="auto" w:sz="4" w:space="0"/>
                  </w:tcBorders>
                  <w:shd w:val="clear" w:color="000000" w:fill="FFFFFF"/>
                  <w:vAlign w:val="center"/>
                </w:tcPr>
                <w:p w14:paraId="40890F0F">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5B3E5BC0">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66A4A5E8">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6C5D764A">
                  <w:pPr>
                    <w:widowControl/>
                    <w:spacing w:line="240" w:lineRule="auto"/>
                    <w:ind w:firstLine="440"/>
                    <w:rPr>
                      <w:rFonts w:ascii="仿宋" w:hAnsi="仿宋" w:eastAsia="仿宋" w:cstheme="minorEastAsia"/>
                      <w:color w:val="auto"/>
                      <w:sz w:val="22"/>
                      <w:szCs w:val="22"/>
                      <w:highlight w:val="none"/>
                    </w:rPr>
                  </w:pPr>
                </w:p>
              </w:tc>
            </w:tr>
            <w:tr w14:paraId="17E793A2">
              <w:tblPrEx>
                <w:tblCellMar>
                  <w:top w:w="0" w:type="dxa"/>
                  <w:left w:w="108" w:type="dxa"/>
                  <w:bottom w:w="0" w:type="dxa"/>
                  <w:right w:w="108" w:type="dxa"/>
                </w:tblCellMar>
              </w:tblPrEx>
              <w:trPr>
                <w:trHeight w:val="688"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73FF95E6">
                  <w:pPr>
                    <w:widowControl/>
                    <w:spacing w:before="100" w:beforeAutospacing="1" w:after="100" w:afterAutospacing="1" w:line="240" w:lineRule="auto"/>
                    <w:ind w:firstLine="0" w:firstLineChars="0"/>
                    <w:jc w:val="center"/>
                    <w:rPr>
                      <w:rFonts w:hint="eastAsia" w:ascii="仿宋" w:hAnsi="仿宋" w:eastAsia="仿宋" w:cstheme="minorEastAsia"/>
                      <w:color w:val="auto"/>
                      <w:sz w:val="22"/>
                      <w:szCs w:val="22"/>
                      <w:highlight w:val="none"/>
                      <w:lang w:val="en-US" w:eastAsia="zh-CN"/>
                    </w:rPr>
                  </w:pPr>
                  <w:r>
                    <w:rPr>
                      <w:rFonts w:hint="eastAsia" w:ascii="仿宋" w:hAnsi="仿宋" w:eastAsia="仿宋" w:cstheme="minorEastAsia"/>
                      <w:color w:val="auto"/>
                      <w:sz w:val="22"/>
                      <w:szCs w:val="22"/>
                      <w:highlight w:val="none"/>
                      <w:lang w:val="en-US" w:eastAsia="zh-CN"/>
                    </w:rPr>
                    <w:t>7</w:t>
                  </w:r>
                </w:p>
              </w:tc>
              <w:tc>
                <w:tcPr>
                  <w:tcW w:w="660" w:type="pct"/>
                  <w:tcBorders>
                    <w:top w:val="single" w:color="auto" w:sz="4" w:space="0"/>
                    <w:left w:val="single" w:color="auto" w:sz="4" w:space="0"/>
                    <w:bottom w:val="single" w:color="auto" w:sz="4" w:space="0"/>
                    <w:right w:val="single" w:color="auto" w:sz="4" w:space="0"/>
                  </w:tcBorders>
                  <w:vAlign w:val="center"/>
                </w:tcPr>
                <w:p w14:paraId="1DBEBBAD">
                  <w:pPr>
                    <w:widowControl/>
                    <w:spacing w:line="240" w:lineRule="auto"/>
                    <w:ind w:firstLine="0" w:firstLineChars="0"/>
                    <w:jc w:val="center"/>
                    <w:rPr>
                      <w:rFonts w:ascii="仿宋" w:hAnsi="仿宋" w:eastAsia="仿宋" w:cstheme="minorEastAsia"/>
                      <w:bCs/>
                      <w:color w:val="auto"/>
                      <w:sz w:val="22"/>
                      <w:szCs w:val="22"/>
                      <w:highlight w:val="none"/>
                    </w:rPr>
                  </w:pPr>
                  <w:r>
                    <w:rPr>
                      <w:rFonts w:hint="eastAsia" w:ascii="仿宋" w:hAnsi="仿宋" w:eastAsia="仿宋" w:cstheme="minorEastAsia"/>
                      <w:bCs/>
                      <w:color w:val="auto"/>
                      <w:sz w:val="22"/>
                      <w:szCs w:val="22"/>
                      <w:highlight w:val="none"/>
                    </w:rPr>
                    <w:t>特定资格</w:t>
                  </w:r>
                  <w:r>
                    <w:rPr>
                      <w:rFonts w:hint="eastAsia" w:ascii="仿宋" w:hAnsi="仿宋" w:eastAsia="仿宋" w:cstheme="minorEastAsia"/>
                      <w:bCs/>
                      <w:color w:val="auto"/>
                      <w:sz w:val="22"/>
                      <w:szCs w:val="22"/>
                      <w:highlight w:val="none"/>
                      <w:lang w:val="en-US" w:eastAsia="zh-CN"/>
                    </w:rPr>
                    <w:t>审查</w:t>
                  </w:r>
                </w:p>
              </w:tc>
              <w:tc>
                <w:tcPr>
                  <w:tcW w:w="2633" w:type="pct"/>
                  <w:tcBorders>
                    <w:top w:val="nil"/>
                    <w:left w:val="single" w:color="auto" w:sz="4" w:space="0"/>
                    <w:bottom w:val="single" w:color="auto" w:sz="4" w:space="0"/>
                    <w:right w:val="single" w:color="auto" w:sz="4" w:space="0"/>
                  </w:tcBorders>
                  <w:shd w:val="clear" w:color="000000" w:fill="FFFFFF"/>
                  <w:vAlign w:val="center"/>
                </w:tcPr>
                <w:p w14:paraId="79237E23">
                  <w:pPr>
                    <w:keepNext w:val="0"/>
                    <w:keepLines w:val="0"/>
                    <w:pageBreakBefore w:val="0"/>
                    <w:widowControl w:val="0"/>
                    <w:numPr>
                      <w:ilvl w:val="0"/>
                      <w:numId w:val="0"/>
                    </w:numPr>
                    <w:kinsoku/>
                    <w:overflowPunct/>
                    <w:autoSpaceDE/>
                    <w:autoSpaceDN/>
                    <w:bidi w:val="0"/>
                    <w:adjustRightInd/>
                    <w:snapToGrid/>
                    <w:spacing w:before="0" w:beforeAutospacing="0" w:after="0" w:afterAutospacing="0" w:line="360" w:lineRule="auto"/>
                    <w:textAlignment w:val="auto"/>
                    <w:rPr>
                      <w:rFonts w:hint="eastAsia" w:ascii="仿宋" w:hAnsi="仿宋" w:eastAsia="仿宋" w:cstheme="minorEastAsia"/>
                      <w:color w:val="auto"/>
                      <w:sz w:val="22"/>
                      <w:szCs w:val="22"/>
                      <w:highlight w:val="none"/>
                      <w:lang w:eastAsia="zh-CN"/>
                    </w:rPr>
                  </w:pPr>
                  <w:r>
                    <w:rPr>
                      <w:rFonts w:hint="eastAsia" w:ascii="仿宋" w:hAnsi="仿宋" w:eastAsia="仿宋" w:cs="仿宋"/>
                      <w:color w:val="auto"/>
                      <w:sz w:val="24"/>
                      <w:szCs w:val="24"/>
                      <w:highlight w:val="none"/>
                      <w:lang w:val="en-US" w:eastAsia="zh-CN"/>
                    </w:rPr>
                    <w:t>供应商具有自然资源主管部门颁发的城乡规划编制乙级及以上资质。</w:t>
                  </w:r>
                </w:p>
              </w:tc>
              <w:tc>
                <w:tcPr>
                  <w:tcW w:w="378" w:type="pct"/>
                  <w:tcBorders>
                    <w:top w:val="nil"/>
                    <w:left w:val="nil"/>
                    <w:bottom w:val="single" w:color="auto" w:sz="4" w:space="0"/>
                    <w:right w:val="single" w:color="auto" w:sz="4" w:space="0"/>
                  </w:tcBorders>
                  <w:shd w:val="clear" w:color="000000" w:fill="FFFFFF"/>
                  <w:vAlign w:val="center"/>
                </w:tcPr>
                <w:p w14:paraId="414D6E6B">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1491D9D0">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2527BE48">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4348A910">
                  <w:pPr>
                    <w:widowControl/>
                    <w:spacing w:line="240" w:lineRule="auto"/>
                    <w:ind w:firstLine="440"/>
                    <w:rPr>
                      <w:rFonts w:ascii="仿宋" w:hAnsi="仿宋" w:eastAsia="仿宋" w:cstheme="minorEastAsia"/>
                      <w:color w:val="auto"/>
                      <w:sz w:val="22"/>
                      <w:szCs w:val="22"/>
                      <w:highlight w:val="none"/>
                    </w:rPr>
                  </w:pPr>
                </w:p>
              </w:tc>
            </w:tr>
            <w:tr w14:paraId="62692E99">
              <w:tblPrEx>
                <w:tblCellMar>
                  <w:top w:w="0" w:type="dxa"/>
                  <w:left w:w="108" w:type="dxa"/>
                  <w:bottom w:w="0" w:type="dxa"/>
                  <w:right w:w="108" w:type="dxa"/>
                </w:tblCellMar>
              </w:tblPrEx>
              <w:trPr>
                <w:trHeight w:val="704" w:hRule="atLeast"/>
                <w:jc w:val="center"/>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14:paraId="721F7169">
                  <w:pPr>
                    <w:widowControl/>
                    <w:spacing w:before="100" w:beforeAutospacing="1" w:after="100" w:afterAutospacing="1" w:line="240" w:lineRule="auto"/>
                    <w:ind w:firstLine="0" w:firstLineChars="0"/>
                    <w:jc w:val="center"/>
                    <w:rPr>
                      <w:rFonts w:hint="default" w:ascii="仿宋" w:hAnsi="仿宋" w:eastAsia="仿宋" w:cstheme="minorEastAsia"/>
                      <w:color w:val="auto"/>
                      <w:sz w:val="22"/>
                      <w:szCs w:val="22"/>
                      <w:highlight w:val="none"/>
                      <w:lang w:val="en-US" w:eastAsia="zh-CN"/>
                    </w:rPr>
                  </w:pPr>
                  <w:r>
                    <w:rPr>
                      <w:rFonts w:hint="eastAsia" w:ascii="仿宋" w:hAnsi="仿宋" w:eastAsia="仿宋" w:cstheme="minorEastAsia"/>
                      <w:color w:val="auto"/>
                      <w:sz w:val="22"/>
                      <w:szCs w:val="22"/>
                      <w:highlight w:val="none"/>
                      <w:lang w:val="en-US" w:eastAsia="zh-CN"/>
                    </w:rPr>
                    <w:t>8</w:t>
                  </w:r>
                </w:p>
              </w:tc>
              <w:tc>
                <w:tcPr>
                  <w:tcW w:w="1941" w:type="dxa"/>
                  <w:tcBorders>
                    <w:top w:val="single" w:color="auto" w:sz="4" w:space="0"/>
                    <w:left w:val="single" w:color="auto" w:sz="4" w:space="0"/>
                    <w:bottom w:val="single" w:color="auto" w:sz="4" w:space="0"/>
                    <w:right w:val="single" w:color="auto" w:sz="4" w:space="0"/>
                  </w:tcBorders>
                  <w:vAlign w:val="center"/>
                </w:tcPr>
                <w:p w14:paraId="2C41E47C">
                  <w:pPr>
                    <w:widowControl/>
                    <w:spacing w:line="240" w:lineRule="auto"/>
                    <w:ind w:firstLine="0" w:firstLineChars="0"/>
                    <w:jc w:val="center"/>
                    <w:rPr>
                      <w:rFonts w:hint="eastAsia" w:ascii="仿宋" w:hAnsi="仿宋" w:eastAsia="仿宋" w:cstheme="minorEastAsia"/>
                      <w:bCs/>
                      <w:color w:val="auto"/>
                      <w:sz w:val="22"/>
                      <w:szCs w:val="22"/>
                      <w:highlight w:val="none"/>
                    </w:rPr>
                  </w:pPr>
                  <w:r>
                    <w:rPr>
                      <w:rFonts w:hint="eastAsia" w:ascii="仿宋" w:hAnsi="仿宋" w:eastAsia="仿宋" w:cs="仿宋"/>
                      <w:color w:val="auto"/>
                      <w:sz w:val="24"/>
                      <w:highlight w:val="none"/>
                      <w:lang w:val="en-US" w:eastAsia="zh-CN"/>
                    </w:rPr>
                    <w:t>联合体投标</w:t>
                  </w:r>
                </w:p>
              </w:tc>
              <w:tc>
                <w:tcPr>
                  <w:tcW w:w="7750" w:type="dxa"/>
                  <w:tcBorders>
                    <w:top w:val="nil"/>
                    <w:left w:val="single" w:color="auto" w:sz="4" w:space="0"/>
                    <w:bottom w:val="single" w:color="auto" w:sz="4" w:space="0"/>
                    <w:right w:val="single" w:color="auto" w:sz="4" w:space="0"/>
                  </w:tcBorders>
                  <w:shd w:val="clear" w:color="000000" w:fill="FFFFFF"/>
                  <w:vAlign w:val="center"/>
                </w:tcPr>
                <w:p w14:paraId="480D420C">
                  <w:pPr>
                    <w:keepNext w:val="0"/>
                    <w:keepLines w:val="0"/>
                    <w:pageBreakBefore w:val="0"/>
                    <w:widowControl w:val="0"/>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theme="minorEastAsia"/>
                      <w:color w:val="auto"/>
                      <w:sz w:val="22"/>
                      <w:szCs w:val="22"/>
                      <w:highlight w:val="none"/>
                      <w:lang w:val="en-US" w:eastAsia="zh-CN"/>
                    </w:rPr>
                    <w:t>若供应商为联合体投标的，应出具联合体协议书且参加联合体的供应商均应满足一般资格要求</w:t>
                  </w:r>
                </w:p>
              </w:tc>
              <w:tc>
                <w:tcPr>
                  <w:tcW w:w="378" w:type="pct"/>
                  <w:tcBorders>
                    <w:top w:val="nil"/>
                    <w:left w:val="nil"/>
                    <w:bottom w:val="single" w:color="auto" w:sz="4" w:space="0"/>
                    <w:right w:val="single" w:color="auto" w:sz="4" w:space="0"/>
                  </w:tcBorders>
                  <w:shd w:val="clear" w:color="000000" w:fill="FFFFFF"/>
                  <w:vAlign w:val="center"/>
                </w:tcPr>
                <w:p w14:paraId="61230E42">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1D4C1D4C">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0DED4E20">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6A7B02E9">
                  <w:pPr>
                    <w:widowControl/>
                    <w:spacing w:line="240" w:lineRule="auto"/>
                    <w:ind w:firstLine="440"/>
                    <w:rPr>
                      <w:rFonts w:ascii="仿宋" w:hAnsi="仿宋" w:eastAsia="仿宋" w:cstheme="minorEastAsia"/>
                      <w:color w:val="auto"/>
                      <w:sz w:val="22"/>
                      <w:szCs w:val="22"/>
                      <w:highlight w:val="none"/>
                    </w:rPr>
                  </w:pPr>
                </w:p>
              </w:tc>
            </w:tr>
            <w:tr w14:paraId="30FBFEA2">
              <w:tblPrEx>
                <w:tblCellMar>
                  <w:top w:w="0" w:type="dxa"/>
                  <w:left w:w="108" w:type="dxa"/>
                  <w:bottom w:w="0" w:type="dxa"/>
                  <w:right w:w="108" w:type="dxa"/>
                </w:tblCellMar>
              </w:tblPrEx>
              <w:trPr>
                <w:trHeight w:val="90" w:hRule="atLeast"/>
                <w:jc w:val="center"/>
              </w:trPr>
              <w:tc>
                <w:tcPr>
                  <w:tcW w:w="181" w:type="pct"/>
                  <w:tcBorders>
                    <w:top w:val="nil"/>
                    <w:left w:val="single" w:color="auto" w:sz="4" w:space="0"/>
                    <w:bottom w:val="single" w:color="auto" w:sz="4" w:space="0"/>
                    <w:right w:val="single" w:color="auto" w:sz="4" w:space="0"/>
                  </w:tcBorders>
                  <w:shd w:val="clear" w:color="000000" w:fill="FFFFFF"/>
                  <w:vAlign w:val="center"/>
                </w:tcPr>
                <w:p w14:paraId="4CF0AC05">
                  <w:pPr>
                    <w:widowControl/>
                    <w:spacing w:before="100" w:beforeAutospacing="1" w:after="100" w:afterAutospacing="1" w:line="240" w:lineRule="auto"/>
                    <w:ind w:firstLine="0" w:firstLineChars="0"/>
                    <w:jc w:val="center"/>
                    <w:rPr>
                      <w:rFonts w:hint="eastAsia" w:ascii="仿宋" w:hAnsi="仿宋" w:eastAsia="仿宋" w:cstheme="minorEastAsia"/>
                      <w:color w:val="auto"/>
                      <w:sz w:val="22"/>
                      <w:szCs w:val="22"/>
                      <w:highlight w:val="none"/>
                      <w:lang w:eastAsia="zh-CN"/>
                    </w:rPr>
                  </w:pPr>
                  <w:r>
                    <w:rPr>
                      <w:rFonts w:hint="eastAsia" w:ascii="仿宋" w:hAnsi="仿宋" w:eastAsia="仿宋" w:cstheme="minorEastAsia"/>
                      <w:color w:val="auto"/>
                      <w:sz w:val="22"/>
                      <w:szCs w:val="22"/>
                      <w:highlight w:val="none"/>
                      <w:lang w:val="en-US" w:eastAsia="zh-CN"/>
                    </w:rPr>
                    <w:t>9</w:t>
                  </w:r>
                </w:p>
              </w:tc>
              <w:tc>
                <w:tcPr>
                  <w:tcW w:w="660" w:type="pct"/>
                  <w:tcBorders>
                    <w:top w:val="nil"/>
                    <w:left w:val="nil"/>
                    <w:bottom w:val="single" w:color="auto" w:sz="4" w:space="0"/>
                    <w:right w:val="single" w:color="auto" w:sz="4" w:space="0"/>
                  </w:tcBorders>
                  <w:shd w:val="clear" w:color="000000" w:fill="FFFFFF"/>
                  <w:vAlign w:val="center"/>
                </w:tcPr>
                <w:p w14:paraId="50CBF660">
                  <w:pPr>
                    <w:spacing w:line="240" w:lineRule="auto"/>
                    <w:ind w:firstLine="0" w:firstLineChars="0"/>
                    <w:rPr>
                      <w:rFonts w:hint="eastAsia"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投标保证金审查</w:t>
                  </w:r>
                </w:p>
              </w:tc>
              <w:tc>
                <w:tcPr>
                  <w:tcW w:w="2633" w:type="pct"/>
                  <w:tcBorders>
                    <w:top w:val="nil"/>
                    <w:left w:val="nil"/>
                    <w:bottom w:val="single" w:color="auto" w:sz="4" w:space="0"/>
                    <w:right w:val="single" w:color="auto" w:sz="4" w:space="0"/>
                  </w:tcBorders>
                  <w:shd w:val="clear" w:color="000000" w:fill="FFFFFF"/>
                  <w:vAlign w:val="center"/>
                </w:tcPr>
                <w:p w14:paraId="67A73EF1">
                  <w:pPr>
                    <w:spacing w:line="240" w:lineRule="auto"/>
                    <w:ind w:firstLine="0" w:firstLineChars="0"/>
                    <w:rPr>
                      <w:rFonts w:hint="eastAsia"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1）采用银行转账形式缴纳投标保证金的，提供贵州省公共资源交易中心系统中的“保证金交纳凭证”；（2）采用银行保函、保证保险、合法担保机构出具的担保等方式缴纳投标保证金的，提供银行保函、保证保险、合法担保机构出具的担保等的扫描件</w:t>
                  </w:r>
                </w:p>
              </w:tc>
              <w:tc>
                <w:tcPr>
                  <w:tcW w:w="378" w:type="pct"/>
                  <w:tcBorders>
                    <w:top w:val="nil"/>
                    <w:left w:val="nil"/>
                    <w:bottom w:val="single" w:color="auto" w:sz="4" w:space="0"/>
                    <w:right w:val="single" w:color="auto" w:sz="4" w:space="0"/>
                  </w:tcBorders>
                  <w:shd w:val="clear" w:color="000000" w:fill="FFFFFF"/>
                  <w:vAlign w:val="center"/>
                </w:tcPr>
                <w:p w14:paraId="5B70EF5E">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64F441FC">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0EC2C3F0">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5C6DC3B8">
                  <w:pPr>
                    <w:widowControl/>
                    <w:spacing w:line="240" w:lineRule="auto"/>
                    <w:ind w:firstLine="440"/>
                    <w:rPr>
                      <w:rFonts w:ascii="仿宋" w:hAnsi="仿宋" w:eastAsia="仿宋" w:cstheme="minorEastAsia"/>
                      <w:color w:val="auto"/>
                      <w:sz w:val="22"/>
                      <w:szCs w:val="22"/>
                      <w:highlight w:val="none"/>
                    </w:rPr>
                  </w:pPr>
                </w:p>
              </w:tc>
            </w:tr>
            <w:tr w14:paraId="671B2E79">
              <w:tblPrEx>
                <w:tblCellMar>
                  <w:top w:w="0" w:type="dxa"/>
                  <w:left w:w="108" w:type="dxa"/>
                  <w:bottom w:w="0" w:type="dxa"/>
                  <w:right w:w="108" w:type="dxa"/>
                </w:tblCellMar>
              </w:tblPrEx>
              <w:trPr>
                <w:trHeight w:val="90" w:hRule="atLeast"/>
                <w:jc w:val="center"/>
              </w:trPr>
              <w:tc>
                <w:tcPr>
                  <w:tcW w:w="532" w:type="dxa"/>
                  <w:tcBorders>
                    <w:top w:val="nil"/>
                    <w:left w:val="single" w:color="auto" w:sz="4" w:space="0"/>
                    <w:bottom w:val="single" w:color="auto" w:sz="4" w:space="0"/>
                    <w:right w:val="single" w:color="auto" w:sz="4" w:space="0"/>
                  </w:tcBorders>
                  <w:shd w:val="clear" w:color="000000" w:fill="FFFFFF"/>
                  <w:vAlign w:val="center"/>
                </w:tcPr>
                <w:p w14:paraId="33CA2976">
                  <w:pPr>
                    <w:widowControl/>
                    <w:spacing w:before="100" w:beforeAutospacing="1" w:after="100" w:afterAutospacing="1" w:line="240" w:lineRule="auto"/>
                    <w:ind w:firstLine="0" w:firstLineChars="0"/>
                    <w:jc w:val="center"/>
                    <w:rPr>
                      <w:rFonts w:hint="default" w:ascii="仿宋" w:hAnsi="仿宋" w:eastAsia="仿宋" w:cstheme="minorEastAsia"/>
                      <w:color w:val="auto"/>
                      <w:sz w:val="22"/>
                      <w:szCs w:val="22"/>
                      <w:highlight w:val="none"/>
                      <w:lang w:val="en-US" w:eastAsia="zh-CN"/>
                    </w:rPr>
                  </w:pPr>
                  <w:r>
                    <w:rPr>
                      <w:rFonts w:hint="eastAsia" w:ascii="仿宋" w:hAnsi="仿宋" w:eastAsia="仿宋" w:cstheme="minorEastAsia"/>
                      <w:color w:val="auto"/>
                      <w:sz w:val="22"/>
                      <w:szCs w:val="22"/>
                      <w:highlight w:val="none"/>
                      <w:lang w:val="en-US" w:eastAsia="zh-CN"/>
                    </w:rPr>
                    <w:t>10</w:t>
                  </w:r>
                </w:p>
              </w:tc>
              <w:tc>
                <w:tcPr>
                  <w:tcW w:w="1941" w:type="dxa"/>
                  <w:tcBorders>
                    <w:top w:val="nil"/>
                    <w:left w:val="nil"/>
                    <w:bottom w:val="single" w:color="auto" w:sz="4" w:space="0"/>
                    <w:right w:val="single" w:color="auto" w:sz="4" w:space="0"/>
                  </w:tcBorders>
                  <w:shd w:val="clear" w:color="000000" w:fill="FFFFFF"/>
                  <w:vAlign w:val="center"/>
                </w:tcPr>
                <w:p w14:paraId="1F3774CE">
                  <w:pPr>
                    <w:spacing w:line="240" w:lineRule="auto"/>
                    <w:ind w:firstLine="0" w:firstLineChars="0"/>
                    <w:rPr>
                      <w:rFonts w:hint="eastAsia" w:ascii="仿宋" w:hAnsi="仿宋" w:eastAsia="仿宋" w:cstheme="minorEastAsia"/>
                      <w:color w:val="auto"/>
                      <w:sz w:val="22"/>
                      <w:szCs w:val="22"/>
                      <w:highlight w:val="none"/>
                    </w:rPr>
                  </w:pPr>
                  <w:r>
                    <w:rPr>
                      <w:rFonts w:hint="eastAsia" w:ascii="仿宋" w:hAnsi="仿宋" w:eastAsia="仿宋" w:cstheme="minorEastAsia"/>
                      <w:color w:val="auto"/>
                      <w:sz w:val="22"/>
                      <w:szCs w:val="22"/>
                      <w:highlight w:val="none"/>
                    </w:rPr>
                    <w:t>落实政府采购政策需满足的资格要求</w:t>
                  </w:r>
                </w:p>
              </w:tc>
              <w:tc>
                <w:tcPr>
                  <w:tcW w:w="7750" w:type="dxa"/>
                  <w:tcBorders>
                    <w:top w:val="nil"/>
                    <w:left w:val="nil"/>
                    <w:bottom w:val="single" w:color="auto" w:sz="4" w:space="0"/>
                    <w:right w:val="single" w:color="auto" w:sz="4" w:space="0"/>
                  </w:tcBorders>
                  <w:shd w:val="clear" w:color="000000" w:fill="FFFFFF"/>
                  <w:vAlign w:val="center"/>
                </w:tcPr>
                <w:p w14:paraId="542AA855">
                  <w:pPr>
                    <w:spacing w:line="240" w:lineRule="auto"/>
                    <w:ind w:firstLine="0" w:firstLineChars="0"/>
                    <w:rPr>
                      <w:rFonts w:hint="eastAsia" w:ascii="仿宋" w:hAnsi="仿宋" w:eastAsia="仿宋" w:cstheme="minorEastAsia"/>
                      <w:color w:val="auto"/>
                      <w:sz w:val="22"/>
                      <w:szCs w:val="22"/>
                      <w:highlight w:val="none"/>
                    </w:rPr>
                  </w:pPr>
                  <w:r>
                    <w:rPr>
                      <w:rFonts w:hint="default" w:ascii="仿宋" w:hAnsi="仿宋" w:eastAsia="仿宋" w:cstheme="minorEastAsia"/>
                      <w:color w:val="auto"/>
                      <w:sz w:val="22"/>
                      <w:szCs w:val="22"/>
                      <w:highlight w:val="none"/>
                      <w:lang w:val="en-US" w:eastAsia="zh-CN"/>
                    </w:rPr>
                    <w:t>根据《政府采购促进中小企业发展管理办法》(财库〔2020〕46号)需满足的资格要求：本项目为专门面向中小微企业采购的项目，供应商须为中小微企业（监狱企业、残疾人福利性单位视同小型、微型企业，提供中小企业声明函或残疾人福利性单位声明函或监狱企业证明文件）</w:t>
                  </w:r>
                </w:p>
              </w:tc>
              <w:tc>
                <w:tcPr>
                  <w:tcW w:w="378" w:type="pct"/>
                  <w:tcBorders>
                    <w:top w:val="nil"/>
                    <w:left w:val="nil"/>
                    <w:bottom w:val="single" w:color="auto" w:sz="4" w:space="0"/>
                    <w:right w:val="single" w:color="auto" w:sz="4" w:space="0"/>
                  </w:tcBorders>
                  <w:shd w:val="clear" w:color="000000" w:fill="FFFFFF"/>
                  <w:vAlign w:val="center"/>
                </w:tcPr>
                <w:p w14:paraId="7B9E7C5B">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16236646">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26768C23">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688ECDC9">
                  <w:pPr>
                    <w:widowControl/>
                    <w:spacing w:line="240" w:lineRule="auto"/>
                    <w:ind w:firstLine="440"/>
                    <w:rPr>
                      <w:rFonts w:ascii="仿宋" w:hAnsi="仿宋" w:eastAsia="仿宋" w:cstheme="minorEastAsia"/>
                      <w:color w:val="auto"/>
                      <w:sz w:val="22"/>
                      <w:szCs w:val="22"/>
                      <w:highlight w:val="none"/>
                    </w:rPr>
                  </w:pPr>
                </w:p>
              </w:tc>
            </w:tr>
            <w:tr w14:paraId="37DCF24D">
              <w:tblPrEx>
                <w:tblCellMar>
                  <w:top w:w="0" w:type="dxa"/>
                  <w:left w:w="108" w:type="dxa"/>
                  <w:bottom w:w="0" w:type="dxa"/>
                  <w:right w:w="108" w:type="dxa"/>
                </w:tblCellMar>
              </w:tblPrEx>
              <w:trPr>
                <w:trHeight w:val="340" w:hRule="atLeast"/>
                <w:jc w:val="center"/>
              </w:trPr>
              <w:tc>
                <w:tcPr>
                  <w:tcW w:w="3476" w:type="pct"/>
                  <w:gridSpan w:val="3"/>
                  <w:tcBorders>
                    <w:top w:val="nil"/>
                    <w:left w:val="single" w:color="auto" w:sz="4" w:space="0"/>
                    <w:bottom w:val="single" w:color="auto" w:sz="4" w:space="0"/>
                    <w:right w:val="single" w:color="auto" w:sz="4" w:space="0"/>
                  </w:tcBorders>
                  <w:shd w:val="clear" w:color="000000" w:fill="FFFFFF"/>
                  <w:vAlign w:val="center"/>
                </w:tcPr>
                <w:p w14:paraId="120B108B">
                  <w:pPr>
                    <w:widowControl/>
                    <w:spacing w:line="240" w:lineRule="auto"/>
                    <w:ind w:firstLine="442"/>
                    <w:jc w:val="center"/>
                    <w:rPr>
                      <w:rFonts w:ascii="仿宋" w:hAnsi="仿宋" w:eastAsia="仿宋" w:cstheme="minorEastAsia"/>
                      <w:b/>
                      <w:color w:val="auto"/>
                      <w:sz w:val="22"/>
                      <w:szCs w:val="22"/>
                      <w:highlight w:val="none"/>
                    </w:rPr>
                  </w:pPr>
                  <w:r>
                    <w:rPr>
                      <w:rFonts w:hint="eastAsia" w:ascii="仿宋" w:hAnsi="仿宋" w:eastAsia="仿宋" w:cstheme="minorEastAsia"/>
                      <w:b/>
                      <w:color w:val="auto"/>
                      <w:sz w:val="22"/>
                      <w:szCs w:val="22"/>
                      <w:highlight w:val="none"/>
                    </w:rPr>
                    <w:t>资格审查结论（通过或不通过）</w:t>
                  </w:r>
                </w:p>
              </w:tc>
              <w:tc>
                <w:tcPr>
                  <w:tcW w:w="378" w:type="pct"/>
                  <w:tcBorders>
                    <w:top w:val="nil"/>
                    <w:left w:val="nil"/>
                    <w:bottom w:val="single" w:color="auto" w:sz="4" w:space="0"/>
                    <w:right w:val="single" w:color="auto" w:sz="4" w:space="0"/>
                  </w:tcBorders>
                  <w:shd w:val="clear" w:color="000000" w:fill="FFFFFF"/>
                  <w:vAlign w:val="center"/>
                </w:tcPr>
                <w:p w14:paraId="32DDEEE0">
                  <w:pPr>
                    <w:widowControl/>
                    <w:spacing w:line="240" w:lineRule="auto"/>
                    <w:ind w:firstLine="440"/>
                    <w:rPr>
                      <w:rFonts w:ascii="仿宋" w:hAnsi="仿宋" w:eastAsia="仿宋" w:cstheme="minorEastAsia"/>
                      <w:color w:val="auto"/>
                      <w:sz w:val="22"/>
                      <w:szCs w:val="22"/>
                      <w:highlight w:val="none"/>
                    </w:rPr>
                  </w:pPr>
                </w:p>
              </w:tc>
              <w:tc>
                <w:tcPr>
                  <w:tcW w:w="395" w:type="pct"/>
                  <w:tcBorders>
                    <w:top w:val="nil"/>
                    <w:left w:val="nil"/>
                    <w:bottom w:val="single" w:color="auto" w:sz="4" w:space="0"/>
                    <w:right w:val="single" w:color="auto" w:sz="4" w:space="0"/>
                  </w:tcBorders>
                  <w:shd w:val="clear" w:color="000000" w:fill="FFFFFF"/>
                  <w:vAlign w:val="center"/>
                </w:tcPr>
                <w:p w14:paraId="5A61F782">
                  <w:pPr>
                    <w:widowControl/>
                    <w:spacing w:line="240" w:lineRule="auto"/>
                    <w:ind w:firstLine="440"/>
                    <w:rPr>
                      <w:rFonts w:ascii="仿宋" w:hAnsi="仿宋" w:eastAsia="仿宋" w:cstheme="minorEastAsia"/>
                      <w:color w:val="auto"/>
                      <w:sz w:val="22"/>
                      <w:szCs w:val="22"/>
                      <w:highlight w:val="none"/>
                    </w:rPr>
                  </w:pPr>
                </w:p>
              </w:tc>
              <w:tc>
                <w:tcPr>
                  <w:tcW w:w="376" w:type="pct"/>
                  <w:tcBorders>
                    <w:top w:val="nil"/>
                    <w:left w:val="nil"/>
                    <w:bottom w:val="single" w:color="auto" w:sz="4" w:space="0"/>
                    <w:right w:val="single" w:color="auto" w:sz="4" w:space="0"/>
                  </w:tcBorders>
                  <w:shd w:val="clear" w:color="000000" w:fill="FFFFFF"/>
                  <w:vAlign w:val="center"/>
                </w:tcPr>
                <w:p w14:paraId="282900DC">
                  <w:pPr>
                    <w:widowControl/>
                    <w:spacing w:line="240" w:lineRule="auto"/>
                    <w:ind w:firstLine="440"/>
                    <w:rPr>
                      <w:rFonts w:ascii="仿宋" w:hAnsi="仿宋" w:eastAsia="仿宋" w:cstheme="minorEastAsia"/>
                      <w:color w:val="auto"/>
                      <w:sz w:val="22"/>
                      <w:szCs w:val="22"/>
                      <w:highlight w:val="none"/>
                    </w:rPr>
                  </w:pPr>
                </w:p>
              </w:tc>
              <w:tc>
                <w:tcPr>
                  <w:tcW w:w="373" w:type="pct"/>
                  <w:tcBorders>
                    <w:top w:val="nil"/>
                    <w:left w:val="nil"/>
                    <w:bottom w:val="single" w:color="auto" w:sz="4" w:space="0"/>
                    <w:right w:val="single" w:color="auto" w:sz="4" w:space="0"/>
                  </w:tcBorders>
                  <w:shd w:val="clear" w:color="000000" w:fill="FFFFFF"/>
                  <w:vAlign w:val="center"/>
                </w:tcPr>
                <w:p w14:paraId="795F9576">
                  <w:pPr>
                    <w:widowControl/>
                    <w:spacing w:line="240" w:lineRule="auto"/>
                    <w:ind w:firstLine="440"/>
                    <w:rPr>
                      <w:rFonts w:ascii="仿宋" w:hAnsi="仿宋" w:eastAsia="仿宋" w:cstheme="minorEastAsia"/>
                      <w:color w:val="auto"/>
                      <w:sz w:val="22"/>
                      <w:szCs w:val="22"/>
                      <w:highlight w:val="none"/>
                    </w:rPr>
                  </w:pPr>
                </w:p>
              </w:tc>
            </w:tr>
            <w:tr w14:paraId="3CD73E9E">
              <w:tblPrEx>
                <w:tblCellMar>
                  <w:top w:w="0" w:type="dxa"/>
                  <w:left w:w="108" w:type="dxa"/>
                  <w:bottom w:w="0" w:type="dxa"/>
                  <w:right w:w="108" w:type="dxa"/>
                </w:tblCellMar>
              </w:tblPrEx>
              <w:trPr>
                <w:trHeight w:val="619" w:hRule="atLeast"/>
                <w:jc w:val="center"/>
              </w:trPr>
              <w:tc>
                <w:tcPr>
                  <w:tcW w:w="5000" w:type="pct"/>
                  <w:gridSpan w:val="7"/>
                  <w:tcBorders>
                    <w:top w:val="nil"/>
                    <w:left w:val="nil"/>
                    <w:bottom w:val="nil"/>
                    <w:right w:val="nil"/>
                  </w:tcBorders>
                  <w:shd w:val="clear" w:color="000000" w:fill="FFFFFF"/>
                  <w:vAlign w:val="center"/>
                </w:tcPr>
                <w:p w14:paraId="17308653">
                  <w:pPr>
                    <w:widowControl/>
                    <w:spacing w:line="240" w:lineRule="auto"/>
                    <w:ind w:firstLine="440"/>
                    <w:rPr>
                      <w:rFonts w:ascii="仿宋" w:hAnsi="仿宋" w:eastAsia="仿宋" w:cstheme="minorEastAsia"/>
                      <w:color w:val="auto"/>
                      <w:sz w:val="22"/>
                      <w:szCs w:val="22"/>
                      <w:highlight w:val="none"/>
                    </w:rPr>
                  </w:pPr>
                  <w:r>
                    <w:rPr>
                      <w:rFonts w:hint="eastAsia" w:ascii="仿宋" w:hAnsi="仿宋" w:eastAsia="仿宋" w:cstheme="minorEastAsia"/>
                      <w:color w:val="auto"/>
                      <w:kern w:val="0"/>
                      <w:sz w:val="22"/>
                      <w:szCs w:val="22"/>
                      <w:highlight w:val="none"/>
                    </w:rPr>
                    <w:t>磋商小组</w:t>
                  </w:r>
                  <w:r>
                    <w:rPr>
                      <w:rFonts w:hint="eastAsia" w:ascii="仿宋" w:hAnsi="仿宋" w:eastAsia="仿宋" w:cstheme="minorEastAsia"/>
                      <w:color w:val="auto"/>
                      <w:sz w:val="22"/>
                      <w:szCs w:val="22"/>
                      <w:highlight w:val="none"/>
                    </w:rPr>
                    <w:t>（签字）：</w:t>
                  </w:r>
                </w:p>
              </w:tc>
            </w:tr>
            <w:tr w14:paraId="6D83E11D">
              <w:tblPrEx>
                <w:tblCellMar>
                  <w:top w:w="0" w:type="dxa"/>
                  <w:left w:w="108" w:type="dxa"/>
                  <w:bottom w:w="0" w:type="dxa"/>
                  <w:right w:w="108" w:type="dxa"/>
                </w:tblCellMar>
              </w:tblPrEx>
              <w:trPr>
                <w:trHeight w:val="619" w:hRule="atLeast"/>
                <w:jc w:val="center"/>
              </w:trPr>
              <w:tc>
                <w:tcPr>
                  <w:tcW w:w="5000" w:type="pct"/>
                  <w:gridSpan w:val="7"/>
                  <w:tcBorders>
                    <w:top w:val="nil"/>
                    <w:left w:val="nil"/>
                    <w:bottom w:val="nil"/>
                    <w:right w:val="nil"/>
                  </w:tcBorders>
                  <w:shd w:val="clear" w:color="000000" w:fill="FFFFFF"/>
                  <w:vAlign w:val="center"/>
                </w:tcPr>
                <w:p w14:paraId="5D5A7BD8">
                  <w:pPr>
                    <w:widowControl/>
                    <w:spacing w:line="240" w:lineRule="auto"/>
                    <w:ind w:firstLine="0" w:firstLineChars="0"/>
                    <w:jc w:val="center"/>
                    <w:rPr>
                      <w:rFonts w:hint="eastAsia" w:ascii="仿宋" w:hAnsi="仿宋" w:eastAsia="仿宋" w:cstheme="minorEastAsia"/>
                      <w:b/>
                      <w:bCs/>
                      <w:color w:val="auto"/>
                      <w:kern w:val="0"/>
                      <w:sz w:val="36"/>
                      <w:szCs w:val="36"/>
                      <w:highlight w:val="none"/>
                      <w:u w:val="single"/>
                    </w:rPr>
                  </w:pPr>
                </w:p>
                <w:p w14:paraId="49EFB030">
                  <w:pPr>
                    <w:widowControl/>
                    <w:spacing w:line="240" w:lineRule="auto"/>
                    <w:ind w:firstLine="0" w:firstLineChars="0"/>
                    <w:jc w:val="center"/>
                    <w:rPr>
                      <w:rFonts w:ascii="仿宋" w:hAnsi="仿宋" w:eastAsia="仿宋" w:cstheme="minorEastAsia"/>
                      <w:b/>
                      <w:color w:val="auto"/>
                      <w:highlight w:val="none"/>
                    </w:rPr>
                  </w:pPr>
                  <w:r>
                    <w:rPr>
                      <w:rFonts w:hint="eastAsia" w:ascii="仿宋" w:hAnsi="仿宋" w:eastAsia="仿宋" w:cstheme="minorEastAsia"/>
                      <w:b/>
                      <w:bCs/>
                      <w:color w:val="auto"/>
                      <w:kern w:val="0"/>
                      <w:sz w:val="36"/>
                      <w:szCs w:val="36"/>
                      <w:highlight w:val="none"/>
                      <w:u w:val="single"/>
                    </w:rPr>
                    <w:t>符  合  性  审  查  表</w:t>
                  </w:r>
                </w:p>
              </w:tc>
            </w:tr>
          </w:tbl>
          <w:p w14:paraId="2F510184">
            <w:pPr>
              <w:spacing w:line="24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项目名称：</w:t>
            </w:r>
          </w:p>
          <w:p w14:paraId="389C9A5E">
            <w:pPr>
              <w:spacing w:line="24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xml:space="preserve">项目编号：                                                                  </w:t>
            </w:r>
            <w:r>
              <w:rPr>
                <w:rFonts w:ascii="仿宋" w:hAnsi="仿宋" w:eastAsia="仿宋" w:cstheme="minorEastAsia"/>
                <w:color w:val="auto"/>
                <w:highlight w:val="none"/>
              </w:rPr>
              <w:t xml:space="preserve">                            </w:t>
            </w:r>
            <w:r>
              <w:rPr>
                <w:rFonts w:hint="eastAsia" w:ascii="仿宋" w:hAnsi="仿宋" w:eastAsia="仿宋" w:cstheme="minorEastAsia"/>
                <w:color w:val="auto"/>
                <w:highlight w:val="none"/>
              </w:rPr>
              <w:t xml:space="preserve"> 日期：</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937"/>
              <w:gridCol w:w="5424"/>
              <w:gridCol w:w="1664"/>
              <w:gridCol w:w="1664"/>
              <w:gridCol w:w="1664"/>
              <w:gridCol w:w="1661"/>
            </w:tblGrid>
            <w:tr w14:paraId="30601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232" w:type="pct"/>
                  <w:vAlign w:val="center"/>
                </w:tcPr>
                <w:p w14:paraId="0B88E293">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序号</w:t>
                  </w:r>
                </w:p>
              </w:tc>
              <w:tc>
                <w:tcPr>
                  <w:tcW w:w="2504" w:type="pct"/>
                  <w:gridSpan w:val="2"/>
                  <w:tcBorders>
                    <w:tl2br w:val="single" w:color="auto" w:sz="4" w:space="0"/>
                  </w:tcBorders>
                </w:tcPr>
                <w:p w14:paraId="01A79DB7">
                  <w:pPr>
                    <w:spacing w:line="24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xml:space="preserve">                                         供应商名称</w:t>
                  </w:r>
                </w:p>
                <w:p w14:paraId="2DD54981">
                  <w:pPr>
                    <w:spacing w:line="24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审查内容</w:t>
                  </w:r>
                </w:p>
              </w:tc>
              <w:tc>
                <w:tcPr>
                  <w:tcW w:w="566" w:type="pct"/>
                  <w:vAlign w:val="center"/>
                </w:tcPr>
                <w:p w14:paraId="540BFCE3">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供应商1</w:t>
                  </w:r>
                </w:p>
              </w:tc>
              <w:tc>
                <w:tcPr>
                  <w:tcW w:w="566" w:type="pct"/>
                  <w:vAlign w:val="center"/>
                </w:tcPr>
                <w:p w14:paraId="606E1105">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供应商2</w:t>
                  </w:r>
                </w:p>
              </w:tc>
              <w:tc>
                <w:tcPr>
                  <w:tcW w:w="566" w:type="pct"/>
                  <w:vAlign w:val="center"/>
                </w:tcPr>
                <w:p w14:paraId="02D5E584">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供应商3</w:t>
                  </w:r>
                </w:p>
              </w:tc>
              <w:tc>
                <w:tcPr>
                  <w:tcW w:w="565" w:type="pct"/>
                  <w:vAlign w:val="center"/>
                </w:tcPr>
                <w:p w14:paraId="1F879401">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供应商4</w:t>
                  </w:r>
                </w:p>
              </w:tc>
            </w:tr>
            <w:tr w14:paraId="14FB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232" w:type="pct"/>
                  <w:vMerge w:val="restart"/>
                  <w:vAlign w:val="center"/>
                </w:tcPr>
                <w:p w14:paraId="1A27281F">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1</w:t>
                  </w:r>
                </w:p>
              </w:tc>
              <w:tc>
                <w:tcPr>
                  <w:tcW w:w="659" w:type="pct"/>
                  <w:vMerge w:val="restart"/>
                  <w:tcBorders>
                    <w:right w:val="single" w:color="auto" w:sz="4" w:space="0"/>
                  </w:tcBorders>
                  <w:vAlign w:val="center"/>
                </w:tcPr>
                <w:p w14:paraId="2628DBF2">
                  <w:pPr>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商务实质性响应审查</w:t>
                  </w:r>
                </w:p>
              </w:tc>
              <w:tc>
                <w:tcPr>
                  <w:tcW w:w="1845" w:type="pct"/>
                  <w:tcBorders>
                    <w:left w:val="single" w:color="auto" w:sz="4" w:space="0"/>
                  </w:tcBorders>
                  <w:vAlign w:val="center"/>
                </w:tcPr>
                <w:p w14:paraId="247AD06F">
                  <w:pPr>
                    <w:spacing w:line="240" w:lineRule="auto"/>
                    <w:ind w:firstLine="0" w:firstLineChars="0"/>
                    <w:jc w:val="both"/>
                    <w:rPr>
                      <w:rFonts w:hint="eastAsia" w:ascii="仿宋" w:hAnsi="仿宋" w:eastAsia="仿宋" w:cstheme="minorEastAsia"/>
                      <w:color w:val="auto"/>
                      <w:highlight w:val="none"/>
                    </w:rPr>
                  </w:pPr>
                  <w:r>
                    <w:rPr>
                      <w:rFonts w:hint="eastAsia" w:ascii="仿宋" w:hAnsi="仿宋" w:eastAsia="仿宋" w:cstheme="minorEastAsia"/>
                      <w:color w:val="auto"/>
                      <w:highlight w:val="none"/>
                    </w:rPr>
                    <w:t>具有有效的法</w:t>
                  </w:r>
                  <w:r>
                    <w:rPr>
                      <w:rFonts w:hint="eastAsia" w:ascii="仿宋" w:hAnsi="仿宋" w:eastAsia="仿宋" w:cstheme="minorEastAsia"/>
                      <w:color w:val="auto"/>
                      <w:highlight w:val="none"/>
                      <w:lang w:eastAsia="zh-CN"/>
                    </w:rPr>
                    <w:t>定代表人身份</w:t>
                  </w:r>
                  <w:r>
                    <w:rPr>
                      <w:rFonts w:hint="eastAsia" w:ascii="仿宋" w:hAnsi="仿宋" w:eastAsia="仿宋" w:cstheme="minorEastAsia"/>
                      <w:color w:val="auto"/>
                      <w:highlight w:val="none"/>
                    </w:rPr>
                    <w:t>证明或有效的</w:t>
                  </w:r>
                  <w:r>
                    <w:rPr>
                      <w:rFonts w:hint="eastAsia" w:ascii="仿宋" w:hAnsi="仿宋" w:eastAsia="仿宋" w:cstheme="minorEastAsia"/>
                      <w:color w:val="auto"/>
                      <w:highlight w:val="none"/>
                      <w:lang w:eastAsia="zh-CN"/>
                    </w:rPr>
                    <w:t>法定代表人</w:t>
                  </w:r>
                  <w:r>
                    <w:rPr>
                      <w:rFonts w:hint="eastAsia" w:ascii="仿宋" w:hAnsi="仿宋" w:eastAsia="仿宋" w:cstheme="minorEastAsia"/>
                      <w:color w:val="auto"/>
                      <w:highlight w:val="none"/>
                    </w:rPr>
                    <w:t>授权委托书</w:t>
                  </w:r>
                </w:p>
              </w:tc>
              <w:tc>
                <w:tcPr>
                  <w:tcW w:w="566" w:type="pct"/>
                </w:tcPr>
                <w:p w14:paraId="3D73DA27">
                  <w:pPr>
                    <w:spacing w:line="240" w:lineRule="auto"/>
                    <w:ind w:firstLine="480"/>
                    <w:rPr>
                      <w:rFonts w:ascii="仿宋" w:hAnsi="仿宋" w:eastAsia="仿宋" w:cstheme="minorEastAsia"/>
                      <w:color w:val="auto"/>
                      <w:highlight w:val="none"/>
                    </w:rPr>
                  </w:pPr>
                </w:p>
              </w:tc>
              <w:tc>
                <w:tcPr>
                  <w:tcW w:w="566" w:type="pct"/>
                </w:tcPr>
                <w:p w14:paraId="0C73E25D">
                  <w:pPr>
                    <w:spacing w:line="240" w:lineRule="auto"/>
                    <w:ind w:firstLine="480"/>
                    <w:rPr>
                      <w:rFonts w:ascii="仿宋" w:hAnsi="仿宋" w:eastAsia="仿宋" w:cstheme="minorEastAsia"/>
                      <w:color w:val="auto"/>
                      <w:highlight w:val="none"/>
                    </w:rPr>
                  </w:pPr>
                </w:p>
              </w:tc>
              <w:tc>
                <w:tcPr>
                  <w:tcW w:w="566" w:type="pct"/>
                </w:tcPr>
                <w:p w14:paraId="6F8DE05A">
                  <w:pPr>
                    <w:spacing w:line="240" w:lineRule="auto"/>
                    <w:ind w:firstLine="480"/>
                    <w:rPr>
                      <w:rFonts w:ascii="仿宋" w:hAnsi="仿宋" w:eastAsia="仿宋" w:cstheme="minorEastAsia"/>
                      <w:color w:val="auto"/>
                      <w:highlight w:val="none"/>
                    </w:rPr>
                  </w:pPr>
                </w:p>
              </w:tc>
              <w:tc>
                <w:tcPr>
                  <w:tcW w:w="565" w:type="pct"/>
                </w:tcPr>
                <w:p w14:paraId="4EC0FE63">
                  <w:pPr>
                    <w:spacing w:line="240" w:lineRule="auto"/>
                    <w:ind w:firstLine="480"/>
                    <w:rPr>
                      <w:rFonts w:ascii="仿宋" w:hAnsi="仿宋" w:eastAsia="仿宋" w:cstheme="minorEastAsia"/>
                      <w:color w:val="auto"/>
                      <w:highlight w:val="none"/>
                    </w:rPr>
                  </w:pPr>
                </w:p>
              </w:tc>
            </w:tr>
            <w:tr w14:paraId="10C54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32" w:type="pct"/>
                  <w:vMerge w:val="continue"/>
                  <w:vAlign w:val="center"/>
                </w:tcPr>
                <w:p w14:paraId="08F2D5C7">
                  <w:pPr>
                    <w:spacing w:line="240" w:lineRule="auto"/>
                    <w:ind w:firstLine="240" w:firstLineChars="100"/>
                    <w:jc w:val="center"/>
                    <w:rPr>
                      <w:rFonts w:ascii="仿宋" w:hAnsi="仿宋" w:eastAsia="仿宋" w:cstheme="minorEastAsia"/>
                      <w:color w:val="auto"/>
                      <w:highlight w:val="none"/>
                    </w:rPr>
                  </w:pPr>
                </w:p>
              </w:tc>
              <w:tc>
                <w:tcPr>
                  <w:tcW w:w="659" w:type="pct"/>
                  <w:vMerge w:val="continue"/>
                  <w:tcBorders>
                    <w:right w:val="single" w:color="auto" w:sz="4" w:space="0"/>
                  </w:tcBorders>
                  <w:vAlign w:val="center"/>
                </w:tcPr>
                <w:p w14:paraId="2B1974E6">
                  <w:pPr>
                    <w:spacing w:line="240" w:lineRule="auto"/>
                    <w:ind w:firstLine="0" w:firstLineChars="0"/>
                    <w:rPr>
                      <w:rFonts w:ascii="仿宋" w:hAnsi="仿宋" w:eastAsia="仿宋" w:cstheme="minorEastAsia"/>
                      <w:color w:val="auto"/>
                      <w:highlight w:val="none"/>
                    </w:rPr>
                  </w:pPr>
                </w:p>
              </w:tc>
              <w:tc>
                <w:tcPr>
                  <w:tcW w:w="1845" w:type="pct"/>
                  <w:tcBorders>
                    <w:left w:val="single" w:color="auto" w:sz="4" w:space="0"/>
                  </w:tcBorders>
                  <w:vAlign w:val="center"/>
                </w:tcPr>
                <w:p w14:paraId="302CBC23">
                  <w:pPr>
                    <w:spacing w:line="240" w:lineRule="auto"/>
                    <w:ind w:firstLine="0" w:firstLineChars="0"/>
                    <w:jc w:val="both"/>
                    <w:rPr>
                      <w:rFonts w:hint="eastAsia" w:ascii="仿宋" w:hAnsi="仿宋" w:eastAsia="仿宋" w:cstheme="minorEastAsia"/>
                      <w:color w:val="auto"/>
                      <w:highlight w:val="none"/>
                    </w:rPr>
                  </w:pPr>
                  <w:r>
                    <w:rPr>
                      <w:rFonts w:hint="eastAsia" w:ascii="仿宋" w:hAnsi="仿宋" w:eastAsia="仿宋" w:cstheme="minorEastAsia"/>
                      <w:color w:val="auto"/>
                      <w:highlight w:val="none"/>
                    </w:rPr>
                    <w:t>服务期、服务地点满足采购文件要求</w:t>
                  </w:r>
                </w:p>
              </w:tc>
              <w:tc>
                <w:tcPr>
                  <w:tcW w:w="566" w:type="pct"/>
                </w:tcPr>
                <w:p w14:paraId="031BCFFF">
                  <w:pPr>
                    <w:spacing w:line="240" w:lineRule="auto"/>
                    <w:ind w:firstLine="480"/>
                    <w:rPr>
                      <w:rFonts w:ascii="仿宋" w:hAnsi="仿宋" w:eastAsia="仿宋" w:cstheme="minorEastAsia"/>
                      <w:color w:val="auto"/>
                      <w:highlight w:val="none"/>
                    </w:rPr>
                  </w:pPr>
                </w:p>
              </w:tc>
              <w:tc>
                <w:tcPr>
                  <w:tcW w:w="566" w:type="pct"/>
                </w:tcPr>
                <w:p w14:paraId="221077CE">
                  <w:pPr>
                    <w:spacing w:line="240" w:lineRule="auto"/>
                    <w:ind w:firstLine="480"/>
                    <w:rPr>
                      <w:rFonts w:ascii="仿宋" w:hAnsi="仿宋" w:eastAsia="仿宋" w:cstheme="minorEastAsia"/>
                      <w:color w:val="auto"/>
                      <w:highlight w:val="none"/>
                    </w:rPr>
                  </w:pPr>
                </w:p>
              </w:tc>
              <w:tc>
                <w:tcPr>
                  <w:tcW w:w="566" w:type="pct"/>
                </w:tcPr>
                <w:p w14:paraId="232ADE2A">
                  <w:pPr>
                    <w:spacing w:line="240" w:lineRule="auto"/>
                    <w:ind w:firstLine="480"/>
                    <w:rPr>
                      <w:rFonts w:ascii="仿宋" w:hAnsi="仿宋" w:eastAsia="仿宋" w:cstheme="minorEastAsia"/>
                      <w:color w:val="auto"/>
                      <w:highlight w:val="none"/>
                    </w:rPr>
                  </w:pPr>
                </w:p>
              </w:tc>
              <w:tc>
                <w:tcPr>
                  <w:tcW w:w="565" w:type="pct"/>
                </w:tcPr>
                <w:p w14:paraId="1C64091B">
                  <w:pPr>
                    <w:spacing w:line="240" w:lineRule="auto"/>
                    <w:ind w:firstLine="480"/>
                    <w:rPr>
                      <w:rFonts w:ascii="仿宋" w:hAnsi="仿宋" w:eastAsia="仿宋" w:cstheme="minorEastAsia"/>
                      <w:color w:val="auto"/>
                      <w:highlight w:val="none"/>
                    </w:rPr>
                  </w:pPr>
                </w:p>
              </w:tc>
            </w:tr>
            <w:tr w14:paraId="522B1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32" w:type="pct"/>
                  <w:vMerge w:val="continue"/>
                  <w:vAlign w:val="center"/>
                </w:tcPr>
                <w:p w14:paraId="4EDD186F">
                  <w:pPr>
                    <w:spacing w:line="240" w:lineRule="auto"/>
                    <w:ind w:firstLine="240" w:firstLineChars="100"/>
                    <w:jc w:val="center"/>
                    <w:rPr>
                      <w:rFonts w:ascii="仿宋" w:hAnsi="仿宋" w:eastAsia="仿宋" w:cstheme="minorEastAsia"/>
                      <w:color w:val="auto"/>
                      <w:highlight w:val="none"/>
                    </w:rPr>
                  </w:pPr>
                </w:p>
              </w:tc>
              <w:tc>
                <w:tcPr>
                  <w:tcW w:w="659" w:type="pct"/>
                  <w:vMerge w:val="continue"/>
                  <w:tcBorders>
                    <w:right w:val="single" w:color="auto" w:sz="4" w:space="0"/>
                  </w:tcBorders>
                  <w:vAlign w:val="center"/>
                </w:tcPr>
                <w:p w14:paraId="3FD0B7B3">
                  <w:pPr>
                    <w:spacing w:line="240" w:lineRule="auto"/>
                    <w:ind w:firstLine="0" w:firstLineChars="0"/>
                    <w:rPr>
                      <w:rFonts w:ascii="仿宋" w:hAnsi="仿宋" w:eastAsia="仿宋" w:cstheme="minorEastAsia"/>
                      <w:color w:val="auto"/>
                      <w:highlight w:val="none"/>
                    </w:rPr>
                  </w:pPr>
                </w:p>
              </w:tc>
              <w:tc>
                <w:tcPr>
                  <w:tcW w:w="1845" w:type="pct"/>
                  <w:tcBorders>
                    <w:left w:val="single" w:color="auto" w:sz="4" w:space="0"/>
                  </w:tcBorders>
                  <w:vAlign w:val="center"/>
                </w:tcPr>
                <w:p w14:paraId="2CF362DA">
                  <w:pPr>
                    <w:spacing w:line="240" w:lineRule="auto"/>
                    <w:ind w:firstLine="0" w:firstLineChars="0"/>
                    <w:jc w:val="both"/>
                    <w:rPr>
                      <w:rFonts w:hint="eastAsia" w:ascii="仿宋" w:hAnsi="仿宋" w:eastAsia="仿宋" w:cstheme="minorEastAsia"/>
                      <w:color w:val="auto"/>
                      <w:highlight w:val="none"/>
                    </w:rPr>
                  </w:pPr>
                  <w:r>
                    <w:rPr>
                      <w:rFonts w:hint="eastAsia" w:ascii="仿宋" w:hAnsi="仿宋" w:eastAsia="仿宋" w:cstheme="minorEastAsia"/>
                      <w:color w:val="auto"/>
                      <w:highlight w:val="none"/>
                    </w:rPr>
                    <w:t>验收标准、规范满足采购文件要求</w:t>
                  </w:r>
                </w:p>
              </w:tc>
              <w:tc>
                <w:tcPr>
                  <w:tcW w:w="566" w:type="pct"/>
                </w:tcPr>
                <w:p w14:paraId="05C9B32C">
                  <w:pPr>
                    <w:spacing w:line="240" w:lineRule="auto"/>
                    <w:ind w:firstLine="480"/>
                    <w:rPr>
                      <w:rFonts w:ascii="仿宋" w:hAnsi="仿宋" w:eastAsia="仿宋" w:cstheme="minorEastAsia"/>
                      <w:color w:val="auto"/>
                      <w:highlight w:val="none"/>
                    </w:rPr>
                  </w:pPr>
                </w:p>
              </w:tc>
              <w:tc>
                <w:tcPr>
                  <w:tcW w:w="566" w:type="pct"/>
                </w:tcPr>
                <w:p w14:paraId="14ACFA16">
                  <w:pPr>
                    <w:spacing w:line="240" w:lineRule="auto"/>
                    <w:ind w:firstLine="480"/>
                    <w:rPr>
                      <w:rFonts w:ascii="仿宋" w:hAnsi="仿宋" w:eastAsia="仿宋" w:cstheme="minorEastAsia"/>
                      <w:color w:val="auto"/>
                      <w:highlight w:val="none"/>
                    </w:rPr>
                  </w:pPr>
                </w:p>
              </w:tc>
              <w:tc>
                <w:tcPr>
                  <w:tcW w:w="566" w:type="pct"/>
                </w:tcPr>
                <w:p w14:paraId="1D8837D9">
                  <w:pPr>
                    <w:spacing w:line="240" w:lineRule="auto"/>
                    <w:ind w:firstLine="480"/>
                    <w:rPr>
                      <w:rFonts w:ascii="仿宋" w:hAnsi="仿宋" w:eastAsia="仿宋" w:cstheme="minorEastAsia"/>
                      <w:color w:val="auto"/>
                      <w:highlight w:val="none"/>
                    </w:rPr>
                  </w:pPr>
                </w:p>
              </w:tc>
              <w:tc>
                <w:tcPr>
                  <w:tcW w:w="565" w:type="pct"/>
                </w:tcPr>
                <w:p w14:paraId="5C23C726">
                  <w:pPr>
                    <w:spacing w:line="240" w:lineRule="auto"/>
                    <w:ind w:firstLine="480"/>
                    <w:rPr>
                      <w:rFonts w:ascii="仿宋" w:hAnsi="仿宋" w:eastAsia="仿宋" w:cstheme="minorEastAsia"/>
                      <w:color w:val="auto"/>
                      <w:highlight w:val="none"/>
                    </w:rPr>
                  </w:pPr>
                </w:p>
              </w:tc>
            </w:tr>
            <w:tr w14:paraId="49C1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2" w:type="pct"/>
                  <w:vMerge w:val="continue"/>
                  <w:vAlign w:val="center"/>
                </w:tcPr>
                <w:p w14:paraId="528D5B5A">
                  <w:pPr>
                    <w:spacing w:line="240" w:lineRule="auto"/>
                    <w:ind w:firstLine="240" w:firstLineChars="100"/>
                    <w:jc w:val="center"/>
                    <w:rPr>
                      <w:rFonts w:ascii="仿宋" w:hAnsi="仿宋" w:eastAsia="仿宋" w:cstheme="minorEastAsia"/>
                      <w:color w:val="auto"/>
                      <w:highlight w:val="none"/>
                    </w:rPr>
                  </w:pPr>
                </w:p>
              </w:tc>
              <w:tc>
                <w:tcPr>
                  <w:tcW w:w="659" w:type="pct"/>
                  <w:vMerge w:val="continue"/>
                  <w:tcBorders>
                    <w:right w:val="single" w:color="auto" w:sz="4" w:space="0"/>
                  </w:tcBorders>
                  <w:vAlign w:val="center"/>
                </w:tcPr>
                <w:p w14:paraId="17B2C82A">
                  <w:pPr>
                    <w:spacing w:line="240" w:lineRule="auto"/>
                    <w:ind w:firstLine="0" w:firstLineChars="0"/>
                    <w:rPr>
                      <w:rFonts w:ascii="仿宋" w:hAnsi="仿宋" w:eastAsia="仿宋" w:cstheme="minorEastAsia"/>
                      <w:color w:val="auto"/>
                      <w:highlight w:val="none"/>
                    </w:rPr>
                  </w:pPr>
                </w:p>
              </w:tc>
              <w:tc>
                <w:tcPr>
                  <w:tcW w:w="1845" w:type="pct"/>
                  <w:tcBorders>
                    <w:left w:val="single" w:color="auto" w:sz="4" w:space="0"/>
                  </w:tcBorders>
                  <w:vAlign w:val="center"/>
                </w:tcPr>
                <w:p w14:paraId="45C797E8">
                  <w:pPr>
                    <w:spacing w:line="240" w:lineRule="auto"/>
                    <w:ind w:firstLine="0" w:firstLineChars="0"/>
                    <w:jc w:val="both"/>
                    <w:rPr>
                      <w:rFonts w:hint="eastAsia" w:ascii="仿宋" w:hAnsi="仿宋" w:eastAsia="仿宋" w:cstheme="minorEastAsia"/>
                      <w:color w:val="auto"/>
                      <w:highlight w:val="none"/>
                    </w:rPr>
                  </w:pPr>
                  <w:r>
                    <w:rPr>
                      <w:rFonts w:hint="eastAsia" w:ascii="仿宋" w:hAnsi="仿宋" w:eastAsia="仿宋" w:cstheme="minorEastAsia"/>
                      <w:color w:val="auto"/>
                      <w:highlight w:val="none"/>
                    </w:rPr>
                    <w:t>售后服务满足采购文件要求</w:t>
                  </w:r>
                </w:p>
              </w:tc>
              <w:tc>
                <w:tcPr>
                  <w:tcW w:w="566" w:type="pct"/>
                </w:tcPr>
                <w:p w14:paraId="4DF8957F">
                  <w:pPr>
                    <w:spacing w:line="240" w:lineRule="auto"/>
                    <w:ind w:firstLine="480"/>
                    <w:rPr>
                      <w:rFonts w:ascii="仿宋" w:hAnsi="仿宋" w:eastAsia="仿宋" w:cstheme="minorEastAsia"/>
                      <w:color w:val="auto"/>
                      <w:highlight w:val="none"/>
                    </w:rPr>
                  </w:pPr>
                </w:p>
              </w:tc>
              <w:tc>
                <w:tcPr>
                  <w:tcW w:w="566" w:type="pct"/>
                </w:tcPr>
                <w:p w14:paraId="23F0FC17">
                  <w:pPr>
                    <w:spacing w:line="240" w:lineRule="auto"/>
                    <w:ind w:firstLine="480"/>
                    <w:rPr>
                      <w:rFonts w:ascii="仿宋" w:hAnsi="仿宋" w:eastAsia="仿宋" w:cstheme="minorEastAsia"/>
                      <w:color w:val="auto"/>
                      <w:highlight w:val="none"/>
                    </w:rPr>
                  </w:pPr>
                </w:p>
              </w:tc>
              <w:tc>
                <w:tcPr>
                  <w:tcW w:w="566" w:type="pct"/>
                </w:tcPr>
                <w:p w14:paraId="6D5A11E0">
                  <w:pPr>
                    <w:spacing w:line="240" w:lineRule="auto"/>
                    <w:ind w:firstLine="480"/>
                    <w:rPr>
                      <w:rFonts w:ascii="仿宋" w:hAnsi="仿宋" w:eastAsia="仿宋" w:cstheme="minorEastAsia"/>
                      <w:color w:val="auto"/>
                      <w:highlight w:val="none"/>
                    </w:rPr>
                  </w:pPr>
                </w:p>
              </w:tc>
              <w:tc>
                <w:tcPr>
                  <w:tcW w:w="565" w:type="pct"/>
                </w:tcPr>
                <w:p w14:paraId="58974FA0">
                  <w:pPr>
                    <w:spacing w:line="240" w:lineRule="auto"/>
                    <w:ind w:firstLine="480"/>
                    <w:rPr>
                      <w:rFonts w:ascii="仿宋" w:hAnsi="仿宋" w:eastAsia="仿宋" w:cstheme="minorEastAsia"/>
                      <w:color w:val="auto"/>
                      <w:highlight w:val="none"/>
                    </w:rPr>
                  </w:pPr>
                </w:p>
              </w:tc>
            </w:tr>
            <w:tr w14:paraId="52542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2" w:type="pct"/>
                  <w:vMerge w:val="continue"/>
                  <w:vAlign w:val="center"/>
                </w:tcPr>
                <w:p w14:paraId="6C3164C3">
                  <w:pPr>
                    <w:spacing w:line="240" w:lineRule="auto"/>
                    <w:ind w:firstLine="240" w:firstLineChars="100"/>
                    <w:jc w:val="center"/>
                    <w:rPr>
                      <w:rFonts w:ascii="仿宋" w:hAnsi="仿宋" w:eastAsia="仿宋" w:cstheme="minorEastAsia"/>
                      <w:color w:val="auto"/>
                      <w:highlight w:val="none"/>
                    </w:rPr>
                  </w:pPr>
                </w:p>
              </w:tc>
              <w:tc>
                <w:tcPr>
                  <w:tcW w:w="659" w:type="pct"/>
                  <w:vMerge w:val="continue"/>
                  <w:tcBorders>
                    <w:right w:val="single" w:color="auto" w:sz="4" w:space="0"/>
                  </w:tcBorders>
                  <w:vAlign w:val="center"/>
                </w:tcPr>
                <w:p w14:paraId="6ECCAB22">
                  <w:pPr>
                    <w:spacing w:line="240" w:lineRule="auto"/>
                    <w:ind w:firstLine="0" w:firstLineChars="0"/>
                    <w:rPr>
                      <w:rFonts w:ascii="仿宋" w:hAnsi="仿宋" w:eastAsia="仿宋" w:cstheme="minorEastAsia"/>
                      <w:color w:val="auto"/>
                      <w:highlight w:val="none"/>
                    </w:rPr>
                  </w:pPr>
                </w:p>
              </w:tc>
              <w:tc>
                <w:tcPr>
                  <w:tcW w:w="1845" w:type="pct"/>
                  <w:tcBorders>
                    <w:left w:val="single" w:color="auto" w:sz="4" w:space="0"/>
                  </w:tcBorders>
                  <w:vAlign w:val="center"/>
                </w:tcPr>
                <w:p w14:paraId="1B52CFF4">
                  <w:pPr>
                    <w:spacing w:line="240" w:lineRule="auto"/>
                    <w:ind w:firstLine="0" w:firstLineChars="0"/>
                    <w:jc w:val="both"/>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lang w:eastAsia="zh-CN"/>
                    </w:rPr>
                    <w:t>付款方式满足采购文件要求</w:t>
                  </w:r>
                </w:p>
              </w:tc>
              <w:tc>
                <w:tcPr>
                  <w:tcW w:w="566" w:type="pct"/>
                </w:tcPr>
                <w:p w14:paraId="2FF0818E">
                  <w:pPr>
                    <w:spacing w:line="240" w:lineRule="auto"/>
                    <w:ind w:firstLine="480"/>
                    <w:rPr>
                      <w:rFonts w:ascii="仿宋" w:hAnsi="仿宋" w:eastAsia="仿宋" w:cstheme="minorEastAsia"/>
                      <w:color w:val="auto"/>
                      <w:highlight w:val="none"/>
                    </w:rPr>
                  </w:pPr>
                </w:p>
              </w:tc>
              <w:tc>
                <w:tcPr>
                  <w:tcW w:w="566" w:type="pct"/>
                </w:tcPr>
                <w:p w14:paraId="7A986627">
                  <w:pPr>
                    <w:spacing w:line="240" w:lineRule="auto"/>
                    <w:ind w:firstLine="480"/>
                    <w:rPr>
                      <w:rFonts w:ascii="仿宋" w:hAnsi="仿宋" w:eastAsia="仿宋" w:cstheme="minorEastAsia"/>
                      <w:color w:val="auto"/>
                      <w:highlight w:val="none"/>
                    </w:rPr>
                  </w:pPr>
                </w:p>
              </w:tc>
              <w:tc>
                <w:tcPr>
                  <w:tcW w:w="566" w:type="pct"/>
                </w:tcPr>
                <w:p w14:paraId="2BDABE6D">
                  <w:pPr>
                    <w:spacing w:line="240" w:lineRule="auto"/>
                    <w:ind w:firstLine="480"/>
                    <w:rPr>
                      <w:rFonts w:ascii="仿宋" w:hAnsi="仿宋" w:eastAsia="仿宋" w:cstheme="minorEastAsia"/>
                      <w:color w:val="auto"/>
                      <w:highlight w:val="none"/>
                    </w:rPr>
                  </w:pPr>
                </w:p>
              </w:tc>
              <w:tc>
                <w:tcPr>
                  <w:tcW w:w="565" w:type="pct"/>
                </w:tcPr>
                <w:p w14:paraId="125ADA3D">
                  <w:pPr>
                    <w:spacing w:line="240" w:lineRule="auto"/>
                    <w:ind w:firstLine="480"/>
                    <w:rPr>
                      <w:rFonts w:ascii="仿宋" w:hAnsi="仿宋" w:eastAsia="仿宋" w:cstheme="minorEastAsia"/>
                      <w:color w:val="auto"/>
                      <w:highlight w:val="none"/>
                    </w:rPr>
                  </w:pPr>
                </w:p>
              </w:tc>
            </w:tr>
            <w:tr w14:paraId="240B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32" w:type="pct"/>
                  <w:vMerge w:val="continue"/>
                  <w:vAlign w:val="center"/>
                </w:tcPr>
                <w:p w14:paraId="1E50F42C">
                  <w:pPr>
                    <w:spacing w:line="240" w:lineRule="auto"/>
                    <w:ind w:firstLine="240" w:firstLineChars="100"/>
                    <w:jc w:val="center"/>
                    <w:rPr>
                      <w:rFonts w:ascii="仿宋" w:hAnsi="仿宋" w:eastAsia="仿宋" w:cstheme="minorEastAsia"/>
                      <w:color w:val="auto"/>
                      <w:highlight w:val="none"/>
                    </w:rPr>
                  </w:pPr>
                </w:p>
              </w:tc>
              <w:tc>
                <w:tcPr>
                  <w:tcW w:w="659" w:type="pct"/>
                  <w:vMerge w:val="continue"/>
                  <w:tcBorders>
                    <w:right w:val="single" w:color="auto" w:sz="4" w:space="0"/>
                  </w:tcBorders>
                  <w:vAlign w:val="center"/>
                </w:tcPr>
                <w:p w14:paraId="2374BFD9">
                  <w:pPr>
                    <w:spacing w:line="240" w:lineRule="auto"/>
                    <w:ind w:firstLine="0" w:firstLineChars="0"/>
                    <w:rPr>
                      <w:rFonts w:ascii="仿宋" w:hAnsi="仿宋" w:eastAsia="仿宋" w:cstheme="minorEastAsia"/>
                      <w:color w:val="auto"/>
                      <w:highlight w:val="none"/>
                    </w:rPr>
                  </w:pPr>
                </w:p>
              </w:tc>
              <w:tc>
                <w:tcPr>
                  <w:tcW w:w="1845" w:type="pct"/>
                  <w:tcBorders>
                    <w:left w:val="single" w:color="auto" w:sz="4" w:space="0"/>
                  </w:tcBorders>
                  <w:vAlign w:val="center"/>
                </w:tcPr>
                <w:p w14:paraId="3ADD4D27">
                  <w:pPr>
                    <w:spacing w:line="240" w:lineRule="auto"/>
                    <w:ind w:firstLine="0" w:firstLineChars="0"/>
                    <w:jc w:val="both"/>
                    <w:rPr>
                      <w:rFonts w:hint="eastAsia" w:ascii="仿宋" w:hAnsi="仿宋" w:eastAsia="仿宋" w:cstheme="minorEastAsia"/>
                      <w:color w:val="auto"/>
                      <w:highlight w:val="none"/>
                      <w:lang w:eastAsia="zh-CN"/>
                    </w:rPr>
                  </w:pPr>
                  <w:r>
                    <w:rPr>
                      <w:rStyle w:val="30"/>
                      <w:rFonts w:hint="eastAsia" w:ascii="仿宋" w:hAnsi="仿宋" w:eastAsia="仿宋" w:cs="仿宋"/>
                      <w:color w:val="auto"/>
                      <w:highlight w:val="none"/>
                    </w:rPr>
                    <w:t>履约保证金</w:t>
                  </w:r>
                  <w:r>
                    <w:rPr>
                      <w:rFonts w:hint="eastAsia" w:ascii="仿宋" w:hAnsi="仿宋" w:eastAsia="仿宋" w:cstheme="minorEastAsia"/>
                      <w:color w:val="auto"/>
                      <w:highlight w:val="none"/>
                      <w:lang w:eastAsia="zh-CN"/>
                    </w:rPr>
                    <w:t>满足采购文件要求</w:t>
                  </w:r>
                </w:p>
              </w:tc>
              <w:tc>
                <w:tcPr>
                  <w:tcW w:w="566" w:type="pct"/>
                </w:tcPr>
                <w:p w14:paraId="50E1386F">
                  <w:pPr>
                    <w:spacing w:line="240" w:lineRule="auto"/>
                    <w:ind w:firstLine="480"/>
                    <w:rPr>
                      <w:rFonts w:ascii="仿宋" w:hAnsi="仿宋" w:eastAsia="仿宋" w:cstheme="minorEastAsia"/>
                      <w:color w:val="auto"/>
                      <w:highlight w:val="none"/>
                    </w:rPr>
                  </w:pPr>
                </w:p>
              </w:tc>
              <w:tc>
                <w:tcPr>
                  <w:tcW w:w="566" w:type="pct"/>
                </w:tcPr>
                <w:p w14:paraId="458019C4">
                  <w:pPr>
                    <w:spacing w:line="240" w:lineRule="auto"/>
                    <w:ind w:firstLine="480"/>
                    <w:rPr>
                      <w:rFonts w:ascii="仿宋" w:hAnsi="仿宋" w:eastAsia="仿宋" w:cstheme="minorEastAsia"/>
                      <w:color w:val="auto"/>
                      <w:highlight w:val="none"/>
                    </w:rPr>
                  </w:pPr>
                </w:p>
              </w:tc>
              <w:tc>
                <w:tcPr>
                  <w:tcW w:w="566" w:type="pct"/>
                </w:tcPr>
                <w:p w14:paraId="09A34449">
                  <w:pPr>
                    <w:spacing w:line="240" w:lineRule="auto"/>
                    <w:ind w:firstLine="480"/>
                    <w:rPr>
                      <w:rFonts w:ascii="仿宋" w:hAnsi="仿宋" w:eastAsia="仿宋" w:cstheme="minorEastAsia"/>
                      <w:color w:val="auto"/>
                      <w:highlight w:val="none"/>
                    </w:rPr>
                  </w:pPr>
                </w:p>
              </w:tc>
              <w:tc>
                <w:tcPr>
                  <w:tcW w:w="565" w:type="pct"/>
                </w:tcPr>
                <w:p w14:paraId="59872144">
                  <w:pPr>
                    <w:spacing w:line="240" w:lineRule="auto"/>
                    <w:ind w:firstLine="480"/>
                    <w:rPr>
                      <w:rFonts w:ascii="仿宋" w:hAnsi="仿宋" w:eastAsia="仿宋" w:cstheme="minorEastAsia"/>
                      <w:color w:val="auto"/>
                      <w:highlight w:val="none"/>
                    </w:rPr>
                  </w:pPr>
                </w:p>
              </w:tc>
            </w:tr>
            <w:tr w14:paraId="6F7F4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32" w:type="pct"/>
                  <w:vMerge w:val="continue"/>
                  <w:vAlign w:val="center"/>
                </w:tcPr>
                <w:p w14:paraId="394FA348">
                  <w:pPr>
                    <w:spacing w:line="240" w:lineRule="auto"/>
                    <w:ind w:firstLine="240" w:firstLineChars="100"/>
                    <w:jc w:val="center"/>
                    <w:rPr>
                      <w:rFonts w:ascii="仿宋" w:hAnsi="仿宋" w:eastAsia="仿宋" w:cstheme="minorEastAsia"/>
                      <w:color w:val="auto"/>
                      <w:highlight w:val="none"/>
                    </w:rPr>
                  </w:pPr>
                </w:p>
              </w:tc>
              <w:tc>
                <w:tcPr>
                  <w:tcW w:w="659" w:type="pct"/>
                  <w:vMerge w:val="continue"/>
                  <w:tcBorders>
                    <w:right w:val="single" w:color="auto" w:sz="4" w:space="0"/>
                  </w:tcBorders>
                  <w:vAlign w:val="center"/>
                </w:tcPr>
                <w:p w14:paraId="211B2AF5">
                  <w:pPr>
                    <w:spacing w:line="240" w:lineRule="auto"/>
                    <w:ind w:firstLine="0" w:firstLineChars="0"/>
                    <w:rPr>
                      <w:rFonts w:ascii="仿宋" w:hAnsi="仿宋" w:eastAsia="仿宋" w:cstheme="minorEastAsia"/>
                      <w:color w:val="auto"/>
                      <w:highlight w:val="none"/>
                    </w:rPr>
                  </w:pPr>
                </w:p>
              </w:tc>
              <w:tc>
                <w:tcPr>
                  <w:tcW w:w="1845" w:type="pct"/>
                  <w:tcBorders>
                    <w:left w:val="single" w:color="auto" w:sz="4" w:space="0"/>
                  </w:tcBorders>
                  <w:vAlign w:val="center"/>
                </w:tcPr>
                <w:p w14:paraId="47DCBB99">
                  <w:pPr>
                    <w:spacing w:line="240" w:lineRule="auto"/>
                    <w:ind w:firstLine="0" w:firstLineChars="0"/>
                    <w:jc w:val="both"/>
                    <w:rPr>
                      <w:rFonts w:hint="eastAsia" w:ascii="仿宋" w:hAnsi="仿宋" w:eastAsia="仿宋" w:cstheme="minorEastAsia"/>
                      <w:color w:val="auto"/>
                      <w:highlight w:val="none"/>
                    </w:rPr>
                  </w:pPr>
                  <w:r>
                    <w:rPr>
                      <w:rFonts w:hint="eastAsia" w:ascii="仿宋" w:hAnsi="仿宋" w:eastAsia="仿宋" w:cstheme="minorEastAsia"/>
                      <w:color w:val="auto"/>
                      <w:highlight w:val="none"/>
                      <w:lang w:eastAsia="zh-CN"/>
                    </w:rPr>
                    <w:t>竞标</w:t>
                  </w:r>
                  <w:r>
                    <w:rPr>
                      <w:rFonts w:hint="eastAsia" w:ascii="仿宋" w:hAnsi="仿宋" w:eastAsia="仿宋" w:cstheme="minorEastAsia"/>
                      <w:color w:val="auto"/>
                      <w:highlight w:val="none"/>
                    </w:rPr>
                    <w:t>有效期满足采购文件要求</w:t>
                  </w:r>
                </w:p>
              </w:tc>
              <w:tc>
                <w:tcPr>
                  <w:tcW w:w="566" w:type="pct"/>
                </w:tcPr>
                <w:p w14:paraId="2BC6BDD5">
                  <w:pPr>
                    <w:spacing w:line="240" w:lineRule="auto"/>
                    <w:ind w:firstLine="480"/>
                    <w:rPr>
                      <w:rFonts w:ascii="仿宋" w:hAnsi="仿宋" w:eastAsia="仿宋" w:cstheme="minorEastAsia"/>
                      <w:color w:val="auto"/>
                      <w:highlight w:val="none"/>
                    </w:rPr>
                  </w:pPr>
                </w:p>
              </w:tc>
              <w:tc>
                <w:tcPr>
                  <w:tcW w:w="566" w:type="pct"/>
                </w:tcPr>
                <w:p w14:paraId="0D0BF38A">
                  <w:pPr>
                    <w:spacing w:line="240" w:lineRule="auto"/>
                    <w:ind w:firstLine="480"/>
                    <w:rPr>
                      <w:rFonts w:ascii="仿宋" w:hAnsi="仿宋" w:eastAsia="仿宋" w:cstheme="minorEastAsia"/>
                      <w:color w:val="auto"/>
                      <w:highlight w:val="none"/>
                    </w:rPr>
                  </w:pPr>
                </w:p>
              </w:tc>
              <w:tc>
                <w:tcPr>
                  <w:tcW w:w="566" w:type="pct"/>
                </w:tcPr>
                <w:p w14:paraId="555AE8C0">
                  <w:pPr>
                    <w:spacing w:line="240" w:lineRule="auto"/>
                    <w:ind w:firstLine="480"/>
                    <w:rPr>
                      <w:rFonts w:ascii="仿宋" w:hAnsi="仿宋" w:eastAsia="仿宋" w:cstheme="minorEastAsia"/>
                      <w:color w:val="auto"/>
                      <w:highlight w:val="none"/>
                    </w:rPr>
                  </w:pPr>
                </w:p>
              </w:tc>
              <w:tc>
                <w:tcPr>
                  <w:tcW w:w="565" w:type="pct"/>
                </w:tcPr>
                <w:p w14:paraId="0633968A">
                  <w:pPr>
                    <w:spacing w:line="240" w:lineRule="auto"/>
                    <w:ind w:firstLine="480"/>
                    <w:rPr>
                      <w:rFonts w:ascii="仿宋" w:hAnsi="仿宋" w:eastAsia="仿宋" w:cstheme="minorEastAsia"/>
                      <w:color w:val="auto"/>
                      <w:highlight w:val="none"/>
                    </w:rPr>
                  </w:pPr>
                </w:p>
              </w:tc>
            </w:tr>
            <w:tr w14:paraId="629A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232" w:type="pct"/>
                  <w:vAlign w:val="bottom"/>
                </w:tcPr>
                <w:p w14:paraId="1A9933FD">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2</w:t>
                  </w:r>
                </w:p>
              </w:tc>
              <w:tc>
                <w:tcPr>
                  <w:tcW w:w="659" w:type="pct"/>
                  <w:tcBorders>
                    <w:right w:val="single" w:color="auto" w:sz="4" w:space="0"/>
                  </w:tcBorders>
                  <w:vAlign w:val="bottom"/>
                </w:tcPr>
                <w:p w14:paraId="441EA730">
                  <w:pPr>
                    <w:spacing w:line="240" w:lineRule="auto"/>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技术符合性审查</w:t>
                  </w:r>
                </w:p>
              </w:tc>
              <w:tc>
                <w:tcPr>
                  <w:tcW w:w="1845" w:type="pct"/>
                  <w:tcBorders>
                    <w:left w:val="single" w:color="auto" w:sz="4" w:space="0"/>
                  </w:tcBorders>
                  <w:vAlign w:val="bottom"/>
                </w:tcPr>
                <w:p w14:paraId="45C4B6B9">
                  <w:pPr>
                    <w:spacing w:line="240" w:lineRule="auto"/>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采购清单及技术要求满足采购文件要求</w:t>
                  </w:r>
                </w:p>
              </w:tc>
              <w:tc>
                <w:tcPr>
                  <w:tcW w:w="566" w:type="pct"/>
                </w:tcPr>
                <w:p w14:paraId="55862ADF">
                  <w:pPr>
                    <w:spacing w:line="240" w:lineRule="auto"/>
                    <w:ind w:firstLine="480"/>
                    <w:rPr>
                      <w:rFonts w:ascii="仿宋" w:hAnsi="仿宋" w:eastAsia="仿宋" w:cstheme="minorEastAsia"/>
                      <w:color w:val="auto"/>
                      <w:highlight w:val="none"/>
                    </w:rPr>
                  </w:pPr>
                </w:p>
              </w:tc>
              <w:tc>
                <w:tcPr>
                  <w:tcW w:w="566" w:type="pct"/>
                </w:tcPr>
                <w:p w14:paraId="73246B51">
                  <w:pPr>
                    <w:spacing w:line="240" w:lineRule="auto"/>
                    <w:ind w:firstLine="480"/>
                    <w:rPr>
                      <w:rFonts w:ascii="仿宋" w:hAnsi="仿宋" w:eastAsia="仿宋" w:cstheme="minorEastAsia"/>
                      <w:color w:val="auto"/>
                      <w:highlight w:val="none"/>
                    </w:rPr>
                  </w:pPr>
                </w:p>
              </w:tc>
              <w:tc>
                <w:tcPr>
                  <w:tcW w:w="566" w:type="pct"/>
                </w:tcPr>
                <w:p w14:paraId="7FC57B6D">
                  <w:pPr>
                    <w:spacing w:line="240" w:lineRule="auto"/>
                    <w:ind w:firstLine="480"/>
                    <w:rPr>
                      <w:rFonts w:ascii="仿宋" w:hAnsi="仿宋" w:eastAsia="仿宋" w:cstheme="minorEastAsia"/>
                      <w:color w:val="auto"/>
                      <w:highlight w:val="none"/>
                    </w:rPr>
                  </w:pPr>
                </w:p>
              </w:tc>
              <w:tc>
                <w:tcPr>
                  <w:tcW w:w="565" w:type="pct"/>
                </w:tcPr>
                <w:p w14:paraId="31B9DDED">
                  <w:pPr>
                    <w:spacing w:line="240" w:lineRule="auto"/>
                    <w:ind w:firstLine="480"/>
                    <w:rPr>
                      <w:rFonts w:ascii="仿宋" w:hAnsi="仿宋" w:eastAsia="仿宋" w:cstheme="minorEastAsia"/>
                      <w:color w:val="auto"/>
                      <w:highlight w:val="none"/>
                    </w:rPr>
                  </w:pPr>
                </w:p>
              </w:tc>
            </w:tr>
            <w:tr w14:paraId="38ED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trPr>
              <w:tc>
                <w:tcPr>
                  <w:tcW w:w="232" w:type="pct"/>
                  <w:vAlign w:val="bottom"/>
                </w:tcPr>
                <w:p w14:paraId="20B5A09A">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3</w:t>
                  </w:r>
                </w:p>
              </w:tc>
              <w:tc>
                <w:tcPr>
                  <w:tcW w:w="659" w:type="pct"/>
                  <w:tcBorders>
                    <w:right w:val="single" w:color="auto" w:sz="4" w:space="0"/>
                  </w:tcBorders>
                  <w:vAlign w:val="bottom"/>
                </w:tcPr>
                <w:p w14:paraId="05D9319E">
                  <w:pPr>
                    <w:spacing w:line="240" w:lineRule="auto"/>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报价审查</w:t>
                  </w:r>
                </w:p>
              </w:tc>
              <w:tc>
                <w:tcPr>
                  <w:tcW w:w="1845" w:type="pct"/>
                  <w:tcBorders>
                    <w:left w:val="single" w:color="auto" w:sz="4" w:space="0"/>
                  </w:tcBorders>
                  <w:vAlign w:val="bottom"/>
                </w:tcPr>
                <w:p w14:paraId="082654E1">
                  <w:pPr>
                    <w:spacing w:line="240" w:lineRule="auto"/>
                    <w:ind w:firstLine="0" w:firstLineChars="0"/>
                    <w:jc w:val="both"/>
                    <w:rPr>
                      <w:rFonts w:ascii="仿宋" w:hAnsi="仿宋" w:eastAsia="仿宋" w:cstheme="minorEastAsia"/>
                      <w:color w:val="auto"/>
                      <w:highlight w:val="none"/>
                    </w:rPr>
                  </w:pPr>
                  <w:r>
                    <w:rPr>
                      <w:rFonts w:ascii="仿宋" w:hAnsi="仿宋" w:eastAsia="仿宋" w:cstheme="minorEastAsia"/>
                      <w:color w:val="auto"/>
                      <w:highlight w:val="none"/>
                    </w:rPr>
                    <w:t>异常低价审查：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566" w:type="pct"/>
                </w:tcPr>
                <w:p w14:paraId="68A8BE3C">
                  <w:pPr>
                    <w:spacing w:line="240" w:lineRule="auto"/>
                    <w:ind w:firstLine="480"/>
                    <w:rPr>
                      <w:rFonts w:ascii="仿宋" w:hAnsi="仿宋" w:eastAsia="仿宋" w:cstheme="minorEastAsia"/>
                      <w:color w:val="auto"/>
                      <w:highlight w:val="none"/>
                    </w:rPr>
                  </w:pPr>
                </w:p>
              </w:tc>
              <w:tc>
                <w:tcPr>
                  <w:tcW w:w="566" w:type="pct"/>
                </w:tcPr>
                <w:p w14:paraId="00BB36E2">
                  <w:pPr>
                    <w:spacing w:line="240" w:lineRule="auto"/>
                    <w:ind w:firstLine="480"/>
                    <w:rPr>
                      <w:rFonts w:ascii="仿宋" w:hAnsi="仿宋" w:eastAsia="仿宋" w:cstheme="minorEastAsia"/>
                      <w:color w:val="auto"/>
                      <w:highlight w:val="none"/>
                    </w:rPr>
                  </w:pPr>
                </w:p>
              </w:tc>
              <w:tc>
                <w:tcPr>
                  <w:tcW w:w="566" w:type="pct"/>
                </w:tcPr>
                <w:p w14:paraId="4E82A500">
                  <w:pPr>
                    <w:spacing w:line="240" w:lineRule="auto"/>
                    <w:ind w:firstLine="480"/>
                    <w:rPr>
                      <w:rFonts w:ascii="仿宋" w:hAnsi="仿宋" w:eastAsia="仿宋" w:cstheme="minorEastAsia"/>
                      <w:color w:val="auto"/>
                      <w:highlight w:val="none"/>
                    </w:rPr>
                  </w:pPr>
                </w:p>
              </w:tc>
              <w:tc>
                <w:tcPr>
                  <w:tcW w:w="565" w:type="pct"/>
                </w:tcPr>
                <w:p w14:paraId="770FE19A">
                  <w:pPr>
                    <w:spacing w:line="240" w:lineRule="auto"/>
                    <w:ind w:firstLine="480"/>
                    <w:rPr>
                      <w:rFonts w:ascii="仿宋" w:hAnsi="仿宋" w:eastAsia="仿宋" w:cstheme="minorEastAsia"/>
                      <w:color w:val="auto"/>
                      <w:highlight w:val="none"/>
                    </w:rPr>
                  </w:pPr>
                </w:p>
              </w:tc>
            </w:tr>
            <w:tr w14:paraId="2B98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232" w:type="pct"/>
                </w:tcPr>
                <w:p w14:paraId="0E25F988">
                  <w:pPr>
                    <w:spacing w:line="240" w:lineRule="auto"/>
                    <w:ind w:firstLine="0" w:firstLineChars="0"/>
                    <w:jc w:val="center"/>
                    <w:rPr>
                      <w:rFonts w:ascii="仿宋" w:hAnsi="仿宋" w:eastAsia="仿宋" w:cstheme="minorEastAsia"/>
                      <w:color w:val="auto"/>
                      <w:highlight w:val="none"/>
                    </w:rPr>
                  </w:pPr>
                  <w:r>
                    <w:rPr>
                      <w:rFonts w:hint="eastAsia" w:ascii="仿宋" w:hAnsi="仿宋" w:eastAsia="仿宋" w:cstheme="minorEastAsia"/>
                      <w:color w:val="auto"/>
                      <w:highlight w:val="none"/>
                    </w:rPr>
                    <w:t>4</w:t>
                  </w:r>
                </w:p>
              </w:tc>
              <w:tc>
                <w:tcPr>
                  <w:tcW w:w="659" w:type="pct"/>
                  <w:tcBorders>
                    <w:right w:val="single" w:color="auto" w:sz="4" w:space="0"/>
                  </w:tcBorders>
                </w:tcPr>
                <w:p w14:paraId="37D59245">
                  <w:pPr>
                    <w:spacing w:line="240" w:lineRule="auto"/>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无效标审查</w:t>
                  </w:r>
                </w:p>
              </w:tc>
              <w:tc>
                <w:tcPr>
                  <w:tcW w:w="1845" w:type="pct"/>
                  <w:tcBorders>
                    <w:left w:val="single" w:color="auto" w:sz="4" w:space="0"/>
                  </w:tcBorders>
                  <w:vAlign w:val="bottom"/>
                </w:tcPr>
                <w:p w14:paraId="4AF88FE7">
                  <w:pPr>
                    <w:spacing w:line="240" w:lineRule="auto"/>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按本项目</w:t>
                  </w:r>
                  <w:r>
                    <w:rPr>
                      <w:rFonts w:hint="eastAsia" w:ascii="仿宋" w:hAnsi="仿宋" w:eastAsia="仿宋" w:cstheme="minorEastAsia"/>
                      <w:color w:val="auto"/>
                      <w:highlight w:val="none"/>
                      <w:lang w:eastAsia="zh-CN"/>
                    </w:rPr>
                    <w:t>采购</w:t>
                  </w:r>
                  <w:r>
                    <w:rPr>
                      <w:rFonts w:hint="eastAsia" w:ascii="仿宋" w:hAnsi="仿宋" w:eastAsia="仿宋" w:cstheme="minorEastAsia"/>
                      <w:color w:val="auto"/>
                      <w:highlight w:val="none"/>
                    </w:rPr>
                    <w:t>文件无效标条款规定，审查是否通过</w:t>
                  </w:r>
                </w:p>
              </w:tc>
              <w:tc>
                <w:tcPr>
                  <w:tcW w:w="566" w:type="pct"/>
                </w:tcPr>
                <w:p w14:paraId="376B585C">
                  <w:pPr>
                    <w:spacing w:line="240" w:lineRule="auto"/>
                    <w:ind w:firstLine="480"/>
                    <w:rPr>
                      <w:rFonts w:ascii="仿宋" w:hAnsi="仿宋" w:eastAsia="仿宋" w:cstheme="minorEastAsia"/>
                      <w:color w:val="auto"/>
                      <w:highlight w:val="none"/>
                    </w:rPr>
                  </w:pPr>
                </w:p>
              </w:tc>
              <w:tc>
                <w:tcPr>
                  <w:tcW w:w="566" w:type="pct"/>
                </w:tcPr>
                <w:p w14:paraId="5D98075A">
                  <w:pPr>
                    <w:spacing w:line="240" w:lineRule="auto"/>
                    <w:ind w:firstLine="480"/>
                    <w:rPr>
                      <w:rFonts w:ascii="仿宋" w:hAnsi="仿宋" w:eastAsia="仿宋" w:cstheme="minorEastAsia"/>
                      <w:color w:val="auto"/>
                      <w:highlight w:val="none"/>
                    </w:rPr>
                  </w:pPr>
                </w:p>
              </w:tc>
              <w:tc>
                <w:tcPr>
                  <w:tcW w:w="566" w:type="pct"/>
                </w:tcPr>
                <w:p w14:paraId="157F6564">
                  <w:pPr>
                    <w:spacing w:line="240" w:lineRule="auto"/>
                    <w:ind w:firstLine="480"/>
                    <w:rPr>
                      <w:rFonts w:ascii="仿宋" w:hAnsi="仿宋" w:eastAsia="仿宋" w:cstheme="minorEastAsia"/>
                      <w:color w:val="auto"/>
                      <w:highlight w:val="none"/>
                    </w:rPr>
                  </w:pPr>
                </w:p>
              </w:tc>
              <w:tc>
                <w:tcPr>
                  <w:tcW w:w="565" w:type="pct"/>
                </w:tcPr>
                <w:p w14:paraId="15F409AB">
                  <w:pPr>
                    <w:spacing w:line="240" w:lineRule="auto"/>
                    <w:ind w:firstLine="480"/>
                    <w:rPr>
                      <w:rFonts w:ascii="仿宋" w:hAnsi="仿宋" w:eastAsia="仿宋" w:cstheme="minorEastAsia"/>
                      <w:color w:val="auto"/>
                      <w:highlight w:val="none"/>
                    </w:rPr>
                  </w:pPr>
                </w:p>
              </w:tc>
            </w:tr>
            <w:tr w14:paraId="4D406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2736" w:type="pct"/>
                  <w:gridSpan w:val="3"/>
                  <w:vAlign w:val="center"/>
                </w:tcPr>
                <w:p w14:paraId="04BBE76D">
                  <w:pPr>
                    <w:spacing w:line="240" w:lineRule="auto"/>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审查结论（通过或不通过）</w:t>
                  </w:r>
                </w:p>
              </w:tc>
              <w:tc>
                <w:tcPr>
                  <w:tcW w:w="566" w:type="pct"/>
                </w:tcPr>
                <w:p w14:paraId="3FD20954">
                  <w:pPr>
                    <w:spacing w:line="240" w:lineRule="auto"/>
                    <w:ind w:firstLine="480"/>
                    <w:rPr>
                      <w:rFonts w:ascii="仿宋" w:hAnsi="仿宋" w:eastAsia="仿宋" w:cstheme="minorEastAsia"/>
                      <w:color w:val="auto"/>
                      <w:highlight w:val="none"/>
                    </w:rPr>
                  </w:pPr>
                </w:p>
              </w:tc>
              <w:tc>
                <w:tcPr>
                  <w:tcW w:w="566" w:type="pct"/>
                </w:tcPr>
                <w:p w14:paraId="05F6F2DE">
                  <w:pPr>
                    <w:spacing w:line="240" w:lineRule="auto"/>
                    <w:ind w:firstLine="480"/>
                    <w:rPr>
                      <w:rFonts w:ascii="仿宋" w:hAnsi="仿宋" w:eastAsia="仿宋" w:cstheme="minorEastAsia"/>
                      <w:color w:val="auto"/>
                      <w:highlight w:val="none"/>
                    </w:rPr>
                  </w:pPr>
                </w:p>
              </w:tc>
              <w:tc>
                <w:tcPr>
                  <w:tcW w:w="566" w:type="pct"/>
                </w:tcPr>
                <w:p w14:paraId="6F967BB5">
                  <w:pPr>
                    <w:spacing w:line="240" w:lineRule="auto"/>
                    <w:ind w:firstLine="480"/>
                    <w:rPr>
                      <w:rFonts w:ascii="仿宋" w:hAnsi="仿宋" w:eastAsia="仿宋" w:cstheme="minorEastAsia"/>
                      <w:color w:val="auto"/>
                      <w:highlight w:val="none"/>
                    </w:rPr>
                  </w:pPr>
                </w:p>
              </w:tc>
              <w:tc>
                <w:tcPr>
                  <w:tcW w:w="565" w:type="pct"/>
                </w:tcPr>
                <w:p w14:paraId="41A06CF0">
                  <w:pPr>
                    <w:spacing w:line="240" w:lineRule="auto"/>
                    <w:ind w:firstLine="480"/>
                    <w:rPr>
                      <w:rFonts w:ascii="仿宋" w:hAnsi="仿宋" w:eastAsia="仿宋" w:cstheme="minorEastAsia"/>
                      <w:color w:val="auto"/>
                      <w:highlight w:val="none"/>
                    </w:rPr>
                  </w:pPr>
                </w:p>
              </w:tc>
            </w:tr>
          </w:tbl>
          <w:p w14:paraId="5937092A">
            <w:pPr>
              <w:spacing w:line="240" w:lineRule="auto"/>
              <w:ind w:firstLine="482"/>
              <w:rPr>
                <w:rFonts w:ascii="仿宋" w:hAnsi="仿宋" w:eastAsia="仿宋" w:cstheme="minorEastAsia"/>
                <w:b/>
                <w:bCs/>
                <w:color w:val="auto"/>
                <w:highlight w:val="none"/>
              </w:rPr>
            </w:pPr>
            <w:r>
              <w:rPr>
                <w:rFonts w:hint="eastAsia" w:ascii="仿宋" w:hAnsi="仿宋" w:eastAsia="仿宋" w:cstheme="minorEastAsia"/>
                <w:b/>
                <w:bCs/>
                <w:color w:val="auto"/>
                <w:highlight w:val="none"/>
              </w:rPr>
              <w:t>备注：</w:t>
            </w:r>
            <w:r>
              <w:rPr>
                <w:rFonts w:hint="eastAsia" w:ascii="仿宋" w:hAnsi="仿宋" w:eastAsia="仿宋" w:cstheme="minorEastAsia"/>
                <w:b/>
                <w:bCs/>
                <w:color w:val="auto"/>
                <w:highlight w:val="none"/>
                <w:lang w:eastAsia="zh-CN"/>
              </w:rPr>
              <w:t>供应商</w:t>
            </w:r>
            <w:r>
              <w:rPr>
                <w:rFonts w:ascii="仿宋" w:hAnsi="仿宋" w:eastAsia="仿宋" w:cstheme="minorEastAsia"/>
                <w:b/>
                <w:bCs/>
                <w:color w:val="auto"/>
                <w:highlight w:val="none"/>
              </w:rPr>
              <w:t>的报价明显低于其他通过符合性审查</w:t>
            </w:r>
            <w:r>
              <w:rPr>
                <w:rFonts w:hint="eastAsia" w:ascii="仿宋" w:hAnsi="仿宋" w:eastAsia="仿宋" w:cstheme="minorEastAsia"/>
                <w:b/>
                <w:bCs/>
                <w:color w:val="auto"/>
                <w:highlight w:val="none"/>
                <w:lang w:eastAsia="zh-CN"/>
              </w:rPr>
              <w:t>供应商</w:t>
            </w:r>
            <w:r>
              <w:rPr>
                <w:rFonts w:ascii="仿宋" w:hAnsi="仿宋" w:eastAsia="仿宋" w:cstheme="minorEastAsia"/>
                <w:b/>
                <w:bCs/>
                <w:color w:val="auto"/>
                <w:highlight w:val="none"/>
              </w:rPr>
              <w:t>的报价，有可能影响产品质量或者不能诚信履约的，应当要求其在评标现场合理的时间内提供书面说明，必要时提交相关证明材料；</w:t>
            </w:r>
            <w:r>
              <w:rPr>
                <w:rFonts w:hint="eastAsia" w:ascii="仿宋" w:hAnsi="仿宋" w:eastAsia="仿宋" w:cstheme="minorEastAsia"/>
                <w:b/>
                <w:bCs/>
                <w:color w:val="auto"/>
                <w:highlight w:val="none"/>
                <w:lang w:eastAsia="zh-CN"/>
              </w:rPr>
              <w:t>供应商</w:t>
            </w:r>
            <w:r>
              <w:rPr>
                <w:rFonts w:ascii="仿宋" w:hAnsi="仿宋" w:eastAsia="仿宋" w:cstheme="minorEastAsia"/>
                <w:b/>
                <w:bCs/>
                <w:color w:val="auto"/>
                <w:highlight w:val="none"/>
              </w:rPr>
              <w:t>不能证明其报价合理性的，评标委员会应当将其作为无效投标处理。</w:t>
            </w:r>
          </w:p>
          <w:p w14:paraId="3760D3FE">
            <w:pPr>
              <w:widowControl/>
              <w:spacing w:line="240" w:lineRule="auto"/>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rPr>
              <w:t>磋商小组</w:t>
            </w:r>
            <w:r>
              <w:rPr>
                <w:rFonts w:hint="eastAsia" w:ascii="仿宋" w:hAnsi="仿宋" w:eastAsia="仿宋" w:cstheme="minorEastAsia"/>
                <w:color w:val="auto"/>
                <w:highlight w:val="none"/>
              </w:rPr>
              <w:t>（签字）：</w:t>
            </w:r>
          </w:p>
        </w:tc>
      </w:tr>
    </w:tbl>
    <w:p w14:paraId="20584596">
      <w:pPr>
        <w:spacing w:line="400" w:lineRule="exact"/>
        <w:ind w:firstLine="484" w:firstLineChars="202"/>
        <w:rPr>
          <w:rFonts w:ascii="仿宋" w:hAnsi="仿宋" w:eastAsia="仿宋" w:cstheme="minorEastAsia"/>
          <w:color w:val="auto"/>
          <w:highlight w:val="none"/>
        </w:rPr>
        <w:sectPr>
          <w:pgSz w:w="16840" w:h="11907" w:orient="landscape"/>
          <w:pgMar w:top="1588" w:right="1304" w:bottom="1588" w:left="1304" w:header="720" w:footer="720" w:gutter="0"/>
          <w:cols w:space="425" w:num="1"/>
          <w:docGrid w:linePitch="285" w:charSpace="0"/>
        </w:sectPr>
      </w:pPr>
    </w:p>
    <w:p w14:paraId="41091C5C">
      <w:pPr>
        <w:spacing w:before="120" w:beforeLines="50"/>
        <w:ind w:firstLine="482"/>
        <w:rPr>
          <w:rFonts w:ascii="宋体" w:hAns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．评分表</w:t>
      </w:r>
    </w:p>
    <w:p w14:paraId="0C052255">
      <w:pPr>
        <w:spacing w:before="100" w:beforeAutospacing="1" w:line="240" w:lineRule="auto"/>
        <w:ind w:firstLine="0" w:firstLineChars="0"/>
        <w:jc w:val="center"/>
        <w:rPr>
          <w:rFonts w:ascii="仿宋" w:hAnsi="仿宋" w:eastAsia="仿宋" w:cs="宋体"/>
          <w:color w:val="auto"/>
          <w:highlight w:val="none"/>
        </w:rPr>
      </w:pPr>
      <w:r>
        <w:rPr>
          <w:rFonts w:hint="eastAsia" w:ascii="仿宋" w:hAnsi="仿宋" w:eastAsia="仿宋" w:cs="宋体"/>
          <w:b/>
          <w:bCs/>
          <w:color w:val="auto"/>
          <w:kern w:val="0"/>
          <w:sz w:val="36"/>
          <w:szCs w:val="36"/>
          <w:highlight w:val="none"/>
          <w:u w:val="single"/>
        </w:rPr>
        <w:t>评 分 表</w:t>
      </w:r>
    </w:p>
    <w:tbl>
      <w:tblPr>
        <w:tblStyle w:val="27"/>
        <w:tblW w:w="4698" w:type="pct"/>
        <w:jc w:val="center"/>
        <w:tblLayout w:type="fixed"/>
        <w:tblCellMar>
          <w:top w:w="0" w:type="dxa"/>
          <w:left w:w="108" w:type="dxa"/>
          <w:bottom w:w="0" w:type="dxa"/>
          <w:right w:w="108" w:type="dxa"/>
        </w:tblCellMar>
      </w:tblPr>
      <w:tblGrid>
        <w:gridCol w:w="1060"/>
        <w:gridCol w:w="1382"/>
        <w:gridCol w:w="2899"/>
        <w:gridCol w:w="1063"/>
        <w:gridCol w:w="626"/>
        <w:gridCol w:w="510"/>
        <w:gridCol w:w="385"/>
        <w:gridCol w:w="482"/>
      </w:tblGrid>
      <w:tr w14:paraId="64FC427A">
        <w:tblPrEx>
          <w:tblCellMar>
            <w:top w:w="0" w:type="dxa"/>
            <w:left w:w="108" w:type="dxa"/>
            <w:bottom w:w="0" w:type="dxa"/>
            <w:right w:w="108" w:type="dxa"/>
          </w:tblCellMar>
        </w:tblPrEx>
        <w:trPr>
          <w:trHeight w:val="80" w:hRule="atLeast"/>
          <w:jc w:val="center"/>
        </w:trPr>
        <w:tc>
          <w:tcPr>
            <w:tcW w:w="5000" w:type="pct"/>
            <w:gridSpan w:val="8"/>
            <w:tcBorders>
              <w:top w:val="nil"/>
              <w:left w:val="nil"/>
              <w:bottom w:val="nil"/>
              <w:right w:val="nil"/>
            </w:tcBorders>
            <w:shd w:val="clear" w:color="000000" w:fill="FFFFFF"/>
            <w:vAlign w:val="center"/>
          </w:tcPr>
          <w:p w14:paraId="5FD2826A">
            <w:pPr>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项目名称：</w:t>
            </w:r>
          </w:p>
        </w:tc>
      </w:tr>
      <w:tr w14:paraId="3BB511EA">
        <w:tblPrEx>
          <w:tblCellMar>
            <w:top w:w="0" w:type="dxa"/>
            <w:left w:w="108" w:type="dxa"/>
            <w:bottom w:w="0" w:type="dxa"/>
            <w:right w:w="108" w:type="dxa"/>
          </w:tblCellMar>
        </w:tblPrEx>
        <w:trPr>
          <w:trHeight w:val="80" w:hRule="atLeast"/>
          <w:jc w:val="center"/>
        </w:trPr>
        <w:tc>
          <w:tcPr>
            <w:tcW w:w="5000" w:type="pct"/>
            <w:gridSpan w:val="8"/>
            <w:tcBorders>
              <w:top w:val="nil"/>
              <w:left w:val="nil"/>
              <w:bottom w:val="nil"/>
              <w:right w:val="nil"/>
            </w:tcBorders>
            <w:shd w:val="clear" w:color="000000" w:fill="FFFFFF"/>
            <w:vAlign w:val="center"/>
          </w:tcPr>
          <w:p w14:paraId="5EA5FE70">
            <w:pPr>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项目编号：</w:t>
            </w:r>
          </w:p>
        </w:tc>
      </w:tr>
      <w:tr w14:paraId="18AC0320">
        <w:tblPrEx>
          <w:tblCellMar>
            <w:top w:w="0" w:type="dxa"/>
            <w:left w:w="108" w:type="dxa"/>
            <w:bottom w:w="0" w:type="dxa"/>
            <w:right w:w="108" w:type="dxa"/>
          </w:tblCellMar>
        </w:tblPrEx>
        <w:trPr>
          <w:trHeight w:val="420" w:hRule="atLeast"/>
          <w:jc w:val="center"/>
        </w:trPr>
        <w:tc>
          <w:tcPr>
            <w:tcW w:w="5000" w:type="pct"/>
            <w:gridSpan w:val="8"/>
            <w:tcBorders>
              <w:top w:val="nil"/>
              <w:left w:val="nil"/>
              <w:bottom w:val="nil"/>
              <w:right w:val="nil"/>
            </w:tcBorders>
            <w:shd w:val="clear" w:color="000000" w:fill="FFFFFF"/>
            <w:vAlign w:val="center"/>
          </w:tcPr>
          <w:p w14:paraId="2BCC3062">
            <w:pPr>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地点：贵州省公共资源交易中心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.X.X</w:t>
            </w:r>
          </w:p>
        </w:tc>
      </w:tr>
      <w:tr w14:paraId="0ECF08CD">
        <w:tblPrEx>
          <w:tblCellMar>
            <w:top w:w="0" w:type="dxa"/>
            <w:left w:w="108" w:type="dxa"/>
            <w:bottom w:w="0" w:type="dxa"/>
            <w:right w:w="108" w:type="dxa"/>
          </w:tblCellMar>
        </w:tblPrEx>
        <w:trPr>
          <w:trHeight w:val="739" w:hRule="atLeast"/>
          <w:jc w:val="center"/>
        </w:trPr>
        <w:tc>
          <w:tcPr>
            <w:tcW w:w="3808" w:type="pct"/>
            <w:gridSpan w:val="4"/>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14:paraId="60778FDA">
            <w:pPr>
              <w:widowControl/>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供应商名称</w:t>
            </w:r>
          </w:p>
          <w:p w14:paraId="4213A1FF">
            <w:pPr>
              <w:widowControl/>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评分项及评分标准</w:t>
            </w:r>
          </w:p>
        </w:tc>
        <w:tc>
          <w:tcPr>
            <w:tcW w:w="372" w:type="pct"/>
            <w:tcBorders>
              <w:top w:val="single" w:color="auto" w:sz="4" w:space="0"/>
              <w:left w:val="nil"/>
              <w:bottom w:val="single" w:color="auto" w:sz="4" w:space="0"/>
              <w:right w:val="single" w:color="auto" w:sz="4" w:space="0"/>
            </w:tcBorders>
            <w:shd w:val="clear" w:color="000000" w:fill="FFFFFF"/>
            <w:vAlign w:val="center"/>
          </w:tcPr>
          <w:p w14:paraId="6902597A">
            <w:pPr>
              <w:widowControl/>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w:t>
            </w:r>
          </w:p>
          <w:p w14:paraId="07635908">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303" w:type="pct"/>
            <w:tcBorders>
              <w:top w:val="single" w:color="auto" w:sz="4" w:space="0"/>
              <w:left w:val="nil"/>
              <w:bottom w:val="single" w:color="auto" w:sz="4" w:space="0"/>
              <w:right w:val="single" w:color="auto" w:sz="4" w:space="0"/>
            </w:tcBorders>
            <w:shd w:val="clear" w:color="000000" w:fill="FFFFFF"/>
            <w:vAlign w:val="center"/>
          </w:tcPr>
          <w:p w14:paraId="3A2F5540">
            <w:pPr>
              <w:widowControl/>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供应商2</w:t>
            </w:r>
          </w:p>
        </w:tc>
        <w:tc>
          <w:tcPr>
            <w:tcW w:w="228" w:type="pct"/>
            <w:tcBorders>
              <w:top w:val="single" w:color="auto" w:sz="4" w:space="0"/>
              <w:left w:val="nil"/>
              <w:bottom w:val="single" w:color="auto" w:sz="4" w:space="0"/>
              <w:right w:val="single" w:color="auto" w:sz="4" w:space="0"/>
            </w:tcBorders>
            <w:shd w:val="clear" w:color="000000" w:fill="FFFFFF"/>
            <w:vAlign w:val="center"/>
          </w:tcPr>
          <w:p w14:paraId="2C751A29">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供应商3</w:t>
            </w:r>
          </w:p>
        </w:tc>
        <w:tc>
          <w:tcPr>
            <w:tcW w:w="286" w:type="pct"/>
            <w:tcBorders>
              <w:top w:val="single" w:color="auto" w:sz="4" w:space="0"/>
              <w:left w:val="nil"/>
              <w:bottom w:val="single" w:color="auto" w:sz="4" w:space="0"/>
              <w:right w:val="single" w:color="auto" w:sz="4" w:space="0"/>
            </w:tcBorders>
            <w:shd w:val="clear" w:color="000000" w:fill="FFFFFF"/>
            <w:vAlign w:val="center"/>
          </w:tcPr>
          <w:p w14:paraId="268755EC">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供应商4</w:t>
            </w:r>
          </w:p>
        </w:tc>
      </w:tr>
      <w:tr w14:paraId="3FB5D192">
        <w:tblPrEx>
          <w:tblCellMar>
            <w:top w:w="0" w:type="dxa"/>
            <w:left w:w="108" w:type="dxa"/>
            <w:bottom w:w="0" w:type="dxa"/>
            <w:right w:w="108" w:type="dxa"/>
          </w:tblCellMar>
        </w:tblPrEx>
        <w:trPr>
          <w:trHeight w:val="594" w:hRule="atLeast"/>
          <w:jc w:val="center"/>
        </w:trPr>
        <w:tc>
          <w:tcPr>
            <w:tcW w:w="630" w:type="pct"/>
            <w:tcBorders>
              <w:top w:val="nil"/>
              <w:left w:val="single" w:color="auto" w:sz="4" w:space="0"/>
              <w:bottom w:val="single" w:color="auto" w:sz="4" w:space="0"/>
              <w:right w:val="single" w:color="auto" w:sz="4" w:space="0"/>
            </w:tcBorders>
            <w:shd w:val="clear" w:color="000000" w:fill="FFFFFF"/>
            <w:vAlign w:val="top"/>
          </w:tcPr>
          <w:p w14:paraId="1F4F0A6E">
            <w:pPr>
              <w:widowControl/>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报价评审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0分）</w:t>
            </w:r>
          </w:p>
        </w:tc>
        <w:tc>
          <w:tcPr>
            <w:tcW w:w="2546" w:type="pct"/>
            <w:gridSpan w:val="2"/>
            <w:tcBorders>
              <w:top w:val="nil"/>
              <w:left w:val="nil"/>
              <w:bottom w:val="single" w:color="auto" w:sz="4" w:space="0"/>
              <w:right w:val="single" w:color="auto" w:sz="4" w:space="0"/>
            </w:tcBorders>
            <w:shd w:val="clear" w:color="000000" w:fill="FFFFFF"/>
            <w:vAlign w:val="top"/>
          </w:tcPr>
          <w:p w14:paraId="718F32B1">
            <w:pPr>
              <w:widowControl/>
              <w:spacing w:line="240" w:lineRule="auto"/>
              <w:ind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投标报价得分＝（评标基准价／有效投标报价）×10%×100</w:t>
            </w:r>
          </w:p>
          <w:p w14:paraId="61C7F5DB">
            <w:pPr>
              <w:pStyle w:val="2"/>
              <w:ind w:left="0" w:leftChars="0" w:firstLine="0" w:firstLineChars="0"/>
              <w:rPr>
                <w:rFonts w:hint="eastAsia"/>
              </w:rPr>
            </w:pPr>
            <w:r>
              <w:rPr>
                <w:rFonts w:hint="eastAsia" w:ascii="仿宋" w:hAnsi="仿宋" w:eastAsia="仿宋" w:cs="仿宋"/>
                <w:color w:val="auto"/>
                <w:highlight w:val="none"/>
                <w:lang w:val="en-US" w:eastAsia="zh-CN"/>
              </w:rPr>
              <w:t>（满足采购文 件要求且价格最低的投  标报价为评标基准价）</w:t>
            </w:r>
          </w:p>
        </w:tc>
        <w:tc>
          <w:tcPr>
            <w:tcW w:w="632" w:type="pct"/>
            <w:tcBorders>
              <w:top w:val="nil"/>
              <w:left w:val="nil"/>
              <w:bottom w:val="single" w:color="auto" w:sz="4" w:space="0"/>
              <w:right w:val="single" w:color="auto" w:sz="4" w:space="0"/>
            </w:tcBorders>
            <w:shd w:val="clear" w:color="000000" w:fill="FFFFFF"/>
            <w:vAlign w:val="top"/>
          </w:tcPr>
          <w:p w14:paraId="04D42CE9">
            <w:pPr>
              <w:widowControl/>
              <w:spacing w:line="24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0分</w:t>
            </w:r>
          </w:p>
        </w:tc>
        <w:tc>
          <w:tcPr>
            <w:tcW w:w="372" w:type="pct"/>
            <w:tcBorders>
              <w:top w:val="nil"/>
              <w:left w:val="nil"/>
              <w:bottom w:val="single" w:color="auto" w:sz="4" w:space="0"/>
              <w:right w:val="single" w:color="auto" w:sz="4" w:space="0"/>
            </w:tcBorders>
            <w:shd w:val="clear" w:color="000000" w:fill="FFFFFF"/>
            <w:vAlign w:val="center"/>
          </w:tcPr>
          <w:p w14:paraId="1FAC5D01">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6FF78AFA">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1AC606C9">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6419D808">
            <w:pPr>
              <w:widowControl/>
              <w:spacing w:line="240" w:lineRule="auto"/>
              <w:ind w:firstLine="0" w:firstLineChars="0"/>
              <w:jc w:val="both"/>
              <w:rPr>
                <w:rFonts w:ascii="仿宋" w:hAnsi="仿宋" w:eastAsia="仿宋" w:cs="仿宋"/>
                <w:color w:val="auto"/>
                <w:highlight w:val="yellow"/>
              </w:rPr>
            </w:pPr>
          </w:p>
        </w:tc>
      </w:tr>
      <w:tr w14:paraId="1112910B">
        <w:tblPrEx>
          <w:tblCellMar>
            <w:top w:w="0" w:type="dxa"/>
            <w:left w:w="108" w:type="dxa"/>
            <w:bottom w:w="0" w:type="dxa"/>
            <w:right w:w="108" w:type="dxa"/>
          </w:tblCellMar>
        </w:tblPrEx>
        <w:trPr>
          <w:trHeight w:val="3300" w:hRule="atLeast"/>
          <w:jc w:val="center"/>
        </w:trPr>
        <w:tc>
          <w:tcPr>
            <w:tcW w:w="630" w:type="pct"/>
            <w:vMerge w:val="restart"/>
            <w:tcBorders>
              <w:top w:val="nil"/>
              <w:left w:val="single" w:color="auto" w:sz="4" w:space="0"/>
              <w:right w:val="single" w:color="auto" w:sz="4" w:space="0"/>
            </w:tcBorders>
            <w:shd w:val="clear" w:color="000000" w:fill="FFFFFF"/>
            <w:vAlign w:val="center"/>
          </w:tcPr>
          <w:p w14:paraId="050E8CBE">
            <w:pPr>
              <w:widowControl/>
              <w:spacing w:line="240" w:lineRule="auto"/>
              <w:ind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技术</w:t>
            </w:r>
            <w:r>
              <w:rPr>
                <w:rFonts w:hint="eastAsia" w:ascii="仿宋" w:hAnsi="仿宋" w:eastAsia="仿宋" w:cs="仿宋"/>
                <w:color w:val="auto"/>
                <w:highlight w:val="none"/>
                <w:lang w:val="en-US" w:eastAsia="zh-CN"/>
              </w:rPr>
              <w:t>评审</w:t>
            </w:r>
          </w:p>
          <w:p w14:paraId="42C00C11">
            <w:pPr>
              <w:widowControl/>
              <w:spacing w:line="240" w:lineRule="auto"/>
              <w:ind w:firstLine="0" w:firstLineChars="0"/>
              <w:jc w:val="both"/>
              <w:rPr>
                <w:rFonts w:ascii="仿宋" w:hAnsi="仿宋" w:eastAsia="仿宋" w:cs="仿宋"/>
                <w:color w:val="auto"/>
                <w:highlight w:val="none"/>
              </w:rPr>
            </w:pPr>
            <w:r>
              <w:rPr>
                <w:rFonts w:ascii="仿宋" w:hAnsi="仿宋" w:eastAsia="仿宋" w:cs="仿宋"/>
                <w:color w:val="auto"/>
                <w:highlight w:val="none"/>
              </w:rPr>
              <w:t>(</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分</w:t>
            </w:r>
            <w:r>
              <w:rPr>
                <w:rFonts w:ascii="仿宋" w:hAnsi="仿宋" w:eastAsia="仿宋" w:cs="仿宋"/>
                <w:color w:val="auto"/>
                <w:highlight w:val="none"/>
              </w:rPr>
              <w:t>）</w:t>
            </w:r>
          </w:p>
        </w:tc>
        <w:tc>
          <w:tcPr>
            <w:tcW w:w="821" w:type="pct"/>
            <w:tcBorders>
              <w:top w:val="nil"/>
              <w:left w:val="nil"/>
              <w:bottom w:val="single" w:color="auto" w:sz="4" w:space="0"/>
              <w:right w:val="single" w:color="auto" w:sz="4" w:space="0"/>
            </w:tcBorders>
            <w:shd w:val="clear" w:color="000000" w:fill="FFFFFF"/>
            <w:vAlign w:val="center"/>
          </w:tcPr>
          <w:p w14:paraId="3A2B7E32">
            <w:pPr>
              <w:widowControl/>
              <w:spacing w:line="240"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政策</w:t>
            </w:r>
            <w:r>
              <w:rPr>
                <w:rFonts w:hint="eastAsia" w:ascii="仿宋" w:hAnsi="仿宋" w:eastAsia="仿宋" w:cs="仿宋"/>
                <w:color w:val="auto"/>
                <w:highlight w:val="none"/>
                <w:lang w:eastAsia="zh-CN"/>
              </w:rPr>
              <w:t>背景及重点分析</w:t>
            </w:r>
          </w:p>
        </w:tc>
        <w:tc>
          <w:tcPr>
            <w:tcW w:w="1724" w:type="pct"/>
            <w:tcBorders>
              <w:top w:val="nil"/>
              <w:left w:val="nil"/>
              <w:bottom w:val="single" w:color="auto" w:sz="4" w:space="0"/>
              <w:right w:val="single" w:color="auto" w:sz="4" w:space="0"/>
            </w:tcBorders>
            <w:shd w:val="clear" w:color="000000" w:fill="FFFFFF"/>
            <w:vAlign w:val="center"/>
          </w:tcPr>
          <w:p w14:paraId="0024B087">
            <w:pPr>
              <w:snapToGrid w:val="0"/>
              <w:spacing w:before="0" w:beforeAutospacing="0" w:after="0" w:afterAutospacing="0" w:line="240" w:lineRule="auto"/>
              <w:ind w:firstLine="0" w:firstLineChars="0"/>
              <w:textAlignment w:val="baseline"/>
              <w:rPr>
                <w:rFonts w:hint="eastAsia" w:ascii="仿宋" w:hAnsi="仿宋" w:eastAsia="仿宋"/>
                <w:b w:val="0"/>
                <w:i w:val="0"/>
                <w:caps w:val="0"/>
                <w:color w:val="auto"/>
                <w:spacing w:val="0"/>
                <w:w w:val="100"/>
                <w:sz w:val="24"/>
                <w:szCs w:val="21"/>
                <w:highlight w:val="none"/>
                <w:lang w:eastAsia="zh-CN"/>
              </w:rPr>
            </w:pPr>
            <w:r>
              <w:rPr>
                <w:rFonts w:hint="eastAsia" w:ascii="仿宋" w:hAnsi="仿宋" w:eastAsia="仿宋"/>
                <w:b w:val="0"/>
                <w:i w:val="0"/>
                <w:caps w:val="0"/>
                <w:color w:val="auto"/>
                <w:spacing w:val="0"/>
                <w:w w:val="100"/>
                <w:sz w:val="24"/>
                <w:szCs w:val="21"/>
                <w:highlight w:val="none"/>
              </w:rPr>
              <w:t>磋商小组根据</w:t>
            </w:r>
            <w:r>
              <w:rPr>
                <w:rFonts w:hint="eastAsia" w:ascii="仿宋" w:hAnsi="仿宋" w:eastAsia="仿宋"/>
                <w:b w:val="0"/>
                <w:i w:val="0"/>
                <w:caps w:val="0"/>
                <w:color w:val="auto"/>
                <w:spacing w:val="0"/>
                <w:w w:val="100"/>
                <w:sz w:val="24"/>
                <w:szCs w:val="24"/>
                <w:highlight w:val="none"/>
              </w:rPr>
              <w:t>供应商提供的</w:t>
            </w:r>
            <w:r>
              <w:rPr>
                <w:rFonts w:hint="eastAsia" w:ascii="仿宋" w:hAnsi="仿宋" w:eastAsia="仿宋"/>
                <w:b w:val="0"/>
                <w:i w:val="0"/>
                <w:caps w:val="0"/>
                <w:color w:val="auto"/>
                <w:spacing w:val="0"/>
                <w:w w:val="100"/>
                <w:sz w:val="24"/>
                <w:szCs w:val="21"/>
                <w:highlight w:val="none"/>
                <w:lang w:val="en-US" w:eastAsia="zh-CN"/>
              </w:rPr>
              <w:t>政策</w:t>
            </w:r>
            <w:r>
              <w:rPr>
                <w:rFonts w:hint="eastAsia" w:ascii="仿宋" w:hAnsi="仿宋" w:eastAsia="仿宋"/>
                <w:b w:val="0"/>
                <w:i w:val="0"/>
                <w:caps w:val="0"/>
                <w:color w:val="auto"/>
                <w:spacing w:val="0"/>
                <w:w w:val="100"/>
                <w:sz w:val="24"/>
                <w:szCs w:val="21"/>
                <w:highlight w:val="none"/>
              </w:rPr>
              <w:t>背景及</w:t>
            </w:r>
            <w:r>
              <w:rPr>
                <w:rFonts w:hint="eastAsia" w:ascii="仿宋" w:hAnsi="仿宋" w:eastAsia="仿宋"/>
                <w:b w:val="0"/>
                <w:i w:val="0"/>
                <w:caps w:val="0"/>
                <w:color w:val="auto"/>
                <w:spacing w:val="0"/>
                <w:w w:val="100"/>
                <w:sz w:val="24"/>
                <w:szCs w:val="21"/>
                <w:highlight w:val="none"/>
                <w:lang w:val="en-US" w:eastAsia="zh-CN"/>
              </w:rPr>
              <w:t>工作</w:t>
            </w:r>
            <w:r>
              <w:rPr>
                <w:rFonts w:hint="eastAsia" w:ascii="仿宋" w:hAnsi="仿宋" w:eastAsia="仿宋"/>
                <w:b w:val="0"/>
                <w:i w:val="0"/>
                <w:caps w:val="0"/>
                <w:color w:val="auto"/>
                <w:spacing w:val="0"/>
                <w:w w:val="100"/>
                <w:sz w:val="24"/>
                <w:szCs w:val="21"/>
                <w:highlight w:val="none"/>
              </w:rPr>
              <w:t>重点分析的详尽程度、合理性、可行性等方面进行综合评审：</w:t>
            </w:r>
          </w:p>
          <w:p w14:paraId="33449C1D">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b w:val="0"/>
                <w:i w:val="0"/>
                <w:caps w:val="0"/>
                <w:color w:val="auto"/>
                <w:spacing w:val="0"/>
                <w:w w:val="100"/>
                <w:sz w:val="24"/>
                <w:highlight w:val="none"/>
              </w:rPr>
            </w:pPr>
            <w:r>
              <w:rPr>
                <w:rFonts w:hint="eastAsia" w:ascii="仿宋" w:hAnsi="仿宋" w:eastAsia="仿宋" w:cs="仿宋"/>
                <w:b w:val="0"/>
                <w:i w:val="0"/>
                <w:caps w:val="0"/>
                <w:color w:val="auto"/>
                <w:spacing w:val="0"/>
                <w:w w:val="100"/>
                <w:sz w:val="24"/>
                <w:highlight w:val="none"/>
              </w:rPr>
              <w:t>内容完整、合理、可操作性强得</w:t>
            </w:r>
            <w:r>
              <w:rPr>
                <w:rFonts w:hint="eastAsia" w:ascii="仿宋" w:hAnsi="仿宋" w:eastAsia="仿宋" w:cs="仿宋"/>
                <w:b w:val="0"/>
                <w:i w:val="0"/>
                <w:caps w:val="0"/>
                <w:color w:val="auto"/>
                <w:spacing w:val="0"/>
                <w:w w:val="100"/>
                <w:sz w:val="24"/>
                <w:highlight w:val="none"/>
                <w:lang w:val="en-US" w:eastAsia="zh-CN"/>
              </w:rPr>
              <w:t>4</w:t>
            </w:r>
            <w:r>
              <w:rPr>
                <w:rFonts w:hint="eastAsia" w:ascii="仿宋" w:hAnsi="仿宋" w:eastAsia="仿宋" w:cs="仿宋"/>
                <w:b w:val="0"/>
                <w:i w:val="0"/>
                <w:caps w:val="0"/>
                <w:color w:val="auto"/>
                <w:spacing w:val="0"/>
                <w:w w:val="100"/>
                <w:sz w:val="24"/>
                <w:highlight w:val="none"/>
              </w:rPr>
              <w:t>-</w:t>
            </w:r>
            <w:r>
              <w:rPr>
                <w:rFonts w:hint="eastAsia" w:ascii="仿宋" w:hAnsi="仿宋" w:eastAsia="仿宋" w:cs="仿宋"/>
                <w:b w:val="0"/>
                <w:i w:val="0"/>
                <w:caps w:val="0"/>
                <w:color w:val="auto"/>
                <w:spacing w:val="0"/>
                <w:w w:val="100"/>
                <w:sz w:val="24"/>
                <w:highlight w:val="none"/>
                <w:lang w:val="en-US" w:eastAsia="zh-CN"/>
              </w:rPr>
              <w:t>2.5</w:t>
            </w:r>
            <w:r>
              <w:rPr>
                <w:rFonts w:hint="eastAsia" w:ascii="仿宋" w:hAnsi="仿宋" w:eastAsia="仿宋" w:cs="仿宋"/>
                <w:b w:val="0"/>
                <w:i w:val="0"/>
                <w:caps w:val="0"/>
                <w:color w:val="auto"/>
                <w:spacing w:val="0"/>
                <w:w w:val="100"/>
                <w:sz w:val="24"/>
                <w:highlight w:val="none"/>
              </w:rPr>
              <w:t>分，内容基本完整合理、可操作性一般得</w:t>
            </w:r>
            <w:r>
              <w:rPr>
                <w:rFonts w:hint="eastAsia" w:ascii="仿宋" w:hAnsi="仿宋" w:eastAsia="仿宋" w:cs="仿宋"/>
                <w:b w:val="0"/>
                <w:i w:val="0"/>
                <w:caps w:val="0"/>
                <w:color w:val="auto"/>
                <w:spacing w:val="0"/>
                <w:w w:val="100"/>
                <w:sz w:val="24"/>
                <w:highlight w:val="none"/>
                <w:lang w:val="en-US" w:eastAsia="zh-CN"/>
              </w:rPr>
              <w:t>2.4</w:t>
            </w:r>
            <w:r>
              <w:rPr>
                <w:rFonts w:hint="eastAsia" w:ascii="仿宋" w:hAnsi="仿宋" w:eastAsia="仿宋" w:cs="仿宋"/>
                <w:b w:val="0"/>
                <w:i w:val="0"/>
                <w:caps w:val="0"/>
                <w:color w:val="auto"/>
                <w:spacing w:val="0"/>
                <w:w w:val="100"/>
                <w:sz w:val="24"/>
                <w:highlight w:val="none"/>
              </w:rPr>
              <w:t>-1.</w:t>
            </w:r>
            <w:r>
              <w:rPr>
                <w:rFonts w:hint="eastAsia" w:ascii="仿宋" w:hAnsi="仿宋" w:eastAsia="仿宋" w:cs="仿宋"/>
                <w:b w:val="0"/>
                <w:i w:val="0"/>
                <w:caps w:val="0"/>
                <w:color w:val="auto"/>
                <w:spacing w:val="0"/>
                <w:w w:val="100"/>
                <w:sz w:val="24"/>
                <w:highlight w:val="none"/>
                <w:lang w:val="en-US" w:eastAsia="zh-CN"/>
              </w:rPr>
              <w:t>3</w:t>
            </w:r>
            <w:r>
              <w:rPr>
                <w:rFonts w:hint="eastAsia" w:ascii="仿宋" w:hAnsi="仿宋" w:eastAsia="仿宋" w:cs="仿宋"/>
                <w:b w:val="0"/>
                <w:i w:val="0"/>
                <w:caps w:val="0"/>
                <w:color w:val="auto"/>
                <w:spacing w:val="0"/>
                <w:w w:val="100"/>
                <w:sz w:val="24"/>
                <w:highlight w:val="none"/>
              </w:rPr>
              <w:t>分，</w:t>
            </w:r>
          </w:p>
          <w:p w14:paraId="40B35941">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b w:val="0"/>
                <w:i w:val="0"/>
                <w:caps w:val="0"/>
                <w:color w:val="auto"/>
                <w:spacing w:val="0"/>
                <w:w w:val="100"/>
                <w:sz w:val="24"/>
                <w:highlight w:val="none"/>
              </w:rPr>
            </w:pPr>
            <w:r>
              <w:rPr>
                <w:rFonts w:hint="eastAsia" w:ascii="仿宋" w:hAnsi="仿宋" w:eastAsia="仿宋"/>
                <w:color w:val="auto"/>
                <w:szCs w:val="21"/>
                <w:highlight w:val="none"/>
                <w:lang w:eastAsia="zh-CN"/>
              </w:rPr>
              <w:t>内容基本完整、可操作性较差得</w:t>
            </w:r>
            <w:r>
              <w:rPr>
                <w:rFonts w:hint="eastAsia" w:ascii="仿宋" w:hAnsi="仿宋" w:eastAsia="仿宋" w:cs="仿宋"/>
                <w:b w:val="0"/>
                <w:i w:val="0"/>
                <w:caps w:val="0"/>
                <w:color w:val="auto"/>
                <w:spacing w:val="0"/>
                <w:w w:val="100"/>
                <w:sz w:val="24"/>
                <w:highlight w:val="none"/>
              </w:rPr>
              <w:t>1.</w:t>
            </w:r>
            <w:r>
              <w:rPr>
                <w:rFonts w:hint="eastAsia" w:ascii="仿宋" w:hAnsi="仿宋" w:eastAsia="仿宋" w:cs="仿宋"/>
                <w:b w:val="0"/>
                <w:i w:val="0"/>
                <w:caps w:val="0"/>
                <w:color w:val="auto"/>
                <w:spacing w:val="0"/>
                <w:w w:val="100"/>
                <w:sz w:val="24"/>
                <w:highlight w:val="none"/>
                <w:lang w:val="en-US" w:eastAsia="zh-CN"/>
              </w:rPr>
              <w:t>2-</w:t>
            </w:r>
            <w:r>
              <w:rPr>
                <w:rFonts w:hint="eastAsia" w:ascii="仿宋" w:hAnsi="仿宋" w:eastAsia="仿宋" w:cs="仿宋"/>
                <w:b w:val="0"/>
                <w:i w:val="0"/>
                <w:caps w:val="0"/>
                <w:color w:val="auto"/>
                <w:spacing w:val="0"/>
                <w:w w:val="100"/>
                <w:sz w:val="24"/>
                <w:highlight w:val="none"/>
              </w:rPr>
              <w:t>0.1分，</w:t>
            </w:r>
          </w:p>
          <w:p w14:paraId="546C1B53">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b w:val="0"/>
                <w:i w:val="0"/>
                <w:caps w:val="0"/>
                <w:color w:val="auto"/>
                <w:spacing w:val="0"/>
                <w:w w:val="100"/>
                <w:sz w:val="24"/>
                <w:highlight w:val="none"/>
              </w:rPr>
              <w:t>未提供得0分。</w:t>
            </w:r>
          </w:p>
        </w:tc>
        <w:tc>
          <w:tcPr>
            <w:tcW w:w="632" w:type="pct"/>
            <w:tcBorders>
              <w:top w:val="nil"/>
              <w:left w:val="nil"/>
              <w:bottom w:val="single" w:color="auto" w:sz="4" w:space="0"/>
              <w:right w:val="single" w:color="auto" w:sz="4" w:space="0"/>
            </w:tcBorders>
            <w:shd w:val="clear" w:color="000000" w:fill="FFFFFF"/>
            <w:vAlign w:val="center"/>
          </w:tcPr>
          <w:p w14:paraId="52FE461D">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372" w:type="pct"/>
            <w:tcBorders>
              <w:top w:val="nil"/>
              <w:left w:val="nil"/>
              <w:bottom w:val="single" w:color="auto" w:sz="4" w:space="0"/>
              <w:right w:val="single" w:color="auto" w:sz="4" w:space="0"/>
            </w:tcBorders>
            <w:shd w:val="clear" w:color="000000" w:fill="FFFFFF"/>
            <w:vAlign w:val="center"/>
          </w:tcPr>
          <w:p w14:paraId="60060277">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282E4566">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1930B6E6">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51F3DA6E">
            <w:pPr>
              <w:widowControl/>
              <w:spacing w:line="240" w:lineRule="auto"/>
              <w:ind w:firstLine="0" w:firstLineChars="0"/>
              <w:jc w:val="both"/>
              <w:rPr>
                <w:rFonts w:ascii="仿宋" w:hAnsi="仿宋" w:eastAsia="仿宋" w:cs="仿宋"/>
                <w:color w:val="auto"/>
                <w:highlight w:val="yellow"/>
              </w:rPr>
            </w:pPr>
          </w:p>
        </w:tc>
      </w:tr>
      <w:tr w14:paraId="2F1FDE30">
        <w:tblPrEx>
          <w:tblCellMar>
            <w:top w:w="0" w:type="dxa"/>
            <w:left w:w="108" w:type="dxa"/>
            <w:bottom w:w="0" w:type="dxa"/>
            <w:right w:w="108" w:type="dxa"/>
          </w:tblCellMar>
        </w:tblPrEx>
        <w:trPr>
          <w:trHeight w:val="4320" w:hRule="atLeast"/>
          <w:jc w:val="center"/>
        </w:trPr>
        <w:tc>
          <w:tcPr>
            <w:tcW w:w="630" w:type="pct"/>
            <w:vMerge w:val="continue"/>
            <w:tcBorders>
              <w:left w:val="single" w:color="auto" w:sz="4" w:space="0"/>
              <w:right w:val="single" w:color="auto" w:sz="4" w:space="0"/>
            </w:tcBorders>
            <w:shd w:val="clear" w:color="000000" w:fill="FFFFFF"/>
            <w:vAlign w:val="center"/>
          </w:tcPr>
          <w:p w14:paraId="4F95427F">
            <w:pPr>
              <w:spacing w:line="240" w:lineRule="auto"/>
              <w:ind w:firstLine="480"/>
              <w:jc w:val="both"/>
              <w:rPr>
                <w:rFonts w:ascii="仿宋" w:hAnsi="仿宋" w:eastAsia="仿宋" w:cs="仿宋"/>
                <w:color w:val="auto"/>
                <w:highlight w:val="none"/>
              </w:rPr>
            </w:pPr>
          </w:p>
        </w:tc>
        <w:tc>
          <w:tcPr>
            <w:tcW w:w="821" w:type="pct"/>
            <w:tcBorders>
              <w:top w:val="single" w:color="auto" w:sz="4" w:space="0"/>
              <w:left w:val="nil"/>
              <w:bottom w:val="single" w:color="auto" w:sz="4" w:space="0"/>
              <w:right w:val="single" w:color="auto" w:sz="4" w:space="0"/>
            </w:tcBorders>
            <w:shd w:val="clear" w:color="000000" w:fill="FFFFFF"/>
            <w:vAlign w:val="center"/>
          </w:tcPr>
          <w:p w14:paraId="64E84534">
            <w:pPr>
              <w:widowControl/>
              <w:spacing w:line="240" w:lineRule="auto"/>
              <w:ind w:firstLine="0" w:firstLineChars="0"/>
              <w:jc w:val="center"/>
              <w:rPr>
                <w:rFonts w:hint="default"/>
                <w:color w:val="auto"/>
                <w:highlight w:val="none"/>
                <w:lang w:val="en-US" w:eastAsia="zh-CN"/>
              </w:rPr>
            </w:pPr>
            <w:r>
              <w:rPr>
                <w:rFonts w:hint="eastAsia"/>
                <w:color w:val="auto"/>
                <w:highlight w:val="none"/>
                <w:lang w:val="en-US" w:eastAsia="zh-CN"/>
              </w:rPr>
              <w:t>评估和规划技术方案</w:t>
            </w:r>
          </w:p>
        </w:tc>
        <w:tc>
          <w:tcPr>
            <w:tcW w:w="1724" w:type="pct"/>
            <w:tcBorders>
              <w:top w:val="single" w:color="auto" w:sz="4" w:space="0"/>
              <w:left w:val="nil"/>
              <w:bottom w:val="single" w:color="auto" w:sz="4" w:space="0"/>
              <w:right w:val="single" w:color="auto" w:sz="4" w:space="0"/>
            </w:tcBorders>
            <w:shd w:val="clear" w:color="000000" w:fill="FFFFFF"/>
            <w:vAlign w:val="center"/>
          </w:tcPr>
          <w:p w14:paraId="2672891E">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default"/>
                <w:color w:val="auto"/>
                <w:highlight w:val="none"/>
                <w:lang w:val="en-US"/>
              </w:rPr>
            </w:pPr>
            <w:r>
              <w:rPr>
                <w:rFonts w:hint="eastAsia" w:ascii="Times New Roman" w:hAnsi="Times New Roman" w:cs="Times New Roman"/>
                <w:color w:val="auto"/>
                <w:highlight w:val="none"/>
                <w:lang w:val="en-US" w:eastAsia="zh-CN"/>
              </w:rPr>
              <w:t>磋商小组根据</w:t>
            </w:r>
            <w:r>
              <w:rPr>
                <w:rFonts w:hint="eastAsia" w:ascii="仿宋" w:hAnsi="仿宋" w:eastAsia="仿宋"/>
                <w:b w:val="0"/>
                <w:i w:val="0"/>
                <w:caps w:val="0"/>
                <w:color w:val="auto"/>
                <w:spacing w:val="0"/>
                <w:w w:val="100"/>
                <w:sz w:val="24"/>
                <w:szCs w:val="24"/>
                <w:highlight w:val="none"/>
              </w:rPr>
              <w:t>供应商提供的</w:t>
            </w:r>
            <w:r>
              <w:rPr>
                <w:rFonts w:hint="eastAsia" w:ascii="Times New Roman" w:hAnsi="Times New Roman" w:cs="Times New Roman"/>
                <w:color w:val="auto"/>
                <w:highlight w:val="none"/>
                <w:lang w:val="en-US" w:eastAsia="zh-CN"/>
              </w:rPr>
              <w:t>实施评估和十五五规划技术方案，包括现状进展分析、评估思路、规划目标和主要内容等，对</w:t>
            </w:r>
            <w:r>
              <w:rPr>
                <w:rFonts w:hint="eastAsia"/>
                <w:color w:val="auto"/>
                <w:highlight w:val="none"/>
                <w:lang w:val="en-US" w:eastAsia="zh-CN"/>
              </w:rPr>
              <w:t xml:space="preserve">内容的详尽程度、合理性、可行性等方面进 行综合评审： </w:t>
            </w:r>
            <w:r>
              <w:rPr>
                <w:rFonts w:hint="eastAsia" w:ascii="仿宋" w:hAnsi="仿宋" w:eastAsia="仿宋" w:cs="仿宋"/>
                <w:b w:val="0"/>
                <w:i w:val="0"/>
                <w:caps w:val="0"/>
                <w:color w:val="auto"/>
                <w:spacing w:val="0"/>
                <w:w w:val="100"/>
                <w:sz w:val="24"/>
                <w:highlight w:val="none"/>
                <w:lang w:val="en-US" w:eastAsia="zh-CN"/>
              </w:rPr>
              <w:t>内容完整、合理、可操作性强得</w:t>
            </w:r>
            <w:r>
              <w:rPr>
                <w:rFonts w:hint="eastAsia" w:ascii="仿宋" w:hAnsi="仿宋" w:eastAsia="仿宋" w:cs="仿宋"/>
                <w:color w:val="auto"/>
                <w:highlight w:val="none"/>
                <w:lang w:val="en-US" w:eastAsia="zh-CN"/>
              </w:rPr>
              <w:t>8-4.9分；</w:t>
            </w:r>
            <w:r>
              <w:rPr>
                <w:rFonts w:hint="eastAsia" w:ascii="仿宋" w:hAnsi="仿宋" w:eastAsia="仿宋" w:cs="仿宋"/>
                <w:b w:val="0"/>
                <w:i w:val="0"/>
                <w:caps w:val="0"/>
                <w:color w:val="auto"/>
                <w:spacing w:val="0"/>
                <w:w w:val="100"/>
                <w:sz w:val="24"/>
                <w:highlight w:val="none"/>
                <w:lang w:val="en-US" w:eastAsia="zh-CN"/>
              </w:rPr>
              <w:t>内容基本完整合理、可操作性一般得</w:t>
            </w:r>
            <w:r>
              <w:rPr>
                <w:rFonts w:hint="eastAsia" w:ascii="仿宋" w:hAnsi="仿宋" w:eastAsia="仿宋" w:cs="仿宋"/>
                <w:color w:val="auto"/>
                <w:highlight w:val="none"/>
                <w:lang w:val="en-US" w:eastAsia="zh-CN"/>
              </w:rPr>
              <w:t>4.8-2.5分；内容基本完整、可操作性较差得2.4-0.1分；未提供得0分。</w:t>
            </w:r>
          </w:p>
        </w:tc>
        <w:tc>
          <w:tcPr>
            <w:tcW w:w="632" w:type="pct"/>
            <w:tcBorders>
              <w:top w:val="nil"/>
              <w:left w:val="nil"/>
              <w:bottom w:val="single" w:color="auto" w:sz="4" w:space="0"/>
              <w:right w:val="single" w:color="auto" w:sz="4" w:space="0"/>
            </w:tcBorders>
            <w:shd w:val="clear" w:color="000000" w:fill="FFFFFF"/>
            <w:vAlign w:val="center"/>
          </w:tcPr>
          <w:p w14:paraId="272B1F28">
            <w:pPr>
              <w:widowControl/>
              <w:spacing w:line="240" w:lineRule="auto"/>
              <w:ind w:firstLine="0" w:firstLineChars="0"/>
              <w:jc w:val="center"/>
              <w:rPr>
                <w:rFonts w:hint="default" w:ascii="仿宋" w:hAnsi="仿宋" w:eastAsia="仿宋" w:cs="仿宋"/>
                <w:color w:val="auto"/>
                <w:highlight w:val="none"/>
                <w:lang w:val="en-US"/>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分</w:t>
            </w:r>
          </w:p>
        </w:tc>
        <w:tc>
          <w:tcPr>
            <w:tcW w:w="372" w:type="pct"/>
            <w:tcBorders>
              <w:top w:val="nil"/>
              <w:left w:val="nil"/>
              <w:bottom w:val="single" w:color="auto" w:sz="4" w:space="0"/>
              <w:right w:val="single" w:color="auto" w:sz="4" w:space="0"/>
            </w:tcBorders>
            <w:shd w:val="clear" w:color="000000" w:fill="FFFFFF"/>
            <w:vAlign w:val="center"/>
          </w:tcPr>
          <w:p w14:paraId="2E18EB01">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2A1C20A4">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504A42DE">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5EC251C3">
            <w:pPr>
              <w:widowControl/>
              <w:spacing w:line="240" w:lineRule="auto"/>
              <w:ind w:firstLine="0" w:firstLineChars="0"/>
              <w:jc w:val="both"/>
              <w:rPr>
                <w:rFonts w:ascii="仿宋" w:hAnsi="仿宋" w:eastAsia="仿宋" w:cs="仿宋"/>
                <w:color w:val="auto"/>
                <w:highlight w:val="yellow"/>
              </w:rPr>
            </w:pPr>
          </w:p>
        </w:tc>
      </w:tr>
      <w:tr w14:paraId="16C059D9">
        <w:tblPrEx>
          <w:tblCellMar>
            <w:top w:w="0" w:type="dxa"/>
            <w:left w:w="108" w:type="dxa"/>
            <w:bottom w:w="0" w:type="dxa"/>
            <w:right w:w="108" w:type="dxa"/>
          </w:tblCellMar>
        </w:tblPrEx>
        <w:trPr>
          <w:trHeight w:val="1356" w:hRule="atLeast"/>
          <w:jc w:val="center"/>
        </w:trPr>
        <w:tc>
          <w:tcPr>
            <w:tcW w:w="630" w:type="pct"/>
            <w:vMerge w:val="continue"/>
            <w:tcBorders>
              <w:left w:val="single" w:color="auto" w:sz="4" w:space="0"/>
              <w:right w:val="single" w:color="auto" w:sz="4" w:space="0"/>
            </w:tcBorders>
            <w:shd w:val="clear" w:color="000000" w:fill="FFFFFF"/>
            <w:vAlign w:val="center"/>
          </w:tcPr>
          <w:p w14:paraId="601DF502">
            <w:pPr>
              <w:widowControl/>
              <w:spacing w:line="240" w:lineRule="auto"/>
              <w:ind w:firstLine="0" w:firstLineChars="0"/>
              <w:jc w:val="both"/>
              <w:rPr>
                <w:rFonts w:ascii="仿宋" w:hAnsi="仿宋" w:eastAsia="仿宋" w:cs="仿宋"/>
                <w:color w:val="auto"/>
                <w:highlight w:val="none"/>
              </w:rPr>
            </w:pPr>
          </w:p>
        </w:tc>
        <w:tc>
          <w:tcPr>
            <w:tcW w:w="821" w:type="pct"/>
            <w:tcBorders>
              <w:top w:val="single" w:color="auto" w:sz="4" w:space="0"/>
              <w:left w:val="nil"/>
              <w:bottom w:val="single" w:color="auto" w:sz="4" w:space="0"/>
              <w:right w:val="single" w:color="auto" w:sz="4" w:space="0"/>
            </w:tcBorders>
            <w:shd w:val="clear" w:color="000000" w:fill="FFFFFF"/>
            <w:vAlign w:val="center"/>
          </w:tcPr>
          <w:p w14:paraId="29F7CB32">
            <w:pPr>
              <w:widowControl/>
              <w:spacing w:line="240" w:lineRule="auto"/>
              <w:ind w:firstLine="0" w:firstLineChars="0"/>
              <w:rPr>
                <w:rFonts w:ascii="仿宋" w:hAnsi="仿宋" w:eastAsia="仿宋" w:cs="仿宋"/>
                <w:color w:val="auto"/>
                <w:highlight w:val="none"/>
              </w:rPr>
            </w:pPr>
            <w:r>
              <w:rPr>
                <w:rFonts w:ascii="仿宋" w:hAnsi="仿宋" w:eastAsia="仿宋" w:cs="仿宋"/>
                <w:color w:val="auto"/>
                <w:highlight w:val="none"/>
              </w:rPr>
              <w:t>保障措施</w:t>
            </w:r>
          </w:p>
        </w:tc>
        <w:tc>
          <w:tcPr>
            <w:tcW w:w="1724" w:type="pct"/>
            <w:tcBorders>
              <w:top w:val="single" w:color="auto" w:sz="4" w:space="0"/>
              <w:left w:val="nil"/>
              <w:bottom w:val="single" w:color="auto" w:sz="4" w:space="0"/>
              <w:right w:val="single" w:color="auto" w:sz="4" w:space="0"/>
            </w:tcBorders>
            <w:shd w:val="clear" w:color="000000" w:fill="FFFFFF"/>
            <w:vAlign w:val="center"/>
          </w:tcPr>
          <w:p w14:paraId="01783E45">
            <w:pPr>
              <w:keepNext w:val="0"/>
              <w:keepLines w:val="0"/>
              <w:pageBreakBefore w:val="0"/>
              <w:widowControl/>
              <w:kinsoku/>
              <w:wordWrap w:val="0"/>
              <w:overflowPunct/>
              <w:topLinePunct/>
              <w:autoSpaceDE/>
              <w:autoSpaceDN/>
              <w:bidi w:val="0"/>
              <w:adjustRightInd/>
              <w:snapToGrid/>
              <w:spacing w:before="0" w:beforeAutospacing="0" w:after="0" w:afterAutospacing="0" w:line="240" w:lineRule="auto"/>
              <w:ind w:firstLine="0" w:firstLineChars="0"/>
              <w:textAlignment w:val="auto"/>
              <w:rPr>
                <w:rFonts w:ascii="仿宋" w:hAnsi="仿宋" w:eastAsia="仿宋"/>
                <w:b w:val="0"/>
                <w:i w:val="0"/>
                <w:caps w:val="0"/>
                <w:color w:val="auto"/>
                <w:spacing w:val="0"/>
                <w:w w:val="100"/>
                <w:sz w:val="24"/>
                <w:szCs w:val="24"/>
                <w:highlight w:val="none"/>
              </w:rPr>
            </w:pPr>
            <w:r>
              <w:rPr>
                <w:rFonts w:hint="eastAsia" w:ascii="仿宋" w:hAnsi="仿宋" w:eastAsia="仿宋"/>
                <w:b w:val="0"/>
                <w:i w:val="0"/>
                <w:caps w:val="0"/>
                <w:color w:val="auto"/>
                <w:spacing w:val="0"/>
                <w:w w:val="100"/>
                <w:sz w:val="24"/>
                <w:szCs w:val="24"/>
                <w:highlight w:val="none"/>
              </w:rPr>
              <w:t>磋商小组根据供应商提供的保障措施内容的详尽程度、合理性、可行性等方面进行综合评审：</w:t>
            </w:r>
          </w:p>
          <w:p w14:paraId="5A7F5976">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highlight w:val="none"/>
                <w:lang w:val="en-US" w:eastAsia="zh-CN"/>
              </w:rPr>
              <w:t>内容完整、合理、可操作性强得</w:t>
            </w:r>
            <w:r>
              <w:rPr>
                <w:rFonts w:hint="eastAsia" w:ascii="仿宋" w:hAnsi="仿宋" w:eastAsia="仿宋" w:cs="仿宋"/>
                <w:b w:val="0"/>
                <w:i w:val="0"/>
                <w:caps w:val="0"/>
                <w:color w:val="auto"/>
                <w:spacing w:val="0"/>
                <w:w w:val="100"/>
                <w:sz w:val="24"/>
                <w:szCs w:val="24"/>
                <w:highlight w:val="none"/>
                <w:lang w:val="en-US" w:eastAsia="zh-CN"/>
              </w:rPr>
              <w:t>3</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sz w:val="24"/>
                <w:szCs w:val="24"/>
                <w:highlight w:val="none"/>
                <w:lang w:val="en-US" w:eastAsia="zh-CN"/>
              </w:rPr>
              <w:t>1.9</w:t>
            </w:r>
            <w:r>
              <w:rPr>
                <w:rFonts w:hint="eastAsia" w:ascii="仿宋" w:hAnsi="仿宋" w:eastAsia="仿宋" w:cs="仿宋"/>
                <w:b w:val="0"/>
                <w:i w:val="0"/>
                <w:caps w:val="0"/>
                <w:color w:val="auto"/>
                <w:spacing w:val="0"/>
                <w:w w:val="100"/>
                <w:sz w:val="24"/>
                <w:szCs w:val="24"/>
                <w:highlight w:val="none"/>
              </w:rPr>
              <w:t>分，</w:t>
            </w:r>
          </w:p>
          <w:p w14:paraId="5BBCCF82">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b w:val="0"/>
                <w:i w:val="0"/>
                <w:caps w:val="0"/>
                <w:color w:val="auto"/>
                <w:spacing w:val="0"/>
                <w:w w:val="100"/>
                <w:sz w:val="24"/>
                <w:highlight w:val="none"/>
                <w:lang w:val="en-US" w:eastAsia="zh-CN"/>
              </w:rPr>
              <w:t>内容基本完整合理、 可操作性一般得</w:t>
            </w:r>
            <w:r>
              <w:rPr>
                <w:rFonts w:hint="eastAsia" w:ascii="仿宋" w:hAnsi="仿宋" w:eastAsia="仿宋" w:cs="仿宋"/>
                <w:b w:val="0"/>
                <w:i w:val="0"/>
                <w:caps w:val="0"/>
                <w:color w:val="auto"/>
                <w:spacing w:val="0"/>
                <w:w w:val="100"/>
                <w:sz w:val="24"/>
                <w:szCs w:val="24"/>
                <w:highlight w:val="none"/>
                <w:lang w:val="en-US" w:eastAsia="zh-CN"/>
              </w:rPr>
              <w:t>1.8</w:t>
            </w:r>
            <w:r>
              <w:rPr>
                <w:rFonts w:hint="eastAsia" w:ascii="仿宋" w:hAnsi="仿宋" w:eastAsia="仿宋" w:cs="仿宋"/>
                <w:b w:val="0"/>
                <w:i w:val="0"/>
                <w:caps w:val="0"/>
                <w:color w:val="auto"/>
                <w:spacing w:val="0"/>
                <w:w w:val="100"/>
                <w:sz w:val="24"/>
                <w:szCs w:val="24"/>
                <w:highlight w:val="none"/>
              </w:rPr>
              <w:t>-</w:t>
            </w:r>
            <w:r>
              <w:rPr>
                <w:rFonts w:hint="eastAsia" w:ascii="仿宋" w:hAnsi="仿宋" w:eastAsia="仿宋" w:cs="仿宋"/>
                <w:b w:val="0"/>
                <w:i w:val="0"/>
                <w:caps w:val="0"/>
                <w:color w:val="auto"/>
                <w:spacing w:val="0"/>
                <w:w w:val="100"/>
                <w:sz w:val="24"/>
                <w:szCs w:val="24"/>
                <w:highlight w:val="none"/>
                <w:lang w:val="en-US" w:eastAsia="zh-CN"/>
              </w:rPr>
              <w:t>0.9</w:t>
            </w:r>
            <w:r>
              <w:rPr>
                <w:rFonts w:hint="eastAsia" w:ascii="仿宋" w:hAnsi="仿宋" w:eastAsia="仿宋" w:cs="仿宋"/>
                <w:b w:val="0"/>
                <w:i w:val="0"/>
                <w:caps w:val="0"/>
                <w:color w:val="auto"/>
                <w:spacing w:val="0"/>
                <w:w w:val="100"/>
                <w:sz w:val="24"/>
                <w:szCs w:val="24"/>
                <w:highlight w:val="none"/>
              </w:rPr>
              <w:t>分，</w:t>
            </w:r>
          </w:p>
          <w:p w14:paraId="50F0F7D0">
            <w:pPr>
              <w:keepNext w:val="0"/>
              <w:keepLines w:val="0"/>
              <w:pageBreakBefore w:val="0"/>
              <w:widowControl/>
              <w:kinsoku/>
              <w:wordWrap w:val="0"/>
              <w:overflowPunct/>
              <w:topLinePunct/>
              <w:autoSpaceDE/>
              <w:autoSpaceDN/>
              <w:bidi w:val="0"/>
              <w:adjustRightInd/>
              <w:snapToGrid/>
              <w:spacing w:line="24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内容基本完整、可操 作性较差</w:t>
            </w:r>
            <w:r>
              <w:rPr>
                <w:rFonts w:hint="eastAsia" w:ascii="仿宋" w:hAnsi="仿宋" w:eastAsia="仿宋" w:cs="仿宋"/>
                <w:b w:val="0"/>
                <w:i w:val="0"/>
                <w:caps w:val="0"/>
                <w:color w:val="auto"/>
                <w:spacing w:val="0"/>
                <w:w w:val="100"/>
                <w:sz w:val="24"/>
                <w:highlight w:val="none"/>
                <w:lang w:val="en-US" w:eastAsia="zh-CN"/>
              </w:rPr>
              <w:t>得</w:t>
            </w:r>
            <w:r>
              <w:rPr>
                <w:rFonts w:hint="eastAsia" w:ascii="仿宋" w:hAnsi="仿宋" w:eastAsia="仿宋" w:cs="仿宋"/>
                <w:b w:val="0"/>
                <w:i w:val="0"/>
                <w:caps w:val="0"/>
                <w:color w:val="auto"/>
                <w:spacing w:val="0"/>
                <w:w w:val="100"/>
                <w:sz w:val="24"/>
                <w:szCs w:val="24"/>
                <w:highlight w:val="none"/>
                <w:lang w:val="en-US" w:eastAsia="zh-CN"/>
              </w:rPr>
              <w:t>0.8</w:t>
            </w:r>
            <w:r>
              <w:rPr>
                <w:rFonts w:hint="eastAsia" w:ascii="仿宋" w:hAnsi="仿宋" w:eastAsia="仿宋" w:cs="仿宋"/>
                <w:b w:val="0"/>
                <w:i w:val="0"/>
                <w:caps w:val="0"/>
                <w:color w:val="auto"/>
                <w:spacing w:val="0"/>
                <w:w w:val="100"/>
                <w:sz w:val="24"/>
                <w:szCs w:val="24"/>
                <w:highlight w:val="none"/>
              </w:rPr>
              <w:t>-0.1分，未提供得0分。</w:t>
            </w:r>
          </w:p>
        </w:tc>
        <w:tc>
          <w:tcPr>
            <w:tcW w:w="632" w:type="pct"/>
            <w:tcBorders>
              <w:top w:val="nil"/>
              <w:left w:val="nil"/>
              <w:bottom w:val="single" w:color="auto" w:sz="4" w:space="0"/>
              <w:right w:val="single" w:color="auto" w:sz="4" w:space="0"/>
            </w:tcBorders>
            <w:shd w:val="clear" w:color="000000" w:fill="FFFFFF"/>
            <w:vAlign w:val="center"/>
          </w:tcPr>
          <w:p w14:paraId="79AC5F21">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0-</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tc>
        <w:tc>
          <w:tcPr>
            <w:tcW w:w="372" w:type="pct"/>
            <w:tcBorders>
              <w:top w:val="nil"/>
              <w:left w:val="nil"/>
              <w:bottom w:val="single" w:color="auto" w:sz="4" w:space="0"/>
              <w:right w:val="single" w:color="auto" w:sz="4" w:space="0"/>
            </w:tcBorders>
            <w:shd w:val="clear" w:color="000000" w:fill="FFFFFF"/>
            <w:vAlign w:val="center"/>
          </w:tcPr>
          <w:p w14:paraId="0A2F6A20">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10AFDB34">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4AE37FEF">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3E11E4DF">
            <w:pPr>
              <w:widowControl/>
              <w:spacing w:line="240" w:lineRule="auto"/>
              <w:ind w:firstLine="0" w:firstLineChars="0"/>
              <w:jc w:val="both"/>
              <w:rPr>
                <w:rFonts w:ascii="仿宋" w:hAnsi="仿宋" w:eastAsia="仿宋" w:cs="仿宋"/>
                <w:color w:val="auto"/>
                <w:highlight w:val="yellow"/>
              </w:rPr>
            </w:pPr>
          </w:p>
        </w:tc>
      </w:tr>
      <w:tr w14:paraId="70A5C503">
        <w:tblPrEx>
          <w:tblCellMar>
            <w:top w:w="0" w:type="dxa"/>
            <w:left w:w="108" w:type="dxa"/>
            <w:bottom w:w="0" w:type="dxa"/>
            <w:right w:w="108" w:type="dxa"/>
          </w:tblCellMar>
        </w:tblPrEx>
        <w:trPr>
          <w:trHeight w:val="996" w:hRule="atLeast"/>
          <w:jc w:val="center"/>
        </w:trPr>
        <w:tc>
          <w:tcPr>
            <w:tcW w:w="630" w:type="pct"/>
            <w:vMerge w:val="restart"/>
            <w:tcBorders>
              <w:top w:val="single" w:color="auto" w:sz="4" w:space="0"/>
              <w:left w:val="single" w:color="auto" w:sz="4" w:space="0"/>
              <w:right w:val="single" w:color="auto" w:sz="4" w:space="0"/>
            </w:tcBorders>
            <w:shd w:val="clear" w:color="000000" w:fill="FFFFFF"/>
            <w:vAlign w:val="center"/>
          </w:tcPr>
          <w:p w14:paraId="7ED27C62">
            <w:pPr>
              <w:widowControl/>
              <w:spacing w:line="240" w:lineRule="auto"/>
              <w:ind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商务</w:t>
            </w:r>
            <w:r>
              <w:rPr>
                <w:rFonts w:hint="eastAsia" w:ascii="仿宋" w:hAnsi="仿宋" w:eastAsia="仿宋" w:cs="仿宋"/>
                <w:color w:val="auto"/>
                <w:highlight w:val="none"/>
                <w:lang w:val="en-US" w:eastAsia="zh-CN"/>
              </w:rPr>
              <w:t>评审</w:t>
            </w:r>
          </w:p>
          <w:p w14:paraId="231F2A8A">
            <w:pPr>
              <w:widowControl/>
              <w:spacing w:line="240" w:lineRule="auto"/>
              <w:ind w:firstLine="0" w:firstLineChars="0"/>
              <w:jc w:val="both"/>
              <w:rPr>
                <w:rFonts w:ascii="仿宋" w:hAnsi="仿宋" w:eastAsia="仿宋" w:cs="仿宋"/>
                <w:color w:val="auto"/>
                <w:highlight w:val="none"/>
              </w:rPr>
            </w:pPr>
            <w:r>
              <w:rPr>
                <w:rFonts w:ascii="仿宋" w:hAnsi="仿宋" w:eastAsia="仿宋" w:cs="仿宋"/>
                <w:color w:val="auto"/>
                <w:highlight w:val="none"/>
              </w:rPr>
              <w:t>(</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rPr>
              <w:t>分</w:t>
            </w:r>
            <w:r>
              <w:rPr>
                <w:rFonts w:ascii="仿宋" w:hAnsi="仿宋" w:eastAsia="仿宋" w:cs="仿宋"/>
                <w:color w:val="auto"/>
                <w:highlight w:val="none"/>
              </w:rPr>
              <w:t>）</w:t>
            </w:r>
          </w:p>
        </w:tc>
        <w:tc>
          <w:tcPr>
            <w:tcW w:w="821" w:type="pct"/>
            <w:tcBorders>
              <w:top w:val="single" w:color="auto" w:sz="4" w:space="0"/>
              <w:left w:val="nil"/>
              <w:bottom w:val="single" w:color="auto" w:sz="4" w:space="0"/>
              <w:right w:val="single" w:color="auto" w:sz="4" w:space="0"/>
            </w:tcBorders>
            <w:shd w:val="clear" w:color="000000" w:fill="FFFFFF"/>
            <w:vAlign w:val="center"/>
          </w:tcPr>
          <w:p w14:paraId="2E592948">
            <w:pPr>
              <w:widowControl/>
              <w:spacing w:line="240" w:lineRule="auto"/>
              <w:ind w:firstLine="0" w:firstLineChars="0"/>
              <w:jc w:val="center"/>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rPr>
              <w:t>业绩</w:t>
            </w:r>
          </w:p>
          <w:p w14:paraId="0DE2A536">
            <w:pPr>
              <w:widowControl/>
              <w:spacing w:line="240" w:lineRule="auto"/>
              <w:ind w:firstLine="0" w:firstLineChars="0"/>
              <w:jc w:val="center"/>
              <w:rPr>
                <w:rFonts w:ascii="仿宋" w:hAnsi="仿宋" w:eastAsia="仿宋" w:cs="仿宋"/>
                <w:color w:val="auto"/>
                <w:kern w:val="0"/>
                <w:szCs w:val="21"/>
                <w:highlight w:val="none"/>
              </w:rPr>
            </w:pPr>
          </w:p>
        </w:tc>
        <w:tc>
          <w:tcPr>
            <w:tcW w:w="1724" w:type="pct"/>
            <w:tcBorders>
              <w:top w:val="single" w:color="auto" w:sz="4" w:space="0"/>
              <w:left w:val="nil"/>
              <w:bottom w:val="single" w:color="auto" w:sz="4" w:space="0"/>
              <w:right w:val="single" w:color="auto" w:sz="4" w:space="0"/>
            </w:tcBorders>
            <w:shd w:val="clear" w:color="000000" w:fill="FFFFFF"/>
            <w:vAlign w:val="center"/>
          </w:tcPr>
          <w:p w14:paraId="330E9D84">
            <w:pPr>
              <w:widowControl/>
              <w:spacing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1、供应商自2020年1月1日至投标截止时间前（以合同签订时间为准），承担过省级及以上城镇化研究或省级及以上专项调查报告等类似业绩的，每</w:t>
            </w:r>
            <w:r>
              <w:rPr>
                <w:rFonts w:hint="eastAsia" w:ascii="仿宋" w:hAnsi="仿宋" w:eastAsia="仿宋"/>
                <w:b w:val="0"/>
                <w:i w:val="0"/>
                <w:caps w:val="0"/>
                <w:color w:val="auto"/>
                <w:spacing w:val="0"/>
                <w:w w:val="100"/>
                <w:sz w:val="24"/>
                <w:szCs w:val="24"/>
                <w:highlight w:val="none"/>
                <w:lang w:val="en-US" w:eastAsia="zh-CN"/>
              </w:rPr>
              <w:t>提供</w:t>
            </w:r>
            <w:r>
              <w:rPr>
                <w:rFonts w:hint="eastAsia" w:ascii="仿宋" w:hAnsi="仿宋" w:eastAsia="仿宋"/>
                <w:b w:val="0"/>
                <w:i w:val="0"/>
                <w:caps w:val="0"/>
                <w:color w:val="auto"/>
                <w:spacing w:val="0"/>
                <w:w w:val="100"/>
                <w:sz w:val="24"/>
                <w:szCs w:val="24"/>
                <w:highlight w:val="none"/>
              </w:rPr>
              <w:t>1个得3分，</w:t>
            </w:r>
            <w:r>
              <w:rPr>
                <w:rFonts w:hint="eastAsia" w:ascii="仿宋" w:hAnsi="仿宋" w:eastAsia="仿宋"/>
                <w:b w:val="0"/>
                <w:i w:val="0"/>
                <w:caps w:val="0"/>
                <w:color w:val="auto"/>
                <w:spacing w:val="0"/>
                <w:w w:val="100"/>
                <w:sz w:val="24"/>
                <w:szCs w:val="24"/>
                <w:highlight w:val="none"/>
                <w:lang w:val="en-US" w:eastAsia="zh-CN"/>
              </w:rPr>
              <w:t>本项最高15分；</w:t>
            </w:r>
          </w:p>
          <w:p w14:paraId="348DE09A">
            <w:pPr>
              <w:widowControl/>
              <w:spacing w:line="240" w:lineRule="auto"/>
              <w:ind w:firstLine="0" w:firstLineChars="0"/>
              <w:rPr>
                <w:rFonts w:hint="eastAsia"/>
                <w:b/>
                <w:bCs/>
                <w:color w:val="auto"/>
                <w:highlight w:val="none"/>
                <w:lang w:eastAsia="zh-CN"/>
              </w:rPr>
            </w:pPr>
            <w:r>
              <w:rPr>
                <w:rFonts w:hint="eastAsia" w:ascii="仿宋" w:hAnsi="仿宋" w:eastAsia="仿宋" w:cs="仿宋"/>
                <w:color w:val="auto"/>
                <w:highlight w:val="none"/>
                <w:lang w:val="en-US" w:eastAsia="zh-CN"/>
              </w:rPr>
              <w:t>2、供应商自2020年1月1日至投标截止时间前（以合同签订时间为准），承担过课题研究相关业绩的，</w:t>
            </w:r>
            <w:r>
              <w:rPr>
                <w:rFonts w:hint="eastAsia" w:ascii="仿宋" w:hAnsi="仿宋" w:eastAsia="仿宋"/>
                <w:b w:val="0"/>
                <w:i w:val="0"/>
                <w:caps w:val="0"/>
                <w:color w:val="auto"/>
                <w:spacing w:val="0"/>
                <w:w w:val="100"/>
                <w:sz w:val="24"/>
                <w:szCs w:val="24"/>
                <w:highlight w:val="none"/>
                <w:lang w:val="en-US" w:eastAsia="zh-CN"/>
              </w:rPr>
              <w:t>提供</w:t>
            </w:r>
            <w:r>
              <w:rPr>
                <w:rFonts w:hint="eastAsia" w:ascii="仿宋" w:hAnsi="仿宋" w:eastAsia="仿宋"/>
                <w:b w:val="0"/>
                <w:i w:val="0"/>
                <w:caps w:val="0"/>
                <w:color w:val="auto"/>
                <w:spacing w:val="0"/>
                <w:w w:val="100"/>
                <w:sz w:val="24"/>
                <w:szCs w:val="24"/>
                <w:highlight w:val="none"/>
              </w:rPr>
              <w:t>1个</w:t>
            </w:r>
            <w:r>
              <w:rPr>
                <w:rFonts w:hint="eastAsia" w:ascii="仿宋" w:hAnsi="仿宋" w:eastAsia="仿宋"/>
                <w:b w:val="0"/>
                <w:i w:val="0"/>
                <w:caps w:val="0"/>
                <w:color w:val="auto"/>
                <w:spacing w:val="0"/>
                <w:w w:val="100"/>
                <w:sz w:val="24"/>
                <w:szCs w:val="24"/>
                <w:highlight w:val="none"/>
                <w:lang w:val="en-US" w:eastAsia="zh-CN"/>
              </w:rPr>
              <w:t>得2</w:t>
            </w:r>
            <w:r>
              <w:rPr>
                <w:rFonts w:hint="eastAsia" w:ascii="仿宋" w:hAnsi="仿宋" w:eastAsia="仿宋"/>
                <w:b w:val="0"/>
                <w:i w:val="0"/>
                <w:caps w:val="0"/>
                <w:color w:val="auto"/>
                <w:spacing w:val="0"/>
                <w:w w:val="100"/>
                <w:sz w:val="24"/>
                <w:szCs w:val="24"/>
                <w:highlight w:val="none"/>
              </w:rPr>
              <w:t>分，</w:t>
            </w:r>
            <w:r>
              <w:rPr>
                <w:rFonts w:hint="eastAsia" w:ascii="仿宋" w:hAnsi="仿宋" w:eastAsia="仿宋"/>
                <w:b w:val="0"/>
                <w:i w:val="0"/>
                <w:caps w:val="0"/>
                <w:color w:val="auto"/>
                <w:spacing w:val="0"/>
                <w:w w:val="100"/>
                <w:sz w:val="24"/>
                <w:szCs w:val="24"/>
                <w:highlight w:val="none"/>
                <w:lang w:val="en-US" w:eastAsia="zh-CN"/>
              </w:rPr>
              <w:t>本项最高10分。</w:t>
            </w:r>
          </w:p>
          <w:p w14:paraId="691F38A1">
            <w:pPr>
              <w:widowControl/>
              <w:spacing w:line="240" w:lineRule="auto"/>
              <w:ind w:firstLine="0" w:firstLineChars="0"/>
              <w:rPr>
                <w:rFonts w:hint="eastAsia"/>
                <w:color w:val="auto"/>
                <w:highlight w:val="none"/>
                <w:lang w:val="en-US" w:eastAsia="zh-CN"/>
              </w:rPr>
            </w:pPr>
            <w:r>
              <w:rPr>
                <w:rFonts w:hint="eastAsia"/>
                <w:b/>
                <w:bCs/>
                <w:color w:val="auto"/>
                <w:highlight w:val="none"/>
                <w:lang w:eastAsia="zh-CN"/>
              </w:rPr>
              <w:t>注：</w:t>
            </w:r>
            <w:r>
              <w:rPr>
                <w:rFonts w:hint="eastAsia" w:ascii="仿宋" w:hAnsi="仿宋" w:eastAsia="仿宋" w:cs="仿宋"/>
                <w:b/>
                <w:bCs/>
                <w:color w:val="auto"/>
                <w:highlight w:val="none"/>
                <w:lang w:val="en-US" w:eastAsia="zh-CN"/>
              </w:rPr>
              <w:t>提供合同关键页（至少体现服务内容页、签字盖章页）的复印件（或扫描件）加盖供应商单位公章作为证明材料，不提供（或未按要求提供）不得分。</w:t>
            </w:r>
          </w:p>
        </w:tc>
        <w:tc>
          <w:tcPr>
            <w:tcW w:w="632" w:type="pct"/>
            <w:tcBorders>
              <w:top w:val="nil"/>
              <w:left w:val="nil"/>
              <w:bottom w:val="single" w:color="auto" w:sz="4" w:space="0"/>
              <w:right w:val="single" w:color="auto" w:sz="4" w:space="0"/>
            </w:tcBorders>
            <w:shd w:val="clear" w:color="000000" w:fill="FFFFFF"/>
            <w:vAlign w:val="center"/>
          </w:tcPr>
          <w:p w14:paraId="6FA432C3">
            <w:pPr>
              <w:widowControl/>
              <w:spacing w:line="240" w:lineRule="auto"/>
              <w:ind w:firstLine="0" w:firstLineChars="0"/>
              <w:jc w:val="center"/>
              <w:rPr>
                <w:rFonts w:ascii="仿宋" w:hAnsi="仿宋" w:eastAsia="仿宋" w:cs="仿宋"/>
                <w:color w:val="auto"/>
                <w:highlight w:val="none"/>
              </w:rPr>
            </w:pPr>
            <w:r>
              <w:rPr>
                <w:rFonts w:hint="eastAsia"/>
                <w:color w:val="auto"/>
                <w:highlight w:val="none"/>
              </w:rPr>
              <w:t>0-</w:t>
            </w:r>
            <w:r>
              <w:rPr>
                <w:rFonts w:hint="eastAsia"/>
                <w:color w:val="auto"/>
                <w:highlight w:val="none"/>
                <w:lang w:val="en-US" w:eastAsia="zh-CN"/>
              </w:rPr>
              <w:t>25</w:t>
            </w:r>
            <w:r>
              <w:rPr>
                <w:rFonts w:hint="eastAsia"/>
                <w:color w:val="auto"/>
                <w:highlight w:val="none"/>
              </w:rPr>
              <w:t>分</w:t>
            </w:r>
          </w:p>
        </w:tc>
        <w:tc>
          <w:tcPr>
            <w:tcW w:w="372" w:type="pct"/>
            <w:tcBorders>
              <w:top w:val="nil"/>
              <w:left w:val="nil"/>
              <w:bottom w:val="single" w:color="auto" w:sz="4" w:space="0"/>
              <w:right w:val="single" w:color="auto" w:sz="4" w:space="0"/>
            </w:tcBorders>
            <w:shd w:val="clear" w:color="000000" w:fill="FFFFFF"/>
            <w:vAlign w:val="center"/>
          </w:tcPr>
          <w:p w14:paraId="32D67224">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70FF73FB">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01020464">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6F5D6C62">
            <w:pPr>
              <w:widowControl/>
              <w:spacing w:line="240" w:lineRule="auto"/>
              <w:ind w:firstLine="0" w:firstLineChars="0"/>
              <w:jc w:val="both"/>
              <w:rPr>
                <w:rFonts w:ascii="仿宋" w:hAnsi="仿宋" w:eastAsia="仿宋" w:cs="仿宋"/>
                <w:color w:val="auto"/>
                <w:highlight w:val="yellow"/>
              </w:rPr>
            </w:pPr>
          </w:p>
        </w:tc>
      </w:tr>
      <w:tr w14:paraId="4E756200">
        <w:tblPrEx>
          <w:tblCellMar>
            <w:top w:w="0" w:type="dxa"/>
            <w:left w:w="108" w:type="dxa"/>
            <w:bottom w:w="0" w:type="dxa"/>
            <w:right w:w="108" w:type="dxa"/>
          </w:tblCellMar>
        </w:tblPrEx>
        <w:trPr>
          <w:trHeight w:val="413" w:hRule="atLeast"/>
          <w:jc w:val="center"/>
        </w:trPr>
        <w:tc>
          <w:tcPr>
            <w:tcW w:w="630" w:type="pct"/>
            <w:vMerge w:val="continue"/>
            <w:tcBorders>
              <w:left w:val="single" w:color="auto" w:sz="4" w:space="0"/>
              <w:right w:val="single" w:color="auto" w:sz="4" w:space="0"/>
            </w:tcBorders>
            <w:shd w:val="clear" w:color="000000" w:fill="FFFFFF"/>
            <w:vAlign w:val="center"/>
          </w:tcPr>
          <w:p w14:paraId="3249F617">
            <w:pPr>
              <w:widowControl/>
              <w:spacing w:line="240" w:lineRule="auto"/>
              <w:ind w:firstLine="0" w:firstLineChars="0"/>
              <w:jc w:val="both"/>
              <w:rPr>
                <w:rFonts w:ascii="仿宋" w:hAnsi="仿宋" w:eastAsia="仿宋" w:cs="仿宋"/>
                <w:color w:val="auto"/>
                <w:highlight w:val="yellow"/>
              </w:rPr>
            </w:pPr>
          </w:p>
        </w:tc>
        <w:tc>
          <w:tcPr>
            <w:tcW w:w="821" w:type="pct"/>
            <w:tcBorders>
              <w:top w:val="single" w:color="auto" w:sz="4" w:space="0"/>
              <w:left w:val="nil"/>
              <w:bottom w:val="single" w:color="auto" w:sz="4" w:space="0"/>
              <w:right w:val="single" w:color="auto" w:sz="4" w:space="0"/>
            </w:tcBorders>
            <w:shd w:val="clear" w:color="000000" w:fill="FFFFFF"/>
            <w:vAlign w:val="center"/>
          </w:tcPr>
          <w:p w14:paraId="62ACE421">
            <w:pPr>
              <w:widowControl/>
              <w:spacing w:line="240" w:lineRule="auto"/>
              <w:ind w:firstLine="0" w:firstLineChars="0"/>
              <w:rPr>
                <w:rFonts w:hint="eastAsia" w:ascii="仿宋" w:hAnsi="仿宋" w:eastAsia="仿宋" w:cs="仿宋"/>
                <w:color w:val="auto"/>
                <w:kern w:val="0"/>
                <w:szCs w:val="21"/>
                <w:highlight w:val="none"/>
              </w:rPr>
            </w:pPr>
          </w:p>
          <w:p w14:paraId="33E662DF">
            <w:pPr>
              <w:widowControl/>
              <w:spacing w:line="240" w:lineRule="auto"/>
              <w:ind w:firstLine="0" w:firstLineChars="0"/>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项目负责人</w:t>
            </w:r>
          </w:p>
        </w:tc>
        <w:tc>
          <w:tcPr>
            <w:tcW w:w="1724" w:type="pct"/>
            <w:tcBorders>
              <w:top w:val="single" w:color="auto" w:sz="4" w:space="0"/>
              <w:left w:val="nil"/>
              <w:bottom w:val="single" w:color="auto" w:sz="4" w:space="0"/>
              <w:right w:val="single" w:color="auto" w:sz="4" w:space="0"/>
            </w:tcBorders>
            <w:shd w:val="clear" w:color="000000" w:fill="FFFFFF"/>
            <w:vAlign w:val="center"/>
          </w:tcPr>
          <w:p w14:paraId="5EC24548">
            <w:pPr>
              <w:widowControl/>
              <w:numPr>
                <w:ilvl w:val="0"/>
                <w:numId w:val="0"/>
              </w:numPr>
              <w:spacing w:line="240" w:lineRule="auto"/>
              <w:rPr>
                <w:rFonts w:hint="eastAsia"/>
                <w:color w:val="auto"/>
                <w:highlight w:val="none"/>
              </w:rPr>
            </w:pPr>
            <w:r>
              <w:rPr>
                <w:rFonts w:hint="eastAsia"/>
                <w:color w:val="auto"/>
                <w:highlight w:val="none"/>
              </w:rPr>
              <w:t>拟投入的项目负责人，具有正高级</w:t>
            </w:r>
            <w:r>
              <w:rPr>
                <w:rFonts w:hint="eastAsia"/>
                <w:color w:val="auto"/>
                <w:highlight w:val="none"/>
                <w:lang w:val="en-US" w:eastAsia="zh-CN"/>
              </w:rPr>
              <w:t>及以上</w:t>
            </w:r>
            <w:r>
              <w:rPr>
                <w:rFonts w:hint="eastAsia"/>
                <w:color w:val="auto"/>
                <w:highlight w:val="none"/>
              </w:rPr>
              <w:t>职称和注册规划师的得</w:t>
            </w:r>
            <w:r>
              <w:rPr>
                <w:rFonts w:hint="eastAsia"/>
                <w:color w:val="auto"/>
                <w:highlight w:val="none"/>
                <w:lang w:val="en-US" w:eastAsia="zh-CN"/>
              </w:rPr>
              <w:t>15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具有</w:t>
            </w:r>
            <w:r>
              <w:rPr>
                <w:rFonts w:hint="eastAsia"/>
                <w:color w:val="auto"/>
                <w:highlight w:val="none"/>
              </w:rPr>
              <w:t>副高级职称和注册规划师的得10分；</w:t>
            </w:r>
          </w:p>
          <w:p w14:paraId="287266E0">
            <w:pPr>
              <w:widowControl/>
              <w:numPr>
                <w:ilvl w:val="0"/>
                <w:numId w:val="0"/>
              </w:numPr>
              <w:spacing w:line="240" w:lineRule="auto"/>
              <w:rPr>
                <w:rFonts w:hint="default" w:eastAsia="仿宋_GB2312"/>
                <w:b/>
                <w:bCs/>
                <w:color w:val="auto"/>
                <w:highlight w:val="none"/>
                <w:lang w:val="en-US" w:eastAsia="zh-CN"/>
              </w:rPr>
            </w:pPr>
            <w:r>
              <w:rPr>
                <w:rFonts w:hint="eastAsia"/>
                <w:b/>
                <w:bCs/>
                <w:color w:val="auto"/>
                <w:highlight w:val="none"/>
                <w:lang w:eastAsia="zh-CN"/>
              </w:rPr>
              <w:t>注：注须提供</w:t>
            </w:r>
            <w:r>
              <w:rPr>
                <w:rFonts w:hint="eastAsia"/>
                <w:b/>
                <w:bCs/>
                <w:color w:val="auto"/>
                <w:highlight w:val="none"/>
                <w:lang w:val="en-US" w:eastAsia="zh-CN"/>
              </w:rPr>
              <w:t>身份证、职称</w:t>
            </w:r>
            <w:r>
              <w:rPr>
                <w:rFonts w:hint="eastAsia"/>
                <w:b/>
                <w:bCs/>
                <w:color w:val="auto"/>
                <w:highlight w:val="none"/>
                <w:lang w:eastAsia="zh-CN"/>
              </w:rPr>
              <w:t>证、</w:t>
            </w:r>
            <w:r>
              <w:rPr>
                <w:rFonts w:hint="eastAsia"/>
                <w:b/>
                <w:bCs/>
                <w:color w:val="auto"/>
                <w:highlight w:val="none"/>
                <w:lang w:val="en-US" w:eastAsia="zh-CN"/>
              </w:rPr>
              <w:t>注册证</w:t>
            </w:r>
            <w:r>
              <w:rPr>
                <w:rFonts w:hint="eastAsia"/>
                <w:b/>
                <w:bCs/>
                <w:color w:val="auto"/>
                <w:highlight w:val="none"/>
                <w:lang w:eastAsia="zh-CN"/>
              </w:rPr>
              <w:t>以及2025年1月至今连续三个月在本单位缴纳社保的证明资料</w:t>
            </w:r>
            <w:r>
              <w:rPr>
                <w:rFonts w:hint="eastAsia"/>
                <w:b/>
                <w:bCs/>
                <w:color w:val="auto"/>
                <w:highlight w:val="none"/>
                <w:lang w:val="en-US" w:eastAsia="zh-CN"/>
              </w:rPr>
              <w:t>扫描件或复印件加盖投标单位电子公章</w:t>
            </w:r>
            <w:r>
              <w:rPr>
                <w:rFonts w:hint="eastAsia"/>
                <w:b/>
                <w:bCs/>
                <w:color w:val="auto"/>
                <w:highlight w:val="none"/>
                <w:lang w:eastAsia="zh-CN"/>
              </w:rPr>
              <w:t>，否则不得分。</w:t>
            </w:r>
          </w:p>
        </w:tc>
        <w:tc>
          <w:tcPr>
            <w:tcW w:w="632" w:type="pct"/>
            <w:tcBorders>
              <w:top w:val="nil"/>
              <w:left w:val="nil"/>
              <w:bottom w:val="single" w:color="auto" w:sz="4" w:space="0"/>
              <w:right w:val="single" w:color="auto" w:sz="4" w:space="0"/>
            </w:tcBorders>
            <w:shd w:val="clear" w:color="000000" w:fill="FFFFFF"/>
            <w:vAlign w:val="center"/>
          </w:tcPr>
          <w:p w14:paraId="5A6D8192">
            <w:pPr>
              <w:widowControl/>
              <w:spacing w:line="240" w:lineRule="auto"/>
              <w:ind w:firstLine="0" w:firstLineChars="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0-</w:t>
            </w:r>
            <w:r>
              <w:rPr>
                <w:rFonts w:hint="eastAsia" w:ascii="仿宋" w:hAnsi="仿宋" w:eastAsia="仿宋" w:cs="仿宋"/>
                <w:color w:val="auto"/>
                <w:kern w:val="0"/>
                <w:szCs w:val="21"/>
                <w:highlight w:val="none"/>
                <w:lang w:val="en-US" w:eastAsia="zh-CN"/>
              </w:rPr>
              <w:t>15</w:t>
            </w:r>
            <w:r>
              <w:rPr>
                <w:rFonts w:hint="eastAsia" w:ascii="仿宋" w:hAnsi="仿宋" w:eastAsia="仿宋" w:cs="仿宋"/>
                <w:color w:val="auto"/>
                <w:kern w:val="0"/>
                <w:szCs w:val="21"/>
                <w:highlight w:val="none"/>
              </w:rPr>
              <w:t>分</w:t>
            </w:r>
          </w:p>
        </w:tc>
        <w:tc>
          <w:tcPr>
            <w:tcW w:w="372" w:type="pct"/>
            <w:tcBorders>
              <w:top w:val="nil"/>
              <w:left w:val="nil"/>
              <w:bottom w:val="single" w:color="auto" w:sz="4" w:space="0"/>
              <w:right w:val="single" w:color="auto" w:sz="4" w:space="0"/>
            </w:tcBorders>
            <w:shd w:val="clear" w:color="000000" w:fill="FFFFFF"/>
            <w:vAlign w:val="center"/>
          </w:tcPr>
          <w:p w14:paraId="7C74B3B1">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53C14AAD">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30FB6246">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563BB498">
            <w:pPr>
              <w:widowControl/>
              <w:spacing w:line="240" w:lineRule="auto"/>
              <w:ind w:firstLine="0" w:firstLineChars="0"/>
              <w:jc w:val="both"/>
              <w:rPr>
                <w:rFonts w:ascii="仿宋" w:hAnsi="仿宋" w:eastAsia="仿宋" w:cs="仿宋"/>
                <w:color w:val="auto"/>
                <w:highlight w:val="yellow"/>
              </w:rPr>
            </w:pPr>
          </w:p>
        </w:tc>
      </w:tr>
      <w:tr w14:paraId="5EED38AF">
        <w:tblPrEx>
          <w:tblCellMar>
            <w:top w:w="0" w:type="dxa"/>
            <w:left w:w="108" w:type="dxa"/>
            <w:bottom w:w="0" w:type="dxa"/>
            <w:right w:w="108" w:type="dxa"/>
          </w:tblCellMar>
        </w:tblPrEx>
        <w:trPr>
          <w:trHeight w:val="714" w:hRule="atLeast"/>
          <w:jc w:val="center"/>
        </w:trPr>
        <w:tc>
          <w:tcPr>
            <w:tcW w:w="630" w:type="pct"/>
            <w:vMerge w:val="continue"/>
            <w:tcBorders>
              <w:left w:val="single" w:color="auto" w:sz="4" w:space="0"/>
              <w:right w:val="single" w:color="auto" w:sz="4" w:space="0"/>
            </w:tcBorders>
            <w:shd w:val="clear" w:color="000000" w:fill="FFFFFF"/>
            <w:vAlign w:val="center"/>
          </w:tcPr>
          <w:p w14:paraId="35E48563">
            <w:pPr>
              <w:widowControl/>
              <w:spacing w:line="240" w:lineRule="auto"/>
              <w:ind w:firstLine="0" w:firstLineChars="0"/>
              <w:jc w:val="both"/>
              <w:rPr>
                <w:rFonts w:ascii="仿宋" w:hAnsi="仿宋" w:eastAsia="仿宋" w:cs="仿宋"/>
                <w:color w:val="auto"/>
                <w:highlight w:val="yellow"/>
              </w:rPr>
            </w:pPr>
          </w:p>
        </w:tc>
        <w:tc>
          <w:tcPr>
            <w:tcW w:w="821" w:type="pct"/>
            <w:tcBorders>
              <w:top w:val="nil"/>
              <w:left w:val="nil"/>
              <w:bottom w:val="single" w:color="auto" w:sz="4" w:space="0"/>
              <w:right w:val="single" w:color="auto" w:sz="4" w:space="0"/>
            </w:tcBorders>
            <w:shd w:val="clear" w:color="000000" w:fill="FFFFFF"/>
            <w:vAlign w:val="center"/>
          </w:tcPr>
          <w:p w14:paraId="241ADA49">
            <w:pPr>
              <w:widowControl/>
              <w:spacing w:line="240" w:lineRule="auto"/>
              <w:ind w:firstLine="0" w:firstLineChars="0"/>
              <w:jc w:val="center"/>
              <w:rPr>
                <w:rFonts w:hint="eastAsia" w:ascii="宋体" w:hAnsi="宋体" w:cs="宋体"/>
                <w:color w:val="auto"/>
                <w:szCs w:val="21"/>
                <w:highlight w:val="none"/>
                <w:lang w:val="zh-CN" w:eastAsia="zh-CN"/>
              </w:rPr>
            </w:pPr>
            <w:r>
              <w:rPr>
                <w:rFonts w:hint="eastAsia" w:ascii="宋体" w:hAnsi="宋体" w:cs="宋体"/>
                <w:color w:val="auto"/>
                <w:szCs w:val="21"/>
                <w:highlight w:val="none"/>
                <w:lang w:val="en-US" w:eastAsia="zh-CN"/>
              </w:rPr>
              <w:t>项目团队（除项目负责人）</w:t>
            </w:r>
          </w:p>
        </w:tc>
        <w:tc>
          <w:tcPr>
            <w:tcW w:w="1724" w:type="pct"/>
            <w:tcBorders>
              <w:top w:val="nil"/>
              <w:left w:val="nil"/>
              <w:bottom w:val="single" w:color="auto" w:sz="4" w:space="0"/>
              <w:right w:val="single" w:color="auto" w:sz="4" w:space="0"/>
            </w:tcBorders>
            <w:shd w:val="clear" w:color="000000" w:fill="FFFFFF"/>
            <w:vAlign w:val="center"/>
          </w:tcPr>
          <w:p w14:paraId="79A27666">
            <w:pPr>
              <w:widowControl/>
              <w:spacing w:line="240" w:lineRule="auto"/>
              <w:ind w:firstLine="0" w:firstLineChars="0"/>
              <w:rPr>
                <w:rFonts w:hint="eastAsia"/>
                <w:color w:val="auto"/>
                <w:highlight w:val="none"/>
                <w:lang w:val="en-US" w:eastAsia="zh-CN"/>
              </w:rPr>
            </w:pPr>
            <w:r>
              <w:rPr>
                <w:rFonts w:hint="eastAsia"/>
                <w:color w:val="auto"/>
                <w:highlight w:val="none"/>
                <w:lang w:val="en-US" w:eastAsia="zh-CN"/>
              </w:rPr>
              <w:t>（1）项目组人员数量满足工作需要（20人及以上），的得 7分；项目组人员数量基本满足工程需要（15-19 人）的得 5 分；项目组人员数量（10人及以下）的 3分， 本项最多得7分；</w:t>
            </w:r>
          </w:p>
          <w:p w14:paraId="2A51CAD5">
            <w:pPr>
              <w:widowControl/>
              <w:spacing w:line="240" w:lineRule="auto"/>
              <w:ind w:firstLine="0" w:firstLineChars="0"/>
              <w:rPr>
                <w:rFonts w:hint="eastAsia"/>
                <w:color w:val="auto"/>
                <w:highlight w:val="none"/>
                <w:lang w:val="en-US" w:eastAsia="zh-CN"/>
              </w:rPr>
            </w:pPr>
          </w:p>
          <w:p w14:paraId="0024066F">
            <w:pPr>
              <w:widowControl/>
              <w:spacing w:line="240" w:lineRule="auto"/>
              <w:ind w:firstLine="0" w:firstLineChars="0"/>
              <w:rPr>
                <w:rFonts w:hint="default"/>
                <w:highlight w:val="none"/>
                <w:lang w:val="en-US" w:eastAsia="zh-CN"/>
              </w:rPr>
            </w:pPr>
            <w:r>
              <w:rPr>
                <w:rFonts w:hint="eastAsia"/>
                <w:color w:val="auto"/>
                <w:highlight w:val="none"/>
                <w:lang w:val="en-US" w:eastAsia="zh-CN"/>
              </w:rPr>
              <w:t>（2）拟投入的项目组成员中：同时具备国家注册城乡规划师资格和规划类副高级工程师及以上职称的，每提供1人得2分；具备国家注册城乡规划师资格或规划类副高级工程师及以上职称的，每提供1人1分；具备工程师职称的，每提供1人得0.5分，本项最高18分；</w:t>
            </w:r>
          </w:p>
          <w:p w14:paraId="6138F0A6">
            <w:pPr>
              <w:widowControl/>
              <w:spacing w:line="240" w:lineRule="auto"/>
              <w:ind w:firstLine="0" w:firstLineChars="0"/>
              <w:rPr>
                <w:rFonts w:hint="eastAsia"/>
                <w:color w:val="auto"/>
                <w:highlight w:val="none"/>
                <w:lang w:val="en-US" w:eastAsia="zh-CN"/>
              </w:rPr>
            </w:pPr>
            <w:r>
              <w:rPr>
                <w:rFonts w:hint="eastAsia"/>
                <w:b/>
                <w:bCs/>
                <w:color w:val="auto"/>
                <w:highlight w:val="none"/>
                <w:lang w:val="en-US" w:eastAsia="zh-CN"/>
              </w:rPr>
              <w:t>注：以上人员须提供身份证、职称证书及2025年1月至今连续三个月在本单位缴纳社保的证明资料扫描件或复印件加盖投标单位电子公章</w:t>
            </w:r>
            <w:r>
              <w:rPr>
                <w:rFonts w:hint="eastAsia"/>
                <w:color w:val="auto"/>
                <w:highlight w:val="none"/>
                <w:lang w:val="en-US" w:eastAsia="zh-CN"/>
              </w:rPr>
              <w:t>，</w:t>
            </w:r>
            <w:r>
              <w:rPr>
                <w:rFonts w:hint="eastAsia"/>
                <w:b/>
                <w:bCs/>
                <w:color w:val="auto"/>
                <w:highlight w:val="none"/>
                <w:lang w:val="en-US" w:eastAsia="zh-CN"/>
              </w:rPr>
              <w:t>否则不得分。）</w:t>
            </w:r>
          </w:p>
        </w:tc>
        <w:tc>
          <w:tcPr>
            <w:tcW w:w="632" w:type="pct"/>
            <w:tcBorders>
              <w:top w:val="nil"/>
              <w:left w:val="nil"/>
              <w:bottom w:val="single" w:color="auto" w:sz="4" w:space="0"/>
              <w:right w:val="single" w:color="auto" w:sz="4" w:space="0"/>
            </w:tcBorders>
            <w:shd w:val="clear" w:color="000000" w:fill="FFFFFF"/>
            <w:vAlign w:val="center"/>
          </w:tcPr>
          <w:p w14:paraId="6D79A5BA">
            <w:pPr>
              <w:widowControl/>
              <w:spacing w:line="240" w:lineRule="auto"/>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0-25分</w:t>
            </w:r>
          </w:p>
        </w:tc>
        <w:tc>
          <w:tcPr>
            <w:tcW w:w="372" w:type="pct"/>
            <w:tcBorders>
              <w:top w:val="nil"/>
              <w:left w:val="nil"/>
              <w:bottom w:val="single" w:color="auto" w:sz="4" w:space="0"/>
              <w:right w:val="single" w:color="auto" w:sz="4" w:space="0"/>
            </w:tcBorders>
            <w:shd w:val="clear" w:color="000000" w:fill="FFFFFF"/>
            <w:vAlign w:val="center"/>
          </w:tcPr>
          <w:p w14:paraId="1355BE98">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01085684">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331933CB">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758EA7AA">
            <w:pPr>
              <w:widowControl/>
              <w:spacing w:line="240" w:lineRule="auto"/>
              <w:ind w:firstLine="0" w:firstLineChars="0"/>
              <w:jc w:val="both"/>
              <w:rPr>
                <w:rFonts w:ascii="仿宋" w:hAnsi="仿宋" w:eastAsia="仿宋" w:cs="仿宋"/>
                <w:color w:val="auto"/>
                <w:highlight w:val="yellow"/>
              </w:rPr>
            </w:pPr>
          </w:p>
        </w:tc>
      </w:tr>
      <w:tr w14:paraId="1DA4FFD2">
        <w:tblPrEx>
          <w:tblCellMar>
            <w:top w:w="0" w:type="dxa"/>
            <w:left w:w="108" w:type="dxa"/>
            <w:bottom w:w="0" w:type="dxa"/>
            <w:right w:w="108" w:type="dxa"/>
          </w:tblCellMar>
        </w:tblPrEx>
        <w:trPr>
          <w:trHeight w:val="90" w:hRule="atLeast"/>
          <w:jc w:val="center"/>
        </w:trPr>
        <w:tc>
          <w:tcPr>
            <w:tcW w:w="630" w:type="pct"/>
            <w:vMerge w:val="continue"/>
            <w:tcBorders>
              <w:left w:val="single" w:color="auto" w:sz="4" w:space="0"/>
              <w:right w:val="single" w:color="auto" w:sz="4" w:space="0"/>
            </w:tcBorders>
            <w:shd w:val="clear" w:color="000000" w:fill="FFFFFF"/>
            <w:vAlign w:val="center"/>
          </w:tcPr>
          <w:p w14:paraId="49B8F359">
            <w:pPr>
              <w:widowControl/>
              <w:spacing w:line="240" w:lineRule="auto"/>
              <w:ind w:firstLine="0" w:firstLineChars="0"/>
              <w:jc w:val="both"/>
              <w:rPr>
                <w:rFonts w:ascii="仿宋" w:hAnsi="仿宋" w:eastAsia="仿宋" w:cs="仿宋"/>
                <w:color w:val="auto"/>
                <w:highlight w:val="yellow"/>
              </w:rPr>
            </w:pPr>
          </w:p>
        </w:tc>
        <w:tc>
          <w:tcPr>
            <w:tcW w:w="821" w:type="pct"/>
            <w:tcBorders>
              <w:top w:val="nil"/>
              <w:left w:val="nil"/>
              <w:bottom w:val="single" w:color="auto" w:sz="4" w:space="0"/>
              <w:right w:val="single" w:color="auto" w:sz="4" w:space="0"/>
            </w:tcBorders>
            <w:shd w:val="clear" w:color="000000" w:fill="FFFFFF"/>
            <w:vAlign w:val="center"/>
          </w:tcPr>
          <w:p w14:paraId="41AF6900">
            <w:pPr>
              <w:widowControl/>
              <w:spacing w:line="240" w:lineRule="auto"/>
              <w:ind w:firstLine="0" w:firstLineChars="0"/>
              <w:jc w:val="center"/>
              <w:rPr>
                <w:rFonts w:hint="eastAsia" w:ascii="仿宋" w:hAnsi="仿宋" w:eastAsia="仿宋_GB2312" w:cs="仿宋"/>
                <w:color w:val="auto"/>
                <w:kern w:val="0"/>
                <w:szCs w:val="21"/>
                <w:highlight w:val="none"/>
                <w:lang w:val="zh-CN" w:eastAsia="zh-CN"/>
              </w:rPr>
            </w:pPr>
            <w:r>
              <w:rPr>
                <w:rFonts w:hint="eastAsia" w:ascii="宋体" w:hAnsi="宋体" w:cs="宋体"/>
                <w:color w:val="auto"/>
                <w:szCs w:val="21"/>
                <w:highlight w:val="none"/>
                <w:lang w:val="en-US" w:eastAsia="zh-CN"/>
              </w:rPr>
              <w:t>企业实力</w:t>
            </w:r>
          </w:p>
        </w:tc>
        <w:tc>
          <w:tcPr>
            <w:tcW w:w="1724" w:type="pct"/>
            <w:tcBorders>
              <w:top w:val="nil"/>
              <w:left w:val="nil"/>
              <w:bottom w:val="single" w:color="auto" w:sz="4" w:space="0"/>
              <w:right w:val="single" w:color="auto" w:sz="4" w:space="0"/>
            </w:tcBorders>
            <w:shd w:val="clear" w:color="000000" w:fill="FFFFFF"/>
            <w:vAlign w:val="center"/>
          </w:tcPr>
          <w:p w14:paraId="6BF0923F">
            <w:pPr>
              <w:widowControl/>
              <w:spacing w:line="240" w:lineRule="auto"/>
              <w:ind w:firstLine="0" w:firstLineChars="0"/>
              <w:rPr>
                <w:rFonts w:hint="eastAsia"/>
                <w:color w:val="auto"/>
                <w:highlight w:val="none"/>
                <w:lang w:val="en-US" w:eastAsia="zh-CN"/>
              </w:rPr>
            </w:pPr>
            <w:r>
              <w:rPr>
                <w:rFonts w:hint="eastAsia"/>
                <w:color w:val="auto"/>
                <w:highlight w:val="none"/>
                <w:lang w:val="en-US" w:eastAsia="zh-CN"/>
              </w:rPr>
              <w:t>供应商自2020 年以来获得省级及以上规划行业优秀奖项：一等奖每个2分，二等奖每个 1 分，三等奖0.5分，本项最高得10 分</w:t>
            </w:r>
          </w:p>
          <w:p w14:paraId="0BB383D2">
            <w:pPr>
              <w:widowControl/>
              <w:spacing w:line="240" w:lineRule="auto"/>
              <w:ind w:firstLine="0" w:firstLineChars="0"/>
              <w:rPr>
                <w:rFonts w:hint="eastAsia" w:ascii="仿宋" w:hAnsi="仿宋" w:eastAsia="仿宋" w:cs="仿宋"/>
                <w:color w:val="auto"/>
                <w:kern w:val="0"/>
                <w:szCs w:val="21"/>
                <w:highlight w:val="none"/>
                <w:lang w:val="zh-CN"/>
              </w:rPr>
            </w:pPr>
            <w:r>
              <w:rPr>
                <w:rFonts w:hint="eastAsia" w:ascii="Times New Roman" w:hAnsi="Times New Roman" w:cs="Times New Roman"/>
                <w:b/>
                <w:bCs/>
                <w:color w:val="auto"/>
                <w:highlight w:val="none"/>
                <w:lang w:val="en-US" w:eastAsia="zh-CN"/>
              </w:rPr>
              <w:t>注：提供获奖证书或其他可证明承担项目的相关获奖证明材料复印件，不提供不得分）。</w:t>
            </w:r>
          </w:p>
        </w:tc>
        <w:tc>
          <w:tcPr>
            <w:tcW w:w="632" w:type="pct"/>
            <w:tcBorders>
              <w:top w:val="nil"/>
              <w:left w:val="nil"/>
              <w:bottom w:val="single" w:color="auto" w:sz="4" w:space="0"/>
              <w:right w:val="single" w:color="auto" w:sz="4" w:space="0"/>
            </w:tcBorders>
            <w:shd w:val="clear" w:color="000000" w:fill="FFFFFF"/>
            <w:vAlign w:val="center"/>
          </w:tcPr>
          <w:p w14:paraId="68734309">
            <w:pPr>
              <w:widowControl/>
              <w:spacing w:line="240" w:lineRule="auto"/>
              <w:ind w:firstLine="0" w:firstLineChars="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0-10分</w:t>
            </w:r>
          </w:p>
        </w:tc>
        <w:tc>
          <w:tcPr>
            <w:tcW w:w="372" w:type="pct"/>
            <w:tcBorders>
              <w:top w:val="nil"/>
              <w:left w:val="nil"/>
              <w:bottom w:val="single" w:color="auto" w:sz="4" w:space="0"/>
              <w:right w:val="single" w:color="auto" w:sz="4" w:space="0"/>
            </w:tcBorders>
            <w:shd w:val="clear" w:color="000000" w:fill="FFFFFF"/>
            <w:vAlign w:val="center"/>
          </w:tcPr>
          <w:p w14:paraId="235AD519">
            <w:pPr>
              <w:widowControl/>
              <w:spacing w:line="240" w:lineRule="auto"/>
              <w:ind w:firstLine="0" w:firstLineChars="0"/>
              <w:jc w:val="both"/>
              <w:rPr>
                <w:rFonts w:ascii="仿宋" w:hAnsi="仿宋" w:eastAsia="仿宋" w:cs="仿宋"/>
                <w:color w:val="auto"/>
                <w:highlight w:val="yellow"/>
              </w:rPr>
            </w:pPr>
          </w:p>
        </w:tc>
        <w:tc>
          <w:tcPr>
            <w:tcW w:w="303" w:type="pct"/>
            <w:tcBorders>
              <w:top w:val="nil"/>
              <w:left w:val="nil"/>
              <w:bottom w:val="single" w:color="auto" w:sz="4" w:space="0"/>
              <w:right w:val="single" w:color="auto" w:sz="4" w:space="0"/>
            </w:tcBorders>
            <w:shd w:val="clear" w:color="000000" w:fill="FFFFFF"/>
            <w:vAlign w:val="center"/>
          </w:tcPr>
          <w:p w14:paraId="306F13F7">
            <w:pPr>
              <w:widowControl/>
              <w:spacing w:line="240" w:lineRule="auto"/>
              <w:ind w:firstLine="0" w:firstLineChars="0"/>
              <w:jc w:val="both"/>
              <w:rPr>
                <w:rFonts w:ascii="仿宋" w:hAnsi="仿宋" w:eastAsia="仿宋" w:cs="仿宋"/>
                <w:color w:val="auto"/>
                <w:highlight w:val="yellow"/>
              </w:rPr>
            </w:pPr>
          </w:p>
        </w:tc>
        <w:tc>
          <w:tcPr>
            <w:tcW w:w="228" w:type="pct"/>
            <w:tcBorders>
              <w:top w:val="nil"/>
              <w:left w:val="nil"/>
              <w:bottom w:val="single" w:color="auto" w:sz="4" w:space="0"/>
              <w:right w:val="single" w:color="auto" w:sz="4" w:space="0"/>
            </w:tcBorders>
            <w:shd w:val="clear" w:color="000000" w:fill="FFFFFF"/>
            <w:vAlign w:val="center"/>
          </w:tcPr>
          <w:p w14:paraId="175E00DB">
            <w:pPr>
              <w:widowControl/>
              <w:spacing w:line="240" w:lineRule="auto"/>
              <w:ind w:firstLine="0" w:firstLineChars="0"/>
              <w:jc w:val="both"/>
              <w:rPr>
                <w:rFonts w:ascii="仿宋" w:hAnsi="仿宋" w:eastAsia="仿宋" w:cs="仿宋"/>
                <w:color w:val="auto"/>
                <w:highlight w:val="yellow"/>
              </w:rPr>
            </w:pPr>
          </w:p>
        </w:tc>
        <w:tc>
          <w:tcPr>
            <w:tcW w:w="286" w:type="pct"/>
            <w:tcBorders>
              <w:top w:val="nil"/>
              <w:left w:val="nil"/>
              <w:bottom w:val="single" w:color="auto" w:sz="4" w:space="0"/>
              <w:right w:val="single" w:color="auto" w:sz="4" w:space="0"/>
            </w:tcBorders>
            <w:shd w:val="clear" w:color="000000" w:fill="FFFFFF"/>
            <w:vAlign w:val="center"/>
          </w:tcPr>
          <w:p w14:paraId="2093F997">
            <w:pPr>
              <w:widowControl/>
              <w:spacing w:line="240" w:lineRule="auto"/>
              <w:ind w:firstLine="0" w:firstLineChars="0"/>
              <w:jc w:val="both"/>
              <w:rPr>
                <w:rFonts w:ascii="仿宋" w:hAnsi="仿宋" w:eastAsia="仿宋" w:cs="仿宋"/>
                <w:color w:val="auto"/>
                <w:highlight w:val="yellow"/>
              </w:rPr>
            </w:pPr>
          </w:p>
        </w:tc>
      </w:tr>
      <w:tr w14:paraId="3E019EC7">
        <w:tblPrEx>
          <w:tblCellMar>
            <w:top w:w="0" w:type="dxa"/>
            <w:left w:w="108" w:type="dxa"/>
            <w:bottom w:w="0" w:type="dxa"/>
            <w:right w:w="108" w:type="dxa"/>
          </w:tblCellMar>
        </w:tblPrEx>
        <w:trPr>
          <w:trHeight w:val="1349" w:hRule="atLeast"/>
          <w:jc w:val="center"/>
        </w:trPr>
        <w:tc>
          <w:tcPr>
            <w:tcW w:w="630" w:type="pct"/>
            <w:vMerge w:val="restart"/>
            <w:tcBorders>
              <w:left w:val="single" w:color="auto" w:sz="4" w:space="0"/>
              <w:right w:val="single" w:color="auto" w:sz="4" w:space="0"/>
            </w:tcBorders>
            <w:shd w:val="clear" w:color="000000" w:fill="FFFFFF"/>
            <w:vAlign w:val="center"/>
          </w:tcPr>
          <w:p w14:paraId="030218CB">
            <w:pPr>
              <w:widowControl/>
              <w:spacing w:line="240" w:lineRule="auto"/>
              <w:ind w:firstLine="0" w:firstLineChars="0"/>
              <w:jc w:val="both"/>
              <w:rPr>
                <w:rFonts w:ascii="仿宋" w:hAnsi="仿宋" w:eastAsia="仿宋" w:cs="仿宋"/>
                <w:color w:val="auto"/>
                <w:highlight w:val="none"/>
              </w:rPr>
            </w:pPr>
            <w:r>
              <w:rPr>
                <w:rFonts w:hint="eastAsia" w:ascii="仿宋" w:hAnsi="仿宋" w:eastAsia="仿宋" w:cs="仿宋"/>
                <w:color w:val="auto"/>
                <w:highlight w:val="none"/>
              </w:rPr>
              <w:t>政策性加分（5分）</w:t>
            </w:r>
          </w:p>
        </w:tc>
        <w:tc>
          <w:tcPr>
            <w:tcW w:w="2546" w:type="pct"/>
            <w:gridSpan w:val="2"/>
            <w:tcBorders>
              <w:top w:val="nil"/>
              <w:left w:val="nil"/>
              <w:bottom w:val="single" w:color="auto" w:sz="4" w:space="0"/>
              <w:right w:val="single" w:color="auto" w:sz="4" w:space="0"/>
            </w:tcBorders>
            <w:shd w:val="clear" w:color="000000" w:fill="FFFFFF"/>
            <w:vAlign w:val="center"/>
          </w:tcPr>
          <w:p w14:paraId="567E6A89">
            <w:pPr>
              <w:widowControl/>
              <w:spacing w:line="240" w:lineRule="auto"/>
              <w:ind w:firstLine="0" w:firstLineChars="0"/>
              <w:rPr>
                <w:rFonts w:ascii="仿宋" w:hAnsi="仿宋" w:eastAsia="仿宋" w:cs="仿宋"/>
                <w:color w:val="auto"/>
                <w:kern w:val="0"/>
                <w:szCs w:val="21"/>
                <w:highlight w:val="none"/>
                <w:lang w:val="en"/>
              </w:rPr>
            </w:pPr>
            <w:r>
              <w:rPr>
                <w:rFonts w:hint="eastAsia" w:ascii="仿宋" w:hAnsi="仿宋" w:eastAsia="仿宋" w:cs="仿宋"/>
                <w:color w:val="auto"/>
                <w:kern w:val="0"/>
                <w:szCs w:val="21"/>
                <w:highlight w:val="none"/>
              </w:rPr>
              <w:t>节能产品：</w:t>
            </w:r>
          </w:p>
          <w:p w14:paraId="38CE6F26">
            <w:pPr>
              <w:widowControl/>
              <w:spacing w:line="240" w:lineRule="auto"/>
              <w:ind w:firstLine="0" w:firstLineChars="0"/>
              <w:rPr>
                <w:rFonts w:ascii="仿宋" w:hAnsi="仿宋" w:eastAsia="仿宋" w:cs="仿宋"/>
                <w:color w:val="auto"/>
                <w:kern w:val="0"/>
                <w:szCs w:val="21"/>
                <w:highlight w:val="none"/>
                <w:lang w:val="en"/>
              </w:rPr>
            </w:pPr>
            <w:r>
              <w:rPr>
                <w:rFonts w:hint="eastAsia" w:ascii="仿宋" w:hAnsi="仿宋" w:eastAsia="仿宋" w:cs="仿宋"/>
                <w:color w:val="auto"/>
                <w:kern w:val="0"/>
                <w:szCs w:val="21"/>
                <w:highlight w:val="none"/>
                <w:lang w:val="en"/>
              </w:rPr>
              <w:t>据黔财采﹝2014﹞15号，所投产品属于“节能产品清单”或“环保产品清单”有效期内中的产品（强制采购产品除外），每一项加0.5分；所投产品同时属于“节能产品清单”和“环保产品清单”两个清单中产品的，每一项加0.5分，最高不超过2分（需提供相关证明材料佐证）。</w:t>
            </w:r>
          </w:p>
        </w:tc>
        <w:tc>
          <w:tcPr>
            <w:tcW w:w="632" w:type="pct"/>
            <w:tcBorders>
              <w:top w:val="nil"/>
              <w:left w:val="nil"/>
              <w:bottom w:val="single" w:color="auto" w:sz="4" w:space="0"/>
              <w:right w:val="single" w:color="auto" w:sz="4" w:space="0"/>
            </w:tcBorders>
            <w:shd w:val="clear" w:color="000000" w:fill="FFFFFF"/>
            <w:vAlign w:val="center"/>
          </w:tcPr>
          <w:p w14:paraId="3E41DE49">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0-2分</w:t>
            </w:r>
          </w:p>
        </w:tc>
        <w:tc>
          <w:tcPr>
            <w:tcW w:w="372" w:type="pct"/>
            <w:tcBorders>
              <w:top w:val="nil"/>
              <w:left w:val="nil"/>
              <w:bottom w:val="single" w:color="auto" w:sz="4" w:space="0"/>
              <w:right w:val="single" w:color="auto" w:sz="4" w:space="0"/>
            </w:tcBorders>
            <w:shd w:val="clear" w:color="000000" w:fill="FFFFFF"/>
            <w:vAlign w:val="center"/>
          </w:tcPr>
          <w:p w14:paraId="75A4AD23">
            <w:pPr>
              <w:widowControl/>
              <w:spacing w:line="240" w:lineRule="auto"/>
              <w:ind w:firstLine="0" w:firstLineChars="0"/>
              <w:jc w:val="both"/>
              <w:rPr>
                <w:rFonts w:ascii="仿宋" w:hAnsi="仿宋" w:eastAsia="仿宋" w:cs="仿宋"/>
                <w:color w:val="auto"/>
                <w:highlight w:val="none"/>
              </w:rPr>
            </w:pPr>
          </w:p>
        </w:tc>
        <w:tc>
          <w:tcPr>
            <w:tcW w:w="303" w:type="pct"/>
            <w:tcBorders>
              <w:top w:val="nil"/>
              <w:left w:val="nil"/>
              <w:bottom w:val="single" w:color="auto" w:sz="4" w:space="0"/>
              <w:right w:val="single" w:color="auto" w:sz="4" w:space="0"/>
            </w:tcBorders>
            <w:shd w:val="clear" w:color="000000" w:fill="FFFFFF"/>
            <w:vAlign w:val="center"/>
          </w:tcPr>
          <w:p w14:paraId="1D997ACF">
            <w:pPr>
              <w:widowControl/>
              <w:spacing w:line="240" w:lineRule="auto"/>
              <w:ind w:firstLine="0" w:firstLineChars="0"/>
              <w:jc w:val="both"/>
              <w:rPr>
                <w:rFonts w:ascii="仿宋" w:hAnsi="仿宋" w:eastAsia="仿宋" w:cs="仿宋"/>
                <w:color w:val="auto"/>
                <w:highlight w:val="none"/>
              </w:rPr>
            </w:pPr>
          </w:p>
        </w:tc>
        <w:tc>
          <w:tcPr>
            <w:tcW w:w="228" w:type="pct"/>
            <w:tcBorders>
              <w:top w:val="nil"/>
              <w:left w:val="nil"/>
              <w:bottom w:val="single" w:color="auto" w:sz="4" w:space="0"/>
              <w:right w:val="single" w:color="auto" w:sz="4" w:space="0"/>
            </w:tcBorders>
            <w:shd w:val="clear" w:color="000000" w:fill="FFFFFF"/>
            <w:vAlign w:val="center"/>
          </w:tcPr>
          <w:p w14:paraId="7E98381F">
            <w:pPr>
              <w:widowControl/>
              <w:spacing w:line="240" w:lineRule="auto"/>
              <w:ind w:firstLine="0" w:firstLineChars="0"/>
              <w:jc w:val="both"/>
              <w:rPr>
                <w:rFonts w:ascii="仿宋" w:hAnsi="仿宋" w:eastAsia="仿宋" w:cs="仿宋"/>
                <w:color w:val="auto"/>
                <w:highlight w:val="none"/>
              </w:rPr>
            </w:pPr>
          </w:p>
        </w:tc>
        <w:tc>
          <w:tcPr>
            <w:tcW w:w="286" w:type="pct"/>
            <w:tcBorders>
              <w:top w:val="nil"/>
              <w:left w:val="nil"/>
              <w:bottom w:val="single" w:color="auto" w:sz="4" w:space="0"/>
              <w:right w:val="single" w:color="auto" w:sz="4" w:space="0"/>
            </w:tcBorders>
            <w:shd w:val="clear" w:color="000000" w:fill="FFFFFF"/>
            <w:vAlign w:val="center"/>
          </w:tcPr>
          <w:p w14:paraId="317FE23F">
            <w:pPr>
              <w:widowControl/>
              <w:spacing w:line="240" w:lineRule="auto"/>
              <w:ind w:firstLine="0" w:firstLineChars="0"/>
              <w:jc w:val="both"/>
              <w:rPr>
                <w:rFonts w:ascii="仿宋" w:hAnsi="仿宋" w:eastAsia="仿宋" w:cs="仿宋"/>
                <w:color w:val="auto"/>
                <w:highlight w:val="none"/>
              </w:rPr>
            </w:pPr>
          </w:p>
        </w:tc>
      </w:tr>
      <w:tr w14:paraId="1C74B6A9">
        <w:tblPrEx>
          <w:tblCellMar>
            <w:top w:w="0" w:type="dxa"/>
            <w:left w:w="108" w:type="dxa"/>
            <w:bottom w:w="0" w:type="dxa"/>
            <w:right w:w="108" w:type="dxa"/>
          </w:tblCellMar>
        </w:tblPrEx>
        <w:trPr>
          <w:trHeight w:val="1349" w:hRule="atLeast"/>
          <w:jc w:val="center"/>
        </w:trPr>
        <w:tc>
          <w:tcPr>
            <w:tcW w:w="630" w:type="pct"/>
            <w:vMerge w:val="continue"/>
            <w:tcBorders>
              <w:left w:val="single" w:color="auto" w:sz="4" w:space="0"/>
              <w:bottom w:val="single" w:color="auto" w:sz="4" w:space="0"/>
              <w:right w:val="single" w:color="auto" w:sz="4" w:space="0"/>
            </w:tcBorders>
            <w:shd w:val="clear" w:color="000000" w:fill="FFFFFF"/>
            <w:vAlign w:val="center"/>
          </w:tcPr>
          <w:p w14:paraId="394202B7">
            <w:pPr>
              <w:widowControl/>
              <w:spacing w:line="240" w:lineRule="auto"/>
              <w:ind w:firstLine="0" w:firstLineChars="0"/>
              <w:jc w:val="both"/>
              <w:rPr>
                <w:rFonts w:ascii="仿宋" w:hAnsi="仿宋" w:eastAsia="仿宋" w:cs="仿宋"/>
                <w:color w:val="auto"/>
                <w:highlight w:val="none"/>
              </w:rPr>
            </w:pPr>
          </w:p>
        </w:tc>
        <w:tc>
          <w:tcPr>
            <w:tcW w:w="2546" w:type="pct"/>
            <w:gridSpan w:val="2"/>
            <w:tcBorders>
              <w:top w:val="nil"/>
              <w:left w:val="nil"/>
              <w:bottom w:val="single" w:color="auto" w:sz="4" w:space="0"/>
              <w:right w:val="single" w:color="auto" w:sz="4" w:space="0"/>
            </w:tcBorders>
            <w:shd w:val="clear" w:color="000000" w:fill="FFFFFF"/>
            <w:vAlign w:val="center"/>
          </w:tcPr>
          <w:p w14:paraId="4F37B145">
            <w:pPr>
              <w:widowControl/>
              <w:spacing w:line="240" w:lineRule="auto"/>
              <w:ind w:firstLine="0" w:firstLineChars="0"/>
              <w:rPr>
                <w:rFonts w:ascii="仿宋" w:hAnsi="仿宋" w:eastAsia="仿宋" w:cs="仿宋"/>
                <w:color w:val="auto"/>
                <w:kern w:val="0"/>
                <w:szCs w:val="21"/>
                <w:highlight w:val="none"/>
                <w:lang w:val="en"/>
              </w:rPr>
            </w:pPr>
            <w:r>
              <w:rPr>
                <w:rFonts w:hint="eastAsia" w:ascii="仿宋" w:hAnsi="仿宋" w:eastAsia="仿宋" w:cs="仿宋"/>
                <w:color w:val="auto"/>
                <w:kern w:val="0"/>
                <w:szCs w:val="21"/>
                <w:highlight w:val="none"/>
                <w:lang w:val="en"/>
              </w:rPr>
              <w:t>少数民族地区：</w:t>
            </w:r>
          </w:p>
          <w:p w14:paraId="13B69C97">
            <w:pPr>
              <w:widowControl/>
              <w:spacing w:line="240" w:lineRule="auto"/>
              <w:ind w:firstLine="0" w:firstLineChars="0"/>
              <w:rPr>
                <w:rFonts w:ascii="仿宋" w:hAnsi="仿宋" w:eastAsia="仿宋" w:cs="仿宋"/>
                <w:color w:val="auto"/>
                <w:kern w:val="0"/>
                <w:szCs w:val="21"/>
                <w:highlight w:val="none"/>
                <w:lang w:val="en"/>
              </w:rPr>
            </w:pPr>
            <w:r>
              <w:rPr>
                <w:rFonts w:hint="eastAsia" w:ascii="仿宋" w:hAnsi="仿宋" w:eastAsia="仿宋" w:cs="仿宋"/>
                <w:color w:val="auto"/>
                <w:kern w:val="0"/>
                <w:szCs w:val="21"/>
                <w:highlight w:val="none"/>
                <w:lang w:val="en"/>
              </w:rPr>
              <w:t>根据黔财采（2014）15 号文件规定，对原产地在少数民族自治区和享受少数民族自治待遇的省份生产制造的投标主产品（不含附带产品），加3分（金额不得享受少数民族自治待遇的省份生产制造的投标主产品所投产品原产地在少数民族自治区或享受少数民族自治待遇的省份生产制造的投标主产品的企业对本次投标材料的真实性负完全责任。低于所投包采购预算的 50%），否则不得加分。对声明是原产地在少数民族自区和</w:t>
            </w:r>
          </w:p>
        </w:tc>
        <w:tc>
          <w:tcPr>
            <w:tcW w:w="632" w:type="pct"/>
            <w:tcBorders>
              <w:top w:val="nil"/>
              <w:left w:val="nil"/>
              <w:bottom w:val="single" w:color="auto" w:sz="4" w:space="0"/>
              <w:right w:val="single" w:color="auto" w:sz="4" w:space="0"/>
            </w:tcBorders>
            <w:shd w:val="clear" w:color="000000" w:fill="FFFFFF"/>
            <w:vAlign w:val="center"/>
          </w:tcPr>
          <w:p w14:paraId="29C397AB">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0-3分</w:t>
            </w:r>
          </w:p>
        </w:tc>
        <w:tc>
          <w:tcPr>
            <w:tcW w:w="372" w:type="pct"/>
            <w:tcBorders>
              <w:top w:val="nil"/>
              <w:left w:val="nil"/>
              <w:bottom w:val="single" w:color="auto" w:sz="4" w:space="0"/>
              <w:right w:val="single" w:color="auto" w:sz="4" w:space="0"/>
            </w:tcBorders>
            <w:shd w:val="clear" w:color="000000" w:fill="FFFFFF"/>
            <w:vAlign w:val="center"/>
          </w:tcPr>
          <w:p w14:paraId="65338217">
            <w:pPr>
              <w:widowControl/>
              <w:spacing w:line="240" w:lineRule="auto"/>
              <w:ind w:firstLine="0" w:firstLineChars="0"/>
              <w:jc w:val="both"/>
              <w:rPr>
                <w:rFonts w:ascii="仿宋" w:hAnsi="仿宋" w:eastAsia="仿宋" w:cs="仿宋"/>
                <w:color w:val="auto"/>
                <w:highlight w:val="none"/>
              </w:rPr>
            </w:pPr>
          </w:p>
        </w:tc>
        <w:tc>
          <w:tcPr>
            <w:tcW w:w="303" w:type="pct"/>
            <w:tcBorders>
              <w:top w:val="nil"/>
              <w:left w:val="nil"/>
              <w:bottom w:val="single" w:color="auto" w:sz="4" w:space="0"/>
              <w:right w:val="single" w:color="auto" w:sz="4" w:space="0"/>
            </w:tcBorders>
            <w:shd w:val="clear" w:color="000000" w:fill="FFFFFF"/>
            <w:vAlign w:val="center"/>
          </w:tcPr>
          <w:p w14:paraId="2E8DA33E">
            <w:pPr>
              <w:widowControl/>
              <w:spacing w:line="240" w:lineRule="auto"/>
              <w:ind w:firstLine="0" w:firstLineChars="0"/>
              <w:jc w:val="both"/>
              <w:rPr>
                <w:rFonts w:ascii="仿宋" w:hAnsi="仿宋" w:eastAsia="仿宋" w:cs="仿宋"/>
                <w:color w:val="auto"/>
                <w:highlight w:val="none"/>
              </w:rPr>
            </w:pPr>
          </w:p>
        </w:tc>
        <w:tc>
          <w:tcPr>
            <w:tcW w:w="228" w:type="pct"/>
            <w:tcBorders>
              <w:top w:val="nil"/>
              <w:left w:val="nil"/>
              <w:bottom w:val="single" w:color="auto" w:sz="4" w:space="0"/>
              <w:right w:val="single" w:color="auto" w:sz="4" w:space="0"/>
            </w:tcBorders>
            <w:shd w:val="clear" w:color="000000" w:fill="FFFFFF"/>
            <w:vAlign w:val="center"/>
          </w:tcPr>
          <w:p w14:paraId="6C2DF5C1">
            <w:pPr>
              <w:widowControl/>
              <w:spacing w:line="240" w:lineRule="auto"/>
              <w:ind w:firstLine="0" w:firstLineChars="0"/>
              <w:jc w:val="both"/>
              <w:rPr>
                <w:rFonts w:ascii="仿宋" w:hAnsi="仿宋" w:eastAsia="仿宋" w:cs="仿宋"/>
                <w:color w:val="auto"/>
                <w:highlight w:val="none"/>
              </w:rPr>
            </w:pPr>
          </w:p>
        </w:tc>
        <w:tc>
          <w:tcPr>
            <w:tcW w:w="286" w:type="pct"/>
            <w:tcBorders>
              <w:top w:val="nil"/>
              <w:left w:val="nil"/>
              <w:bottom w:val="single" w:color="auto" w:sz="4" w:space="0"/>
              <w:right w:val="single" w:color="auto" w:sz="4" w:space="0"/>
            </w:tcBorders>
            <w:shd w:val="clear" w:color="000000" w:fill="FFFFFF"/>
            <w:vAlign w:val="center"/>
          </w:tcPr>
          <w:p w14:paraId="10A5D596">
            <w:pPr>
              <w:widowControl/>
              <w:spacing w:line="240" w:lineRule="auto"/>
              <w:ind w:firstLine="0" w:firstLineChars="0"/>
              <w:jc w:val="both"/>
              <w:rPr>
                <w:rFonts w:ascii="仿宋" w:hAnsi="仿宋" w:eastAsia="仿宋" w:cs="仿宋"/>
                <w:color w:val="auto"/>
                <w:highlight w:val="none"/>
              </w:rPr>
            </w:pPr>
          </w:p>
        </w:tc>
      </w:tr>
      <w:tr w14:paraId="4530294F">
        <w:tblPrEx>
          <w:tblCellMar>
            <w:top w:w="0" w:type="dxa"/>
            <w:left w:w="108" w:type="dxa"/>
            <w:bottom w:w="0" w:type="dxa"/>
            <w:right w:w="108" w:type="dxa"/>
          </w:tblCellMar>
        </w:tblPrEx>
        <w:trPr>
          <w:trHeight w:val="465" w:hRule="atLeast"/>
          <w:jc w:val="center"/>
        </w:trPr>
        <w:tc>
          <w:tcPr>
            <w:tcW w:w="3176" w:type="pct"/>
            <w:gridSpan w:val="3"/>
            <w:tcBorders>
              <w:left w:val="single" w:color="auto" w:sz="4" w:space="0"/>
              <w:bottom w:val="single" w:color="auto" w:sz="4" w:space="0"/>
              <w:right w:val="single" w:color="auto" w:sz="4" w:space="0"/>
            </w:tcBorders>
            <w:shd w:val="clear" w:color="000000" w:fill="FFFFFF"/>
            <w:vAlign w:val="center"/>
          </w:tcPr>
          <w:p w14:paraId="0E8BF4C7">
            <w:pPr>
              <w:widowControl/>
              <w:spacing w:line="240" w:lineRule="auto"/>
              <w:ind w:firstLine="0" w:firstLineChars="0"/>
              <w:jc w:val="center"/>
              <w:rPr>
                <w:rFonts w:ascii="仿宋" w:hAnsi="仿宋" w:eastAsia="仿宋" w:cs="仿宋"/>
                <w:color w:val="auto"/>
                <w:kern w:val="0"/>
                <w:szCs w:val="21"/>
                <w:highlight w:val="none"/>
                <w:lang w:val="en"/>
              </w:rPr>
            </w:pPr>
            <w:r>
              <w:rPr>
                <w:rFonts w:hint="eastAsia" w:ascii="仿宋" w:hAnsi="仿宋" w:eastAsia="仿宋" w:cs="仿宋"/>
                <w:color w:val="auto"/>
                <w:kern w:val="0"/>
                <w:szCs w:val="21"/>
                <w:highlight w:val="none"/>
                <w:lang w:val="en"/>
              </w:rPr>
              <w:t>得分</w:t>
            </w:r>
          </w:p>
        </w:tc>
        <w:tc>
          <w:tcPr>
            <w:tcW w:w="632" w:type="pct"/>
            <w:tcBorders>
              <w:top w:val="nil"/>
              <w:left w:val="nil"/>
              <w:bottom w:val="single" w:color="auto" w:sz="4" w:space="0"/>
              <w:right w:val="single" w:color="auto" w:sz="4" w:space="0"/>
            </w:tcBorders>
            <w:shd w:val="clear" w:color="000000" w:fill="FFFFFF"/>
            <w:vAlign w:val="center"/>
          </w:tcPr>
          <w:p w14:paraId="55FBB2E8">
            <w:pPr>
              <w:widowControl/>
              <w:spacing w:line="24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1</w:t>
            </w:r>
            <w:r>
              <w:rPr>
                <w:rFonts w:ascii="仿宋" w:hAnsi="仿宋" w:eastAsia="仿宋" w:cs="仿宋"/>
                <w:color w:val="auto"/>
                <w:highlight w:val="none"/>
              </w:rPr>
              <w:t>05</w:t>
            </w:r>
            <w:r>
              <w:rPr>
                <w:rFonts w:hint="eastAsia" w:ascii="仿宋" w:hAnsi="仿宋" w:eastAsia="仿宋" w:cs="仿宋"/>
                <w:color w:val="auto"/>
                <w:highlight w:val="none"/>
              </w:rPr>
              <w:t>分</w:t>
            </w:r>
          </w:p>
        </w:tc>
        <w:tc>
          <w:tcPr>
            <w:tcW w:w="372" w:type="pct"/>
            <w:tcBorders>
              <w:top w:val="nil"/>
              <w:left w:val="nil"/>
              <w:bottom w:val="single" w:color="auto" w:sz="4" w:space="0"/>
              <w:right w:val="single" w:color="auto" w:sz="4" w:space="0"/>
            </w:tcBorders>
            <w:shd w:val="clear" w:color="000000" w:fill="FFFFFF"/>
            <w:vAlign w:val="center"/>
          </w:tcPr>
          <w:p w14:paraId="65CDE20C">
            <w:pPr>
              <w:widowControl/>
              <w:spacing w:line="240" w:lineRule="auto"/>
              <w:ind w:firstLine="0" w:firstLineChars="0"/>
              <w:jc w:val="both"/>
              <w:rPr>
                <w:rFonts w:ascii="仿宋" w:hAnsi="仿宋" w:eastAsia="仿宋" w:cs="仿宋"/>
                <w:color w:val="auto"/>
                <w:highlight w:val="none"/>
              </w:rPr>
            </w:pPr>
          </w:p>
        </w:tc>
        <w:tc>
          <w:tcPr>
            <w:tcW w:w="303" w:type="pct"/>
            <w:tcBorders>
              <w:top w:val="nil"/>
              <w:left w:val="nil"/>
              <w:bottom w:val="single" w:color="auto" w:sz="4" w:space="0"/>
              <w:right w:val="single" w:color="auto" w:sz="4" w:space="0"/>
            </w:tcBorders>
            <w:shd w:val="clear" w:color="000000" w:fill="FFFFFF"/>
            <w:vAlign w:val="center"/>
          </w:tcPr>
          <w:p w14:paraId="08DBBC58">
            <w:pPr>
              <w:widowControl/>
              <w:spacing w:line="240" w:lineRule="auto"/>
              <w:ind w:firstLine="0" w:firstLineChars="0"/>
              <w:jc w:val="both"/>
              <w:rPr>
                <w:rFonts w:ascii="仿宋" w:hAnsi="仿宋" w:eastAsia="仿宋" w:cs="仿宋"/>
                <w:color w:val="auto"/>
                <w:highlight w:val="none"/>
              </w:rPr>
            </w:pPr>
          </w:p>
        </w:tc>
        <w:tc>
          <w:tcPr>
            <w:tcW w:w="228" w:type="pct"/>
            <w:tcBorders>
              <w:top w:val="nil"/>
              <w:left w:val="nil"/>
              <w:bottom w:val="single" w:color="auto" w:sz="4" w:space="0"/>
              <w:right w:val="single" w:color="auto" w:sz="4" w:space="0"/>
            </w:tcBorders>
            <w:shd w:val="clear" w:color="000000" w:fill="FFFFFF"/>
            <w:vAlign w:val="center"/>
          </w:tcPr>
          <w:p w14:paraId="04B6A73D">
            <w:pPr>
              <w:widowControl/>
              <w:spacing w:line="240" w:lineRule="auto"/>
              <w:ind w:firstLine="0" w:firstLineChars="0"/>
              <w:jc w:val="both"/>
              <w:rPr>
                <w:rFonts w:ascii="仿宋" w:hAnsi="仿宋" w:eastAsia="仿宋" w:cs="仿宋"/>
                <w:color w:val="auto"/>
                <w:highlight w:val="none"/>
              </w:rPr>
            </w:pPr>
          </w:p>
        </w:tc>
        <w:tc>
          <w:tcPr>
            <w:tcW w:w="286" w:type="pct"/>
            <w:tcBorders>
              <w:top w:val="nil"/>
              <w:left w:val="nil"/>
              <w:bottom w:val="single" w:color="auto" w:sz="4" w:space="0"/>
              <w:right w:val="single" w:color="auto" w:sz="4" w:space="0"/>
            </w:tcBorders>
            <w:shd w:val="clear" w:color="000000" w:fill="FFFFFF"/>
            <w:vAlign w:val="center"/>
          </w:tcPr>
          <w:p w14:paraId="7F59F6CD">
            <w:pPr>
              <w:widowControl/>
              <w:spacing w:line="240" w:lineRule="auto"/>
              <w:ind w:firstLine="0" w:firstLineChars="0"/>
              <w:jc w:val="both"/>
              <w:rPr>
                <w:rFonts w:ascii="仿宋" w:hAnsi="仿宋" w:eastAsia="仿宋" w:cs="仿宋"/>
                <w:color w:val="auto"/>
                <w:highlight w:val="none"/>
              </w:rPr>
            </w:pPr>
          </w:p>
        </w:tc>
      </w:tr>
      <w:tr w14:paraId="0942D263">
        <w:tblPrEx>
          <w:tblCellMar>
            <w:top w:w="0" w:type="dxa"/>
            <w:left w:w="108" w:type="dxa"/>
            <w:bottom w:w="0" w:type="dxa"/>
            <w:right w:w="108" w:type="dxa"/>
          </w:tblCellMar>
        </w:tblPrEx>
        <w:trPr>
          <w:trHeight w:val="420" w:hRule="atLeast"/>
          <w:jc w:val="center"/>
        </w:trPr>
        <w:tc>
          <w:tcPr>
            <w:tcW w:w="5000" w:type="pct"/>
            <w:gridSpan w:val="8"/>
            <w:tcBorders>
              <w:top w:val="nil"/>
              <w:left w:val="nil"/>
              <w:bottom w:val="nil"/>
              <w:right w:val="nil"/>
            </w:tcBorders>
            <w:shd w:val="clear" w:color="000000" w:fill="FFFFFF"/>
            <w:vAlign w:val="center"/>
          </w:tcPr>
          <w:p w14:paraId="54F61AAD">
            <w:pPr>
              <w:widowControl/>
              <w:spacing w:line="24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磋商专家（签字）：</w:t>
            </w:r>
          </w:p>
        </w:tc>
      </w:tr>
      <w:tr w14:paraId="4E421E87">
        <w:tblPrEx>
          <w:tblCellMar>
            <w:top w:w="0" w:type="dxa"/>
            <w:left w:w="108" w:type="dxa"/>
            <w:bottom w:w="0" w:type="dxa"/>
            <w:right w:w="108" w:type="dxa"/>
          </w:tblCellMar>
        </w:tblPrEx>
        <w:trPr>
          <w:trHeight w:val="420" w:hRule="atLeast"/>
          <w:jc w:val="center"/>
        </w:trPr>
        <w:tc>
          <w:tcPr>
            <w:tcW w:w="5000" w:type="pct"/>
            <w:gridSpan w:val="8"/>
            <w:tcBorders>
              <w:top w:val="nil"/>
              <w:left w:val="nil"/>
              <w:bottom w:val="nil"/>
              <w:right w:val="nil"/>
            </w:tcBorders>
            <w:shd w:val="clear" w:color="000000" w:fill="FFFFFF"/>
            <w:vAlign w:val="center"/>
          </w:tcPr>
          <w:p w14:paraId="18E0D7CC">
            <w:pPr>
              <w:widowControl/>
              <w:spacing w:line="240" w:lineRule="auto"/>
              <w:ind w:firstLine="0" w:firstLineChars="0"/>
              <w:rPr>
                <w:rFonts w:ascii="仿宋" w:hAnsi="仿宋" w:eastAsia="仿宋" w:cs="仿宋"/>
                <w:color w:val="auto"/>
                <w:highlight w:val="none"/>
              </w:rPr>
            </w:pPr>
          </w:p>
        </w:tc>
      </w:tr>
    </w:tbl>
    <w:p w14:paraId="7E10469E">
      <w:pPr>
        <w:widowControl/>
        <w:wordWrap w:val="0"/>
        <w:topLinePunct/>
        <w:ind w:left="0" w:leftChars="0" w:firstLine="120" w:firstLineChars="50"/>
        <w:rPr>
          <w:rFonts w:hint="eastAsia" w:ascii="仿宋" w:hAnsi="仿宋" w:eastAsia="仿宋" w:cstheme="minorEastAsia"/>
          <w:color w:val="auto"/>
          <w:highlight w:val="none"/>
        </w:rPr>
      </w:pPr>
    </w:p>
    <w:p w14:paraId="791BD967">
      <w:pPr>
        <w:widowControl/>
        <w:wordWrap w:val="0"/>
        <w:topLinePunct/>
        <w:ind w:left="0" w:leftChars="0" w:firstLine="120" w:firstLineChars="50"/>
        <w:rPr>
          <w:rFonts w:ascii="仿宋" w:hAnsi="仿宋" w:eastAsia="仿宋" w:cstheme="minorEastAsia"/>
          <w:color w:val="auto"/>
          <w:highlight w:val="none"/>
        </w:rPr>
      </w:pPr>
      <w:r>
        <w:rPr>
          <w:rFonts w:hint="eastAsia" w:ascii="仿宋" w:hAnsi="仿宋" w:eastAsia="仿宋" w:cstheme="minorEastAsia"/>
          <w:color w:val="auto"/>
          <w:highlight w:val="none"/>
        </w:rPr>
        <w:t>3.价格分的计算</w:t>
      </w:r>
    </w:p>
    <w:p w14:paraId="3963FD3F">
      <w:pPr>
        <w:wordWrap w:val="0"/>
        <w:topLinePunct/>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价格分采用低价优先法计算，即满足采购文件要求的前提下，最低有效磋商报价作为评标基准价，其价格分为满分。其余供应商价格分统一按照下列公式计算：</w:t>
      </w:r>
    </w:p>
    <w:p w14:paraId="44EEF17A">
      <w:pPr>
        <w:wordWrap w:val="0"/>
        <w:topLinePunct/>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磋商报价得分＝（评标基准价／磋商报价）×价格权值×100</w:t>
      </w:r>
    </w:p>
    <w:p w14:paraId="2235CDCD">
      <w:pPr>
        <w:wordWrap w:val="0"/>
        <w:topLinePunct/>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综合评分法货物类采购项目的价格分值占总分值的比重(即权值)为大于等于30％；服务类项目的价格分值占总分值的比重(即权值)为大于等于10％。执行统一价格标准的服务项目，其价格不列为评分因素。</w:t>
      </w:r>
    </w:p>
    <w:p w14:paraId="0FDAF415">
      <w:pPr>
        <w:wordWrap w:val="0"/>
        <w:topLinePunct/>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（1）价格扣除政策</w:t>
      </w:r>
    </w:p>
    <w:p w14:paraId="4AD009EE">
      <w:pPr>
        <w:widowControl/>
        <w:spacing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根据《政府采购促进中小企业发展管理办法》财库〔2020〕46号、</w:t>
      </w:r>
      <w:r>
        <w:rPr>
          <w:rFonts w:ascii="仿宋" w:hAnsi="仿宋" w:eastAsia="仿宋" w:cstheme="minorEastAsia"/>
          <w:color w:val="auto"/>
          <w:highlight w:val="none"/>
        </w:rPr>
        <w:t>关于政府采购支持监狱企业发展有关问题的通知(财库〔2014〕68号)</w:t>
      </w:r>
      <w:r>
        <w:rPr>
          <w:rFonts w:hint="eastAsia" w:ascii="仿宋" w:hAnsi="仿宋" w:eastAsia="仿宋" w:cstheme="minorEastAsia"/>
          <w:color w:val="auto"/>
          <w:highlight w:val="none"/>
        </w:rPr>
        <w:t>、关于促进残疾人就业政府采购政策的通知（财库〔2017〕141号）及相关规定，在技术、商务等均满足采购需求的前提下，本项目对享受价格扣除政策企业的产品给予</w:t>
      </w:r>
      <w:r>
        <w:rPr>
          <w:rFonts w:hint="eastAsia" w:ascii="仿宋" w:hAnsi="仿宋" w:eastAsia="仿宋" w:cstheme="minorEastAsia"/>
          <w:color w:val="auto"/>
          <w:highlight w:val="none"/>
          <w:u w:val="single"/>
        </w:rPr>
        <w:t xml:space="preserve"> </w:t>
      </w:r>
      <w:r>
        <w:rPr>
          <w:rFonts w:hint="default" w:ascii="仿宋" w:hAnsi="仿宋" w:eastAsia="仿宋" w:cstheme="minorEastAsia"/>
          <w:color w:val="auto"/>
          <w:highlight w:val="none"/>
          <w:u w:val="single"/>
          <w:lang w:val="en-US"/>
        </w:rPr>
        <w:t>10</w:t>
      </w:r>
      <w:r>
        <w:rPr>
          <w:rFonts w:hint="eastAsia" w:ascii="仿宋" w:hAnsi="仿宋" w:eastAsia="仿宋" w:cstheme="minorEastAsia"/>
          <w:color w:val="auto"/>
          <w:highlight w:val="none"/>
          <w:u w:val="single"/>
        </w:rPr>
        <w:t xml:space="preserve">% </w:t>
      </w:r>
      <w:r>
        <w:rPr>
          <w:rFonts w:hint="eastAsia" w:ascii="仿宋" w:hAnsi="仿宋" w:eastAsia="仿宋" w:cstheme="minorEastAsia"/>
          <w:color w:val="auto"/>
          <w:highlight w:val="none"/>
        </w:rPr>
        <w:t>的价格扣除，用扣除后的价格参与评审(说明：1、</w:t>
      </w:r>
      <w:r>
        <w:rPr>
          <w:rFonts w:ascii="仿宋" w:hAnsi="仿宋" w:eastAsia="仿宋" w:cstheme="minorEastAsia"/>
          <w:color w:val="auto"/>
          <w:highlight w:val="none"/>
        </w:rPr>
        <w:t>监狱企业视同小型、微型企业，享受预留份额、评审中价格扣除等政府采购促进中小企业发展的政府采购政策</w:t>
      </w:r>
      <w:r>
        <w:rPr>
          <w:rFonts w:hint="eastAsia" w:ascii="仿宋" w:hAnsi="仿宋" w:eastAsia="仿宋" w:cstheme="minorEastAsia"/>
          <w:color w:val="auto"/>
          <w:highlight w:val="none"/>
        </w:rPr>
        <w:t>，残疾人福利性单位属于小型、微型企业的，不重复享受政策)。2、</w:t>
      </w:r>
      <w:r>
        <w:rPr>
          <w:rFonts w:ascii="仿宋" w:hAnsi="仿宋" w:eastAsia="仿宋" w:cstheme="minorEastAsia"/>
          <w:color w:val="auto"/>
          <w:highlight w:val="none"/>
        </w:rPr>
        <w:t>对于经主管预算单位统筹后未预留份额专门</w:t>
      </w:r>
      <w:r>
        <w:rPr>
          <w:rFonts w:hint="eastAsia" w:ascii="仿宋" w:hAnsi="仿宋" w:eastAsia="仿宋" w:cstheme="minorEastAsia"/>
          <w:color w:val="auto"/>
          <w:highlight w:val="none"/>
        </w:rPr>
        <w:t>面向中小企业采购的采购项目，以及预留份额项目中的非预留部分采购包，采购人、采购代理机构应当对符合本办法规定的小微企业报价给予</w:t>
      </w:r>
      <w:r>
        <w:rPr>
          <w:rFonts w:hint="default" w:ascii="仿宋" w:hAnsi="仿宋" w:eastAsia="仿宋" w:cstheme="minorEastAsia"/>
          <w:color w:val="auto"/>
          <w:highlight w:val="none"/>
          <w:lang w:val="en-US"/>
        </w:rPr>
        <w:t>10</w:t>
      </w:r>
      <w:r>
        <w:rPr>
          <w:rFonts w:hint="eastAsia" w:ascii="仿宋" w:hAnsi="仿宋" w:eastAsia="仿宋" w:cstheme="minorEastAsia"/>
          <w:color w:val="auto"/>
          <w:highlight w:val="none"/>
        </w:rPr>
        <w:t>%—</w:t>
      </w:r>
      <w:r>
        <w:rPr>
          <w:rFonts w:hint="default" w:ascii="仿宋" w:hAnsi="仿宋" w:eastAsia="仿宋" w:cstheme="minorEastAsia"/>
          <w:color w:val="auto"/>
          <w:highlight w:val="none"/>
          <w:lang w:val="en-US"/>
        </w:rPr>
        <w:t>2</w:t>
      </w:r>
      <w:r>
        <w:rPr>
          <w:rFonts w:hint="eastAsia" w:ascii="仿宋" w:hAnsi="仿宋" w:eastAsia="仿宋" w:cstheme="minorEastAsia"/>
          <w:color w:val="auto"/>
          <w:highlight w:val="none"/>
        </w:rPr>
        <w:t>0%（由招标代理机构确定具体数值）的扣除，用扣除后的价格参加评审。3、</w:t>
      </w:r>
      <w:r>
        <w:rPr>
          <w:rFonts w:ascii="仿宋" w:hAnsi="仿宋" w:eastAsia="仿宋" w:cstheme="minorEastAsia"/>
          <w:color w:val="auto"/>
          <w:highlight w:val="none"/>
        </w:rPr>
        <w:t>接受大中型企业与小微企业组成联合体或者允许大中</w:t>
      </w:r>
      <w:r>
        <w:rPr>
          <w:rFonts w:hint="eastAsia" w:ascii="仿宋" w:hAnsi="仿宋" w:eastAsia="仿宋" w:cstheme="minorEastAsia"/>
          <w:color w:val="auto"/>
          <w:highlight w:val="none"/>
        </w:rPr>
        <w:t>型企业向一家或者多家小微企业分包的采购项目，对于联合协议或者分包意向协议约定小微企业的合同份额占到合同总金额30%以上的，采购人、采购代理机构应当对联合体或者大中型企业的报价给予</w:t>
      </w:r>
      <w:r>
        <w:rPr>
          <w:rFonts w:hint="default" w:ascii="仿宋" w:hAnsi="仿宋" w:eastAsia="仿宋" w:cstheme="minorEastAsia"/>
          <w:color w:val="auto"/>
          <w:highlight w:val="none"/>
          <w:lang w:val="en-US"/>
        </w:rPr>
        <w:t>4</w:t>
      </w:r>
      <w:r>
        <w:rPr>
          <w:rFonts w:hint="eastAsia" w:ascii="仿宋" w:hAnsi="仿宋" w:eastAsia="仿宋" w:cstheme="minorEastAsia"/>
          <w:color w:val="auto"/>
          <w:highlight w:val="none"/>
        </w:rPr>
        <w:t>%-</w:t>
      </w:r>
      <w:r>
        <w:rPr>
          <w:rFonts w:hint="default" w:ascii="仿宋" w:hAnsi="仿宋" w:eastAsia="仿宋" w:cstheme="minorEastAsia"/>
          <w:color w:val="auto"/>
          <w:highlight w:val="none"/>
          <w:lang w:val="en-US"/>
        </w:rPr>
        <w:t>6</w:t>
      </w:r>
      <w:r>
        <w:rPr>
          <w:rFonts w:hint="eastAsia" w:ascii="仿宋" w:hAnsi="仿宋" w:eastAsia="仿宋" w:cstheme="minorEastAsia"/>
          <w:color w:val="auto"/>
          <w:highlight w:val="none"/>
        </w:rPr>
        <w:t>%（由招标代理机构确定具体数值）的扣除（由招标代理机构确定具体数值），用扣除后的价格参加评审。）。</w:t>
      </w:r>
    </w:p>
    <w:p w14:paraId="0EE01409">
      <w:pPr>
        <w:widowControl/>
        <w:spacing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组成联合体或者接受分包的小微企业与联合体内其他企业、分包企业之间存在直接控股、管理关系的，不享受价格扣除优惠政策。</w:t>
      </w:r>
    </w:p>
    <w:p w14:paraId="03AE265A">
      <w:pPr>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价格扣除只针对磋商报价未超过财政控制值的供应商有效。</w:t>
      </w:r>
    </w:p>
    <w:p w14:paraId="3BB0B112">
      <w:pPr>
        <w:ind w:firstLine="480"/>
        <w:rPr>
          <w:rFonts w:ascii="仿宋" w:hAnsi="仿宋" w:eastAsia="仿宋" w:cstheme="minorEastAsia"/>
          <w:color w:val="auto"/>
          <w:highlight w:val="none"/>
        </w:rPr>
      </w:pPr>
      <w:bookmarkStart w:id="36" w:name="_Toc406671100"/>
      <w:bookmarkStart w:id="37" w:name="_Toc406671688"/>
      <w:bookmarkStart w:id="38" w:name="_Toc406670729"/>
      <w:r>
        <w:rPr>
          <w:rFonts w:hint="eastAsia" w:ascii="仿宋" w:hAnsi="仿宋" w:eastAsia="仿宋" w:cstheme="minorEastAsia"/>
          <w:color w:val="auto"/>
          <w:highlight w:val="none"/>
        </w:rPr>
        <w:br w:type="page"/>
      </w:r>
    </w:p>
    <w:p w14:paraId="74224730">
      <w:pPr>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（2）价格分值计算表：</w:t>
      </w:r>
      <w:bookmarkEnd w:id="36"/>
      <w:bookmarkEnd w:id="37"/>
      <w:bookmarkEnd w:id="38"/>
    </w:p>
    <w:p w14:paraId="015FAE93">
      <w:pPr>
        <w:spacing w:line="240" w:lineRule="auto"/>
        <w:ind w:firstLine="723"/>
        <w:jc w:val="center"/>
        <w:rPr>
          <w:rFonts w:ascii="仿宋" w:hAnsi="仿宋" w:eastAsia="仿宋" w:cstheme="minorEastAsia"/>
          <w:color w:val="auto"/>
          <w:highlight w:val="none"/>
        </w:rPr>
      </w:pPr>
      <w:r>
        <w:rPr>
          <w:rFonts w:hint="eastAsia" w:ascii="仿宋" w:hAnsi="仿宋" w:eastAsia="仿宋" w:cstheme="minorEastAsia"/>
          <w:b/>
          <w:bCs/>
          <w:color w:val="auto"/>
          <w:kern w:val="0"/>
          <w:sz w:val="36"/>
          <w:szCs w:val="36"/>
          <w:highlight w:val="none"/>
          <w:u w:val="single"/>
        </w:rPr>
        <w:t>价 格 分 值 计 算 表</w:t>
      </w:r>
    </w:p>
    <w:tbl>
      <w:tblPr>
        <w:tblStyle w:val="27"/>
        <w:tblW w:w="5000" w:type="pct"/>
        <w:jc w:val="center"/>
        <w:tblLayout w:type="autofit"/>
        <w:tblCellMar>
          <w:top w:w="0" w:type="dxa"/>
          <w:left w:w="108" w:type="dxa"/>
          <w:bottom w:w="0" w:type="dxa"/>
          <w:right w:w="108" w:type="dxa"/>
        </w:tblCellMar>
      </w:tblPr>
      <w:tblGrid>
        <w:gridCol w:w="497"/>
        <w:gridCol w:w="1426"/>
        <w:gridCol w:w="1653"/>
        <w:gridCol w:w="1283"/>
        <w:gridCol w:w="1446"/>
        <w:gridCol w:w="1118"/>
        <w:gridCol w:w="759"/>
        <w:gridCol w:w="765"/>
      </w:tblGrid>
      <w:tr w14:paraId="1765452B">
        <w:tblPrEx>
          <w:tblCellMar>
            <w:top w:w="0" w:type="dxa"/>
            <w:left w:w="108" w:type="dxa"/>
            <w:bottom w:w="0" w:type="dxa"/>
            <w:right w:w="108" w:type="dxa"/>
          </w:tblCellMar>
        </w:tblPrEx>
        <w:trPr>
          <w:gridAfter w:val="1"/>
          <w:wAfter w:w="427" w:type="pct"/>
          <w:trHeight w:val="334" w:hRule="atLeast"/>
          <w:jc w:val="center"/>
        </w:trPr>
        <w:tc>
          <w:tcPr>
            <w:tcW w:w="4573" w:type="pct"/>
            <w:gridSpan w:val="7"/>
            <w:tcBorders>
              <w:top w:val="nil"/>
              <w:left w:val="nil"/>
              <w:bottom w:val="nil"/>
              <w:right w:val="nil"/>
            </w:tcBorders>
            <w:shd w:val="clear" w:color="000000" w:fill="FFFFFF"/>
          </w:tcPr>
          <w:p w14:paraId="58456BC3">
            <w:pPr>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项目名称：</w:t>
            </w:r>
          </w:p>
        </w:tc>
      </w:tr>
      <w:tr w14:paraId="0B65C877">
        <w:tblPrEx>
          <w:tblCellMar>
            <w:top w:w="0" w:type="dxa"/>
            <w:left w:w="108" w:type="dxa"/>
            <w:bottom w:w="0" w:type="dxa"/>
            <w:right w:w="108" w:type="dxa"/>
          </w:tblCellMar>
        </w:tblPrEx>
        <w:trPr>
          <w:gridAfter w:val="1"/>
          <w:wAfter w:w="427" w:type="pct"/>
          <w:trHeight w:val="398" w:hRule="atLeast"/>
          <w:jc w:val="center"/>
        </w:trPr>
        <w:tc>
          <w:tcPr>
            <w:tcW w:w="4573" w:type="pct"/>
            <w:gridSpan w:val="7"/>
            <w:tcBorders>
              <w:top w:val="nil"/>
              <w:left w:val="nil"/>
              <w:bottom w:val="nil"/>
              <w:right w:val="nil"/>
            </w:tcBorders>
            <w:shd w:val="clear" w:color="000000" w:fill="FFFFFF"/>
          </w:tcPr>
          <w:p w14:paraId="2E7F3728">
            <w:pPr>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项目编号：</w:t>
            </w:r>
          </w:p>
        </w:tc>
      </w:tr>
      <w:tr w14:paraId="0AEA4BE6">
        <w:tblPrEx>
          <w:tblCellMar>
            <w:top w:w="0" w:type="dxa"/>
            <w:left w:w="108" w:type="dxa"/>
            <w:bottom w:w="0" w:type="dxa"/>
            <w:right w:w="108" w:type="dxa"/>
          </w:tblCellMar>
        </w:tblPrEx>
        <w:trPr>
          <w:gridAfter w:val="1"/>
          <w:wAfter w:w="427" w:type="pct"/>
          <w:trHeight w:val="382" w:hRule="atLeast"/>
          <w:jc w:val="center"/>
        </w:trPr>
        <w:tc>
          <w:tcPr>
            <w:tcW w:w="4573" w:type="pct"/>
            <w:gridSpan w:val="7"/>
            <w:tcBorders>
              <w:top w:val="nil"/>
              <w:left w:val="nil"/>
              <w:bottom w:val="nil"/>
              <w:right w:val="nil"/>
            </w:tcBorders>
            <w:shd w:val="clear" w:color="000000" w:fill="FFFFFF"/>
          </w:tcPr>
          <w:p w14:paraId="61B5BC4A">
            <w:pPr>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lang w:eastAsia="zh-CN"/>
              </w:rPr>
              <w:t>磋商</w:t>
            </w:r>
            <w:r>
              <w:rPr>
                <w:rFonts w:hint="eastAsia" w:ascii="仿宋" w:hAnsi="仿宋" w:eastAsia="仿宋" w:cstheme="minorEastAsia"/>
                <w:color w:val="auto"/>
                <w:highlight w:val="none"/>
              </w:rPr>
              <w:t>地点：贵州省公共资源交易中心                          202</w:t>
            </w:r>
            <w:r>
              <w:rPr>
                <w:rFonts w:hint="eastAsia" w:ascii="仿宋" w:hAnsi="仿宋" w:eastAsia="仿宋" w:cstheme="minorEastAsia"/>
                <w:color w:val="auto"/>
                <w:highlight w:val="none"/>
                <w:lang w:val="en-US" w:eastAsia="zh-CN"/>
              </w:rPr>
              <w:t>5</w:t>
            </w:r>
            <w:r>
              <w:rPr>
                <w:rFonts w:hint="eastAsia" w:ascii="仿宋" w:hAnsi="仿宋" w:eastAsia="仿宋" w:cstheme="minorEastAsia"/>
                <w:color w:val="auto"/>
                <w:highlight w:val="none"/>
              </w:rPr>
              <w:t>.X.X</w:t>
            </w:r>
          </w:p>
        </w:tc>
      </w:tr>
      <w:tr w14:paraId="52192426">
        <w:tblPrEx>
          <w:tblCellMar>
            <w:top w:w="0" w:type="dxa"/>
            <w:left w:w="108" w:type="dxa"/>
            <w:bottom w:w="0" w:type="dxa"/>
            <w:right w:w="108" w:type="dxa"/>
          </w:tblCellMar>
        </w:tblPrEx>
        <w:trPr>
          <w:trHeight w:val="1485" w:hRule="atLeast"/>
          <w:jc w:val="center"/>
        </w:trPr>
        <w:tc>
          <w:tcPr>
            <w:tcW w:w="278" w:type="pct"/>
            <w:tcBorders>
              <w:top w:val="single" w:color="auto" w:sz="4" w:space="0"/>
              <w:left w:val="single" w:color="auto" w:sz="4" w:space="0"/>
              <w:bottom w:val="single" w:color="auto" w:sz="4" w:space="0"/>
              <w:right w:val="single" w:color="auto" w:sz="4" w:space="0"/>
            </w:tcBorders>
            <w:shd w:val="clear" w:color="000000" w:fill="FFFFFF"/>
            <w:vAlign w:val="center"/>
          </w:tcPr>
          <w:p w14:paraId="0F687B3A">
            <w:pPr>
              <w:widowControl/>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序号</w:t>
            </w:r>
          </w:p>
        </w:tc>
        <w:tc>
          <w:tcPr>
            <w:tcW w:w="797" w:type="pct"/>
            <w:tcBorders>
              <w:top w:val="single" w:color="auto" w:sz="4" w:space="0"/>
              <w:left w:val="nil"/>
              <w:bottom w:val="single" w:color="auto" w:sz="4" w:space="0"/>
              <w:right w:val="single" w:color="auto" w:sz="4" w:space="0"/>
            </w:tcBorders>
            <w:shd w:val="clear" w:color="000000" w:fill="FFFFFF"/>
            <w:vAlign w:val="center"/>
          </w:tcPr>
          <w:p w14:paraId="4B35672F">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供应商名称</w:t>
            </w:r>
          </w:p>
        </w:tc>
        <w:tc>
          <w:tcPr>
            <w:tcW w:w="924" w:type="pct"/>
            <w:tcBorders>
              <w:top w:val="single" w:color="auto" w:sz="4" w:space="0"/>
              <w:left w:val="nil"/>
              <w:bottom w:val="single" w:color="auto" w:sz="4" w:space="0"/>
              <w:right w:val="single" w:color="auto" w:sz="4" w:space="0"/>
            </w:tcBorders>
            <w:shd w:val="clear" w:color="000000" w:fill="FFFFFF"/>
            <w:vAlign w:val="center"/>
          </w:tcPr>
          <w:p w14:paraId="19100AE5">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第一次报价（元）</w:t>
            </w:r>
          </w:p>
        </w:tc>
        <w:tc>
          <w:tcPr>
            <w:tcW w:w="717" w:type="pct"/>
            <w:tcBorders>
              <w:top w:val="single" w:color="auto" w:sz="4" w:space="0"/>
              <w:left w:val="nil"/>
              <w:bottom w:val="single" w:color="auto" w:sz="4" w:space="0"/>
              <w:right w:val="single" w:color="auto" w:sz="4" w:space="0"/>
            </w:tcBorders>
            <w:shd w:val="clear" w:color="000000" w:fill="FFFFFF"/>
            <w:vAlign w:val="center"/>
          </w:tcPr>
          <w:p w14:paraId="13672CC9">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最终报价</w:t>
            </w:r>
          </w:p>
          <w:p w14:paraId="774BE163">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（元）</w:t>
            </w:r>
          </w:p>
        </w:tc>
        <w:tc>
          <w:tcPr>
            <w:tcW w:w="808" w:type="pct"/>
            <w:tcBorders>
              <w:top w:val="single" w:color="auto" w:sz="4" w:space="0"/>
              <w:left w:val="single" w:color="auto" w:sz="4" w:space="0"/>
              <w:bottom w:val="single" w:color="auto" w:sz="4" w:space="0"/>
              <w:right w:val="single" w:color="auto" w:sz="4" w:space="0"/>
            </w:tcBorders>
            <w:shd w:val="clear" w:color="000000" w:fill="FFFFFF"/>
            <w:vAlign w:val="center"/>
          </w:tcPr>
          <w:p w14:paraId="22D173AC">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中小企业给予</w:t>
            </w:r>
            <w:r>
              <w:rPr>
                <w:rFonts w:hint="eastAsia" w:ascii="仿宋" w:hAnsi="仿宋" w:eastAsia="仿宋" w:cstheme="minorEastAsia"/>
                <w:color w:val="auto"/>
                <w:kern w:val="0"/>
                <w:highlight w:val="none"/>
                <w:lang w:val="en-US" w:eastAsia="zh-CN"/>
              </w:rPr>
              <w:t>10</w:t>
            </w:r>
            <w:r>
              <w:rPr>
                <w:rFonts w:hint="eastAsia" w:ascii="仿宋" w:hAnsi="仿宋" w:eastAsia="仿宋" w:cstheme="minorEastAsia"/>
                <w:color w:val="auto"/>
                <w:kern w:val="0"/>
                <w:highlight w:val="none"/>
              </w:rPr>
              <w:t>%价格扣除后报价（元）</w:t>
            </w:r>
          </w:p>
        </w:tc>
        <w:tc>
          <w:tcPr>
            <w:tcW w:w="625" w:type="pct"/>
            <w:tcBorders>
              <w:top w:val="single" w:color="auto" w:sz="4" w:space="0"/>
              <w:left w:val="nil"/>
              <w:bottom w:val="single" w:color="auto" w:sz="4" w:space="0"/>
              <w:right w:val="single" w:color="auto" w:sz="4" w:space="0"/>
            </w:tcBorders>
            <w:shd w:val="clear" w:color="000000" w:fill="FFFFFF"/>
            <w:vAlign w:val="center"/>
          </w:tcPr>
          <w:p w14:paraId="0985705E">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评标基准价（元）</w:t>
            </w:r>
          </w:p>
        </w:tc>
        <w:tc>
          <w:tcPr>
            <w:tcW w:w="424" w:type="pct"/>
            <w:tcBorders>
              <w:top w:val="single" w:color="auto" w:sz="4" w:space="0"/>
              <w:left w:val="nil"/>
              <w:bottom w:val="single" w:color="auto" w:sz="4" w:space="0"/>
              <w:right w:val="single" w:color="auto" w:sz="4" w:space="0"/>
            </w:tcBorders>
            <w:shd w:val="clear" w:color="000000" w:fill="FFFFFF"/>
            <w:vAlign w:val="center"/>
          </w:tcPr>
          <w:p w14:paraId="3AC29A1F">
            <w:pPr>
              <w:widowControl/>
              <w:ind w:firstLine="0" w:firstLineChars="0"/>
              <w:jc w:val="center"/>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价格</w:t>
            </w:r>
          </w:p>
          <w:p w14:paraId="1C744894">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分值</w:t>
            </w:r>
          </w:p>
        </w:tc>
        <w:tc>
          <w:tcPr>
            <w:tcW w:w="427" w:type="pct"/>
            <w:tcBorders>
              <w:top w:val="single" w:color="auto" w:sz="4" w:space="0"/>
              <w:left w:val="nil"/>
              <w:bottom w:val="single" w:color="auto" w:sz="4" w:space="0"/>
              <w:right w:val="single" w:color="auto" w:sz="4" w:space="0"/>
            </w:tcBorders>
            <w:shd w:val="clear" w:color="000000" w:fill="FFFFFF"/>
            <w:vAlign w:val="center"/>
          </w:tcPr>
          <w:p w14:paraId="1825953B">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得分</w:t>
            </w:r>
          </w:p>
        </w:tc>
      </w:tr>
      <w:tr w14:paraId="482FF87A">
        <w:tblPrEx>
          <w:tblCellMar>
            <w:top w:w="0" w:type="dxa"/>
            <w:left w:w="108" w:type="dxa"/>
            <w:bottom w:w="0" w:type="dxa"/>
            <w:right w:w="108" w:type="dxa"/>
          </w:tblCellMar>
        </w:tblPrEx>
        <w:trPr>
          <w:trHeight w:val="344" w:hRule="atLeast"/>
          <w:jc w:val="center"/>
        </w:trPr>
        <w:tc>
          <w:tcPr>
            <w:tcW w:w="278" w:type="pct"/>
            <w:tcBorders>
              <w:top w:val="nil"/>
              <w:left w:val="single" w:color="auto" w:sz="4" w:space="0"/>
              <w:bottom w:val="single" w:color="auto" w:sz="4" w:space="0"/>
              <w:right w:val="single" w:color="auto" w:sz="4" w:space="0"/>
            </w:tcBorders>
            <w:shd w:val="clear" w:color="000000" w:fill="FFFFFF"/>
            <w:vAlign w:val="center"/>
          </w:tcPr>
          <w:p w14:paraId="64A9484D">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1</w:t>
            </w:r>
          </w:p>
        </w:tc>
        <w:tc>
          <w:tcPr>
            <w:tcW w:w="797" w:type="pct"/>
            <w:tcBorders>
              <w:top w:val="nil"/>
              <w:left w:val="nil"/>
              <w:bottom w:val="single" w:color="auto" w:sz="4" w:space="0"/>
              <w:right w:val="single" w:color="auto" w:sz="4" w:space="0"/>
            </w:tcBorders>
            <w:shd w:val="clear" w:color="000000" w:fill="FFFFFF"/>
            <w:vAlign w:val="center"/>
          </w:tcPr>
          <w:p w14:paraId="1B1BD33C">
            <w:pPr>
              <w:widowControl/>
              <w:ind w:firstLine="480"/>
              <w:rPr>
                <w:rFonts w:ascii="仿宋" w:hAnsi="仿宋" w:eastAsia="仿宋" w:cstheme="minorEastAsia"/>
                <w:color w:val="auto"/>
                <w:kern w:val="0"/>
                <w:highlight w:val="none"/>
              </w:rPr>
            </w:pPr>
          </w:p>
        </w:tc>
        <w:tc>
          <w:tcPr>
            <w:tcW w:w="924" w:type="pct"/>
            <w:tcBorders>
              <w:top w:val="nil"/>
              <w:left w:val="nil"/>
              <w:bottom w:val="single" w:color="auto" w:sz="4" w:space="0"/>
              <w:right w:val="single" w:color="auto" w:sz="4" w:space="0"/>
            </w:tcBorders>
            <w:shd w:val="clear" w:color="000000" w:fill="FFFFFF"/>
            <w:vAlign w:val="center"/>
          </w:tcPr>
          <w:p w14:paraId="609CA401">
            <w:pPr>
              <w:widowControl/>
              <w:ind w:firstLine="480"/>
              <w:rPr>
                <w:rFonts w:ascii="仿宋" w:hAnsi="仿宋" w:eastAsia="仿宋" w:cstheme="minorEastAsia"/>
                <w:color w:val="auto"/>
                <w:kern w:val="0"/>
                <w:highlight w:val="none"/>
              </w:rPr>
            </w:pPr>
          </w:p>
        </w:tc>
        <w:tc>
          <w:tcPr>
            <w:tcW w:w="717" w:type="pct"/>
            <w:tcBorders>
              <w:top w:val="single" w:color="auto" w:sz="4" w:space="0"/>
              <w:left w:val="nil"/>
              <w:bottom w:val="single" w:color="auto" w:sz="4" w:space="0"/>
              <w:right w:val="single" w:color="auto" w:sz="4" w:space="0"/>
            </w:tcBorders>
            <w:shd w:val="clear" w:color="000000" w:fill="FFFFFF"/>
          </w:tcPr>
          <w:p w14:paraId="59833D1D">
            <w:pPr>
              <w:widowControl/>
              <w:ind w:firstLine="480"/>
              <w:rPr>
                <w:rFonts w:ascii="仿宋" w:hAnsi="仿宋" w:eastAsia="仿宋" w:cstheme="minorEastAsia"/>
                <w:color w:val="auto"/>
                <w:kern w:val="0"/>
                <w:highlight w:val="none"/>
              </w:rPr>
            </w:pPr>
          </w:p>
        </w:tc>
        <w:tc>
          <w:tcPr>
            <w:tcW w:w="808" w:type="pct"/>
            <w:tcBorders>
              <w:top w:val="single" w:color="auto" w:sz="4" w:space="0"/>
              <w:left w:val="single" w:color="auto" w:sz="4" w:space="0"/>
              <w:bottom w:val="single" w:color="auto" w:sz="4" w:space="0"/>
              <w:right w:val="single" w:color="auto" w:sz="4" w:space="0"/>
            </w:tcBorders>
            <w:shd w:val="clear" w:color="000000" w:fill="FFFFFF"/>
            <w:vAlign w:val="center"/>
          </w:tcPr>
          <w:p w14:paraId="2DAA0626">
            <w:pPr>
              <w:widowControl/>
              <w:ind w:firstLine="480"/>
              <w:rPr>
                <w:rFonts w:ascii="仿宋" w:hAnsi="仿宋" w:eastAsia="仿宋" w:cstheme="minorEastAsia"/>
                <w:color w:val="auto"/>
                <w:kern w:val="0"/>
                <w:highlight w:val="none"/>
              </w:rPr>
            </w:pPr>
          </w:p>
        </w:tc>
        <w:tc>
          <w:tcPr>
            <w:tcW w:w="625" w:type="pct"/>
            <w:vMerge w:val="restart"/>
            <w:tcBorders>
              <w:top w:val="nil"/>
              <w:left w:val="single" w:color="auto" w:sz="4" w:space="0"/>
              <w:bottom w:val="single" w:color="000000" w:sz="4" w:space="0"/>
              <w:right w:val="single" w:color="auto" w:sz="4" w:space="0"/>
            </w:tcBorders>
            <w:shd w:val="clear" w:color="000000" w:fill="FFFFFF"/>
            <w:vAlign w:val="center"/>
          </w:tcPr>
          <w:p w14:paraId="0DD27D7C">
            <w:pPr>
              <w:widowControl/>
              <w:ind w:firstLine="480"/>
              <w:rPr>
                <w:rFonts w:ascii="仿宋" w:hAnsi="仿宋" w:eastAsia="仿宋" w:cstheme="minorEastAsia"/>
                <w:color w:val="auto"/>
                <w:kern w:val="0"/>
                <w:highlight w:val="none"/>
              </w:rPr>
            </w:pPr>
          </w:p>
        </w:tc>
        <w:tc>
          <w:tcPr>
            <w:tcW w:w="424" w:type="pct"/>
            <w:vMerge w:val="restart"/>
            <w:tcBorders>
              <w:top w:val="nil"/>
              <w:left w:val="single" w:color="auto" w:sz="4" w:space="0"/>
              <w:bottom w:val="single" w:color="000000" w:sz="4" w:space="0"/>
              <w:right w:val="single" w:color="auto" w:sz="4" w:space="0"/>
            </w:tcBorders>
            <w:shd w:val="clear" w:color="000000" w:fill="FFFFFF"/>
            <w:vAlign w:val="center"/>
          </w:tcPr>
          <w:p w14:paraId="5E545FE5">
            <w:pPr>
              <w:widowControl/>
              <w:ind w:firstLine="480"/>
              <w:rPr>
                <w:rFonts w:ascii="仿宋" w:hAnsi="仿宋" w:eastAsia="仿宋" w:cstheme="minorEastAsia"/>
                <w:color w:val="auto"/>
                <w:kern w:val="0"/>
                <w:highlight w:val="none"/>
              </w:rPr>
            </w:pPr>
          </w:p>
        </w:tc>
        <w:tc>
          <w:tcPr>
            <w:tcW w:w="427" w:type="pct"/>
            <w:tcBorders>
              <w:top w:val="nil"/>
              <w:left w:val="nil"/>
              <w:bottom w:val="single" w:color="auto" w:sz="4" w:space="0"/>
              <w:right w:val="single" w:color="auto" w:sz="4" w:space="0"/>
            </w:tcBorders>
            <w:shd w:val="clear" w:color="000000" w:fill="FFFFFF"/>
            <w:vAlign w:val="center"/>
          </w:tcPr>
          <w:p w14:paraId="7AA2B7B9">
            <w:pPr>
              <w:widowControl/>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0.00</w:t>
            </w:r>
          </w:p>
        </w:tc>
      </w:tr>
      <w:tr w14:paraId="0E64B5B4">
        <w:tblPrEx>
          <w:tblCellMar>
            <w:top w:w="0" w:type="dxa"/>
            <w:left w:w="108" w:type="dxa"/>
            <w:bottom w:w="0" w:type="dxa"/>
            <w:right w:w="108" w:type="dxa"/>
          </w:tblCellMar>
        </w:tblPrEx>
        <w:trPr>
          <w:trHeight w:val="324" w:hRule="atLeast"/>
          <w:jc w:val="center"/>
        </w:trPr>
        <w:tc>
          <w:tcPr>
            <w:tcW w:w="278" w:type="pct"/>
            <w:tcBorders>
              <w:top w:val="nil"/>
              <w:left w:val="single" w:color="auto" w:sz="4" w:space="0"/>
              <w:bottom w:val="single" w:color="auto" w:sz="4" w:space="0"/>
              <w:right w:val="single" w:color="auto" w:sz="4" w:space="0"/>
            </w:tcBorders>
            <w:shd w:val="clear" w:color="000000" w:fill="FFFFFF"/>
            <w:vAlign w:val="center"/>
          </w:tcPr>
          <w:p w14:paraId="1D07F06C">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2</w:t>
            </w:r>
          </w:p>
        </w:tc>
        <w:tc>
          <w:tcPr>
            <w:tcW w:w="797" w:type="pct"/>
            <w:tcBorders>
              <w:top w:val="nil"/>
              <w:left w:val="nil"/>
              <w:bottom w:val="single" w:color="auto" w:sz="4" w:space="0"/>
              <w:right w:val="single" w:color="auto" w:sz="4" w:space="0"/>
            </w:tcBorders>
            <w:shd w:val="clear" w:color="000000" w:fill="FFFFFF"/>
            <w:vAlign w:val="center"/>
          </w:tcPr>
          <w:p w14:paraId="4261CEED">
            <w:pPr>
              <w:widowControl/>
              <w:ind w:firstLine="480"/>
              <w:rPr>
                <w:rFonts w:ascii="仿宋" w:hAnsi="仿宋" w:eastAsia="仿宋" w:cstheme="minorEastAsia"/>
                <w:color w:val="auto"/>
                <w:kern w:val="0"/>
                <w:highlight w:val="none"/>
              </w:rPr>
            </w:pPr>
          </w:p>
        </w:tc>
        <w:tc>
          <w:tcPr>
            <w:tcW w:w="924" w:type="pct"/>
            <w:tcBorders>
              <w:top w:val="nil"/>
              <w:left w:val="nil"/>
              <w:bottom w:val="single" w:color="auto" w:sz="4" w:space="0"/>
              <w:right w:val="single" w:color="auto" w:sz="4" w:space="0"/>
            </w:tcBorders>
            <w:shd w:val="clear" w:color="000000" w:fill="FFFFFF"/>
            <w:vAlign w:val="center"/>
          </w:tcPr>
          <w:p w14:paraId="5446E2E9">
            <w:pPr>
              <w:widowControl/>
              <w:ind w:firstLine="480"/>
              <w:rPr>
                <w:rFonts w:ascii="仿宋" w:hAnsi="仿宋" w:eastAsia="仿宋" w:cstheme="minorEastAsia"/>
                <w:color w:val="auto"/>
                <w:kern w:val="0"/>
                <w:highlight w:val="none"/>
              </w:rPr>
            </w:pPr>
          </w:p>
        </w:tc>
        <w:tc>
          <w:tcPr>
            <w:tcW w:w="717" w:type="pct"/>
            <w:tcBorders>
              <w:top w:val="single" w:color="auto" w:sz="4" w:space="0"/>
              <w:left w:val="nil"/>
              <w:bottom w:val="single" w:color="auto" w:sz="4" w:space="0"/>
              <w:right w:val="single" w:color="auto" w:sz="4" w:space="0"/>
            </w:tcBorders>
            <w:shd w:val="clear" w:color="000000" w:fill="FFFFFF"/>
          </w:tcPr>
          <w:p w14:paraId="07B6440E">
            <w:pPr>
              <w:widowControl/>
              <w:ind w:firstLine="480"/>
              <w:rPr>
                <w:rFonts w:ascii="仿宋" w:hAnsi="仿宋" w:eastAsia="仿宋" w:cstheme="minorEastAsia"/>
                <w:color w:val="auto"/>
                <w:kern w:val="0"/>
                <w:highlight w:val="none"/>
              </w:rPr>
            </w:pPr>
          </w:p>
        </w:tc>
        <w:tc>
          <w:tcPr>
            <w:tcW w:w="808" w:type="pct"/>
            <w:tcBorders>
              <w:top w:val="single" w:color="auto" w:sz="4" w:space="0"/>
              <w:left w:val="single" w:color="auto" w:sz="4" w:space="0"/>
              <w:bottom w:val="single" w:color="auto" w:sz="4" w:space="0"/>
              <w:right w:val="single" w:color="auto" w:sz="4" w:space="0"/>
            </w:tcBorders>
            <w:shd w:val="clear" w:color="000000" w:fill="FFFFFF"/>
            <w:vAlign w:val="center"/>
          </w:tcPr>
          <w:p w14:paraId="68925B6A">
            <w:pPr>
              <w:widowControl/>
              <w:ind w:firstLine="480"/>
              <w:rPr>
                <w:rFonts w:ascii="仿宋" w:hAnsi="仿宋" w:eastAsia="仿宋" w:cstheme="minorEastAsia"/>
                <w:color w:val="auto"/>
                <w:kern w:val="0"/>
                <w:highlight w:val="none"/>
              </w:rPr>
            </w:pPr>
          </w:p>
        </w:tc>
        <w:tc>
          <w:tcPr>
            <w:tcW w:w="625" w:type="pct"/>
            <w:vMerge w:val="continue"/>
            <w:tcBorders>
              <w:top w:val="nil"/>
              <w:left w:val="single" w:color="auto" w:sz="4" w:space="0"/>
              <w:bottom w:val="single" w:color="000000" w:sz="4" w:space="0"/>
              <w:right w:val="single" w:color="auto" w:sz="4" w:space="0"/>
            </w:tcBorders>
            <w:vAlign w:val="center"/>
          </w:tcPr>
          <w:p w14:paraId="3A892796">
            <w:pPr>
              <w:widowControl/>
              <w:ind w:firstLine="480"/>
              <w:rPr>
                <w:rFonts w:ascii="仿宋" w:hAnsi="仿宋" w:eastAsia="仿宋" w:cstheme="minorEastAsia"/>
                <w:color w:val="auto"/>
                <w:kern w:val="0"/>
                <w:highlight w:val="none"/>
              </w:rPr>
            </w:pPr>
          </w:p>
        </w:tc>
        <w:tc>
          <w:tcPr>
            <w:tcW w:w="424" w:type="pct"/>
            <w:vMerge w:val="continue"/>
            <w:tcBorders>
              <w:top w:val="nil"/>
              <w:left w:val="single" w:color="auto" w:sz="4" w:space="0"/>
              <w:bottom w:val="single" w:color="000000" w:sz="4" w:space="0"/>
              <w:right w:val="single" w:color="auto" w:sz="4" w:space="0"/>
            </w:tcBorders>
            <w:vAlign w:val="center"/>
          </w:tcPr>
          <w:p w14:paraId="69F5F5F6">
            <w:pPr>
              <w:widowControl/>
              <w:ind w:firstLine="480"/>
              <w:rPr>
                <w:rFonts w:ascii="仿宋" w:hAnsi="仿宋" w:eastAsia="仿宋" w:cstheme="minorEastAsia"/>
                <w:color w:val="auto"/>
                <w:kern w:val="0"/>
                <w:highlight w:val="none"/>
              </w:rPr>
            </w:pPr>
          </w:p>
        </w:tc>
        <w:tc>
          <w:tcPr>
            <w:tcW w:w="427" w:type="pct"/>
            <w:tcBorders>
              <w:top w:val="nil"/>
              <w:left w:val="nil"/>
              <w:bottom w:val="single" w:color="auto" w:sz="4" w:space="0"/>
              <w:right w:val="single" w:color="auto" w:sz="4" w:space="0"/>
            </w:tcBorders>
            <w:shd w:val="clear" w:color="000000" w:fill="FFFFFF"/>
          </w:tcPr>
          <w:p w14:paraId="5BCD6B14">
            <w:pPr>
              <w:ind w:firstLine="0" w:firstLineChars="0"/>
              <w:rPr>
                <w:rFonts w:ascii="仿宋" w:hAnsi="仿宋" w:eastAsia="仿宋" w:cstheme="minorEastAsia"/>
                <w:color w:val="auto"/>
                <w:highlight w:val="none"/>
              </w:rPr>
            </w:pPr>
            <w:r>
              <w:rPr>
                <w:rFonts w:hint="eastAsia" w:ascii="仿宋" w:hAnsi="仿宋" w:eastAsia="仿宋" w:cstheme="minorEastAsia"/>
                <w:color w:val="auto"/>
                <w:kern w:val="0"/>
                <w:highlight w:val="none"/>
              </w:rPr>
              <w:t>0.00</w:t>
            </w:r>
          </w:p>
        </w:tc>
      </w:tr>
      <w:tr w14:paraId="03391C1E">
        <w:tblPrEx>
          <w:tblCellMar>
            <w:top w:w="0" w:type="dxa"/>
            <w:left w:w="108" w:type="dxa"/>
            <w:bottom w:w="0" w:type="dxa"/>
            <w:right w:w="108" w:type="dxa"/>
          </w:tblCellMar>
        </w:tblPrEx>
        <w:trPr>
          <w:trHeight w:val="103" w:hRule="atLeast"/>
          <w:jc w:val="center"/>
        </w:trPr>
        <w:tc>
          <w:tcPr>
            <w:tcW w:w="278" w:type="pct"/>
            <w:tcBorders>
              <w:top w:val="nil"/>
              <w:left w:val="single" w:color="auto" w:sz="4" w:space="0"/>
              <w:bottom w:val="single" w:color="auto" w:sz="4" w:space="0"/>
              <w:right w:val="single" w:color="auto" w:sz="4" w:space="0"/>
            </w:tcBorders>
            <w:shd w:val="clear" w:color="000000" w:fill="FFFFFF"/>
            <w:vAlign w:val="center"/>
          </w:tcPr>
          <w:p w14:paraId="278A7733">
            <w:pPr>
              <w:widowControl/>
              <w:ind w:firstLine="0" w:firstLineChars="0"/>
              <w:jc w:val="center"/>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3</w:t>
            </w:r>
          </w:p>
        </w:tc>
        <w:tc>
          <w:tcPr>
            <w:tcW w:w="797" w:type="pct"/>
            <w:tcBorders>
              <w:top w:val="nil"/>
              <w:left w:val="nil"/>
              <w:bottom w:val="single" w:color="auto" w:sz="4" w:space="0"/>
              <w:right w:val="single" w:color="auto" w:sz="4" w:space="0"/>
            </w:tcBorders>
            <w:shd w:val="clear" w:color="000000" w:fill="FFFFFF"/>
            <w:vAlign w:val="center"/>
          </w:tcPr>
          <w:p w14:paraId="5965985B">
            <w:pPr>
              <w:widowControl/>
              <w:ind w:firstLine="480"/>
              <w:rPr>
                <w:rFonts w:ascii="仿宋" w:hAnsi="仿宋" w:eastAsia="仿宋" w:cstheme="minorEastAsia"/>
                <w:color w:val="auto"/>
                <w:kern w:val="0"/>
                <w:highlight w:val="none"/>
              </w:rPr>
            </w:pPr>
          </w:p>
        </w:tc>
        <w:tc>
          <w:tcPr>
            <w:tcW w:w="924" w:type="pct"/>
            <w:tcBorders>
              <w:top w:val="nil"/>
              <w:left w:val="nil"/>
              <w:bottom w:val="single" w:color="auto" w:sz="4" w:space="0"/>
              <w:right w:val="single" w:color="auto" w:sz="4" w:space="0"/>
            </w:tcBorders>
            <w:shd w:val="clear" w:color="000000" w:fill="FFFFFF"/>
            <w:vAlign w:val="center"/>
          </w:tcPr>
          <w:p w14:paraId="19A7477B">
            <w:pPr>
              <w:widowControl/>
              <w:ind w:firstLine="480"/>
              <w:rPr>
                <w:rFonts w:ascii="仿宋" w:hAnsi="仿宋" w:eastAsia="仿宋" w:cstheme="minorEastAsia"/>
                <w:color w:val="auto"/>
                <w:kern w:val="0"/>
                <w:highlight w:val="none"/>
              </w:rPr>
            </w:pPr>
          </w:p>
        </w:tc>
        <w:tc>
          <w:tcPr>
            <w:tcW w:w="717" w:type="pct"/>
            <w:tcBorders>
              <w:top w:val="single" w:color="auto" w:sz="4" w:space="0"/>
              <w:left w:val="nil"/>
              <w:bottom w:val="single" w:color="auto" w:sz="4" w:space="0"/>
              <w:right w:val="single" w:color="auto" w:sz="4" w:space="0"/>
            </w:tcBorders>
            <w:shd w:val="clear" w:color="000000" w:fill="FFFFFF"/>
          </w:tcPr>
          <w:p w14:paraId="505CDAA2">
            <w:pPr>
              <w:widowControl/>
              <w:ind w:firstLine="480"/>
              <w:rPr>
                <w:rFonts w:ascii="仿宋" w:hAnsi="仿宋" w:eastAsia="仿宋" w:cstheme="minorEastAsia"/>
                <w:color w:val="auto"/>
                <w:kern w:val="0"/>
                <w:highlight w:val="none"/>
              </w:rPr>
            </w:pPr>
          </w:p>
        </w:tc>
        <w:tc>
          <w:tcPr>
            <w:tcW w:w="808" w:type="pct"/>
            <w:tcBorders>
              <w:top w:val="single" w:color="auto" w:sz="4" w:space="0"/>
              <w:left w:val="single" w:color="auto" w:sz="4" w:space="0"/>
              <w:bottom w:val="single" w:color="auto" w:sz="4" w:space="0"/>
              <w:right w:val="single" w:color="auto" w:sz="4" w:space="0"/>
            </w:tcBorders>
            <w:shd w:val="clear" w:color="000000" w:fill="FFFFFF"/>
            <w:vAlign w:val="center"/>
          </w:tcPr>
          <w:p w14:paraId="14CC96F1">
            <w:pPr>
              <w:widowControl/>
              <w:ind w:firstLine="480"/>
              <w:rPr>
                <w:rFonts w:ascii="仿宋" w:hAnsi="仿宋" w:eastAsia="仿宋" w:cstheme="minorEastAsia"/>
                <w:color w:val="auto"/>
                <w:kern w:val="0"/>
                <w:highlight w:val="none"/>
              </w:rPr>
            </w:pPr>
          </w:p>
        </w:tc>
        <w:tc>
          <w:tcPr>
            <w:tcW w:w="625" w:type="pct"/>
            <w:vMerge w:val="continue"/>
            <w:tcBorders>
              <w:top w:val="nil"/>
              <w:left w:val="single" w:color="auto" w:sz="4" w:space="0"/>
              <w:bottom w:val="single" w:color="000000" w:sz="4" w:space="0"/>
              <w:right w:val="single" w:color="auto" w:sz="4" w:space="0"/>
            </w:tcBorders>
            <w:vAlign w:val="center"/>
          </w:tcPr>
          <w:p w14:paraId="4E8D591E">
            <w:pPr>
              <w:widowControl/>
              <w:ind w:firstLine="480"/>
              <w:rPr>
                <w:rFonts w:ascii="仿宋" w:hAnsi="仿宋" w:eastAsia="仿宋" w:cstheme="minorEastAsia"/>
                <w:color w:val="auto"/>
                <w:kern w:val="0"/>
                <w:highlight w:val="none"/>
              </w:rPr>
            </w:pPr>
          </w:p>
        </w:tc>
        <w:tc>
          <w:tcPr>
            <w:tcW w:w="424" w:type="pct"/>
            <w:vMerge w:val="continue"/>
            <w:tcBorders>
              <w:top w:val="nil"/>
              <w:left w:val="single" w:color="auto" w:sz="4" w:space="0"/>
              <w:bottom w:val="single" w:color="000000" w:sz="4" w:space="0"/>
              <w:right w:val="single" w:color="auto" w:sz="4" w:space="0"/>
            </w:tcBorders>
            <w:vAlign w:val="center"/>
          </w:tcPr>
          <w:p w14:paraId="7F26892A">
            <w:pPr>
              <w:widowControl/>
              <w:ind w:firstLine="480"/>
              <w:rPr>
                <w:rFonts w:ascii="仿宋" w:hAnsi="仿宋" w:eastAsia="仿宋" w:cstheme="minorEastAsia"/>
                <w:color w:val="auto"/>
                <w:kern w:val="0"/>
                <w:highlight w:val="none"/>
              </w:rPr>
            </w:pPr>
          </w:p>
        </w:tc>
        <w:tc>
          <w:tcPr>
            <w:tcW w:w="427" w:type="pct"/>
            <w:tcBorders>
              <w:top w:val="nil"/>
              <w:left w:val="nil"/>
              <w:bottom w:val="single" w:color="auto" w:sz="4" w:space="0"/>
              <w:right w:val="single" w:color="auto" w:sz="4" w:space="0"/>
            </w:tcBorders>
            <w:shd w:val="clear" w:color="000000" w:fill="FFFFFF"/>
          </w:tcPr>
          <w:p w14:paraId="26A53605">
            <w:pPr>
              <w:ind w:firstLine="0" w:firstLineChars="0"/>
              <w:rPr>
                <w:rFonts w:ascii="仿宋" w:hAnsi="仿宋" w:eastAsia="仿宋" w:cstheme="minorEastAsia"/>
                <w:color w:val="auto"/>
                <w:highlight w:val="none"/>
              </w:rPr>
            </w:pPr>
            <w:r>
              <w:rPr>
                <w:rFonts w:hint="eastAsia" w:ascii="仿宋" w:hAnsi="仿宋" w:eastAsia="仿宋" w:cstheme="minorEastAsia"/>
                <w:color w:val="auto"/>
                <w:kern w:val="0"/>
                <w:highlight w:val="none"/>
              </w:rPr>
              <w:t>0.00</w:t>
            </w:r>
          </w:p>
        </w:tc>
      </w:tr>
      <w:tr w14:paraId="6B010718">
        <w:tblPrEx>
          <w:tblCellMar>
            <w:top w:w="0" w:type="dxa"/>
            <w:left w:w="108" w:type="dxa"/>
            <w:bottom w:w="0" w:type="dxa"/>
            <w:right w:w="108" w:type="dxa"/>
          </w:tblCellMar>
        </w:tblPrEx>
        <w:trPr>
          <w:gridAfter w:val="1"/>
          <w:wAfter w:w="427" w:type="pct"/>
          <w:trHeight w:val="921" w:hRule="atLeast"/>
          <w:jc w:val="center"/>
        </w:trPr>
        <w:tc>
          <w:tcPr>
            <w:tcW w:w="4573" w:type="pct"/>
            <w:gridSpan w:val="7"/>
            <w:tcBorders>
              <w:top w:val="nil"/>
              <w:left w:val="nil"/>
              <w:bottom w:val="nil"/>
              <w:right w:val="nil"/>
            </w:tcBorders>
            <w:shd w:val="clear" w:color="000000" w:fill="FFFFFF"/>
          </w:tcPr>
          <w:p w14:paraId="4767E606">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注：中小企业价格扣除仅对磋商报价未超过最高限价的供应商有效。</w:t>
            </w:r>
          </w:p>
          <w:p w14:paraId="5AC92F52">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磋商小组（签字）：</w:t>
            </w:r>
          </w:p>
        </w:tc>
      </w:tr>
    </w:tbl>
    <w:p w14:paraId="44EF2DE4">
      <w:pPr>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4.评分汇总表</w:t>
      </w:r>
    </w:p>
    <w:p w14:paraId="4593AA72">
      <w:pPr>
        <w:spacing w:line="240" w:lineRule="auto"/>
        <w:ind w:firstLine="730" w:firstLineChars="202"/>
        <w:jc w:val="center"/>
        <w:rPr>
          <w:rFonts w:ascii="仿宋" w:hAnsi="仿宋" w:eastAsia="仿宋" w:cstheme="minorEastAsia"/>
          <w:color w:val="auto"/>
          <w:highlight w:val="none"/>
        </w:rPr>
      </w:pPr>
      <w:r>
        <w:rPr>
          <w:rFonts w:hint="eastAsia" w:ascii="仿宋" w:hAnsi="仿宋" w:eastAsia="仿宋" w:cstheme="minorEastAsia"/>
          <w:b/>
          <w:bCs/>
          <w:color w:val="auto"/>
          <w:kern w:val="0"/>
          <w:sz w:val="36"/>
          <w:szCs w:val="36"/>
          <w:highlight w:val="none"/>
          <w:u w:val="single"/>
        </w:rPr>
        <w:t>评 分 汇 总 表</w:t>
      </w:r>
    </w:p>
    <w:tbl>
      <w:tblPr>
        <w:tblStyle w:val="27"/>
        <w:tblW w:w="5000" w:type="pct"/>
        <w:tblInd w:w="0" w:type="dxa"/>
        <w:tblLayout w:type="autofit"/>
        <w:tblCellMar>
          <w:top w:w="0" w:type="dxa"/>
          <w:left w:w="108" w:type="dxa"/>
          <w:bottom w:w="0" w:type="dxa"/>
          <w:right w:w="108" w:type="dxa"/>
        </w:tblCellMar>
      </w:tblPr>
      <w:tblGrid>
        <w:gridCol w:w="1199"/>
        <w:gridCol w:w="1353"/>
        <w:gridCol w:w="1644"/>
        <w:gridCol w:w="1644"/>
        <w:gridCol w:w="1644"/>
        <w:gridCol w:w="1463"/>
      </w:tblGrid>
      <w:tr w14:paraId="64806FB9">
        <w:tblPrEx>
          <w:tblCellMar>
            <w:top w:w="0" w:type="dxa"/>
            <w:left w:w="108" w:type="dxa"/>
            <w:bottom w:w="0" w:type="dxa"/>
            <w:right w:w="108" w:type="dxa"/>
          </w:tblCellMar>
        </w:tblPrEx>
        <w:trPr>
          <w:trHeight w:val="333" w:hRule="atLeast"/>
        </w:trPr>
        <w:tc>
          <w:tcPr>
            <w:tcW w:w="5000" w:type="pct"/>
            <w:gridSpan w:val="6"/>
            <w:tcBorders>
              <w:top w:val="nil"/>
              <w:left w:val="nil"/>
              <w:bottom w:val="nil"/>
              <w:right w:val="nil"/>
            </w:tcBorders>
            <w:shd w:val="clear" w:color="000000" w:fill="FFFFFF"/>
            <w:vAlign w:val="center"/>
          </w:tcPr>
          <w:p w14:paraId="494137EF">
            <w:pPr>
              <w:widowControl/>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项目名称：</w:t>
            </w:r>
          </w:p>
        </w:tc>
      </w:tr>
      <w:tr w14:paraId="54B4B14B">
        <w:tblPrEx>
          <w:tblCellMar>
            <w:top w:w="0" w:type="dxa"/>
            <w:left w:w="108" w:type="dxa"/>
            <w:bottom w:w="0" w:type="dxa"/>
            <w:right w:w="108" w:type="dxa"/>
          </w:tblCellMar>
        </w:tblPrEx>
        <w:trPr>
          <w:trHeight w:val="333" w:hRule="atLeast"/>
        </w:trPr>
        <w:tc>
          <w:tcPr>
            <w:tcW w:w="5000" w:type="pct"/>
            <w:gridSpan w:val="6"/>
            <w:tcBorders>
              <w:top w:val="nil"/>
              <w:left w:val="nil"/>
              <w:bottom w:val="nil"/>
              <w:right w:val="nil"/>
            </w:tcBorders>
            <w:shd w:val="clear" w:color="000000" w:fill="FFFFFF"/>
            <w:vAlign w:val="center"/>
          </w:tcPr>
          <w:p w14:paraId="7FF6654B">
            <w:pPr>
              <w:widowControl/>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项目编号：</w:t>
            </w:r>
          </w:p>
        </w:tc>
      </w:tr>
      <w:tr w14:paraId="449408DD">
        <w:tblPrEx>
          <w:tblCellMar>
            <w:top w:w="0" w:type="dxa"/>
            <w:left w:w="108" w:type="dxa"/>
            <w:bottom w:w="0" w:type="dxa"/>
            <w:right w:w="108" w:type="dxa"/>
          </w:tblCellMar>
        </w:tblPrEx>
        <w:trPr>
          <w:trHeight w:val="333" w:hRule="atLeast"/>
        </w:trPr>
        <w:tc>
          <w:tcPr>
            <w:tcW w:w="5000" w:type="pct"/>
            <w:gridSpan w:val="6"/>
            <w:tcBorders>
              <w:top w:val="nil"/>
              <w:left w:val="nil"/>
              <w:bottom w:val="nil"/>
              <w:right w:val="nil"/>
            </w:tcBorders>
            <w:shd w:val="clear" w:color="000000" w:fill="FFFFFF"/>
            <w:vAlign w:val="center"/>
          </w:tcPr>
          <w:p w14:paraId="2D6299D4">
            <w:pPr>
              <w:widowControl/>
              <w:spacing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lang w:eastAsia="zh-CN"/>
              </w:rPr>
              <w:t>磋商</w:t>
            </w:r>
            <w:r>
              <w:rPr>
                <w:rFonts w:hint="eastAsia" w:ascii="仿宋" w:hAnsi="仿宋" w:eastAsia="仿宋" w:cstheme="minorEastAsia"/>
                <w:color w:val="auto"/>
                <w:highlight w:val="none"/>
              </w:rPr>
              <w:t>地点：贵州省公共资源交易中心                            202</w:t>
            </w:r>
            <w:r>
              <w:rPr>
                <w:rFonts w:hint="eastAsia" w:ascii="仿宋" w:hAnsi="仿宋" w:eastAsia="仿宋" w:cstheme="minorEastAsia"/>
                <w:color w:val="auto"/>
                <w:highlight w:val="none"/>
                <w:lang w:val="en-US" w:eastAsia="zh-CN"/>
              </w:rPr>
              <w:t>5</w:t>
            </w:r>
            <w:r>
              <w:rPr>
                <w:rFonts w:hint="eastAsia" w:ascii="仿宋" w:hAnsi="仿宋" w:eastAsia="仿宋" w:cstheme="minorEastAsia"/>
                <w:color w:val="auto"/>
                <w:highlight w:val="none"/>
              </w:rPr>
              <w:t>.X.X</w:t>
            </w:r>
          </w:p>
        </w:tc>
      </w:tr>
      <w:tr w14:paraId="16EDE591">
        <w:tblPrEx>
          <w:tblCellMar>
            <w:top w:w="0" w:type="dxa"/>
            <w:left w:w="108" w:type="dxa"/>
            <w:bottom w:w="0" w:type="dxa"/>
            <w:right w:w="108" w:type="dxa"/>
          </w:tblCellMar>
        </w:tblPrEx>
        <w:trPr>
          <w:trHeight w:val="535" w:hRule="atLeast"/>
        </w:trPr>
        <w:tc>
          <w:tcPr>
            <w:tcW w:w="670" w:type="pct"/>
            <w:tcBorders>
              <w:top w:val="single" w:color="auto" w:sz="4" w:space="0"/>
              <w:left w:val="single" w:color="auto" w:sz="4" w:space="0"/>
              <w:bottom w:val="nil"/>
              <w:right w:val="single" w:color="auto" w:sz="4" w:space="0"/>
            </w:tcBorders>
            <w:shd w:val="clear" w:color="000000" w:fill="FFFFFF"/>
            <w:vAlign w:val="center"/>
          </w:tcPr>
          <w:p w14:paraId="3C2EA334">
            <w:pPr>
              <w:widowControl/>
              <w:spacing w:line="240" w:lineRule="auto"/>
              <w:ind w:firstLine="0" w:firstLineChars="0"/>
              <w:rPr>
                <w:rFonts w:ascii="仿宋" w:hAnsi="仿宋" w:eastAsia="仿宋" w:cstheme="minorEastAsia"/>
                <w:bCs/>
                <w:color w:val="auto"/>
                <w:kern w:val="0"/>
                <w:highlight w:val="none"/>
              </w:rPr>
            </w:pPr>
            <w:r>
              <w:rPr>
                <w:rFonts w:hint="eastAsia" w:ascii="仿宋" w:hAnsi="仿宋" w:eastAsia="仿宋" w:cstheme="minorEastAsia"/>
                <w:bCs/>
                <w:color w:val="auto"/>
                <w:kern w:val="0"/>
                <w:highlight w:val="none"/>
              </w:rPr>
              <w:t>专  家</w:t>
            </w:r>
          </w:p>
        </w:tc>
        <w:tc>
          <w:tcPr>
            <w:tcW w:w="756" w:type="pct"/>
            <w:tcBorders>
              <w:top w:val="single" w:color="auto" w:sz="4" w:space="0"/>
              <w:left w:val="nil"/>
              <w:bottom w:val="nil"/>
              <w:right w:val="single" w:color="auto" w:sz="4" w:space="0"/>
            </w:tcBorders>
            <w:shd w:val="clear" w:color="000000" w:fill="FFFFFF"/>
            <w:vAlign w:val="center"/>
          </w:tcPr>
          <w:p w14:paraId="091F75A6">
            <w:pPr>
              <w:widowControl/>
              <w:spacing w:line="240" w:lineRule="auto"/>
              <w:ind w:firstLine="0" w:firstLineChars="0"/>
              <w:rPr>
                <w:rFonts w:ascii="仿宋" w:hAnsi="仿宋" w:eastAsia="仿宋" w:cstheme="minorEastAsia"/>
                <w:bCs/>
                <w:color w:val="auto"/>
                <w:kern w:val="0"/>
                <w:highlight w:val="none"/>
              </w:rPr>
            </w:pPr>
            <w:r>
              <w:rPr>
                <w:rFonts w:hint="eastAsia" w:ascii="仿宋" w:hAnsi="仿宋" w:eastAsia="仿宋" w:cstheme="minorEastAsia"/>
                <w:bCs/>
                <w:color w:val="auto"/>
                <w:kern w:val="0"/>
                <w:highlight w:val="none"/>
              </w:rPr>
              <w:t>专家姓名</w:t>
            </w:r>
          </w:p>
        </w:tc>
        <w:tc>
          <w:tcPr>
            <w:tcW w:w="919" w:type="pct"/>
            <w:tcBorders>
              <w:top w:val="single" w:color="auto" w:sz="4" w:space="0"/>
              <w:left w:val="nil"/>
              <w:bottom w:val="single" w:color="auto" w:sz="4" w:space="0"/>
              <w:right w:val="single" w:color="auto" w:sz="4" w:space="0"/>
            </w:tcBorders>
            <w:shd w:val="clear" w:color="000000" w:fill="FFFFFF"/>
            <w:vAlign w:val="center"/>
          </w:tcPr>
          <w:p w14:paraId="1F57F904">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供应商1</w:t>
            </w:r>
          </w:p>
        </w:tc>
        <w:tc>
          <w:tcPr>
            <w:tcW w:w="919" w:type="pct"/>
            <w:tcBorders>
              <w:top w:val="single" w:color="auto" w:sz="4" w:space="0"/>
              <w:left w:val="nil"/>
              <w:bottom w:val="single" w:color="auto" w:sz="4" w:space="0"/>
              <w:right w:val="single" w:color="auto" w:sz="4" w:space="0"/>
            </w:tcBorders>
            <w:shd w:val="clear" w:color="000000" w:fill="FFFFFF"/>
            <w:vAlign w:val="center"/>
          </w:tcPr>
          <w:p w14:paraId="28311EAE">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供应商2</w:t>
            </w:r>
          </w:p>
        </w:tc>
        <w:tc>
          <w:tcPr>
            <w:tcW w:w="919" w:type="pct"/>
            <w:tcBorders>
              <w:top w:val="single" w:color="auto" w:sz="4" w:space="0"/>
              <w:left w:val="nil"/>
              <w:bottom w:val="single" w:color="auto" w:sz="4" w:space="0"/>
              <w:right w:val="single" w:color="auto" w:sz="4" w:space="0"/>
            </w:tcBorders>
            <w:shd w:val="clear" w:color="000000" w:fill="FFFFFF"/>
            <w:vAlign w:val="center"/>
          </w:tcPr>
          <w:p w14:paraId="2046EE28">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供应商3</w:t>
            </w:r>
          </w:p>
        </w:tc>
        <w:tc>
          <w:tcPr>
            <w:tcW w:w="814" w:type="pct"/>
            <w:tcBorders>
              <w:top w:val="single" w:color="auto" w:sz="4" w:space="0"/>
              <w:left w:val="nil"/>
              <w:bottom w:val="single" w:color="auto" w:sz="4" w:space="0"/>
              <w:right w:val="single" w:color="auto" w:sz="4" w:space="0"/>
            </w:tcBorders>
            <w:shd w:val="clear" w:color="000000" w:fill="FFFFFF"/>
            <w:vAlign w:val="center"/>
          </w:tcPr>
          <w:p w14:paraId="557D12BF">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供应商4</w:t>
            </w:r>
          </w:p>
        </w:tc>
      </w:tr>
      <w:tr w14:paraId="16893CE8">
        <w:tblPrEx>
          <w:tblCellMar>
            <w:top w:w="0" w:type="dxa"/>
            <w:left w:w="108" w:type="dxa"/>
            <w:bottom w:w="0" w:type="dxa"/>
            <w:right w:w="108" w:type="dxa"/>
          </w:tblCellMar>
        </w:tblPrEx>
        <w:trPr>
          <w:trHeight w:val="404" w:hRule="atLeast"/>
        </w:trPr>
        <w:tc>
          <w:tcPr>
            <w:tcW w:w="670" w:type="pct"/>
            <w:vMerge w:val="restart"/>
            <w:tcBorders>
              <w:top w:val="single" w:color="auto" w:sz="4" w:space="0"/>
              <w:left w:val="single" w:color="auto" w:sz="4" w:space="0"/>
              <w:bottom w:val="nil"/>
              <w:right w:val="single" w:color="auto" w:sz="4" w:space="0"/>
            </w:tcBorders>
            <w:shd w:val="clear" w:color="000000" w:fill="FFFFFF"/>
            <w:vAlign w:val="center"/>
          </w:tcPr>
          <w:p w14:paraId="2BE16849">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贵州省综合评标专家库专家</w:t>
            </w:r>
          </w:p>
        </w:tc>
        <w:tc>
          <w:tcPr>
            <w:tcW w:w="756" w:type="pct"/>
            <w:tcBorders>
              <w:top w:val="single" w:color="auto" w:sz="4" w:space="0"/>
              <w:left w:val="nil"/>
              <w:bottom w:val="single" w:color="auto" w:sz="4" w:space="0"/>
              <w:right w:val="single" w:color="auto" w:sz="4" w:space="0"/>
            </w:tcBorders>
            <w:shd w:val="clear" w:color="000000" w:fill="FFFFFF"/>
            <w:vAlign w:val="center"/>
          </w:tcPr>
          <w:p w14:paraId="3C0227C7">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1751B81D">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3239DBB0">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3B92D696">
            <w:pPr>
              <w:widowControl/>
              <w:spacing w:line="240" w:lineRule="auto"/>
              <w:ind w:firstLine="480"/>
              <w:rPr>
                <w:rFonts w:ascii="仿宋" w:hAnsi="仿宋" w:eastAsia="仿宋" w:cstheme="minorEastAsia"/>
                <w:color w:val="auto"/>
                <w:kern w:val="0"/>
                <w:highlight w:val="none"/>
              </w:rPr>
            </w:pPr>
          </w:p>
        </w:tc>
        <w:tc>
          <w:tcPr>
            <w:tcW w:w="814" w:type="pct"/>
            <w:tcBorders>
              <w:top w:val="nil"/>
              <w:left w:val="nil"/>
              <w:bottom w:val="single" w:color="auto" w:sz="4" w:space="0"/>
              <w:right w:val="single" w:color="auto" w:sz="4" w:space="0"/>
            </w:tcBorders>
            <w:shd w:val="clear" w:color="000000" w:fill="FFFFFF"/>
            <w:vAlign w:val="center"/>
          </w:tcPr>
          <w:p w14:paraId="70182237">
            <w:pPr>
              <w:widowControl/>
              <w:spacing w:line="240" w:lineRule="auto"/>
              <w:ind w:firstLine="480"/>
              <w:rPr>
                <w:rFonts w:ascii="仿宋" w:hAnsi="仿宋" w:eastAsia="仿宋" w:cstheme="minorEastAsia"/>
                <w:color w:val="auto"/>
                <w:kern w:val="0"/>
                <w:highlight w:val="none"/>
              </w:rPr>
            </w:pPr>
          </w:p>
        </w:tc>
      </w:tr>
      <w:tr w14:paraId="60702E3A">
        <w:tblPrEx>
          <w:tblCellMar>
            <w:top w:w="0" w:type="dxa"/>
            <w:left w:w="108" w:type="dxa"/>
            <w:bottom w:w="0" w:type="dxa"/>
            <w:right w:w="108" w:type="dxa"/>
          </w:tblCellMar>
        </w:tblPrEx>
        <w:trPr>
          <w:trHeight w:val="404" w:hRule="atLeast"/>
        </w:trPr>
        <w:tc>
          <w:tcPr>
            <w:tcW w:w="670" w:type="pct"/>
            <w:vMerge w:val="continue"/>
            <w:tcBorders>
              <w:top w:val="single" w:color="auto" w:sz="4" w:space="0"/>
              <w:left w:val="single" w:color="auto" w:sz="4" w:space="0"/>
              <w:bottom w:val="nil"/>
              <w:right w:val="single" w:color="auto" w:sz="4" w:space="0"/>
            </w:tcBorders>
            <w:vAlign w:val="center"/>
          </w:tcPr>
          <w:p w14:paraId="356D1FB5">
            <w:pPr>
              <w:widowControl/>
              <w:spacing w:line="240" w:lineRule="auto"/>
              <w:ind w:firstLine="480"/>
              <w:jc w:val="center"/>
              <w:rPr>
                <w:rFonts w:ascii="仿宋" w:hAnsi="仿宋" w:eastAsia="仿宋" w:cstheme="minorEastAsia"/>
                <w:color w:val="auto"/>
                <w:kern w:val="0"/>
                <w:highlight w:val="none"/>
              </w:rPr>
            </w:pPr>
          </w:p>
        </w:tc>
        <w:tc>
          <w:tcPr>
            <w:tcW w:w="756" w:type="pct"/>
            <w:tcBorders>
              <w:top w:val="nil"/>
              <w:left w:val="nil"/>
              <w:bottom w:val="single" w:color="auto" w:sz="4" w:space="0"/>
              <w:right w:val="single" w:color="auto" w:sz="4" w:space="0"/>
            </w:tcBorders>
            <w:shd w:val="clear" w:color="000000" w:fill="FFFFFF"/>
            <w:vAlign w:val="center"/>
          </w:tcPr>
          <w:p w14:paraId="29525217">
            <w:pPr>
              <w:widowControl/>
              <w:spacing w:line="240" w:lineRule="auto"/>
              <w:ind w:firstLine="0" w:firstLineChars="0"/>
              <w:jc w:val="center"/>
              <w:rPr>
                <w:rFonts w:ascii="仿宋" w:hAnsi="仿宋" w:eastAsia="仿宋" w:cstheme="minorEastAsia"/>
                <w:b/>
                <w:bCs/>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476A5C60">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30478B9A">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629DE9A0">
            <w:pPr>
              <w:widowControl/>
              <w:spacing w:line="240" w:lineRule="auto"/>
              <w:ind w:firstLine="480"/>
              <w:rPr>
                <w:rFonts w:ascii="仿宋" w:hAnsi="仿宋" w:eastAsia="仿宋" w:cstheme="minorEastAsia"/>
                <w:color w:val="auto"/>
                <w:kern w:val="0"/>
                <w:highlight w:val="none"/>
              </w:rPr>
            </w:pPr>
          </w:p>
        </w:tc>
        <w:tc>
          <w:tcPr>
            <w:tcW w:w="814" w:type="pct"/>
            <w:tcBorders>
              <w:top w:val="nil"/>
              <w:left w:val="nil"/>
              <w:bottom w:val="single" w:color="auto" w:sz="4" w:space="0"/>
              <w:right w:val="single" w:color="auto" w:sz="4" w:space="0"/>
            </w:tcBorders>
            <w:shd w:val="clear" w:color="000000" w:fill="FFFFFF"/>
            <w:vAlign w:val="center"/>
          </w:tcPr>
          <w:p w14:paraId="20DBCED9">
            <w:pPr>
              <w:widowControl/>
              <w:spacing w:line="240" w:lineRule="auto"/>
              <w:ind w:firstLine="480"/>
              <w:rPr>
                <w:rFonts w:ascii="仿宋" w:hAnsi="仿宋" w:eastAsia="仿宋" w:cstheme="minorEastAsia"/>
                <w:color w:val="auto"/>
                <w:kern w:val="0"/>
                <w:highlight w:val="none"/>
              </w:rPr>
            </w:pPr>
          </w:p>
        </w:tc>
      </w:tr>
      <w:tr w14:paraId="50FAD70F">
        <w:tblPrEx>
          <w:tblCellMar>
            <w:top w:w="0" w:type="dxa"/>
            <w:left w:w="108" w:type="dxa"/>
            <w:bottom w:w="0" w:type="dxa"/>
            <w:right w:w="108" w:type="dxa"/>
          </w:tblCellMar>
        </w:tblPrEx>
        <w:trPr>
          <w:trHeight w:val="404" w:hRule="atLeast"/>
        </w:trPr>
        <w:tc>
          <w:tcPr>
            <w:tcW w:w="670" w:type="pct"/>
            <w:tcBorders>
              <w:top w:val="single" w:color="auto" w:sz="4" w:space="0"/>
              <w:left w:val="single" w:color="auto" w:sz="4" w:space="0"/>
              <w:bottom w:val="nil"/>
              <w:right w:val="single" w:color="auto" w:sz="4" w:space="0"/>
            </w:tcBorders>
            <w:shd w:val="clear" w:color="000000" w:fill="FFFFFF"/>
            <w:vAlign w:val="center"/>
          </w:tcPr>
          <w:p w14:paraId="4DABC8D0">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采购人</w:t>
            </w:r>
          </w:p>
          <w:p w14:paraId="24CBA44D">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代  表</w:t>
            </w:r>
          </w:p>
        </w:tc>
        <w:tc>
          <w:tcPr>
            <w:tcW w:w="756" w:type="pct"/>
            <w:tcBorders>
              <w:top w:val="nil"/>
              <w:left w:val="nil"/>
              <w:bottom w:val="single" w:color="auto" w:sz="4" w:space="0"/>
              <w:right w:val="single" w:color="auto" w:sz="4" w:space="0"/>
            </w:tcBorders>
            <w:shd w:val="clear" w:color="000000" w:fill="FFFFFF"/>
            <w:vAlign w:val="center"/>
          </w:tcPr>
          <w:p w14:paraId="3DE7A498">
            <w:pPr>
              <w:widowControl/>
              <w:spacing w:line="240" w:lineRule="auto"/>
              <w:ind w:firstLine="0" w:firstLineChars="0"/>
              <w:jc w:val="center"/>
              <w:rPr>
                <w:rFonts w:ascii="仿宋" w:hAnsi="仿宋" w:eastAsia="仿宋" w:cstheme="minorEastAsia"/>
                <w:b/>
                <w:bCs/>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4BA83B8B">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2FF57DDE">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68F8FB60">
            <w:pPr>
              <w:widowControl/>
              <w:spacing w:line="240" w:lineRule="auto"/>
              <w:ind w:firstLine="480"/>
              <w:rPr>
                <w:rFonts w:ascii="仿宋" w:hAnsi="仿宋" w:eastAsia="仿宋" w:cstheme="minorEastAsia"/>
                <w:color w:val="auto"/>
                <w:kern w:val="0"/>
                <w:highlight w:val="none"/>
              </w:rPr>
            </w:pPr>
          </w:p>
        </w:tc>
        <w:tc>
          <w:tcPr>
            <w:tcW w:w="814" w:type="pct"/>
            <w:tcBorders>
              <w:top w:val="nil"/>
              <w:left w:val="nil"/>
              <w:bottom w:val="single" w:color="auto" w:sz="4" w:space="0"/>
              <w:right w:val="single" w:color="auto" w:sz="4" w:space="0"/>
            </w:tcBorders>
            <w:shd w:val="clear" w:color="000000" w:fill="FFFFFF"/>
            <w:vAlign w:val="center"/>
          </w:tcPr>
          <w:p w14:paraId="62D52F94">
            <w:pPr>
              <w:widowControl/>
              <w:spacing w:line="240" w:lineRule="auto"/>
              <w:ind w:firstLine="480"/>
              <w:rPr>
                <w:rFonts w:ascii="仿宋" w:hAnsi="仿宋" w:eastAsia="仿宋" w:cstheme="minorEastAsia"/>
                <w:color w:val="auto"/>
                <w:kern w:val="0"/>
                <w:highlight w:val="none"/>
              </w:rPr>
            </w:pPr>
          </w:p>
        </w:tc>
      </w:tr>
      <w:tr w14:paraId="3B56993D">
        <w:tblPrEx>
          <w:tblCellMar>
            <w:top w:w="0" w:type="dxa"/>
            <w:left w:w="108" w:type="dxa"/>
            <w:bottom w:w="0" w:type="dxa"/>
            <w:right w:w="108" w:type="dxa"/>
          </w:tblCellMar>
        </w:tblPrEx>
        <w:trPr>
          <w:trHeight w:val="404" w:hRule="atLeast"/>
        </w:trPr>
        <w:tc>
          <w:tcPr>
            <w:tcW w:w="1426" w:type="pct"/>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47814F4C">
            <w:pPr>
              <w:widowControl/>
              <w:spacing w:line="240" w:lineRule="auto"/>
              <w:ind w:firstLine="482"/>
              <w:jc w:val="center"/>
              <w:rPr>
                <w:rFonts w:ascii="仿宋" w:hAnsi="仿宋" w:eastAsia="仿宋" w:cstheme="minorEastAsia"/>
                <w:b/>
                <w:bCs/>
                <w:color w:val="auto"/>
                <w:kern w:val="0"/>
                <w:highlight w:val="none"/>
              </w:rPr>
            </w:pPr>
            <w:r>
              <w:rPr>
                <w:rFonts w:hint="eastAsia" w:ascii="仿宋" w:hAnsi="仿宋" w:eastAsia="仿宋" w:cstheme="minorEastAsia"/>
                <w:b/>
                <w:bCs/>
                <w:color w:val="auto"/>
                <w:kern w:val="0"/>
                <w:highlight w:val="none"/>
              </w:rPr>
              <w:t>总  分</w:t>
            </w:r>
          </w:p>
        </w:tc>
        <w:tc>
          <w:tcPr>
            <w:tcW w:w="919" w:type="pct"/>
            <w:tcBorders>
              <w:top w:val="nil"/>
              <w:left w:val="nil"/>
              <w:bottom w:val="single" w:color="auto" w:sz="4" w:space="0"/>
              <w:right w:val="single" w:color="auto" w:sz="4" w:space="0"/>
            </w:tcBorders>
            <w:shd w:val="clear" w:color="000000" w:fill="FFFFFF"/>
            <w:vAlign w:val="center"/>
          </w:tcPr>
          <w:p w14:paraId="4AAED62D">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46BFDA68">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13C1D826">
            <w:pPr>
              <w:spacing w:line="240" w:lineRule="auto"/>
              <w:ind w:firstLine="480"/>
              <w:rPr>
                <w:rFonts w:ascii="仿宋" w:hAnsi="仿宋" w:eastAsia="仿宋" w:cstheme="minorEastAsia"/>
                <w:color w:val="auto"/>
                <w:highlight w:val="none"/>
              </w:rPr>
            </w:pPr>
          </w:p>
        </w:tc>
        <w:tc>
          <w:tcPr>
            <w:tcW w:w="814" w:type="pct"/>
            <w:tcBorders>
              <w:top w:val="nil"/>
              <w:left w:val="nil"/>
              <w:bottom w:val="single" w:color="auto" w:sz="4" w:space="0"/>
              <w:right w:val="single" w:color="auto" w:sz="4" w:space="0"/>
            </w:tcBorders>
            <w:shd w:val="clear" w:color="000000" w:fill="FFFFFF"/>
            <w:vAlign w:val="center"/>
          </w:tcPr>
          <w:p w14:paraId="561917C3">
            <w:pPr>
              <w:spacing w:line="240" w:lineRule="auto"/>
              <w:ind w:firstLine="480"/>
              <w:rPr>
                <w:rFonts w:ascii="仿宋" w:hAnsi="仿宋" w:eastAsia="仿宋" w:cstheme="minorEastAsia"/>
                <w:color w:val="auto"/>
                <w:highlight w:val="none"/>
              </w:rPr>
            </w:pPr>
          </w:p>
        </w:tc>
      </w:tr>
      <w:tr w14:paraId="7065EA93">
        <w:tblPrEx>
          <w:tblCellMar>
            <w:top w:w="0" w:type="dxa"/>
            <w:left w:w="108" w:type="dxa"/>
            <w:bottom w:w="0" w:type="dxa"/>
            <w:right w:w="108" w:type="dxa"/>
          </w:tblCellMar>
        </w:tblPrEx>
        <w:trPr>
          <w:trHeight w:val="404" w:hRule="atLeast"/>
        </w:trPr>
        <w:tc>
          <w:tcPr>
            <w:tcW w:w="1426" w:type="pct"/>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54CF728A">
            <w:pPr>
              <w:widowControl/>
              <w:spacing w:line="240" w:lineRule="auto"/>
              <w:ind w:firstLine="482"/>
              <w:jc w:val="center"/>
              <w:rPr>
                <w:rFonts w:ascii="仿宋" w:hAnsi="仿宋" w:eastAsia="仿宋" w:cstheme="minorEastAsia"/>
                <w:b/>
                <w:bCs/>
                <w:color w:val="auto"/>
                <w:kern w:val="0"/>
                <w:highlight w:val="none"/>
              </w:rPr>
            </w:pPr>
            <w:r>
              <w:rPr>
                <w:rFonts w:hint="eastAsia" w:ascii="仿宋" w:hAnsi="仿宋" w:eastAsia="仿宋" w:cstheme="minorEastAsia"/>
                <w:b/>
                <w:bCs/>
                <w:color w:val="auto"/>
                <w:kern w:val="0"/>
                <w:highlight w:val="none"/>
              </w:rPr>
              <w:t>平均分</w:t>
            </w:r>
          </w:p>
        </w:tc>
        <w:tc>
          <w:tcPr>
            <w:tcW w:w="919" w:type="pct"/>
            <w:tcBorders>
              <w:top w:val="nil"/>
              <w:left w:val="nil"/>
              <w:bottom w:val="single" w:color="auto" w:sz="4" w:space="0"/>
              <w:right w:val="single" w:color="auto" w:sz="4" w:space="0"/>
            </w:tcBorders>
            <w:shd w:val="clear" w:color="000000" w:fill="FFFFFF"/>
            <w:vAlign w:val="center"/>
          </w:tcPr>
          <w:p w14:paraId="3350A2C3">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324DBD52">
            <w:pPr>
              <w:spacing w:line="240" w:lineRule="auto"/>
              <w:ind w:firstLine="480"/>
              <w:rPr>
                <w:rFonts w:ascii="仿宋" w:hAnsi="仿宋" w:eastAsia="仿宋" w:cstheme="minorEastAsia"/>
                <w:color w:val="auto"/>
                <w:highlight w:val="none"/>
              </w:rPr>
            </w:pPr>
          </w:p>
        </w:tc>
        <w:tc>
          <w:tcPr>
            <w:tcW w:w="919" w:type="pct"/>
            <w:tcBorders>
              <w:top w:val="nil"/>
              <w:left w:val="nil"/>
              <w:bottom w:val="single" w:color="auto" w:sz="4" w:space="0"/>
              <w:right w:val="single" w:color="auto" w:sz="4" w:space="0"/>
            </w:tcBorders>
            <w:shd w:val="clear" w:color="000000" w:fill="FFFFFF"/>
            <w:vAlign w:val="center"/>
          </w:tcPr>
          <w:p w14:paraId="1BA1BF09">
            <w:pPr>
              <w:spacing w:line="240" w:lineRule="auto"/>
              <w:ind w:firstLine="480"/>
              <w:rPr>
                <w:rFonts w:ascii="仿宋" w:hAnsi="仿宋" w:eastAsia="仿宋" w:cstheme="minorEastAsia"/>
                <w:color w:val="auto"/>
                <w:highlight w:val="none"/>
              </w:rPr>
            </w:pPr>
          </w:p>
        </w:tc>
        <w:tc>
          <w:tcPr>
            <w:tcW w:w="814" w:type="pct"/>
            <w:tcBorders>
              <w:top w:val="nil"/>
              <w:left w:val="nil"/>
              <w:bottom w:val="single" w:color="auto" w:sz="4" w:space="0"/>
              <w:right w:val="single" w:color="auto" w:sz="4" w:space="0"/>
            </w:tcBorders>
            <w:shd w:val="clear" w:color="000000" w:fill="FFFFFF"/>
            <w:vAlign w:val="center"/>
          </w:tcPr>
          <w:p w14:paraId="4521A22A">
            <w:pPr>
              <w:spacing w:line="240" w:lineRule="auto"/>
              <w:ind w:firstLine="480"/>
              <w:rPr>
                <w:rFonts w:ascii="仿宋" w:hAnsi="仿宋" w:eastAsia="仿宋" w:cstheme="minorEastAsia"/>
                <w:color w:val="auto"/>
                <w:highlight w:val="none"/>
              </w:rPr>
            </w:pPr>
          </w:p>
        </w:tc>
      </w:tr>
      <w:tr w14:paraId="7605D329">
        <w:tblPrEx>
          <w:tblCellMar>
            <w:top w:w="0" w:type="dxa"/>
            <w:left w:w="108" w:type="dxa"/>
            <w:bottom w:w="0" w:type="dxa"/>
            <w:right w:w="108" w:type="dxa"/>
          </w:tblCellMar>
        </w:tblPrEx>
        <w:trPr>
          <w:trHeight w:val="333" w:hRule="atLeast"/>
        </w:trPr>
        <w:tc>
          <w:tcPr>
            <w:tcW w:w="1426"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C7CF727">
            <w:pPr>
              <w:widowControl/>
              <w:spacing w:line="240" w:lineRule="auto"/>
              <w:ind w:firstLine="482"/>
              <w:jc w:val="center"/>
              <w:rPr>
                <w:rFonts w:ascii="仿宋" w:hAnsi="仿宋" w:eastAsia="仿宋" w:cstheme="minorEastAsia"/>
                <w:b/>
                <w:bCs/>
                <w:color w:val="auto"/>
                <w:kern w:val="0"/>
                <w:highlight w:val="none"/>
              </w:rPr>
            </w:pPr>
            <w:r>
              <w:rPr>
                <w:rFonts w:hint="eastAsia" w:ascii="仿宋" w:hAnsi="仿宋" w:eastAsia="仿宋" w:cstheme="minorEastAsia"/>
                <w:b/>
                <w:bCs/>
                <w:color w:val="auto"/>
                <w:kern w:val="0"/>
                <w:highlight w:val="none"/>
              </w:rPr>
              <w:t>排  序</w:t>
            </w:r>
          </w:p>
        </w:tc>
        <w:tc>
          <w:tcPr>
            <w:tcW w:w="919" w:type="pct"/>
            <w:tcBorders>
              <w:top w:val="nil"/>
              <w:left w:val="nil"/>
              <w:bottom w:val="single" w:color="auto" w:sz="4" w:space="0"/>
              <w:right w:val="single" w:color="auto" w:sz="4" w:space="0"/>
            </w:tcBorders>
            <w:shd w:val="clear" w:color="000000" w:fill="FFFFFF"/>
            <w:vAlign w:val="center"/>
          </w:tcPr>
          <w:p w14:paraId="44C0D9BE">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256CDCD9">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single" w:color="auto" w:sz="4" w:space="0"/>
              <w:right w:val="single" w:color="auto" w:sz="4" w:space="0"/>
            </w:tcBorders>
            <w:shd w:val="clear" w:color="000000" w:fill="FFFFFF"/>
            <w:vAlign w:val="center"/>
          </w:tcPr>
          <w:p w14:paraId="389CB9FC">
            <w:pPr>
              <w:widowControl/>
              <w:spacing w:line="240" w:lineRule="auto"/>
              <w:ind w:firstLine="480"/>
              <w:rPr>
                <w:rFonts w:ascii="仿宋" w:hAnsi="仿宋" w:eastAsia="仿宋" w:cstheme="minorEastAsia"/>
                <w:color w:val="auto"/>
                <w:kern w:val="0"/>
                <w:highlight w:val="none"/>
              </w:rPr>
            </w:pPr>
          </w:p>
        </w:tc>
        <w:tc>
          <w:tcPr>
            <w:tcW w:w="814" w:type="pct"/>
            <w:tcBorders>
              <w:top w:val="nil"/>
              <w:left w:val="nil"/>
              <w:bottom w:val="single" w:color="auto" w:sz="4" w:space="0"/>
              <w:right w:val="single" w:color="auto" w:sz="4" w:space="0"/>
            </w:tcBorders>
            <w:shd w:val="clear" w:color="000000" w:fill="FFFFFF"/>
            <w:vAlign w:val="center"/>
          </w:tcPr>
          <w:p w14:paraId="4CFDC78B">
            <w:pPr>
              <w:widowControl/>
              <w:spacing w:line="240" w:lineRule="auto"/>
              <w:ind w:firstLine="480"/>
              <w:rPr>
                <w:rFonts w:ascii="仿宋" w:hAnsi="仿宋" w:eastAsia="仿宋" w:cstheme="minorEastAsia"/>
                <w:color w:val="auto"/>
                <w:kern w:val="0"/>
                <w:highlight w:val="none"/>
              </w:rPr>
            </w:pPr>
          </w:p>
        </w:tc>
      </w:tr>
      <w:tr w14:paraId="758290F9">
        <w:tblPrEx>
          <w:tblCellMar>
            <w:top w:w="0" w:type="dxa"/>
            <w:left w:w="108" w:type="dxa"/>
            <w:bottom w:w="0" w:type="dxa"/>
            <w:right w:w="108" w:type="dxa"/>
          </w:tblCellMar>
        </w:tblPrEx>
        <w:trPr>
          <w:trHeight w:val="321" w:hRule="atLeast"/>
        </w:trPr>
        <w:tc>
          <w:tcPr>
            <w:tcW w:w="1426" w:type="pct"/>
            <w:gridSpan w:val="2"/>
            <w:tcBorders>
              <w:top w:val="nil"/>
              <w:left w:val="nil"/>
              <w:bottom w:val="nil"/>
              <w:right w:val="nil"/>
            </w:tcBorders>
            <w:shd w:val="clear" w:color="000000" w:fill="FFFFFF"/>
            <w:vAlign w:val="center"/>
          </w:tcPr>
          <w:p w14:paraId="399C27F2">
            <w:pPr>
              <w:widowControl/>
              <w:spacing w:line="240" w:lineRule="auto"/>
              <w:ind w:firstLine="0" w:firstLineChars="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磋商小组（签名）：</w:t>
            </w:r>
          </w:p>
        </w:tc>
        <w:tc>
          <w:tcPr>
            <w:tcW w:w="919" w:type="pct"/>
            <w:tcBorders>
              <w:top w:val="nil"/>
              <w:left w:val="nil"/>
              <w:bottom w:val="nil"/>
              <w:right w:val="nil"/>
            </w:tcBorders>
            <w:shd w:val="clear" w:color="000000" w:fill="FFFFFF"/>
            <w:vAlign w:val="center"/>
          </w:tcPr>
          <w:p w14:paraId="0062AEDF">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nil"/>
              <w:right w:val="nil"/>
            </w:tcBorders>
            <w:shd w:val="clear" w:color="000000" w:fill="FFFFFF"/>
            <w:vAlign w:val="center"/>
          </w:tcPr>
          <w:p w14:paraId="4D433454">
            <w:pPr>
              <w:widowControl/>
              <w:spacing w:line="240" w:lineRule="auto"/>
              <w:ind w:firstLine="480"/>
              <w:rPr>
                <w:rFonts w:ascii="仿宋" w:hAnsi="仿宋" w:eastAsia="仿宋" w:cstheme="minorEastAsia"/>
                <w:color w:val="auto"/>
                <w:kern w:val="0"/>
                <w:highlight w:val="none"/>
              </w:rPr>
            </w:pPr>
          </w:p>
        </w:tc>
        <w:tc>
          <w:tcPr>
            <w:tcW w:w="919" w:type="pct"/>
            <w:tcBorders>
              <w:top w:val="nil"/>
              <w:left w:val="nil"/>
              <w:bottom w:val="nil"/>
              <w:right w:val="nil"/>
            </w:tcBorders>
            <w:shd w:val="clear" w:color="000000" w:fill="FFFFFF"/>
            <w:vAlign w:val="center"/>
          </w:tcPr>
          <w:p w14:paraId="35E50950">
            <w:pPr>
              <w:widowControl/>
              <w:spacing w:line="240" w:lineRule="auto"/>
              <w:ind w:firstLine="480"/>
              <w:rPr>
                <w:rFonts w:ascii="仿宋" w:hAnsi="仿宋" w:eastAsia="仿宋" w:cstheme="minorEastAsia"/>
                <w:color w:val="auto"/>
                <w:kern w:val="0"/>
                <w:highlight w:val="none"/>
              </w:rPr>
            </w:pPr>
          </w:p>
        </w:tc>
        <w:tc>
          <w:tcPr>
            <w:tcW w:w="814" w:type="pct"/>
            <w:tcBorders>
              <w:top w:val="nil"/>
              <w:left w:val="nil"/>
              <w:bottom w:val="nil"/>
              <w:right w:val="nil"/>
            </w:tcBorders>
            <w:shd w:val="clear" w:color="000000" w:fill="FFFFFF"/>
            <w:vAlign w:val="center"/>
          </w:tcPr>
          <w:p w14:paraId="41D0D45D">
            <w:pPr>
              <w:widowControl/>
              <w:spacing w:line="240" w:lineRule="auto"/>
              <w:ind w:firstLine="480"/>
              <w:rPr>
                <w:rFonts w:ascii="仿宋" w:hAnsi="仿宋" w:eastAsia="仿宋" w:cstheme="minorEastAsia"/>
                <w:color w:val="auto"/>
                <w:kern w:val="0"/>
                <w:highlight w:val="none"/>
              </w:rPr>
            </w:pPr>
          </w:p>
        </w:tc>
      </w:tr>
    </w:tbl>
    <w:p w14:paraId="41110B29">
      <w:pPr>
        <w:ind w:firstLine="600"/>
        <w:rPr>
          <w:rFonts w:ascii="仿宋" w:hAnsi="仿宋" w:eastAsia="仿宋" w:cstheme="minorEastAsia"/>
          <w:color w:val="auto"/>
          <w:sz w:val="30"/>
          <w:szCs w:val="30"/>
          <w:highlight w:val="none"/>
        </w:rPr>
      </w:pPr>
      <w:r>
        <w:rPr>
          <w:rFonts w:hint="eastAsia" w:ascii="仿宋" w:hAnsi="仿宋" w:eastAsia="仿宋" w:cstheme="minorEastAsia"/>
          <w:color w:val="auto"/>
          <w:sz w:val="30"/>
          <w:szCs w:val="30"/>
          <w:highlight w:val="none"/>
        </w:rPr>
        <w:br w:type="page"/>
      </w:r>
    </w:p>
    <w:p w14:paraId="5FCD8D68">
      <w:pPr>
        <w:pStyle w:val="6"/>
        <w:spacing w:before="240" w:after="240"/>
        <w:rPr>
          <w:rFonts w:ascii="仿宋" w:hAnsi="仿宋" w:eastAsia="仿宋" w:cstheme="minorEastAsia"/>
          <w:color w:val="auto"/>
          <w:highlight w:val="none"/>
        </w:rPr>
      </w:pPr>
      <w:bookmarkStart w:id="39" w:name="_Toc27150"/>
      <w:r>
        <w:rPr>
          <w:rFonts w:hint="eastAsia" w:ascii="仿宋" w:hAnsi="仿宋" w:eastAsia="仿宋" w:cstheme="minorEastAsia"/>
          <w:color w:val="auto"/>
          <w:sz w:val="30"/>
          <w:szCs w:val="30"/>
          <w:highlight w:val="none"/>
        </w:rPr>
        <w:t>第二节 废标条款</w:t>
      </w:r>
      <w:bookmarkEnd w:id="35"/>
      <w:bookmarkEnd w:id="39"/>
    </w:p>
    <w:p w14:paraId="264F8864">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出现下列情形之一的，本项目给予废标，项目磋商终止：</w:t>
      </w:r>
    </w:p>
    <w:p w14:paraId="2BF5B560">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1.符合专业条件的或对采购文件作实质响应的供应商不足三家的；</w:t>
      </w:r>
      <w:r>
        <w:rPr>
          <w:rFonts w:hint="eastAsia" w:ascii="仿宋" w:hAnsi="仿宋" w:eastAsia="仿宋" w:cstheme="minorEastAsia"/>
          <w:b/>
          <w:bCs/>
          <w:color w:val="auto"/>
          <w:highlight w:val="none"/>
        </w:rPr>
        <w:t>但属于①市场竞争不充分的科研项目②需要扶持的科技成果转化项目③政府购买服务项目（含政府和社会资本方合作项目）中任意一类项目，符合专业条件的或对采购文件作实质响应的供应商不足两家的；</w:t>
      </w:r>
    </w:p>
    <w:p w14:paraId="33552065">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2.出现影响采购公正的违法、违规行为的；</w:t>
      </w:r>
    </w:p>
    <w:p w14:paraId="57878E6B">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3.供应商报价均超过了最高限价，采购人不能支付的；</w:t>
      </w:r>
    </w:p>
    <w:p w14:paraId="0676B960">
      <w:pPr>
        <w:ind w:firstLine="480"/>
        <w:rPr>
          <w:rFonts w:ascii="仿宋" w:hAnsi="仿宋" w:eastAsia="仿宋" w:cstheme="minorEastAsia"/>
          <w:color w:val="auto"/>
          <w:sz w:val="30"/>
          <w:szCs w:val="30"/>
          <w:highlight w:val="none"/>
        </w:rPr>
      </w:pPr>
      <w:r>
        <w:rPr>
          <w:rFonts w:hint="eastAsia" w:ascii="仿宋" w:hAnsi="仿宋" w:eastAsia="仿宋" w:cstheme="minorEastAsia"/>
          <w:color w:val="auto"/>
          <w:highlight w:val="none"/>
        </w:rPr>
        <w:t>4.因重大变故，采购任务取消的。</w:t>
      </w:r>
      <w:bookmarkStart w:id="40" w:name="_Toc407182672"/>
    </w:p>
    <w:p w14:paraId="768ED95A">
      <w:pPr>
        <w:pStyle w:val="6"/>
        <w:spacing w:before="240" w:after="240"/>
        <w:rPr>
          <w:rFonts w:ascii="仿宋" w:hAnsi="仿宋" w:eastAsia="仿宋" w:cstheme="minorEastAsia"/>
          <w:color w:val="auto"/>
          <w:highlight w:val="none"/>
        </w:rPr>
      </w:pPr>
      <w:bookmarkStart w:id="41" w:name="_Toc24622"/>
      <w:r>
        <w:rPr>
          <w:rFonts w:hint="eastAsia" w:ascii="仿宋" w:hAnsi="仿宋" w:eastAsia="仿宋" w:cstheme="minorEastAsia"/>
          <w:color w:val="auto"/>
          <w:sz w:val="30"/>
          <w:szCs w:val="30"/>
          <w:highlight w:val="none"/>
        </w:rPr>
        <w:t>第三节 无效标条款</w:t>
      </w:r>
      <w:bookmarkEnd w:id="40"/>
      <w:bookmarkEnd w:id="41"/>
    </w:p>
    <w:p w14:paraId="2ADEDC98">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出现下列情形之一的，供应商递交的响应文件作无效投标处理，该供应商的响应文件不参与评审：</w:t>
      </w:r>
    </w:p>
    <w:p w14:paraId="51AF3D77">
      <w:pPr>
        <w:ind w:firstLine="480"/>
        <w:rPr>
          <w:rFonts w:ascii="仿宋" w:hAnsi="仿宋" w:eastAsia="仿宋" w:cstheme="minorEastAsia"/>
          <w:color w:val="auto"/>
          <w:highlight w:val="none"/>
        </w:rPr>
      </w:pPr>
      <w:r>
        <w:rPr>
          <w:rFonts w:ascii="仿宋" w:hAnsi="仿宋" w:eastAsia="仿宋" w:cstheme="minorEastAsia"/>
          <w:color w:val="auto"/>
          <w:highlight w:val="none"/>
        </w:rPr>
        <w:t>（一）</w:t>
      </w:r>
      <w:r>
        <w:rPr>
          <w:rFonts w:hint="eastAsia" w:ascii="仿宋" w:hAnsi="仿宋" w:eastAsia="仿宋" w:cstheme="minorEastAsia"/>
          <w:color w:val="auto"/>
          <w:highlight w:val="none"/>
        </w:rPr>
        <w:t>递交的响应文件不完整或未按采购文件要求盖公章及签字的；</w:t>
      </w:r>
    </w:p>
    <w:p w14:paraId="63155001">
      <w:pPr>
        <w:ind w:firstLine="480"/>
        <w:rPr>
          <w:rFonts w:ascii="仿宋" w:hAnsi="仿宋" w:eastAsia="仿宋" w:cstheme="minorEastAsia"/>
          <w:color w:val="auto"/>
          <w:highlight w:val="none"/>
        </w:rPr>
      </w:pPr>
      <w:r>
        <w:rPr>
          <w:rFonts w:ascii="仿宋" w:hAnsi="仿宋" w:eastAsia="仿宋" w:cstheme="minorEastAsia"/>
          <w:color w:val="auto"/>
          <w:highlight w:val="none"/>
        </w:rPr>
        <w:t>（二）</w:t>
      </w:r>
      <w:r>
        <w:rPr>
          <w:rFonts w:hint="eastAsia" w:ascii="仿宋" w:hAnsi="仿宋" w:eastAsia="仿宋" w:cstheme="minorEastAsia"/>
          <w:color w:val="auto"/>
          <w:highlight w:val="none"/>
        </w:rPr>
        <w:t>供应商不符合国家及采购文件规定的资格条件的；</w:t>
      </w:r>
    </w:p>
    <w:p w14:paraId="4B5F7341">
      <w:pPr>
        <w:ind w:firstLine="480"/>
        <w:rPr>
          <w:rFonts w:ascii="仿宋" w:hAnsi="仿宋" w:eastAsia="仿宋" w:cstheme="minorEastAsia"/>
          <w:color w:val="auto"/>
          <w:highlight w:val="none"/>
        </w:rPr>
      </w:pPr>
      <w:r>
        <w:rPr>
          <w:rFonts w:ascii="仿宋" w:hAnsi="仿宋" w:eastAsia="仿宋" w:cstheme="minorEastAsia"/>
          <w:color w:val="auto"/>
          <w:highlight w:val="none"/>
        </w:rPr>
        <w:t>（三）</w:t>
      </w:r>
      <w:r>
        <w:rPr>
          <w:rFonts w:hint="eastAsia" w:ascii="仿宋" w:hAnsi="仿宋" w:eastAsia="仿宋" w:cstheme="minorEastAsia"/>
          <w:color w:val="auto"/>
          <w:highlight w:val="none"/>
        </w:rPr>
        <w:t>投标联合体未提交联合投标协议的；</w:t>
      </w:r>
    </w:p>
    <w:p w14:paraId="5520089B">
      <w:pPr>
        <w:ind w:firstLine="480"/>
        <w:rPr>
          <w:rFonts w:ascii="仿宋" w:hAnsi="仿宋" w:eastAsia="仿宋" w:cstheme="minorEastAsia"/>
          <w:color w:val="auto"/>
          <w:highlight w:val="none"/>
        </w:rPr>
      </w:pPr>
      <w:r>
        <w:rPr>
          <w:rFonts w:ascii="仿宋" w:hAnsi="仿宋" w:eastAsia="仿宋" w:cstheme="minorEastAsia"/>
          <w:color w:val="auto"/>
          <w:highlight w:val="none"/>
        </w:rPr>
        <w:t>（四）</w:t>
      </w:r>
      <w:r>
        <w:rPr>
          <w:rFonts w:hint="eastAsia" w:ascii="仿宋" w:hAnsi="仿宋" w:eastAsia="仿宋" w:cstheme="minorEastAsia"/>
          <w:color w:val="auto"/>
          <w:highlight w:val="none"/>
        </w:rPr>
        <w:t>竞标初始报价经评审委员会认定低于成本价的；</w:t>
      </w:r>
    </w:p>
    <w:p w14:paraId="1595CEE2">
      <w:pPr>
        <w:ind w:firstLine="480"/>
        <w:rPr>
          <w:rFonts w:ascii="仿宋" w:hAnsi="仿宋" w:eastAsia="仿宋" w:cstheme="minorEastAsia"/>
          <w:color w:val="auto"/>
          <w:highlight w:val="none"/>
        </w:rPr>
      </w:pPr>
      <w:r>
        <w:rPr>
          <w:rFonts w:ascii="仿宋" w:hAnsi="仿宋" w:eastAsia="仿宋" w:cstheme="minorEastAsia"/>
          <w:color w:val="auto"/>
          <w:highlight w:val="none"/>
        </w:rPr>
        <w:t>（五）</w:t>
      </w:r>
      <w:r>
        <w:rPr>
          <w:rFonts w:hint="eastAsia" w:ascii="仿宋" w:hAnsi="仿宋" w:eastAsia="仿宋" w:cstheme="minorEastAsia"/>
          <w:color w:val="auto"/>
          <w:highlight w:val="none"/>
        </w:rPr>
        <w:t>最终报价高于采购文件载明的最高限价的；</w:t>
      </w:r>
    </w:p>
    <w:p w14:paraId="319B769D">
      <w:pPr>
        <w:ind w:firstLine="480"/>
        <w:rPr>
          <w:rFonts w:ascii="仿宋" w:hAnsi="仿宋" w:eastAsia="仿宋" w:cstheme="minorEastAsia"/>
          <w:color w:val="auto"/>
          <w:highlight w:val="none"/>
        </w:rPr>
      </w:pPr>
      <w:r>
        <w:rPr>
          <w:rFonts w:ascii="仿宋" w:hAnsi="仿宋" w:eastAsia="仿宋" w:cstheme="minorEastAsia"/>
          <w:color w:val="auto"/>
          <w:highlight w:val="none"/>
        </w:rPr>
        <w:t>（六）</w:t>
      </w:r>
      <w:r>
        <w:rPr>
          <w:rFonts w:hint="eastAsia" w:ascii="仿宋" w:hAnsi="仿宋" w:eastAsia="仿宋" w:cstheme="minorEastAsia"/>
          <w:color w:val="auto"/>
          <w:highlight w:val="none"/>
        </w:rPr>
        <w:t>响应文件未对采购文件的实质性要求和条件作出响应的；</w:t>
      </w:r>
    </w:p>
    <w:p w14:paraId="32D8FA6D">
      <w:pPr>
        <w:ind w:firstLine="480"/>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七</w:t>
      </w:r>
      <w:r>
        <w:rPr>
          <w:rFonts w:ascii="仿宋" w:hAnsi="仿宋" w:eastAsia="仿宋" w:cstheme="minorEastAsia"/>
          <w:color w:val="auto"/>
          <w:highlight w:val="none"/>
        </w:rPr>
        <w:t>）</w:t>
      </w:r>
      <w:r>
        <w:rPr>
          <w:rFonts w:hint="eastAsia" w:ascii="仿宋" w:hAnsi="仿宋" w:eastAsia="仿宋" w:cstheme="minorEastAsia"/>
          <w:color w:val="auto"/>
          <w:highlight w:val="none"/>
        </w:rPr>
        <w:t>供应商有串通投标、弄虚作假、行贿等违法行为的；</w:t>
      </w:r>
    </w:p>
    <w:p w14:paraId="660ED8CD">
      <w:pPr>
        <w:ind w:firstLine="484" w:firstLineChars="202"/>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八</w:t>
      </w:r>
      <w:r>
        <w:rPr>
          <w:rFonts w:ascii="仿宋" w:hAnsi="仿宋" w:eastAsia="仿宋" w:cstheme="minorEastAsia"/>
          <w:color w:val="auto"/>
          <w:highlight w:val="none"/>
        </w:rPr>
        <w:t>）有下列情形之一的，视为</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串通投标，其投标无效：</w:t>
      </w:r>
    </w:p>
    <w:p w14:paraId="2D458E34">
      <w:pPr>
        <w:ind w:firstLine="484" w:firstLineChars="202"/>
        <w:rPr>
          <w:rFonts w:ascii="仿宋" w:hAnsi="仿宋" w:eastAsia="仿宋" w:cstheme="minorEastAsia"/>
          <w:color w:val="auto"/>
          <w:highlight w:val="none"/>
        </w:rPr>
      </w:pPr>
      <w:r>
        <w:rPr>
          <w:rFonts w:hint="eastAsia" w:ascii="仿宋" w:hAnsi="仿宋" w:eastAsia="仿宋" w:cstheme="minorEastAsia"/>
          <w:color w:val="auto"/>
          <w:highlight w:val="none"/>
        </w:rPr>
        <w:t>1.</w:t>
      </w:r>
      <w:r>
        <w:rPr>
          <w:rFonts w:ascii="仿宋" w:hAnsi="仿宋" w:eastAsia="仿宋" w:cstheme="minorEastAsia"/>
          <w:color w:val="auto"/>
          <w:highlight w:val="none"/>
        </w:rPr>
        <w:t>不同</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的磋商响应文件由同一单位或者个人编制；</w:t>
      </w:r>
    </w:p>
    <w:p w14:paraId="7B3A1CDB">
      <w:pPr>
        <w:ind w:firstLine="484" w:firstLineChars="202"/>
        <w:rPr>
          <w:rFonts w:ascii="仿宋" w:hAnsi="仿宋" w:eastAsia="仿宋" w:cstheme="minorEastAsia"/>
          <w:color w:val="auto"/>
          <w:highlight w:val="none"/>
        </w:rPr>
      </w:pPr>
      <w:r>
        <w:rPr>
          <w:rFonts w:hint="eastAsia" w:ascii="仿宋" w:hAnsi="仿宋" w:eastAsia="仿宋" w:cstheme="minorEastAsia"/>
          <w:color w:val="auto"/>
          <w:highlight w:val="none"/>
        </w:rPr>
        <w:t>2.</w:t>
      </w:r>
      <w:r>
        <w:rPr>
          <w:rFonts w:ascii="仿宋" w:hAnsi="仿宋" w:eastAsia="仿宋" w:cstheme="minorEastAsia"/>
          <w:color w:val="auto"/>
          <w:highlight w:val="none"/>
        </w:rPr>
        <w:t>不同</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委托同一单位或者个人办理投标事宜；</w:t>
      </w:r>
    </w:p>
    <w:p w14:paraId="6657C090">
      <w:pPr>
        <w:ind w:firstLine="484" w:firstLineChars="202"/>
        <w:rPr>
          <w:rFonts w:ascii="仿宋" w:hAnsi="仿宋" w:eastAsia="仿宋" w:cstheme="minorEastAsia"/>
          <w:color w:val="auto"/>
          <w:highlight w:val="none"/>
        </w:rPr>
      </w:pPr>
      <w:r>
        <w:rPr>
          <w:rFonts w:hint="eastAsia" w:ascii="仿宋" w:hAnsi="仿宋" w:eastAsia="仿宋" w:cstheme="minorEastAsia"/>
          <w:color w:val="auto"/>
          <w:highlight w:val="none"/>
        </w:rPr>
        <w:t>3.</w:t>
      </w:r>
      <w:r>
        <w:rPr>
          <w:rFonts w:ascii="仿宋" w:hAnsi="仿宋" w:eastAsia="仿宋" w:cstheme="minorEastAsia"/>
          <w:color w:val="auto"/>
          <w:highlight w:val="none"/>
        </w:rPr>
        <w:t>不同</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的磋商响应文件载明的项目管理成员或者联系人员为同一人；</w:t>
      </w:r>
    </w:p>
    <w:p w14:paraId="0D43511A">
      <w:pPr>
        <w:ind w:firstLine="484" w:firstLineChars="202"/>
        <w:rPr>
          <w:rFonts w:ascii="仿宋" w:hAnsi="仿宋" w:eastAsia="仿宋" w:cstheme="minorEastAsia"/>
          <w:color w:val="auto"/>
          <w:highlight w:val="none"/>
        </w:rPr>
      </w:pPr>
      <w:r>
        <w:rPr>
          <w:rFonts w:hint="eastAsia" w:ascii="仿宋" w:hAnsi="仿宋" w:eastAsia="仿宋" w:cstheme="minorEastAsia"/>
          <w:color w:val="auto"/>
          <w:highlight w:val="none"/>
        </w:rPr>
        <w:t>4.</w:t>
      </w:r>
      <w:r>
        <w:rPr>
          <w:rFonts w:ascii="仿宋" w:hAnsi="仿宋" w:eastAsia="仿宋" w:cstheme="minorEastAsia"/>
          <w:color w:val="auto"/>
          <w:highlight w:val="none"/>
        </w:rPr>
        <w:t>不同</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的磋商响应文件异常一致或者磋商报价呈规律性差异；</w:t>
      </w:r>
    </w:p>
    <w:p w14:paraId="2B30EF5E">
      <w:pPr>
        <w:ind w:firstLine="484" w:firstLineChars="202"/>
        <w:rPr>
          <w:rFonts w:ascii="仿宋" w:hAnsi="仿宋" w:eastAsia="仿宋" w:cstheme="minorEastAsia"/>
          <w:color w:val="auto"/>
          <w:highlight w:val="none"/>
        </w:rPr>
      </w:pPr>
      <w:r>
        <w:rPr>
          <w:rFonts w:hint="eastAsia" w:ascii="仿宋" w:hAnsi="仿宋" w:eastAsia="仿宋" w:cstheme="minorEastAsia"/>
          <w:color w:val="auto"/>
          <w:highlight w:val="none"/>
        </w:rPr>
        <w:t>5.</w:t>
      </w:r>
      <w:r>
        <w:rPr>
          <w:rFonts w:ascii="仿宋" w:hAnsi="仿宋" w:eastAsia="仿宋" w:cstheme="minorEastAsia"/>
          <w:color w:val="auto"/>
          <w:highlight w:val="none"/>
        </w:rPr>
        <w:t>不同</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的磋商响应文件相互混装；</w:t>
      </w:r>
    </w:p>
    <w:p w14:paraId="03D9070F">
      <w:pPr>
        <w:ind w:firstLine="484" w:firstLineChars="202"/>
        <w:rPr>
          <w:rFonts w:ascii="仿宋" w:hAnsi="仿宋" w:eastAsia="仿宋" w:cstheme="minorEastAsia"/>
          <w:color w:val="auto"/>
          <w:highlight w:val="none"/>
        </w:rPr>
      </w:pPr>
      <w:r>
        <w:rPr>
          <w:rFonts w:hint="eastAsia" w:ascii="仿宋" w:hAnsi="仿宋" w:eastAsia="仿宋" w:cstheme="minorEastAsia"/>
          <w:color w:val="auto"/>
          <w:highlight w:val="none"/>
        </w:rPr>
        <w:t>6.</w:t>
      </w:r>
      <w:r>
        <w:rPr>
          <w:rFonts w:ascii="仿宋" w:hAnsi="仿宋" w:eastAsia="仿宋" w:cstheme="minorEastAsia"/>
          <w:color w:val="auto"/>
          <w:highlight w:val="none"/>
        </w:rPr>
        <w:t>不同</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的投标保证金从同一单位或者个人的账户转出。</w:t>
      </w:r>
    </w:p>
    <w:p w14:paraId="02E21F90">
      <w:pPr>
        <w:ind w:left="0" w:leftChars="0" w:firstLine="240" w:firstLineChars="100"/>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九</w:t>
      </w:r>
      <w:r>
        <w:rPr>
          <w:rFonts w:ascii="仿宋" w:hAnsi="仿宋" w:eastAsia="仿宋" w:cstheme="minorEastAsia"/>
          <w:color w:val="auto"/>
          <w:highlight w:val="none"/>
        </w:rPr>
        <w:t>）</w:t>
      </w:r>
      <w:r>
        <w:rPr>
          <w:rFonts w:hint="eastAsia" w:ascii="仿宋" w:hAnsi="仿宋" w:eastAsia="仿宋" w:cstheme="minorEastAsia"/>
          <w:color w:val="auto"/>
          <w:highlight w:val="none"/>
        </w:rPr>
        <w:t>未交纳投标保证金的；</w:t>
      </w:r>
    </w:p>
    <w:p w14:paraId="740DAF0C">
      <w:pPr>
        <w:ind w:left="0" w:leftChars="0" w:firstLine="240" w:firstLineChars="100"/>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十</w:t>
      </w:r>
      <w:r>
        <w:rPr>
          <w:rFonts w:ascii="仿宋" w:hAnsi="仿宋" w:eastAsia="仿宋" w:cstheme="minorEastAsia"/>
          <w:color w:val="auto"/>
          <w:highlight w:val="none"/>
        </w:rPr>
        <w:t>）</w:t>
      </w:r>
      <w:r>
        <w:rPr>
          <w:rFonts w:hint="eastAsia" w:ascii="仿宋" w:hAnsi="仿宋" w:eastAsia="仿宋" w:cstheme="minorEastAsia"/>
          <w:color w:val="auto"/>
          <w:highlight w:val="none"/>
        </w:rPr>
        <w:t>投标有效期不足的投标无效。</w:t>
      </w:r>
    </w:p>
    <w:p w14:paraId="650AB998">
      <w:pPr>
        <w:ind w:firstLine="480"/>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十一</w:t>
      </w:r>
      <w:r>
        <w:rPr>
          <w:rFonts w:ascii="仿宋" w:hAnsi="仿宋" w:eastAsia="仿宋" w:cstheme="minorEastAsia"/>
          <w:color w:val="auto"/>
          <w:highlight w:val="none"/>
        </w:rPr>
        <w:t>）</w:t>
      </w:r>
      <w:r>
        <w:rPr>
          <w:rFonts w:hint="eastAsia" w:ascii="仿宋" w:hAnsi="仿宋" w:eastAsia="仿宋" w:cstheme="minorEastAsia"/>
          <w:color w:val="auto"/>
          <w:highlight w:val="none"/>
        </w:rPr>
        <w:t>单位负责人为同一人或者存在直接控股、管理关系的不同供应商，不得参加同一合同项下的政府采购活动。</w:t>
      </w:r>
    </w:p>
    <w:p w14:paraId="413D8894">
      <w:pPr>
        <w:ind w:firstLine="484" w:firstLineChars="202"/>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十二</w:t>
      </w:r>
      <w:r>
        <w:rPr>
          <w:rFonts w:ascii="仿宋" w:hAnsi="仿宋" w:eastAsia="仿宋" w:cstheme="minorEastAsia"/>
          <w:color w:val="auto"/>
          <w:highlight w:val="none"/>
        </w:rPr>
        <w:t>）</w:t>
      </w:r>
      <w:r>
        <w:rPr>
          <w:rFonts w:hint="eastAsia" w:ascii="仿宋" w:hAnsi="仿宋" w:eastAsia="仿宋" w:cstheme="minorEastAsia"/>
          <w:color w:val="auto"/>
          <w:highlight w:val="none"/>
        </w:rPr>
        <w:t>为本项目提供整体设计、规范编制或者项目管理、监理、检测等服务的供应商参加本采购项目的。</w:t>
      </w:r>
    </w:p>
    <w:p w14:paraId="3849BB3D">
      <w:pPr>
        <w:ind w:firstLine="484" w:firstLineChars="202"/>
        <w:rPr>
          <w:rFonts w:ascii="仿宋" w:hAnsi="仿宋" w:eastAsia="仿宋" w:cstheme="minorEastAsia"/>
          <w:color w:val="auto"/>
          <w:highlight w:val="none"/>
        </w:rPr>
      </w:pPr>
      <w:r>
        <w:rPr>
          <w:rFonts w:ascii="仿宋" w:hAnsi="仿宋" w:eastAsia="仿宋" w:cstheme="minorEastAsia"/>
          <w:color w:val="auto"/>
          <w:highlight w:val="none"/>
        </w:rPr>
        <w:t>（</w:t>
      </w:r>
      <w:r>
        <w:rPr>
          <w:rFonts w:hint="eastAsia" w:ascii="仿宋" w:hAnsi="仿宋" w:eastAsia="仿宋" w:cstheme="minorEastAsia"/>
          <w:color w:val="auto"/>
          <w:highlight w:val="none"/>
        </w:rPr>
        <w:t>十三</w:t>
      </w:r>
      <w:r>
        <w:rPr>
          <w:rFonts w:ascii="仿宋" w:hAnsi="仿宋" w:eastAsia="仿宋" w:cstheme="minorEastAsia"/>
          <w:color w:val="auto"/>
          <w:highlight w:val="none"/>
        </w:rPr>
        <w:t>）</w:t>
      </w:r>
      <w:r>
        <w:rPr>
          <w:rFonts w:hint="eastAsia" w:ascii="仿宋" w:hAnsi="仿宋" w:eastAsia="仿宋" w:cstheme="minorEastAsia"/>
          <w:color w:val="auto"/>
          <w:highlight w:val="none"/>
        </w:rPr>
        <w:t>违反政府采购法律法规,足以导致响应文件无效的情形。</w:t>
      </w:r>
    </w:p>
    <w:p w14:paraId="611D3A1C">
      <w:pPr>
        <w:ind w:firstLine="480"/>
        <w:rPr>
          <w:rFonts w:ascii="仿宋" w:hAnsi="仿宋" w:eastAsia="仿宋" w:cstheme="minorEastAsia"/>
          <w:color w:val="auto"/>
          <w:highlight w:val="none"/>
        </w:rPr>
        <w:sectPr>
          <w:pgSz w:w="11907" w:h="16840"/>
          <w:pgMar w:top="1304" w:right="1588" w:bottom="1304" w:left="1588" w:header="720" w:footer="720" w:gutter="0"/>
          <w:cols w:space="425" w:num="1"/>
          <w:docGrid w:linePitch="285" w:charSpace="0"/>
        </w:sectPr>
      </w:pPr>
    </w:p>
    <w:p w14:paraId="17557820">
      <w:pPr>
        <w:pStyle w:val="4"/>
        <w:rPr>
          <w:rFonts w:ascii="仿宋" w:hAnsi="仿宋" w:eastAsia="仿宋" w:cstheme="minorEastAsia"/>
          <w:color w:val="auto"/>
          <w:highlight w:val="none"/>
        </w:rPr>
      </w:pPr>
      <w:bookmarkStart w:id="42" w:name="_Toc407182474"/>
      <w:bookmarkStart w:id="43" w:name="_Toc407182673"/>
      <w:bookmarkStart w:id="44" w:name="_Toc626"/>
      <w:bookmarkStart w:id="45" w:name="_Toc24184"/>
      <w:bookmarkStart w:id="46" w:name="_Toc407169881"/>
      <w:bookmarkStart w:id="47" w:name="_Toc16435"/>
      <w:bookmarkStart w:id="48" w:name="_Toc407182684"/>
      <w:bookmarkStart w:id="49" w:name="_Toc407169892"/>
      <w:r>
        <w:rPr>
          <w:rFonts w:hint="eastAsia" w:ascii="仿宋" w:hAnsi="仿宋" w:eastAsia="仿宋" w:cstheme="minorEastAsia"/>
          <w:color w:val="auto"/>
          <w:sz w:val="44"/>
          <w:highlight w:val="none"/>
        </w:rPr>
        <w:t>第二部分 通用部分</w:t>
      </w:r>
      <w:bookmarkEnd w:id="42"/>
      <w:bookmarkEnd w:id="43"/>
      <w:bookmarkEnd w:id="44"/>
      <w:bookmarkEnd w:id="45"/>
      <w:bookmarkEnd w:id="46"/>
      <w:bookmarkEnd w:id="47"/>
    </w:p>
    <w:p w14:paraId="36B1C6A9">
      <w:pPr>
        <w:pStyle w:val="5"/>
        <w:spacing w:before="120" w:after="120"/>
        <w:rPr>
          <w:rFonts w:ascii="仿宋" w:hAnsi="仿宋" w:eastAsia="仿宋" w:cstheme="minorEastAsia"/>
          <w:color w:val="auto"/>
          <w:sz w:val="30"/>
          <w:szCs w:val="30"/>
          <w:highlight w:val="none"/>
        </w:rPr>
      </w:pPr>
      <w:bookmarkStart w:id="50" w:name="_Toc407182674"/>
      <w:bookmarkStart w:id="51" w:name="_Toc407169882"/>
      <w:bookmarkStart w:id="52" w:name="_Toc16331"/>
      <w:r>
        <w:rPr>
          <w:rFonts w:hint="eastAsia" w:ascii="仿宋" w:hAnsi="仿宋" w:eastAsia="仿宋" w:cstheme="minorEastAsia"/>
          <w:color w:val="auto"/>
          <w:sz w:val="30"/>
          <w:szCs w:val="30"/>
          <w:highlight w:val="none"/>
        </w:rPr>
        <w:t>第四章</w:t>
      </w:r>
      <w:bookmarkEnd w:id="50"/>
      <w:bookmarkEnd w:id="51"/>
      <w:r>
        <w:rPr>
          <w:rFonts w:hint="eastAsia" w:ascii="仿宋" w:hAnsi="仿宋" w:eastAsia="仿宋" w:cstheme="minorEastAsia"/>
          <w:color w:val="auto"/>
          <w:sz w:val="30"/>
          <w:szCs w:val="30"/>
          <w:highlight w:val="none"/>
        </w:rPr>
        <w:t xml:space="preserve"> 政府采购程序</w:t>
      </w:r>
      <w:bookmarkEnd w:id="52"/>
    </w:p>
    <w:p w14:paraId="17F8636D">
      <w:pPr>
        <w:pStyle w:val="6"/>
        <w:spacing w:before="240" w:after="240"/>
        <w:rPr>
          <w:rFonts w:ascii="仿宋" w:hAnsi="仿宋" w:eastAsia="仿宋" w:cstheme="minorEastAsia"/>
          <w:color w:val="auto"/>
          <w:highlight w:val="none"/>
        </w:rPr>
      </w:pPr>
      <w:bookmarkStart w:id="53" w:name="_Toc19628"/>
      <w:bookmarkStart w:id="54" w:name="_Toc407182675"/>
      <w:r>
        <w:rPr>
          <w:rFonts w:hint="eastAsia" w:ascii="仿宋" w:hAnsi="仿宋" w:eastAsia="仿宋" w:cstheme="minorEastAsia"/>
          <w:color w:val="auto"/>
          <w:sz w:val="30"/>
          <w:szCs w:val="30"/>
          <w:highlight w:val="none"/>
        </w:rPr>
        <w:t>第一节 发布采购公告</w:t>
      </w:r>
      <w:bookmarkEnd w:id="53"/>
      <w:bookmarkEnd w:id="54"/>
    </w:p>
    <w:p w14:paraId="5FB8166A">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一、公告发布媒体</w:t>
      </w:r>
    </w:p>
    <w:p w14:paraId="0F25C81A">
      <w:pPr>
        <w:spacing w:before="120" w:beforeLines="50" w:after="120" w:afterLines="50"/>
        <w:ind w:firstLine="480"/>
        <w:jc w:val="both"/>
        <w:rPr>
          <w:rFonts w:ascii="仿宋" w:hAnsi="仿宋" w:eastAsia="仿宋" w:cstheme="minorEastAsia"/>
          <w:color w:val="auto"/>
          <w:highlight w:val="none"/>
        </w:rPr>
      </w:pPr>
      <w:r>
        <w:rPr>
          <w:rFonts w:hint="eastAsia" w:ascii="仿宋" w:hAnsi="仿宋" w:eastAsia="仿宋" w:cstheme="minorEastAsia"/>
          <w:color w:val="auto"/>
          <w:highlight w:val="none"/>
        </w:rPr>
        <w:t>全国公共资源交易平台（贵州省·省中心)（http://ggzy.guizhou.gov.cn/）、贵州省政府采购网（http://www.ccgp-guizhou.gov.cn）及法律法规规定的其他媒体。</w:t>
      </w:r>
    </w:p>
    <w:p w14:paraId="2A3C54C9">
      <w:pPr>
        <w:spacing w:before="120" w:beforeLines="50" w:after="120" w:afterLines="50"/>
        <w:ind w:firstLine="0"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二、变更公告</w:t>
      </w:r>
    </w:p>
    <w:p w14:paraId="2F8C5F8D">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本项目将根据实际情况及需要，发布技术参数、开评标时间调整等有关内容的变更公告。供应商须关注贵州省公共资源交易中心网变更公告栏及其他有关网站和媒体发布的关于本项目的变更公告。变更公告是采购文件的组成部分，与采购文件具有同等法律效力。</w:t>
      </w:r>
      <w:bookmarkStart w:id="55" w:name="_Toc407182676"/>
    </w:p>
    <w:p w14:paraId="15AAF9D3">
      <w:pPr>
        <w:pStyle w:val="6"/>
        <w:spacing w:before="240" w:after="240"/>
        <w:rPr>
          <w:rFonts w:ascii="仿宋" w:hAnsi="仿宋" w:eastAsia="仿宋" w:cstheme="minorEastAsia"/>
          <w:color w:val="auto"/>
          <w:highlight w:val="none"/>
        </w:rPr>
      </w:pPr>
      <w:bookmarkStart w:id="56" w:name="_Toc814"/>
      <w:r>
        <w:rPr>
          <w:rFonts w:hint="eastAsia" w:ascii="仿宋" w:hAnsi="仿宋" w:eastAsia="仿宋" w:cstheme="minorEastAsia"/>
          <w:color w:val="auto"/>
          <w:sz w:val="30"/>
          <w:szCs w:val="30"/>
          <w:highlight w:val="none"/>
        </w:rPr>
        <w:t>第二节 获取采购文件</w:t>
      </w:r>
      <w:bookmarkEnd w:id="55"/>
      <w:bookmarkEnd w:id="56"/>
    </w:p>
    <w:p w14:paraId="4980F081">
      <w:pPr>
        <w:spacing w:before="120" w:beforeLines="50" w:after="120" w:afterLines="50" w:line="240" w:lineRule="auto"/>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一、获取时间</w:t>
      </w:r>
    </w:p>
    <w:p w14:paraId="446FADC0">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以本项目公告时间为准。若发布更正公告，以更正公告时间为准。</w:t>
      </w:r>
    </w:p>
    <w:p w14:paraId="04B9ABEB">
      <w:pPr>
        <w:spacing w:before="240" w:beforeLines="100" w:after="120" w:afterLines="50"/>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二、获取方式</w:t>
      </w:r>
    </w:p>
    <w:p w14:paraId="42340AF4">
      <w:pPr>
        <w:spacing w:before="240" w:beforeLines="10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以本项目公告中获取方式为准。</w:t>
      </w:r>
    </w:p>
    <w:p w14:paraId="38AC7CCB">
      <w:pPr>
        <w:spacing w:before="120" w:beforeLines="50" w:after="120" w:afterLines="50" w:line="240" w:lineRule="auto"/>
        <w:ind w:firstLine="0" w:firstLineChars="0"/>
        <w:rPr>
          <w:rFonts w:ascii="仿宋" w:hAnsi="仿宋" w:eastAsia="仿宋" w:cs="宋体"/>
          <w:color w:val="auto"/>
          <w:highlight w:val="none"/>
        </w:rPr>
      </w:pPr>
      <w:r>
        <w:rPr>
          <w:rFonts w:hint="eastAsia" w:ascii="仿宋" w:hAnsi="仿宋" w:eastAsia="仿宋" w:cstheme="minorEastAsia"/>
          <w:color w:val="auto"/>
          <w:highlight w:val="none"/>
        </w:rPr>
        <w:t>三、</w:t>
      </w:r>
      <w:r>
        <w:rPr>
          <w:rFonts w:hint="eastAsia" w:ascii="仿宋" w:hAnsi="仿宋" w:eastAsia="仿宋" w:cs="宋体"/>
          <w:color w:val="auto"/>
          <w:highlight w:val="none"/>
        </w:rPr>
        <w:t>采购文件的澄清和修改</w:t>
      </w:r>
    </w:p>
    <w:p w14:paraId="79CC2E0B">
      <w:pPr>
        <w:spacing w:before="240" w:beforeLines="100" w:after="120" w:afterLines="50"/>
        <w:ind w:firstLine="491" w:firstLineChars="205"/>
        <w:rPr>
          <w:rFonts w:ascii="仿宋" w:hAnsi="仿宋" w:eastAsia="仿宋" w:cs="宋体"/>
          <w:color w:val="auto"/>
          <w:highlight w:val="none"/>
        </w:rPr>
      </w:pPr>
      <w:r>
        <w:rPr>
          <w:rFonts w:hint="eastAsia" w:ascii="仿宋" w:hAnsi="仿宋" w:eastAsia="仿宋" w:cs="宋体"/>
          <w:color w:val="auto"/>
          <w:highlight w:val="none"/>
        </w:rPr>
        <w:t>（一）采购文件的澄清和修改：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补充变更文件是采购文件的组成部分，对所有供应商均具有约束力。所有采购文件的补充、变更将以变更公告形式发布。</w:t>
      </w:r>
    </w:p>
    <w:p w14:paraId="2E2C6738">
      <w:pPr>
        <w:spacing w:before="240" w:beforeLines="100" w:after="120" w:afterLines="50"/>
        <w:ind w:firstLine="491" w:firstLineChars="205"/>
        <w:rPr>
          <w:rFonts w:ascii="仿宋" w:hAnsi="仿宋" w:eastAsia="仿宋" w:cs="宋体"/>
          <w:color w:val="auto"/>
          <w:highlight w:val="none"/>
        </w:rPr>
      </w:pPr>
      <w:r>
        <w:rPr>
          <w:rFonts w:hint="eastAsia" w:ascii="仿宋" w:hAnsi="仿宋" w:eastAsia="仿宋" w:cs="宋体"/>
          <w:color w:val="auto"/>
          <w:highlight w:val="none"/>
        </w:rPr>
        <w:t>（二）采购文件的质疑：供应商或潜在供应商对采购文件中存在的任何含糊、遗漏、相互矛盾之处，或对技术规格及其他条件不清楚，或采购文件具有不合理、不公平、歧视性、限制性、指向性条款损害潜在供应商权益的，或供应商有疑问的其他事项，供应商或潜在供应商可向采购人或代理机构提出书面质疑，对采购人或采购代理机构质疑回复不满意的可向主管财政部门进行投诉。未递交质疑函的视为充分理解并认可采购文件及补充变更的所有内容。</w:t>
      </w:r>
    </w:p>
    <w:p w14:paraId="332D8A4F">
      <w:pPr>
        <w:spacing w:before="120" w:beforeLines="50" w:after="120" w:afterLines="50" w:line="240" w:lineRule="auto"/>
        <w:ind w:firstLine="494" w:firstLineChars="205"/>
        <w:rPr>
          <w:rFonts w:ascii="仿宋" w:hAnsi="仿宋" w:eastAsia="仿宋" w:cstheme="minorEastAsia"/>
          <w:color w:val="auto"/>
          <w:highlight w:val="none"/>
          <w:u w:val="single"/>
        </w:rPr>
      </w:pPr>
      <w:r>
        <w:rPr>
          <w:rFonts w:hint="eastAsia" w:ascii="仿宋" w:hAnsi="仿宋" w:eastAsia="仿宋" w:cs="宋体"/>
          <w:b/>
          <w:color w:val="auto"/>
          <w:highlight w:val="none"/>
        </w:rPr>
        <w:t>采购文件质疑、投诉的具体要求和流程详见竞争性磋商文件第四章第六节：发布成交结果公告，第二点：政府采购活动的质疑投诉。</w:t>
      </w:r>
    </w:p>
    <w:p w14:paraId="2B107249">
      <w:pPr>
        <w:pStyle w:val="6"/>
        <w:spacing w:before="240" w:after="240"/>
        <w:rPr>
          <w:rFonts w:ascii="仿宋" w:hAnsi="仿宋" w:eastAsia="仿宋" w:cstheme="minorEastAsia"/>
          <w:color w:val="auto"/>
          <w:highlight w:val="none"/>
        </w:rPr>
      </w:pPr>
      <w:bookmarkStart w:id="57" w:name="_Toc14626"/>
      <w:bookmarkStart w:id="58" w:name="_Toc407182677"/>
      <w:r>
        <w:rPr>
          <w:rFonts w:hint="eastAsia" w:ascii="仿宋" w:hAnsi="仿宋" w:eastAsia="仿宋" w:cstheme="minorEastAsia"/>
          <w:color w:val="auto"/>
          <w:sz w:val="30"/>
          <w:szCs w:val="30"/>
          <w:highlight w:val="none"/>
        </w:rPr>
        <w:t>第三节 交纳投标保证金</w:t>
      </w:r>
      <w:bookmarkEnd w:id="57"/>
      <w:bookmarkEnd w:id="58"/>
    </w:p>
    <w:p w14:paraId="292485E2">
      <w:pPr>
        <w:spacing w:before="120" w:beforeLines="5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一、交纳金额</w:t>
      </w:r>
    </w:p>
    <w:p w14:paraId="02699957">
      <w:pPr>
        <w:spacing w:before="120" w:beforeLines="50" w:after="120" w:afterLines="50"/>
        <w:ind w:firstLine="480"/>
        <w:rPr>
          <w:rFonts w:ascii="仿宋" w:hAnsi="仿宋" w:eastAsia="仿宋" w:cs="宋体"/>
          <w:color w:val="auto"/>
          <w:highlight w:val="none"/>
        </w:rPr>
      </w:pPr>
      <w:r>
        <w:rPr>
          <w:rFonts w:hint="eastAsia" w:ascii="仿宋" w:hAnsi="仿宋" w:eastAsia="仿宋" w:cs="宋体"/>
          <w:color w:val="auto"/>
          <w:highlight w:val="none"/>
          <w:u w:val="single"/>
          <w:lang w:val="en-US" w:eastAsia="zh-CN"/>
        </w:rPr>
        <w:t>壹万</w:t>
      </w:r>
      <w:r>
        <w:rPr>
          <w:rFonts w:hint="eastAsia" w:ascii="仿宋" w:hAnsi="仿宋" w:eastAsia="仿宋" w:cs="宋体"/>
          <w:color w:val="auto"/>
          <w:highlight w:val="none"/>
          <w:u w:val="single"/>
        </w:rPr>
        <w:t xml:space="preserve">元整 </w:t>
      </w:r>
      <w:r>
        <w:rPr>
          <w:rFonts w:hint="eastAsia" w:ascii="仿宋" w:hAnsi="仿宋" w:eastAsia="仿宋" w:cs="宋体"/>
          <w:color w:val="auto"/>
          <w:highlight w:val="none"/>
        </w:rPr>
        <w:t>(￥</w:t>
      </w:r>
      <w:r>
        <w:rPr>
          <w:rFonts w:hint="eastAsia" w:ascii="仿宋" w:hAnsi="仿宋" w:eastAsia="仿宋" w:cs="宋体"/>
          <w:color w:val="auto"/>
          <w:highlight w:val="none"/>
          <w:u w:val="single"/>
          <w:lang w:val="en-US" w:eastAsia="zh-CN"/>
        </w:rPr>
        <w:t>1</w:t>
      </w:r>
      <w:r>
        <w:rPr>
          <w:rFonts w:hint="eastAsia" w:ascii="仿宋" w:hAnsi="仿宋" w:eastAsia="仿宋" w:cs="宋体"/>
          <w:color w:val="auto"/>
          <w:highlight w:val="none"/>
          <w:u w:val="single"/>
        </w:rPr>
        <w:t>000</w:t>
      </w:r>
      <w:r>
        <w:rPr>
          <w:rFonts w:hint="eastAsia" w:ascii="仿宋" w:hAnsi="仿宋" w:eastAsia="仿宋" w:cs="宋体"/>
          <w:color w:val="auto"/>
          <w:highlight w:val="none"/>
          <w:u w:val="single"/>
          <w:lang w:val="en-US" w:eastAsia="zh-CN"/>
        </w:rPr>
        <w:t>0</w:t>
      </w:r>
      <w:r>
        <w:rPr>
          <w:rFonts w:hint="eastAsia" w:ascii="仿宋" w:hAnsi="仿宋" w:eastAsia="仿宋" w:cs="宋体"/>
          <w:color w:val="auto"/>
          <w:highlight w:val="none"/>
          <w:u w:val="single"/>
        </w:rPr>
        <w:t xml:space="preserve">.00元 </w:t>
      </w:r>
      <w:r>
        <w:rPr>
          <w:rFonts w:hint="eastAsia" w:ascii="仿宋" w:hAnsi="仿宋" w:eastAsia="仿宋" w:cs="宋体"/>
          <w:color w:val="auto"/>
          <w:highlight w:val="none"/>
        </w:rPr>
        <w:t>)。</w:t>
      </w:r>
    </w:p>
    <w:p w14:paraId="7E96C6F5">
      <w:pPr>
        <w:spacing w:before="120" w:beforeLines="5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二、交纳方式</w:t>
      </w:r>
    </w:p>
    <w:p w14:paraId="698D1DF5">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以银行转账、银行保函、保证保险、合法担保机构出具的担保等形式缴纳。</w:t>
      </w:r>
    </w:p>
    <w:p w14:paraId="57D79DE1">
      <w:pPr>
        <w:spacing w:before="120" w:beforeLines="5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三、交纳要求</w:t>
      </w:r>
    </w:p>
    <w:p w14:paraId="04598655">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1、银行转账形式提交投标保证金</w:t>
      </w:r>
    </w:p>
    <w:p w14:paraId="02CF94C1">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（1）贵州省公共资源交易系统 2020 版以银行转账方式交纳的投标保证，须由</w:t>
      </w:r>
      <w:r>
        <w:rPr>
          <w:rFonts w:hint="eastAsia" w:ascii="仿宋" w:hAnsi="仿宋" w:eastAsia="仿宋" w:cs="宋体"/>
          <w:color w:val="auto"/>
          <w:highlight w:val="none"/>
          <w:lang w:eastAsia="zh-CN"/>
        </w:rPr>
        <w:t>供应商</w:t>
      </w:r>
      <w:r>
        <w:rPr>
          <w:rFonts w:hint="eastAsia" w:ascii="仿宋" w:hAnsi="仿宋" w:eastAsia="仿宋" w:cs="宋体"/>
          <w:color w:val="auto"/>
          <w:highlight w:val="none"/>
        </w:rPr>
        <w:t>在投标截止时间前自行在系统内与参与投标项目进行绑定；未与绑定的，将视为未交纳投标保证金，不能参加投标。</w:t>
      </w:r>
    </w:p>
    <w:p w14:paraId="4FFD8E88">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2）在交纳保证金前，请先在交易系统的“企业诚信管理系统—企业基本信息—银行账户”下验证“开户银行、基本账户号、基本户开户支行号、基本户账户名称”等信息是否正确完善。检查完毕后，通过基本账户将保证金转入贵州省公共资源交易中心保证金账户：</w:t>
      </w:r>
    </w:p>
    <w:p w14:paraId="22DF8617">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开户名称：贵州省公共资源交易中心</w:t>
      </w:r>
    </w:p>
    <w:p w14:paraId="54DD1564">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开 户 行：贵州银行股份有限公司贵阳展览馆支行</w:t>
      </w:r>
    </w:p>
    <w:p w14:paraId="456A0B36">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账 号：0109001400000182-0002</w:t>
      </w:r>
    </w:p>
    <w:p w14:paraId="14C8973B">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（3）保证金转账成功后登陆交易系统，点击【保证金管理】菜单下的【交纳流水查看】，查看该笔保证金是否鉴收成功；</w:t>
      </w:r>
    </w:p>
    <w:p w14:paraId="52FAB16D">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（4）保证金鉴收成功后，点击【项目绑定】菜单中绑定要投标的项目，点击【绑定】按钮，绑定成功后保证金方可生效；</w:t>
      </w:r>
    </w:p>
    <w:p w14:paraId="27153C45">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（5）项目绑定成功后，点击【交纳凭证】按钮，可打印保证金交纳凭证，此时保证金绑定成功。未与绑定的，将视为未交纳投标保证金，不能参加投标。</w:t>
      </w:r>
    </w:p>
    <w:p w14:paraId="79C9EDD4">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（6）未绑定项目的保证金在60日内将自动进行退款。</w:t>
      </w:r>
    </w:p>
    <w:p w14:paraId="5F01B2C4">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2、银行保函、保证保险、合法担保机构出具的担保等方式缴纳投标保证金</w:t>
      </w:r>
    </w:p>
    <w:p w14:paraId="44A0F6B7">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（1）</w:t>
      </w:r>
      <w:r>
        <w:rPr>
          <w:rFonts w:hint="eastAsia" w:ascii="仿宋" w:hAnsi="仿宋" w:eastAsia="仿宋" w:cs="宋体"/>
          <w:color w:val="auto"/>
          <w:highlight w:val="none"/>
          <w:lang w:eastAsia="zh-CN"/>
        </w:rPr>
        <w:t>供应商</w:t>
      </w:r>
      <w:r>
        <w:rPr>
          <w:rFonts w:hint="eastAsia" w:ascii="仿宋" w:hAnsi="仿宋" w:eastAsia="仿宋" w:cs="宋体"/>
          <w:color w:val="auto"/>
          <w:highlight w:val="none"/>
        </w:rPr>
        <w:t>通过贵州省公共资源交易综合金融服务平台在线办理的电子保函：包含银行保函、保证保险、担保保函等（注：其内容应载有招标人名称、投标单位名称、项目名称、标段名称、保证金金额、有效期，且其有效期应不小于投标有效期），可直接在交易系统中确认，须将打印的电子保函和投标文件一并提交给招标代理机构，不再验证真伪；</w:t>
      </w:r>
    </w:p>
    <w:p w14:paraId="51A3788C">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2）对贵州省公共资源交易综合金融服务平台以外办理的投标保函（含纸质保函）、合法担保机构出具的担保，须将电子保函原件和投标文件一并提交给招标代理机构，并在开标现场对其进行真伪验证，通过官网查询验证未通过的，视为未按规定交纳投标保证金。</w:t>
      </w:r>
    </w:p>
    <w:p w14:paraId="5F5C3809">
      <w:pPr>
        <w:pStyle w:val="13"/>
        <w:spacing w:after="0"/>
        <w:ind w:left="0" w:leftChars="0" w:firstLine="240" w:firstLineChars="100"/>
        <w:rPr>
          <w:rFonts w:ascii="仿宋" w:hAnsi="仿宋" w:eastAsia="仿宋" w:cs="宋体"/>
          <w:color w:val="auto"/>
          <w:szCs w:val="24"/>
          <w:highlight w:val="none"/>
        </w:rPr>
      </w:pPr>
      <w:r>
        <w:rPr>
          <w:rFonts w:hint="eastAsia" w:ascii="仿宋" w:hAnsi="仿宋" w:eastAsia="仿宋" w:cs="宋体"/>
          <w:color w:val="auto"/>
          <w:szCs w:val="24"/>
          <w:highlight w:val="none"/>
        </w:rPr>
        <w:t xml:space="preserve"> （3）银行保函、保证保险、合法担保机构出具的担保等，须将扫描件装入投标文件中“提供保证金已交纳到帐的依据”处。</w:t>
      </w:r>
    </w:p>
    <w:p w14:paraId="60049013">
      <w:pPr>
        <w:spacing w:before="240" w:beforeLines="100" w:after="120" w:afterLines="50"/>
        <w:ind w:firstLine="487" w:firstLineChars="203"/>
        <w:rPr>
          <w:rFonts w:ascii="仿宋" w:hAnsi="仿宋" w:eastAsia="仿宋" w:cs="宋体"/>
          <w:color w:val="auto"/>
          <w:highlight w:val="none"/>
        </w:rPr>
      </w:pPr>
      <w:r>
        <w:rPr>
          <w:rFonts w:hint="eastAsia" w:ascii="仿宋" w:hAnsi="仿宋" w:eastAsia="仿宋" w:cs="宋体"/>
          <w:color w:val="auto"/>
          <w:highlight w:val="none"/>
        </w:rPr>
        <w:t>3、未尽事宜请参照贵州省公共资源交易中心具体规定。</w:t>
      </w:r>
    </w:p>
    <w:p w14:paraId="74F4F9D3">
      <w:pPr>
        <w:spacing w:before="120" w:beforeLines="5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四、投标保证金有效期</w:t>
      </w:r>
    </w:p>
    <w:p w14:paraId="1E2C50EE">
      <w:pPr>
        <w:spacing w:before="120" w:beforeLines="5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同投标有效期。</w:t>
      </w:r>
    </w:p>
    <w:p w14:paraId="4A36627D">
      <w:pPr>
        <w:pStyle w:val="6"/>
        <w:spacing w:before="240" w:after="240"/>
        <w:rPr>
          <w:rFonts w:ascii="仿宋" w:hAnsi="仿宋" w:eastAsia="仿宋" w:cstheme="minorEastAsia"/>
          <w:color w:val="auto"/>
          <w:sz w:val="30"/>
          <w:szCs w:val="30"/>
          <w:highlight w:val="none"/>
        </w:rPr>
      </w:pPr>
      <w:bookmarkStart w:id="59" w:name="_Toc407182678"/>
      <w:bookmarkStart w:id="60" w:name="_Toc30731"/>
      <w:r>
        <w:rPr>
          <w:rFonts w:hint="eastAsia" w:ascii="仿宋" w:hAnsi="仿宋" w:eastAsia="仿宋" w:cstheme="minorEastAsia"/>
          <w:color w:val="auto"/>
          <w:sz w:val="30"/>
          <w:szCs w:val="30"/>
          <w:highlight w:val="none"/>
        </w:rPr>
        <w:t>第四节 递交响应文件</w:t>
      </w:r>
      <w:bookmarkEnd w:id="59"/>
      <w:bookmarkEnd w:id="60"/>
    </w:p>
    <w:p w14:paraId="6EFAF980">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一、递交时间</w:t>
      </w:r>
    </w:p>
    <w:p w14:paraId="5041C70D">
      <w:pPr>
        <w:spacing w:before="120" w:beforeLines="50" w:after="120" w:afterLines="50"/>
        <w:ind w:firstLine="480"/>
        <w:rPr>
          <w:rFonts w:hint="eastAsia" w:ascii="仿宋" w:hAnsi="仿宋" w:eastAsia="仿宋" w:cstheme="minorEastAsia"/>
          <w:color w:val="auto"/>
          <w:highlight w:val="none"/>
          <w:lang w:eastAsia="zh-CN"/>
        </w:rPr>
      </w:pPr>
      <w:r>
        <w:rPr>
          <w:rFonts w:hint="eastAsia" w:ascii="仿宋" w:hAnsi="仿宋" w:eastAsia="仿宋" w:cstheme="minorEastAsia"/>
          <w:color w:val="auto"/>
          <w:highlight w:val="none"/>
        </w:rPr>
        <w:t>以本项目公告时间为准，如本项目有变更公告的，以变更公告时间为准</w:t>
      </w:r>
      <w:r>
        <w:rPr>
          <w:rFonts w:hint="eastAsia" w:ascii="仿宋" w:hAnsi="仿宋" w:eastAsia="仿宋" w:cstheme="minorEastAsia"/>
          <w:color w:val="auto"/>
          <w:highlight w:val="none"/>
          <w:lang w:eastAsia="zh-CN"/>
        </w:rPr>
        <w:t>。</w:t>
      </w:r>
    </w:p>
    <w:p w14:paraId="12BF1EB5">
      <w:pPr>
        <w:spacing w:before="120" w:beforeLines="50" w:after="120" w:afterLines="50"/>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二、递交地点</w:t>
      </w:r>
    </w:p>
    <w:p w14:paraId="6AADBE1A">
      <w:pPr>
        <w:keepNext w:val="0"/>
        <w:keepLines w:val="0"/>
        <w:pageBreakBefore w:val="0"/>
        <w:widowControl w:val="0"/>
        <w:kinsoku/>
        <w:wordWrap w:val="0"/>
        <w:overflowPunct/>
        <w:topLinePunct/>
        <w:autoSpaceDE/>
        <w:autoSpaceDN/>
        <w:bidi w:val="0"/>
        <w:adjustRightInd/>
        <w:snapToGrid/>
        <w:spacing w:before="120" w:beforeLines="50" w:after="120" w:afterLines="50"/>
        <w:ind w:firstLine="480"/>
        <w:textAlignment w:val="auto"/>
        <w:rPr>
          <w:rFonts w:ascii="仿宋" w:hAnsi="仿宋" w:eastAsia="仿宋" w:cstheme="minorEastAsia"/>
          <w:color w:val="auto"/>
          <w:highlight w:val="none"/>
        </w:rPr>
      </w:pPr>
      <w:r>
        <w:rPr>
          <w:rFonts w:hint="eastAsia" w:ascii="仿宋" w:hAnsi="仿宋" w:eastAsia="仿宋" w:cstheme="minorEastAsia"/>
          <w:color w:val="auto"/>
          <w:highlight w:val="none"/>
        </w:rPr>
        <w:t>本项目为电子招标，</w:t>
      </w:r>
      <w:r>
        <w:rPr>
          <w:rFonts w:hint="eastAsia" w:ascii="仿宋" w:hAnsi="仿宋" w:eastAsia="仿宋" w:cstheme="minorEastAsia"/>
          <w:color w:val="auto"/>
          <w:highlight w:val="none"/>
          <w:lang w:eastAsia="zh-CN"/>
        </w:rPr>
        <w:t>供应商</w:t>
      </w:r>
      <w:r>
        <w:rPr>
          <w:rFonts w:hint="eastAsia" w:ascii="仿宋" w:hAnsi="仿宋" w:eastAsia="仿宋" w:cstheme="minorEastAsia"/>
          <w:color w:val="auto"/>
          <w:highlight w:val="none"/>
        </w:rPr>
        <w:t>须在递交投标文件截止时间前完整的将加密电子投标文件（.GPT格式）上传到全国公共资源交易平台（贵州省）（网址：ggzy.guizhou.gov.cn ），投标截止时间前未完成投标文件传输的，视为撤回投标文件。投标截止时间后，贵州省公共资源交易平台不再接收投标文件。</w:t>
      </w:r>
    </w:p>
    <w:p w14:paraId="7F185D38">
      <w:pPr>
        <w:spacing w:before="120" w:beforeLines="50" w:after="120" w:afterLines="50"/>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三、递交要求</w:t>
      </w:r>
    </w:p>
    <w:p w14:paraId="54617227">
      <w:pPr>
        <w:keepNext w:val="0"/>
        <w:keepLines w:val="0"/>
        <w:pageBreakBefore w:val="0"/>
        <w:widowControl w:val="0"/>
        <w:kinsoku/>
        <w:wordWrap w:val="0"/>
        <w:overflowPunct/>
        <w:topLinePunct w:val="0"/>
        <w:autoSpaceDE/>
        <w:autoSpaceDN/>
        <w:bidi w:val="0"/>
        <w:adjustRightInd/>
        <w:snapToGrid/>
        <w:spacing w:before="120" w:beforeLines="50" w:after="120" w:afterLines="50"/>
        <w:ind w:firstLine="480"/>
        <w:textAlignment w:val="auto"/>
        <w:rPr>
          <w:rFonts w:ascii="仿宋" w:hAnsi="仿宋" w:eastAsia="仿宋" w:cstheme="minorEastAsia"/>
          <w:color w:val="auto"/>
          <w:highlight w:val="none"/>
        </w:rPr>
      </w:pPr>
      <w:r>
        <w:rPr>
          <w:rFonts w:hint="eastAsia" w:ascii="仿宋" w:hAnsi="仿宋" w:eastAsia="仿宋" w:cstheme="minorEastAsia"/>
          <w:color w:val="auto"/>
          <w:highlight w:val="none"/>
          <w:lang w:val="en-US" w:eastAsia="zh-CN"/>
        </w:rPr>
        <w:t>以贵州省公共资源交易中心系统要求为准。</w:t>
      </w:r>
    </w:p>
    <w:p w14:paraId="595AF28F">
      <w:pPr>
        <w:spacing w:before="120" w:beforeLines="50" w:after="120" w:afterLines="50"/>
        <w:ind w:firstLine="0" w:firstLineChars="0"/>
        <w:rPr>
          <w:rFonts w:ascii="仿宋" w:hAnsi="仿宋" w:eastAsia="仿宋" w:cstheme="minorEastAsia"/>
          <w:color w:val="auto"/>
          <w:highlight w:val="none"/>
        </w:rPr>
      </w:pPr>
      <w:r>
        <w:rPr>
          <w:rFonts w:hint="eastAsia" w:ascii="仿宋" w:hAnsi="仿宋" w:eastAsia="仿宋" w:cstheme="minorEastAsia"/>
          <w:color w:val="auto"/>
          <w:highlight w:val="none"/>
        </w:rPr>
        <w:t>四、投标响应文件的补充、修改和撤回</w:t>
      </w:r>
    </w:p>
    <w:p w14:paraId="6CC75398">
      <w:pPr>
        <w:spacing w:before="120" w:beforeLines="50" w:after="120" w:afterLines="50"/>
        <w:ind w:firstLine="491" w:firstLineChars="205"/>
        <w:rPr>
          <w:rFonts w:ascii="仿宋" w:hAnsi="仿宋" w:eastAsia="仿宋" w:cstheme="minorEastAsia"/>
          <w:color w:val="auto"/>
          <w:highlight w:val="none"/>
        </w:rPr>
      </w:pPr>
      <w:r>
        <w:rPr>
          <w:rFonts w:hint="eastAsia" w:ascii="仿宋" w:hAnsi="仿宋" w:eastAsia="仿宋" w:cstheme="minorEastAsia"/>
          <w:color w:val="auto"/>
          <w:highlight w:val="none"/>
        </w:rPr>
        <w:t>（1）</w:t>
      </w:r>
      <w:r>
        <w:rPr>
          <w:rFonts w:hint="eastAsia" w:ascii="仿宋" w:hAnsi="仿宋" w:eastAsia="仿宋" w:cstheme="minorEastAsia"/>
          <w:color w:val="auto"/>
          <w:highlight w:val="none"/>
          <w:lang w:eastAsia="zh-CN"/>
        </w:rPr>
        <w:t>供应商</w:t>
      </w:r>
      <w:r>
        <w:rPr>
          <w:rFonts w:ascii="仿宋" w:hAnsi="仿宋" w:eastAsia="仿宋" w:cstheme="minorEastAsia"/>
          <w:color w:val="auto"/>
          <w:highlight w:val="none"/>
        </w:rPr>
        <w:t>在提交投标</w:t>
      </w:r>
      <w:r>
        <w:rPr>
          <w:rFonts w:hint="eastAsia" w:ascii="仿宋" w:hAnsi="仿宋" w:eastAsia="仿宋" w:cstheme="minorEastAsia"/>
          <w:color w:val="auto"/>
          <w:highlight w:val="none"/>
        </w:rPr>
        <w:t>响应</w:t>
      </w:r>
      <w:r>
        <w:rPr>
          <w:rFonts w:ascii="仿宋" w:hAnsi="仿宋" w:eastAsia="仿宋" w:cstheme="minorEastAsia"/>
          <w:color w:val="auto"/>
          <w:highlight w:val="none"/>
        </w:rPr>
        <w:t>文件后</w:t>
      </w:r>
      <w:r>
        <w:rPr>
          <w:rFonts w:hint="eastAsia" w:ascii="仿宋" w:hAnsi="仿宋" w:eastAsia="仿宋" w:cstheme="minorEastAsia"/>
          <w:color w:val="auto"/>
          <w:highlight w:val="none"/>
        </w:rPr>
        <w:t>，在投标截止时间前</w:t>
      </w:r>
      <w:r>
        <w:rPr>
          <w:rFonts w:ascii="仿宋" w:hAnsi="仿宋" w:eastAsia="仿宋" w:cstheme="minorEastAsia"/>
          <w:color w:val="auto"/>
          <w:highlight w:val="none"/>
        </w:rPr>
        <w:t>可对其磋商响应文件进行</w:t>
      </w:r>
      <w:r>
        <w:rPr>
          <w:rFonts w:hint="eastAsia" w:ascii="仿宋" w:hAnsi="仿宋" w:eastAsia="仿宋" w:cstheme="minorEastAsia"/>
          <w:color w:val="auto"/>
          <w:highlight w:val="none"/>
        </w:rPr>
        <w:t>补充、</w:t>
      </w:r>
      <w:r>
        <w:rPr>
          <w:rFonts w:ascii="仿宋" w:hAnsi="仿宋" w:eastAsia="仿宋" w:cstheme="minorEastAsia"/>
          <w:color w:val="auto"/>
          <w:highlight w:val="none"/>
        </w:rPr>
        <w:t>修改或撤回。</w:t>
      </w:r>
    </w:p>
    <w:p w14:paraId="6E809B97">
      <w:pPr>
        <w:spacing w:before="120" w:beforeLines="50" w:after="120" w:afterLines="50"/>
        <w:ind w:firstLine="491" w:firstLineChars="205"/>
        <w:rPr>
          <w:rFonts w:hint="eastAsia" w:ascii="仿宋" w:hAnsi="仿宋" w:eastAsia="仿宋" w:cstheme="minorEastAsia"/>
          <w:color w:val="auto"/>
          <w:highlight w:val="none"/>
        </w:rPr>
      </w:pPr>
      <w:r>
        <w:rPr>
          <w:rFonts w:hint="eastAsia" w:ascii="仿宋" w:hAnsi="仿宋" w:eastAsia="仿宋" w:cstheme="minorEastAsia"/>
          <w:color w:val="auto"/>
          <w:highlight w:val="none"/>
        </w:rPr>
        <w:t>(2)若本项目采购文件发生变更，请按照最新变更后的采购文件重新编制响应文件，加密上传。否则开标时未能正常解密，视为无效标处理。</w:t>
      </w:r>
    </w:p>
    <w:p w14:paraId="04E795B8">
      <w:pPr>
        <w:spacing w:before="120" w:beforeLines="50" w:after="120" w:afterLines="50"/>
        <w:ind w:firstLine="491" w:firstLineChars="205"/>
        <w:rPr>
          <w:rFonts w:ascii="仿宋" w:hAnsi="仿宋" w:eastAsia="仿宋" w:cstheme="minorEastAsia"/>
          <w:color w:val="auto"/>
          <w:highlight w:val="none"/>
        </w:rPr>
      </w:pPr>
      <w:r>
        <w:rPr>
          <w:rFonts w:hint="eastAsia" w:ascii="仿宋" w:hAnsi="仿宋" w:eastAsia="仿宋" w:cstheme="minorEastAsia"/>
          <w:color w:val="auto"/>
          <w:highlight w:val="none"/>
        </w:rPr>
        <w:t>（3）磋商响应文件撤回必需在投标截止时间前提交由项目授权代表签署的撤回磋商响应文件的通知，招标代理机构可以退回其磋商响应文件。</w:t>
      </w:r>
    </w:p>
    <w:p w14:paraId="3EF23F78">
      <w:pPr>
        <w:spacing w:before="120" w:beforeLines="50" w:after="120" w:afterLines="50"/>
        <w:ind w:firstLine="480"/>
        <w:rPr>
          <w:rFonts w:ascii="仿宋" w:hAnsi="仿宋" w:eastAsia="仿宋"/>
          <w:color w:val="auto"/>
          <w:highlight w:val="none"/>
        </w:rPr>
      </w:pPr>
      <w:r>
        <w:rPr>
          <w:rFonts w:hint="eastAsia" w:ascii="仿宋" w:hAnsi="仿宋" w:eastAsia="仿宋" w:cstheme="minorEastAsia"/>
          <w:color w:val="auto"/>
          <w:highlight w:val="none"/>
        </w:rPr>
        <w:t>（4）</w:t>
      </w:r>
      <w:r>
        <w:rPr>
          <w:rFonts w:ascii="仿宋" w:hAnsi="仿宋" w:eastAsia="仿宋" w:cstheme="minorEastAsia"/>
          <w:color w:val="auto"/>
          <w:highlight w:val="none"/>
        </w:rPr>
        <w:t>投标截止时间以后不得</w:t>
      </w:r>
      <w:r>
        <w:rPr>
          <w:rFonts w:hint="eastAsia" w:ascii="仿宋" w:hAnsi="仿宋" w:eastAsia="仿宋" w:cstheme="minorEastAsia"/>
          <w:color w:val="auto"/>
          <w:highlight w:val="none"/>
        </w:rPr>
        <w:t>补充、</w:t>
      </w:r>
      <w:r>
        <w:rPr>
          <w:rFonts w:ascii="仿宋" w:hAnsi="仿宋" w:eastAsia="仿宋" w:cstheme="minorEastAsia"/>
          <w:color w:val="auto"/>
          <w:highlight w:val="none"/>
        </w:rPr>
        <w:t>修改</w:t>
      </w:r>
      <w:r>
        <w:rPr>
          <w:rFonts w:hint="eastAsia" w:ascii="仿宋" w:hAnsi="仿宋" w:eastAsia="仿宋" w:cstheme="minorEastAsia"/>
          <w:color w:val="auto"/>
          <w:highlight w:val="none"/>
        </w:rPr>
        <w:t>或撤回</w:t>
      </w:r>
      <w:r>
        <w:rPr>
          <w:rFonts w:ascii="仿宋" w:hAnsi="仿宋" w:eastAsia="仿宋" w:cstheme="minorEastAsia"/>
          <w:color w:val="auto"/>
          <w:highlight w:val="none"/>
        </w:rPr>
        <w:t>磋商响应文件。</w:t>
      </w:r>
      <w:bookmarkStart w:id="61" w:name="_Toc407182679"/>
    </w:p>
    <w:p w14:paraId="5ACFE0C8">
      <w:pPr>
        <w:pStyle w:val="6"/>
        <w:spacing w:before="240" w:after="240"/>
        <w:rPr>
          <w:rFonts w:ascii="仿宋" w:hAnsi="仿宋" w:eastAsia="仿宋" w:cstheme="minorEastAsia"/>
          <w:color w:val="auto"/>
          <w:highlight w:val="none"/>
        </w:rPr>
      </w:pPr>
      <w:bookmarkStart w:id="62" w:name="_Toc4468"/>
      <w:r>
        <w:rPr>
          <w:rFonts w:hint="eastAsia" w:ascii="仿宋" w:hAnsi="仿宋" w:eastAsia="仿宋" w:cstheme="minorEastAsia"/>
          <w:color w:val="auto"/>
          <w:sz w:val="30"/>
          <w:szCs w:val="30"/>
          <w:highlight w:val="none"/>
        </w:rPr>
        <w:t>第五节 竞争性磋商程序</w:t>
      </w:r>
      <w:bookmarkEnd w:id="61"/>
      <w:bookmarkEnd w:id="62"/>
    </w:p>
    <w:p w14:paraId="4FCB702A">
      <w:pPr>
        <w:spacing w:before="120" w:beforeLines="50" w:after="120" w:afterLines="50"/>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一、磋商时间</w:t>
      </w:r>
    </w:p>
    <w:p w14:paraId="06092601">
      <w:pPr>
        <w:spacing w:before="120" w:beforeLines="50" w:after="120" w:afterLines="50"/>
        <w:ind w:firstLine="491" w:firstLineChars="205"/>
        <w:jc w:val="both"/>
        <w:rPr>
          <w:rFonts w:ascii="仿宋" w:hAnsi="仿宋" w:eastAsia="仿宋" w:cstheme="minorEastAsia"/>
          <w:color w:val="auto"/>
          <w:highlight w:val="none"/>
        </w:rPr>
      </w:pPr>
      <w:r>
        <w:rPr>
          <w:rFonts w:hint="eastAsia" w:ascii="仿宋" w:hAnsi="仿宋" w:eastAsia="仿宋" w:cstheme="minorEastAsia"/>
          <w:color w:val="auto"/>
          <w:highlight w:val="none"/>
        </w:rPr>
        <w:t>以本项目公告时间为准。如发布变更公告的，以变更公告时间为准。</w:t>
      </w:r>
    </w:p>
    <w:p w14:paraId="4EFF8B78">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二、磋商地点</w:t>
      </w:r>
    </w:p>
    <w:p w14:paraId="6AA51567">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贵州省公共资源交易中心(贵州省贵阳市遵义路65号，具体开标室于当日在贵州省公共资源交易中心开标区获取）。</w:t>
      </w:r>
    </w:p>
    <w:p w14:paraId="287DE7DB">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三、磋商流程</w:t>
      </w:r>
    </w:p>
    <w:p w14:paraId="45E7DA8E">
      <w:pPr>
        <w:ind w:firstLine="480"/>
        <w:rPr>
          <w:rFonts w:ascii="仿宋" w:hAnsi="仿宋" w:eastAsia="仿宋" w:cstheme="minorEastAsia"/>
          <w:color w:val="auto"/>
          <w:highlight w:val="none"/>
        </w:rPr>
      </w:pPr>
      <w:r>
        <w:rPr>
          <w:rFonts w:hint="eastAsia" w:ascii="仿宋" w:hAnsi="仿宋" w:eastAsia="仿宋" w:cstheme="minorEastAsia"/>
          <w:b/>
          <w:color w:val="auto"/>
          <w:highlight w:val="none"/>
        </w:rPr>
        <w:t>1.会议签到：</w:t>
      </w:r>
      <w:r>
        <w:rPr>
          <w:rFonts w:hint="eastAsia" w:ascii="仿宋" w:hAnsi="仿宋" w:eastAsia="仿宋" w:cstheme="minorEastAsia"/>
          <w:b w:val="0"/>
          <w:bCs/>
          <w:color w:val="auto"/>
          <w:highlight w:val="none"/>
        </w:rPr>
        <w:t>磋商流程详见“非公开招标电子招标不见面开标须知，在完成不见面解密 ”后，供应商需使用不见面开标系统在线等待专家发出的磋商(谈判、询价、协商</w:t>
      </w:r>
      <w:r>
        <w:rPr>
          <w:rFonts w:hint="eastAsia" w:ascii="仿宋" w:hAnsi="仿宋" w:eastAsia="仿宋" w:cstheme="minorEastAsia"/>
          <w:b w:val="0"/>
          <w:bCs/>
          <w:color w:val="auto"/>
          <w:highlight w:val="none"/>
          <w:lang w:eastAsia="zh-CN"/>
        </w:rPr>
        <w:t>）</w:t>
      </w:r>
      <w:r>
        <w:rPr>
          <w:rFonts w:hint="eastAsia" w:ascii="仿宋" w:hAnsi="仿宋" w:eastAsia="仿宋" w:cstheme="minorEastAsia"/>
          <w:b w:val="0"/>
          <w:bCs/>
          <w:color w:val="auto"/>
          <w:highlight w:val="none"/>
          <w:lang w:val="en-US" w:eastAsia="zh-CN"/>
        </w:rPr>
        <w:t>会议</w:t>
      </w:r>
      <w:r>
        <w:rPr>
          <w:rFonts w:hint="eastAsia" w:ascii="仿宋" w:hAnsi="仿宋" w:eastAsia="仿宋" w:cstheme="minorEastAsia"/>
          <w:b w:val="0"/>
          <w:bCs/>
          <w:color w:val="auto"/>
          <w:highlight w:val="none"/>
        </w:rPr>
        <w:t>。</w:t>
      </w:r>
    </w:p>
    <w:p w14:paraId="680F8333">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2.专家签到：</w:t>
      </w:r>
      <w:r>
        <w:rPr>
          <w:rFonts w:hint="eastAsia" w:ascii="仿宋" w:hAnsi="仿宋" w:eastAsia="仿宋" w:cstheme="minorEastAsia"/>
          <w:color w:val="auto"/>
          <w:highlight w:val="none"/>
        </w:rPr>
        <w:t>磋商专家需在磋商时间前到贵州省公共资源交易中心专家签到处，出示身份证、专家证等资料进行核验签到，并将手机等各种通信工具锁入指定位置。</w:t>
      </w:r>
    </w:p>
    <w:p w14:paraId="32779A1B">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3.宣读纪律：</w:t>
      </w:r>
      <w:r>
        <w:rPr>
          <w:rFonts w:hint="eastAsia" w:ascii="仿宋" w:hAnsi="仿宋" w:eastAsia="仿宋" w:cstheme="minorEastAsia"/>
          <w:color w:val="auto"/>
          <w:highlight w:val="none"/>
        </w:rPr>
        <w:t>截止时间到，工作人员宣布竞争性磋商会开始，并宣读会场纪律和注意事项。</w:t>
      </w:r>
    </w:p>
    <w:p w14:paraId="1C3383F0">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4.初步审查：</w:t>
      </w:r>
      <w:r>
        <w:rPr>
          <w:rFonts w:hint="eastAsia" w:ascii="仿宋" w:hAnsi="仿宋" w:eastAsia="仿宋" w:cstheme="minorEastAsia"/>
          <w:color w:val="auto"/>
          <w:highlight w:val="none"/>
        </w:rPr>
        <w:t>磋商小组严格依据响应文件所提供的资料，对照《资格审查表》和《符合性审查表》所列内容对供应商进行资格性审查及符合性审查，审查通过的供应商进入磋商环节。未通过初步审查的响应文件不参与最后报价。通过初步审查的供应商不足三家的，本项目废标，磋商工作结束。</w:t>
      </w:r>
    </w:p>
    <w:p w14:paraId="39C34BED">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(1)资格性检查：</w:t>
      </w:r>
      <w:r>
        <w:rPr>
          <w:rFonts w:hint="eastAsia" w:ascii="仿宋" w:hAnsi="仿宋" w:eastAsia="仿宋" w:cstheme="minorEastAsia"/>
          <w:color w:val="auto"/>
          <w:highlight w:val="none"/>
        </w:rPr>
        <w:t>磋商小组根据法律法规和采购文件《资格审查表》中所列供应商资格要求，对供应商资格证明文件的齐全性和有效性等情况进行审查。由同一专业的单位组成的联合体，按照资质等级较低的单位确定资质等级。</w:t>
      </w:r>
    </w:p>
    <w:p w14:paraId="5B6B9755">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(2)符合性检查：</w:t>
      </w:r>
      <w:r>
        <w:rPr>
          <w:rFonts w:hint="eastAsia" w:ascii="仿宋" w:hAnsi="仿宋" w:eastAsia="仿宋" w:cstheme="minorEastAsia"/>
          <w:color w:val="auto"/>
          <w:highlight w:val="none"/>
        </w:rPr>
        <w:t>磋商小组根据《符合性审查表》的内容审查响应文件是否对采购文件作了实质性响应。技术符合性：投标产品的适用性、技术成熟性、技术性能等符合采购文件要求，技术参数和规格满足采购文件要求，无实质性负偏离、反对、设定条件或提出保留；商务符合性：服务期、售后服务、付款条件等符合采购文件要求；不低于成本报价；响应文件的组成、响应文件的完整性和有效性、投标有效期等符合采购文件规定，采购文件提出的主要条款、条件无实质性负偏离、反对、设定条件或提出保留。</w:t>
      </w:r>
    </w:p>
    <w:p w14:paraId="416CCC28">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3）在采购活动中如出现供应商不足3家时，下列三类项目可以继续进行：①市场竞争不充分的科研项目；②需要扶持的科技成果转化项目；③政府购买服务项目（含PPP项目）。其他应当终止采购并重新开展采购活动。</w:t>
      </w:r>
    </w:p>
    <w:p w14:paraId="565C0D41">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5.磋商：</w:t>
      </w:r>
      <w:r>
        <w:rPr>
          <w:rFonts w:hint="eastAsia" w:ascii="仿宋" w:hAnsi="仿宋" w:eastAsia="仿宋" w:cstheme="minorEastAsia"/>
          <w:color w:val="auto"/>
          <w:highlight w:val="none"/>
        </w:rPr>
        <w:t>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并以书面形式通知所有参加磋商供应商。在磋商中，磋商的任何一方不得透露与磋商有关的其他供应商的技术资料、价格和其他信息。</w:t>
      </w:r>
    </w:p>
    <w:p w14:paraId="7DD89C2B">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6.最后报价：</w:t>
      </w:r>
      <w:r>
        <w:rPr>
          <w:rFonts w:hint="eastAsia" w:ascii="仿宋" w:hAnsi="仿宋" w:eastAsia="仿宋" w:cstheme="minorEastAsia"/>
          <w:color w:val="auto"/>
          <w:highlight w:val="none"/>
        </w:rPr>
        <w:t>磋商结束后，磋商小组要求所有参加磋商的供应商按照磋商文件的变动情况和磋商小组的要求在规定时间内进行最后报价</w:t>
      </w:r>
      <w:r>
        <w:rPr>
          <w:rFonts w:hint="eastAsia" w:ascii="仿宋" w:hAnsi="仿宋" w:eastAsia="仿宋" w:cs="宋体"/>
          <w:b/>
          <w:color w:val="auto"/>
          <w:highlight w:val="none"/>
        </w:rPr>
        <w:t>（最终报价的单位根据项目要求，可以是元、%等）</w:t>
      </w:r>
      <w:r>
        <w:rPr>
          <w:rFonts w:hint="eastAsia" w:ascii="仿宋" w:hAnsi="仿宋" w:eastAsia="仿宋" w:cstheme="minorEastAsia"/>
          <w:color w:val="auto"/>
          <w:highlight w:val="none"/>
        </w:rPr>
        <w:t>，并由其法定代表人或授权代表签字或者加盖公章。最后报价是供应商响应文件的有效组成部分。</w:t>
      </w:r>
    </w:p>
    <w:p w14:paraId="66020DA2">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7.综合评分</w:t>
      </w:r>
      <w:r>
        <w:rPr>
          <w:rFonts w:hint="eastAsia" w:ascii="仿宋" w:hAnsi="仿宋" w:eastAsia="仿宋" w:cstheme="minorEastAsia"/>
          <w:color w:val="auto"/>
          <w:highlight w:val="none"/>
        </w:rPr>
        <w:t>：磋商专家严格按照评分表逐项对磋商响应文件进行评分。评分依据为磋商响应文件提供的有效资料。磋商响应文件中未提供的资料、未明确的内容，评标专家不得以个人的意愿、猜想、推测等方式得出的结论作为评分依据。评标专家须独立评分，不得相互抄袭评分分值（价格分除外）。</w:t>
      </w:r>
    </w:p>
    <w:p w14:paraId="656AEF0E">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8.评分汇总：</w:t>
      </w:r>
      <w:r>
        <w:rPr>
          <w:rFonts w:hint="eastAsia" w:ascii="仿宋" w:hAnsi="仿宋" w:eastAsia="仿宋" w:cstheme="minorEastAsia"/>
          <w:color w:val="auto"/>
          <w:highlight w:val="none"/>
        </w:rPr>
        <w:t>评标组长将各评审专家的评分表汇总到评分汇总表，评分汇总表保留两位小数，按最终得分由高至低依次对供应商进行推荐排序。得分相同的，按磋商报价由低到高顺序排列，得分且磋商报价相同的，按技术和商务优劣顺序排列。评分表交由评标组长汇总后，评标专家不得再更改各项打分分值（价格分及总分计算错误除外）。</w:t>
      </w:r>
    </w:p>
    <w:p w14:paraId="5553AA97">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9.评审报告：</w:t>
      </w:r>
      <w:r>
        <w:rPr>
          <w:rFonts w:hint="eastAsia" w:ascii="仿宋" w:hAnsi="仿宋" w:eastAsia="仿宋" w:cstheme="minorEastAsia"/>
          <w:color w:val="auto"/>
          <w:highlight w:val="none"/>
        </w:rPr>
        <w:t>评标组长根据评分汇总情况及排序情况，主持编写评标报告。评标报告按规定需涵盖公告发布情况、开评标情况、推荐排序及有关需要说明的情况等政府采购法规规定的内容。评标委员会成员须在评标报告上签字确认。</w:t>
      </w:r>
    </w:p>
    <w:p w14:paraId="0A324186">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10.评审复核：</w:t>
      </w:r>
      <w:r>
        <w:rPr>
          <w:rFonts w:hint="eastAsia" w:ascii="仿宋" w:hAnsi="仿宋" w:eastAsia="仿宋" w:cstheme="minorEastAsia"/>
          <w:color w:val="auto"/>
          <w:highlight w:val="none"/>
        </w:rPr>
        <w:t>磋商小组对评审环节和评审结果进行复核。磋商小组可对评审过程和结果中存在的遗漏或偏差进行修正，完成复核后，确定磋商结果及推荐排序。评审报告应当由磋商小组全体人员签字认可。磋商小组成员对评审报告有异议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3E4F63">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11.磋商结束：</w:t>
      </w:r>
      <w:r>
        <w:rPr>
          <w:rFonts w:hint="eastAsia" w:ascii="仿宋" w:hAnsi="仿宋" w:eastAsia="仿宋" w:cstheme="minorEastAsia"/>
          <w:color w:val="auto"/>
          <w:highlight w:val="none"/>
        </w:rPr>
        <w:t>磋商小组出具评审报告并复核无误后，磋商工作结束。待代理机构工作人员收理好响应文件资料，并发放评审费用后磋商专家方可离开磋商区。磋商过程中磋商专家不得擅自离开磋商室或进入其他开评标室。</w:t>
      </w:r>
    </w:p>
    <w:p w14:paraId="34EACDF4">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注1：</w:t>
      </w:r>
      <w:r>
        <w:rPr>
          <w:rFonts w:hint="eastAsia" w:ascii="仿宋" w:hAnsi="仿宋" w:eastAsia="仿宋" w:cstheme="minorEastAsia"/>
          <w:color w:val="auto"/>
          <w:highlight w:val="none"/>
        </w:rPr>
        <w:t>当初步审查结果确定有效供应商不足三家，或出现影响采购公正的违法违规行为，或供应商的报价均超过了采购预算采购人不能支付，或因重大变故采购任务取消的，或竞争性磋商文件存在重大歧义、重大缺陷导致评审工作无法进行时，或竞争性磋商文件内容违反国家有关规定的，评标程序终止。</w:t>
      </w:r>
    </w:p>
    <w:p w14:paraId="67A18AB3">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注2：</w:t>
      </w:r>
      <w:r>
        <w:rPr>
          <w:rFonts w:hint="eastAsia" w:ascii="仿宋" w:hAnsi="仿宋" w:eastAsia="仿宋" w:cstheme="minorEastAsia"/>
          <w:color w:val="auto"/>
          <w:highlight w:val="none"/>
        </w:rPr>
        <w:t>磋商之后，至成交公告发布之前，凡涉及响应文件的澄清、评价、推荐排序等需保密的信息，磋商小组成员、采购人和招标代理机构等人员均不得向供应商人或其他人员透露。</w:t>
      </w:r>
    </w:p>
    <w:p w14:paraId="1E881AA2">
      <w:pPr>
        <w:ind w:firstLine="482"/>
        <w:rPr>
          <w:rFonts w:ascii="仿宋" w:hAnsi="仿宋" w:eastAsia="仿宋" w:cstheme="minorEastAsia"/>
          <w:color w:val="auto"/>
          <w:highlight w:val="none"/>
        </w:rPr>
      </w:pPr>
      <w:r>
        <w:rPr>
          <w:rFonts w:hint="eastAsia" w:ascii="仿宋" w:hAnsi="仿宋" w:eastAsia="仿宋" w:cstheme="minorEastAsia"/>
          <w:b/>
          <w:color w:val="auto"/>
          <w:highlight w:val="none"/>
        </w:rPr>
        <w:t>注3：</w:t>
      </w:r>
      <w:r>
        <w:rPr>
          <w:rFonts w:hint="eastAsia" w:ascii="仿宋" w:hAnsi="仿宋" w:eastAsia="仿宋" w:cstheme="minorEastAsia"/>
          <w:color w:val="auto"/>
          <w:highlight w:val="none"/>
        </w:rPr>
        <w:t>磋商过程由贵州省公共资源交易中心全程录音录像，相关录音录像资料由贵州省公共资源交易中心存档，以便为财政、纪检监察等有关部门处理项目相关事宜提供资料。</w:t>
      </w:r>
    </w:p>
    <w:p w14:paraId="1A3ADECC">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四、磋商小组</w:t>
      </w:r>
    </w:p>
    <w:p w14:paraId="37FAD1FA">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竞争性磋商小组由采购人代表和评审专家共3人以上单数组成，其中评审专家人数不少于竞争性磋商小组成员总数的2/3。达到公开招标数额标准的货物或者服务采购项目，或者达到招标规模标准的政府采购工程，竞争性磋商小组由5人以上单数组成。技术复杂、专业性强的竞争性磋商采购项目，评审专家中应当包含1名法律专家。磋商小组成员应以科学、公正的态度参加政府采购的评审工作，在评审过程中不受任何干扰，独立、负责地提出评审意见，并对自己的评审意见承担责任。</w:t>
      </w:r>
    </w:p>
    <w:p w14:paraId="617B588F">
      <w:pPr>
        <w:ind w:firstLine="482"/>
        <w:rPr>
          <w:rFonts w:ascii="仿宋" w:hAnsi="仿宋" w:eastAsia="仿宋" w:cstheme="minorEastAsia"/>
          <w:b/>
          <w:color w:val="auto"/>
          <w:highlight w:val="none"/>
        </w:rPr>
      </w:pPr>
      <w:r>
        <w:rPr>
          <w:rFonts w:hint="eastAsia" w:ascii="仿宋" w:hAnsi="仿宋" w:eastAsia="仿宋" w:cstheme="minorEastAsia"/>
          <w:b/>
          <w:color w:val="auto"/>
          <w:highlight w:val="none"/>
        </w:rPr>
        <w:t>1.磋商小组在采购活动过程中应当履行下列职责：</w:t>
      </w:r>
    </w:p>
    <w:p w14:paraId="5BF35CEA">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xml:space="preserve">（1）确认或者制定磋商文件； </w:t>
      </w:r>
    </w:p>
    <w:p w14:paraId="3C974262">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（2）从符合相应资格条件的供应商名单中确定不少于3家的供应商参加磋商；</w:t>
      </w:r>
    </w:p>
    <w:p w14:paraId="4646F46E">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（3）审查供应商的响应文件并作出评价；</w:t>
      </w:r>
    </w:p>
    <w:p w14:paraId="702A28A4">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（4）要求供应商解释或者澄清其响应文件；</w:t>
      </w:r>
    </w:p>
    <w:p w14:paraId="44622E8B">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xml:space="preserve">（5）编写评审报告； </w:t>
      </w:r>
    </w:p>
    <w:p w14:paraId="4FE505CE">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（6）告知采购人、采购代理机构在评审过程中发现的供应商的违法违规行为。</w:t>
      </w:r>
    </w:p>
    <w:p w14:paraId="0EE2A928">
      <w:pPr>
        <w:ind w:firstLine="482"/>
        <w:rPr>
          <w:rFonts w:ascii="仿宋" w:hAnsi="仿宋" w:eastAsia="仿宋" w:cstheme="minorEastAsia"/>
          <w:b/>
          <w:color w:val="auto"/>
          <w:highlight w:val="none"/>
        </w:rPr>
      </w:pPr>
      <w:r>
        <w:rPr>
          <w:rFonts w:hint="eastAsia" w:ascii="仿宋" w:hAnsi="仿宋" w:eastAsia="仿宋" w:cstheme="minorEastAsia"/>
          <w:b/>
          <w:color w:val="auto"/>
          <w:highlight w:val="none"/>
        </w:rPr>
        <w:t>2.磋商小组成员应当履行下列义务：</w:t>
      </w:r>
    </w:p>
    <w:p w14:paraId="32D8FB97">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（1）遵纪守法，客观、公正、廉洁地履行职责；</w:t>
      </w:r>
    </w:p>
    <w:p w14:paraId="23D13557">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（2）根据采购文件的规定独立进行评审，对个人的评审意见承担法律责任；</w:t>
      </w:r>
    </w:p>
    <w:p w14:paraId="0E37E929">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（3）参与评审报告的起草；</w:t>
      </w:r>
    </w:p>
    <w:p w14:paraId="1D7E3DCA">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（4）配合采购人、采购代理机构答复供应商提出的质疑；</w:t>
      </w:r>
    </w:p>
    <w:p w14:paraId="6C985014">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（5）配合财政部门的投诉处理和监督检查工作。</w:t>
      </w:r>
    </w:p>
    <w:p w14:paraId="4B339586">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注：</w:t>
      </w:r>
      <w:r>
        <w:rPr>
          <w:rFonts w:hint="eastAsia" w:ascii="仿宋" w:hAnsi="仿宋" w:eastAsia="仿宋" w:cs="宋体"/>
          <w:color w:val="auto"/>
          <w:highlight w:val="none"/>
          <w:lang w:eastAsia="zh-CN"/>
        </w:rPr>
        <w:t>供应商</w:t>
      </w:r>
      <w:r>
        <w:rPr>
          <w:rFonts w:hint="eastAsia" w:ascii="仿宋" w:hAnsi="仿宋" w:eastAsia="仿宋" w:cs="宋体"/>
          <w:color w:val="auto"/>
          <w:highlight w:val="none"/>
        </w:rPr>
        <w:t>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14:paraId="313C2DA0">
      <w:pPr>
        <w:pStyle w:val="6"/>
        <w:spacing w:before="240" w:after="240"/>
        <w:rPr>
          <w:rFonts w:ascii="仿宋" w:hAnsi="仿宋" w:eastAsia="仿宋" w:cstheme="minorEastAsia"/>
          <w:color w:val="auto"/>
          <w:highlight w:val="none"/>
        </w:rPr>
      </w:pPr>
      <w:bookmarkStart w:id="63" w:name="_Toc407182680"/>
      <w:bookmarkStart w:id="64" w:name="_Toc6519"/>
      <w:r>
        <w:rPr>
          <w:rFonts w:hint="eastAsia" w:ascii="仿宋" w:hAnsi="仿宋" w:eastAsia="仿宋" w:cstheme="minorEastAsia"/>
          <w:color w:val="auto"/>
          <w:sz w:val="30"/>
          <w:szCs w:val="30"/>
          <w:highlight w:val="none"/>
        </w:rPr>
        <w:t>第六节 发布成交</w:t>
      </w:r>
      <w:bookmarkEnd w:id="63"/>
      <w:r>
        <w:rPr>
          <w:rFonts w:hint="eastAsia" w:ascii="仿宋" w:hAnsi="仿宋" w:eastAsia="仿宋" w:cstheme="minorEastAsia"/>
          <w:color w:val="auto"/>
          <w:sz w:val="30"/>
          <w:szCs w:val="30"/>
          <w:highlight w:val="none"/>
        </w:rPr>
        <w:t>公告</w:t>
      </w:r>
      <w:bookmarkEnd w:id="64"/>
    </w:p>
    <w:p w14:paraId="45A23CE3">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一、公告发布媒体</w:t>
      </w:r>
    </w:p>
    <w:p w14:paraId="516F4541">
      <w:pPr>
        <w:spacing w:before="240" w:beforeLines="100" w:after="120" w:afterLines="50"/>
        <w:ind w:firstLine="491" w:firstLineChars="205"/>
        <w:rPr>
          <w:rFonts w:ascii="仿宋" w:hAnsi="仿宋" w:eastAsia="仿宋" w:cstheme="minorEastAsia"/>
          <w:color w:val="auto"/>
          <w:highlight w:val="none"/>
        </w:rPr>
      </w:pPr>
      <w:r>
        <w:rPr>
          <w:rFonts w:hint="eastAsia" w:ascii="仿宋" w:hAnsi="仿宋" w:eastAsia="仿宋" w:cstheme="minorEastAsia"/>
          <w:color w:val="auto"/>
          <w:highlight w:val="none"/>
        </w:rPr>
        <w:t>全国公共资源交易平台（贵州省·省中心)（http://ggzy.guizhou.gov.cn/）、贵州省政府采购网（http://www.ccgp-guizhou.gov.cn）及法律法规规定的其他媒体。</w:t>
      </w:r>
    </w:p>
    <w:p w14:paraId="5290B1ED">
      <w:pPr>
        <w:spacing w:before="240" w:beforeLines="100" w:after="120" w:afterLines="50"/>
        <w:ind w:firstLine="491" w:firstLineChars="205"/>
        <w:rPr>
          <w:rFonts w:ascii="仿宋" w:hAnsi="仿宋" w:eastAsia="仿宋" w:cstheme="minorEastAsia"/>
          <w:color w:val="auto"/>
          <w:highlight w:val="none"/>
        </w:rPr>
      </w:pPr>
      <w:r>
        <w:rPr>
          <w:rFonts w:hint="eastAsia" w:ascii="仿宋" w:hAnsi="仿宋" w:eastAsia="仿宋" w:cstheme="minorEastAsia"/>
          <w:color w:val="auto"/>
          <w:highlight w:val="none"/>
        </w:rPr>
        <w:t>采购代理机构应当自评审结束之日起2个工作日内将评审报告送交采购人。采购人应当自收到评审报告之日起5个工作日内在评审报告推荐的中标或者成交候选人中按顺序确定中标或者成交供应商。采购人或者采购代理机构应当自中标、成交供应商确定之日起2个工作日内，发出中标、成交通知书。中标通知书对采购人和中标供应商具有同等法律效力。中标通知书发出后，采购人改变中标结果，或者中标供应商放弃中标，应当承担相应的法律责任。</w:t>
      </w:r>
    </w:p>
    <w:p w14:paraId="58554991">
      <w:pPr>
        <w:spacing w:before="120" w:beforeLines="50" w:after="120" w:afterLines="50" w:line="240" w:lineRule="auto"/>
        <w:ind w:firstLine="480"/>
        <w:rPr>
          <w:rFonts w:ascii="仿宋" w:hAnsi="仿宋" w:eastAsia="仿宋" w:cs="宋体"/>
          <w:color w:val="auto"/>
          <w:highlight w:val="none"/>
        </w:rPr>
      </w:pPr>
      <w:bookmarkStart w:id="65" w:name="_Toc407182681"/>
      <w:r>
        <w:rPr>
          <w:rFonts w:hint="eastAsia" w:ascii="仿宋" w:hAnsi="仿宋" w:eastAsia="仿宋" w:cs="宋体"/>
          <w:color w:val="auto"/>
          <w:highlight w:val="none"/>
        </w:rPr>
        <w:t>二、政府采购活动的质疑投诉</w:t>
      </w:r>
    </w:p>
    <w:p w14:paraId="37BDE723">
      <w:pPr>
        <w:spacing w:before="240" w:beforeLines="100" w:after="120" w:afterLines="50"/>
        <w:ind w:firstLine="491" w:firstLineChars="205"/>
        <w:rPr>
          <w:rFonts w:ascii="仿宋" w:hAnsi="仿宋" w:eastAsia="仿宋" w:cs="宋体"/>
          <w:color w:val="auto"/>
          <w:highlight w:val="none"/>
        </w:rPr>
      </w:pPr>
      <w:r>
        <w:rPr>
          <w:rFonts w:hint="eastAsia" w:ascii="仿宋" w:hAnsi="仿宋" w:eastAsia="仿宋" w:cs="宋体"/>
          <w:color w:val="auto"/>
          <w:highlight w:val="none"/>
        </w:rPr>
        <w:t>（一）质疑</w:t>
      </w:r>
    </w:p>
    <w:p w14:paraId="3F0E2946">
      <w:pPr>
        <w:spacing w:before="240" w:beforeLines="100" w:after="120" w:afterLines="50"/>
        <w:ind w:firstLine="491" w:firstLineChars="205"/>
        <w:rPr>
          <w:rFonts w:ascii="仿宋" w:hAnsi="仿宋" w:eastAsia="仿宋" w:cs="宋体"/>
          <w:color w:val="auto"/>
          <w:highlight w:val="none"/>
        </w:rPr>
      </w:pPr>
      <w:r>
        <w:rPr>
          <w:rFonts w:hint="eastAsia" w:ascii="仿宋" w:hAnsi="仿宋" w:eastAsia="仿宋" w:cs="宋体"/>
          <w:color w:val="auto"/>
          <w:highlight w:val="none"/>
        </w:rPr>
        <w:t>供应商认为采购文件、采购过程和中标、成交结果使自己的权益受到损害的，可以在知道或者应知其权益受到损害之日</w:t>
      </w:r>
      <w:r>
        <w:rPr>
          <w:rFonts w:hint="eastAsia" w:ascii="仿宋" w:hAnsi="仿宋" w:eastAsia="仿宋" w:cs="宋体"/>
          <w:b/>
          <w:color w:val="auto"/>
          <w:highlight w:val="none"/>
        </w:rPr>
        <w:t>（政府采购法第五十二条规定的供应商应知其权益受到损害之日，是指：（一）对可以质疑的采购文件提出质疑的，为收到采购文件之日或者采购文件公告期限届满之日；（二）对采购过程提出质疑的，为各采购程序环节结束之日；（三）对中标或者成交结果提出质疑的，为中标或者成交结果公告期限届满之日。</w:t>
      </w:r>
      <w:r>
        <w:rPr>
          <w:rFonts w:hint="eastAsia" w:ascii="仿宋" w:hAnsi="仿宋" w:eastAsia="仿宋" w:cs="宋体"/>
          <w:color w:val="auto"/>
          <w:highlight w:val="none"/>
        </w:rPr>
        <w:t>）起七个工作日内，以书面形式向采购人提出质疑。</w:t>
      </w:r>
    </w:p>
    <w:p w14:paraId="1C020377">
      <w:pPr>
        <w:spacing w:before="240" w:beforeLines="10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（二）受理条件</w:t>
      </w:r>
    </w:p>
    <w:p w14:paraId="416F368C">
      <w:pPr>
        <w:pStyle w:val="24"/>
        <w:spacing w:beforeAutospacing="0" w:afterAutospacing="0" w:line="432" w:lineRule="atLeast"/>
        <w:ind w:firstLine="480" w:firstLineChars="200"/>
        <w:rPr>
          <w:rFonts w:ascii="仿宋" w:hAnsi="仿宋" w:eastAsia="仿宋"/>
          <w:color w:val="auto"/>
          <w:highlight w:val="none"/>
        </w:rPr>
      </w:pPr>
      <w:r>
        <w:rPr>
          <w:rFonts w:hint="eastAsia" w:ascii="仿宋" w:hAnsi="仿宋" w:eastAsia="仿宋"/>
          <w:color w:val="auto"/>
          <w:highlight w:val="none"/>
        </w:rPr>
        <w:t>1、供应商所提出质疑，必需有认为采购文件、采购过程、中标和成交结果等使自已的利益受到损害的事实和依据，对与采购活动无关的供应商或者没有提出使自己的利益受到损害的事实和依据的质疑，可不予受理;</w:t>
      </w:r>
    </w:p>
    <w:p w14:paraId="6B437306">
      <w:pPr>
        <w:pStyle w:val="24"/>
        <w:spacing w:beforeAutospacing="0" w:afterAutospacing="0" w:line="432" w:lineRule="atLeast"/>
        <w:ind w:firstLine="480" w:firstLineChars="200"/>
        <w:rPr>
          <w:rFonts w:ascii="仿宋" w:hAnsi="仿宋" w:eastAsia="仿宋"/>
          <w:color w:val="auto"/>
          <w:highlight w:val="none"/>
        </w:rPr>
      </w:pPr>
      <w:r>
        <w:rPr>
          <w:rFonts w:hint="eastAsia" w:ascii="仿宋" w:hAnsi="仿宋" w:eastAsia="仿宋"/>
          <w:color w:val="auto"/>
          <w:highlight w:val="none"/>
        </w:rPr>
        <w:t>2、质疑必需以书面形式提出并署名，质疑人为法人或其他组织的，质疑书应当加盖质疑单位公章，以口头形式提出的，可不予受理;</w:t>
      </w:r>
    </w:p>
    <w:p w14:paraId="50434800">
      <w:pPr>
        <w:spacing w:before="240" w:beforeLines="10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3、在法定时间内提出质疑。供应商在认为采购过程、中标和成交结果等使自已的利益受到损害后的七个工作日内提出质疑;</w:t>
      </w:r>
    </w:p>
    <w:p w14:paraId="51482B93">
      <w:pPr>
        <w:spacing w:before="240" w:beforeLines="10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（三）质疑具体要求及注意事项：</w:t>
      </w:r>
    </w:p>
    <w:p w14:paraId="3A42E11C">
      <w:pPr>
        <w:spacing w:before="240" w:beforeLines="100" w:after="120" w:afterLines="50"/>
        <w:ind w:firstLine="480"/>
        <w:rPr>
          <w:rFonts w:ascii="仿宋" w:hAnsi="仿宋" w:eastAsia="仿宋" w:cs="宋体"/>
          <w:color w:val="auto"/>
          <w:highlight w:val="none"/>
        </w:rPr>
      </w:pPr>
      <w:r>
        <w:rPr>
          <w:rFonts w:hint="eastAsia" w:ascii="仿宋" w:hAnsi="仿宋" w:eastAsia="仿宋" w:cs="宋体"/>
          <w:color w:val="auto"/>
          <w:highlight w:val="none"/>
        </w:rPr>
        <w:t>1.质疑文件递交要求：质疑须以书面形式提出，列明质疑事项及相关依据，联系人、联系电话、传真、详细地址、邮编等基本信息。质疑函一式两份，加盖公章后，一份送本项目代理机构，一份送采购人处。</w:t>
      </w:r>
    </w:p>
    <w:p w14:paraId="04505F3F">
      <w:pPr>
        <w:spacing w:before="240" w:beforeLines="100" w:after="120" w:afterLines="50"/>
        <w:ind w:firstLine="491" w:firstLineChars="205"/>
        <w:rPr>
          <w:rFonts w:ascii="仿宋" w:hAnsi="仿宋" w:eastAsia="仿宋" w:cs="宋体"/>
          <w:color w:val="auto"/>
          <w:highlight w:val="none"/>
        </w:rPr>
      </w:pPr>
      <w:r>
        <w:rPr>
          <w:rFonts w:hint="eastAsia" w:ascii="仿宋" w:hAnsi="仿宋" w:eastAsia="仿宋" w:cs="宋体"/>
          <w:color w:val="auto"/>
          <w:highlight w:val="none"/>
        </w:rPr>
        <w:t>2.质疑文件递交地点：</w:t>
      </w:r>
    </w:p>
    <w:p w14:paraId="2050C92F">
      <w:pPr>
        <w:ind w:firstLine="491" w:firstLineChars="205"/>
        <w:jc w:val="both"/>
        <w:rPr>
          <w:rFonts w:ascii="仿宋" w:hAnsi="仿宋" w:eastAsia="仿宋" w:cs="宋体"/>
          <w:color w:val="auto"/>
          <w:highlight w:val="none"/>
          <w:u w:val="single"/>
        </w:rPr>
      </w:pPr>
      <w:r>
        <w:rPr>
          <w:rFonts w:hint="eastAsia" w:ascii="仿宋" w:hAnsi="仿宋" w:eastAsia="仿宋" w:cs="宋体"/>
          <w:color w:val="auto"/>
          <w:highlight w:val="none"/>
        </w:rPr>
        <w:t>代理机构：</w:t>
      </w:r>
      <w:r>
        <w:rPr>
          <w:rFonts w:hint="eastAsia" w:ascii="仿宋" w:hAnsi="仿宋" w:eastAsia="仿宋" w:cs="宋体"/>
          <w:color w:val="auto"/>
          <w:highlight w:val="none"/>
          <w:u w:val="single"/>
        </w:rPr>
        <w:t xml:space="preserve">        贵州昱龙项目管理咨询有限公司        </w:t>
      </w:r>
    </w:p>
    <w:p w14:paraId="70793142">
      <w:pPr>
        <w:ind w:firstLine="491" w:firstLineChars="205"/>
        <w:jc w:val="both"/>
        <w:rPr>
          <w:rFonts w:ascii="仿宋" w:hAnsi="仿宋" w:eastAsia="仿宋" w:cs="宋体"/>
          <w:color w:val="auto"/>
          <w:highlight w:val="none"/>
          <w:u w:val="single"/>
        </w:rPr>
      </w:pPr>
      <w:r>
        <w:rPr>
          <w:rFonts w:hint="eastAsia" w:ascii="仿宋" w:hAnsi="仿宋" w:eastAsia="仿宋" w:cs="宋体"/>
          <w:color w:val="auto"/>
          <w:highlight w:val="none"/>
        </w:rPr>
        <w:t>详细地址：</w:t>
      </w:r>
      <w:r>
        <w:rPr>
          <w:rFonts w:hint="eastAsia" w:ascii="仿宋" w:hAnsi="仿宋" w:eastAsia="仿宋" w:cs="宋体"/>
          <w:color w:val="auto"/>
          <w:highlight w:val="none"/>
          <w:u w:val="single"/>
        </w:rPr>
        <w:t>贵阳市观山湖区合肥路70号恒大中央广场C1 B栋419室</w:t>
      </w:r>
    </w:p>
    <w:p w14:paraId="3B3B1C41">
      <w:pPr>
        <w:ind w:firstLine="480"/>
        <w:jc w:val="both"/>
        <w:rPr>
          <w:rFonts w:ascii="仿宋" w:hAnsi="仿宋" w:eastAsia="仿宋" w:cs="宋体"/>
          <w:color w:val="auto"/>
          <w:highlight w:val="none"/>
          <w:u w:val="single"/>
        </w:rPr>
      </w:pPr>
      <w:r>
        <w:rPr>
          <w:rFonts w:hint="eastAsia" w:ascii="仿宋" w:hAnsi="仿宋" w:eastAsia="仿宋" w:cs="宋体"/>
          <w:color w:val="auto"/>
          <w:highlight w:val="none"/>
        </w:rPr>
        <w:t>联 系 人：</w:t>
      </w:r>
      <w:r>
        <w:rPr>
          <w:rFonts w:hint="eastAsia" w:ascii="仿宋" w:hAnsi="仿宋" w:eastAsia="仿宋" w:cs="宋体"/>
          <w:color w:val="auto"/>
          <w:highlight w:val="none"/>
          <w:u w:val="single"/>
        </w:rPr>
        <w:t xml:space="preserve">      </w:t>
      </w:r>
      <w:r>
        <w:rPr>
          <w:rFonts w:hint="eastAsia" w:ascii="仿宋" w:hAnsi="仿宋" w:eastAsia="仿宋" w:cstheme="minorEastAsia"/>
          <w:color w:val="auto"/>
          <w:highlight w:val="none"/>
          <w:u w:val="single"/>
          <w:lang w:val="en-US" w:eastAsia="zh-CN"/>
        </w:rPr>
        <w:t>苟明望</w:t>
      </w:r>
      <w:r>
        <w:rPr>
          <w:rFonts w:hint="eastAsia" w:ascii="仿宋" w:hAnsi="仿宋" w:eastAsia="仿宋" w:cs="宋体"/>
          <w:color w:val="auto"/>
          <w:highlight w:val="none"/>
          <w:u w:val="single"/>
        </w:rPr>
        <w:t xml:space="preserve">                    </w:t>
      </w:r>
    </w:p>
    <w:p w14:paraId="67EF2CF9">
      <w:pPr>
        <w:ind w:firstLine="480"/>
        <w:jc w:val="both"/>
        <w:rPr>
          <w:rFonts w:ascii="仿宋" w:hAnsi="仿宋" w:eastAsia="仿宋" w:cs="宋体"/>
          <w:color w:val="auto"/>
          <w:highlight w:val="none"/>
        </w:rPr>
      </w:pPr>
      <w:r>
        <w:rPr>
          <w:rFonts w:hint="eastAsia" w:ascii="仿宋" w:hAnsi="仿宋" w:eastAsia="仿宋" w:cs="宋体"/>
          <w:color w:val="auto"/>
          <w:highlight w:val="none"/>
        </w:rPr>
        <w:t>联系电话：</w:t>
      </w:r>
      <w:r>
        <w:rPr>
          <w:rFonts w:hint="eastAsia" w:ascii="仿宋" w:hAnsi="仿宋" w:eastAsia="仿宋" w:cs="宋体"/>
          <w:color w:val="auto"/>
          <w:highlight w:val="none"/>
          <w:u w:val="single"/>
        </w:rPr>
        <w:t xml:space="preserve">     </w:t>
      </w:r>
      <w:r>
        <w:rPr>
          <w:rFonts w:hint="eastAsia" w:ascii="仿宋" w:hAnsi="仿宋" w:eastAsia="仿宋" w:cstheme="minorEastAsia"/>
          <w:color w:val="auto"/>
          <w:highlight w:val="none"/>
          <w:u w:val="single"/>
          <w:lang w:eastAsia="zh-CN"/>
        </w:rPr>
        <w:t>0851-85809113</w:t>
      </w:r>
      <w:r>
        <w:rPr>
          <w:rFonts w:hint="eastAsia" w:ascii="仿宋" w:hAnsi="仿宋" w:eastAsia="仿宋" w:cs="宋体"/>
          <w:color w:val="auto"/>
          <w:highlight w:val="none"/>
          <w:u w:val="single"/>
        </w:rPr>
        <w:t xml:space="preserve">               </w:t>
      </w:r>
    </w:p>
    <w:p w14:paraId="144F4630">
      <w:pPr>
        <w:spacing w:before="240" w:beforeLines="100" w:after="120" w:afterLines="50"/>
        <w:ind w:firstLine="480"/>
        <w:rPr>
          <w:rFonts w:ascii="仿宋" w:hAnsi="仿宋" w:eastAsia="仿宋" w:cs="宋体"/>
          <w:b/>
          <w:color w:val="auto"/>
          <w:highlight w:val="none"/>
        </w:rPr>
      </w:pPr>
      <w:r>
        <w:rPr>
          <w:rFonts w:hint="eastAsia" w:ascii="仿宋" w:hAnsi="仿宋" w:eastAsia="仿宋" w:cs="宋体"/>
          <w:color w:val="auto"/>
          <w:highlight w:val="none"/>
        </w:rPr>
        <w:t>3.竞争性磋商采购方式的时间原因，供应商对采购文件质疑的截止时间为：供应商下载采购文件文件之日起</w:t>
      </w:r>
      <w:r>
        <w:rPr>
          <w:rFonts w:hint="eastAsia" w:ascii="仿宋" w:hAnsi="仿宋" w:eastAsia="仿宋" w:cs="宋体"/>
          <w:color w:val="auto"/>
          <w:highlight w:val="none"/>
          <w:u w:val="single"/>
        </w:rPr>
        <w:t xml:space="preserve"> 7 </w:t>
      </w:r>
      <w:r>
        <w:rPr>
          <w:rFonts w:hint="eastAsia" w:ascii="仿宋" w:hAnsi="仿宋" w:eastAsia="仿宋" w:cs="宋体"/>
          <w:color w:val="auto"/>
          <w:highlight w:val="none"/>
        </w:rPr>
        <w:t>个工作日内。</w:t>
      </w:r>
      <w:r>
        <w:rPr>
          <w:rFonts w:hint="eastAsia" w:ascii="仿宋" w:hAnsi="仿宋" w:eastAsia="仿宋" w:cs="宋体"/>
          <w:b/>
          <w:color w:val="auto"/>
          <w:highlight w:val="none"/>
        </w:rPr>
        <w:t>供应商提供书面质疑文件的同时，向采购人或采购代理机构出示文件购买采购文件凭证的复印件并加盖公章。</w:t>
      </w:r>
    </w:p>
    <w:p w14:paraId="29AFD127">
      <w:pPr>
        <w:spacing w:before="240" w:beforeLines="100" w:after="120" w:afterLines="50"/>
        <w:ind w:firstLine="491" w:firstLineChars="205"/>
        <w:rPr>
          <w:rFonts w:ascii="仿宋" w:hAnsi="仿宋" w:eastAsia="仿宋" w:cs="宋体"/>
          <w:color w:val="auto"/>
          <w:highlight w:val="none"/>
        </w:rPr>
      </w:pPr>
      <w:r>
        <w:rPr>
          <w:rFonts w:hint="eastAsia" w:ascii="仿宋" w:hAnsi="仿宋" w:eastAsia="仿宋" w:cs="宋体"/>
          <w:color w:val="auto"/>
          <w:highlight w:val="none"/>
        </w:rPr>
        <w:t>（四）质疑答复：采购人或者采购代理机构应当在7个工作日内对供应商依法提出的询问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7390CF38">
      <w:pPr>
        <w:ind w:firstLine="480"/>
        <w:rPr>
          <w:rFonts w:ascii="仿宋" w:hAnsi="仿宋" w:eastAsia="仿宋" w:cs="宋体"/>
          <w:color w:val="auto"/>
          <w:highlight w:val="none"/>
        </w:rPr>
      </w:pPr>
      <w:r>
        <w:rPr>
          <w:rFonts w:hint="eastAsia" w:ascii="仿宋" w:hAnsi="仿宋" w:eastAsia="仿宋" w:cs="宋体"/>
          <w:color w:val="auto"/>
          <w:highlight w:val="none"/>
        </w:rPr>
        <w:t>（五）提出质疑的供应商对采购人或代理机构的答复不满意或采购人、采购代理机构在规定的时间内未作出答复的，可在收到答复之日起或答复期满后十五个工作日内向采购人同级政府采购监督部门投诉。</w:t>
      </w:r>
    </w:p>
    <w:p w14:paraId="41339F6C">
      <w:pPr>
        <w:ind w:firstLine="491" w:firstLineChars="205"/>
        <w:jc w:val="both"/>
        <w:rPr>
          <w:rFonts w:ascii="仿宋" w:hAnsi="仿宋" w:eastAsia="仿宋" w:cs="宋体"/>
          <w:color w:val="auto"/>
          <w:highlight w:val="none"/>
          <w:u w:val="single"/>
        </w:rPr>
      </w:pPr>
      <w:r>
        <w:rPr>
          <w:rFonts w:hint="eastAsia" w:ascii="仿宋" w:hAnsi="仿宋" w:eastAsia="仿宋" w:cs="宋体"/>
          <w:color w:val="auto"/>
          <w:highlight w:val="none"/>
        </w:rPr>
        <w:t>监督部门：</w:t>
      </w:r>
      <w:r>
        <w:rPr>
          <w:rFonts w:hint="eastAsia" w:ascii="仿宋" w:hAnsi="仿宋" w:eastAsia="仿宋" w:cs="宋体"/>
          <w:color w:val="auto"/>
          <w:highlight w:val="none"/>
          <w:u w:val="single"/>
        </w:rPr>
        <w:t xml:space="preserve"> 贵州省财政厅          </w:t>
      </w:r>
      <w:r>
        <w:rPr>
          <w:rFonts w:hint="eastAsia" w:ascii="仿宋" w:hAnsi="仿宋" w:eastAsia="仿宋" w:cs="宋体"/>
          <w:color w:val="auto"/>
          <w:highlight w:val="none"/>
        </w:rPr>
        <w:t xml:space="preserve">  </w:t>
      </w:r>
    </w:p>
    <w:p w14:paraId="68E97F9D">
      <w:pPr>
        <w:ind w:firstLine="491" w:firstLineChars="205"/>
        <w:jc w:val="both"/>
        <w:rPr>
          <w:rFonts w:ascii="仿宋" w:hAnsi="仿宋" w:eastAsia="仿宋" w:cs="宋体"/>
          <w:color w:val="auto"/>
          <w:highlight w:val="none"/>
        </w:rPr>
      </w:pPr>
      <w:r>
        <w:rPr>
          <w:rFonts w:hint="eastAsia" w:ascii="仿宋" w:hAnsi="仿宋" w:eastAsia="仿宋" w:cs="宋体"/>
          <w:color w:val="auto"/>
          <w:highlight w:val="none"/>
        </w:rPr>
        <w:t>监督电话：</w:t>
      </w:r>
      <w:r>
        <w:rPr>
          <w:rFonts w:hint="default" w:ascii="仿宋" w:hAnsi="仿宋" w:eastAsia="仿宋" w:cs="宋体"/>
          <w:color w:val="auto"/>
          <w:highlight w:val="none"/>
          <w:u w:val="single"/>
          <w:lang w:val="en-US"/>
        </w:rPr>
        <w:t xml:space="preserve"> </w:t>
      </w:r>
      <w:r>
        <w:rPr>
          <w:rFonts w:hint="eastAsia" w:ascii="仿宋" w:hAnsi="仿宋" w:eastAsia="仿宋" w:cstheme="minorEastAsia"/>
          <w:color w:val="auto"/>
          <w:highlight w:val="none"/>
          <w:u w:val="single"/>
        </w:rPr>
        <w:t>0851-</w:t>
      </w:r>
      <w:r>
        <w:rPr>
          <w:rFonts w:hint="eastAsia" w:ascii="仿宋" w:hAnsi="仿宋" w:eastAsia="仿宋" w:cstheme="minorEastAsia"/>
          <w:color w:val="auto"/>
          <w:highlight w:val="none"/>
          <w:u w:val="single"/>
          <w:lang w:val="en-US" w:eastAsia="zh-CN"/>
        </w:rPr>
        <w:t>86822706</w:t>
      </w:r>
      <w:r>
        <w:rPr>
          <w:rFonts w:hint="default" w:ascii="仿宋" w:hAnsi="仿宋" w:eastAsia="仿宋" w:cstheme="minorEastAsia"/>
          <w:color w:val="auto"/>
          <w:highlight w:val="none"/>
          <w:u w:val="single"/>
          <w:lang w:val="en-US"/>
        </w:rPr>
        <w:t xml:space="preserve">   </w:t>
      </w:r>
      <w:r>
        <w:rPr>
          <w:rFonts w:hint="default" w:ascii="仿宋" w:hAnsi="仿宋" w:eastAsia="仿宋" w:cs="宋体"/>
          <w:color w:val="auto"/>
          <w:highlight w:val="none"/>
          <w:u w:val="single"/>
          <w:lang w:val="en-US"/>
        </w:rPr>
        <w:t xml:space="preserve">    </w:t>
      </w:r>
      <w:r>
        <w:rPr>
          <w:rFonts w:hint="eastAsia" w:ascii="仿宋" w:hAnsi="仿宋" w:eastAsia="仿宋" w:cs="宋体"/>
          <w:color w:val="auto"/>
          <w:highlight w:val="none"/>
        </w:rPr>
        <w:t xml:space="preserve">  </w:t>
      </w:r>
    </w:p>
    <w:p w14:paraId="6F165FF0">
      <w:pPr>
        <w:ind w:firstLine="491" w:firstLineChars="205"/>
        <w:jc w:val="both"/>
        <w:rPr>
          <w:rFonts w:ascii="仿宋" w:hAnsi="仿宋" w:eastAsia="仿宋" w:cs="宋体"/>
          <w:color w:val="auto"/>
          <w:highlight w:val="none"/>
        </w:rPr>
      </w:pPr>
      <w:r>
        <w:rPr>
          <w:rFonts w:hint="eastAsia" w:ascii="仿宋" w:hAnsi="仿宋" w:eastAsia="仿宋" w:cs="宋体"/>
          <w:color w:val="auto"/>
          <w:highlight w:val="none"/>
        </w:rPr>
        <w:t>详细地址：</w:t>
      </w:r>
      <w:r>
        <w:rPr>
          <w:rFonts w:hint="eastAsia" w:ascii="仿宋" w:hAnsi="仿宋" w:eastAsia="仿宋" w:cs="宋体"/>
          <w:color w:val="auto"/>
          <w:highlight w:val="none"/>
          <w:u w:val="single"/>
        </w:rPr>
        <w:t xml:space="preserve"> 省政府大院七号楼3楼   </w:t>
      </w:r>
    </w:p>
    <w:p w14:paraId="37C1BF0F">
      <w:pPr>
        <w:pStyle w:val="6"/>
        <w:spacing w:before="240" w:after="240"/>
        <w:rPr>
          <w:rFonts w:ascii="仿宋" w:hAnsi="仿宋" w:eastAsia="仿宋" w:cstheme="minorEastAsia"/>
          <w:color w:val="auto"/>
          <w:highlight w:val="none"/>
        </w:rPr>
      </w:pPr>
      <w:bookmarkStart w:id="66" w:name="_Toc16548"/>
      <w:r>
        <w:rPr>
          <w:rFonts w:hint="eastAsia" w:ascii="仿宋" w:hAnsi="仿宋" w:eastAsia="仿宋" w:cstheme="minorEastAsia"/>
          <w:color w:val="auto"/>
          <w:sz w:val="30"/>
          <w:szCs w:val="30"/>
          <w:highlight w:val="none"/>
        </w:rPr>
        <w:t>第七节 支付代理服务费</w:t>
      </w:r>
      <w:bookmarkEnd w:id="65"/>
      <w:bookmarkEnd w:id="66"/>
    </w:p>
    <w:p w14:paraId="3433B3B8">
      <w:pPr>
        <w:spacing w:before="120" w:beforeLines="50" w:after="120" w:afterLines="50"/>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一、收费标准</w:t>
      </w:r>
    </w:p>
    <w:p w14:paraId="58E5E8F1">
      <w:pPr>
        <w:ind w:firstLine="480"/>
        <w:rPr>
          <w:rStyle w:val="30"/>
          <w:rFonts w:hint="eastAsia" w:ascii="仿宋" w:hAnsi="仿宋" w:eastAsia="仿宋" w:cstheme="minorEastAsia"/>
          <w:color w:val="auto"/>
          <w:highlight w:val="none"/>
          <w:u w:val="none"/>
        </w:rPr>
      </w:pPr>
      <w:r>
        <w:rPr>
          <w:rStyle w:val="30"/>
          <w:rFonts w:hint="eastAsia" w:ascii="仿宋" w:hAnsi="仿宋" w:eastAsia="仿宋" w:cstheme="minorEastAsia"/>
          <w:color w:val="auto"/>
          <w:highlight w:val="none"/>
          <w:u w:val="none"/>
          <w:lang w:eastAsia="zh-CN"/>
        </w:rPr>
        <w:t>本项目代理服务费</w:t>
      </w:r>
      <w:r>
        <w:rPr>
          <w:rStyle w:val="30"/>
          <w:rFonts w:hint="eastAsia" w:ascii="仿宋" w:hAnsi="仿宋" w:eastAsia="仿宋" w:cstheme="minorEastAsia"/>
          <w:color w:val="auto"/>
          <w:highlight w:val="none"/>
          <w:u w:val="none"/>
          <w:lang w:val="en-US" w:eastAsia="zh-CN"/>
        </w:rPr>
        <w:t>按照《国家发展改革委关于进一步放开建设项目专业服务价格的通知》（发改价格〔2015〕299号）要求，参照《贵州省物价局 贵州省住房和建设厅关于降低部分建设项目收费标准规范收费行为等有关问题的通知》（黔房价【2011】69号）的标准收费</w:t>
      </w:r>
      <w:r>
        <w:rPr>
          <w:rStyle w:val="30"/>
          <w:rFonts w:hint="eastAsia" w:ascii="仿宋" w:hAnsi="仿宋" w:eastAsia="仿宋" w:cstheme="minorEastAsia"/>
          <w:color w:val="auto"/>
          <w:highlight w:val="none"/>
          <w:u w:val="none"/>
          <w:lang w:eastAsia="zh-CN"/>
        </w:rPr>
        <w:t>，</w:t>
      </w:r>
      <w:r>
        <w:rPr>
          <w:rStyle w:val="30"/>
          <w:rFonts w:hint="eastAsia" w:ascii="仿宋" w:hAnsi="仿宋" w:eastAsia="仿宋" w:cstheme="minorEastAsia"/>
          <w:color w:val="auto"/>
          <w:highlight w:val="none"/>
          <w:u w:val="none"/>
          <w:lang w:val="en-US" w:eastAsia="zh-CN"/>
        </w:rPr>
        <w:t>包干价19580.00元，</w:t>
      </w:r>
      <w:r>
        <w:rPr>
          <w:rStyle w:val="30"/>
          <w:rFonts w:hint="eastAsia" w:ascii="仿宋" w:hAnsi="仿宋" w:eastAsia="仿宋" w:cstheme="minorEastAsia"/>
          <w:color w:val="auto"/>
          <w:highlight w:val="none"/>
          <w:u w:val="none"/>
          <w:lang w:eastAsia="zh-CN"/>
        </w:rPr>
        <w:t>由</w:t>
      </w:r>
      <w:r>
        <w:rPr>
          <w:rStyle w:val="30"/>
          <w:rFonts w:hint="eastAsia" w:ascii="仿宋" w:hAnsi="仿宋" w:eastAsia="仿宋" w:cstheme="minorEastAsia"/>
          <w:color w:val="auto"/>
          <w:highlight w:val="none"/>
          <w:u w:val="none"/>
          <w:lang w:val="en-US" w:eastAsia="zh-CN"/>
        </w:rPr>
        <w:t>成交人</w:t>
      </w:r>
      <w:r>
        <w:rPr>
          <w:rStyle w:val="30"/>
          <w:rFonts w:hint="eastAsia" w:ascii="仿宋" w:hAnsi="仿宋" w:eastAsia="仿宋" w:cstheme="minorEastAsia"/>
          <w:color w:val="auto"/>
          <w:highlight w:val="none"/>
          <w:u w:val="none"/>
          <w:lang w:eastAsia="zh-CN"/>
        </w:rPr>
        <w:t>支付。</w:t>
      </w:r>
      <w:r>
        <w:rPr>
          <w:rStyle w:val="30"/>
          <w:rFonts w:hint="eastAsia" w:ascii="仿宋" w:hAnsi="仿宋" w:eastAsia="仿宋" w:cstheme="minorEastAsia"/>
          <w:color w:val="auto"/>
          <w:highlight w:val="none"/>
          <w:u w:val="none"/>
          <w:lang w:val="en-US" w:eastAsia="zh-CN"/>
        </w:rPr>
        <w:t xml:space="preserve"> </w:t>
      </w:r>
    </w:p>
    <w:p w14:paraId="2635BB60">
      <w:pPr>
        <w:ind w:left="0" w:leftChars="0"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二、支付方式</w:t>
      </w:r>
    </w:p>
    <w:p w14:paraId="2C1F217D">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成交供应商在收到中标通知书</w:t>
      </w:r>
      <w:r>
        <w:rPr>
          <w:rFonts w:hint="eastAsia" w:ascii="仿宋" w:hAnsi="仿宋" w:eastAsia="仿宋" w:cstheme="minorEastAsia"/>
          <w:color w:val="auto"/>
          <w:highlight w:val="none"/>
          <w:lang w:eastAsia="zh-CN"/>
        </w:rPr>
        <w:t>前</w:t>
      </w:r>
      <w:r>
        <w:rPr>
          <w:rFonts w:hint="eastAsia" w:ascii="仿宋" w:hAnsi="仿宋" w:eastAsia="仿宋" w:cstheme="minorEastAsia"/>
          <w:color w:val="auto"/>
          <w:highlight w:val="none"/>
        </w:rPr>
        <w:t>向代理机构支付代理服务费。中标服务费可采取现金、银行汇款、电汇款等代理机构认可的方式进行支付。</w:t>
      </w:r>
    </w:p>
    <w:p w14:paraId="442922B1">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三、账户信息</w:t>
      </w:r>
    </w:p>
    <w:p w14:paraId="3F1BEE59">
      <w:pPr>
        <w:ind w:firstLine="723" w:firstLineChars="300"/>
        <w:jc w:val="both"/>
        <w:rPr>
          <w:rFonts w:ascii="仿宋" w:hAnsi="仿宋" w:eastAsia="仿宋" w:cs="宋体"/>
          <w:color w:val="auto"/>
          <w:highlight w:val="none"/>
        </w:rPr>
      </w:pPr>
      <w:bookmarkStart w:id="67" w:name="_Toc407182682"/>
      <w:r>
        <w:rPr>
          <w:rFonts w:hint="eastAsia" w:ascii="仿宋" w:hAnsi="仿宋" w:eastAsia="仿宋" w:cs="宋体"/>
          <w:b/>
          <w:color w:val="auto"/>
          <w:highlight w:val="none"/>
        </w:rPr>
        <w:t>户  名：</w:t>
      </w:r>
      <w:r>
        <w:rPr>
          <w:rFonts w:hint="eastAsia" w:ascii="仿宋" w:hAnsi="仿宋" w:eastAsia="仿宋" w:cs="宋体"/>
          <w:color w:val="auto"/>
          <w:highlight w:val="none"/>
          <w:u w:val="single"/>
        </w:rPr>
        <w:t>贵州昱龙项目管理咨询有限公司</w:t>
      </w:r>
    </w:p>
    <w:p w14:paraId="6E2A4C94">
      <w:pPr>
        <w:ind w:firstLine="723" w:firstLineChars="300"/>
        <w:jc w:val="both"/>
        <w:rPr>
          <w:rFonts w:ascii="仿宋" w:hAnsi="仿宋" w:eastAsia="仿宋" w:cs="宋体"/>
          <w:color w:val="auto"/>
          <w:highlight w:val="none"/>
          <w:u w:val="single"/>
        </w:rPr>
      </w:pPr>
      <w:r>
        <w:rPr>
          <w:rFonts w:hint="eastAsia" w:ascii="仿宋" w:hAnsi="仿宋" w:eastAsia="仿宋" w:cs="宋体"/>
          <w:b/>
          <w:color w:val="auto"/>
          <w:highlight w:val="none"/>
        </w:rPr>
        <w:t>账  号：</w:t>
      </w:r>
      <w:r>
        <w:rPr>
          <w:rFonts w:hint="eastAsia" w:ascii="仿宋" w:hAnsi="仿宋" w:eastAsia="仿宋" w:cs="宋体"/>
          <w:color w:val="auto"/>
          <w:highlight w:val="none"/>
          <w:u w:val="single"/>
        </w:rPr>
        <w:t xml:space="preserve">   13010120060000661       </w:t>
      </w:r>
    </w:p>
    <w:p w14:paraId="6612A686">
      <w:pPr>
        <w:spacing w:before="120" w:beforeLines="50" w:after="120" w:afterLines="50" w:line="240" w:lineRule="auto"/>
        <w:ind w:firstLine="723" w:firstLineChars="300"/>
        <w:rPr>
          <w:rFonts w:ascii="仿宋" w:hAnsi="仿宋" w:eastAsia="仿宋" w:cstheme="minorEastAsia"/>
          <w:color w:val="auto"/>
          <w:highlight w:val="none"/>
        </w:rPr>
      </w:pPr>
      <w:r>
        <w:rPr>
          <w:rFonts w:hint="eastAsia" w:ascii="仿宋" w:hAnsi="仿宋" w:eastAsia="仿宋" w:cs="宋体"/>
          <w:b/>
          <w:color w:val="auto"/>
          <w:highlight w:val="none"/>
        </w:rPr>
        <w:t>开户行：</w:t>
      </w:r>
      <w:r>
        <w:rPr>
          <w:rFonts w:hint="eastAsia" w:ascii="仿宋" w:hAnsi="仿宋" w:eastAsia="仿宋" w:cs="宋体"/>
          <w:color w:val="auto"/>
          <w:highlight w:val="none"/>
          <w:u w:val="single"/>
        </w:rPr>
        <w:t xml:space="preserve">   贵阳银行齐兴支行        </w:t>
      </w:r>
    </w:p>
    <w:bookmarkEnd w:id="67"/>
    <w:p w14:paraId="67109C28">
      <w:pPr>
        <w:pStyle w:val="6"/>
        <w:spacing w:before="240" w:after="240"/>
        <w:rPr>
          <w:rFonts w:ascii="仿宋" w:hAnsi="仿宋" w:eastAsia="仿宋" w:cstheme="minorEastAsia"/>
          <w:color w:val="auto"/>
          <w:highlight w:val="none"/>
        </w:rPr>
      </w:pPr>
      <w:bookmarkStart w:id="68" w:name="_Toc6574"/>
      <w:bookmarkStart w:id="69" w:name="_Toc407182683"/>
      <w:r>
        <w:rPr>
          <w:rFonts w:hint="eastAsia" w:ascii="仿宋" w:hAnsi="仿宋" w:eastAsia="仿宋" w:cstheme="minorEastAsia"/>
          <w:color w:val="auto"/>
          <w:sz w:val="30"/>
          <w:szCs w:val="30"/>
          <w:highlight w:val="none"/>
        </w:rPr>
        <w:t>第八节 政府采购合同签订、备案及公告</w:t>
      </w:r>
      <w:bookmarkEnd w:id="68"/>
    </w:p>
    <w:p w14:paraId="08601D89">
      <w:pPr>
        <w:spacing w:before="120" w:beforeLines="50" w:after="120" w:afterLines="50" w:line="36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一、签订、备案及公告时间</w:t>
      </w:r>
    </w:p>
    <w:p w14:paraId="6C5D7216">
      <w:pPr>
        <w:spacing w:before="120" w:beforeLines="50" w:after="120" w:afterLines="50" w:line="36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采购人与中标、成交供应商应当在中标、成交通知书发出之日起三十日内，按照采购文件确定的事项签订政府采购合同，采购合同自签订之日起七个工作日内，采购人应当将合同副本报同级政府采购监督管理部门和有关部门备案。</w:t>
      </w:r>
    </w:p>
    <w:p w14:paraId="68471BE4">
      <w:pPr>
        <w:spacing w:before="120" w:beforeLines="50" w:after="120" w:afterLines="50" w:line="36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采购人应当自政府采购合同签订之日起2个工作日内，将政府采购合同在贵州省政府采购网（</w:t>
      </w:r>
      <w:r>
        <w:rPr>
          <w:rFonts w:ascii="仿宋" w:hAnsi="仿宋" w:eastAsia="仿宋" w:cstheme="minorEastAsia"/>
          <w:color w:val="auto"/>
          <w:highlight w:val="none"/>
        </w:rPr>
        <w:t>http://www.ccgp-guizhou.gov.cn/</w:t>
      </w:r>
      <w:r>
        <w:rPr>
          <w:rFonts w:hint="eastAsia" w:ascii="仿宋" w:hAnsi="仿宋" w:eastAsia="仿宋" w:cstheme="minorEastAsia"/>
          <w:color w:val="auto"/>
          <w:highlight w:val="none"/>
        </w:rPr>
        <w:t>）上公告，但政府采购合同中涉及国家秘密、商业秘密的内容除外。</w:t>
      </w:r>
    </w:p>
    <w:p w14:paraId="23DFB953">
      <w:pPr>
        <w:spacing w:before="120" w:beforeLines="50" w:after="120" w:afterLines="50" w:line="240" w:lineRule="auto"/>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二、合同内容</w:t>
      </w:r>
    </w:p>
    <w:p w14:paraId="30F3D363">
      <w:pPr>
        <w:spacing w:before="240" w:beforeLines="100" w:after="120" w:afterLines="50"/>
        <w:ind w:firstLine="491" w:firstLineChars="205"/>
        <w:rPr>
          <w:rFonts w:ascii="仿宋" w:hAnsi="仿宋" w:eastAsia="仿宋" w:cstheme="minorEastAsia"/>
          <w:color w:val="auto"/>
          <w:highlight w:val="none"/>
        </w:rPr>
      </w:pPr>
      <w:r>
        <w:rPr>
          <w:rFonts w:hint="eastAsia" w:ascii="仿宋" w:hAnsi="仿宋" w:eastAsia="仿宋" w:cstheme="minorEastAsia"/>
          <w:color w:val="auto"/>
          <w:highlight w:val="none"/>
        </w:rPr>
        <w:t>中标供应商与采购人须按照本项目的采购文件和磋商响应文件所载内容，及评标过程中有关澄清文件内容签订政府采购合同。</w:t>
      </w:r>
    </w:p>
    <w:p w14:paraId="01B58561">
      <w:pPr>
        <w:pStyle w:val="6"/>
        <w:spacing w:before="240" w:after="240"/>
        <w:rPr>
          <w:rFonts w:ascii="仿宋" w:hAnsi="仿宋" w:eastAsia="仿宋" w:cstheme="minorEastAsia"/>
          <w:color w:val="auto"/>
          <w:highlight w:val="none"/>
        </w:rPr>
      </w:pPr>
      <w:bookmarkStart w:id="70" w:name="_Toc15952"/>
      <w:r>
        <w:rPr>
          <w:rFonts w:hint="eastAsia" w:ascii="仿宋" w:hAnsi="仿宋" w:eastAsia="仿宋" w:cstheme="minorEastAsia"/>
          <w:color w:val="auto"/>
          <w:sz w:val="30"/>
          <w:szCs w:val="30"/>
          <w:highlight w:val="none"/>
        </w:rPr>
        <w:t>第九节 退还投标保证金</w:t>
      </w:r>
      <w:bookmarkEnd w:id="69"/>
      <w:bookmarkEnd w:id="70"/>
    </w:p>
    <w:p w14:paraId="13519A66">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一、退还时间</w:t>
      </w:r>
    </w:p>
    <w:p w14:paraId="0AAC3805">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中标供应商与采购人签订采购合同后方可申请退还，未中标供应商在中标公告期满后无质疑投诉方可申请退还。</w:t>
      </w:r>
    </w:p>
    <w:p w14:paraId="7E57A815">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二、退还方式</w:t>
      </w:r>
    </w:p>
    <w:p w14:paraId="3D5A3214">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1.投标保证金的退还方式以贵州省公共资源交易中心最新规定为准。</w:t>
      </w:r>
    </w:p>
    <w:p w14:paraId="29E1F5A3">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2.投标保证金退还的时间按财政部87号令等相关法律法规的规定时间退还。未中标供应商的保证金应当在中标通知书发出之日起5个工作日内退还，中标供应商的投标保证金应当在合同签订之日起5个工作日内退还。</w:t>
      </w:r>
    </w:p>
    <w:p w14:paraId="41126B6F">
      <w:pPr>
        <w:ind w:firstLine="0" w:firstLineChars="0"/>
        <w:rPr>
          <w:rStyle w:val="30"/>
          <w:rFonts w:ascii="仿宋" w:hAnsi="仿宋" w:eastAsia="仿宋" w:cstheme="minorEastAsia"/>
          <w:color w:val="auto"/>
          <w:highlight w:val="none"/>
        </w:rPr>
      </w:pPr>
      <w:r>
        <w:rPr>
          <w:rStyle w:val="30"/>
          <w:rFonts w:hint="eastAsia" w:ascii="仿宋" w:hAnsi="仿宋" w:eastAsia="仿宋" w:cstheme="minorEastAsia"/>
          <w:color w:val="auto"/>
          <w:highlight w:val="none"/>
        </w:rPr>
        <w:t>三、发生下列情况之一，投标保证金将不予退还</w:t>
      </w:r>
      <w:r>
        <w:rPr>
          <w:rFonts w:hint="eastAsia" w:ascii="仿宋" w:hAnsi="仿宋" w:eastAsia="仿宋" w:cstheme="minorEastAsia"/>
          <w:color w:val="auto"/>
          <w:highlight w:val="none"/>
        </w:rPr>
        <w:t>：法律法规的情形。</w:t>
      </w:r>
    </w:p>
    <w:p w14:paraId="1BE5F5EA">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xml:space="preserve">1. 供应商有《中华人民共和国政府采购法》第七十七条所列行为的； </w:t>
      </w:r>
    </w:p>
    <w:p w14:paraId="2C003B6C">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xml:space="preserve">2. 开标后在投标有效期间内，供应商撤回磋商响应文件的； </w:t>
      </w:r>
    </w:p>
    <w:p w14:paraId="3BD9804A">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3. 除因不可抗力，成交供应商不与采购人签订合同的；</w:t>
      </w:r>
    </w:p>
    <w:p w14:paraId="5629FE77">
      <w:pPr>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4. 法律法规及采购文件规定的其他情形。</w:t>
      </w:r>
    </w:p>
    <w:p w14:paraId="30DD0503">
      <w:pPr>
        <w:pStyle w:val="5"/>
        <w:spacing w:before="120" w:after="120"/>
        <w:rPr>
          <w:rFonts w:ascii="仿宋" w:hAnsi="仿宋" w:eastAsia="仿宋" w:cstheme="minorEastAsia"/>
          <w:color w:val="auto"/>
          <w:highlight w:val="none"/>
        </w:rPr>
      </w:pPr>
    </w:p>
    <w:p w14:paraId="2E666D0D">
      <w:pPr>
        <w:ind w:firstLine="600"/>
        <w:rPr>
          <w:rFonts w:ascii="仿宋" w:hAnsi="仿宋" w:eastAsia="仿宋" w:cstheme="minorEastAsia"/>
          <w:color w:val="auto"/>
          <w:sz w:val="30"/>
          <w:szCs w:val="30"/>
          <w:highlight w:val="none"/>
        </w:rPr>
      </w:pPr>
      <w:r>
        <w:rPr>
          <w:rFonts w:hint="eastAsia" w:ascii="仿宋" w:hAnsi="仿宋" w:eastAsia="仿宋" w:cstheme="minorEastAsia"/>
          <w:color w:val="auto"/>
          <w:sz w:val="30"/>
          <w:szCs w:val="30"/>
          <w:highlight w:val="none"/>
        </w:rPr>
        <w:br w:type="page"/>
      </w:r>
    </w:p>
    <w:p w14:paraId="65834C9F">
      <w:pPr>
        <w:pStyle w:val="5"/>
        <w:spacing w:before="120" w:after="120"/>
        <w:rPr>
          <w:rFonts w:ascii="仿宋" w:hAnsi="仿宋" w:eastAsia="仿宋" w:cstheme="minorEastAsia"/>
          <w:color w:val="auto"/>
          <w:sz w:val="30"/>
          <w:szCs w:val="30"/>
          <w:highlight w:val="none"/>
        </w:rPr>
      </w:pPr>
      <w:bookmarkStart w:id="71" w:name="_Toc11994"/>
      <w:r>
        <w:rPr>
          <w:rFonts w:hint="eastAsia" w:ascii="仿宋" w:hAnsi="仿宋" w:eastAsia="仿宋" w:cstheme="minorEastAsia"/>
          <w:color w:val="auto"/>
          <w:sz w:val="30"/>
          <w:szCs w:val="30"/>
          <w:highlight w:val="none"/>
        </w:rPr>
        <w:t>第五章  政府采购合同</w:t>
      </w:r>
      <w:bookmarkEnd w:id="48"/>
      <w:bookmarkEnd w:id="49"/>
      <w:bookmarkEnd w:id="71"/>
    </w:p>
    <w:p w14:paraId="74A63D66">
      <w:pPr>
        <w:ind w:firstLine="480"/>
        <w:rPr>
          <w:rFonts w:ascii="仿宋" w:hAnsi="仿宋" w:eastAsia="仿宋"/>
          <w:color w:val="auto"/>
          <w:highlight w:val="none"/>
        </w:rPr>
      </w:pPr>
    </w:p>
    <w:p w14:paraId="3D2EF3D5">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政府采购</w:t>
      </w:r>
    </w:p>
    <w:p w14:paraId="47C97197">
      <w:pPr>
        <w:tabs>
          <w:tab w:val="left" w:pos="720"/>
        </w:tabs>
        <w:ind w:firstLine="602"/>
        <w:jc w:val="center"/>
        <w:rPr>
          <w:rFonts w:ascii="仿宋" w:hAnsi="仿宋" w:eastAsia="仿宋"/>
          <w:b/>
          <w:bCs/>
          <w:color w:val="auto"/>
          <w:sz w:val="30"/>
          <w:szCs w:val="30"/>
          <w:highlight w:val="none"/>
        </w:rPr>
      </w:pPr>
    </w:p>
    <w:p w14:paraId="4140C04B">
      <w:pPr>
        <w:tabs>
          <w:tab w:val="left" w:pos="720"/>
        </w:tabs>
        <w:ind w:firstLine="602"/>
        <w:jc w:val="center"/>
        <w:rPr>
          <w:rFonts w:ascii="仿宋" w:hAnsi="仿宋" w:eastAsia="仿宋"/>
          <w:b/>
          <w:bCs/>
          <w:color w:val="auto"/>
          <w:sz w:val="30"/>
          <w:szCs w:val="30"/>
          <w:highlight w:val="none"/>
        </w:rPr>
      </w:pPr>
      <w:r>
        <w:rPr>
          <w:rFonts w:ascii="仿宋" w:hAnsi="仿宋" w:eastAsia="仿宋"/>
          <w:b/>
          <w:bCs/>
          <w:color w:val="auto"/>
          <w:sz w:val="30"/>
          <w:szCs w:val="30"/>
          <w:highlight w:val="none"/>
        </w:rPr>
        <w:t>合 同 书</w:t>
      </w:r>
    </w:p>
    <w:p w14:paraId="4C62B250">
      <w:pPr>
        <w:tabs>
          <w:tab w:val="left" w:pos="720"/>
        </w:tabs>
        <w:ind w:firstLine="602"/>
        <w:rPr>
          <w:rFonts w:ascii="仿宋" w:hAnsi="仿宋" w:eastAsia="仿宋"/>
          <w:b/>
          <w:bCs/>
          <w:color w:val="auto"/>
          <w:sz w:val="30"/>
          <w:szCs w:val="30"/>
          <w:highlight w:val="none"/>
        </w:rPr>
      </w:pPr>
    </w:p>
    <w:p w14:paraId="507623CE">
      <w:pPr>
        <w:tabs>
          <w:tab w:val="left" w:pos="720"/>
        </w:tabs>
        <w:ind w:firstLine="602"/>
        <w:rPr>
          <w:rFonts w:ascii="仿宋" w:hAnsi="仿宋" w:eastAsia="仿宋"/>
          <w:b/>
          <w:bCs/>
          <w:color w:val="auto"/>
          <w:sz w:val="30"/>
          <w:szCs w:val="30"/>
          <w:highlight w:val="none"/>
        </w:rPr>
      </w:pPr>
    </w:p>
    <w:p w14:paraId="1C2B2E4D">
      <w:pPr>
        <w:pStyle w:val="13"/>
        <w:rPr>
          <w:rFonts w:ascii="仿宋" w:hAnsi="仿宋" w:eastAsia="仿宋"/>
          <w:b/>
          <w:bCs/>
          <w:color w:val="auto"/>
          <w:sz w:val="30"/>
          <w:szCs w:val="30"/>
          <w:highlight w:val="none"/>
        </w:rPr>
      </w:pPr>
    </w:p>
    <w:p w14:paraId="2C2C7D0E">
      <w:pPr>
        <w:pStyle w:val="36"/>
        <w:rPr>
          <w:rFonts w:ascii="仿宋" w:hAnsi="仿宋" w:eastAsia="仿宋"/>
          <w:b/>
          <w:bCs/>
          <w:color w:val="auto"/>
          <w:sz w:val="30"/>
          <w:szCs w:val="30"/>
          <w:highlight w:val="none"/>
        </w:rPr>
      </w:pPr>
    </w:p>
    <w:p w14:paraId="0358008F">
      <w:pPr>
        <w:pStyle w:val="36"/>
        <w:rPr>
          <w:rFonts w:ascii="仿宋" w:hAnsi="仿宋" w:eastAsia="仿宋"/>
          <w:b/>
          <w:bCs/>
          <w:color w:val="auto"/>
          <w:sz w:val="30"/>
          <w:szCs w:val="30"/>
          <w:highlight w:val="none"/>
        </w:rPr>
      </w:pPr>
    </w:p>
    <w:p w14:paraId="1455C2A9">
      <w:pPr>
        <w:pStyle w:val="36"/>
        <w:rPr>
          <w:rFonts w:ascii="仿宋" w:hAnsi="仿宋" w:eastAsia="仿宋"/>
          <w:b/>
          <w:bCs/>
          <w:color w:val="auto"/>
          <w:sz w:val="30"/>
          <w:szCs w:val="30"/>
          <w:highlight w:val="none"/>
        </w:rPr>
      </w:pPr>
    </w:p>
    <w:tbl>
      <w:tblPr>
        <w:tblStyle w:val="27"/>
        <w:tblW w:w="0" w:type="auto"/>
        <w:jc w:val="center"/>
        <w:tblLayout w:type="fixed"/>
        <w:tblCellMar>
          <w:top w:w="0" w:type="dxa"/>
          <w:left w:w="108" w:type="dxa"/>
          <w:bottom w:w="0" w:type="dxa"/>
          <w:right w:w="108" w:type="dxa"/>
        </w:tblCellMar>
      </w:tblPr>
      <w:tblGrid>
        <w:gridCol w:w="5400"/>
      </w:tblGrid>
      <w:tr w14:paraId="1583684B">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noWrap/>
          </w:tcPr>
          <w:p w14:paraId="612BEB22">
            <w:pPr>
              <w:pStyle w:val="13"/>
              <w:ind w:firstLine="0" w:firstLineChars="0"/>
              <w:rPr>
                <w:rFonts w:ascii="仿宋" w:hAnsi="仿宋" w:eastAsia="仿宋"/>
                <w:b/>
                <w:bCs/>
                <w:color w:val="auto"/>
                <w:sz w:val="30"/>
                <w:szCs w:val="30"/>
                <w:highlight w:val="none"/>
              </w:rPr>
            </w:pPr>
          </w:p>
          <w:p w14:paraId="11FE9C27">
            <w:pPr>
              <w:tabs>
                <w:tab w:val="left" w:pos="720"/>
              </w:tabs>
              <w:ind w:firstLine="602"/>
              <w:rPr>
                <w:rFonts w:ascii="仿宋" w:hAnsi="仿宋" w:eastAsia="仿宋"/>
                <w:b/>
                <w:bCs/>
                <w:color w:val="auto"/>
                <w:sz w:val="30"/>
                <w:szCs w:val="30"/>
                <w:highlight w:val="none"/>
              </w:rPr>
            </w:pPr>
          </w:p>
          <w:p w14:paraId="5DD27C20">
            <w:pPr>
              <w:tabs>
                <w:tab w:val="left" w:pos="720"/>
              </w:tabs>
              <w:ind w:firstLine="602"/>
              <w:rPr>
                <w:rFonts w:ascii="仿宋" w:hAnsi="仿宋" w:eastAsia="仿宋"/>
                <w:b/>
                <w:bCs/>
                <w:color w:val="auto"/>
                <w:sz w:val="30"/>
                <w:szCs w:val="30"/>
                <w:highlight w:val="none"/>
                <w:u w:val="single"/>
              </w:rPr>
            </w:pPr>
            <w:r>
              <w:rPr>
                <w:rFonts w:hint="eastAsia" w:ascii="仿宋" w:hAnsi="仿宋" w:eastAsia="仿宋"/>
                <w:b/>
                <w:bCs/>
                <w:color w:val="auto"/>
                <w:sz w:val="30"/>
                <w:szCs w:val="30"/>
                <w:highlight w:val="none"/>
              </w:rPr>
              <w:t>合同</w:t>
            </w:r>
            <w:r>
              <w:rPr>
                <w:rFonts w:ascii="仿宋" w:hAnsi="仿宋" w:eastAsia="仿宋"/>
                <w:b/>
                <w:bCs/>
                <w:color w:val="auto"/>
                <w:sz w:val="30"/>
                <w:szCs w:val="30"/>
                <w:highlight w:val="none"/>
              </w:rPr>
              <w:t>编号：</w:t>
            </w:r>
            <w:r>
              <w:rPr>
                <w:rFonts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rPr>
              <w:t xml:space="preserve">           </w:t>
            </w:r>
          </w:p>
        </w:tc>
      </w:tr>
      <w:tr w14:paraId="5A2E3CEB">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noWrap/>
          </w:tcPr>
          <w:p w14:paraId="693F6ECC">
            <w:pPr>
              <w:tabs>
                <w:tab w:val="left" w:pos="720"/>
              </w:tabs>
              <w:ind w:firstLine="602"/>
              <w:rPr>
                <w:rFonts w:ascii="仿宋" w:hAnsi="仿宋" w:eastAsia="仿宋"/>
                <w:b/>
                <w:bCs/>
                <w:color w:val="auto"/>
                <w:sz w:val="30"/>
                <w:szCs w:val="30"/>
                <w:highlight w:val="none"/>
                <w:u w:val="single"/>
              </w:rPr>
            </w:pPr>
          </w:p>
        </w:tc>
      </w:tr>
      <w:tr w14:paraId="7111EE3E">
        <w:tblPrEx>
          <w:tblCellMar>
            <w:top w:w="0" w:type="dxa"/>
            <w:left w:w="108" w:type="dxa"/>
            <w:bottom w:w="0" w:type="dxa"/>
            <w:right w:w="108" w:type="dxa"/>
          </w:tblCellMar>
        </w:tblPrEx>
        <w:trPr>
          <w:trHeight w:val="446" w:hRule="atLeast"/>
          <w:jc w:val="center"/>
        </w:trPr>
        <w:tc>
          <w:tcPr>
            <w:tcW w:w="5400" w:type="dxa"/>
            <w:tcBorders>
              <w:top w:val="nil"/>
              <w:left w:val="nil"/>
              <w:bottom w:val="nil"/>
              <w:right w:val="nil"/>
            </w:tcBorders>
            <w:noWrap/>
          </w:tcPr>
          <w:p w14:paraId="49E4195E">
            <w:pPr>
              <w:tabs>
                <w:tab w:val="left" w:pos="720"/>
              </w:tabs>
              <w:ind w:firstLine="602"/>
              <w:rPr>
                <w:rFonts w:ascii="仿宋" w:hAnsi="仿宋" w:eastAsia="仿宋"/>
                <w:b/>
                <w:bCs/>
                <w:color w:val="auto"/>
                <w:sz w:val="30"/>
                <w:szCs w:val="30"/>
                <w:highlight w:val="none"/>
              </w:rPr>
            </w:pPr>
            <w:r>
              <w:rPr>
                <w:rFonts w:ascii="仿宋" w:hAnsi="仿宋" w:eastAsia="仿宋"/>
                <w:b/>
                <w:bCs/>
                <w:color w:val="auto"/>
                <w:sz w:val="30"/>
                <w:szCs w:val="30"/>
                <w:highlight w:val="none"/>
              </w:rPr>
              <w:t>项目名称：</w:t>
            </w:r>
            <w:r>
              <w:rPr>
                <w:rFonts w:ascii="仿宋" w:hAnsi="仿宋" w:eastAsia="仿宋"/>
                <w:b/>
                <w:bCs/>
                <w:color w:val="auto"/>
                <w:sz w:val="30"/>
                <w:szCs w:val="30"/>
                <w:highlight w:val="none"/>
                <w:u w:val="single"/>
              </w:rPr>
              <w:t xml:space="preserve">  </w:t>
            </w:r>
            <w:r>
              <w:rPr>
                <w:rFonts w:hint="eastAsia" w:ascii="仿宋" w:hAnsi="仿宋" w:eastAsia="仿宋"/>
                <w:b/>
                <w:bCs/>
                <w:color w:val="auto"/>
                <w:sz w:val="30"/>
                <w:szCs w:val="30"/>
                <w:highlight w:val="none"/>
                <w:u w:val="single"/>
              </w:rPr>
              <w:t xml:space="preserve">                 </w:t>
            </w:r>
            <w:r>
              <w:rPr>
                <w:rFonts w:ascii="仿宋" w:hAnsi="仿宋" w:eastAsia="仿宋"/>
                <w:b/>
                <w:bCs/>
                <w:color w:val="auto"/>
                <w:sz w:val="30"/>
                <w:szCs w:val="30"/>
                <w:highlight w:val="none"/>
                <w:u w:val="single"/>
              </w:rPr>
              <w:t xml:space="preserve">     </w:t>
            </w:r>
          </w:p>
        </w:tc>
      </w:tr>
      <w:tr w14:paraId="59151D0D">
        <w:tblPrEx>
          <w:tblCellMar>
            <w:top w:w="0" w:type="dxa"/>
            <w:left w:w="108" w:type="dxa"/>
            <w:bottom w:w="0" w:type="dxa"/>
            <w:right w:w="108" w:type="dxa"/>
          </w:tblCellMar>
        </w:tblPrEx>
        <w:trPr>
          <w:trHeight w:val="460" w:hRule="atLeast"/>
          <w:jc w:val="center"/>
        </w:trPr>
        <w:tc>
          <w:tcPr>
            <w:tcW w:w="5400" w:type="dxa"/>
            <w:tcBorders>
              <w:top w:val="nil"/>
              <w:left w:val="nil"/>
              <w:bottom w:val="nil"/>
              <w:right w:val="nil"/>
            </w:tcBorders>
            <w:noWrap/>
          </w:tcPr>
          <w:p w14:paraId="67A2BCD1">
            <w:pPr>
              <w:tabs>
                <w:tab w:val="left" w:pos="720"/>
              </w:tabs>
              <w:ind w:firstLine="562"/>
              <w:rPr>
                <w:rFonts w:ascii="仿宋" w:hAnsi="仿宋" w:eastAsia="仿宋"/>
                <w:b/>
                <w:bCs/>
                <w:color w:val="auto"/>
                <w:sz w:val="28"/>
                <w:szCs w:val="28"/>
                <w:highlight w:val="none"/>
              </w:rPr>
            </w:pPr>
          </w:p>
        </w:tc>
      </w:tr>
    </w:tbl>
    <w:p w14:paraId="6E965AFA">
      <w:pPr>
        <w:pStyle w:val="15"/>
        <w:spacing w:before="240" w:beforeLines="100" w:after="120" w:afterLines="50"/>
        <w:ind w:firstLine="480"/>
        <w:rPr>
          <w:rFonts w:asciiTheme="minorEastAsia" w:hAnsiTheme="minorEastAsia" w:eastAsiaTheme="minorEastAsia" w:cstheme="minorEastAsia"/>
          <w:color w:val="auto"/>
          <w:szCs w:val="24"/>
          <w:highlight w:val="none"/>
        </w:rPr>
      </w:pPr>
    </w:p>
    <w:p w14:paraId="6FB8A052">
      <w:pPr>
        <w:pStyle w:val="15"/>
        <w:spacing w:before="240" w:beforeLines="100" w:after="120" w:afterLines="50"/>
        <w:ind w:firstLine="480"/>
        <w:rPr>
          <w:rFonts w:asciiTheme="minorEastAsia" w:hAnsiTheme="minorEastAsia" w:eastAsiaTheme="minorEastAsia" w:cstheme="minorEastAsia"/>
          <w:color w:val="auto"/>
          <w:szCs w:val="24"/>
          <w:highlight w:val="none"/>
        </w:rPr>
      </w:pPr>
    </w:p>
    <w:p w14:paraId="3F0F48E6">
      <w:pPr>
        <w:pStyle w:val="15"/>
        <w:spacing w:before="240" w:beforeLines="100" w:after="120" w:afterLines="50"/>
        <w:ind w:firstLine="480"/>
        <w:rPr>
          <w:rFonts w:asciiTheme="minorEastAsia" w:hAnsiTheme="minorEastAsia" w:eastAsiaTheme="minorEastAsia" w:cstheme="minorEastAsia"/>
          <w:color w:val="auto"/>
          <w:szCs w:val="24"/>
          <w:highlight w:val="none"/>
        </w:rPr>
      </w:pPr>
    </w:p>
    <w:p w14:paraId="73553146">
      <w:pPr>
        <w:pStyle w:val="15"/>
        <w:spacing w:before="240" w:beforeLines="100" w:after="120" w:afterLines="50"/>
        <w:ind w:firstLine="0" w:firstLineChars="0"/>
        <w:rPr>
          <w:rFonts w:asciiTheme="minorEastAsia" w:hAnsiTheme="minorEastAsia" w:eastAsiaTheme="minorEastAsia" w:cstheme="minorEastAsia"/>
          <w:color w:val="auto"/>
          <w:szCs w:val="24"/>
          <w:highlight w:val="none"/>
        </w:rPr>
      </w:pPr>
    </w:p>
    <w:p w14:paraId="47B50B0B">
      <w:pPr>
        <w:pStyle w:val="15"/>
        <w:spacing w:before="240" w:beforeLines="100" w:after="120" w:afterLines="5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甲方：（采购人全称）</w:t>
      </w:r>
    </w:p>
    <w:p w14:paraId="47121B09">
      <w:pPr>
        <w:pStyle w:val="15"/>
        <w:spacing w:before="240" w:beforeLines="100" w:after="120" w:afterLines="5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乙方：（供应商全称）</w:t>
      </w:r>
    </w:p>
    <w:p w14:paraId="7F3B4CA6">
      <w:pPr>
        <w:pStyle w:val="15"/>
        <w:spacing w:before="240" w:beforeLines="100" w:after="120" w:afterLines="5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 xml:space="preserve">    甲、乙双方根据</w:t>
      </w:r>
      <w:r>
        <w:rPr>
          <w:rFonts w:hint="eastAsia" w:ascii="仿宋" w:hAnsi="仿宋" w:eastAsia="仿宋" w:cs="仿宋"/>
          <w:color w:val="auto"/>
          <w:szCs w:val="24"/>
          <w:highlight w:val="none"/>
          <w:u w:val="single"/>
        </w:rPr>
        <w:t xml:space="preserve">     项目名称       (</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,）的</w:t>
      </w:r>
      <w:r>
        <w:rPr>
          <w:rFonts w:hint="eastAsia" w:ascii="仿宋" w:hAnsi="仿宋" w:eastAsia="仿宋" w:cs="仿宋"/>
          <w:color w:val="auto"/>
          <w:szCs w:val="24"/>
          <w:highlight w:val="none"/>
          <w:u w:val="single"/>
        </w:rPr>
        <w:t xml:space="preserve"> 竞争性磋商 </w:t>
      </w:r>
      <w:r>
        <w:rPr>
          <w:rFonts w:hint="eastAsia" w:ascii="仿宋" w:hAnsi="仿宋" w:eastAsia="仿宋" w:cs="仿宋"/>
          <w:color w:val="auto"/>
          <w:szCs w:val="24"/>
          <w:highlight w:val="none"/>
        </w:rPr>
        <w:t>结果，甲方接受乙方为本项目的供应商。甲乙双方根据本项目采购文件、竞争性磋商响应文件及招投标过程中确定的有关内容，签署本合同。</w:t>
      </w:r>
    </w:p>
    <w:p w14:paraId="51E59018">
      <w:pPr>
        <w:ind w:firstLine="482"/>
        <w:rPr>
          <w:rFonts w:ascii="仿宋" w:hAnsi="仿宋" w:eastAsia="仿宋" w:cs="仿宋"/>
          <w:b/>
          <w:color w:val="auto"/>
          <w:highlight w:val="none"/>
        </w:rPr>
      </w:pPr>
      <w:r>
        <w:rPr>
          <w:rFonts w:hint="eastAsia" w:ascii="仿宋" w:hAnsi="仿宋" w:eastAsia="仿宋" w:cs="仿宋"/>
          <w:b/>
          <w:color w:val="auto"/>
          <w:highlight w:val="none"/>
        </w:rPr>
        <w:t>一、合同金额</w:t>
      </w:r>
    </w:p>
    <w:p w14:paraId="7B7EA691">
      <w:pPr>
        <w:pStyle w:val="15"/>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合同金额为（大写）：_________________元（￥_______________元）人民币。</w:t>
      </w:r>
    </w:p>
    <w:p w14:paraId="4845789A">
      <w:pPr>
        <w:ind w:firstLine="482"/>
        <w:jc w:val="both"/>
        <w:rPr>
          <w:rFonts w:ascii="仿宋" w:hAnsi="仿宋" w:eastAsia="仿宋" w:cs="仿宋"/>
          <w:b/>
          <w:color w:val="auto"/>
          <w:highlight w:val="none"/>
        </w:rPr>
      </w:pPr>
      <w:r>
        <w:rPr>
          <w:rFonts w:hint="eastAsia" w:ascii="仿宋" w:hAnsi="仿宋" w:eastAsia="仿宋" w:cs="仿宋"/>
          <w:b/>
          <w:color w:val="auto"/>
          <w:highlight w:val="none"/>
        </w:rPr>
        <w:t>二、服务范围</w:t>
      </w:r>
    </w:p>
    <w:p w14:paraId="309836C5">
      <w:pPr>
        <w:ind w:firstLine="480"/>
        <w:rPr>
          <w:rFonts w:ascii="仿宋" w:hAnsi="仿宋" w:eastAsia="仿宋" w:cs="仿宋"/>
          <w:color w:val="auto"/>
          <w:highlight w:val="none"/>
        </w:rPr>
      </w:pPr>
      <w:r>
        <w:rPr>
          <w:rFonts w:hint="eastAsia" w:ascii="仿宋" w:hAnsi="仿宋" w:eastAsia="仿宋" w:cs="仿宋"/>
          <w:color w:val="auto"/>
          <w:highlight w:val="none"/>
        </w:rPr>
        <w:t>　　甲方聘请乙方提供以下服务：</w:t>
      </w:r>
    </w:p>
    <w:p w14:paraId="489CFAEB">
      <w:pPr>
        <w:ind w:firstLine="480"/>
        <w:rPr>
          <w:rFonts w:ascii="仿宋" w:hAnsi="仿宋" w:eastAsia="仿宋" w:cs="仿宋"/>
          <w:color w:val="auto"/>
          <w:highlight w:val="none"/>
          <w:u w:val="single"/>
        </w:rPr>
      </w:pPr>
      <w:r>
        <w:rPr>
          <w:rFonts w:hint="eastAsia" w:ascii="仿宋" w:hAnsi="仿宋" w:eastAsia="仿宋" w:cs="仿宋"/>
          <w:color w:val="auto"/>
          <w:highlight w:val="none"/>
        </w:rPr>
        <w:t>　　1．本合同项下的服务指</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6931F3">
      <w:pPr>
        <w:ind w:firstLine="480"/>
        <w:rPr>
          <w:rFonts w:ascii="仿宋" w:hAnsi="仿宋" w:eastAsia="仿宋" w:cs="仿宋"/>
          <w:color w:val="auto"/>
          <w:highlight w:val="none"/>
        </w:rPr>
      </w:pPr>
      <w:r>
        <w:rPr>
          <w:rFonts w:hint="eastAsia" w:ascii="仿宋" w:hAnsi="仿宋" w:eastAsia="仿宋" w:cs="仿宋"/>
          <w:color w:val="auto"/>
          <w:highlight w:val="none"/>
        </w:rPr>
        <w:t>　　2．......</w:t>
      </w:r>
    </w:p>
    <w:p w14:paraId="07497AF4">
      <w:pPr>
        <w:ind w:firstLine="960" w:firstLineChars="400"/>
        <w:jc w:val="both"/>
        <w:rPr>
          <w:rFonts w:ascii="仿宋" w:hAnsi="仿宋" w:eastAsia="仿宋" w:cs="仿宋"/>
          <w:color w:val="auto"/>
          <w:highlight w:val="none"/>
        </w:rPr>
      </w:pPr>
      <w:r>
        <w:rPr>
          <w:rFonts w:hint="eastAsia" w:ascii="仿宋" w:hAnsi="仿宋" w:eastAsia="仿宋" w:cs="仿宋"/>
          <w:color w:val="auto"/>
          <w:highlight w:val="none"/>
        </w:rPr>
        <w:t>3. ......</w:t>
      </w:r>
    </w:p>
    <w:p w14:paraId="43854452">
      <w:pPr>
        <w:ind w:firstLine="482"/>
        <w:rPr>
          <w:rFonts w:ascii="仿宋" w:hAnsi="仿宋" w:eastAsia="仿宋" w:cs="仿宋"/>
          <w:b/>
          <w:color w:val="auto"/>
          <w:highlight w:val="none"/>
        </w:rPr>
      </w:pPr>
      <w:r>
        <w:rPr>
          <w:rFonts w:hint="eastAsia" w:ascii="仿宋" w:hAnsi="仿宋" w:eastAsia="仿宋" w:cs="仿宋"/>
          <w:b/>
          <w:color w:val="auto"/>
          <w:highlight w:val="none"/>
        </w:rPr>
        <w:t>三、服务质量要求</w:t>
      </w:r>
    </w:p>
    <w:p w14:paraId="096B68ED">
      <w:pPr>
        <w:ind w:firstLine="482"/>
        <w:rPr>
          <w:rFonts w:ascii="仿宋" w:hAnsi="仿宋" w:eastAsia="仿宋" w:cs="仿宋"/>
          <w:b/>
          <w:color w:val="auto"/>
          <w:highlight w:val="none"/>
        </w:rPr>
      </w:pPr>
      <w:r>
        <w:rPr>
          <w:rFonts w:hint="eastAsia" w:ascii="仿宋" w:hAnsi="仿宋" w:eastAsia="仿宋" w:cs="仿宋"/>
          <w:b/>
          <w:color w:val="auto"/>
          <w:highlight w:val="none"/>
        </w:rPr>
        <w:t>四、甲方乙方的权利和义务</w:t>
      </w:r>
    </w:p>
    <w:p w14:paraId="33FC897B">
      <w:pPr>
        <w:ind w:firstLine="480"/>
        <w:rPr>
          <w:rFonts w:ascii="仿宋" w:hAnsi="仿宋" w:eastAsia="仿宋" w:cs="仿宋"/>
          <w:color w:val="auto"/>
          <w:highlight w:val="none"/>
        </w:rPr>
      </w:pPr>
      <w:r>
        <w:rPr>
          <w:rFonts w:hint="eastAsia" w:ascii="仿宋" w:hAnsi="仿宋" w:eastAsia="仿宋" w:cs="仿宋"/>
          <w:color w:val="auto"/>
          <w:highlight w:val="none"/>
        </w:rPr>
        <w:t>　　（一） 甲方的权利和义务</w:t>
      </w:r>
    </w:p>
    <w:p w14:paraId="71C43DA1">
      <w:pPr>
        <w:ind w:left="552" w:firstLine="480"/>
        <w:jc w:val="both"/>
        <w:rPr>
          <w:rFonts w:ascii="仿宋" w:hAnsi="仿宋" w:eastAsia="仿宋" w:cs="仿宋"/>
          <w:color w:val="auto"/>
          <w:highlight w:val="none"/>
        </w:rPr>
      </w:pPr>
      <w:r>
        <w:rPr>
          <w:rFonts w:hint="eastAsia" w:ascii="仿宋" w:hAnsi="仿宋" w:eastAsia="仿宋" w:cs="仿宋"/>
          <w:color w:val="auto"/>
          <w:highlight w:val="none"/>
        </w:rPr>
        <w:t>（二）乙方的权利和义务</w:t>
      </w:r>
    </w:p>
    <w:p w14:paraId="44D05686">
      <w:pPr>
        <w:ind w:firstLine="482"/>
        <w:rPr>
          <w:rFonts w:ascii="仿宋" w:hAnsi="仿宋" w:eastAsia="仿宋" w:cs="仿宋"/>
          <w:b/>
          <w:color w:val="auto"/>
          <w:highlight w:val="none"/>
        </w:rPr>
      </w:pPr>
      <w:r>
        <w:rPr>
          <w:rFonts w:hint="eastAsia" w:ascii="仿宋" w:hAnsi="仿宋" w:eastAsia="仿宋" w:cs="仿宋"/>
          <w:b/>
          <w:color w:val="auto"/>
          <w:highlight w:val="none"/>
        </w:rPr>
        <w:t>五、服务期间（项目完成期限）</w:t>
      </w:r>
    </w:p>
    <w:p w14:paraId="43BF5C36">
      <w:pPr>
        <w:ind w:firstLine="480"/>
        <w:rPr>
          <w:rFonts w:ascii="仿宋" w:hAnsi="仿宋" w:eastAsia="仿宋" w:cs="仿宋"/>
          <w:color w:val="auto"/>
          <w:highlight w:val="none"/>
        </w:rPr>
      </w:pPr>
      <w:r>
        <w:rPr>
          <w:rFonts w:hint="eastAsia" w:ascii="仿宋" w:hAnsi="仿宋" w:eastAsia="仿宋" w:cs="仿宋"/>
          <w:color w:val="auto"/>
          <w:highlight w:val="none"/>
        </w:rPr>
        <w:t>委托服务期间自______年______月至______年______月止。</w:t>
      </w:r>
    </w:p>
    <w:p w14:paraId="485465E5">
      <w:pPr>
        <w:ind w:firstLine="482"/>
        <w:rPr>
          <w:rFonts w:ascii="仿宋" w:hAnsi="仿宋" w:eastAsia="仿宋" w:cs="仿宋"/>
          <w:b/>
          <w:color w:val="auto"/>
          <w:highlight w:val="none"/>
        </w:rPr>
      </w:pPr>
      <w:r>
        <w:rPr>
          <w:rFonts w:hint="eastAsia" w:ascii="仿宋" w:hAnsi="仿宋" w:eastAsia="仿宋" w:cs="仿宋"/>
          <w:b/>
          <w:color w:val="auto"/>
          <w:highlight w:val="none"/>
        </w:rPr>
        <w:t>六、验收及评价考核</w:t>
      </w:r>
    </w:p>
    <w:p w14:paraId="45839AEF">
      <w:pPr>
        <w:ind w:firstLine="482"/>
        <w:rPr>
          <w:rFonts w:hint="eastAsia" w:ascii="仿宋" w:hAnsi="仿宋" w:eastAsia="仿宋" w:cs="仿宋"/>
          <w:b/>
          <w:color w:val="auto"/>
          <w:highlight w:val="none"/>
        </w:rPr>
      </w:pPr>
      <w:r>
        <w:rPr>
          <w:rFonts w:hint="eastAsia" w:ascii="仿宋" w:hAnsi="仿宋" w:eastAsia="仿宋" w:cs="仿宋"/>
          <w:b/>
          <w:color w:val="auto"/>
          <w:highlight w:val="none"/>
        </w:rPr>
        <w:t>七、付款方式</w:t>
      </w:r>
    </w:p>
    <w:p w14:paraId="2537C91C">
      <w:pPr>
        <w:tabs>
          <w:tab w:val="left" w:pos="900"/>
        </w:tabs>
        <w:ind w:firstLine="482"/>
        <w:rPr>
          <w:rFonts w:ascii="仿宋" w:hAnsi="仿宋" w:eastAsia="仿宋" w:cs="仿宋"/>
          <w:b/>
          <w:color w:val="auto"/>
          <w:highlight w:val="none"/>
        </w:rPr>
      </w:pPr>
      <w:r>
        <w:rPr>
          <w:rFonts w:hint="eastAsia" w:ascii="仿宋" w:hAnsi="仿宋" w:eastAsia="仿宋" w:cs="仿宋"/>
          <w:b/>
          <w:color w:val="auto"/>
          <w:highlight w:val="none"/>
        </w:rPr>
        <w:t>八、知识产权产权归属</w:t>
      </w:r>
    </w:p>
    <w:p w14:paraId="0F9CD3D4">
      <w:pPr>
        <w:tabs>
          <w:tab w:val="left" w:pos="900"/>
        </w:tabs>
        <w:ind w:firstLine="482"/>
        <w:rPr>
          <w:rFonts w:ascii="仿宋" w:hAnsi="仿宋" w:eastAsia="仿宋" w:cs="仿宋"/>
          <w:b/>
          <w:color w:val="auto"/>
          <w:highlight w:val="none"/>
        </w:rPr>
      </w:pPr>
      <w:r>
        <w:rPr>
          <w:rFonts w:hint="eastAsia" w:ascii="仿宋" w:hAnsi="仿宋" w:eastAsia="仿宋" w:cs="仿宋"/>
          <w:b/>
          <w:color w:val="auto"/>
          <w:highlight w:val="none"/>
        </w:rPr>
        <w:t>九、保密</w:t>
      </w:r>
    </w:p>
    <w:p w14:paraId="19F539B1">
      <w:pPr>
        <w:tabs>
          <w:tab w:val="left" w:pos="900"/>
        </w:tabs>
        <w:ind w:firstLine="482"/>
        <w:rPr>
          <w:rFonts w:ascii="仿宋" w:hAnsi="仿宋" w:eastAsia="仿宋" w:cs="仿宋"/>
          <w:b/>
          <w:color w:val="auto"/>
          <w:highlight w:val="none"/>
        </w:rPr>
      </w:pPr>
      <w:r>
        <w:rPr>
          <w:rFonts w:hint="eastAsia" w:ascii="仿宋" w:hAnsi="仿宋" w:eastAsia="仿宋" w:cs="仿宋"/>
          <w:b/>
          <w:color w:val="auto"/>
          <w:highlight w:val="none"/>
        </w:rPr>
        <w:t>十、违约责任与赔偿损失</w:t>
      </w:r>
    </w:p>
    <w:p w14:paraId="3F341046">
      <w:pPr>
        <w:tabs>
          <w:tab w:val="left" w:pos="900"/>
        </w:tabs>
        <w:ind w:firstLine="480"/>
        <w:rPr>
          <w:rFonts w:ascii="仿宋" w:hAnsi="仿宋" w:eastAsia="仿宋" w:cs="仿宋"/>
          <w:color w:val="auto"/>
          <w:highlight w:val="none"/>
        </w:rPr>
      </w:pPr>
      <w:r>
        <w:rPr>
          <w:rFonts w:hint="eastAsia" w:ascii="仿宋" w:hAnsi="仿宋" w:eastAsia="仿宋" w:cs="仿宋"/>
          <w:color w:val="auto"/>
          <w:highlight w:val="none"/>
        </w:rPr>
        <w:t>1) 乙方提供的服务不符合采购文件、报价文件或本合同规定的，甲方有权拒收，并且乙方须向甲方方支付本合同总价5%的违约金。</w:t>
      </w:r>
    </w:p>
    <w:p w14:paraId="59D45997">
      <w:pPr>
        <w:tabs>
          <w:tab w:val="left" w:pos="720"/>
          <w:tab w:val="left" w:pos="900"/>
        </w:tabs>
        <w:ind w:right="210" w:firstLine="480"/>
        <w:rPr>
          <w:rFonts w:ascii="仿宋" w:hAnsi="仿宋" w:eastAsia="仿宋" w:cs="仿宋"/>
          <w:color w:val="auto"/>
          <w:highlight w:val="none"/>
        </w:rPr>
      </w:pPr>
      <w:r>
        <w:rPr>
          <w:rFonts w:hint="eastAsia" w:ascii="仿宋" w:hAnsi="仿宋" w:eastAsia="仿宋" w:cs="仿宋"/>
          <w:color w:val="auto"/>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71E4C9AB">
      <w:pPr>
        <w:ind w:firstLine="480"/>
        <w:rPr>
          <w:rFonts w:ascii="仿宋" w:hAnsi="仿宋" w:eastAsia="仿宋" w:cs="仿宋"/>
          <w:color w:val="auto"/>
          <w:highlight w:val="none"/>
        </w:rPr>
      </w:pPr>
      <w:r>
        <w:rPr>
          <w:rFonts w:hint="eastAsia" w:ascii="仿宋" w:hAnsi="仿宋" w:eastAsia="仿宋" w:cs="仿宋"/>
          <w:color w:val="auto"/>
          <w:highlight w:val="none"/>
        </w:rPr>
        <w:t>3) 甲方无正当理由拒收接受服务，到期拒付服务款项的，甲方向乙方偿付本合同总的5%的违约金。甲方人逾期付款，则每日按本合同总价的3‰向乙方偿付违约金。</w:t>
      </w:r>
    </w:p>
    <w:p w14:paraId="0E7E8970">
      <w:pPr>
        <w:ind w:firstLine="480"/>
        <w:rPr>
          <w:rFonts w:ascii="仿宋" w:hAnsi="仿宋" w:eastAsia="仿宋" w:cs="仿宋"/>
          <w:bCs/>
          <w:color w:val="auto"/>
          <w:highlight w:val="none"/>
        </w:rPr>
      </w:pPr>
      <w:r>
        <w:rPr>
          <w:rFonts w:hint="eastAsia" w:ascii="仿宋" w:hAnsi="仿宋" w:eastAsia="仿宋" w:cs="仿宋"/>
          <w:bCs/>
          <w:color w:val="auto"/>
          <w:highlight w:val="none"/>
        </w:rPr>
        <w:t>4) 其它违约责任按《</w:t>
      </w:r>
      <w:r>
        <w:rPr>
          <w:rFonts w:hint="eastAsia" w:ascii="仿宋" w:hAnsi="仿宋" w:eastAsia="仿宋" w:cs="仿宋"/>
          <w:bCs/>
          <w:color w:val="auto"/>
          <w:highlight w:val="none"/>
          <w:lang w:eastAsia="zh-CN"/>
        </w:rPr>
        <w:t>中华人民共和国民法典</w:t>
      </w:r>
      <w:r>
        <w:rPr>
          <w:rFonts w:hint="eastAsia" w:ascii="仿宋" w:hAnsi="仿宋" w:eastAsia="仿宋" w:cs="仿宋"/>
          <w:bCs/>
          <w:color w:val="auto"/>
          <w:highlight w:val="none"/>
        </w:rPr>
        <w:t>》处理。</w:t>
      </w:r>
    </w:p>
    <w:p w14:paraId="2A19725F">
      <w:pPr>
        <w:ind w:firstLine="482"/>
        <w:rPr>
          <w:rFonts w:ascii="仿宋" w:hAnsi="仿宋" w:eastAsia="仿宋" w:cs="仿宋"/>
          <w:b/>
          <w:color w:val="auto"/>
          <w:highlight w:val="none"/>
        </w:rPr>
      </w:pPr>
      <w:r>
        <w:rPr>
          <w:rFonts w:hint="eastAsia" w:ascii="仿宋" w:hAnsi="仿宋" w:eastAsia="仿宋" w:cs="仿宋"/>
          <w:b/>
          <w:color w:val="auto"/>
          <w:highlight w:val="none"/>
        </w:rPr>
        <w:t>十一、争端的解决</w:t>
      </w:r>
    </w:p>
    <w:p w14:paraId="5909A113">
      <w:pPr>
        <w:ind w:firstLine="480"/>
        <w:rPr>
          <w:rFonts w:ascii="仿宋" w:hAnsi="仿宋" w:eastAsia="仿宋" w:cs="仿宋"/>
          <w:color w:val="auto"/>
          <w:highlight w:val="none"/>
        </w:rPr>
      </w:pPr>
      <w:r>
        <w:rPr>
          <w:rFonts w:hint="eastAsia" w:ascii="仿宋" w:hAnsi="仿宋" w:eastAsia="仿宋" w:cs="仿宋"/>
          <w:color w:val="auto"/>
          <w:highlight w:val="none"/>
        </w:rPr>
        <w:t>1)合同执行过程中发生的任何争议，如双方不能通过友好协商解决，按相关法律法规处理。</w:t>
      </w:r>
    </w:p>
    <w:p w14:paraId="39704EA6">
      <w:pPr>
        <w:ind w:firstLine="480"/>
        <w:rPr>
          <w:rFonts w:ascii="仿宋" w:hAnsi="仿宋" w:eastAsia="仿宋" w:cs="仿宋"/>
          <w:color w:val="auto"/>
          <w:highlight w:val="none"/>
        </w:rPr>
      </w:pPr>
      <w:r>
        <w:rPr>
          <w:rFonts w:hint="eastAsia" w:ascii="仿宋" w:hAnsi="仿宋" w:eastAsia="仿宋" w:cs="仿宋"/>
          <w:color w:val="auto"/>
          <w:highlight w:val="none"/>
        </w:rPr>
        <w:t>2）……</w:t>
      </w:r>
    </w:p>
    <w:p w14:paraId="6B132110">
      <w:pPr>
        <w:ind w:firstLine="482"/>
        <w:rPr>
          <w:rFonts w:ascii="仿宋" w:hAnsi="仿宋" w:eastAsia="仿宋" w:cs="仿宋"/>
          <w:color w:val="auto"/>
          <w:highlight w:val="none"/>
        </w:rPr>
      </w:pPr>
      <w:r>
        <w:rPr>
          <w:rFonts w:hint="eastAsia" w:ascii="仿宋" w:hAnsi="仿宋" w:eastAsia="仿宋" w:cs="仿宋"/>
          <w:b/>
          <w:color w:val="auto"/>
          <w:highlight w:val="none"/>
        </w:rPr>
        <w:t>十二、不可抗力：</w:t>
      </w:r>
      <w:r>
        <w:rPr>
          <w:rFonts w:hint="eastAsia" w:ascii="仿宋" w:hAnsi="仿宋" w:eastAsia="仿宋" w:cs="仿宋"/>
          <w:color w:val="auto"/>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32650FE">
      <w:pPr>
        <w:ind w:firstLine="482"/>
        <w:rPr>
          <w:rFonts w:ascii="仿宋" w:hAnsi="仿宋" w:eastAsia="仿宋" w:cs="仿宋"/>
          <w:color w:val="auto"/>
          <w:highlight w:val="none"/>
        </w:rPr>
      </w:pPr>
      <w:r>
        <w:rPr>
          <w:rFonts w:hint="eastAsia" w:ascii="仿宋" w:hAnsi="仿宋" w:eastAsia="仿宋" w:cs="仿宋"/>
          <w:b/>
          <w:color w:val="auto"/>
          <w:highlight w:val="none"/>
        </w:rPr>
        <w:t>十三、税费：</w:t>
      </w:r>
      <w:r>
        <w:rPr>
          <w:rFonts w:hint="eastAsia" w:ascii="仿宋" w:hAnsi="仿宋" w:eastAsia="仿宋" w:cs="仿宋"/>
          <w:color w:val="auto"/>
          <w:highlight w:val="none"/>
        </w:rPr>
        <w:t>在中国境内、外发生的与本合同执行有关的一切税费均由乙方负担。</w:t>
      </w:r>
    </w:p>
    <w:p w14:paraId="185783EC">
      <w:pPr>
        <w:ind w:firstLine="482"/>
        <w:rPr>
          <w:rFonts w:ascii="仿宋" w:hAnsi="仿宋" w:eastAsia="仿宋" w:cs="仿宋"/>
          <w:b/>
          <w:color w:val="auto"/>
          <w:highlight w:val="none"/>
        </w:rPr>
      </w:pPr>
      <w:r>
        <w:rPr>
          <w:rFonts w:hint="eastAsia" w:ascii="仿宋" w:hAnsi="仿宋" w:eastAsia="仿宋" w:cs="仿宋"/>
          <w:b/>
          <w:color w:val="auto"/>
          <w:highlight w:val="none"/>
        </w:rPr>
        <w:t>十四、其它</w:t>
      </w:r>
    </w:p>
    <w:p w14:paraId="75FEC1C6">
      <w:pPr>
        <w:ind w:firstLine="480"/>
        <w:rPr>
          <w:rFonts w:ascii="仿宋" w:hAnsi="仿宋" w:eastAsia="仿宋" w:cs="仿宋"/>
          <w:b/>
          <w:color w:val="auto"/>
          <w:highlight w:val="none"/>
        </w:rPr>
      </w:pPr>
      <w:r>
        <w:rPr>
          <w:rFonts w:hint="eastAsia" w:ascii="仿宋" w:hAnsi="仿宋" w:eastAsia="仿宋" w:cs="仿宋"/>
          <w:color w:val="auto"/>
          <w:highlight w:val="none"/>
        </w:rPr>
        <w:t>1) 本合同所有附件、采购文件、竞争性磋商响应文件、中标通知书通知书均为合同的有效组成部分，与本合同具有同等法律效力。</w:t>
      </w:r>
    </w:p>
    <w:p w14:paraId="2F2F8E60">
      <w:pPr>
        <w:ind w:firstLine="480"/>
        <w:rPr>
          <w:rFonts w:ascii="仿宋" w:hAnsi="仿宋" w:eastAsia="仿宋" w:cs="仿宋"/>
          <w:color w:val="auto"/>
          <w:highlight w:val="none"/>
        </w:rPr>
      </w:pPr>
      <w:r>
        <w:rPr>
          <w:rFonts w:hint="eastAsia" w:ascii="仿宋" w:hAnsi="仿宋" w:eastAsia="仿宋" w:cs="仿宋"/>
          <w:bCs/>
          <w:color w:val="auto"/>
          <w:highlight w:val="none"/>
        </w:rPr>
        <w:t xml:space="preserve">2) </w:t>
      </w:r>
      <w:r>
        <w:rPr>
          <w:rFonts w:hint="eastAsia" w:ascii="仿宋" w:hAnsi="仿宋" w:eastAsia="仿宋" w:cs="仿宋"/>
          <w:color w:val="auto"/>
          <w:highlight w:val="none"/>
        </w:rPr>
        <w:t>在执行本合同的过程中，所有经双方签署确认的文件（包括会议纪要、补充协议、往来信函）即成为本合同的有效组成部分。</w:t>
      </w:r>
    </w:p>
    <w:p w14:paraId="653852C8">
      <w:pPr>
        <w:ind w:firstLine="480"/>
        <w:rPr>
          <w:rFonts w:ascii="仿宋" w:hAnsi="仿宋" w:eastAsia="仿宋" w:cs="仿宋"/>
          <w:color w:val="auto"/>
          <w:highlight w:val="none"/>
        </w:rPr>
      </w:pPr>
      <w:r>
        <w:rPr>
          <w:rFonts w:hint="eastAsia" w:ascii="仿宋" w:hAnsi="仿宋" w:eastAsia="仿宋" w:cs="仿宋"/>
          <w:color w:val="auto"/>
          <w:highlight w:val="none"/>
        </w:rPr>
        <w:t xml:space="preserve">3) 如一方地址、电话、传真号码有变更，应在变更当日内书面通知对方，否则，应承担相应责任。 </w:t>
      </w:r>
    </w:p>
    <w:p w14:paraId="447C4E8C">
      <w:pPr>
        <w:ind w:firstLine="480"/>
        <w:rPr>
          <w:rFonts w:ascii="仿宋" w:hAnsi="仿宋" w:eastAsia="仿宋" w:cs="仿宋"/>
          <w:color w:val="auto"/>
          <w:highlight w:val="none"/>
        </w:rPr>
      </w:pPr>
      <w:r>
        <w:rPr>
          <w:rFonts w:hint="eastAsia" w:ascii="仿宋" w:hAnsi="仿宋" w:eastAsia="仿宋" w:cs="仿宋"/>
          <w:color w:val="auto"/>
          <w:highlight w:val="none"/>
        </w:rPr>
        <w:t>4) 除甲方事先书面同意外，乙方不得部分或全部转让其应履行的合同项下的义务。</w:t>
      </w:r>
    </w:p>
    <w:p w14:paraId="7DE41B97">
      <w:pPr>
        <w:ind w:firstLine="482"/>
        <w:rPr>
          <w:rFonts w:ascii="仿宋" w:hAnsi="仿宋" w:eastAsia="仿宋" w:cs="仿宋"/>
          <w:b/>
          <w:color w:val="auto"/>
          <w:highlight w:val="none"/>
        </w:rPr>
      </w:pPr>
      <w:r>
        <w:rPr>
          <w:rFonts w:hint="eastAsia" w:ascii="仿宋" w:hAnsi="仿宋" w:eastAsia="仿宋" w:cs="仿宋"/>
          <w:b/>
          <w:color w:val="auto"/>
          <w:highlight w:val="none"/>
        </w:rPr>
        <w:t>十五、合同生效：</w:t>
      </w:r>
    </w:p>
    <w:p w14:paraId="71535299">
      <w:pPr>
        <w:ind w:firstLine="480"/>
        <w:rPr>
          <w:rFonts w:ascii="仿宋" w:hAnsi="仿宋" w:eastAsia="仿宋" w:cs="仿宋"/>
          <w:color w:val="auto"/>
          <w:highlight w:val="none"/>
        </w:rPr>
      </w:pPr>
      <w:r>
        <w:rPr>
          <w:rFonts w:hint="eastAsia" w:ascii="仿宋" w:hAnsi="仿宋" w:eastAsia="仿宋" w:cs="仿宋"/>
          <w:color w:val="auto"/>
          <w:highlight w:val="none"/>
        </w:rPr>
        <w:t>1）本合同在甲乙双方法人代表或其授权代表签字盖章后生效。</w:t>
      </w:r>
    </w:p>
    <w:p w14:paraId="61CC1603">
      <w:pPr>
        <w:ind w:firstLine="480"/>
        <w:rPr>
          <w:rFonts w:ascii="仿宋" w:hAnsi="仿宋" w:eastAsia="仿宋" w:cs="仿宋"/>
          <w:color w:val="auto"/>
          <w:highlight w:val="none"/>
        </w:rPr>
      </w:pPr>
      <w:r>
        <w:rPr>
          <w:rFonts w:hint="eastAsia" w:ascii="仿宋" w:hAnsi="仿宋" w:eastAsia="仿宋" w:cs="仿宋"/>
          <w:color w:val="auto"/>
          <w:highlight w:val="none"/>
        </w:rPr>
        <w:t>2）合同一式</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份。</w:t>
      </w:r>
    </w:p>
    <w:p w14:paraId="05F4B29F">
      <w:pPr>
        <w:ind w:firstLine="480"/>
        <w:rPr>
          <w:rFonts w:ascii="仿宋" w:hAnsi="仿宋" w:eastAsia="仿宋" w:cs="仿宋"/>
          <w:color w:val="auto"/>
          <w:highlight w:val="none"/>
        </w:rPr>
      </w:pPr>
      <w:r>
        <w:rPr>
          <w:rFonts w:hint="eastAsia" w:ascii="仿宋" w:hAnsi="仿宋" w:eastAsia="仿宋" w:cs="仿宋"/>
          <w:color w:val="auto"/>
          <w:highlight w:val="none"/>
        </w:rPr>
        <w:t>3）同执行中涉及招标资金和招标内容修改或补充的，须经当地财政部门审批，并签订书面补充协议报监督管理部门备案，方可作为主合同不可分割的一部分。</w:t>
      </w:r>
    </w:p>
    <w:p w14:paraId="11B07EB5">
      <w:pPr>
        <w:spacing w:line="340" w:lineRule="exact"/>
        <w:ind w:firstLine="482"/>
        <w:rPr>
          <w:rFonts w:ascii="仿宋" w:hAnsi="仿宋" w:eastAsia="仿宋" w:cs="仿宋"/>
          <w:b/>
          <w:color w:val="auto"/>
          <w:highlight w:val="none"/>
        </w:rPr>
      </w:pPr>
    </w:p>
    <w:p w14:paraId="13A32D98">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甲方：                                   乙方： </w:t>
      </w:r>
    </w:p>
    <w:p w14:paraId="14CEBD24">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地址：                                   地址： </w:t>
      </w:r>
    </w:p>
    <w:p w14:paraId="43B32124">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法定代表人：                             法定代表人：</w:t>
      </w:r>
    </w:p>
    <w:p w14:paraId="00A6A9C2">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授权委托代理人：                         授权委托代理人：</w:t>
      </w:r>
    </w:p>
    <w:p w14:paraId="22851233">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电话：                                   电话：   </w:t>
      </w:r>
    </w:p>
    <w:p w14:paraId="5EC2EFDD">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传真：                                   传真：</w:t>
      </w:r>
    </w:p>
    <w:p w14:paraId="66415BEE">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邮政编码：                               邮政编码：</w:t>
      </w:r>
    </w:p>
    <w:p w14:paraId="7F39F19E">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                                           开户银行：</w:t>
      </w:r>
    </w:p>
    <w:p w14:paraId="059F53C9">
      <w:pPr>
        <w:pStyle w:val="15"/>
        <w:spacing w:before="240" w:beforeLines="100" w:after="120" w:afterLines="50"/>
        <w:ind w:firstLine="482"/>
        <w:rPr>
          <w:rFonts w:ascii="仿宋" w:hAnsi="仿宋" w:eastAsia="仿宋" w:cs="仿宋"/>
          <w:b/>
          <w:color w:val="auto"/>
          <w:szCs w:val="24"/>
          <w:highlight w:val="none"/>
        </w:rPr>
      </w:pPr>
      <w:r>
        <w:rPr>
          <w:rFonts w:hint="eastAsia" w:ascii="仿宋" w:hAnsi="仿宋" w:eastAsia="仿宋" w:cs="仿宋"/>
          <w:b/>
          <w:color w:val="auto"/>
          <w:szCs w:val="24"/>
          <w:highlight w:val="none"/>
        </w:rPr>
        <w:t xml:space="preserve">                                           账号：</w:t>
      </w:r>
    </w:p>
    <w:p w14:paraId="3380D3C6">
      <w:pPr>
        <w:pStyle w:val="15"/>
        <w:spacing w:before="240" w:beforeLines="100" w:after="120" w:afterLines="50"/>
        <w:ind w:firstLine="480"/>
        <w:rPr>
          <w:rFonts w:ascii="仿宋" w:hAnsi="仿宋" w:eastAsia="仿宋" w:cs="仿宋"/>
          <w:color w:val="auto"/>
          <w:szCs w:val="24"/>
          <w:highlight w:val="none"/>
        </w:rPr>
      </w:pPr>
    </w:p>
    <w:p w14:paraId="7F543662">
      <w:pPr>
        <w:spacing w:line="340" w:lineRule="exact"/>
        <w:ind w:firstLine="480"/>
        <w:rPr>
          <w:rFonts w:ascii="仿宋" w:hAnsi="仿宋" w:eastAsia="仿宋" w:cs="仿宋"/>
          <w:color w:val="auto"/>
          <w:highlight w:val="none"/>
        </w:rPr>
      </w:pPr>
      <w:r>
        <w:rPr>
          <w:rFonts w:hint="eastAsia" w:ascii="仿宋" w:hAnsi="仿宋" w:eastAsia="仿宋" w:cs="仿宋"/>
          <w:color w:val="auto"/>
          <w:highlight w:val="none"/>
        </w:rPr>
        <w:t>签订地点：                               签订日期：      年  月  日</w:t>
      </w:r>
    </w:p>
    <w:p w14:paraId="6BECD659">
      <w:pPr>
        <w:adjustRightInd w:val="0"/>
        <w:snapToGrid w:val="0"/>
        <w:ind w:firstLine="482"/>
        <w:rPr>
          <w:rFonts w:ascii="仿宋" w:hAnsi="仿宋" w:eastAsia="仿宋" w:cs="仿宋"/>
          <w:b/>
          <w:color w:val="auto"/>
          <w:highlight w:val="none"/>
        </w:rPr>
      </w:pPr>
    </w:p>
    <w:p w14:paraId="630CD7E2">
      <w:pPr>
        <w:pStyle w:val="15"/>
        <w:spacing w:before="240" w:beforeLines="100" w:after="120" w:afterLines="50"/>
        <w:ind w:firstLine="442"/>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 w:val="22"/>
          <w:szCs w:val="22"/>
          <w:highlight w:val="none"/>
        </w:rPr>
        <w:t>注意事项：</w:t>
      </w:r>
      <w:r>
        <w:rPr>
          <w:rFonts w:hint="eastAsia" w:asciiTheme="minorEastAsia" w:hAnsiTheme="minorEastAsia" w:eastAsiaTheme="minorEastAsia" w:cstheme="minorEastAsia"/>
          <w:b/>
          <w:color w:val="auto"/>
          <w:sz w:val="22"/>
          <w:szCs w:val="22"/>
          <w:highlight w:val="none"/>
          <w:lang w:val="en-US" w:eastAsia="zh-CN"/>
        </w:rPr>
        <w:t>合同仅供参考。</w:t>
      </w:r>
      <w:r>
        <w:rPr>
          <w:rFonts w:hint="eastAsia" w:asciiTheme="minorEastAsia" w:hAnsiTheme="minorEastAsia" w:eastAsiaTheme="minorEastAsia" w:cstheme="minorEastAsia"/>
          <w:b/>
          <w:color w:val="auto"/>
          <w:sz w:val="22"/>
          <w:szCs w:val="22"/>
          <w:highlight w:val="none"/>
        </w:rPr>
        <w:t>本合同条款未尽事宜，由甲乙双方以补充合同约定，原则上不能超越和违背招标及补充文件、竞争性磋商响应文件及投标有关承诺的范围及内容。</w:t>
      </w:r>
    </w:p>
    <w:p w14:paraId="348B4EA3">
      <w:pPr>
        <w:pStyle w:val="15"/>
        <w:spacing w:before="240" w:beforeLines="100" w:after="120" w:afterLines="50"/>
        <w:ind w:firstLine="562"/>
        <w:rPr>
          <w:rFonts w:asciiTheme="minorEastAsia" w:hAnsiTheme="minorEastAsia" w:eastAsiaTheme="minorEastAsia" w:cstheme="minorEastAsia"/>
          <w:b/>
          <w:color w:val="auto"/>
          <w:sz w:val="28"/>
          <w:szCs w:val="28"/>
          <w:highlight w:val="none"/>
        </w:rPr>
      </w:pPr>
    </w:p>
    <w:p w14:paraId="323C23E2">
      <w:pPr>
        <w:pStyle w:val="4"/>
        <w:jc w:val="both"/>
        <w:rPr>
          <w:rFonts w:ascii="仿宋" w:hAnsi="仿宋" w:eastAsia="仿宋" w:cstheme="minorEastAsia"/>
          <w:color w:val="auto"/>
          <w:sz w:val="44"/>
          <w:highlight w:val="none"/>
        </w:rPr>
      </w:pPr>
      <w:bookmarkStart w:id="72" w:name="_Toc407182488"/>
      <w:bookmarkStart w:id="73" w:name="_Toc407169895"/>
      <w:bookmarkStart w:id="74" w:name="_Toc407182687"/>
      <w:bookmarkStart w:id="75" w:name="_Toc2744"/>
      <w:bookmarkStart w:id="76" w:name="_Toc32316"/>
    </w:p>
    <w:p w14:paraId="79AF7AB2">
      <w:pPr>
        <w:rPr>
          <w:rFonts w:ascii="仿宋" w:hAnsi="仿宋" w:eastAsia="仿宋" w:cstheme="minorEastAsia"/>
          <w:color w:val="auto"/>
          <w:sz w:val="44"/>
          <w:highlight w:val="none"/>
        </w:rPr>
      </w:pPr>
    </w:p>
    <w:p w14:paraId="1BA56050">
      <w:pPr>
        <w:pStyle w:val="15"/>
        <w:rPr>
          <w:rFonts w:ascii="仿宋" w:hAnsi="仿宋" w:eastAsia="仿宋" w:cstheme="minorEastAsia"/>
          <w:color w:val="auto"/>
          <w:sz w:val="44"/>
          <w:highlight w:val="none"/>
        </w:rPr>
      </w:pPr>
    </w:p>
    <w:p w14:paraId="39658C83">
      <w:pPr>
        <w:pStyle w:val="15"/>
        <w:rPr>
          <w:rFonts w:ascii="仿宋" w:hAnsi="仿宋" w:eastAsia="仿宋" w:cstheme="minorEastAsia"/>
          <w:color w:val="auto"/>
          <w:sz w:val="44"/>
          <w:highlight w:val="none"/>
        </w:rPr>
      </w:pPr>
    </w:p>
    <w:p w14:paraId="5C33D168">
      <w:pPr>
        <w:pStyle w:val="15"/>
        <w:rPr>
          <w:rFonts w:ascii="仿宋" w:hAnsi="仿宋" w:eastAsia="仿宋" w:cstheme="minorEastAsia"/>
          <w:color w:val="auto"/>
          <w:sz w:val="44"/>
          <w:highlight w:val="none"/>
        </w:rPr>
      </w:pPr>
    </w:p>
    <w:p w14:paraId="2D84E920">
      <w:pPr>
        <w:ind w:firstLine="480"/>
        <w:rPr>
          <w:color w:val="auto"/>
          <w:highlight w:val="none"/>
        </w:rPr>
      </w:pPr>
    </w:p>
    <w:p w14:paraId="770100E8">
      <w:pPr>
        <w:pStyle w:val="4"/>
        <w:rPr>
          <w:rFonts w:ascii="仿宋" w:hAnsi="仿宋" w:eastAsia="仿宋" w:cstheme="minorEastAsia"/>
          <w:color w:val="auto"/>
          <w:highlight w:val="none"/>
        </w:rPr>
      </w:pPr>
      <w:bookmarkStart w:id="77" w:name="_Toc14555"/>
      <w:r>
        <w:rPr>
          <w:rFonts w:hint="eastAsia" w:ascii="仿宋" w:hAnsi="仿宋" w:eastAsia="仿宋" w:cstheme="minorEastAsia"/>
          <w:color w:val="auto"/>
          <w:sz w:val="44"/>
          <w:highlight w:val="none"/>
        </w:rPr>
        <w:t>第三部分 响应文件</w:t>
      </w:r>
      <w:bookmarkEnd w:id="72"/>
      <w:bookmarkEnd w:id="73"/>
      <w:bookmarkEnd w:id="74"/>
      <w:r>
        <w:rPr>
          <w:rFonts w:hint="eastAsia" w:ascii="仿宋" w:hAnsi="仿宋" w:eastAsia="仿宋" w:cstheme="minorEastAsia"/>
          <w:color w:val="auto"/>
          <w:sz w:val="44"/>
          <w:highlight w:val="none"/>
        </w:rPr>
        <w:t>编制规范</w:t>
      </w:r>
      <w:bookmarkEnd w:id="75"/>
      <w:bookmarkEnd w:id="76"/>
      <w:bookmarkEnd w:id="77"/>
    </w:p>
    <w:p w14:paraId="02D4FFE5">
      <w:pPr>
        <w:pStyle w:val="5"/>
        <w:spacing w:before="120" w:after="120"/>
        <w:rPr>
          <w:rFonts w:ascii="仿宋" w:hAnsi="仿宋" w:eastAsia="仿宋" w:cstheme="minorEastAsia"/>
          <w:color w:val="auto"/>
          <w:sz w:val="30"/>
          <w:szCs w:val="30"/>
          <w:highlight w:val="none"/>
        </w:rPr>
      </w:pPr>
      <w:bookmarkStart w:id="78" w:name="_Toc25392"/>
      <w:bookmarkStart w:id="79" w:name="_Toc407182688"/>
      <w:bookmarkStart w:id="80" w:name="_Toc407169896"/>
      <w:r>
        <w:rPr>
          <w:rFonts w:hint="eastAsia" w:ascii="仿宋" w:hAnsi="仿宋" w:eastAsia="仿宋" w:cstheme="minorEastAsia"/>
          <w:color w:val="auto"/>
          <w:sz w:val="30"/>
          <w:szCs w:val="30"/>
          <w:highlight w:val="none"/>
        </w:rPr>
        <w:t>第六章 响应文件的编制</w:t>
      </w:r>
      <w:bookmarkEnd w:id="78"/>
      <w:bookmarkEnd w:id="79"/>
      <w:bookmarkEnd w:id="80"/>
    </w:p>
    <w:p w14:paraId="5AB74494">
      <w:pPr>
        <w:pStyle w:val="6"/>
        <w:spacing w:before="240" w:after="240"/>
        <w:rPr>
          <w:rFonts w:ascii="仿宋" w:hAnsi="仿宋" w:eastAsia="仿宋" w:cstheme="minorEastAsia"/>
          <w:color w:val="auto"/>
          <w:highlight w:val="none"/>
        </w:rPr>
      </w:pPr>
      <w:bookmarkStart w:id="81" w:name="_Toc14741"/>
      <w:bookmarkStart w:id="82" w:name="_Toc407182689"/>
      <w:r>
        <w:rPr>
          <w:rFonts w:hint="eastAsia" w:ascii="仿宋" w:hAnsi="仿宋" w:eastAsia="仿宋" w:cstheme="minorEastAsia"/>
          <w:color w:val="auto"/>
          <w:sz w:val="30"/>
          <w:szCs w:val="30"/>
          <w:highlight w:val="none"/>
        </w:rPr>
        <w:t>第一节 编制要求</w:t>
      </w:r>
      <w:bookmarkEnd w:id="81"/>
      <w:bookmarkEnd w:id="82"/>
    </w:p>
    <w:p w14:paraId="3749C6B6">
      <w:pPr>
        <w:ind w:firstLine="0" w:firstLineChars="0"/>
        <w:rPr>
          <w:rStyle w:val="30"/>
          <w:rFonts w:ascii="仿宋" w:hAnsi="仿宋" w:eastAsia="仿宋" w:cs="宋体"/>
          <w:color w:val="auto"/>
          <w:highlight w:val="none"/>
        </w:rPr>
      </w:pPr>
      <w:r>
        <w:rPr>
          <w:rStyle w:val="30"/>
          <w:rFonts w:hint="eastAsia" w:ascii="仿宋" w:hAnsi="仿宋" w:eastAsia="仿宋" w:cs="宋体"/>
          <w:color w:val="auto"/>
          <w:highlight w:val="none"/>
        </w:rPr>
        <w:t>一、格式</w:t>
      </w:r>
    </w:p>
    <w:p w14:paraId="3088A980">
      <w:pPr>
        <w:ind w:firstLine="480"/>
        <w:rPr>
          <w:rFonts w:ascii="仿宋" w:hAnsi="仿宋" w:eastAsia="仿宋" w:cs="宋体"/>
          <w:color w:val="auto"/>
          <w:highlight w:val="none"/>
        </w:rPr>
      </w:pPr>
      <w:r>
        <w:rPr>
          <w:rFonts w:hint="eastAsia" w:ascii="仿宋" w:hAnsi="仿宋" w:eastAsia="仿宋" w:cs="宋体"/>
          <w:color w:val="auto"/>
          <w:highlight w:val="none"/>
        </w:rPr>
        <w:t>1.响应文件及与投标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14:paraId="2E63080E">
      <w:pPr>
        <w:ind w:firstLine="480"/>
        <w:rPr>
          <w:rFonts w:ascii="仿宋" w:hAnsi="仿宋" w:eastAsia="仿宋" w:cs="宋体"/>
          <w:color w:val="auto"/>
          <w:highlight w:val="none"/>
        </w:rPr>
      </w:pPr>
      <w:r>
        <w:rPr>
          <w:rFonts w:hint="eastAsia" w:ascii="仿宋" w:hAnsi="仿宋" w:eastAsia="仿宋" w:cs="宋体"/>
          <w:color w:val="auto"/>
          <w:highlight w:val="none"/>
        </w:rPr>
        <w:t>2.响应文件中所使用的计量单位，除采购文件有要求的外，均使用国家法定计量单位。</w:t>
      </w:r>
    </w:p>
    <w:p w14:paraId="3674A650">
      <w:pPr>
        <w:ind w:firstLine="480"/>
        <w:rPr>
          <w:rFonts w:ascii="仿宋" w:hAnsi="仿宋" w:eastAsia="仿宋" w:cs="宋体"/>
          <w:color w:val="auto"/>
          <w:highlight w:val="none"/>
        </w:rPr>
      </w:pPr>
      <w:r>
        <w:rPr>
          <w:rFonts w:hint="eastAsia" w:ascii="仿宋" w:hAnsi="仿宋" w:eastAsia="仿宋" w:cs="宋体"/>
          <w:color w:val="auto"/>
          <w:highlight w:val="none"/>
        </w:rPr>
        <w:t>3.响应文件中的图片资料、复印件（扫描件）等应清晰可见。内容不得倒置、歪斜，由于响应文件不清晰或不利于阅读所造成的后果，由供应商自行负责。</w:t>
      </w:r>
    </w:p>
    <w:p w14:paraId="23DF1315">
      <w:pPr>
        <w:ind w:firstLine="480"/>
        <w:rPr>
          <w:rFonts w:ascii="仿宋" w:hAnsi="仿宋" w:eastAsia="仿宋" w:cs="宋体"/>
          <w:color w:val="auto"/>
          <w:highlight w:val="none"/>
        </w:rPr>
      </w:pPr>
      <w:r>
        <w:rPr>
          <w:rFonts w:hint="eastAsia" w:ascii="仿宋" w:hAnsi="仿宋" w:eastAsia="仿宋" w:cs="宋体"/>
          <w:color w:val="auto"/>
          <w:highlight w:val="none"/>
        </w:rPr>
        <w:t>4.除法定代表人或法人授权代表签字或响应文件页码标注可以手写外，其余所有响应文件内容须采用打印字体，禁止手写。</w:t>
      </w:r>
    </w:p>
    <w:p w14:paraId="734E06C9">
      <w:pPr>
        <w:ind w:firstLine="480"/>
        <w:rPr>
          <w:rFonts w:ascii="仿宋" w:hAnsi="仿宋" w:eastAsia="仿宋" w:cs="宋体"/>
          <w:color w:val="auto"/>
          <w:highlight w:val="none"/>
        </w:rPr>
      </w:pPr>
      <w:r>
        <w:rPr>
          <w:rFonts w:hint="eastAsia" w:ascii="仿宋" w:hAnsi="仿宋" w:eastAsia="仿宋" w:cs="宋体"/>
          <w:color w:val="auto"/>
          <w:highlight w:val="none"/>
        </w:rPr>
        <w:t>5.响应文件应按采购文件提供的响应文件格式范本填写，采购文件中未提供格式范本的，由供应商自行编制。</w:t>
      </w:r>
    </w:p>
    <w:p w14:paraId="7F0CF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6、供应商须使用贵州省公共资源交易中心政府采购投标文件编制工具进行编制。 </w:t>
      </w:r>
    </w:p>
    <w:p w14:paraId="7F4C0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二、签署</w:t>
      </w:r>
    </w:p>
    <w:p w14:paraId="737E8AD6">
      <w:pPr>
        <w:keepNext w:val="0"/>
        <w:keepLines w:val="0"/>
        <w:widowControl/>
        <w:suppressLineNumbers w:val="0"/>
        <w:jc w:val="left"/>
        <w:rPr>
          <w:rFonts w:hint="eastAsia" w:ascii="仿宋" w:hAnsi="仿宋" w:eastAsia="仿宋" w:cs="仿宋"/>
          <w:b/>
          <w:bCs/>
          <w:color w:val="auto"/>
          <w:kern w:val="0"/>
          <w:sz w:val="24"/>
          <w:szCs w:val="24"/>
          <w:lang w:val="en-US" w:eastAsia="zh-CN" w:bidi="ar"/>
        </w:rPr>
      </w:pPr>
      <w:r>
        <w:rPr>
          <w:rFonts w:hint="eastAsia" w:ascii="仿宋" w:hAnsi="仿宋" w:eastAsia="仿宋" w:cs="仿宋"/>
          <w:color w:val="auto"/>
          <w:kern w:val="0"/>
          <w:sz w:val="24"/>
          <w:szCs w:val="24"/>
          <w:highlight w:val="none"/>
          <w:lang w:val="en-US" w:eastAsia="zh-CN" w:bidi="ar"/>
        </w:rPr>
        <w:t>上传交易中心的电子投标文件须签字或盖章齐全</w:t>
      </w:r>
      <w:r>
        <w:rPr>
          <w:rFonts w:hint="eastAsia" w:ascii="仿宋" w:hAnsi="仿宋" w:eastAsia="仿宋" w:cs="仿宋"/>
          <w:b/>
          <w:bCs/>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 xml:space="preserve"> </w:t>
      </w:r>
    </w:p>
    <w:p w14:paraId="192A410E">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b/>
          <w:bCs/>
          <w:color w:val="auto"/>
          <w:kern w:val="0"/>
          <w:sz w:val="24"/>
          <w:szCs w:val="24"/>
          <w:lang w:val="en-US" w:eastAsia="zh-CN" w:bidi="ar"/>
        </w:rPr>
        <w:t>注：本项目全部执行电子化交易，详见“关于省公共资源交易平台采购交易系统电子标功能升级上线的通知”。</w:t>
      </w:r>
    </w:p>
    <w:p w14:paraId="50F53FD1">
      <w:pPr>
        <w:ind w:firstLine="480"/>
        <w:rPr>
          <w:rFonts w:ascii="仿宋" w:hAnsi="仿宋" w:eastAsia="仿宋" w:cstheme="minorEastAsia"/>
          <w:color w:val="auto"/>
          <w:highlight w:val="none"/>
        </w:rPr>
      </w:pPr>
    </w:p>
    <w:p w14:paraId="0BEBEFFE">
      <w:pPr>
        <w:ind w:firstLine="480"/>
        <w:rPr>
          <w:rFonts w:ascii="仿宋" w:hAnsi="仿宋" w:eastAsia="仿宋" w:cstheme="minorEastAsia"/>
          <w:color w:val="auto"/>
          <w:highlight w:val="none"/>
        </w:rPr>
      </w:pPr>
    </w:p>
    <w:p w14:paraId="0D5B2208">
      <w:pPr>
        <w:ind w:firstLine="600"/>
        <w:rPr>
          <w:rFonts w:ascii="仿宋" w:hAnsi="仿宋" w:eastAsia="仿宋" w:cstheme="minorEastAsia"/>
          <w:color w:val="auto"/>
          <w:sz w:val="30"/>
          <w:szCs w:val="30"/>
          <w:highlight w:val="none"/>
        </w:rPr>
      </w:pPr>
      <w:bookmarkStart w:id="83" w:name="_Toc425163108"/>
      <w:r>
        <w:rPr>
          <w:rFonts w:hint="eastAsia" w:ascii="仿宋" w:hAnsi="仿宋" w:eastAsia="仿宋" w:cstheme="minorEastAsia"/>
          <w:color w:val="auto"/>
          <w:sz w:val="30"/>
          <w:szCs w:val="30"/>
          <w:highlight w:val="none"/>
        </w:rPr>
        <w:br w:type="page"/>
      </w:r>
    </w:p>
    <w:p w14:paraId="407D3C64">
      <w:pPr>
        <w:pStyle w:val="6"/>
        <w:spacing w:before="240" w:after="240"/>
        <w:rPr>
          <w:rFonts w:ascii="仿宋" w:hAnsi="仿宋" w:eastAsia="仿宋" w:cstheme="minorEastAsia"/>
          <w:color w:val="auto"/>
          <w:highlight w:val="none"/>
        </w:rPr>
      </w:pPr>
      <w:bookmarkStart w:id="84" w:name="_Toc27365"/>
      <w:r>
        <w:rPr>
          <w:rFonts w:hint="eastAsia" w:ascii="仿宋" w:hAnsi="仿宋" w:eastAsia="仿宋" w:cstheme="minorEastAsia"/>
          <w:color w:val="auto"/>
          <w:sz w:val="30"/>
          <w:szCs w:val="30"/>
          <w:highlight w:val="none"/>
        </w:rPr>
        <w:t>第二节 响应文件组成</w:t>
      </w:r>
      <w:bookmarkEnd w:id="83"/>
      <w:bookmarkEnd w:id="84"/>
    </w:p>
    <w:p w14:paraId="1B7A6733">
      <w:pPr>
        <w:ind w:firstLine="426" w:firstLineChars="0"/>
        <w:jc w:val="both"/>
        <w:rPr>
          <w:rFonts w:ascii="仿宋" w:hAnsi="仿宋" w:eastAsia="仿宋" w:cstheme="minorEastAsia"/>
          <w:color w:val="auto"/>
          <w:highlight w:val="none"/>
        </w:rPr>
      </w:pPr>
      <w:r>
        <w:rPr>
          <w:rFonts w:hint="eastAsia" w:ascii="仿宋" w:hAnsi="仿宋" w:eastAsia="仿宋" w:cstheme="minorEastAsia"/>
          <w:color w:val="auto"/>
          <w:highlight w:val="none"/>
        </w:rPr>
        <w:t>具体详见磋商响应文件格式文本。</w:t>
      </w:r>
    </w:p>
    <w:p w14:paraId="734F8648">
      <w:pPr>
        <w:ind w:firstLine="480"/>
        <w:rPr>
          <w:rFonts w:ascii="仿宋" w:hAnsi="仿宋" w:eastAsia="仿宋" w:cstheme="minorEastAsia"/>
          <w:color w:val="auto"/>
          <w:highlight w:val="none"/>
        </w:rPr>
      </w:pPr>
      <w:bookmarkStart w:id="85" w:name="_Toc5356"/>
      <w:r>
        <w:rPr>
          <w:rFonts w:hint="eastAsia" w:ascii="仿宋" w:hAnsi="仿宋" w:eastAsia="仿宋" w:cstheme="minorEastAsia"/>
          <w:color w:val="auto"/>
          <w:highlight w:val="none"/>
        </w:rPr>
        <w:br w:type="page"/>
      </w:r>
    </w:p>
    <w:p w14:paraId="64B0F9CA">
      <w:pPr>
        <w:pStyle w:val="15"/>
        <w:ind w:firstLine="480"/>
        <w:outlineLvl w:val="2"/>
        <w:rPr>
          <w:rFonts w:ascii="仿宋" w:hAnsi="仿宋" w:eastAsia="仿宋" w:cstheme="minorEastAsia"/>
          <w:b/>
          <w:bCs/>
          <w:color w:val="auto"/>
          <w:sz w:val="30"/>
          <w:szCs w:val="30"/>
          <w:highlight w:val="none"/>
        </w:rPr>
      </w:pPr>
      <w:bookmarkStart w:id="86" w:name="_Toc23398"/>
      <w:r>
        <w:rPr>
          <w:rFonts w:hint="eastAsia" w:ascii="仿宋" w:hAnsi="仿宋" w:eastAsia="仿宋" w:cstheme="minorEastAsia"/>
          <w:color w:val="auto"/>
          <w:szCs w:val="24"/>
          <w:highlight w:val="none"/>
        </w:rPr>
        <w:t>附件：优惠性政策法律法规</w:t>
      </w:r>
      <w:bookmarkEnd w:id="85"/>
      <w:bookmarkEnd w:id="86"/>
    </w:p>
    <w:p w14:paraId="016F5A96">
      <w:pPr>
        <w:spacing w:line="240" w:lineRule="atLeast"/>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1.政府采购促进中小企业发展管理办法</w:t>
      </w:r>
    </w:p>
    <w:p w14:paraId="7D1C6649">
      <w:pPr>
        <w:widowControl/>
        <w:ind w:firstLine="723"/>
        <w:jc w:val="center"/>
        <w:rPr>
          <w:rFonts w:ascii="仿宋" w:hAnsi="仿宋" w:eastAsia="仿宋" w:cstheme="minorEastAsia"/>
          <w:b/>
          <w:bCs/>
          <w:color w:val="auto"/>
          <w:kern w:val="0"/>
          <w:sz w:val="36"/>
          <w:szCs w:val="36"/>
          <w:highlight w:val="none"/>
          <w:lang w:bidi="ar"/>
        </w:rPr>
      </w:pPr>
      <w:r>
        <w:rPr>
          <w:rFonts w:hint="eastAsia" w:ascii="仿宋" w:hAnsi="仿宋" w:eastAsia="仿宋" w:cstheme="minorEastAsia"/>
          <w:b/>
          <w:bCs/>
          <w:color w:val="auto"/>
          <w:kern w:val="0"/>
          <w:sz w:val="36"/>
          <w:szCs w:val="36"/>
          <w:highlight w:val="none"/>
          <w:lang w:bidi="ar"/>
        </w:rPr>
        <w:t>《政府采购促进中小企业发展管理办法》</w:t>
      </w:r>
    </w:p>
    <w:p w14:paraId="55BB13EF">
      <w:pPr>
        <w:widowControl/>
        <w:ind w:firstLine="723"/>
        <w:jc w:val="center"/>
        <w:rPr>
          <w:rFonts w:ascii="仿宋" w:hAnsi="仿宋" w:eastAsia="仿宋" w:cs="宋体"/>
          <w:color w:val="auto"/>
          <w:highlight w:val="none"/>
          <w:shd w:val="clear" w:color="auto" w:fill="FFFFFF"/>
        </w:rPr>
      </w:pPr>
      <w:r>
        <w:rPr>
          <w:rFonts w:hint="eastAsia" w:ascii="仿宋" w:hAnsi="仿宋" w:eastAsia="仿宋" w:cs="宋体"/>
          <w:b/>
          <w:bCs/>
          <w:color w:val="auto"/>
          <w:sz w:val="36"/>
          <w:szCs w:val="36"/>
          <w:highlight w:val="none"/>
          <w:shd w:val="clear" w:color="auto" w:fill="FFFFFF"/>
        </w:rPr>
        <w:t>财库〔2020〕46号</w:t>
      </w:r>
    </w:p>
    <w:p w14:paraId="74AEC5F3">
      <w:pPr>
        <w:widowControl/>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第一条  为了发挥政府采购的政策功能，促进中小企业健康发展，根据《中华人民共和国政府采购法》、《中华人民共和国中小企业促进法》等有关法律法规，制定本办法。</w:t>
      </w:r>
    </w:p>
    <w:p w14:paraId="173CCFA3">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3CC83BC">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第三条  采购人在政府采购活动中应当通过加强采购需求管理，落实预留采购份额、价格评审优惠、优先采购等措施，提高中小企业在政府采购中的份额，支持中小企业发展。</w:t>
      </w:r>
    </w:p>
    <w:p w14:paraId="25130324">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第四条  在政府采购活动中，供应商提供的货物、工程或者服务符合下列情形的，享受本办法规定的中小企业扶持政策：</w:t>
      </w:r>
    </w:p>
    <w:p w14:paraId="2CFBEB00">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（一）在货物采购项目中，货物由中小企业制造，即货物由中小企业生产且使用该中小企业商号或者注册商标；</w:t>
      </w:r>
    </w:p>
    <w:p w14:paraId="36B10D67">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（二）在工程采购项目中，工程由中小企业承建，即工程施工单位为中小企业；</w:t>
      </w:r>
    </w:p>
    <w:p w14:paraId="632D83FC">
      <w:pPr>
        <w:widowControl/>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（三）在服务采购项目中，服务由中小企业承接，即提供服务的人员为中小企业依照《中华人民共和国劳动合同法》订立劳动合同的从业人员。</w:t>
      </w:r>
    </w:p>
    <w:p w14:paraId="23D6BFDB">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在货物采购项目中，供应商提供的货物既有中小企业制造货物，也有大型企业制造货物的，不享受本办法规定的中小企业扶持政策。</w:t>
      </w:r>
    </w:p>
    <w:p w14:paraId="61C3F6D2">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以联合体形式参加政府采购活动，联合体各方均为中小企业的，联合体视同中小企业。其中，联合体各方均为小微企业的，联合体视同小微企业。</w:t>
      </w:r>
    </w:p>
    <w:p w14:paraId="419FE0CC">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1F0AA0A">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9B2C89B">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符合下列情形之一的，可不专门面向中小企业预留采购份额：</w:t>
      </w:r>
    </w:p>
    <w:p w14:paraId="6F3EE060">
      <w:pPr>
        <w:widowControl/>
        <w:numPr>
          <w:ilvl w:val="0"/>
          <w:numId w:val="3"/>
        </w:numPr>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法律法规和国家有关政策明确规定优先或者应当面向事业单位、社会组织等非企业主体采购的；</w:t>
      </w:r>
    </w:p>
    <w:p w14:paraId="466F4273">
      <w:pPr>
        <w:widowControl/>
        <w:numPr>
          <w:ilvl w:val="0"/>
          <w:numId w:val="3"/>
        </w:numPr>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因确需使用不可替代的专利、专有技术，基础设施限制，或者提供特定公共服务等原因，只能从中小企业之外的供应商处采购的；</w:t>
      </w:r>
    </w:p>
    <w:p w14:paraId="50FF2694">
      <w:pPr>
        <w:widowControl/>
        <w:numPr>
          <w:ilvl w:val="0"/>
          <w:numId w:val="3"/>
        </w:numPr>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按照本办法规定预留采购份额无法确保充分供应、充分竞争，或者存在可能影响政府采购目标实现的情形；</w:t>
      </w:r>
    </w:p>
    <w:p w14:paraId="2A05047D">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（四）框架协议采购项目；</w:t>
      </w:r>
    </w:p>
    <w:p w14:paraId="268FA2B1">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（五）省级以上人民政府财政部门规定的其他情形。除上述情形外，其他均为适宜由中小企业提供的情形。</w:t>
      </w:r>
    </w:p>
    <w:p w14:paraId="6F95F5FD">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第七条  采购限额标准以上，200万元以下的货物和服务采购项目、400万元以下的工程采购项目，适宜由中小企业提供的，采购人应当专门面向中小企业采购。</w:t>
      </w:r>
    </w:p>
    <w:p w14:paraId="0A2629B2">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第八条  超过200万元的货物和服务采购项目、超过400万元的工程采购项目中适宜由中小企业提供的，预留该部分采购项目预算总额的</w:t>
      </w:r>
      <w:r>
        <w:rPr>
          <w:rFonts w:hint="eastAsia" w:ascii="仿宋" w:hAnsi="仿宋" w:eastAsia="仿宋" w:cstheme="minorEastAsia"/>
          <w:color w:val="auto"/>
          <w:kern w:val="0"/>
          <w:highlight w:val="none"/>
          <w:lang w:val="en-US" w:eastAsia="zh-CN" w:bidi="ar"/>
        </w:rPr>
        <w:t>4</w:t>
      </w:r>
      <w:r>
        <w:rPr>
          <w:rFonts w:hint="eastAsia" w:ascii="仿宋" w:hAnsi="仿宋" w:eastAsia="仿宋" w:cstheme="minorEastAsia"/>
          <w:color w:val="auto"/>
          <w:kern w:val="0"/>
          <w:highlight w:val="none"/>
          <w:lang w:bidi="ar"/>
        </w:rPr>
        <w:t>0%以上专门面向中小企业采购，其中预留给小微企业的比例不低于60%。预留份额通过下列措施进行：</w:t>
      </w:r>
    </w:p>
    <w:p w14:paraId="3CB6E637">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（一）将采购项目整体或者设置采购包专门面向中小企业采购；</w:t>
      </w:r>
    </w:p>
    <w:p w14:paraId="7D5644C0">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（二）要求供应商以联合体形式参加采购活动，且联合体中中小企业承担的部分达到一定比例；</w:t>
      </w:r>
    </w:p>
    <w:p w14:paraId="0B6AD057">
      <w:pPr>
        <w:widowControl/>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（三）要求获得采购合同的供应商将采购项目中的一定比例分包给一家或者多家中小企业。</w:t>
      </w:r>
    </w:p>
    <w:p w14:paraId="6FEF0E82">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组成联合体或者接受分包合同的中小企业与联合体内其他企业、分包企业之间不得存在直接控股、管理关系。</w:t>
      </w:r>
    </w:p>
    <w:p w14:paraId="35E84AF3">
      <w:pPr>
        <w:widowControl/>
        <w:numPr>
          <w:ilvl w:val="0"/>
          <w:numId w:val="4"/>
        </w:numPr>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 xml:space="preserve"> 对于经主管预算单位统筹后未预留份额专门面向中小企业采购的采购项目，以及预留份额项目中的非预留部分采购包，采购人、采购代理机构应当对符合本办法规定的小微企业报价给予</w:t>
      </w:r>
      <w:r>
        <w:rPr>
          <w:rFonts w:hint="default" w:ascii="仿宋" w:hAnsi="仿宋" w:eastAsia="仿宋" w:cstheme="minorEastAsia"/>
          <w:color w:val="auto"/>
          <w:kern w:val="0"/>
          <w:highlight w:val="none"/>
          <w:lang w:val="en-US" w:bidi="ar"/>
        </w:rPr>
        <w:t>10</w:t>
      </w:r>
      <w:r>
        <w:rPr>
          <w:rFonts w:hint="eastAsia" w:ascii="仿宋" w:hAnsi="仿宋" w:eastAsia="仿宋" w:cstheme="minorEastAsia"/>
          <w:color w:val="auto"/>
          <w:kern w:val="0"/>
          <w:highlight w:val="none"/>
          <w:lang w:bidi="ar"/>
        </w:rPr>
        <w:t>%—</w:t>
      </w:r>
      <w:r>
        <w:rPr>
          <w:rFonts w:hint="default" w:ascii="仿宋" w:hAnsi="仿宋" w:eastAsia="仿宋" w:cstheme="minorEastAsia"/>
          <w:color w:val="auto"/>
          <w:kern w:val="0"/>
          <w:highlight w:val="none"/>
          <w:lang w:val="en-US" w:bidi="ar"/>
        </w:rPr>
        <w:t>2</w:t>
      </w:r>
      <w:r>
        <w:rPr>
          <w:rFonts w:hint="eastAsia" w:ascii="仿宋" w:hAnsi="仿宋" w:eastAsia="仿宋" w:cstheme="minorEastAsia"/>
          <w:color w:val="auto"/>
          <w:kern w:val="0"/>
          <w:highlight w:val="none"/>
          <w:lang w:bidi="ar"/>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93FACD">
      <w:pPr>
        <w:widowControl/>
        <w:ind w:left="5" w:firstLine="410" w:firstLineChars="171"/>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default" w:ascii="仿宋" w:hAnsi="仿宋" w:eastAsia="仿宋" w:cstheme="minorEastAsia"/>
          <w:color w:val="auto"/>
          <w:kern w:val="0"/>
          <w:highlight w:val="none"/>
          <w:lang w:val="en-US" w:bidi="ar"/>
        </w:rPr>
        <w:t>4</w:t>
      </w:r>
      <w:r>
        <w:rPr>
          <w:rFonts w:hint="eastAsia" w:ascii="仿宋" w:hAnsi="仿宋" w:eastAsia="仿宋" w:cstheme="minorEastAsia"/>
          <w:color w:val="auto"/>
          <w:kern w:val="0"/>
          <w:highlight w:val="none"/>
          <w:lang w:bidi="ar"/>
        </w:rPr>
        <w:t>%-</w:t>
      </w:r>
      <w:r>
        <w:rPr>
          <w:rFonts w:hint="eastAsia" w:ascii="仿宋" w:hAnsi="仿宋" w:eastAsia="仿宋" w:cstheme="minorEastAsia"/>
          <w:color w:val="auto"/>
          <w:kern w:val="0"/>
          <w:highlight w:val="none"/>
          <w:lang w:val="en-US" w:eastAsia="zh-CN" w:bidi="ar"/>
        </w:rPr>
        <w:t>6</w:t>
      </w:r>
      <w:r>
        <w:rPr>
          <w:rFonts w:hint="eastAsia" w:ascii="仿宋" w:hAnsi="仿宋" w:eastAsia="仿宋" w:cstheme="minorEastAsia"/>
          <w:color w:val="auto"/>
          <w:kern w:val="0"/>
          <w:highlight w:val="none"/>
          <w:lang w:bidi="ar"/>
        </w:rPr>
        <w:t xml:space="preserve">%（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   </w:t>
      </w:r>
    </w:p>
    <w:p w14:paraId="4E9B7DB5">
      <w:pPr>
        <w:widowControl/>
        <w:ind w:left="5" w:firstLine="410" w:firstLineChars="171"/>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5483FFB">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D5E9517">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0A49CD76">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第十二条  采购项目涉及中小企业采购的，采购文件应当明确以下内容：</w:t>
      </w:r>
    </w:p>
    <w:p w14:paraId="35082392">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（一）预留份额的采购项目或者采购包，明确该项目或相关采购包专门面向中小企业采购，以及相关标的及预算金额；</w:t>
      </w:r>
    </w:p>
    <w:p w14:paraId="6043FD03">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（二）要求以联合体形式参加或者合同分包的，明确联合协议或者分包意向协议中中小企业合同金额应当达到的比例，并作为供应商资格条件；</w:t>
      </w:r>
    </w:p>
    <w:p w14:paraId="24FEB040">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（三）非预留份额的采购项目或者采购包，明确有关价格扣除比例或者价格分加分比例；</w:t>
      </w:r>
    </w:p>
    <w:p w14:paraId="5F2F1FD8">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（四）规定依据本办法规定享受扶持政策获得政府采购合同的，小微企业不得将合同分包给大中型企业，中型企业不得将合同分包给大型企业；</w:t>
      </w:r>
    </w:p>
    <w:p w14:paraId="7BFDEBD0">
      <w:pPr>
        <w:widowControl/>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（五）采购人认为具备相关条件的，明确对中小企业在资金支付期限、预付款比例等方面的优惠措施；</w:t>
      </w:r>
    </w:p>
    <w:p w14:paraId="1F0A9029">
      <w:pPr>
        <w:widowControl/>
        <w:ind w:firstLine="420" w:firstLineChars="175"/>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（六）明确采购标的对应的中小企业划分标准所属行业；</w:t>
      </w:r>
    </w:p>
    <w:p w14:paraId="0E630055">
      <w:pPr>
        <w:widowControl/>
        <w:ind w:firstLine="420" w:firstLineChars="175"/>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（七）法律法规和省级以上人民政府财政部门规定的其他事项。</w:t>
      </w:r>
    </w:p>
    <w:p w14:paraId="6D16C14F">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第十三条  中标、成交供应商享受本办法规定的中小企业扶持政策的，采购人、采购代理机构应当随中标、成交结果公开中标、成交供应商的《中小企业声明函》。</w:t>
      </w:r>
    </w:p>
    <w:p w14:paraId="4AEB6022">
      <w:pPr>
        <w:widowControl/>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适用招标投标法的政府采购工程建设项目，应当在公示中标候选人时公开中标候选人的《中小企业声明函》。</w:t>
      </w:r>
    </w:p>
    <w:p w14:paraId="7D1AF172">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C9EF5E1">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第十五条  鼓励各地区、各部门在采购活动中允许中小企业引入信用担保手段，为中小企业在投标（响应）保证、履约保证等方面提供专业化服务。鼓励中小企业依法合规通过政府采购合同融资。</w:t>
      </w:r>
    </w:p>
    <w:p w14:paraId="384D5C44">
      <w:pPr>
        <w:widowControl/>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第十六条  政府采购监督检查、投诉处理及政府采购行政处罚中对中小企业的认定，由货物制造商或者工程、服务供应商注册登记所在地的县级以上人民政府中小企业主管部门负责。</w:t>
      </w:r>
    </w:p>
    <w:p w14:paraId="60DF86B5">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中小企业主管部门应当在收到财政部门或者有关招标投标行政监督部门关于协助开展中小企业认定函后10个工作日内做出书面答复。</w:t>
      </w:r>
    </w:p>
    <w:p w14:paraId="1B737332">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第十七条  各地区、各部门应当对涉及中小企业采购的预算项目实施全过程绩效管理，合理设置绩效目标和指标，落实扶持中小企业有关政策要求，定期开展绩效监控和评价，强化绩效评价结果应用。</w:t>
      </w:r>
    </w:p>
    <w:p w14:paraId="1D10BE55">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0D85600">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EE87C97">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第二十条  供应商按照本办法规定提供声明函内容不实的，属于提供虚假材料谋取中标、成交，依照《中华人民共和国政府采购法》等国家有关规定追究相应责任。适用招标投标法的政府采购工程建设项目，</w:t>
      </w:r>
      <w:r>
        <w:rPr>
          <w:rFonts w:hint="eastAsia" w:ascii="仿宋" w:hAnsi="仿宋" w:eastAsia="仿宋" w:cstheme="minorEastAsia"/>
          <w:color w:val="auto"/>
          <w:kern w:val="0"/>
          <w:highlight w:val="none"/>
          <w:lang w:eastAsia="zh-CN" w:bidi="ar"/>
        </w:rPr>
        <w:t>供应商</w:t>
      </w:r>
      <w:r>
        <w:rPr>
          <w:rFonts w:hint="eastAsia" w:ascii="仿宋" w:hAnsi="仿宋" w:eastAsia="仿宋" w:cstheme="minorEastAsia"/>
          <w:color w:val="auto"/>
          <w:kern w:val="0"/>
          <w:highlight w:val="none"/>
          <w:lang w:bidi="ar"/>
        </w:rPr>
        <w:t>按照本办法规定提供声明函内容不实的，属于弄虚作假骗取中标，依照《中华人民共和国招标投标法》等国家有关规定追究相应责任。</w:t>
      </w:r>
    </w:p>
    <w:p w14:paraId="01DFA8AC">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49BDBF7">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第二十二条  对外援助项目、国家相关资格或者资质管理制度另有规定的项目，不适用本办法。</w:t>
      </w:r>
    </w:p>
    <w:p w14:paraId="343D5749">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第二十三条  关于视同中小企业的其他主体的政府采购扶持政策，由财政部会同有关部门另行规定。</w:t>
      </w:r>
    </w:p>
    <w:p w14:paraId="5FD9B954">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第二十四条  省级财政部门可以会同中小企业主管部门根据本办法的规定制定具体实施办法。</w:t>
      </w:r>
    </w:p>
    <w:p w14:paraId="6E9350B0">
      <w:pPr>
        <w:widowControl/>
        <w:ind w:firstLine="480"/>
        <w:rPr>
          <w:rFonts w:ascii="仿宋" w:hAnsi="仿宋" w:eastAsia="仿宋"/>
          <w:color w:val="auto"/>
          <w:highlight w:val="none"/>
        </w:rPr>
      </w:pPr>
      <w:r>
        <w:rPr>
          <w:rFonts w:hint="eastAsia" w:ascii="仿宋" w:hAnsi="仿宋" w:eastAsia="仿宋" w:cstheme="minorEastAsia"/>
          <w:color w:val="auto"/>
          <w:kern w:val="0"/>
          <w:highlight w:val="none"/>
          <w:lang w:bidi="ar"/>
        </w:rPr>
        <w:t>第二十五条  本办法自2021年1月1日起施行。《财政部工业和信息化部关于印发〈政府采购促进中小企业发展暂行办法〉的通知》（财库﹝2011﹞181号）同时废止。</w:t>
      </w:r>
    </w:p>
    <w:p w14:paraId="5AAF0971">
      <w:pPr>
        <w:widowControl/>
        <w:ind w:firstLine="480"/>
        <w:rPr>
          <w:rFonts w:ascii="仿宋" w:hAnsi="仿宋" w:eastAsia="仿宋" w:cstheme="minorEastAsia"/>
          <w:color w:val="auto"/>
          <w:kern w:val="0"/>
          <w:highlight w:val="none"/>
          <w:lang w:bidi="ar"/>
        </w:rPr>
      </w:pPr>
    </w:p>
    <w:p w14:paraId="3C5B2E10">
      <w:pPr>
        <w:widowControl/>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 xml:space="preserve">附：1.中小企业声明函 </w:t>
      </w:r>
    </w:p>
    <w:p w14:paraId="2CB33479">
      <w:pPr>
        <w:widowControl/>
        <w:ind w:firstLine="960" w:firstLineChars="40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2.面向中小企业预留项目执行情况公告</w:t>
      </w:r>
    </w:p>
    <w:p w14:paraId="1F727D9C">
      <w:pPr>
        <w:pStyle w:val="15"/>
        <w:ind w:firstLine="602"/>
        <w:rPr>
          <w:rFonts w:ascii="仿宋" w:hAnsi="仿宋" w:eastAsia="仿宋" w:cstheme="minorEastAsia"/>
          <w:b/>
          <w:bCs/>
          <w:color w:val="auto"/>
          <w:sz w:val="30"/>
          <w:szCs w:val="30"/>
          <w:highlight w:val="none"/>
        </w:rPr>
      </w:pPr>
    </w:p>
    <w:p w14:paraId="014D1FB3">
      <w:pPr>
        <w:pStyle w:val="15"/>
        <w:ind w:firstLine="602"/>
        <w:rPr>
          <w:rFonts w:ascii="仿宋" w:hAnsi="仿宋" w:eastAsia="仿宋" w:cstheme="minorEastAsia"/>
          <w:b/>
          <w:bCs/>
          <w:color w:val="auto"/>
          <w:sz w:val="30"/>
          <w:szCs w:val="30"/>
          <w:highlight w:val="none"/>
        </w:rPr>
      </w:pPr>
    </w:p>
    <w:p w14:paraId="43E2F1E9">
      <w:pPr>
        <w:pStyle w:val="15"/>
        <w:ind w:firstLine="602"/>
        <w:rPr>
          <w:rFonts w:ascii="仿宋" w:hAnsi="仿宋" w:eastAsia="仿宋" w:cstheme="minorEastAsia"/>
          <w:b/>
          <w:bCs/>
          <w:color w:val="auto"/>
          <w:sz w:val="30"/>
          <w:szCs w:val="30"/>
          <w:highlight w:val="none"/>
        </w:rPr>
      </w:pPr>
    </w:p>
    <w:p w14:paraId="69A398BE">
      <w:pPr>
        <w:pStyle w:val="15"/>
        <w:ind w:firstLine="602"/>
        <w:rPr>
          <w:rFonts w:ascii="仿宋" w:hAnsi="仿宋" w:eastAsia="仿宋" w:cstheme="minorEastAsia"/>
          <w:b/>
          <w:bCs/>
          <w:color w:val="auto"/>
          <w:sz w:val="30"/>
          <w:szCs w:val="30"/>
          <w:highlight w:val="none"/>
        </w:rPr>
      </w:pPr>
    </w:p>
    <w:p w14:paraId="2E46FD39">
      <w:pPr>
        <w:pStyle w:val="15"/>
        <w:ind w:firstLine="602"/>
        <w:rPr>
          <w:rFonts w:ascii="仿宋" w:hAnsi="仿宋" w:eastAsia="仿宋" w:cstheme="minorEastAsia"/>
          <w:b/>
          <w:bCs/>
          <w:color w:val="auto"/>
          <w:sz w:val="30"/>
          <w:szCs w:val="30"/>
          <w:highlight w:val="none"/>
        </w:rPr>
      </w:pPr>
    </w:p>
    <w:p w14:paraId="2DAF2FEB">
      <w:pPr>
        <w:pStyle w:val="15"/>
        <w:ind w:firstLine="602"/>
        <w:rPr>
          <w:rFonts w:ascii="仿宋" w:hAnsi="仿宋" w:eastAsia="仿宋" w:cstheme="minorEastAsia"/>
          <w:b/>
          <w:bCs/>
          <w:color w:val="auto"/>
          <w:sz w:val="30"/>
          <w:szCs w:val="30"/>
          <w:highlight w:val="none"/>
        </w:rPr>
      </w:pPr>
    </w:p>
    <w:p w14:paraId="6AC7308C">
      <w:pPr>
        <w:pStyle w:val="15"/>
        <w:ind w:firstLine="602"/>
        <w:rPr>
          <w:rFonts w:ascii="仿宋" w:hAnsi="仿宋" w:eastAsia="仿宋" w:cstheme="minorEastAsia"/>
          <w:b/>
          <w:bCs/>
          <w:color w:val="auto"/>
          <w:sz w:val="30"/>
          <w:szCs w:val="30"/>
          <w:highlight w:val="none"/>
        </w:rPr>
      </w:pPr>
    </w:p>
    <w:p w14:paraId="63C68347">
      <w:pPr>
        <w:widowControl/>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附 1</w:t>
      </w:r>
    </w:p>
    <w:p w14:paraId="6496C06B">
      <w:pPr>
        <w:widowControl/>
        <w:ind w:firstLine="723"/>
        <w:jc w:val="center"/>
        <w:rPr>
          <w:rFonts w:ascii="仿宋" w:hAnsi="仿宋" w:eastAsia="仿宋"/>
          <w:color w:val="auto"/>
          <w:highlight w:val="none"/>
        </w:rPr>
      </w:pPr>
      <w:r>
        <w:rPr>
          <w:rFonts w:hint="eastAsia" w:ascii="仿宋" w:hAnsi="仿宋" w:eastAsia="仿宋" w:cs="宋体"/>
          <w:b/>
          <w:color w:val="auto"/>
          <w:kern w:val="0"/>
          <w:sz w:val="36"/>
          <w:szCs w:val="36"/>
          <w:highlight w:val="none"/>
          <w:lang w:bidi="ar"/>
        </w:rPr>
        <w:t>中小企业声明函（货物）</w:t>
      </w:r>
    </w:p>
    <w:p w14:paraId="1A9EF60D">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本公司（联合体）郑重声明，根据《政府采购促进中小企业发展管理办法》（财库﹝2020﹞46号）的规定，本公司（联合体）参加</w:t>
      </w:r>
      <w:r>
        <w:rPr>
          <w:rFonts w:hint="eastAsia" w:ascii="仿宋" w:hAnsi="仿宋" w:eastAsia="仿宋" w:cstheme="minorEastAsia"/>
          <w:color w:val="auto"/>
          <w:kern w:val="0"/>
          <w:highlight w:val="none"/>
          <w:u w:val="single"/>
          <w:lang w:bidi="ar"/>
        </w:rPr>
        <w:t>（单位名称）</w:t>
      </w:r>
      <w:r>
        <w:rPr>
          <w:rFonts w:hint="eastAsia" w:ascii="仿宋" w:hAnsi="仿宋" w:eastAsia="仿宋" w:cstheme="minorEastAsia"/>
          <w:color w:val="auto"/>
          <w:kern w:val="0"/>
          <w:highlight w:val="none"/>
          <w:lang w:bidi="ar"/>
        </w:rPr>
        <w:t>的</w:t>
      </w:r>
      <w:r>
        <w:rPr>
          <w:rFonts w:hint="eastAsia" w:ascii="仿宋" w:hAnsi="仿宋" w:eastAsia="仿宋" w:cstheme="minorEastAsia"/>
          <w:color w:val="auto"/>
          <w:kern w:val="0"/>
          <w:highlight w:val="none"/>
          <w:u w:val="single"/>
          <w:lang w:bidi="ar"/>
        </w:rPr>
        <w:t>（项目名称）</w:t>
      </w:r>
      <w:r>
        <w:rPr>
          <w:rFonts w:hint="eastAsia" w:ascii="仿宋" w:hAnsi="仿宋" w:eastAsia="仿宋" w:cstheme="minorEastAsia"/>
          <w:color w:val="auto"/>
          <w:kern w:val="0"/>
          <w:highlight w:val="none"/>
          <w:lang w:bidi="ar"/>
        </w:rPr>
        <w:t>采购活动，提供的货物全部由符合政策要求的中小企业制造。相关企业（含联合体中的中小企业、签订分包意向协议的中小企业）的具体情况如下：</w:t>
      </w:r>
    </w:p>
    <w:p w14:paraId="167EE5E6">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1.</w:t>
      </w:r>
      <w:r>
        <w:rPr>
          <w:rFonts w:hint="eastAsia" w:ascii="仿宋" w:hAnsi="仿宋" w:eastAsia="仿宋" w:cstheme="minorEastAsia"/>
          <w:color w:val="auto"/>
          <w:kern w:val="0"/>
          <w:highlight w:val="none"/>
          <w:u w:val="single"/>
          <w:lang w:bidi="ar"/>
        </w:rPr>
        <w:t>（标的名称）</w:t>
      </w:r>
      <w:r>
        <w:rPr>
          <w:rFonts w:hint="eastAsia" w:ascii="仿宋" w:hAnsi="仿宋" w:eastAsia="仿宋" w:cstheme="minorEastAsia"/>
          <w:color w:val="auto"/>
          <w:kern w:val="0"/>
          <w:highlight w:val="none"/>
          <w:lang w:bidi="ar"/>
        </w:rPr>
        <w:t>，属于</w:t>
      </w:r>
      <w:r>
        <w:rPr>
          <w:rFonts w:hint="eastAsia" w:ascii="仿宋" w:hAnsi="仿宋" w:eastAsia="仿宋" w:cstheme="minorEastAsia"/>
          <w:color w:val="auto"/>
          <w:kern w:val="0"/>
          <w:highlight w:val="none"/>
          <w:u w:val="single"/>
          <w:lang w:bidi="ar"/>
        </w:rPr>
        <w:t>（采购文件中明确的所属行业）行业</w:t>
      </w:r>
      <w:r>
        <w:rPr>
          <w:rFonts w:hint="eastAsia" w:ascii="仿宋" w:hAnsi="仿宋" w:eastAsia="仿宋" w:cstheme="minorEastAsia"/>
          <w:color w:val="auto"/>
          <w:kern w:val="0"/>
          <w:highlight w:val="none"/>
          <w:lang w:bidi="ar"/>
        </w:rPr>
        <w:t>；制造商为</w:t>
      </w:r>
      <w:r>
        <w:rPr>
          <w:rFonts w:hint="eastAsia" w:ascii="仿宋" w:hAnsi="仿宋" w:eastAsia="仿宋" w:cstheme="minorEastAsia"/>
          <w:color w:val="auto"/>
          <w:kern w:val="0"/>
          <w:highlight w:val="none"/>
          <w:u w:val="single"/>
          <w:lang w:bidi="ar"/>
        </w:rPr>
        <w:t>（企业名称）</w:t>
      </w:r>
      <w:r>
        <w:rPr>
          <w:rFonts w:hint="eastAsia" w:ascii="仿宋" w:hAnsi="仿宋" w:eastAsia="仿宋" w:cstheme="minorEastAsia"/>
          <w:color w:val="auto"/>
          <w:kern w:val="0"/>
          <w:highlight w:val="none"/>
          <w:lang w:bidi="ar"/>
        </w:rPr>
        <w:t>，从业人员人，营业收入为万元，资产总额为万元</w:t>
      </w:r>
      <w:r>
        <w:rPr>
          <w:rFonts w:hint="eastAsia" w:ascii="宋体" w:hAnsi="宋体" w:eastAsia="宋体" w:cs="宋体"/>
          <w:color w:val="auto"/>
          <w:kern w:val="0"/>
          <w:highlight w:val="none"/>
          <w:lang w:bidi="ar"/>
        </w:rPr>
        <w:t>¹</w:t>
      </w:r>
      <w:r>
        <w:rPr>
          <w:rFonts w:hint="eastAsia" w:ascii="仿宋" w:hAnsi="仿宋" w:eastAsia="仿宋" w:cstheme="minorEastAsia"/>
          <w:color w:val="auto"/>
          <w:kern w:val="0"/>
          <w:highlight w:val="none"/>
          <w:lang w:bidi="ar"/>
        </w:rPr>
        <w:t>，属于</w:t>
      </w:r>
      <w:r>
        <w:rPr>
          <w:rFonts w:hint="eastAsia" w:ascii="仿宋" w:hAnsi="仿宋" w:eastAsia="仿宋" w:cstheme="minorEastAsia"/>
          <w:color w:val="auto"/>
          <w:kern w:val="0"/>
          <w:highlight w:val="none"/>
          <w:u w:val="single"/>
          <w:lang w:bidi="ar"/>
        </w:rPr>
        <w:t>（中型企业、小型企业、微型企业）</w:t>
      </w:r>
      <w:r>
        <w:rPr>
          <w:rFonts w:hint="eastAsia" w:ascii="仿宋" w:hAnsi="仿宋" w:eastAsia="仿宋" w:cstheme="minorEastAsia"/>
          <w:color w:val="auto"/>
          <w:kern w:val="0"/>
          <w:highlight w:val="none"/>
          <w:lang w:bidi="ar"/>
        </w:rPr>
        <w:t>；</w:t>
      </w:r>
    </w:p>
    <w:p w14:paraId="1A874EBF">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2.</w:t>
      </w:r>
      <w:r>
        <w:rPr>
          <w:rFonts w:hint="eastAsia" w:ascii="仿宋" w:hAnsi="仿宋" w:eastAsia="仿宋" w:cstheme="minorEastAsia"/>
          <w:color w:val="auto"/>
          <w:kern w:val="0"/>
          <w:highlight w:val="none"/>
          <w:u w:val="single"/>
          <w:lang w:bidi="ar"/>
        </w:rPr>
        <w:t>（标的名称）</w:t>
      </w:r>
      <w:r>
        <w:rPr>
          <w:rFonts w:hint="eastAsia" w:ascii="仿宋" w:hAnsi="仿宋" w:eastAsia="仿宋" w:cstheme="minorEastAsia"/>
          <w:color w:val="auto"/>
          <w:kern w:val="0"/>
          <w:highlight w:val="none"/>
          <w:lang w:bidi="ar"/>
        </w:rPr>
        <w:t>，属于</w:t>
      </w:r>
      <w:r>
        <w:rPr>
          <w:rFonts w:hint="eastAsia" w:ascii="仿宋" w:hAnsi="仿宋" w:eastAsia="仿宋" w:cstheme="minorEastAsia"/>
          <w:color w:val="auto"/>
          <w:kern w:val="0"/>
          <w:highlight w:val="none"/>
          <w:u w:val="single"/>
          <w:lang w:bidi="ar"/>
        </w:rPr>
        <w:t>（采购文件中明确的所属行业）行业</w:t>
      </w:r>
      <w:r>
        <w:rPr>
          <w:rFonts w:hint="eastAsia" w:ascii="仿宋" w:hAnsi="仿宋" w:eastAsia="仿宋" w:cstheme="minorEastAsia"/>
          <w:color w:val="auto"/>
          <w:kern w:val="0"/>
          <w:highlight w:val="none"/>
          <w:lang w:bidi="ar"/>
        </w:rPr>
        <w:t>；制造商为</w:t>
      </w:r>
      <w:r>
        <w:rPr>
          <w:rFonts w:hint="eastAsia" w:ascii="仿宋" w:hAnsi="仿宋" w:eastAsia="仿宋" w:cstheme="minorEastAsia"/>
          <w:color w:val="auto"/>
          <w:kern w:val="0"/>
          <w:highlight w:val="none"/>
          <w:u w:val="single"/>
          <w:lang w:bidi="ar"/>
        </w:rPr>
        <w:t>（企业名称）</w:t>
      </w:r>
      <w:r>
        <w:rPr>
          <w:rFonts w:hint="eastAsia" w:ascii="仿宋" w:hAnsi="仿宋" w:eastAsia="仿宋" w:cstheme="minorEastAsia"/>
          <w:color w:val="auto"/>
          <w:kern w:val="0"/>
          <w:highlight w:val="none"/>
          <w:lang w:bidi="ar"/>
        </w:rPr>
        <w:t>，从业人员人，营业收入为万元，资产总额为万元，属于</w:t>
      </w:r>
      <w:r>
        <w:rPr>
          <w:rFonts w:hint="eastAsia" w:ascii="仿宋" w:hAnsi="仿宋" w:eastAsia="仿宋" w:cstheme="minorEastAsia"/>
          <w:color w:val="auto"/>
          <w:kern w:val="0"/>
          <w:highlight w:val="none"/>
          <w:u w:val="single"/>
          <w:lang w:bidi="ar"/>
        </w:rPr>
        <w:t>（中型企业、小型企业、微型企业）</w:t>
      </w:r>
      <w:r>
        <w:rPr>
          <w:rFonts w:hint="eastAsia" w:ascii="仿宋" w:hAnsi="仿宋" w:eastAsia="仿宋" w:cstheme="minorEastAsia"/>
          <w:color w:val="auto"/>
          <w:kern w:val="0"/>
          <w:highlight w:val="none"/>
          <w:lang w:bidi="ar"/>
        </w:rPr>
        <w:t>；</w:t>
      </w:r>
    </w:p>
    <w:p w14:paraId="52A6B2C2">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w:t>
      </w:r>
    </w:p>
    <w:p w14:paraId="22E04E0C">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以上企业，不属于大企业的分支机构，不存在控股股东为大企业的情形，也不存在与大企业的负责人为同一人的情形。</w:t>
      </w:r>
    </w:p>
    <w:p w14:paraId="1561FC20">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本企业对上述声明内容的真实性负责。如有虚假，将依法承担相应责任。</w:t>
      </w:r>
    </w:p>
    <w:p w14:paraId="7B1F67E7">
      <w:pPr>
        <w:widowControl/>
        <w:ind w:firstLine="480"/>
        <w:jc w:val="center"/>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 xml:space="preserve">  </w:t>
      </w:r>
    </w:p>
    <w:p w14:paraId="431B5A02">
      <w:pPr>
        <w:widowControl/>
        <w:ind w:firstLine="480"/>
        <w:jc w:val="center"/>
        <w:rPr>
          <w:rFonts w:ascii="仿宋" w:hAnsi="仿宋" w:eastAsia="仿宋" w:cstheme="minorEastAsia"/>
          <w:color w:val="auto"/>
          <w:kern w:val="0"/>
          <w:highlight w:val="none"/>
          <w:lang w:bidi="ar"/>
        </w:rPr>
      </w:pPr>
    </w:p>
    <w:p w14:paraId="3C7BD591">
      <w:pPr>
        <w:widowControl/>
        <w:ind w:firstLine="480"/>
        <w:jc w:val="center"/>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 xml:space="preserve">                    </w:t>
      </w:r>
    </w:p>
    <w:p w14:paraId="16D8E190">
      <w:pPr>
        <w:widowControl/>
        <w:ind w:firstLine="480"/>
        <w:jc w:val="center"/>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 xml:space="preserve">   企业名称（盖章）：</w:t>
      </w:r>
    </w:p>
    <w:p w14:paraId="2DA3A0F8">
      <w:pPr>
        <w:widowControl/>
        <w:ind w:firstLine="480"/>
        <w:jc w:val="center"/>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 xml:space="preserve">            日期：</w:t>
      </w:r>
    </w:p>
    <w:p w14:paraId="072A3DB7">
      <w:pPr>
        <w:widowControl/>
        <w:ind w:firstLine="480"/>
        <w:jc w:val="center"/>
        <w:rPr>
          <w:rFonts w:ascii="仿宋" w:hAnsi="仿宋" w:eastAsia="仿宋" w:cstheme="minorEastAsia"/>
          <w:color w:val="auto"/>
          <w:kern w:val="0"/>
          <w:highlight w:val="none"/>
          <w:lang w:bidi="ar"/>
        </w:rPr>
      </w:pPr>
    </w:p>
    <w:p w14:paraId="2008AC57">
      <w:pPr>
        <w:widowControl/>
        <w:ind w:firstLine="480"/>
        <w:jc w:val="center"/>
        <w:rPr>
          <w:rFonts w:ascii="仿宋" w:hAnsi="仿宋" w:eastAsia="仿宋" w:cstheme="minorEastAsia"/>
          <w:color w:val="auto"/>
          <w:kern w:val="0"/>
          <w:highlight w:val="none"/>
          <w:lang w:bidi="ar"/>
        </w:rPr>
      </w:pPr>
    </w:p>
    <w:p w14:paraId="6CFE1502">
      <w:pPr>
        <w:widowControl/>
        <w:ind w:firstLine="480"/>
        <w:jc w:val="center"/>
        <w:rPr>
          <w:rFonts w:ascii="仿宋" w:hAnsi="仿宋" w:eastAsia="仿宋" w:cstheme="minorEastAsia"/>
          <w:color w:val="auto"/>
          <w:kern w:val="0"/>
          <w:highlight w:val="none"/>
          <w:lang w:bidi="ar"/>
        </w:rPr>
      </w:pPr>
    </w:p>
    <w:p w14:paraId="68627CE7">
      <w:pPr>
        <w:widowControl/>
        <w:ind w:firstLine="480"/>
        <w:jc w:val="center"/>
        <w:rPr>
          <w:rFonts w:ascii="仿宋" w:hAnsi="仿宋" w:eastAsia="仿宋" w:cstheme="minorEastAsia"/>
          <w:color w:val="auto"/>
          <w:kern w:val="0"/>
          <w:highlight w:val="none"/>
          <w:lang w:bidi="ar"/>
        </w:rPr>
      </w:pPr>
    </w:p>
    <w:p w14:paraId="1CAA0B50">
      <w:pPr>
        <w:widowControl/>
        <w:spacing w:line="0" w:lineRule="atLeast"/>
        <w:ind w:firstLine="360"/>
        <w:rPr>
          <w:rFonts w:ascii="仿宋" w:hAnsi="仿宋" w:eastAsia="仿宋" w:cs="微软雅黑"/>
          <w:color w:val="auto"/>
          <w:kern w:val="0"/>
          <w:sz w:val="18"/>
          <w:szCs w:val="18"/>
          <w:highlight w:val="none"/>
          <w:u w:val="single"/>
          <w:lang w:bidi="ar"/>
        </w:rPr>
      </w:pPr>
      <w:r>
        <w:rPr>
          <w:rFonts w:hint="eastAsia" w:ascii="仿宋" w:hAnsi="仿宋" w:eastAsia="仿宋" w:cs="微软雅黑"/>
          <w:color w:val="auto"/>
          <w:kern w:val="0"/>
          <w:sz w:val="18"/>
          <w:szCs w:val="18"/>
          <w:highlight w:val="none"/>
          <w:u w:val="single"/>
          <w:lang w:bidi="ar"/>
        </w:rPr>
        <w:t xml:space="preserve">                                          </w:t>
      </w:r>
    </w:p>
    <w:p w14:paraId="007F98DF">
      <w:pPr>
        <w:widowControl/>
        <w:spacing w:line="0" w:lineRule="atLeast"/>
        <w:ind w:firstLine="360"/>
        <w:rPr>
          <w:rFonts w:ascii="仿宋" w:hAnsi="仿宋" w:eastAsia="仿宋" w:cstheme="minorEastAsia"/>
          <w:color w:val="auto"/>
          <w:sz w:val="18"/>
          <w:szCs w:val="18"/>
          <w:highlight w:val="none"/>
        </w:rPr>
      </w:pPr>
      <w:r>
        <w:rPr>
          <w:rFonts w:hint="eastAsia" w:ascii="宋体" w:hAnsi="宋体" w:eastAsia="宋体" w:cs="宋体"/>
          <w:color w:val="auto"/>
          <w:kern w:val="0"/>
          <w:sz w:val="18"/>
          <w:szCs w:val="18"/>
          <w:highlight w:val="none"/>
          <w:lang w:bidi="ar"/>
        </w:rPr>
        <w:t>¹</w:t>
      </w:r>
      <w:r>
        <w:rPr>
          <w:rFonts w:hint="eastAsia" w:ascii="仿宋" w:hAnsi="仿宋" w:eastAsia="仿宋" w:cstheme="minorEastAsia"/>
          <w:color w:val="auto"/>
          <w:kern w:val="0"/>
          <w:sz w:val="18"/>
          <w:szCs w:val="18"/>
          <w:highlight w:val="none"/>
          <w:lang w:bidi="ar"/>
        </w:rPr>
        <w:t>从业人员、营业收入、资产总额填报上一年度数据，无上一年度数据的新成立企业可不填报。</w:t>
      </w:r>
    </w:p>
    <w:p w14:paraId="6441A0DE">
      <w:pPr>
        <w:widowControl/>
        <w:ind w:firstLine="723"/>
        <w:jc w:val="center"/>
        <w:rPr>
          <w:rFonts w:ascii="仿宋" w:hAnsi="仿宋" w:eastAsia="仿宋" w:cstheme="minorEastAsia"/>
          <w:b/>
          <w:color w:val="auto"/>
          <w:kern w:val="0"/>
          <w:sz w:val="36"/>
          <w:szCs w:val="36"/>
          <w:highlight w:val="none"/>
          <w:lang w:bidi="ar"/>
        </w:rPr>
      </w:pPr>
    </w:p>
    <w:p w14:paraId="0F42EB9F">
      <w:pPr>
        <w:widowControl/>
        <w:ind w:firstLine="723"/>
        <w:jc w:val="center"/>
        <w:rPr>
          <w:rFonts w:ascii="仿宋" w:hAnsi="仿宋" w:eastAsia="仿宋" w:cstheme="minorEastAsia"/>
          <w:b/>
          <w:color w:val="auto"/>
          <w:kern w:val="0"/>
          <w:sz w:val="36"/>
          <w:szCs w:val="36"/>
          <w:highlight w:val="none"/>
          <w:lang w:bidi="ar"/>
        </w:rPr>
      </w:pPr>
    </w:p>
    <w:p w14:paraId="08A52770">
      <w:pPr>
        <w:widowControl/>
        <w:ind w:firstLine="723"/>
        <w:jc w:val="center"/>
        <w:rPr>
          <w:rFonts w:ascii="仿宋" w:hAnsi="仿宋" w:eastAsia="仿宋" w:cstheme="minorEastAsia"/>
          <w:color w:val="auto"/>
          <w:highlight w:val="none"/>
        </w:rPr>
      </w:pPr>
      <w:r>
        <w:rPr>
          <w:rFonts w:hint="eastAsia" w:ascii="仿宋" w:hAnsi="仿宋" w:eastAsia="仿宋" w:cstheme="minorEastAsia"/>
          <w:b/>
          <w:color w:val="auto"/>
          <w:kern w:val="0"/>
          <w:sz w:val="36"/>
          <w:szCs w:val="36"/>
          <w:highlight w:val="none"/>
          <w:lang w:bidi="ar"/>
        </w:rPr>
        <w:t>中小企业声明函（工程、服务）</w:t>
      </w:r>
    </w:p>
    <w:p w14:paraId="2752A02E">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本公司（联合体）郑重声明，根据《政府采购促进中小企业发展管理办法》（财库﹝2020﹞46号）的规定，本公司（联合体）参加</w:t>
      </w:r>
      <w:r>
        <w:rPr>
          <w:rFonts w:hint="eastAsia" w:ascii="仿宋" w:hAnsi="仿宋" w:eastAsia="仿宋" w:cstheme="minorEastAsia"/>
          <w:color w:val="auto"/>
          <w:kern w:val="0"/>
          <w:highlight w:val="none"/>
          <w:u w:val="single"/>
          <w:lang w:bidi="ar"/>
        </w:rPr>
        <w:t>（单位名称）</w:t>
      </w:r>
      <w:r>
        <w:rPr>
          <w:rFonts w:hint="eastAsia" w:ascii="仿宋" w:hAnsi="仿宋" w:eastAsia="仿宋" w:cstheme="minorEastAsia"/>
          <w:color w:val="auto"/>
          <w:kern w:val="0"/>
          <w:highlight w:val="none"/>
          <w:lang w:bidi="ar"/>
        </w:rPr>
        <w:t>的</w:t>
      </w:r>
      <w:r>
        <w:rPr>
          <w:rFonts w:hint="eastAsia" w:ascii="仿宋" w:hAnsi="仿宋" w:eastAsia="仿宋" w:cstheme="minorEastAsia"/>
          <w:color w:val="auto"/>
          <w:kern w:val="0"/>
          <w:highlight w:val="none"/>
          <w:u w:val="single"/>
          <w:lang w:bidi="ar"/>
        </w:rPr>
        <w:t>（项目名称）</w:t>
      </w:r>
      <w:r>
        <w:rPr>
          <w:rFonts w:hint="eastAsia" w:ascii="仿宋" w:hAnsi="仿宋" w:eastAsia="仿宋" w:cstheme="minorEastAsia"/>
          <w:color w:val="auto"/>
          <w:kern w:val="0"/>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25D22C30">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1.</w:t>
      </w:r>
      <w:r>
        <w:rPr>
          <w:rFonts w:hint="eastAsia" w:ascii="仿宋" w:hAnsi="仿宋" w:eastAsia="仿宋" w:cstheme="minorEastAsia"/>
          <w:color w:val="auto"/>
          <w:kern w:val="0"/>
          <w:highlight w:val="none"/>
          <w:u w:val="single"/>
          <w:lang w:bidi="ar"/>
        </w:rPr>
        <w:t>（标的名称）</w:t>
      </w:r>
      <w:r>
        <w:rPr>
          <w:rFonts w:hint="eastAsia" w:ascii="仿宋" w:hAnsi="仿宋" w:eastAsia="仿宋" w:cstheme="minorEastAsia"/>
          <w:color w:val="auto"/>
          <w:kern w:val="0"/>
          <w:highlight w:val="none"/>
          <w:lang w:bidi="ar"/>
        </w:rPr>
        <w:t>，属于</w:t>
      </w:r>
      <w:r>
        <w:rPr>
          <w:rFonts w:hint="eastAsia" w:ascii="仿宋" w:hAnsi="仿宋" w:eastAsia="仿宋" w:cstheme="minorEastAsia"/>
          <w:color w:val="auto"/>
          <w:kern w:val="0"/>
          <w:highlight w:val="none"/>
          <w:u w:val="single"/>
          <w:lang w:bidi="ar"/>
        </w:rPr>
        <w:t>（采购文件中明确的所属行业）</w:t>
      </w:r>
      <w:r>
        <w:rPr>
          <w:rFonts w:hint="eastAsia" w:ascii="仿宋" w:hAnsi="仿宋" w:eastAsia="仿宋" w:cstheme="minorEastAsia"/>
          <w:color w:val="auto"/>
          <w:kern w:val="0"/>
          <w:highlight w:val="none"/>
          <w:lang w:bidi="ar"/>
        </w:rPr>
        <w:t>；承建（承接）企业为</w:t>
      </w:r>
      <w:r>
        <w:rPr>
          <w:rFonts w:hint="eastAsia" w:ascii="仿宋" w:hAnsi="仿宋" w:eastAsia="仿宋" w:cstheme="minorEastAsia"/>
          <w:color w:val="auto"/>
          <w:kern w:val="0"/>
          <w:highlight w:val="none"/>
          <w:u w:val="single"/>
          <w:lang w:bidi="ar"/>
        </w:rPr>
        <w:t>（企业名称）</w:t>
      </w:r>
      <w:r>
        <w:rPr>
          <w:rFonts w:hint="eastAsia" w:ascii="仿宋" w:hAnsi="仿宋" w:eastAsia="仿宋" w:cstheme="minorEastAsia"/>
          <w:color w:val="auto"/>
          <w:kern w:val="0"/>
          <w:highlight w:val="none"/>
          <w:lang w:bidi="ar"/>
        </w:rPr>
        <w:t>，从业人员人，营业收入为万元，资产总额为万元</w:t>
      </w:r>
      <w:r>
        <w:rPr>
          <w:rFonts w:hint="eastAsia" w:ascii="宋体" w:hAnsi="宋体" w:eastAsia="宋体" w:cs="宋体"/>
          <w:color w:val="auto"/>
          <w:kern w:val="0"/>
          <w:highlight w:val="none"/>
          <w:lang w:bidi="ar"/>
        </w:rPr>
        <w:t>¹</w:t>
      </w:r>
      <w:r>
        <w:rPr>
          <w:rFonts w:hint="eastAsia" w:ascii="仿宋" w:hAnsi="仿宋" w:eastAsia="仿宋" w:cstheme="minorEastAsia"/>
          <w:color w:val="auto"/>
          <w:kern w:val="0"/>
          <w:highlight w:val="none"/>
          <w:lang w:bidi="ar"/>
        </w:rPr>
        <w:t>，属于</w:t>
      </w:r>
      <w:r>
        <w:rPr>
          <w:rFonts w:hint="eastAsia" w:ascii="仿宋" w:hAnsi="仿宋" w:eastAsia="仿宋" w:cstheme="minorEastAsia"/>
          <w:color w:val="auto"/>
          <w:kern w:val="0"/>
          <w:highlight w:val="none"/>
          <w:u w:val="single"/>
          <w:lang w:bidi="ar"/>
        </w:rPr>
        <w:t>（中型企业、小型企业、微型企业）</w:t>
      </w:r>
      <w:r>
        <w:rPr>
          <w:rFonts w:hint="eastAsia" w:ascii="仿宋" w:hAnsi="仿宋" w:eastAsia="仿宋" w:cstheme="minorEastAsia"/>
          <w:color w:val="auto"/>
          <w:kern w:val="0"/>
          <w:highlight w:val="none"/>
          <w:lang w:bidi="ar"/>
        </w:rPr>
        <w:t>；</w:t>
      </w:r>
    </w:p>
    <w:p w14:paraId="04CA0255">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2.</w:t>
      </w:r>
      <w:r>
        <w:rPr>
          <w:rFonts w:hint="eastAsia" w:ascii="仿宋" w:hAnsi="仿宋" w:eastAsia="仿宋" w:cstheme="minorEastAsia"/>
          <w:color w:val="auto"/>
          <w:kern w:val="0"/>
          <w:highlight w:val="none"/>
          <w:u w:val="single"/>
          <w:lang w:bidi="ar"/>
        </w:rPr>
        <w:t>（标的名称）</w:t>
      </w:r>
      <w:r>
        <w:rPr>
          <w:rFonts w:hint="eastAsia" w:ascii="仿宋" w:hAnsi="仿宋" w:eastAsia="仿宋" w:cstheme="minorEastAsia"/>
          <w:color w:val="auto"/>
          <w:kern w:val="0"/>
          <w:highlight w:val="none"/>
          <w:lang w:bidi="ar"/>
        </w:rPr>
        <w:t>，属于</w:t>
      </w:r>
      <w:r>
        <w:rPr>
          <w:rFonts w:hint="eastAsia" w:ascii="仿宋" w:hAnsi="仿宋" w:eastAsia="仿宋" w:cstheme="minorEastAsia"/>
          <w:color w:val="auto"/>
          <w:kern w:val="0"/>
          <w:highlight w:val="none"/>
          <w:u w:val="single"/>
          <w:lang w:bidi="ar"/>
        </w:rPr>
        <w:t>（采购文件中明确的所属行业）</w:t>
      </w:r>
      <w:r>
        <w:rPr>
          <w:rFonts w:hint="eastAsia" w:ascii="仿宋" w:hAnsi="仿宋" w:eastAsia="仿宋" w:cstheme="minorEastAsia"/>
          <w:color w:val="auto"/>
          <w:kern w:val="0"/>
          <w:highlight w:val="none"/>
          <w:lang w:bidi="ar"/>
        </w:rPr>
        <w:t>；承建（承接）企业为</w:t>
      </w:r>
      <w:r>
        <w:rPr>
          <w:rFonts w:hint="eastAsia" w:ascii="仿宋" w:hAnsi="仿宋" w:eastAsia="仿宋" w:cstheme="minorEastAsia"/>
          <w:color w:val="auto"/>
          <w:kern w:val="0"/>
          <w:highlight w:val="none"/>
          <w:u w:val="single"/>
          <w:lang w:bidi="ar"/>
        </w:rPr>
        <w:t>（企业名称）</w:t>
      </w:r>
      <w:r>
        <w:rPr>
          <w:rFonts w:hint="eastAsia" w:ascii="仿宋" w:hAnsi="仿宋" w:eastAsia="仿宋" w:cstheme="minorEastAsia"/>
          <w:color w:val="auto"/>
          <w:kern w:val="0"/>
          <w:highlight w:val="none"/>
          <w:lang w:bidi="ar"/>
        </w:rPr>
        <w:t>，从业人员人，营业收入为万元，资产总额为万元，属于</w:t>
      </w:r>
      <w:r>
        <w:rPr>
          <w:rFonts w:hint="eastAsia" w:ascii="仿宋" w:hAnsi="仿宋" w:eastAsia="仿宋" w:cstheme="minorEastAsia"/>
          <w:color w:val="auto"/>
          <w:kern w:val="0"/>
          <w:highlight w:val="none"/>
          <w:u w:val="single"/>
          <w:lang w:bidi="ar"/>
        </w:rPr>
        <w:t>（中型企业、小型企业、微型企业）</w:t>
      </w:r>
      <w:r>
        <w:rPr>
          <w:rFonts w:hint="eastAsia" w:ascii="仿宋" w:hAnsi="仿宋" w:eastAsia="仿宋" w:cstheme="minorEastAsia"/>
          <w:color w:val="auto"/>
          <w:kern w:val="0"/>
          <w:highlight w:val="none"/>
          <w:lang w:bidi="ar"/>
        </w:rPr>
        <w:t>；</w:t>
      </w:r>
    </w:p>
    <w:p w14:paraId="42C5DC59">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w:t>
      </w:r>
    </w:p>
    <w:p w14:paraId="0161E06C">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以上企业，不属于大企业的分支机构，不存在控股股东为大企业的情形，也不存在与大企业的负责人为同一人的情形。</w:t>
      </w:r>
    </w:p>
    <w:p w14:paraId="6B538DFB">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本企业对上述声明内容的真实性负责。如有虚假，将依法承担相应责任。</w:t>
      </w:r>
    </w:p>
    <w:p w14:paraId="564F91FC">
      <w:pPr>
        <w:widowControl/>
        <w:ind w:firstLine="480"/>
        <w:jc w:val="right"/>
        <w:rPr>
          <w:rFonts w:ascii="仿宋" w:hAnsi="仿宋" w:eastAsia="仿宋" w:cstheme="minorEastAsia"/>
          <w:color w:val="auto"/>
          <w:kern w:val="0"/>
          <w:highlight w:val="none"/>
          <w:lang w:bidi="ar"/>
        </w:rPr>
      </w:pPr>
    </w:p>
    <w:p w14:paraId="49A34159">
      <w:pPr>
        <w:widowControl/>
        <w:ind w:firstLine="480"/>
        <w:jc w:val="right"/>
        <w:rPr>
          <w:rFonts w:ascii="仿宋" w:hAnsi="仿宋" w:eastAsia="仿宋" w:cstheme="minorEastAsia"/>
          <w:color w:val="auto"/>
          <w:kern w:val="0"/>
          <w:highlight w:val="none"/>
          <w:lang w:bidi="ar"/>
        </w:rPr>
      </w:pPr>
    </w:p>
    <w:p w14:paraId="1EB23498">
      <w:pPr>
        <w:widowControl/>
        <w:ind w:firstLine="480"/>
        <w:jc w:val="right"/>
        <w:rPr>
          <w:rFonts w:ascii="仿宋" w:hAnsi="仿宋" w:eastAsia="仿宋" w:cstheme="minorEastAsia"/>
          <w:color w:val="auto"/>
          <w:kern w:val="0"/>
          <w:highlight w:val="none"/>
          <w:lang w:bidi="ar"/>
        </w:rPr>
      </w:pPr>
    </w:p>
    <w:p w14:paraId="3A652828">
      <w:pPr>
        <w:widowControl/>
        <w:ind w:firstLine="480"/>
        <w:jc w:val="center"/>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 xml:space="preserve">                            企业名称（盖章）：</w:t>
      </w:r>
    </w:p>
    <w:p w14:paraId="64C4695B">
      <w:pPr>
        <w:widowControl/>
        <w:ind w:firstLine="480"/>
        <w:jc w:val="center"/>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t xml:space="preserve">                日期：</w:t>
      </w:r>
    </w:p>
    <w:p w14:paraId="0FE3E38F">
      <w:pPr>
        <w:widowControl/>
        <w:ind w:firstLine="480"/>
        <w:jc w:val="center"/>
        <w:rPr>
          <w:rFonts w:ascii="仿宋" w:hAnsi="仿宋" w:eastAsia="仿宋" w:cstheme="minorEastAsia"/>
          <w:color w:val="auto"/>
          <w:kern w:val="0"/>
          <w:highlight w:val="none"/>
          <w:lang w:bidi="ar"/>
        </w:rPr>
      </w:pPr>
    </w:p>
    <w:p w14:paraId="02638E9B">
      <w:pPr>
        <w:widowControl/>
        <w:ind w:firstLine="480"/>
        <w:jc w:val="center"/>
        <w:rPr>
          <w:rFonts w:ascii="仿宋" w:hAnsi="仿宋" w:eastAsia="仿宋" w:cstheme="minorEastAsia"/>
          <w:color w:val="auto"/>
          <w:kern w:val="0"/>
          <w:highlight w:val="none"/>
          <w:lang w:bidi="ar"/>
        </w:rPr>
      </w:pPr>
    </w:p>
    <w:p w14:paraId="041435AC">
      <w:pPr>
        <w:widowControl/>
        <w:ind w:firstLine="480"/>
        <w:jc w:val="center"/>
        <w:rPr>
          <w:rFonts w:ascii="仿宋" w:hAnsi="仿宋" w:eastAsia="仿宋" w:cstheme="minorEastAsia"/>
          <w:color w:val="auto"/>
          <w:kern w:val="0"/>
          <w:highlight w:val="none"/>
          <w:lang w:bidi="ar"/>
        </w:rPr>
      </w:pPr>
    </w:p>
    <w:p w14:paraId="19EDEDA5">
      <w:pPr>
        <w:widowControl/>
        <w:spacing w:line="0" w:lineRule="atLeast"/>
        <w:ind w:firstLine="360"/>
        <w:rPr>
          <w:rFonts w:ascii="仿宋" w:hAnsi="仿宋" w:eastAsia="仿宋" w:cs="微软雅黑"/>
          <w:color w:val="auto"/>
          <w:kern w:val="0"/>
          <w:sz w:val="18"/>
          <w:szCs w:val="18"/>
          <w:highlight w:val="none"/>
          <w:u w:val="single"/>
          <w:lang w:bidi="ar"/>
        </w:rPr>
      </w:pPr>
      <w:r>
        <w:rPr>
          <w:rFonts w:hint="eastAsia" w:ascii="仿宋" w:hAnsi="仿宋" w:eastAsia="仿宋" w:cs="微软雅黑"/>
          <w:color w:val="auto"/>
          <w:kern w:val="0"/>
          <w:sz w:val="18"/>
          <w:szCs w:val="18"/>
          <w:highlight w:val="none"/>
          <w:u w:val="single"/>
          <w:lang w:bidi="ar"/>
        </w:rPr>
        <w:t xml:space="preserve">                                         </w:t>
      </w:r>
    </w:p>
    <w:p w14:paraId="3B422E3D">
      <w:pPr>
        <w:spacing w:line="0" w:lineRule="atLeast"/>
        <w:ind w:firstLine="360"/>
        <w:rPr>
          <w:rFonts w:ascii="仿宋" w:hAnsi="仿宋" w:eastAsia="仿宋" w:cstheme="minorEastAsia"/>
          <w:color w:val="auto"/>
          <w:kern w:val="0"/>
          <w:sz w:val="18"/>
          <w:szCs w:val="18"/>
          <w:highlight w:val="none"/>
          <w:lang w:bidi="ar"/>
        </w:rPr>
      </w:pPr>
      <w:r>
        <w:rPr>
          <w:rFonts w:hint="eastAsia" w:ascii="宋体" w:hAnsi="宋体" w:eastAsia="宋体" w:cs="宋体"/>
          <w:color w:val="auto"/>
          <w:kern w:val="0"/>
          <w:sz w:val="18"/>
          <w:szCs w:val="18"/>
          <w:highlight w:val="none"/>
          <w:lang w:bidi="ar"/>
        </w:rPr>
        <w:t>¹</w:t>
      </w:r>
      <w:r>
        <w:rPr>
          <w:rFonts w:hint="eastAsia" w:ascii="仿宋" w:hAnsi="仿宋" w:eastAsia="仿宋" w:cstheme="minorEastAsia"/>
          <w:color w:val="auto"/>
          <w:kern w:val="0"/>
          <w:sz w:val="18"/>
          <w:szCs w:val="18"/>
          <w:highlight w:val="none"/>
          <w:lang w:bidi="ar"/>
        </w:rPr>
        <w:t>从业人员、营业收入、资产总额填报上一年度数据，无上一年度数据的新成立企业可不填报。</w:t>
      </w:r>
    </w:p>
    <w:p w14:paraId="011CFF9F">
      <w:pPr>
        <w:ind w:firstLine="360"/>
        <w:rPr>
          <w:rFonts w:ascii="仿宋" w:hAnsi="仿宋" w:eastAsia="仿宋" w:cstheme="minorEastAsia"/>
          <w:color w:val="auto"/>
          <w:kern w:val="0"/>
          <w:sz w:val="18"/>
          <w:szCs w:val="18"/>
          <w:highlight w:val="none"/>
          <w:lang w:bidi="ar"/>
        </w:rPr>
      </w:pPr>
    </w:p>
    <w:p w14:paraId="38B5204C">
      <w:pPr>
        <w:ind w:firstLine="360"/>
        <w:rPr>
          <w:rFonts w:ascii="仿宋" w:hAnsi="仿宋" w:eastAsia="仿宋" w:cstheme="minorEastAsia"/>
          <w:color w:val="auto"/>
          <w:kern w:val="0"/>
          <w:sz w:val="18"/>
          <w:szCs w:val="18"/>
          <w:highlight w:val="none"/>
          <w:lang w:bidi="ar"/>
        </w:rPr>
      </w:pPr>
    </w:p>
    <w:p w14:paraId="619821C4">
      <w:pPr>
        <w:ind w:firstLine="360"/>
        <w:rPr>
          <w:rFonts w:ascii="仿宋" w:hAnsi="仿宋" w:eastAsia="仿宋" w:cstheme="minorEastAsia"/>
          <w:color w:val="auto"/>
          <w:kern w:val="0"/>
          <w:sz w:val="18"/>
          <w:szCs w:val="18"/>
          <w:highlight w:val="none"/>
          <w:lang w:bidi="ar"/>
        </w:rPr>
      </w:pPr>
    </w:p>
    <w:p w14:paraId="0CFCBD34">
      <w:pPr>
        <w:ind w:firstLine="360"/>
        <w:rPr>
          <w:rFonts w:ascii="仿宋" w:hAnsi="仿宋" w:eastAsia="仿宋" w:cstheme="minorEastAsia"/>
          <w:color w:val="auto"/>
          <w:kern w:val="0"/>
          <w:sz w:val="18"/>
          <w:szCs w:val="18"/>
          <w:highlight w:val="none"/>
          <w:lang w:bidi="ar"/>
        </w:rPr>
      </w:pPr>
    </w:p>
    <w:p w14:paraId="351D60EF">
      <w:pPr>
        <w:ind w:firstLine="480"/>
        <w:rPr>
          <w:rFonts w:ascii="仿宋" w:hAnsi="仿宋" w:eastAsia="仿宋" w:cstheme="minorEastAsia"/>
          <w:color w:val="auto"/>
          <w:kern w:val="0"/>
          <w:highlight w:val="none"/>
          <w:lang w:bidi="ar"/>
        </w:rPr>
      </w:pPr>
      <w:r>
        <w:rPr>
          <w:rFonts w:hint="eastAsia" w:ascii="仿宋" w:hAnsi="仿宋" w:eastAsia="仿宋" w:cstheme="minorEastAsia"/>
          <w:color w:val="auto"/>
          <w:kern w:val="0"/>
          <w:highlight w:val="none"/>
          <w:lang w:bidi="ar"/>
        </w:rPr>
        <w:br w:type="page"/>
      </w:r>
    </w:p>
    <w:p w14:paraId="38DE7910">
      <w:pPr>
        <w:widowControl/>
        <w:ind w:firstLine="480"/>
        <w:rPr>
          <w:rFonts w:ascii="仿宋" w:hAnsi="仿宋" w:eastAsia="仿宋"/>
          <w:color w:val="auto"/>
          <w:highlight w:val="none"/>
        </w:rPr>
      </w:pPr>
      <w:r>
        <w:rPr>
          <w:rFonts w:hint="eastAsia" w:ascii="仿宋" w:hAnsi="仿宋" w:eastAsia="仿宋" w:cstheme="minorEastAsia"/>
          <w:color w:val="auto"/>
          <w:kern w:val="0"/>
          <w:highlight w:val="none"/>
          <w:lang w:bidi="ar"/>
        </w:rPr>
        <w:t>附 2</w:t>
      </w:r>
      <w:r>
        <w:rPr>
          <w:rFonts w:ascii="仿宋" w:hAnsi="仿宋" w:eastAsia="仿宋" w:cs="仿宋"/>
          <w:color w:val="auto"/>
          <w:kern w:val="0"/>
          <w:sz w:val="31"/>
          <w:szCs w:val="31"/>
          <w:highlight w:val="none"/>
          <w:lang w:bidi="ar"/>
        </w:rPr>
        <w:t xml:space="preserve"> </w:t>
      </w:r>
    </w:p>
    <w:p w14:paraId="765876B5">
      <w:pPr>
        <w:widowControl/>
        <w:ind w:firstLine="640"/>
        <w:jc w:val="center"/>
        <w:rPr>
          <w:rFonts w:ascii="仿宋" w:hAnsi="仿宋" w:eastAsia="仿宋"/>
          <w:color w:val="auto"/>
          <w:highlight w:val="none"/>
        </w:rPr>
      </w:pPr>
      <w:r>
        <w:rPr>
          <w:rFonts w:hint="eastAsia" w:ascii="仿宋" w:hAnsi="仿宋" w:eastAsia="仿宋" w:cs="仿宋"/>
          <w:color w:val="auto"/>
          <w:kern w:val="0"/>
          <w:sz w:val="32"/>
          <w:szCs w:val="32"/>
          <w:highlight w:val="none"/>
          <w:u w:val="single"/>
          <w:lang w:bidi="ar"/>
        </w:rPr>
        <w:t>（单位名称）</w:t>
      </w:r>
      <w:r>
        <w:rPr>
          <w:rFonts w:hint="eastAsia" w:ascii="仿宋" w:hAnsi="仿宋" w:eastAsia="仿宋" w:cs="仿宋"/>
          <w:color w:val="auto"/>
          <w:kern w:val="0"/>
          <w:sz w:val="31"/>
          <w:szCs w:val="31"/>
          <w:highlight w:val="none"/>
          <w:lang w:bidi="ar"/>
        </w:rPr>
        <w:t>××</w:t>
      </w:r>
      <w:r>
        <w:rPr>
          <w:rFonts w:hint="eastAsia" w:ascii="仿宋" w:hAnsi="仿宋" w:eastAsia="仿宋" w:cs="宋体"/>
          <w:b/>
          <w:color w:val="auto"/>
          <w:kern w:val="0"/>
          <w:sz w:val="36"/>
          <w:szCs w:val="36"/>
          <w:highlight w:val="none"/>
          <w:lang w:bidi="ar"/>
        </w:rPr>
        <w:t>年面向中小企业</w:t>
      </w:r>
    </w:p>
    <w:p w14:paraId="0AABA662">
      <w:pPr>
        <w:widowControl/>
        <w:ind w:firstLine="723"/>
        <w:jc w:val="center"/>
        <w:rPr>
          <w:rFonts w:ascii="仿宋" w:hAnsi="仿宋" w:eastAsia="仿宋"/>
          <w:color w:val="auto"/>
          <w:highlight w:val="none"/>
        </w:rPr>
      </w:pPr>
      <w:r>
        <w:rPr>
          <w:rFonts w:hint="eastAsia" w:ascii="仿宋" w:hAnsi="仿宋" w:eastAsia="仿宋" w:cs="宋体"/>
          <w:b/>
          <w:color w:val="auto"/>
          <w:kern w:val="0"/>
          <w:sz w:val="36"/>
          <w:szCs w:val="36"/>
          <w:highlight w:val="none"/>
          <w:lang w:bidi="ar"/>
        </w:rPr>
        <w:t>预留项目执行情况公告</w:t>
      </w:r>
    </w:p>
    <w:p w14:paraId="3937FFEF">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 xml:space="preserve">根据《政府采购促进中小企业发展管理办法》（财库﹝2020﹞46 号）要求，现对本部门（单位）××年面向中小企业预留项目执行情况公告如下： </w:t>
      </w:r>
    </w:p>
    <w:p w14:paraId="592D10F2">
      <w:pPr>
        <w:widowControl/>
        <w:ind w:firstLine="480"/>
        <w:rPr>
          <w:rFonts w:ascii="仿宋" w:hAnsi="仿宋" w:eastAsia="仿宋" w:cstheme="minorEastAsia"/>
          <w:color w:val="auto"/>
          <w:highlight w:val="none"/>
        </w:rPr>
      </w:pPr>
      <w:r>
        <w:rPr>
          <w:rFonts w:hint="eastAsia" w:ascii="仿宋" w:hAnsi="仿宋" w:eastAsia="仿宋" w:cstheme="minorEastAsia"/>
          <w:color w:val="auto"/>
          <w:kern w:val="0"/>
          <w:highlight w:val="none"/>
          <w:lang w:bidi="ar"/>
        </w:rPr>
        <w:t xml:space="preserve">本部门（单位）××年预留项目面向中小企业采购共计××万元，其中，面向小微企业采购××万元，占××%。 </w:t>
      </w:r>
    </w:p>
    <w:p w14:paraId="4F730488">
      <w:pPr>
        <w:widowControl/>
        <w:ind w:firstLine="562"/>
        <w:jc w:val="center"/>
        <w:rPr>
          <w:rFonts w:ascii="仿宋" w:hAnsi="仿宋" w:eastAsia="仿宋"/>
          <w:color w:val="auto"/>
          <w:highlight w:val="none"/>
        </w:rPr>
      </w:pPr>
      <w:r>
        <w:rPr>
          <w:rFonts w:hint="eastAsia" w:ascii="仿宋" w:hAnsi="仿宋" w:eastAsia="仿宋" w:cstheme="minorEastAsia"/>
          <w:b/>
          <w:bCs/>
          <w:color w:val="auto"/>
          <w:kern w:val="0"/>
          <w:sz w:val="28"/>
          <w:szCs w:val="28"/>
          <w:highlight w:val="none"/>
          <w:lang w:bidi="ar"/>
        </w:rPr>
        <w:t>面向中小企业预留项目明细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692"/>
        <w:gridCol w:w="2339"/>
        <w:gridCol w:w="2170"/>
        <w:gridCol w:w="2250"/>
      </w:tblGrid>
      <w:tr w14:paraId="69EB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38" w:type="pct"/>
            <w:vAlign w:val="center"/>
          </w:tcPr>
          <w:p w14:paraId="2C3E438B">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序号</w:t>
            </w:r>
          </w:p>
        </w:tc>
        <w:tc>
          <w:tcPr>
            <w:tcW w:w="914" w:type="pct"/>
            <w:vAlign w:val="center"/>
          </w:tcPr>
          <w:p w14:paraId="475A99E3">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项目名称</w:t>
            </w:r>
          </w:p>
        </w:tc>
        <w:tc>
          <w:tcPr>
            <w:tcW w:w="1262" w:type="pct"/>
            <w:vAlign w:val="center"/>
          </w:tcPr>
          <w:p w14:paraId="75D662FC">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预留选项</w:t>
            </w:r>
          </w:p>
        </w:tc>
        <w:tc>
          <w:tcPr>
            <w:tcW w:w="1171" w:type="pct"/>
            <w:vAlign w:val="center"/>
          </w:tcPr>
          <w:p w14:paraId="5B09E52B">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面向中小企业采购金额</w:t>
            </w:r>
          </w:p>
        </w:tc>
        <w:tc>
          <w:tcPr>
            <w:tcW w:w="1214" w:type="pct"/>
            <w:vAlign w:val="center"/>
          </w:tcPr>
          <w:p w14:paraId="28950486">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宋体"/>
                <w:b/>
                <w:color w:val="auto"/>
                <w:kern w:val="0"/>
                <w:sz w:val="28"/>
                <w:szCs w:val="28"/>
                <w:highlight w:val="none"/>
                <w:lang w:bidi="ar"/>
              </w:rPr>
              <w:t>合同链接</w:t>
            </w:r>
          </w:p>
        </w:tc>
      </w:tr>
      <w:tr w14:paraId="56E9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438" w:type="pct"/>
            <w:vAlign w:val="center"/>
          </w:tcPr>
          <w:p w14:paraId="13844F88">
            <w:pPr>
              <w:widowControl/>
              <w:ind w:firstLine="0" w:firstLineChars="0"/>
              <w:rPr>
                <w:rFonts w:ascii="仿宋" w:hAnsi="仿宋" w:eastAsia="仿宋" w:cs="宋体"/>
                <w:b/>
                <w:color w:val="auto"/>
                <w:kern w:val="0"/>
                <w:sz w:val="28"/>
                <w:szCs w:val="28"/>
                <w:highlight w:val="none"/>
                <w:lang w:bidi="ar"/>
              </w:rPr>
            </w:pPr>
          </w:p>
        </w:tc>
        <w:tc>
          <w:tcPr>
            <w:tcW w:w="914" w:type="pct"/>
            <w:vAlign w:val="center"/>
          </w:tcPr>
          <w:p w14:paraId="6040DB2F">
            <w:pPr>
              <w:widowControl/>
              <w:ind w:firstLine="0" w:firstLineChars="0"/>
              <w:jc w:val="center"/>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（填写集中采购目录以内或者采购限额标准以上的采购项目）</w:t>
            </w:r>
          </w:p>
        </w:tc>
        <w:tc>
          <w:tcPr>
            <w:tcW w:w="1262" w:type="pct"/>
            <w:vAlign w:val="center"/>
          </w:tcPr>
          <w:p w14:paraId="11C4CAC3">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highlight w:val="none"/>
                <w:lang w:bidi="ar"/>
              </w:rPr>
              <w:t>（填写“采购项目整体预留”、“设置专门采购包”、“要求以联合体形式参加”或者“要求合同分包”，除“采购项目全部预留”外，还应当填写预留给中小企业的比例）</w:t>
            </w:r>
          </w:p>
        </w:tc>
        <w:tc>
          <w:tcPr>
            <w:tcW w:w="1171" w:type="pct"/>
            <w:vAlign w:val="center"/>
          </w:tcPr>
          <w:p w14:paraId="056BD81A">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highlight w:val="none"/>
                <w:lang w:bidi="ar"/>
              </w:rPr>
              <w:t>（精确到万元）</w:t>
            </w:r>
          </w:p>
        </w:tc>
        <w:tc>
          <w:tcPr>
            <w:tcW w:w="1214" w:type="pct"/>
            <w:vAlign w:val="center"/>
          </w:tcPr>
          <w:p w14:paraId="43B8E0AF">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highlight w:val="none"/>
                <w:lang w:bidi="ar"/>
              </w:rPr>
              <w:t>（填写合同在中国政府采购网公开的网址，合同中应当包含有关联合体协议或者分包意向协议）</w:t>
            </w:r>
          </w:p>
        </w:tc>
      </w:tr>
      <w:tr w14:paraId="05BB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14C9CEA5">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sz w:val="31"/>
                <w:szCs w:val="31"/>
                <w:highlight w:val="none"/>
                <w:lang w:bidi="ar"/>
              </w:rPr>
              <w:t>……</w:t>
            </w:r>
          </w:p>
        </w:tc>
        <w:tc>
          <w:tcPr>
            <w:tcW w:w="914" w:type="pct"/>
            <w:vAlign w:val="center"/>
          </w:tcPr>
          <w:p w14:paraId="0401A6E2">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sz w:val="31"/>
                <w:szCs w:val="31"/>
                <w:highlight w:val="none"/>
                <w:lang w:bidi="ar"/>
              </w:rPr>
              <w:t>……</w:t>
            </w:r>
          </w:p>
        </w:tc>
        <w:tc>
          <w:tcPr>
            <w:tcW w:w="1262" w:type="pct"/>
            <w:vAlign w:val="center"/>
          </w:tcPr>
          <w:p w14:paraId="2DF3A32D">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sz w:val="31"/>
                <w:szCs w:val="31"/>
                <w:highlight w:val="none"/>
                <w:lang w:bidi="ar"/>
              </w:rPr>
              <w:t>……</w:t>
            </w:r>
          </w:p>
        </w:tc>
        <w:tc>
          <w:tcPr>
            <w:tcW w:w="1171" w:type="pct"/>
            <w:vAlign w:val="center"/>
          </w:tcPr>
          <w:p w14:paraId="5F308177">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sz w:val="31"/>
                <w:szCs w:val="31"/>
                <w:highlight w:val="none"/>
                <w:lang w:bidi="ar"/>
              </w:rPr>
              <w:t>……</w:t>
            </w:r>
          </w:p>
        </w:tc>
        <w:tc>
          <w:tcPr>
            <w:tcW w:w="1214" w:type="pct"/>
            <w:vAlign w:val="center"/>
          </w:tcPr>
          <w:p w14:paraId="49A3A2A6">
            <w:pPr>
              <w:widowControl/>
              <w:ind w:firstLine="0" w:firstLineChars="0"/>
              <w:jc w:val="center"/>
              <w:rPr>
                <w:rFonts w:ascii="仿宋" w:hAnsi="仿宋" w:eastAsia="仿宋" w:cs="宋体"/>
                <w:b/>
                <w:color w:val="auto"/>
                <w:kern w:val="0"/>
                <w:sz w:val="28"/>
                <w:szCs w:val="28"/>
                <w:highlight w:val="none"/>
                <w:lang w:bidi="ar"/>
              </w:rPr>
            </w:pPr>
            <w:r>
              <w:rPr>
                <w:rFonts w:hint="eastAsia" w:ascii="仿宋" w:hAnsi="仿宋" w:eastAsia="仿宋" w:cs="仿宋"/>
                <w:color w:val="auto"/>
                <w:kern w:val="0"/>
                <w:sz w:val="31"/>
                <w:szCs w:val="31"/>
                <w:highlight w:val="none"/>
                <w:lang w:bidi="ar"/>
              </w:rPr>
              <w:t>……</w:t>
            </w:r>
          </w:p>
        </w:tc>
      </w:tr>
    </w:tbl>
    <w:p w14:paraId="5E5F8311">
      <w:pPr>
        <w:widowControl/>
        <w:ind w:firstLine="620"/>
        <w:rPr>
          <w:rFonts w:ascii="仿宋" w:hAnsi="仿宋" w:eastAsia="仿宋"/>
          <w:color w:val="auto"/>
          <w:highlight w:val="none"/>
        </w:rPr>
      </w:pPr>
      <w:r>
        <w:rPr>
          <w:rFonts w:hint="eastAsia" w:ascii="仿宋" w:hAnsi="仿宋" w:eastAsia="仿宋" w:cs="仿宋"/>
          <w:color w:val="auto"/>
          <w:kern w:val="0"/>
          <w:sz w:val="31"/>
          <w:szCs w:val="31"/>
          <w:highlight w:val="none"/>
          <w:lang w:bidi="ar"/>
        </w:rPr>
        <w:t xml:space="preserve"> </w:t>
      </w:r>
    </w:p>
    <w:p w14:paraId="257E34E7">
      <w:pPr>
        <w:widowControl/>
        <w:ind w:firstLine="620"/>
        <w:jc w:val="center"/>
        <w:rPr>
          <w:rFonts w:ascii="仿宋" w:hAnsi="仿宋" w:eastAsia="仿宋" w:cs="仿宋"/>
          <w:color w:val="auto"/>
          <w:kern w:val="0"/>
          <w:sz w:val="31"/>
          <w:szCs w:val="31"/>
          <w:highlight w:val="none"/>
          <w:lang w:bidi="ar"/>
        </w:rPr>
      </w:pPr>
      <w:r>
        <w:rPr>
          <w:rFonts w:hint="eastAsia" w:ascii="仿宋" w:hAnsi="仿宋" w:eastAsia="仿宋" w:cs="仿宋"/>
          <w:color w:val="auto"/>
          <w:kern w:val="0"/>
          <w:sz w:val="31"/>
          <w:szCs w:val="31"/>
          <w:highlight w:val="none"/>
          <w:lang w:bidi="ar"/>
        </w:rPr>
        <w:t xml:space="preserve">                部门（单位）名称： </w:t>
      </w:r>
    </w:p>
    <w:p w14:paraId="09094FF1">
      <w:pPr>
        <w:widowControl/>
        <w:ind w:firstLine="4650" w:firstLineChars="1500"/>
        <w:jc w:val="both"/>
        <w:rPr>
          <w:rFonts w:ascii="仿宋" w:hAnsi="仿宋" w:eastAsia="仿宋"/>
          <w:color w:val="auto"/>
          <w:highlight w:val="none"/>
        </w:rPr>
      </w:pPr>
      <w:r>
        <w:rPr>
          <w:rFonts w:hint="eastAsia" w:ascii="仿宋" w:hAnsi="仿宋" w:eastAsia="仿宋" w:cs="仿宋"/>
          <w:color w:val="auto"/>
          <w:kern w:val="0"/>
          <w:sz w:val="31"/>
          <w:szCs w:val="31"/>
          <w:highlight w:val="none"/>
          <w:lang w:bidi="ar"/>
        </w:rPr>
        <w:t>日 期：</w:t>
      </w:r>
    </w:p>
    <w:p w14:paraId="36A87283">
      <w:pPr>
        <w:ind w:firstLine="360"/>
        <w:rPr>
          <w:rFonts w:ascii="仿宋" w:hAnsi="仿宋" w:eastAsia="仿宋" w:cstheme="minorEastAsia"/>
          <w:color w:val="auto"/>
          <w:kern w:val="0"/>
          <w:sz w:val="18"/>
          <w:szCs w:val="18"/>
          <w:highlight w:val="none"/>
          <w:lang w:bidi="ar"/>
        </w:rPr>
      </w:pPr>
    </w:p>
    <w:p w14:paraId="3899C707">
      <w:pPr>
        <w:ind w:firstLine="360"/>
        <w:rPr>
          <w:rFonts w:ascii="仿宋" w:hAnsi="仿宋" w:eastAsia="仿宋" w:cstheme="minorEastAsia"/>
          <w:color w:val="auto"/>
          <w:kern w:val="0"/>
          <w:sz w:val="18"/>
          <w:szCs w:val="18"/>
          <w:highlight w:val="none"/>
          <w:lang w:bidi="ar"/>
        </w:rPr>
      </w:pPr>
    </w:p>
    <w:p w14:paraId="6A2ACEFE">
      <w:pPr>
        <w:ind w:firstLine="360"/>
        <w:rPr>
          <w:rFonts w:ascii="仿宋" w:hAnsi="仿宋" w:eastAsia="仿宋" w:cstheme="minorEastAsia"/>
          <w:color w:val="auto"/>
          <w:kern w:val="0"/>
          <w:sz w:val="18"/>
          <w:szCs w:val="18"/>
          <w:highlight w:val="none"/>
          <w:lang w:bidi="ar"/>
        </w:rPr>
      </w:pPr>
    </w:p>
    <w:p w14:paraId="72B29E5C">
      <w:pPr>
        <w:ind w:firstLine="360"/>
        <w:rPr>
          <w:rFonts w:ascii="仿宋" w:hAnsi="仿宋" w:eastAsia="仿宋" w:cstheme="minorEastAsia"/>
          <w:color w:val="auto"/>
          <w:kern w:val="0"/>
          <w:sz w:val="18"/>
          <w:szCs w:val="18"/>
          <w:highlight w:val="none"/>
          <w:lang w:bidi="ar"/>
        </w:rPr>
      </w:pPr>
    </w:p>
    <w:p w14:paraId="7558E759">
      <w:pPr>
        <w:ind w:firstLine="360"/>
        <w:rPr>
          <w:rFonts w:ascii="仿宋" w:hAnsi="仿宋" w:eastAsia="仿宋" w:cstheme="minorEastAsia"/>
          <w:color w:val="auto"/>
          <w:kern w:val="0"/>
          <w:sz w:val="18"/>
          <w:szCs w:val="18"/>
          <w:highlight w:val="none"/>
          <w:lang w:bidi="ar"/>
        </w:rPr>
      </w:pPr>
    </w:p>
    <w:p w14:paraId="3D2DFC3A">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2.关于促进残疾人就业政府采购政策的通知</w:t>
      </w:r>
    </w:p>
    <w:p w14:paraId="4D74B9CD">
      <w:pPr>
        <w:spacing w:line="240" w:lineRule="atLeast"/>
        <w:ind w:firstLine="723"/>
        <w:jc w:val="center"/>
        <w:rPr>
          <w:rFonts w:ascii="仿宋" w:hAnsi="仿宋" w:eastAsia="仿宋" w:cstheme="minorEastAsia"/>
          <w:b/>
          <w:bCs/>
          <w:color w:val="auto"/>
          <w:sz w:val="36"/>
          <w:szCs w:val="36"/>
          <w:highlight w:val="none"/>
        </w:rPr>
      </w:pPr>
      <w:r>
        <w:rPr>
          <w:rFonts w:hint="eastAsia" w:ascii="仿宋" w:hAnsi="仿宋" w:eastAsia="仿宋" w:cstheme="minorEastAsia"/>
          <w:b/>
          <w:bCs/>
          <w:color w:val="auto"/>
          <w:sz w:val="36"/>
          <w:szCs w:val="36"/>
          <w:highlight w:val="none"/>
        </w:rPr>
        <w:t>关于促进残疾人就业政府采购政策的通知</w:t>
      </w:r>
    </w:p>
    <w:p w14:paraId="197161EB">
      <w:pPr>
        <w:spacing w:line="240" w:lineRule="atLeast"/>
        <w:ind w:firstLine="723"/>
        <w:jc w:val="center"/>
        <w:rPr>
          <w:rFonts w:ascii="仿宋" w:hAnsi="仿宋" w:eastAsia="仿宋" w:cstheme="minorEastAsia"/>
          <w:color w:val="auto"/>
          <w:highlight w:val="none"/>
        </w:rPr>
      </w:pPr>
      <w:r>
        <w:rPr>
          <w:rFonts w:hint="eastAsia" w:ascii="仿宋" w:hAnsi="仿宋" w:eastAsia="仿宋" w:cstheme="minorEastAsia"/>
          <w:b/>
          <w:bCs/>
          <w:color w:val="auto"/>
          <w:sz w:val="36"/>
          <w:szCs w:val="36"/>
          <w:highlight w:val="none"/>
        </w:rPr>
        <w:t>财库〔2017〕141号</w:t>
      </w:r>
    </w:p>
    <w:p w14:paraId="5F32AB26">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78A8C84">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为了发挥政府采购促进残疾人就业的作用，进一步保障残疾人权益，依照《政府采购法》、《残疾人保障法》等法律法规及相关规定，现就促进残疾人就业政府采购政策通知如下：</w:t>
      </w:r>
    </w:p>
    <w:p w14:paraId="74A6356E">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一、享受政府采购支持政策的残疾人福利性单位应当同时满足以下条件：</w:t>
      </w:r>
    </w:p>
    <w:p w14:paraId="0407DA5F">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（一）安置的残疾人占本单位在职职工人数的比例不低于25%（含25%），并且安置的残疾人人数不少于10人（含10人）；</w:t>
      </w:r>
    </w:p>
    <w:p w14:paraId="338BBA55">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（二）依法与安置的每位残疾人签订了一年以上（含一年）的劳动合同或服务协议；</w:t>
      </w:r>
    </w:p>
    <w:p w14:paraId="52EEA6D7">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（三）为安置的每位残疾人按月足额缴纳了基本养老保险、基本医疗保险、失业保险、工伤保险和生育保险等社会保险费；</w:t>
      </w:r>
    </w:p>
    <w:p w14:paraId="4400E898">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（四）通过银行等金融机构向安置的每位残疾人，按月支付了不低于单位所在区县适用的经省级人民政府批准的月最低工资标准的工资；</w:t>
      </w:r>
    </w:p>
    <w:p w14:paraId="6247D5B2">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（五）提供本单位制造的货物、承担的工程或者服务（以下简称产品），或者提供其他残疾人福利性单位制造的货物（不包括使用非残疾人福利性单位注册商标的货物）。</w:t>
      </w:r>
    </w:p>
    <w:p w14:paraId="057ED1DF">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48719C">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4F05598">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中标、成交供应商为残疾人福利性单位的，采购人或者其委托的采购代理机构应当随中标、成交结果同时公告其《残疾人福利性单位声明函》，接受社会监督。</w:t>
      </w:r>
    </w:p>
    <w:p w14:paraId="768FBAB8">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供应商提供的《残疾人福利性单位声明函》与事实不符的，依照《政府采购法》第七十七条第一款的规定追究法律责任。</w:t>
      </w:r>
    </w:p>
    <w:p w14:paraId="08B34526">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0EBA580">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四、采购人采购公开招标数额标准以上的货物或者服务，因落实促进残疾人就业政策的需要，依法履行有关报批程序后，可采用公开招标以外的采购方式。</w:t>
      </w:r>
    </w:p>
    <w:p w14:paraId="1E9A54A6">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143BFD">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6A9E085">
      <w:pPr>
        <w:spacing w:line="240" w:lineRule="atLeast"/>
        <w:ind w:firstLine="480"/>
        <w:rPr>
          <w:rFonts w:ascii="仿宋" w:hAnsi="仿宋" w:eastAsia="仿宋" w:cstheme="minorEastAsia"/>
          <w:color w:val="auto"/>
          <w:highlight w:val="none"/>
        </w:rPr>
      </w:pPr>
      <w:r>
        <w:rPr>
          <w:rFonts w:hint="eastAsia" w:ascii="仿宋" w:hAnsi="仿宋" w:eastAsia="仿宋" w:cstheme="minorEastAsia"/>
          <w:color w:val="auto"/>
          <w:highlight w:val="none"/>
        </w:rPr>
        <w:t>　　七、本通知自2017年10月1日起执行。</w:t>
      </w:r>
    </w:p>
    <w:p w14:paraId="68FE27C5">
      <w:pPr>
        <w:spacing w:line="240" w:lineRule="atLeast"/>
        <w:ind w:firstLine="480"/>
        <w:jc w:val="right"/>
        <w:rPr>
          <w:rFonts w:ascii="仿宋" w:hAnsi="仿宋" w:eastAsia="仿宋" w:cstheme="minorEastAsia"/>
          <w:color w:val="auto"/>
          <w:highlight w:val="none"/>
        </w:rPr>
      </w:pPr>
      <w:r>
        <w:rPr>
          <w:rFonts w:hint="eastAsia" w:ascii="仿宋" w:hAnsi="仿宋" w:eastAsia="仿宋" w:cstheme="minorEastAsia"/>
          <w:color w:val="auto"/>
          <w:highlight w:val="none"/>
        </w:rPr>
        <w:t>　</w:t>
      </w:r>
    </w:p>
    <w:p w14:paraId="3E249738">
      <w:pPr>
        <w:spacing w:line="240" w:lineRule="atLeast"/>
        <w:ind w:firstLine="480"/>
        <w:jc w:val="right"/>
        <w:rPr>
          <w:rFonts w:ascii="仿宋" w:hAnsi="仿宋" w:eastAsia="仿宋" w:cstheme="minorEastAsia"/>
          <w:color w:val="auto"/>
          <w:highlight w:val="none"/>
        </w:rPr>
      </w:pPr>
      <w:r>
        <w:rPr>
          <w:rFonts w:hint="eastAsia" w:ascii="仿宋" w:hAnsi="仿宋" w:eastAsia="仿宋" w:cstheme="minorEastAsia"/>
          <w:color w:val="auto"/>
          <w:highlight w:val="none"/>
        </w:rPr>
        <w:t>　财政部</w:t>
      </w:r>
      <w:r>
        <w:rPr>
          <w:rFonts w:hint="eastAsia" w:ascii="宋体" w:hAnsi="宋体" w:eastAsia="宋体" w:cs="宋体"/>
          <w:color w:val="auto"/>
          <w:highlight w:val="none"/>
        </w:rPr>
        <w:t> </w:t>
      </w:r>
      <w:r>
        <w:rPr>
          <w:rFonts w:hint="eastAsia" w:ascii="仿宋" w:hAnsi="仿宋" w:eastAsia="仿宋" w:cstheme="minorEastAsia"/>
          <w:color w:val="auto"/>
          <w:highlight w:val="none"/>
        </w:rPr>
        <w:t>民政部</w:t>
      </w:r>
      <w:r>
        <w:rPr>
          <w:rFonts w:hint="eastAsia" w:ascii="宋体" w:hAnsi="宋体" w:eastAsia="宋体" w:cs="宋体"/>
          <w:color w:val="auto"/>
          <w:highlight w:val="none"/>
        </w:rPr>
        <w:t> </w:t>
      </w:r>
      <w:r>
        <w:rPr>
          <w:rFonts w:hint="eastAsia" w:ascii="仿宋" w:hAnsi="仿宋" w:eastAsia="仿宋" w:cstheme="minorEastAsia"/>
          <w:color w:val="auto"/>
          <w:highlight w:val="none"/>
        </w:rPr>
        <w:t>中国残疾人联合会</w:t>
      </w:r>
    </w:p>
    <w:p w14:paraId="0000C45D">
      <w:pPr>
        <w:spacing w:line="240" w:lineRule="atLeast"/>
        <w:ind w:firstLine="480"/>
        <w:jc w:val="right"/>
        <w:rPr>
          <w:rFonts w:ascii="仿宋" w:hAnsi="仿宋" w:eastAsia="仿宋" w:cstheme="minorEastAsia"/>
          <w:color w:val="auto"/>
          <w:highlight w:val="none"/>
        </w:rPr>
      </w:pPr>
      <w:r>
        <w:rPr>
          <w:rFonts w:hint="eastAsia" w:ascii="宋体" w:hAnsi="宋体" w:eastAsia="宋体" w:cs="宋体"/>
          <w:color w:val="auto"/>
          <w:highlight w:val="none"/>
        </w:rPr>
        <w:t>                                                    </w:t>
      </w:r>
      <w:r>
        <w:rPr>
          <w:rFonts w:hint="eastAsia" w:ascii="仿宋" w:hAnsi="仿宋" w:eastAsia="仿宋" w:cstheme="minorEastAsia"/>
          <w:color w:val="auto"/>
          <w:highlight w:val="none"/>
        </w:rPr>
        <w:t>2017年8月22日</w:t>
      </w:r>
    </w:p>
    <w:p w14:paraId="3421FD7E">
      <w:pPr>
        <w:pStyle w:val="15"/>
        <w:ind w:firstLine="602"/>
        <w:rPr>
          <w:rFonts w:ascii="仿宋" w:hAnsi="仿宋" w:eastAsia="仿宋" w:cstheme="minorEastAsia"/>
          <w:b/>
          <w:bCs/>
          <w:color w:val="auto"/>
          <w:sz w:val="30"/>
          <w:szCs w:val="30"/>
          <w:highlight w:val="none"/>
        </w:rPr>
      </w:pPr>
    </w:p>
    <w:p w14:paraId="43D80E78">
      <w:pPr>
        <w:pStyle w:val="15"/>
        <w:ind w:firstLine="602"/>
        <w:rPr>
          <w:rFonts w:ascii="仿宋" w:hAnsi="仿宋" w:eastAsia="仿宋" w:cstheme="minorEastAsia"/>
          <w:b/>
          <w:bCs/>
          <w:color w:val="auto"/>
          <w:sz w:val="30"/>
          <w:szCs w:val="30"/>
          <w:highlight w:val="none"/>
        </w:rPr>
      </w:pPr>
    </w:p>
    <w:p w14:paraId="0D946BF2">
      <w:pPr>
        <w:pStyle w:val="15"/>
        <w:ind w:firstLine="602"/>
        <w:rPr>
          <w:rFonts w:ascii="仿宋" w:hAnsi="仿宋" w:eastAsia="仿宋" w:cstheme="minorEastAsia"/>
          <w:b/>
          <w:bCs/>
          <w:color w:val="auto"/>
          <w:sz w:val="30"/>
          <w:szCs w:val="30"/>
          <w:highlight w:val="none"/>
        </w:rPr>
      </w:pPr>
    </w:p>
    <w:p w14:paraId="13141BE7">
      <w:pPr>
        <w:pStyle w:val="15"/>
        <w:ind w:firstLine="602"/>
        <w:rPr>
          <w:rFonts w:ascii="仿宋" w:hAnsi="仿宋" w:eastAsia="仿宋" w:cstheme="minorEastAsia"/>
          <w:b/>
          <w:bCs/>
          <w:color w:val="auto"/>
          <w:sz w:val="30"/>
          <w:szCs w:val="30"/>
          <w:highlight w:val="none"/>
        </w:rPr>
      </w:pPr>
    </w:p>
    <w:p w14:paraId="55B12279">
      <w:pPr>
        <w:pStyle w:val="15"/>
        <w:ind w:firstLine="602"/>
        <w:rPr>
          <w:rFonts w:ascii="仿宋" w:hAnsi="仿宋" w:eastAsia="仿宋" w:cstheme="minorEastAsia"/>
          <w:b/>
          <w:bCs/>
          <w:color w:val="auto"/>
          <w:sz w:val="30"/>
          <w:szCs w:val="30"/>
          <w:highlight w:val="none"/>
        </w:rPr>
      </w:pPr>
    </w:p>
    <w:p w14:paraId="39719DC6">
      <w:pPr>
        <w:pStyle w:val="15"/>
        <w:ind w:firstLine="602"/>
        <w:rPr>
          <w:rFonts w:ascii="仿宋" w:hAnsi="仿宋" w:eastAsia="仿宋" w:cstheme="minorEastAsia"/>
          <w:b/>
          <w:bCs/>
          <w:color w:val="auto"/>
          <w:sz w:val="30"/>
          <w:szCs w:val="30"/>
          <w:highlight w:val="none"/>
        </w:rPr>
      </w:pPr>
    </w:p>
    <w:p w14:paraId="1C04D04E">
      <w:pPr>
        <w:pStyle w:val="15"/>
        <w:ind w:firstLine="602"/>
        <w:rPr>
          <w:rFonts w:ascii="仿宋" w:hAnsi="仿宋" w:eastAsia="仿宋" w:cstheme="minorEastAsia"/>
          <w:b/>
          <w:bCs/>
          <w:color w:val="auto"/>
          <w:sz w:val="30"/>
          <w:szCs w:val="30"/>
          <w:highlight w:val="none"/>
        </w:rPr>
      </w:pPr>
    </w:p>
    <w:p w14:paraId="49674BBB">
      <w:pPr>
        <w:pStyle w:val="15"/>
        <w:ind w:firstLine="602"/>
        <w:rPr>
          <w:rFonts w:ascii="仿宋" w:hAnsi="仿宋" w:eastAsia="仿宋" w:cstheme="minorEastAsia"/>
          <w:b/>
          <w:bCs/>
          <w:color w:val="auto"/>
          <w:sz w:val="30"/>
          <w:szCs w:val="30"/>
          <w:highlight w:val="none"/>
        </w:rPr>
      </w:pPr>
    </w:p>
    <w:p w14:paraId="1016A1F7">
      <w:pPr>
        <w:pStyle w:val="15"/>
        <w:ind w:firstLine="602"/>
        <w:rPr>
          <w:rFonts w:ascii="仿宋" w:hAnsi="仿宋" w:eastAsia="仿宋" w:cstheme="minorEastAsia"/>
          <w:b/>
          <w:bCs/>
          <w:color w:val="auto"/>
          <w:sz w:val="30"/>
          <w:szCs w:val="30"/>
          <w:highlight w:val="none"/>
        </w:rPr>
      </w:pPr>
    </w:p>
    <w:p w14:paraId="51FAF9E1">
      <w:pPr>
        <w:pStyle w:val="15"/>
        <w:ind w:firstLine="602"/>
        <w:rPr>
          <w:rFonts w:ascii="仿宋" w:hAnsi="仿宋" w:eastAsia="仿宋" w:cstheme="minorEastAsia"/>
          <w:b/>
          <w:bCs/>
          <w:color w:val="auto"/>
          <w:sz w:val="30"/>
          <w:szCs w:val="30"/>
          <w:highlight w:val="none"/>
        </w:rPr>
      </w:pPr>
    </w:p>
    <w:p w14:paraId="10997C3A">
      <w:pPr>
        <w:pStyle w:val="15"/>
        <w:ind w:firstLine="602"/>
        <w:rPr>
          <w:rFonts w:ascii="仿宋" w:hAnsi="仿宋" w:eastAsia="仿宋" w:cstheme="minorEastAsia"/>
          <w:b/>
          <w:bCs/>
          <w:color w:val="auto"/>
          <w:sz w:val="30"/>
          <w:szCs w:val="30"/>
          <w:highlight w:val="none"/>
        </w:rPr>
      </w:pPr>
    </w:p>
    <w:p w14:paraId="79AA3059">
      <w:pPr>
        <w:pStyle w:val="15"/>
        <w:ind w:firstLine="602"/>
        <w:rPr>
          <w:rFonts w:ascii="仿宋" w:hAnsi="仿宋" w:eastAsia="仿宋" w:cstheme="minorEastAsia"/>
          <w:b/>
          <w:bCs/>
          <w:color w:val="auto"/>
          <w:sz w:val="30"/>
          <w:szCs w:val="30"/>
          <w:highlight w:val="none"/>
        </w:rPr>
      </w:pPr>
    </w:p>
    <w:p w14:paraId="051A4AB0">
      <w:pPr>
        <w:pStyle w:val="15"/>
        <w:ind w:firstLine="602"/>
        <w:rPr>
          <w:rFonts w:ascii="仿宋" w:hAnsi="仿宋" w:eastAsia="仿宋" w:cstheme="minorEastAsia"/>
          <w:b/>
          <w:bCs/>
          <w:color w:val="auto"/>
          <w:sz w:val="30"/>
          <w:szCs w:val="30"/>
          <w:highlight w:val="none"/>
        </w:rPr>
      </w:pPr>
    </w:p>
    <w:p w14:paraId="3CAEB05A">
      <w:pPr>
        <w:pStyle w:val="15"/>
        <w:ind w:firstLine="602"/>
        <w:rPr>
          <w:rFonts w:ascii="仿宋" w:hAnsi="仿宋" w:eastAsia="仿宋" w:cstheme="minorEastAsia"/>
          <w:b/>
          <w:bCs/>
          <w:color w:val="auto"/>
          <w:sz w:val="30"/>
          <w:szCs w:val="30"/>
          <w:highlight w:val="none"/>
        </w:rPr>
      </w:pPr>
    </w:p>
    <w:p w14:paraId="09007366">
      <w:pPr>
        <w:pStyle w:val="15"/>
        <w:ind w:firstLine="602"/>
        <w:rPr>
          <w:rFonts w:ascii="仿宋" w:hAnsi="仿宋" w:eastAsia="仿宋" w:cstheme="minorEastAsia"/>
          <w:b/>
          <w:bCs/>
          <w:color w:val="auto"/>
          <w:sz w:val="30"/>
          <w:szCs w:val="30"/>
          <w:highlight w:val="none"/>
        </w:rPr>
      </w:pPr>
    </w:p>
    <w:p w14:paraId="0AA97465">
      <w:pPr>
        <w:pStyle w:val="15"/>
        <w:ind w:firstLine="602"/>
        <w:rPr>
          <w:rFonts w:ascii="仿宋" w:hAnsi="仿宋" w:eastAsia="仿宋" w:cstheme="minorEastAsia"/>
          <w:b/>
          <w:bCs/>
          <w:color w:val="auto"/>
          <w:sz w:val="30"/>
          <w:szCs w:val="30"/>
          <w:highlight w:val="none"/>
        </w:rPr>
      </w:pPr>
    </w:p>
    <w:p w14:paraId="64FB87CB">
      <w:pPr>
        <w:pStyle w:val="15"/>
        <w:ind w:firstLine="602"/>
        <w:rPr>
          <w:rFonts w:ascii="仿宋" w:hAnsi="仿宋" w:eastAsia="仿宋" w:cstheme="minorEastAsia"/>
          <w:b/>
          <w:bCs/>
          <w:color w:val="auto"/>
          <w:sz w:val="30"/>
          <w:szCs w:val="30"/>
          <w:highlight w:val="none"/>
        </w:rPr>
      </w:pPr>
    </w:p>
    <w:p w14:paraId="42A1BD4D">
      <w:pPr>
        <w:pStyle w:val="15"/>
        <w:ind w:firstLine="602"/>
        <w:rPr>
          <w:rFonts w:ascii="仿宋" w:hAnsi="仿宋" w:eastAsia="仿宋" w:cstheme="minorEastAsia"/>
          <w:b/>
          <w:bCs/>
          <w:color w:val="auto"/>
          <w:sz w:val="30"/>
          <w:szCs w:val="30"/>
          <w:highlight w:val="none"/>
        </w:rPr>
      </w:pPr>
    </w:p>
    <w:p w14:paraId="194A36D6">
      <w:pPr>
        <w:pStyle w:val="15"/>
        <w:ind w:firstLine="602"/>
        <w:rPr>
          <w:rFonts w:ascii="仿宋" w:hAnsi="仿宋" w:eastAsia="仿宋" w:cstheme="minorEastAsia"/>
          <w:b/>
          <w:bCs/>
          <w:color w:val="auto"/>
          <w:sz w:val="30"/>
          <w:szCs w:val="30"/>
          <w:highlight w:val="none"/>
        </w:rPr>
      </w:pPr>
    </w:p>
    <w:p w14:paraId="6FFFB72B">
      <w:pPr>
        <w:widowControl/>
        <w:ind w:firstLine="0" w:firstLineChars="0"/>
        <w:rPr>
          <w:rFonts w:ascii="仿宋" w:hAnsi="仿宋" w:eastAsia="仿宋" w:cstheme="minorEastAsia"/>
          <w:bCs/>
          <w:color w:val="auto"/>
          <w:highlight w:val="none"/>
        </w:rPr>
      </w:pPr>
    </w:p>
    <w:p w14:paraId="4EFCE89F">
      <w:pPr>
        <w:widowControl/>
        <w:ind w:firstLine="0" w:firstLineChars="0"/>
        <w:rPr>
          <w:rFonts w:ascii="仿宋" w:hAnsi="仿宋" w:eastAsia="仿宋" w:cstheme="minorEastAsia"/>
          <w:color w:val="auto"/>
          <w:kern w:val="0"/>
          <w:highlight w:val="none"/>
        </w:rPr>
      </w:pPr>
      <w:r>
        <w:rPr>
          <w:rFonts w:hint="eastAsia" w:ascii="仿宋" w:hAnsi="仿宋" w:eastAsia="仿宋" w:cstheme="minorEastAsia"/>
          <w:bCs/>
          <w:color w:val="auto"/>
          <w:highlight w:val="none"/>
        </w:rPr>
        <w:t>3.</w:t>
      </w:r>
      <w:r>
        <w:rPr>
          <w:rFonts w:hint="eastAsia" w:ascii="仿宋" w:hAnsi="仿宋" w:eastAsia="仿宋" w:cstheme="minorEastAsia"/>
          <w:bCs/>
          <w:color w:val="auto"/>
          <w:kern w:val="0"/>
          <w:highlight w:val="none"/>
        </w:rPr>
        <w:t>监</w:t>
      </w:r>
      <w:r>
        <w:rPr>
          <w:rFonts w:hint="eastAsia" w:ascii="仿宋" w:hAnsi="仿宋" w:eastAsia="仿宋" w:cstheme="minorEastAsia"/>
          <w:color w:val="auto"/>
          <w:kern w:val="0"/>
          <w:highlight w:val="none"/>
        </w:rPr>
        <w:t>狱企业发展有关问题的通知 财库〔2014〕68号</w:t>
      </w:r>
    </w:p>
    <w:p w14:paraId="4E9CBE1F">
      <w:pPr>
        <w:widowControl/>
        <w:ind w:firstLine="723"/>
        <w:jc w:val="center"/>
        <w:rPr>
          <w:rFonts w:ascii="仿宋" w:hAnsi="仿宋" w:eastAsia="仿宋" w:cstheme="minorEastAsia"/>
          <w:color w:val="auto"/>
          <w:kern w:val="0"/>
          <w:highlight w:val="none"/>
        </w:rPr>
      </w:pPr>
      <w:r>
        <w:rPr>
          <w:rFonts w:hint="eastAsia" w:ascii="仿宋" w:hAnsi="仿宋" w:eastAsia="仿宋" w:cstheme="minorEastAsia"/>
          <w:b/>
          <w:bCs/>
          <w:color w:val="auto"/>
          <w:kern w:val="0"/>
          <w:sz w:val="36"/>
          <w:szCs w:val="36"/>
          <w:highlight w:val="none"/>
        </w:rPr>
        <w:t>财政部 司法部关于政府采购支持监狱企业发展有关问题的通知 (财库〔2014〕68号)</w:t>
      </w:r>
    </w:p>
    <w:p w14:paraId="11BFFDBE">
      <w:pPr>
        <w:widowControl/>
        <w:ind w:firstLine="480"/>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84EF78C">
      <w:pPr>
        <w:widowControl/>
        <w:ind w:firstLine="480"/>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E6D7A1D">
      <w:pPr>
        <w:widowControl/>
        <w:ind w:firstLine="480"/>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527411">
      <w:pPr>
        <w:widowControl/>
        <w:ind w:firstLine="480"/>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　　二、在政府采购活动中，监狱企业视同小型、微型企业，享受预留份额、评审中价格扣除等政府采购促进中小企业发展的政府采购政策。向监狱企业采购的金额，计入面向中小企业采购的统计数据。</w:t>
      </w:r>
    </w:p>
    <w:p w14:paraId="5C4BE897">
      <w:pPr>
        <w:widowControl/>
        <w:ind w:firstLine="480"/>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5FCFA93">
      <w:pPr>
        <w:widowControl/>
        <w:ind w:firstLine="480"/>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　　四、各地区可以结合本地区实际，对监狱企业生产的办公用品、家具用具、车辆维修和提供的保养服务、消防设备等，提出预留份额等政府采购支持措施，加大对监狱企业产品的采购力度。</w:t>
      </w:r>
    </w:p>
    <w:p w14:paraId="7A1F1E4E">
      <w:pPr>
        <w:widowControl/>
        <w:ind w:firstLine="480"/>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EC97251">
      <w:pPr>
        <w:widowControl/>
        <w:ind w:firstLine="480"/>
        <w:jc w:val="right"/>
        <w:rPr>
          <w:rFonts w:ascii="仿宋" w:hAnsi="仿宋" w:eastAsia="仿宋" w:cstheme="minorEastAsia"/>
          <w:color w:val="auto"/>
          <w:kern w:val="0"/>
          <w:highlight w:val="none"/>
        </w:rPr>
      </w:pPr>
    </w:p>
    <w:p w14:paraId="0D21B981">
      <w:pPr>
        <w:widowControl/>
        <w:ind w:firstLine="480"/>
        <w:jc w:val="right"/>
        <w:rPr>
          <w:rFonts w:ascii="仿宋" w:hAnsi="仿宋" w:eastAsia="仿宋" w:cstheme="minorEastAsia"/>
          <w:color w:val="auto"/>
          <w:kern w:val="0"/>
          <w:highlight w:val="none"/>
        </w:rPr>
      </w:pPr>
    </w:p>
    <w:p w14:paraId="2D738BCD">
      <w:pPr>
        <w:widowControl/>
        <w:ind w:firstLine="480"/>
        <w:jc w:val="right"/>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中华人民共和国财政部</w:t>
      </w:r>
    </w:p>
    <w:p w14:paraId="3B68B5F4">
      <w:pPr>
        <w:widowControl/>
        <w:ind w:firstLine="480"/>
        <w:jc w:val="right"/>
        <w:rPr>
          <w:rFonts w:hint="default" w:ascii="仿宋" w:hAnsi="仿宋" w:eastAsia="仿宋" w:cstheme="minorEastAsia"/>
          <w:color w:val="auto"/>
          <w:kern w:val="0"/>
          <w:highlight w:val="none"/>
          <w:lang w:val="en-US"/>
        </w:rPr>
      </w:pPr>
      <w:r>
        <w:rPr>
          <w:rFonts w:hint="eastAsia" w:ascii="仿宋" w:hAnsi="仿宋" w:eastAsia="仿宋" w:cstheme="minorEastAsia"/>
          <w:color w:val="auto"/>
          <w:kern w:val="0"/>
          <w:highlight w:val="none"/>
        </w:rPr>
        <w:t>中华人民共和国司法部</w:t>
      </w:r>
    </w:p>
    <w:p w14:paraId="48F7A497">
      <w:pPr>
        <w:widowControl/>
        <w:ind w:firstLine="480"/>
        <w:jc w:val="right"/>
        <w:rPr>
          <w:rFonts w:ascii="仿宋" w:hAnsi="仿宋" w:eastAsia="仿宋" w:cstheme="minorEastAsia"/>
          <w:color w:val="auto"/>
          <w:kern w:val="0"/>
          <w:highlight w:val="none"/>
        </w:rPr>
      </w:pPr>
      <w:r>
        <w:rPr>
          <w:rFonts w:hint="eastAsia" w:ascii="仿宋" w:hAnsi="仿宋" w:eastAsia="仿宋" w:cstheme="minorEastAsia"/>
          <w:color w:val="auto"/>
          <w:kern w:val="0"/>
          <w:highlight w:val="none"/>
        </w:rPr>
        <w:t>2014年6月10日</w:t>
      </w:r>
    </w:p>
    <w:sectPr>
      <w:headerReference r:id="rId13" w:type="default"/>
      <w:pgSz w:w="11907" w:h="16840"/>
      <w:pgMar w:top="1531" w:right="1418" w:bottom="1361" w:left="1418" w:header="720" w:footer="720" w:gutter="0"/>
      <w:cols w:space="425"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759932"/>
    </w:sdtPr>
    <w:sdtContent>
      <w:p w14:paraId="49A37144">
        <w:pPr>
          <w:pStyle w:val="18"/>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346B2">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8C72">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323E">
    <w:pPr>
      <w:pStyle w:val="18"/>
      <w:ind w:firstLine="360"/>
      <w:jc w:val="center"/>
    </w:pPr>
    <w:r>
      <w:fldChar w:fldCharType="begin"/>
    </w:r>
    <w:r>
      <w:instrText xml:space="preserve">PAGE</w:instrText>
    </w:r>
    <w:r>
      <w:fldChar w:fldCharType="separate"/>
    </w:r>
    <w: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1171">
    <w:pPr>
      <w:pStyle w:val="2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9B7E">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4996">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20D00">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55DB">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083C7"/>
    <w:multiLevelType w:val="singleLevel"/>
    <w:tmpl w:val="B7E083C7"/>
    <w:lvl w:ilvl="0" w:tentative="0">
      <w:start w:val="9"/>
      <w:numFmt w:val="chineseCounting"/>
      <w:suff w:val="space"/>
      <w:lvlText w:val="第%1条"/>
      <w:lvlJc w:val="left"/>
      <w:rPr>
        <w:rFonts w:hint="eastAsia"/>
      </w:rPr>
    </w:lvl>
  </w:abstractNum>
  <w:abstractNum w:abstractNumId="1">
    <w:nsid w:val="B987BE22"/>
    <w:multiLevelType w:val="singleLevel"/>
    <w:tmpl w:val="B987BE22"/>
    <w:lvl w:ilvl="0" w:tentative="0">
      <w:start w:val="4"/>
      <w:numFmt w:val="chineseCounting"/>
      <w:suff w:val="nothing"/>
      <w:lvlText w:val="%1、"/>
      <w:lvlJc w:val="left"/>
      <w:rPr>
        <w:rFonts w:hint="eastAsia"/>
      </w:rPr>
    </w:lvl>
  </w:abstractNum>
  <w:abstractNum w:abstractNumId="2">
    <w:nsid w:val="205D3A8C"/>
    <w:multiLevelType w:val="singleLevel"/>
    <w:tmpl w:val="205D3A8C"/>
    <w:lvl w:ilvl="0" w:tentative="0">
      <w:start w:val="7"/>
      <w:numFmt w:val="chineseCounting"/>
      <w:suff w:val="nothing"/>
      <w:lvlText w:val="%1、"/>
      <w:lvlJc w:val="left"/>
      <w:rPr>
        <w:rFonts w:hint="eastAsia"/>
      </w:rPr>
    </w:lvl>
  </w:abstractNum>
  <w:abstractNum w:abstractNumId="3">
    <w:nsid w:val="4B9ECBB8"/>
    <w:multiLevelType w:val="singleLevel"/>
    <w:tmpl w:val="4B9ECBB8"/>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ODZhN2YyM2JkMTI3YjY4MDI0YTg3ZjgxZTA1OGQifQ=="/>
  </w:docVars>
  <w:rsids>
    <w:rsidRoot w:val="00A776B4"/>
    <w:rsid w:val="0000073E"/>
    <w:rsid w:val="00000B7D"/>
    <w:rsid w:val="000010B4"/>
    <w:rsid w:val="000016F5"/>
    <w:rsid w:val="00002ADE"/>
    <w:rsid w:val="00002BE9"/>
    <w:rsid w:val="000044DE"/>
    <w:rsid w:val="00006515"/>
    <w:rsid w:val="0000683E"/>
    <w:rsid w:val="000072E0"/>
    <w:rsid w:val="0000762B"/>
    <w:rsid w:val="000078E5"/>
    <w:rsid w:val="00007EC8"/>
    <w:rsid w:val="000119A0"/>
    <w:rsid w:val="00020FE6"/>
    <w:rsid w:val="00023A94"/>
    <w:rsid w:val="00024809"/>
    <w:rsid w:val="0002483C"/>
    <w:rsid w:val="00025248"/>
    <w:rsid w:val="0002560E"/>
    <w:rsid w:val="000257CC"/>
    <w:rsid w:val="00025A64"/>
    <w:rsid w:val="00026CF9"/>
    <w:rsid w:val="000273AB"/>
    <w:rsid w:val="00027B86"/>
    <w:rsid w:val="000332D0"/>
    <w:rsid w:val="000347D4"/>
    <w:rsid w:val="00034C6B"/>
    <w:rsid w:val="00035926"/>
    <w:rsid w:val="00035C4F"/>
    <w:rsid w:val="00035E2B"/>
    <w:rsid w:val="000367D6"/>
    <w:rsid w:val="000368D5"/>
    <w:rsid w:val="00036C05"/>
    <w:rsid w:val="00036D97"/>
    <w:rsid w:val="0003710D"/>
    <w:rsid w:val="0003713C"/>
    <w:rsid w:val="00037CC2"/>
    <w:rsid w:val="00040839"/>
    <w:rsid w:val="000408B6"/>
    <w:rsid w:val="00041422"/>
    <w:rsid w:val="000419FC"/>
    <w:rsid w:val="00041E9F"/>
    <w:rsid w:val="000429F1"/>
    <w:rsid w:val="00042ECD"/>
    <w:rsid w:val="00043740"/>
    <w:rsid w:val="00045774"/>
    <w:rsid w:val="00045AF4"/>
    <w:rsid w:val="00045E5B"/>
    <w:rsid w:val="00046950"/>
    <w:rsid w:val="00046B62"/>
    <w:rsid w:val="00047C76"/>
    <w:rsid w:val="00051C37"/>
    <w:rsid w:val="0005227A"/>
    <w:rsid w:val="00053547"/>
    <w:rsid w:val="00056218"/>
    <w:rsid w:val="00060A09"/>
    <w:rsid w:val="00062D43"/>
    <w:rsid w:val="000652B6"/>
    <w:rsid w:val="00066A9B"/>
    <w:rsid w:val="000678F2"/>
    <w:rsid w:val="000700D4"/>
    <w:rsid w:val="00070C9A"/>
    <w:rsid w:val="00070E62"/>
    <w:rsid w:val="00071784"/>
    <w:rsid w:val="00072037"/>
    <w:rsid w:val="00072213"/>
    <w:rsid w:val="00073408"/>
    <w:rsid w:val="0007468C"/>
    <w:rsid w:val="00074E41"/>
    <w:rsid w:val="00075CAD"/>
    <w:rsid w:val="00075DCA"/>
    <w:rsid w:val="00075E5D"/>
    <w:rsid w:val="00081519"/>
    <w:rsid w:val="00082538"/>
    <w:rsid w:val="000825D4"/>
    <w:rsid w:val="00082E65"/>
    <w:rsid w:val="000834B2"/>
    <w:rsid w:val="00083997"/>
    <w:rsid w:val="00085732"/>
    <w:rsid w:val="00086F61"/>
    <w:rsid w:val="000879A4"/>
    <w:rsid w:val="00087AE5"/>
    <w:rsid w:val="00090D23"/>
    <w:rsid w:val="00092309"/>
    <w:rsid w:val="000926AF"/>
    <w:rsid w:val="00092760"/>
    <w:rsid w:val="00093A33"/>
    <w:rsid w:val="000943FE"/>
    <w:rsid w:val="00097194"/>
    <w:rsid w:val="000A3304"/>
    <w:rsid w:val="000A5025"/>
    <w:rsid w:val="000A56A5"/>
    <w:rsid w:val="000A584F"/>
    <w:rsid w:val="000A58D8"/>
    <w:rsid w:val="000A5ED2"/>
    <w:rsid w:val="000A6232"/>
    <w:rsid w:val="000B07B2"/>
    <w:rsid w:val="000B11B8"/>
    <w:rsid w:val="000B1C8F"/>
    <w:rsid w:val="000B3937"/>
    <w:rsid w:val="000B5998"/>
    <w:rsid w:val="000B7FAE"/>
    <w:rsid w:val="000C2C2A"/>
    <w:rsid w:val="000C38C4"/>
    <w:rsid w:val="000C476C"/>
    <w:rsid w:val="000C51A9"/>
    <w:rsid w:val="000C56DC"/>
    <w:rsid w:val="000C792D"/>
    <w:rsid w:val="000D118E"/>
    <w:rsid w:val="000D1D8D"/>
    <w:rsid w:val="000D2D66"/>
    <w:rsid w:val="000D313F"/>
    <w:rsid w:val="000D4722"/>
    <w:rsid w:val="000D47B2"/>
    <w:rsid w:val="000D48F8"/>
    <w:rsid w:val="000E032C"/>
    <w:rsid w:val="000E0960"/>
    <w:rsid w:val="000E3412"/>
    <w:rsid w:val="000E3BCC"/>
    <w:rsid w:val="000E4DAC"/>
    <w:rsid w:val="000E56D6"/>
    <w:rsid w:val="000E5AFF"/>
    <w:rsid w:val="000E5DBE"/>
    <w:rsid w:val="000F129F"/>
    <w:rsid w:val="000F1F1C"/>
    <w:rsid w:val="000F382E"/>
    <w:rsid w:val="000F4571"/>
    <w:rsid w:val="000F56FE"/>
    <w:rsid w:val="001016B2"/>
    <w:rsid w:val="001016C4"/>
    <w:rsid w:val="00101D88"/>
    <w:rsid w:val="00103E5F"/>
    <w:rsid w:val="0010468D"/>
    <w:rsid w:val="001054D6"/>
    <w:rsid w:val="0010761A"/>
    <w:rsid w:val="00111FA4"/>
    <w:rsid w:val="00112FD4"/>
    <w:rsid w:val="001132F7"/>
    <w:rsid w:val="00114B4B"/>
    <w:rsid w:val="00116386"/>
    <w:rsid w:val="001205DB"/>
    <w:rsid w:val="0012098D"/>
    <w:rsid w:val="00121D28"/>
    <w:rsid w:val="00124A0A"/>
    <w:rsid w:val="0012523B"/>
    <w:rsid w:val="001252ED"/>
    <w:rsid w:val="00131C3A"/>
    <w:rsid w:val="00131CDC"/>
    <w:rsid w:val="001320B2"/>
    <w:rsid w:val="0013245E"/>
    <w:rsid w:val="00132F01"/>
    <w:rsid w:val="00133697"/>
    <w:rsid w:val="0013489F"/>
    <w:rsid w:val="0013542A"/>
    <w:rsid w:val="001367FB"/>
    <w:rsid w:val="001407CA"/>
    <w:rsid w:val="00143585"/>
    <w:rsid w:val="00144C80"/>
    <w:rsid w:val="00144FBA"/>
    <w:rsid w:val="001461B9"/>
    <w:rsid w:val="001479FC"/>
    <w:rsid w:val="0015487D"/>
    <w:rsid w:val="001551C6"/>
    <w:rsid w:val="00155F07"/>
    <w:rsid w:val="001571F5"/>
    <w:rsid w:val="00157285"/>
    <w:rsid w:val="00163F9E"/>
    <w:rsid w:val="0016430E"/>
    <w:rsid w:val="00167281"/>
    <w:rsid w:val="00167BFE"/>
    <w:rsid w:val="0017180E"/>
    <w:rsid w:val="00172724"/>
    <w:rsid w:val="00173A3F"/>
    <w:rsid w:val="0017451F"/>
    <w:rsid w:val="001746F4"/>
    <w:rsid w:val="00174FDB"/>
    <w:rsid w:val="00180AFB"/>
    <w:rsid w:val="0018194D"/>
    <w:rsid w:val="00181D7D"/>
    <w:rsid w:val="001822BC"/>
    <w:rsid w:val="0018236F"/>
    <w:rsid w:val="001836D6"/>
    <w:rsid w:val="00184635"/>
    <w:rsid w:val="001849A8"/>
    <w:rsid w:val="00184D3A"/>
    <w:rsid w:val="00192BA3"/>
    <w:rsid w:val="00193E4C"/>
    <w:rsid w:val="00195314"/>
    <w:rsid w:val="00195AE1"/>
    <w:rsid w:val="00196538"/>
    <w:rsid w:val="00196A9C"/>
    <w:rsid w:val="001A1D73"/>
    <w:rsid w:val="001A3570"/>
    <w:rsid w:val="001A47C6"/>
    <w:rsid w:val="001A4CF4"/>
    <w:rsid w:val="001A54BC"/>
    <w:rsid w:val="001A7028"/>
    <w:rsid w:val="001A7A6A"/>
    <w:rsid w:val="001B192B"/>
    <w:rsid w:val="001B2A0D"/>
    <w:rsid w:val="001B2CD2"/>
    <w:rsid w:val="001B2DE3"/>
    <w:rsid w:val="001B3896"/>
    <w:rsid w:val="001B4D18"/>
    <w:rsid w:val="001B6E1D"/>
    <w:rsid w:val="001B7465"/>
    <w:rsid w:val="001B7565"/>
    <w:rsid w:val="001C02EF"/>
    <w:rsid w:val="001C0794"/>
    <w:rsid w:val="001C0AEE"/>
    <w:rsid w:val="001C0BFE"/>
    <w:rsid w:val="001C1167"/>
    <w:rsid w:val="001C1C90"/>
    <w:rsid w:val="001C2250"/>
    <w:rsid w:val="001C6118"/>
    <w:rsid w:val="001D20B4"/>
    <w:rsid w:val="001D51E7"/>
    <w:rsid w:val="001D598E"/>
    <w:rsid w:val="001E0AD6"/>
    <w:rsid w:val="001E15FB"/>
    <w:rsid w:val="001E266D"/>
    <w:rsid w:val="001E290B"/>
    <w:rsid w:val="001E2DE3"/>
    <w:rsid w:val="001E30B3"/>
    <w:rsid w:val="001E386A"/>
    <w:rsid w:val="001E4A12"/>
    <w:rsid w:val="001E5C0E"/>
    <w:rsid w:val="001F05C2"/>
    <w:rsid w:val="001F179C"/>
    <w:rsid w:val="001F289E"/>
    <w:rsid w:val="001F335D"/>
    <w:rsid w:val="001F4550"/>
    <w:rsid w:val="001F5591"/>
    <w:rsid w:val="00200C5A"/>
    <w:rsid w:val="002019A4"/>
    <w:rsid w:val="00201D13"/>
    <w:rsid w:val="002043D1"/>
    <w:rsid w:val="00204551"/>
    <w:rsid w:val="002054E1"/>
    <w:rsid w:val="002062B7"/>
    <w:rsid w:val="00206EA9"/>
    <w:rsid w:val="00206F23"/>
    <w:rsid w:val="002105BF"/>
    <w:rsid w:val="0021071E"/>
    <w:rsid w:val="002145E4"/>
    <w:rsid w:val="002146C2"/>
    <w:rsid w:val="0021538C"/>
    <w:rsid w:val="00215AC3"/>
    <w:rsid w:val="0021658E"/>
    <w:rsid w:val="00216FD1"/>
    <w:rsid w:val="002231B0"/>
    <w:rsid w:val="00223ED4"/>
    <w:rsid w:val="002256C1"/>
    <w:rsid w:val="00225EFF"/>
    <w:rsid w:val="002267A3"/>
    <w:rsid w:val="00226D40"/>
    <w:rsid w:val="0023056C"/>
    <w:rsid w:val="002331BC"/>
    <w:rsid w:val="0023320E"/>
    <w:rsid w:val="002346AB"/>
    <w:rsid w:val="00234E09"/>
    <w:rsid w:val="002363A1"/>
    <w:rsid w:val="00236433"/>
    <w:rsid w:val="00236D9A"/>
    <w:rsid w:val="0023784D"/>
    <w:rsid w:val="00240B79"/>
    <w:rsid w:val="002410C6"/>
    <w:rsid w:val="00242707"/>
    <w:rsid w:val="00243332"/>
    <w:rsid w:val="002441F2"/>
    <w:rsid w:val="00246FD6"/>
    <w:rsid w:val="002500FE"/>
    <w:rsid w:val="002524FE"/>
    <w:rsid w:val="00256197"/>
    <w:rsid w:val="00256530"/>
    <w:rsid w:val="002576A9"/>
    <w:rsid w:val="00257B9C"/>
    <w:rsid w:val="0026182B"/>
    <w:rsid w:val="002620FD"/>
    <w:rsid w:val="00262ED3"/>
    <w:rsid w:val="002665B3"/>
    <w:rsid w:val="00266689"/>
    <w:rsid w:val="002703A9"/>
    <w:rsid w:val="00272482"/>
    <w:rsid w:val="00272B22"/>
    <w:rsid w:val="002757CD"/>
    <w:rsid w:val="00275D1F"/>
    <w:rsid w:val="00277392"/>
    <w:rsid w:val="0027760F"/>
    <w:rsid w:val="00277A44"/>
    <w:rsid w:val="00277DF6"/>
    <w:rsid w:val="0028028E"/>
    <w:rsid w:val="00280C33"/>
    <w:rsid w:val="002810C2"/>
    <w:rsid w:val="002826C8"/>
    <w:rsid w:val="0028332C"/>
    <w:rsid w:val="00283C1A"/>
    <w:rsid w:val="00283E60"/>
    <w:rsid w:val="00283F1B"/>
    <w:rsid w:val="00284600"/>
    <w:rsid w:val="0028785B"/>
    <w:rsid w:val="00287D78"/>
    <w:rsid w:val="00290C02"/>
    <w:rsid w:val="00291052"/>
    <w:rsid w:val="00292323"/>
    <w:rsid w:val="002927C2"/>
    <w:rsid w:val="00293214"/>
    <w:rsid w:val="002944FD"/>
    <w:rsid w:val="00294701"/>
    <w:rsid w:val="00294E36"/>
    <w:rsid w:val="00294FB8"/>
    <w:rsid w:val="002969EF"/>
    <w:rsid w:val="00296BFE"/>
    <w:rsid w:val="00296D0B"/>
    <w:rsid w:val="002976F8"/>
    <w:rsid w:val="002A00DC"/>
    <w:rsid w:val="002A191A"/>
    <w:rsid w:val="002A568E"/>
    <w:rsid w:val="002A56DF"/>
    <w:rsid w:val="002A6796"/>
    <w:rsid w:val="002A74BA"/>
    <w:rsid w:val="002A7E25"/>
    <w:rsid w:val="002B45A0"/>
    <w:rsid w:val="002B4D51"/>
    <w:rsid w:val="002B5C2E"/>
    <w:rsid w:val="002B608F"/>
    <w:rsid w:val="002B6A9B"/>
    <w:rsid w:val="002B74C7"/>
    <w:rsid w:val="002B7B5B"/>
    <w:rsid w:val="002C033C"/>
    <w:rsid w:val="002C0DD9"/>
    <w:rsid w:val="002C128E"/>
    <w:rsid w:val="002C32E8"/>
    <w:rsid w:val="002C347B"/>
    <w:rsid w:val="002C63DE"/>
    <w:rsid w:val="002C6F30"/>
    <w:rsid w:val="002D0B8B"/>
    <w:rsid w:val="002D2CAA"/>
    <w:rsid w:val="002D4156"/>
    <w:rsid w:val="002D46D2"/>
    <w:rsid w:val="002D5DB8"/>
    <w:rsid w:val="002D76A8"/>
    <w:rsid w:val="002E0E63"/>
    <w:rsid w:val="002E235D"/>
    <w:rsid w:val="002E27EB"/>
    <w:rsid w:val="002E2F4C"/>
    <w:rsid w:val="002E34AA"/>
    <w:rsid w:val="002E36A2"/>
    <w:rsid w:val="002E50D3"/>
    <w:rsid w:val="002E55B2"/>
    <w:rsid w:val="002E64B2"/>
    <w:rsid w:val="002E7209"/>
    <w:rsid w:val="002F0018"/>
    <w:rsid w:val="002F0E88"/>
    <w:rsid w:val="002F360E"/>
    <w:rsid w:val="002F4349"/>
    <w:rsid w:val="002F52A9"/>
    <w:rsid w:val="002F5AF5"/>
    <w:rsid w:val="00301C7A"/>
    <w:rsid w:val="003049FB"/>
    <w:rsid w:val="00304A8B"/>
    <w:rsid w:val="003074BB"/>
    <w:rsid w:val="003074F7"/>
    <w:rsid w:val="00311523"/>
    <w:rsid w:val="00312BB7"/>
    <w:rsid w:val="0031496D"/>
    <w:rsid w:val="00314EDA"/>
    <w:rsid w:val="003152B9"/>
    <w:rsid w:val="0031577A"/>
    <w:rsid w:val="00315F37"/>
    <w:rsid w:val="00316675"/>
    <w:rsid w:val="003168F1"/>
    <w:rsid w:val="00321A1E"/>
    <w:rsid w:val="003234B2"/>
    <w:rsid w:val="00323549"/>
    <w:rsid w:val="00324D61"/>
    <w:rsid w:val="00325033"/>
    <w:rsid w:val="003270DB"/>
    <w:rsid w:val="00327418"/>
    <w:rsid w:val="00327654"/>
    <w:rsid w:val="00327A05"/>
    <w:rsid w:val="00327A1D"/>
    <w:rsid w:val="00331DE8"/>
    <w:rsid w:val="003322DE"/>
    <w:rsid w:val="00332D2B"/>
    <w:rsid w:val="00335850"/>
    <w:rsid w:val="00336BB7"/>
    <w:rsid w:val="003407B6"/>
    <w:rsid w:val="00340E93"/>
    <w:rsid w:val="00340F2F"/>
    <w:rsid w:val="00341763"/>
    <w:rsid w:val="0034326C"/>
    <w:rsid w:val="0034386C"/>
    <w:rsid w:val="00344BEF"/>
    <w:rsid w:val="003451CD"/>
    <w:rsid w:val="00345EB6"/>
    <w:rsid w:val="00346972"/>
    <w:rsid w:val="00347D49"/>
    <w:rsid w:val="00350C51"/>
    <w:rsid w:val="0035139B"/>
    <w:rsid w:val="00351E54"/>
    <w:rsid w:val="00351E6B"/>
    <w:rsid w:val="00352FB9"/>
    <w:rsid w:val="003537C7"/>
    <w:rsid w:val="00353889"/>
    <w:rsid w:val="00354139"/>
    <w:rsid w:val="00356A50"/>
    <w:rsid w:val="0036075E"/>
    <w:rsid w:val="003616B2"/>
    <w:rsid w:val="00362D78"/>
    <w:rsid w:val="00363373"/>
    <w:rsid w:val="003663A5"/>
    <w:rsid w:val="00366AC3"/>
    <w:rsid w:val="00366D02"/>
    <w:rsid w:val="003701CC"/>
    <w:rsid w:val="00374B6B"/>
    <w:rsid w:val="003754C9"/>
    <w:rsid w:val="00376E42"/>
    <w:rsid w:val="003807E1"/>
    <w:rsid w:val="00383C8C"/>
    <w:rsid w:val="00384471"/>
    <w:rsid w:val="0038495F"/>
    <w:rsid w:val="00390324"/>
    <w:rsid w:val="00390507"/>
    <w:rsid w:val="00390E33"/>
    <w:rsid w:val="00392349"/>
    <w:rsid w:val="00392B10"/>
    <w:rsid w:val="00394266"/>
    <w:rsid w:val="003950DD"/>
    <w:rsid w:val="003955C3"/>
    <w:rsid w:val="00395C7F"/>
    <w:rsid w:val="00397DD9"/>
    <w:rsid w:val="00397FE6"/>
    <w:rsid w:val="003A22E7"/>
    <w:rsid w:val="003A2771"/>
    <w:rsid w:val="003A3464"/>
    <w:rsid w:val="003A4F79"/>
    <w:rsid w:val="003A55B3"/>
    <w:rsid w:val="003A5F94"/>
    <w:rsid w:val="003A680D"/>
    <w:rsid w:val="003A6A08"/>
    <w:rsid w:val="003B032B"/>
    <w:rsid w:val="003B2329"/>
    <w:rsid w:val="003B2F8A"/>
    <w:rsid w:val="003B3A54"/>
    <w:rsid w:val="003B47B2"/>
    <w:rsid w:val="003B59B6"/>
    <w:rsid w:val="003B6C21"/>
    <w:rsid w:val="003B79E7"/>
    <w:rsid w:val="003B7B6A"/>
    <w:rsid w:val="003C0646"/>
    <w:rsid w:val="003C0D0C"/>
    <w:rsid w:val="003C1DD0"/>
    <w:rsid w:val="003C5525"/>
    <w:rsid w:val="003C5CD4"/>
    <w:rsid w:val="003C60FA"/>
    <w:rsid w:val="003C6ABB"/>
    <w:rsid w:val="003C7C59"/>
    <w:rsid w:val="003D15C9"/>
    <w:rsid w:val="003D47DC"/>
    <w:rsid w:val="003D4D72"/>
    <w:rsid w:val="003D4E1D"/>
    <w:rsid w:val="003D58A3"/>
    <w:rsid w:val="003E0484"/>
    <w:rsid w:val="003E19D7"/>
    <w:rsid w:val="003E20BA"/>
    <w:rsid w:val="003E2B5B"/>
    <w:rsid w:val="003E2EDE"/>
    <w:rsid w:val="003E2FB8"/>
    <w:rsid w:val="003E34E8"/>
    <w:rsid w:val="003E3CA8"/>
    <w:rsid w:val="003E463F"/>
    <w:rsid w:val="003E4B90"/>
    <w:rsid w:val="003E5870"/>
    <w:rsid w:val="003E61CB"/>
    <w:rsid w:val="003E6A6E"/>
    <w:rsid w:val="003F0751"/>
    <w:rsid w:val="003F0D82"/>
    <w:rsid w:val="003F181F"/>
    <w:rsid w:val="003F4206"/>
    <w:rsid w:val="003F439A"/>
    <w:rsid w:val="003F587D"/>
    <w:rsid w:val="003F5A0E"/>
    <w:rsid w:val="003F5FE7"/>
    <w:rsid w:val="003F7B55"/>
    <w:rsid w:val="00401A7A"/>
    <w:rsid w:val="00402454"/>
    <w:rsid w:val="0040245E"/>
    <w:rsid w:val="00402A61"/>
    <w:rsid w:val="00404049"/>
    <w:rsid w:val="00404085"/>
    <w:rsid w:val="00405A7E"/>
    <w:rsid w:val="00407BDB"/>
    <w:rsid w:val="0041039D"/>
    <w:rsid w:val="0041227B"/>
    <w:rsid w:val="00413005"/>
    <w:rsid w:val="00413785"/>
    <w:rsid w:val="004139B8"/>
    <w:rsid w:val="0041464C"/>
    <w:rsid w:val="00415EE4"/>
    <w:rsid w:val="00416866"/>
    <w:rsid w:val="00417009"/>
    <w:rsid w:val="00417229"/>
    <w:rsid w:val="00417463"/>
    <w:rsid w:val="00424B9A"/>
    <w:rsid w:val="00425C5B"/>
    <w:rsid w:val="00427357"/>
    <w:rsid w:val="00427A84"/>
    <w:rsid w:val="00430825"/>
    <w:rsid w:val="00431BFB"/>
    <w:rsid w:val="004327E0"/>
    <w:rsid w:val="0043348F"/>
    <w:rsid w:val="00433C3D"/>
    <w:rsid w:val="00435C8C"/>
    <w:rsid w:val="00436619"/>
    <w:rsid w:val="00437F96"/>
    <w:rsid w:val="00440320"/>
    <w:rsid w:val="00443BA1"/>
    <w:rsid w:val="00444557"/>
    <w:rsid w:val="00444B7D"/>
    <w:rsid w:val="00444C74"/>
    <w:rsid w:val="00445185"/>
    <w:rsid w:val="004461AB"/>
    <w:rsid w:val="00447A5D"/>
    <w:rsid w:val="00447C05"/>
    <w:rsid w:val="00450BBC"/>
    <w:rsid w:val="00450C42"/>
    <w:rsid w:val="004551F7"/>
    <w:rsid w:val="00455819"/>
    <w:rsid w:val="0046040C"/>
    <w:rsid w:val="0046047A"/>
    <w:rsid w:val="00460F29"/>
    <w:rsid w:val="00461DD8"/>
    <w:rsid w:val="0046250C"/>
    <w:rsid w:val="004626B5"/>
    <w:rsid w:val="00471C78"/>
    <w:rsid w:val="00472CD4"/>
    <w:rsid w:val="00473300"/>
    <w:rsid w:val="00473AE2"/>
    <w:rsid w:val="004743B5"/>
    <w:rsid w:val="00475344"/>
    <w:rsid w:val="004762AA"/>
    <w:rsid w:val="00477252"/>
    <w:rsid w:val="0048153E"/>
    <w:rsid w:val="00481BA3"/>
    <w:rsid w:val="004829A7"/>
    <w:rsid w:val="00483D3C"/>
    <w:rsid w:val="00484265"/>
    <w:rsid w:val="004842E0"/>
    <w:rsid w:val="0048443B"/>
    <w:rsid w:val="004845CD"/>
    <w:rsid w:val="00486362"/>
    <w:rsid w:val="00487E3F"/>
    <w:rsid w:val="00490CC2"/>
    <w:rsid w:val="00491CC5"/>
    <w:rsid w:val="004926D7"/>
    <w:rsid w:val="0049361E"/>
    <w:rsid w:val="00495F13"/>
    <w:rsid w:val="004A279A"/>
    <w:rsid w:val="004A302F"/>
    <w:rsid w:val="004A4047"/>
    <w:rsid w:val="004A59B5"/>
    <w:rsid w:val="004A5CBB"/>
    <w:rsid w:val="004A6679"/>
    <w:rsid w:val="004A6EAE"/>
    <w:rsid w:val="004B00E8"/>
    <w:rsid w:val="004B1BE9"/>
    <w:rsid w:val="004B1C47"/>
    <w:rsid w:val="004B3136"/>
    <w:rsid w:val="004B4E9C"/>
    <w:rsid w:val="004B53DC"/>
    <w:rsid w:val="004B5D18"/>
    <w:rsid w:val="004B5E21"/>
    <w:rsid w:val="004B66C1"/>
    <w:rsid w:val="004B693C"/>
    <w:rsid w:val="004B6DC5"/>
    <w:rsid w:val="004B75B6"/>
    <w:rsid w:val="004B76A7"/>
    <w:rsid w:val="004C089D"/>
    <w:rsid w:val="004C198A"/>
    <w:rsid w:val="004C1DBC"/>
    <w:rsid w:val="004D02EF"/>
    <w:rsid w:val="004D2196"/>
    <w:rsid w:val="004D2F5B"/>
    <w:rsid w:val="004D3B02"/>
    <w:rsid w:val="004D3B13"/>
    <w:rsid w:val="004D3F22"/>
    <w:rsid w:val="004D5028"/>
    <w:rsid w:val="004D5B04"/>
    <w:rsid w:val="004D6136"/>
    <w:rsid w:val="004D6DCC"/>
    <w:rsid w:val="004E08ED"/>
    <w:rsid w:val="004E3705"/>
    <w:rsid w:val="004E465F"/>
    <w:rsid w:val="004E4BD0"/>
    <w:rsid w:val="004E52CA"/>
    <w:rsid w:val="004E5E33"/>
    <w:rsid w:val="004E7222"/>
    <w:rsid w:val="004E7DFE"/>
    <w:rsid w:val="004F20A3"/>
    <w:rsid w:val="004F3EB7"/>
    <w:rsid w:val="004F6794"/>
    <w:rsid w:val="004F7261"/>
    <w:rsid w:val="004F774E"/>
    <w:rsid w:val="004F7A93"/>
    <w:rsid w:val="00500741"/>
    <w:rsid w:val="0050133B"/>
    <w:rsid w:val="00501515"/>
    <w:rsid w:val="00501ADE"/>
    <w:rsid w:val="00504010"/>
    <w:rsid w:val="0050421F"/>
    <w:rsid w:val="00505187"/>
    <w:rsid w:val="00505552"/>
    <w:rsid w:val="005064DC"/>
    <w:rsid w:val="00506543"/>
    <w:rsid w:val="005066E9"/>
    <w:rsid w:val="00506F81"/>
    <w:rsid w:val="00511E13"/>
    <w:rsid w:val="005122CC"/>
    <w:rsid w:val="00512548"/>
    <w:rsid w:val="00512F24"/>
    <w:rsid w:val="0051391B"/>
    <w:rsid w:val="00513FD7"/>
    <w:rsid w:val="005155EB"/>
    <w:rsid w:val="005157E8"/>
    <w:rsid w:val="005160C5"/>
    <w:rsid w:val="005202B4"/>
    <w:rsid w:val="00521F4B"/>
    <w:rsid w:val="00521F71"/>
    <w:rsid w:val="00523AA5"/>
    <w:rsid w:val="00523DB1"/>
    <w:rsid w:val="00526E16"/>
    <w:rsid w:val="0052768C"/>
    <w:rsid w:val="0053155F"/>
    <w:rsid w:val="005316C3"/>
    <w:rsid w:val="00531E64"/>
    <w:rsid w:val="00531FFB"/>
    <w:rsid w:val="00532664"/>
    <w:rsid w:val="00532DA6"/>
    <w:rsid w:val="00534512"/>
    <w:rsid w:val="00534FB7"/>
    <w:rsid w:val="005351C2"/>
    <w:rsid w:val="00535830"/>
    <w:rsid w:val="0053610A"/>
    <w:rsid w:val="00536B38"/>
    <w:rsid w:val="00537561"/>
    <w:rsid w:val="00537A1C"/>
    <w:rsid w:val="0054082D"/>
    <w:rsid w:val="00540D87"/>
    <w:rsid w:val="00541B52"/>
    <w:rsid w:val="005427C1"/>
    <w:rsid w:val="00542818"/>
    <w:rsid w:val="00542E36"/>
    <w:rsid w:val="00543D4C"/>
    <w:rsid w:val="00544B48"/>
    <w:rsid w:val="00544D5C"/>
    <w:rsid w:val="005450F7"/>
    <w:rsid w:val="00545CFC"/>
    <w:rsid w:val="00547BE6"/>
    <w:rsid w:val="005507B3"/>
    <w:rsid w:val="005510D8"/>
    <w:rsid w:val="00551C7C"/>
    <w:rsid w:val="00552967"/>
    <w:rsid w:val="005535F4"/>
    <w:rsid w:val="00554122"/>
    <w:rsid w:val="00555877"/>
    <w:rsid w:val="005558DC"/>
    <w:rsid w:val="005566EF"/>
    <w:rsid w:val="00557694"/>
    <w:rsid w:val="00557C03"/>
    <w:rsid w:val="00560363"/>
    <w:rsid w:val="005603AE"/>
    <w:rsid w:val="00560EF1"/>
    <w:rsid w:val="00560F73"/>
    <w:rsid w:val="00563CF3"/>
    <w:rsid w:val="005642B6"/>
    <w:rsid w:val="00565AA8"/>
    <w:rsid w:val="00566115"/>
    <w:rsid w:val="00566ED8"/>
    <w:rsid w:val="00567338"/>
    <w:rsid w:val="00567841"/>
    <w:rsid w:val="00567A58"/>
    <w:rsid w:val="0057020C"/>
    <w:rsid w:val="005705E2"/>
    <w:rsid w:val="005709EA"/>
    <w:rsid w:val="005718F3"/>
    <w:rsid w:val="00573DC6"/>
    <w:rsid w:val="00580A04"/>
    <w:rsid w:val="00580E82"/>
    <w:rsid w:val="00581839"/>
    <w:rsid w:val="00581D8A"/>
    <w:rsid w:val="00581DA8"/>
    <w:rsid w:val="00582385"/>
    <w:rsid w:val="0058325D"/>
    <w:rsid w:val="00583E31"/>
    <w:rsid w:val="00586433"/>
    <w:rsid w:val="00586568"/>
    <w:rsid w:val="00586911"/>
    <w:rsid w:val="00586EC0"/>
    <w:rsid w:val="00587112"/>
    <w:rsid w:val="00587C5C"/>
    <w:rsid w:val="0059009B"/>
    <w:rsid w:val="005918CA"/>
    <w:rsid w:val="00593243"/>
    <w:rsid w:val="005942C4"/>
    <w:rsid w:val="005944D9"/>
    <w:rsid w:val="005945E4"/>
    <w:rsid w:val="00594BD5"/>
    <w:rsid w:val="00596270"/>
    <w:rsid w:val="0059776E"/>
    <w:rsid w:val="00597DBA"/>
    <w:rsid w:val="005A051F"/>
    <w:rsid w:val="005A1311"/>
    <w:rsid w:val="005A2346"/>
    <w:rsid w:val="005A26B6"/>
    <w:rsid w:val="005A29A7"/>
    <w:rsid w:val="005A4598"/>
    <w:rsid w:val="005A466F"/>
    <w:rsid w:val="005A4DE7"/>
    <w:rsid w:val="005A4EA6"/>
    <w:rsid w:val="005A6120"/>
    <w:rsid w:val="005A6FF6"/>
    <w:rsid w:val="005B12AF"/>
    <w:rsid w:val="005B2BFA"/>
    <w:rsid w:val="005B412E"/>
    <w:rsid w:val="005B470E"/>
    <w:rsid w:val="005B48E1"/>
    <w:rsid w:val="005C1DBC"/>
    <w:rsid w:val="005C32EE"/>
    <w:rsid w:val="005C48D9"/>
    <w:rsid w:val="005C6F11"/>
    <w:rsid w:val="005D1F15"/>
    <w:rsid w:val="005D2092"/>
    <w:rsid w:val="005D2854"/>
    <w:rsid w:val="005D2FD7"/>
    <w:rsid w:val="005D47AB"/>
    <w:rsid w:val="005D70E6"/>
    <w:rsid w:val="005D72D4"/>
    <w:rsid w:val="005E4295"/>
    <w:rsid w:val="005E45A1"/>
    <w:rsid w:val="005E5895"/>
    <w:rsid w:val="005E5C9C"/>
    <w:rsid w:val="005E64BA"/>
    <w:rsid w:val="005E6E80"/>
    <w:rsid w:val="005E7F8F"/>
    <w:rsid w:val="005F067A"/>
    <w:rsid w:val="005F0846"/>
    <w:rsid w:val="005F189E"/>
    <w:rsid w:val="005F1C87"/>
    <w:rsid w:val="005F266D"/>
    <w:rsid w:val="005F3259"/>
    <w:rsid w:val="005F5DFB"/>
    <w:rsid w:val="005F6D1C"/>
    <w:rsid w:val="00601039"/>
    <w:rsid w:val="0060549B"/>
    <w:rsid w:val="00605F03"/>
    <w:rsid w:val="00606336"/>
    <w:rsid w:val="0061011E"/>
    <w:rsid w:val="006101E0"/>
    <w:rsid w:val="006103AD"/>
    <w:rsid w:val="0061198B"/>
    <w:rsid w:val="006148DB"/>
    <w:rsid w:val="0061735D"/>
    <w:rsid w:val="00617AA6"/>
    <w:rsid w:val="00620959"/>
    <w:rsid w:val="00620D80"/>
    <w:rsid w:val="00621A69"/>
    <w:rsid w:val="00623A73"/>
    <w:rsid w:val="00623AFD"/>
    <w:rsid w:val="0062492E"/>
    <w:rsid w:val="00627BE8"/>
    <w:rsid w:val="00631E04"/>
    <w:rsid w:val="0063246E"/>
    <w:rsid w:val="00633601"/>
    <w:rsid w:val="00636303"/>
    <w:rsid w:val="006422E7"/>
    <w:rsid w:val="00642772"/>
    <w:rsid w:val="00642D64"/>
    <w:rsid w:val="006442AA"/>
    <w:rsid w:val="00644725"/>
    <w:rsid w:val="00644EC8"/>
    <w:rsid w:val="00646B74"/>
    <w:rsid w:val="00647B3E"/>
    <w:rsid w:val="0065033C"/>
    <w:rsid w:val="00650AC2"/>
    <w:rsid w:val="00651254"/>
    <w:rsid w:val="00652A36"/>
    <w:rsid w:val="00662263"/>
    <w:rsid w:val="0066312A"/>
    <w:rsid w:val="00664519"/>
    <w:rsid w:val="00664528"/>
    <w:rsid w:val="00665716"/>
    <w:rsid w:val="00665D37"/>
    <w:rsid w:val="00667889"/>
    <w:rsid w:val="00670092"/>
    <w:rsid w:val="00670749"/>
    <w:rsid w:val="0067074E"/>
    <w:rsid w:val="00671B52"/>
    <w:rsid w:val="00674DBD"/>
    <w:rsid w:val="006752C1"/>
    <w:rsid w:val="006774A4"/>
    <w:rsid w:val="00680871"/>
    <w:rsid w:val="00680D95"/>
    <w:rsid w:val="0068156A"/>
    <w:rsid w:val="006819C1"/>
    <w:rsid w:val="006841A4"/>
    <w:rsid w:val="00685249"/>
    <w:rsid w:val="006852FF"/>
    <w:rsid w:val="00685396"/>
    <w:rsid w:val="00685570"/>
    <w:rsid w:val="006917BB"/>
    <w:rsid w:val="00694282"/>
    <w:rsid w:val="00694357"/>
    <w:rsid w:val="006969E6"/>
    <w:rsid w:val="006A1A67"/>
    <w:rsid w:val="006A2BD7"/>
    <w:rsid w:val="006A3CC6"/>
    <w:rsid w:val="006A4DC1"/>
    <w:rsid w:val="006A6C41"/>
    <w:rsid w:val="006B13E8"/>
    <w:rsid w:val="006B160E"/>
    <w:rsid w:val="006B1C33"/>
    <w:rsid w:val="006B1E94"/>
    <w:rsid w:val="006B3C0D"/>
    <w:rsid w:val="006B4727"/>
    <w:rsid w:val="006B5252"/>
    <w:rsid w:val="006B5F75"/>
    <w:rsid w:val="006B6B5D"/>
    <w:rsid w:val="006B6C4C"/>
    <w:rsid w:val="006C01FA"/>
    <w:rsid w:val="006C051E"/>
    <w:rsid w:val="006C3B5F"/>
    <w:rsid w:val="006C536F"/>
    <w:rsid w:val="006C540B"/>
    <w:rsid w:val="006D0F0E"/>
    <w:rsid w:val="006D2A40"/>
    <w:rsid w:val="006D3110"/>
    <w:rsid w:val="006D3497"/>
    <w:rsid w:val="006D43C8"/>
    <w:rsid w:val="006D4588"/>
    <w:rsid w:val="006D4960"/>
    <w:rsid w:val="006D4C83"/>
    <w:rsid w:val="006D520D"/>
    <w:rsid w:val="006D5510"/>
    <w:rsid w:val="006D5BBF"/>
    <w:rsid w:val="006D6F98"/>
    <w:rsid w:val="006E045C"/>
    <w:rsid w:val="006E23F3"/>
    <w:rsid w:val="006E27DA"/>
    <w:rsid w:val="006E29A6"/>
    <w:rsid w:val="006E3B39"/>
    <w:rsid w:val="006E4609"/>
    <w:rsid w:val="006E51AE"/>
    <w:rsid w:val="006E5EA3"/>
    <w:rsid w:val="006E7A96"/>
    <w:rsid w:val="006E7E07"/>
    <w:rsid w:val="006E7F45"/>
    <w:rsid w:val="006F2889"/>
    <w:rsid w:val="006F3136"/>
    <w:rsid w:val="006F362B"/>
    <w:rsid w:val="006F5AAF"/>
    <w:rsid w:val="006F6224"/>
    <w:rsid w:val="00701608"/>
    <w:rsid w:val="0070232F"/>
    <w:rsid w:val="00702B9F"/>
    <w:rsid w:val="007035DD"/>
    <w:rsid w:val="0070402B"/>
    <w:rsid w:val="00705F60"/>
    <w:rsid w:val="0071149E"/>
    <w:rsid w:val="00714D9D"/>
    <w:rsid w:val="007159C4"/>
    <w:rsid w:val="0071651B"/>
    <w:rsid w:val="007178DD"/>
    <w:rsid w:val="007217BE"/>
    <w:rsid w:val="00721B66"/>
    <w:rsid w:val="00723000"/>
    <w:rsid w:val="00724D8D"/>
    <w:rsid w:val="00724FA7"/>
    <w:rsid w:val="00726BF4"/>
    <w:rsid w:val="00727187"/>
    <w:rsid w:val="00727816"/>
    <w:rsid w:val="007306AD"/>
    <w:rsid w:val="00731C4A"/>
    <w:rsid w:val="007336AD"/>
    <w:rsid w:val="007345CD"/>
    <w:rsid w:val="00737866"/>
    <w:rsid w:val="0074103A"/>
    <w:rsid w:val="00742122"/>
    <w:rsid w:val="00743168"/>
    <w:rsid w:val="007433AC"/>
    <w:rsid w:val="007436E3"/>
    <w:rsid w:val="00743732"/>
    <w:rsid w:val="00744B92"/>
    <w:rsid w:val="007460F0"/>
    <w:rsid w:val="00746F80"/>
    <w:rsid w:val="007472AC"/>
    <w:rsid w:val="00750C60"/>
    <w:rsid w:val="00750F2A"/>
    <w:rsid w:val="00751AA5"/>
    <w:rsid w:val="00751E51"/>
    <w:rsid w:val="00752D75"/>
    <w:rsid w:val="00752F55"/>
    <w:rsid w:val="007531F4"/>
    <w:rsid w:val="00754DF5"/>
    <w:rsid w:val="00756B71"/>
    <w:rsid w:val="007571D1"/>
    <w:rsid w:val="007571FD"/>
    <w:rsid w:val="007618C9"/>
    <w:rsid w:val="00762352"/>
    <w:rsid w:val="00762CAD"/>
    <w:rsid w:val="007634FD"/>
    <w:rsid w:val="00763D11"/>
    <w:rsid w:val="00764342"/>
    <w:rsid w:val="00765877"/>
    <w:rsid w:val="00765942"/>
    <w:rsid w:val="00766DBB"/>
    <w:rsid w:val="00771F7C"/>
    <w:rsid w:val="00772554"/>
    <w:rsid w:val="007749B6"/>
    <w:rsid w:val="00775247"/>
    <w:rsid w:val="00775C78"/>
    <w:rsid w:val="007760E5"/>
    <w:rsid w:val="007766F8"/>
    <w:rsid w:val="00776C80"/>
    <w:rsid w:val="0078069E"/>
    <w:rsid w:val="007815BA"/>
    <w:rsid w:val="00782128"/>
    <w:rsid w:val="00782C6A"/>
    <w:rsid w:val="00784E94"/>
    <w:rsid w:val="00785771"/>
    <w:rsid w:val="00785D98"/>
    <w:rsid w:val="00786DC7"/>
    <w:rsid w:val="0078786D"/>
    <w:rsid w:val="007914B9"/>
    <w:rsid w:val="00791525"/>
    <w:rsid w:val="0079178B"/>
    <w:rsid w:val="007917C9"/>
    <w:rsid w:val="007927CB"/>
    <w:rsid w:val="0079497D"/>
    <w:rsid w:val="00795815"/>
    <w:rsid w:val="00795E57"/>
    <w:rsid w:val="007A19A2"/>
    <w:rsid w:val="007A1AD8"/>
    <w:rsid w:val="007A2262"/>
    <w:rsid w:val="007A4DE4"/>
    <w:rsid w:val="007A7E2E"/>
    <w:rsid w:val="007B1BBA"/>
    <w:rsid w:val="007B4D22"/>
    <w:rsid w:val="007B53BA"/>
    <w:rsid w:val="007B5653"/>
    <w:rsid w:val="007B5CC4"/>
    <w:rsid w:val="007B5E3A"/>
    <w:rsid w:val="007B7485"/>
    <w:rsid w:val="007C10F8"/>
    <w:rsid w:val="007C1756"/>
    <w:rsid w:val="007C1856"/>
    <w:rsid w:val="007C21C1"/>
    <w:rsid w:val="007C2308"/>
    <w:rsid w:val="007C28A8"/>
    <w:rsid w:val="007C32F4"/>
    <w:rsid w:val="007C3FF6"/>
    <w:rsid w:val="007C6830"/>
    <w:rsid w:val="007C6D37"/>
    <w:rsid w:val="007C761A"/>
    <w:rsid w:val="007C7808"/>
    <w:rsid w:val="007D1705"/>
    <w:rsid w:val="007D24D7"/>
    <w:rsid w:val="007D2CC6"/>
    <w:rsid w:val="007D34AC"/>
    <w:rsid w:val="007D35E1"/>
    <w:rsid w:val="007D40DC"/>
    <w:rsid w:val="007D4A8D"/>
    <w:rsid w:val="007D4D4D"/>
    <w:rsid w:val="007D56EC"/>
    <w:rsid w:val="007D621F"/>
    <w:rsid w:val="007D6E24"/>
    <w:rsid w:val="007E05C5"/>
    <w:rsid w:val="007E075D"/>
    <w:rsid w:val="007E0CA6"/>
    <w:rsid w:val="007E0CA9"/>
    <w:rsid w:val="007E1DB8"/>
    <w:rsid w:val="007E2834"/>
    <w:rsid w:val="007E342C"/>
    <w:rsid w:val="007E3631"/>
    <w:rsid w:val="007E48DA"/>
    <w:rsid w:val="007E4F37"/>
    <w:rsid w:val="007E51F4"/>
    <w:rsid w:val="007E54EB"/>
    <w:rsid w:val="007E5EF6"/>
    <w:rsid w:val="007E612E"/>
    <w:rsid w:val="007E61EA"/>
    <w:rsid w:val="007E714B"/>
    <w:rsid w:val="007E71E0"/>
    <w:rsid w:val="007F088A"/>
    <w:rsid w:val="007F1052"/>
    <w:rsid w:val="007F2539"/>
    <w:rsid w:val="007F2826"/>
    <w:rsid w:val="007F3048"/>
    <w:rsid w:val="007F5FB6"/>
    <w:rsid w:val="007F6477"/>
    <w:rsid w:val="007F674C"/>
    <w:rsid w:val="007F78A1"/>
    <w:rsid w:val="007F7A2A"/>
    <w:rsid w:val="008114BA"/>
    <w:rsid w:val="00811750"/>
    <w:rsid w:val="0081252B"/>
    <w:rsid w:val="008139D4"/>
    <w:rsid w:val="008144B4"/>
    <w:rsid w:val="0081594D"/>
    <w:rsid w:val="00815998"/>
    <w:rsid w:val="00815CAC"/>
    <w:rsid w:val="008169C8"/>
    <w:rsid w:val="00816E53"/>
    <w:rsid w:val="00817CFD"/>
    <w:rsid w:val="0082048B"/>
    <w:rsid w:val="00820722"/>
    <w:rsid w:val="00820D4A"/>
    <w:rsid w:val="008214D2"/>
    <w:rsid w:val="00821F85"/>
    <w:rsid w:val="008225B7"/>
    <w:rsid w:val="008236AB"/>
    <w:rsid w:val="008238B6"/>
    <w:rsid w:val="00824135"/>
    <w:rsid w:val="0082418E"/>
    <w:rsid w:val="00824DDE"/>
    <w:rsid w:val="0082582B"/>
    <w:rsid w:val="00825D1F"/>
    <w:rsid w:val="0082750B"/>
    <w:rsid w:val="00827F8A"/>
    <w:rsid w:val="00831F40"/>
    <w:rsid w:val="008332E6"/>
    <w:rsid w:val="00833833"/>
    <w:rsid w:val="00833EA6"/>
    <w:rsid w:val="00833F3E"/>
    <w:rsid w:val="00834AFB"/>
    <w:rsid w:val="00834F93"/>
    <w:rsid w:val="008354EB"/>
    <w:rsid w:val="00837965"/>
    <w:rsid w:val="00841487"/>
    <w:rsid w:val="008418FB"/>
    <w:rsid w:val="0084215B"/>
    <w:rsid w:val="00843E97"/>
    <w:rsid w:val="008447E3"/>
    <w:rsid w:val="008460FB"/>
    <w:rsid w:val="00850021"/>
    <w:rsid w:val="00850718"/>
    <w:rsid w:val="0085177C"/>
    <w:rsid w:val="00854C9E"/>
    <w:rsid w:val="008555DD"/>
    <w:rsid w:val="00855875"/>
    <w:rsid w:val="00855999"/>
    <w:rsid w:val="00860831"/>
    <w:rsid w:val="00861C11"/>
    <w:rsid w:val="00862A40"/>
    <w:rsid w:val="00863757"/>
    <w:rsid w:val="00865102"/>
    <w:rsid w:val="00866185"/>
    <w:rsid w:val="00867113"/>
    <w:rsid w:val="00870BB9"/>
    <w:rsid w:val="00870C48"/>
    <w:rsid w:val="00870FA3"/>
    <w:rsid w:val="00871903"/>
    <w:rsid w:val="00872432"/>
    <w:rsid w:val="00872792"/>
    <w:rsid w:val="00873F60"/>
    <w:rsid w:val="008751EE"/>
    <w:rsid w:val="00875DE9"/>
    <w:rsid w:val="00877705"/>
    <w:rsid w:val="00881010"/>
    <w:rsid w:val="00881119"/>
    <w:rsid w:val="00881138"/>
    <w:rsid w:val="00882126"/>
    <w:rsid w:val="0088226E"/>
    <w:rsid w:val="00882659"/>
    <w:rsid w:val="00884D72"/>
    <w:rsid w:val="008859F4"/>
    <w:rsid w:val="00886377"/>
    <w:rsid w:val="00886580"/>
    <w:rsid w:val="008901BE"/>
    <w:rsid w:val="00890AE0"/>
    <w:rsid w:val="0089184A"/>
    <w:rsid w:val="008924D8"/>
    <w:rsid w:val="008935E3"/>
    <w:rsid w:val="008946F9"/>
    <w:rsid w:val="008964B5"/>
    <w:rsid w:val="008966CA"/>
    <w:rsid w:val="008A008B"/>
    <w:rsid w:val="008A1413"/>
    <w:rsid w:val="008A2BF7"/>
    <w:rsid w:val="008A3DD0"/>
    <w:rsid w:val="008A420D"/>
    <w:rsid w:val="008A56C1"/>
    <w:rsid w:val="008A6E33"/>
    <w:rsid w:val="008A78BC"/>
    <w:rsid w:val="008B00EE"/>
    <w:rsid w:val="008B20D9"/>
    <w:rsid w:val="008B287B"/>
    <w:rsid w:val="008B485C"/>
    <w:rsid w:val="008B494A"/>
    <w:rsid w:val="008B59B0"/>
    <w:rsid w:val="008B5A80"/>
    <w:rsid w:val="008B7453"/>
    <w:rsid w:val="008B7B1E"/>
    <w:rsid w:val="008C06BD"/>
    <w:rsid w:val="008C07CE"/>
    <w:rsid w:val="008C1B00"/>
    <w:rsid w:val="008C2059"/>
    <w:rsid w:val="008C2415"/>
    <w:rsid w:val="008C5677"/>
    <w:rsid w:val="008C5F36"/>
    <w:rsid w:val="008C63C2"/>
    <w:rsid w:val="008C7A6F"/>
    <w:rsid w:val="008D0EAA"/>
    <w:rsid w:val="008D0F4D"/>
    <w:rsid w:val="008D40D3"/>
    <w:rsid w:val="008D4E44"/>
    <w:rsid w:val="008D5222"/>
    <w:rsid w:val="008D6150"/>
    <w:rsid w:val="008D7B3E"/>
    <w:rsid w:val="008E10AD"/>
    <w:rsid w:val="008E237F"/>
    <w:rsid w:val="008E2955"/>
    <w:rsid w:val="008E37B0"/>
    <w:rsid w:val="008E52DC"/>
    <w:rsid w:val="008E5406"/>
    <w:rsid w:val="008E6F39"/>
    <w:rsid w:val="008F00A0"/>
    <w:rsid w:val="008F015B"/>
    <w:rsid w:val="008F1306"/>
    <w:rsid w:val="008F1DFD"/>
    <w:rsid w:val="008F3227"/>
    <w:rsid w:val="008F3BE8"/>
    <w:rsid w:val="008F3D3D"/>
    <w:rsid w:val="008F46D2"/>
    <w:rsid w:val="008F47BA"/>
    <w:rsid w:val="008F56EF"/>
    <w:rsid w:val="008F6CAE"/>
    <w:rsid w:val="008F6DCB"/>
    <w:rsid w:val="008F76FA"/>
    <w:rsid w:val="009002FC"/>
    <w:rsid w:val="00901038"/>
    <w:rsid w:val="00901A2D"/>
    <w:rsid w:val="00902656"/>
    <w:rsid w:val="009027EA"/>
    <w:rsid w:val="0090344B"/>
    <w:rsid w:val="00903DD9"/>
    <w:rsid w:val="009040D8"/>
    <w:rsid w:val="00905DCE"/>
    <w:rsid w:val="0090685B"/>
    <w:rsid w:val="009068EB"/>
    <w:rsid w:val="00906F8C"/>
    <w:rsid w:val="00906FC8"/>
    <w:rsid w:val="00906FFC"/>
    <w:rsid w:val="00910E7A"/>
    <w:rsid w:val="00911559"/>
    <w:rsid w:val="0091207A"/>
    <w:rsid w:val="00912140"/>
    <w:rsid w:val="0091251F"/>
    <w:rsid w:val="00912B77"/>
    <w:rsid w:val="00913346"/>
    <w:rsid w:val="0091438D"/>
    <w:rsid w:val="00914BEA"/>
    <w:rsid w:val="0091524C"/>
    <w:rsid w:val="00916BE2"/>
    <w:rsid w:val="00916F30"/>
    <w:rsid w:val="0091724A"/>
    <w:rsid w:val="009176E1"/>
    <w:rsid w:val="009177B3"/>
    <w:rsid w:val="00917E7E"/>
    <w:rsid w:val="009205A1"/>
    <w:rsid w:val="009207ED"/>
    <w:rsid w:val="00922672"/>
    <w:rsid w:val="00922B59"/>
    <w:rsid w:val="00924395"/>
    <w:rsid w:val="0092553C"/>
    <w:rsid w:val="00925955"/>
    <w:rsid w:val="00926ED9"/>
    <w:rsid w:val="009273D8"/>
    <w:rsid w:val="009278A0"/>
    <w:rsid w:val="009317CA"/>
    <w:rsid w:val="00933C0D"/>
    <w:rsid w:val="009340A5"/>
    <w:rsid w:val="009343B9"/>
    <w:rsid w:val="009362AF"/>
    <w:rsid w:val="00936772"/>
    <w:rsid w:val="00936CF5"/>
    <w:rsid w:val="0093744E"/>
    <w:rsid w:val="0094034C"/>
    <w:rsid w:val="00941461"/>
    <w:rsid w:val="00941930"/>
    <w:rsid w:val="00942095"/>
    <w:rsid w:val="00943066"/>
    <w:rsid w:val="00943BC8"/>
    <w:rsid w:val="00943F4C"/>
    <w:rsid w:val="00943FD2"/>
    <w:rsid w:val="00944CAD"/>
    <w:rsid w:val="00944F3B"/>
    <w:rsid w:val="00945BDA"/>
    <w:rsid w:val="009463DC"/>
    <w:rsid w:val="00946B14"/>
    <w:rsid w:val="00947707"/>
    <w:rsid w:val="00950ADD"/>
    <w:rsid w:val="0095106D"/>
    <w:rsid w:val="0095164F"/>
    <w:rsid w:val="00951FAE"/>
    <w:rsid w:val="00953A3B"/>
    <w:rsid w:val="009543E8"/>
    <w:rsid w:val="00954697"/>
    <w:rsid w:val="00954C01"/>
    <w:rsid w:val="009565F2"/>
    <w:rsid w:val="00961051"/>
    <w:rsid w:val="00961F08"/>
    <w:rsid w:val="00962836"/>
    <w:rsid w:val="00967F89"/>
    <w:rsid w:val="00970CF9"/>
    <w:rsid w:val="00970D45"/>
    <w:rsid w:val="0097179D"/>
    <w:rsid w:val="00971BCF"/>
    <w:rsid w:val="00972C38"/>
    <w:rsid w:val="00975013"/>
    <w:rsid w:val="00975E89"/>
    <w:rsid w:val="0098061D"/>
    <w:rsid w:val="0098065E"/>
    <w:rsid w:val="00980E5C"/>
    <w:rsid w:val="009817A8"/>
    <w:rsid w:val="00981B73"/>
    <w:rsid w:val="009836C4"/>
    <w:rsid w:val="00984CA0"/>
    <w:rsid w:val="0098531E"/>
    <w:rsid w:val="00985F7C"/>
    <w:rsid w:val="00987F39"/>
    <w:rsid w:val="009914F7"/>
    <w:rsid w:val="00991922"/>
    <w:rsid w:val="009928DD"/>
    <w:rsid w:val="00992FD0"/>
    <w:rsid w:val="009935EC"/>
    <w:rsid w:val="009965B2"/>
    <w:rsid w:val="00997779"/>
    <w:rsid w:val="009A0A6F"/>
    <w:rsid w:val="009A2860"/>
    <w:rsid w:val="009A43C3"/>
    <w:rsid w:val="009A4D15"/>
    <w:rsid w:val="009A4F26"/>
    <w:rsid w:val="009A6500"/>
    <w:rsid w:val="009A7945"/>
    <w:rsid w:val="009B02BA"/>
    <w:rsid w:val="009B11D8"/>
    <w:rsid w:val="009B31D9"/>
    <w:rsid w:val="009B33ED"/>
    <w:rsid w:val="009B345E"/>
    <w:rsid w:val="009B368F"/>
    <w:rsid w:val="009B37EE"/>
    <w:rsid w:val="009B37FC"/>
    <w:rsid w:val="009B5A03"/>
    <w:rsid w:val="009B62C0"/>
    <w:rsid w:val="009B688F"/>
    <w:rsid w:val="009B6E79"/>
    <w:rsid w:val="009C0A46"/>
    <w:rsid w:val="009C0C67"/>
    <w:rsid w:val="009C24F0"/>
    <w:rsid w:val="009C34B7"/>
    <w:rsid w:val="009C44C7"/>
    <w:rsid w:val="009C6C51"/>
    <w:rsid w:val="009C78DC"/>
    <w:rsid w:val="009D1392"/>
    <w:rsid w:val="009D1E12"/>
    <w:rsid w:val="009D2647"/>
    <w:rsid w:val="009D300B"/>
    <w:rsid w:val="009D41FD"/>
    <w:rsid w:val="009D42CC"/>
    <w:rsid w:val="009D6388"/>
    <w:rsid w:val="009D717E"/>
    <w:rsid w:val="009D741F"/>
    <w:rsid w:val="009D7CE4"/>
    <w:rsid w:val="009E2438"/>
    <w:rsid w:val="009E2823"/>
    <w:rsid w:val="009E3C7A"/>
    <w:rsid w:val="009E5CCB"/>
    <w:rsid w:val="009E7337"/>
    <w:rsid w:val="009E76AE"/>
    <w:rsid w:val="009F0B9E"/>
    <w:rsid w:val="009F0C06"/>
    <w:rsid w:val="009F1805"/>
    <w:rsid w:val="009F1CF3"/>
    <w:rsid w:val="009F28CD"/>
    <w:rsid w:val="009F4427"/>
    <w:rsid w:val="009F5757"/>
    <w:rsid w:val="009F7478"/>
    <w:rsid w:val="009F7DC6"/>
    <w:rsid w:val="009F7FD6"/>
    <w:rsid w:val="00A003C4"/>
    <w:rsid w:val="00A0058B"/>
    <w:rsid w:val="00A028F9"/>
    <w:rsid w:val="00A03BDE"/>
    <w:rsid w:val="00A05C5A"/>
    <w:rsid w:val="00A06160"/>
    <w:rsid w:val="00A06EA2"/>
    <w:rsid w:val="00A077F7"/>
    <w:rsid w:val="00A07B00"/>
    <w:rsid w:val="00A10E6E"/>
    <w:rsid w:val="00A123A2"/>
    <w:rsid w:val="00A128BC"/>
    <w:rsid w:val="00A12DAC"/>
    <w:rsid w:val="00A13375"/>
    <w:rsid w:val="00A14104"/>
    <w:rsid w:val="00A154EF"/>
    <w:rsid w:val="00A1550A"/>
    <w:rsid w:val="00A16BF2"/>
    <w:rsid w:val="00A20A1B"/>
    <w:rsid w:val="00A21068"/>
    <w:rsid w:val="00A22602"/>
    <w:rsid w:val="00A24BC4"/>
    <w:rsid w:val="00A26732"/>
    <w:rsid w:val="00A2735D"/>
    <w:rsid w:val="00A302A7"/>
    <w:rsid w:val="00A31353"/>
    <w:rsid w:val="00A32557"/>
    <w:rsid w:val="00A36130"/>
    <w:rsid w:val="00A36F6D"/>
    <w:rsid w:val="00A371BF"/>
    <w:rsid w:val="00A37FE8"/>
    <w:rsid w:val="00A403CC"/>
    <w:rsid w:val="00A40CB6"/>
    <w:rsid w:val="00A41151"/>
    <w:rsid w:val="00A41F8D"/>
    <w:rsid w:val="00A43866"/>
    <w:rsid w:val="00A44D41"/>
    <w:rsid w:val="00A4551D"/>
    <w:rsid w:val="00A45532"/>
    <w:rsid w:val="00A45DFF"/>
    <w:rsid w:val="00A460E8"/>
    <w:rsid w:val="00A46689"/>
    <w:rsid w:val="00A47D12"/>
    <w:rsid w:val="00A50B83"/>
    <w:rsid w:val="00A521F2"/>
    <w:rsid w:val="00A530F9"/>
    <w:rsid w:val="00A53A34"/>
    <w:rsid w:val="00A543AF"/>
    <w:rsid w:val="00A54F5C"/>
    <w:rsid w:val="00A55ACF"/>
    <w:rsid w:val="00A56BB5"/>
    <w:rsid w:val="00A56C08"/>
    <w:rsid w:val="00A56F65"/>
    <w:rsid w:val="00A573FA"/>
    <w:rsid w:val="00A655FE"/>
    <w:rsid w:val="00A666DF"/>
    <w:rsid w:val="00A72E1B"/>
    <w:rsid w:val="00A73744"/>
    <w:rsid w:val="00A73872"/>
    <w:rsid w:val="00A74127"/>
    <w:rsid w:val="00A74425"/>
    <w:rsid w:val="00A7593D"/>
    <w:rsid w:val="00A75D38"/>
    <w:rsid w:val="00A75E38"/>
    <w:rsid w:val="00A76B4A"/>
    <w:rsid w:val="00A76E25"/>
    <w:rsid w:val="00A776B4"/>
    <w:rsid w:val="00A80101"/>
    <w:rsid w:val="00A8032F"/>
    <w:rsid w:val="00A82B2A"/>
    <w:rsid w:val="00A82DF6"/>
    <w:rsid w:val="00A83D6B"/>
    <w:rsid w:val="00A83E70"/>
    <w:rsid w:val="00A85AD8"/>
    <w:rsid w:val="00A85DC0"/>
    <w:rsid w:val="00A85F54"/>
    <w:rsid w:val="00A8607B"/>
    <w:rsid w:val="00A86105"/>
    <w:rsid w:val="00A861ED"/>
    <w:rsid w:val="00A8639B"/>
    <w:rsid w:val="00A8685C"/>
    <w:rsid w:val="00A875DA"/>
    <w:rsid w:val="00A87BE0"/>
    <w:rsid w:val="00A90506"/>
    <w:rsid w:val="00A91ED6"/>
    <w:rsid w:val="00A930AC"/>
    <w:rsid w:val="00A93DA1"/>
    <w:rsid w:val="00A94AA3"/>
    <w:rsid w:val="00A95DE7"/>
    <w:rsid w:val="00A96451"/>
    <w:rsid w:val="00A978AC"/>
    <w:rsid w:val="00A9793A"/>
    <w:rsid w:val="00AA13DE"/>
    <w:rsid w:val="00AA27E4"/>
    <w:rsid w:val="00AA395F"/>
    <w:rsid w:val="00AA46EF"/>
    <w:rsid w:val="00AA503D"/>
    <w:rsid w:val="00AA5839"/>
    <w:rsid w:val="00AB0152"/>
    <w:rsid w:val="00AB1B34"/>
    <w:rsid w:val="00AB2824"/>
    <w:rsid w:val="00AB2FE7"/>
    <w:rsid w:val="00AB501C"/>
    <w:rsid w:val="00AB63ED"/>
    <w:rsid w:val="00AB6D43"/>
    <w:rsid w:val="00AB7B17"/>
    <w:rsid w:val="00AC2AEF"/>
    <w:rsid w:val="00AC404F"/>
    <w:rsid w:val="00AC46E6"/>
    <w:rsid w:val="00AC519F"/>
    <w:rsid w:val="00AC5D8B"/>
    <w:rsid w:val="00AC6A69"/>
    <w:rsid w:val="00AC72E8"/>
    <w:rsid w:val="00AC7A4C"/>
    <w:rsid w:val="00AC7D59"/>
    <w:rsid w:val="00AD0324"/>
    <w:rsid w:val="00AD2B25"/>
    <w:rsid w:val="00AD460A"/>
    <w:rsid w:val="00AD4F27"/>
    <w:rsid w:val="00AD50E7"/>
    <w:rsid w:val="00AD6333"/>
    <w:rsid w:val="00AD6922"/>
    <w:rsid w:val="00AD7EC5"/>
    <w:rsid w:val="00AE1003"/>
    <w:rsid w:val="00AE15C0"/>
    <w:rsid w:val="00AE2359"/>
    <w:rsid w:val="00AE34D5"/>
    <w:rsid w:val="00AE3C07"/>
    <w:rsid w:val="00AE4A66"/>
    <w:rsid w:val="00AE4DD7"/>
    <w:rsid w:val="00AE6855"/>
    <w:rsid w:val="00AE7539"/>
    <w:rsid w:val="00AE7705"/>
    <w:rsid w:val="00AF0117"/>
    <w:rsid w:val="00AF0BEA"/>
    <w:rsid w:val="00AF0F86"/>
    <w:rsid w:val="00AF10E3"/>
    <w:rsid w:val="00AF1138"/>
    <w:rsid w:val="00AF2DAB"/>
    <w:rsid w:val="00AF3204"/>
    <w:rsid w:val="00AF356A"/>
    <w:rsid w:val="00AF77B5"/>
    <w:rsid w:val="00AF7AEB"/>
    <w:rsid w:val="00AF7C01"/>
    <w:rsid w:val="00B00C2A"/>
    <w:rsid w:val="00B01925"/>
    <w:rsid w:val="00B025F0"/>
    <w:rsid w:val="00B02A77"/>
    <w:rsid w:val="00B05964"/>
    <w:rsid w:val="00B07BA2"/>
    <w:rsid w:val="00B11CCC"/>
    <w:rsid w:val="00B1266B"/>
    <w:rsid w:val="00B13934"/>
    <w:rsid w:val="00B14148"/>
    <w:rsid w:val="00B14B7C"/>
    <w:rsid w:val="00B15C39"/>
    <w:rsid w:val="00B1780B"/>
    <w:rsid w:val="00B17F63"/>
    <w:rsid w:val="00B200E5"/>
    <w:rsid w:val="00B20BEB"/>
    <w:rsid w:val="00B20ED5"/>
    <w:rsid w:val="00B2181C"/>
    <w:rsid w:val="00B22D64"/>
    <w:rsid w:val="00B26226"/>
    <w:rsid w:val="00B268B2"/>
    <w:rsid w:val="00B2763C"/>
    <w:rsid w:val="00B279FB"/>
    <w:rsid w:val="00B31B33"/>
    <w:rsid w:val="00B32C59"/>
    <w:rsid w:val="00B33EEC"/>
    <w:rsid w:val="00B378E6"/>
    <w:rsid w:val="00B406C0"/>
    <w:rsid w:val="00B4075E"/>
    <w:rsid w:val="00B4091D"/>
    <w:rsid w:val="00B40F84"/>
    <w:rsid w:val="00B4131C"/>
    <w:rsid w:val="00B42552"/>
    <w:rsid w:val="00B428B9"/>
    <w:rsid w:val="00B42B05"/>
    <w:rsid w:val="00B430C7"/>
    <w:rsid w:val="00B43229"/>
    <w:rsid w:val="00B442D3"/>
    <w:rsid w:val="00B45059"/>
    <w:rsid w:val="00B50927"/>
    <w:rsid w:val="00B50AC3"/>
    <w:rsid w:val="00B5232D"/>
    <w:rsid w:val="00B52B5D"/>
    <w:rsid w:val="00B52CAB"/>
    <w:rsid w:val="00B533BB"/>
    <w:rsid w:val="00B5672F"/>
    <w:rsid w:val="00B60B2F"/>
    <w:rsid w:val="00B60D17"/>
    <w:rsid w:val="00B60FDC"/>
    <w:rsid w:val="00B61674"/>
    <w:rsid w:val="00B62954"/>
    <w:rsid w:val="00B63F50"/>
    <w:rsid w:val="00B6522B"/>
    <w:rsid w:val="00B65647"/>
    <w:rsid w:val="00B65794"/>
    <w:rsid w:val="00B65DEE"/>
    <w:rsid w:val="00B67278"/>
    <w:rsid w:val="00B704DF"/>
    <w:rsid w:val="00B70BE5"/>
    <w:rsid w:val="00B71B56"/>
    <w:rsid w:val="00B71BCF"/>
    <w:rsid w:val="00B73826"/>
    <w:rsid w:val="00B746A9"/>
    <w:rsid w:val="00B7547E"/>
    <w:rsid w:val="00B758D4"/>
    <w:rsid w:val="00B76917"/>
    <w:rsid w:val="00B77AF9"/>
    <w:rsid w:val="00B826CB"/>
    <w:rsid w:val="00B843B9"/>
    <w:rsid w:val="00B84A23"/>
    <w:rsid w:val="00B8570F"/>
    <w:rsid w:val="00B85887"/>
    <w:rsid w:val="00B869F6"/>
    <w:rsid w:val="00B87F72"/>
    <w:rsid w:val="00B910F5"/>
    <w:rsid w:val="00B92265"/>
    <w:rsid w:val="00B922A3"/>
    <w:rsid w:val="00BA0664"/>
    <w:rsid w:val="00BA06A0"/>
    <w:rsid w:val="00BA0AF9"/>
    <w:rsid w:val="00BA18B6"/>
    <w:rsid w:val="00BA18BA"/>
    <w:rsid w:val="00BA1F2B"/>
    <w:rsid w:val="00BA3586"/>
    <w:rsid w:val="00BA73B3"/>
    <w:rsid w:val="00BA7894"/>
    <w:rsid w:val="00BB1BB6"/>
    <w:rsid w:val="00BB1DEF"/>
    <w:rsid w:val="00BB3F95"/>
    <w:rsid w:val="00BB449D"/>
    <w:rsid w:val="00BB5B5B"/>
    <w:rsid w:val="00BB5BB0"/>
    <w:rsid w:val="00BB659B"/>
    <w:rsid w:val="00BC1ABD"/>
    <w:rsid w:val="00BC1C6F"/>
    <w:rsid w:val="00BC220D"/>
    <w:rsid w:val="00BC22EE"/>
    <w:rsid w:val="00BC3967"/>
    <w:rsid w:val="00BC4D83"/>
    <w:rsid w:val="00BC6403"/>
    <w:rsid w:val="00BC66A3"/>
    <w:rsid w:val="00BC78B2"/>
    <w:rsid w:val="00BC7D7D"/>
    <w:rsid w:val="00BD0049"/>
    <w:rsid w:val="00BD0681"/>
    <w:rsid w:val="00BD0CE5"/>
    <w:rsid w:val="00BD0F14"/>
    <w:rsid w:val="00BD2595"/>
    <w:rsid w:val="00BD2A00"/>
    <w:rsid w:val="00BD45F8"/>
    <w:rsid w:val="00BD4BD8"/>
    <w:rsid w:val="00BD57A0"/>
    <w:rsid w:val="00BD6A16"/>
    <w:rsid w:val="00BD6CC7"/>
    <w:rsid w:val="00BD6D65"/>
    <w:rsid w:val="00BD7771"/>
    <w:rsid w:val="00BD7E89"/>
    <w:rsid w:val="00BE18E9"/>
    <w:rsid w:val="00BE3110"/>
    <w:rsid w:val="00BE7CDF"/>
    <w:rsid w:val="00BF1F5E"/>
    <w:rsid w:val="00BF4D94"/>
    <w:rsid w:val="00BF575D"/>
    <w:rsid w:val="00BF68EE"/>
    <w:rsid w:val="00BF7857"/>
    <w:rsid w:val="00C01D34"/>
    <w:rsid w:val="00C03420"/>
    <w:rsid w:val="00C06058"/>
    <w:rsid w:val="00C0615A"/>
    <w:rsid w:val="00C061F6"/>
    <w:rsid w:val="00C06705"/>
    <w:rsid w:val="00C06D3F"/>
    <w:rsid w:val="00C1053A"/>
    <w:rsid w:val="00C11FD7"/>
    <w:rsid w:val="00C13F5A"/>
    <w:rsid w:val="00C145BE"/>
    <w:rsid w:val="00C149E4"/>
    <w:rsid w:val="00C14F18"/>
    <w:rsid w:val="00C15AA2"/>
    <w:rsid w:val="00C169FA"/>
    <w:rsid w:val="00C1750D"/>
    <w:rsid w:val="00C2008A"/>
    <w:rsid w:val="00C20254"/>
    <w:rsid w:val="00C20FA8"/>
    <w:rsid w:val="00C22B5C"/>
    <w:rsid w:val="00C22FBA"/>
    <w:rsid w:val="00C24B73"/>
    <w:rsid w:val="00C3003F"/>
    <w:rsid w:val="00C30F6B"/>
    <w:rsid w:val="00C314F2"/>
    <w:rsid w:val="00C320FE"/>
    <w:rsid w:val="00C32AB7"/>
    <w:rsid w:val="00C32F34"/>
    <w:rsid w:val="00C36F95"/>
    <w:rsid w:val="00C377BB"/>
    <w:rsid w:val="00C37DDA"/>
    <w:rsid w:val="00C40B4A"/>
    <w:rsid w:val="00C415FF"/>
    <w:rsid w:val="00C41CF1"/>
    <w:rsid w:val="00C41D99"/>
    <w:rsid w:val="00C43AD0"/>
    <w:rsid w:val="00C44738"/>
    <w:rsid w:val="00C4520B"/>
    <w:rsid w:val="00C46BDE"/>
    <w:rsid w:val="00C542AB"/>
    <w:rsid w:val="00C57FEA"/>
    <w:rsid w:val="00C602B0"/>
    <w:rsid w:val="00C60ABE"/>
    <w:rsid w:val="00C61DBB"/>
    <w:rsid w:val="00C6289F"/>
    <w:rsid w:val="00C634E4"/>
    <w:rsid w:val="00C63BE2"/>
    <w:rsid w:val="00C658A8"/>
    <w:rsid w:val="00C65BC5"/>
    <w:rsid w:val="00C65D1B"/>
    <w:rsid w:val="00C66C82"/>
    <w:rsid w:val="00C712E2"/>
    <w:rsid w:val="00C7136C"/>
    <w:rsid w:val="00C71FA7"/>
    <w:rsid w:val="00C732BF"/>
    <w:rsid w:val="00C73F9B"/>
    <w:rsid w:val="00C74EE7"/>
    <w:rsid w:val="00C75CD3"/>
    <w:rsid w:val="00C7662F"/>
    <w:rsid w:val="00C77595"/>
    <w:rsid w:val="00C83C2D"/>
    <w:rsid w:val="00C8410F"/>
    <w:rsid w:val="00C84706"/>
    <w:rsid w:val="00C8554F"/>
    <w:rsid w:val="00C86BAD"/>
    <w:rsid w:val="00C875FE"/>
    <w:rsid w:val="00C90E37"/>
    <w:rsid w:val="00C91DE1"/>
    <w:rsid w:val="00C94D3A"/>
    <w:rsid w:val="00C9572C"/>
    <w:rsid w:val="00C95744"/>
    <w:rsid w:val="00C95795"/>
    <w:rsid w:val="00C96278"/>
    <w:rsid w:val="00CA0FBD"/>
    <w:rsid w:val="00CA1B59"/>
    <w:rsid w:val="00CA2397"/>
    <w:rsid w:val="00CA276E"/>
    <w:rsid w:val="00CA2B07"/>
    <w:rsid w:val="00CA5447"/>
    <w:rsid w:val="00CA56E0"/>
    <w:rsid w:val="00CA5ABB"/>
    <w:rsid w:val="00CB099F"/>
    <w:rsid w:val="00CB16D9"/>
    <w:rsid w:val="00CB2257"/>
    <w:rsid w:val="00CB2790"/>
    <w:rsid w:val="00CB430F"/>
    <w:rsid w:val="00CB491A"/>
    <w:rsid w:val="00CB5345"/>
    <w:rsid w:val="00CB5482"/>
    <w:rsid w:val="00CB72BE"/>
    <w:rsid w:val="00CB7874"/>
    <w:rsid w:val="00CB7D40"/>
    <w:rsid w:val="00CC006F"/>
    <w:rsid w:val="00CC0E32"/>
    <w:rsid w:val="00CC1D4C"/>
    <w:rsid w:val="00CC2529"/>
    <w:rsid w:val="00CC262B"/>
    <w:rsid w:val="00CC3290"/>
    <w:rsid w:val="00CC39B3"/>
    <w:rsid w:val="00CC3DE1"/>
    <w:rsid w:val="00CD0DED"/>
    <w:rsid w:val="00CD3D48"/>
    <w:rsid w:val="00CD4CFE"/>
    <w:rsid w:val="00CD6AA2"/>
    <w:rsid w:val="00CD742E"/>
    <w:rsid w:val="00CD76A9"/>
    <w:rsid w:val="00CE2D0A"/>
    <w:rsid w:val="00CE5632"/>
    <w:rsid w:val="00CF08EB"/>
    <w:rsid w:val="00CF0D89"/>
    <w:rsid w:val="00CF1DBB"/>
    <w:rsid w:val="00CF3257"/>
    <w:rsid w:val="00CF4399"/>
    <w:rsid w:val="00CF4505"/>
    <w:rsid w:val="00CF4E0E"/>
    <w:rsid w:val="00CF4FCF"/>
    <w:rsid w:val="00CF6426"/>
    <w:rsid w:val="00CF70B5"/>
    <w:rsid w:val="00CF7943"/>
    <w:rsid w:val="00CF7E33"/>
    <w:rsid w:val="00D00620"/>
    <w:rsid w:val="00D01F97"/>
    <w:rsid w:val="00D02C47"/>
    <w:rsid w:val="00D059F8"/>
    <w:rsid w:val="00D0653E"/>
    <w:rsid w:val="00D07A78"/>
    <w:rsid w:val="00D1013C"/>
    <w:rsid w:val="00D136DA"/>
    <w:rsid w:val="00D13C40"/>
    <w:rsid w:val="00D17C67"/>
    <w:rsid w:val="00D20A6C"/>
    <w:rsid w:val="00D22673"/>
    <w:rsid w:val="00D22773"/>
    <w:rsid w:val="00D22FFC"/>
    <w:rsid w:val="00D245FF"/>
    <w:rsid w:val="00D26046"/>
    <w:rsid w:val="00D30C7E"/>
    <w:rsid w:val="00D310D1"/>
    <w:rsid w:val="00D317A9"/>
    <w:rsid w:val="00D34139"/>
    <w:rsid w:val="00D35180"/>
    <w:rsid w:val="00D35F25"/>
    <w:rsid w:val="00D3606A"/>
    <w:rsid w:val="00D364E5"/>
    <w:rsid w:val="00D36F91"/>
    <w:rsid w:val="00D370C2"/>
    <w:rsid w:val="00D4069F"/>
    <w:rsid w:val="00D42284"/>
    <w:rsid w:val="00D452F7"/>
    <w:rsid w:val="00D45F83"/>
    <w:rsid w:val="00D45FC4"/>
    <w:rsid w:val="00D46405"/>
    <w:rsid w:val="00D46CDE"/>
    <w:rsid w:val="00D5099A"/>
    <w:rsid w:val="00D5329D"/>
    <w:rsid w:val="00D532D6"/>
    <w:rsid w:val="00D53BEC"/>
    <w:rsid w:val="00D543E1"/>
    <w:rsid w:val="00D54547"/>
    <w:rsid w:val="00D56719"/>
    <w:rsid w:val="00D60077"/>
    <w:rsid w:val="00D6069B"/>
    <w:rsid w:val="00D60B8B"/>
    <w:rsid w:val="00D617A7"/>
    <w:rsid w:val="00D65ED6"/>
    <w:rsid w:val="00D6682E"/>
    <w:rsid w:val="00D66BBF"/>
    <w:rsid w:val="00D66DD8"/>
    <w:rsid w:val="00D72E90"/>
    <w:rsid w:val="00D73E5A"/>
    <w:rsid w:val="00D7456B"/>
    <w:rsid w:val="00D758E7"/>
    <w:rsid w:val="00D77B8C"/>
    <w:rsid w:val="00D81C69"/>
    <w:rsid w:val="00D8281C"/>
    <w:rsid w:val="00D8433B"/>
    <w:rsid w:val="00D84784"/>
    <w:rsid w:val="00D84E88"/>
    <w:rsid w:val="00D866BD"/>
    <w:rsid w:val="00D87CC3"/>
    <w:rsid w:val="00D92F9D"/>
    <w:rsid w:val="00D9385C"/>
    <w:rsid w:val="00D94734"/>
    <w:rsid w:val="00D96502"/>
    <w:rsid w:val="00D96A9C"/>
    <w:rsid w:val="00DA0B38"/>
    <w:rsid w:val="00DA251A"/>
    <w:rsid w:val="00DA2996"/>
    <w:rsid w:val="00DA5C6C"/>
    <w:rsid w:val="00DA6959"/>
    <w:rsid w:val="00DA6E27"/>
    <w:rsid w:val="00DB01EC"/>
    <w:rsid w:val="00DB436C"/>
    <w:rsid w:val="00DB4A9A"/>
    <w:rsid w:val="00DB67D0"/>
    <w:rsid w:val="00DB70BB"/>
    <w:rsid w:val="00DB779E"/>
    <w:rsid w:val="00DC11B7"/>
    <w:rsid w:val="00DC2617"/>
    <w:rsid w:val="00DC2D3E"/>
    <w:rsid w:val="00DC3E22"/>
    <w:rsid w:val="00DC458A"/>
    <w:rsid w:val="00DC45E7"/>
    <w:rsid w:val="00DC5F51"/>
    <w:rsid w:val="00DC73E0"/>
    <w:rsid w:val="00DD16EC"/>
    <w:rsid w:val="00DD1725"/>
    <w:rsid w:val="00DD4B35"/>
    <w:rsid w:val="00DD5A12"/>
    <w:rsid w:val="00DD6757"/>
    <w:rsid w:val="00DE04DA"/>
    <w:rsid w:val="00DE35B2"/>
    <w:rsid w:val="00DE3A2F"/>
    <w:rsid w:val="00DE440B"/>
    <w:rsid w:val="00DE4464"/>
    <w:rsid w:val="00DE66BE"/>
    <w:rsid w:val="00DE72C1"/>
    <w:rsid w:val="00DF0437"/>
    <w:rsid w:val="00DF181C"/>
    <w:rsid w:val="00DF1EEF"/>
    <w:rsid w:val="00DF248D"/>
    <w:rsid w:val="00DF2897"/>
    <w:rsid w:val="00DF45EC"/>
    <w:rsid w:val="00DF49C3"/>
    <w:rsid w:val="00DF5F3A"/>
    <w:rsid w:val="00E00071"/>
    <w:rsid w:val="00E00868"/>
    <w:rsid w:val="00E00951"/>
    <w:rsid w:val="00E00DBC"/>
    <w:rsid w:val="00E03279"/>
    <w:rsid w:val="00E0601D"/>
    <w:rsid w:val="00E07581"/>
    <w:rsid w:val="00E0764E"/>
    <w:rsid w:val="00E07CD9"/>
    <w:rsid w:val="00E10D7E"/>
    <w:rsid w:val="00E11E96"/>
    <w:rsid w:val="00E12044"/>
    <w:rsid w:val="00E126FE"/>
    <w:rsid w:val="00E12834"/>
    <w:rsid w:val="00E13D71"/>
    <w:rsid w:val="00E16B2A"/>
    <w:rsid w:val="00E1752F"/>
    <w:rsid w:val="00E17E00"/>
    <w:rsid w:val="00E219A9"/>
    <w:rsid w:val="00E21A72"/>
    <w:rsid w:val="00E2246E"/>
    <w:rsid w:val="00E22B16"/>
    <w:rsid w:val="00E24274"/>
    <w:rsid w:val="00E256E4"/>
    <w:rsid w:val="00E25C96"/>
    <w:rsid w:val="00E260C2"/>
    <w:rsid w:val="00E26277"/>
    <w:rsid w:val="00E278CA"/>
    <w:rsid w:val="00E27FF3"/>
    <w:rsid w:val="00E31C82"/>
    <w:rsid w:val="00E33D84"/>
    <w:rsid w:val="00E35D80"/>
    <w:rsid w:val="00E36239"/>
    <w:rsid w:val="00E363DB"/>
    <w:rsid w:val="00E40B1C"/>
    <w:rsid w:val="00E41863"/>
    <w:rsid w:val="00E418FE"/>
    <w:rsid w:val="00E4270D"/>
    <w:rsid w:val="00E4347A"/>
    <w:rsid w:val="00E4548E"/>
    <w:rsid w:val="00E457BA"/>
    <w:rsid w:val="00E45C2A"/>
    <w:rsid w:val="00E46DE9"/>
    <w:rsid w:val="00E46E15"/>
    <w:rsid w:val="00E476C0"/>
    <w:rsid w:val="00E50FF9"/>
    <w:rsid w:val="00E51E42"/>
    <w:rsid w:val="00E52C9D"/>
    <w:rsid w:val="00E53138"/>
    <w:rsid w:val="00E53C85"/>
    <w:rsid w:val="00E547F4"/>
    <w:rsid w:val="00E55AA5"/>
    <w:rsid w:val="00E60AB3"/>
    <w:rsid w:val="00E60ECF"/>
    <w:rsid w:val="00E6241A"/>
    <w:rsid w:val="00E627AC"/>
    <w:rsid w:val="00E62F9B"/>
    <w:rsid w:val="00E64086"/>
    <w:rsid w:val="00E64324"/>
    <w:rsid w:val="00E644C3"/>
    <w:rsid w:val="00E66029"/>
    <w:rsid w:val="00E6798B"/>
    <w:rsid w:val="00E706DD"/>
    <w:rsid w:val="00E71252"/>
    <w:rsid w:val="00E72E02"/>
    <w:rsid w:val="00E7486E"/>
    <w:rsid w:val="00E74C0A"/>
    <w:rsid w:val="00E74D65"/>
    <w:rsid w:val="00E75792"/>
    <w:rsid w:val="00E7631B"/>
    <w:rsid w:val="00E7695B"/>
    <w:rsid w:val="00E81683"/>
    <w:rsid w:val="00E818AD"/>
    <w:rsid w:val="00E837EE"/>
    <w:rsid w:val="00E85BED"/>
    <w:rsid w:val="00E86B80"/>
    <w:rsid w:val="00E871BB"/>
    <w:rsid w:val="00E873CE"/>
    <w:rsid w:val="00E91420"/>
    <w:rsid w:val="00E91DAE"/>
    <w:rsid w:val="00E924C8"/>
    <w:rsid w:val="00E92C1E"/>
    <w:rsid w:val="00E92CFF"/>
    <w:rsid w:val="00E95858"/>
    <w:rsid w:val="00E96963"/>
    <w:rsid w:val="00EA0116"/>
    <w:rsid w:val="00EA27B8"/>
    <w:rsid w:val="00EA3A08"/>
    <w:rsid w:val="00EA3BBB"/>
    <w:rsid w:val="00EA413C"/>
    <w:rsid w:val="00EA45B1"/>
    <w:rsid w:val="00EA4882"/>
    <w:rsid w:val="00EA565D"/>
    <w:rsid w:val="00EA5C7A"/>
    <w:rsid w:val="00EA6213"/>
    <w:rsid w:val="00EA6238"/>
    <w:rsid w:val="00EB1089"/>
    <w:rsid w:val="00EB11F2"/>
    <w:rsid w:val="00EB2352"/>
    <w:rsid w:val="00EB312B"/>
    <w:rsid w:val="00EB3C27"/>
    <w:rsid w:val="00EB5CC8"/>
    <w:rsid w:val="00EB67C4"/>
    <w:rsid w:val="00EB6802"/>
    <w:rsid w:val="00EB7B47"/>
    <w:rsid w:val="00EC0C42"/>
    <w:rsid w:val="00EC0F69"/>
    <w:rsid w:val="00EC1497"/>
    <w:rsid w:val="00EC2BE0"/>
    <w:rsid w:val="00EC45B3"/>
    <w:rsid w:val="00EC469A"/>
    <w:rsid w:val="00EC5A84"/>
    <w:rsid w:val="00ED0022"/>
    <w:rsid w:val="00ED03C4"/>
    <w:rsid w:val="00ED0442"/>
    <w:rsid w:val="00ED0453"/>
    <w:rsid w:val="00ED1E92"/>
    <w:rsid w:val="00ED30C1"/>
    <w:rsid w:val="00ED442A"/>
    <w:rsid w:val="00ED44EB"/>
    <w:rsid w:val="00ED5EA7"/>
    <w:rsid w:val="00ED6B94"/>
    <w:rsid w:val="00ED70B1"/>
    <w:rsid w:val="00ED7C82"/>
    <w:rsid w:val="00EE0286"/>
    <w:rsid w:val="00EE2BA5"/>
    <w:rsid w:val="00EE30D7"/>
    <w:rsid w:val="00EE4362"/>
    <w:rsid w:val="00EE55FD"/>
    <w:rsid w:val="00EE6505"/>
    <w:rsid w:val="00EE673D"/>
    <w:rsid w:val="00EE70E1"/>
    <w:rsid w:val="00EF0B26"/>
    <w:rsid w:val="00EF2CAB"/>
    <w:rsid w:val="00EF45B9"/>
    <w:rsid w:val="00EF553D"/>
    <w:rsid w:val="00EF5630"/>
    <w:rsid w:val="00EF5B8A"/>
    <w:rsid w:val="00EF5CE3"/>
    <w:rsid w:val="00EF638E"/>
    <w:rsid w:val="00EF64C9"/>
    <w:rsid w:val="00EF6674"/>
    <w:rsid w:val="00EF6C11"/>
    <w:rsid w:val="00F0194F"/>
    <w:rsid w:val="00F046C5"/>
    <w:rsid w:val="00F047DE"/>
    <w:rsid w:val="00F04BC5"/>
    <w:rsid w:val="00F10556"/>
    <w:rsid w:val="00F107D9"/>
    <w:rsid w:val="00F138EE"/>
    <w:rsid w:val="00F1684C"/>
    <w:rsid w:val="00F17F76"/>
    <w:rsid w:val="00F2010D"/>
    <w:rsid w:val="00F212A6"/>
    <w:rsid w:val="00F21671"/>
    <w:rsid w:val="00F21D8E"/>
    <w:rsid w:val="00F21ED0"/>
    <w:rsid w:val="00F241CE"/>
    <w:rsid w:val="00F2459E"/>
    <w:rsid w:val="00F2622E"/>
    <w:rsid w:val="00F2746F"/>
    <w:rsid w:val="00F2788B"/>
    <w:rsid w:val="00F30FE6"/>
    <w:rsid w:val="00F314D1"/>
    <w:rsid w:val="00F314FC"/>
    <w:rsid w:val="00F32412"/>
    <w:rsid w:val="00F32641"/>
    <w:rsid w:val="00F32951"/>
    <w:rsid w:val="00F32CBD"/>
    <w:rsid w:val="00F34880"/>
    <w:rsid w:val="00F40FE8"/>
    <w:rsid w:val="00F41CEA"/>
    <w:rsid w:val="00F41F77"/>
    <w:rsid w:val="00F50F09"/>
    <w:rsid w:val="00F55BCB"/>
    <w:rsid w:val="00F577BA"/>
    <w:rsid w:val="00F60AE8"/>
    <w:rsid w:val="00F61F0E"/>
    <w:rsid w:val="00F63F48"/>
    <w:rsid w:val="00F67E04"/>
    <w:rsid w:val="00F713F1"/>
    <w:rsid w:val="00F7259B"/>
    <w:rsid w:val="00F725A1"/>
    <w:rsid w:val="00F72BD1"/>
    <w:rsid w:val="00F74275"/>
    <w:rsid w:val="00F74CF1"/>
    <w:rsid w:val="00F75172"/>
    <w:rsid w:val="00F75FDE"/>
    <w:rsid w:val="00F771D5"/>
    <w:rsid w:val="00F771F5"/>
    <w:rsid w:val="00F77B07"/>
    <w:rsid w:val="00F8202C"/>
    <w:rsid w:val="00F840B5"/>
    <w:rsid w:val="00F843FD"/>
    <w:rsid w:val="00F84512"/>
    <w:rsid w:val="00F87309"/>
    <w:rsid w:val="00F91F49"/>
    <w:rsid w:val="00F9279F"/>
    <w:rsid w:val="00F929C1"/>
    <w:rsid w:val="00F92DA1"/>
    <w:rsid w:val="00F92ECA"/>
    <w:rsid w:val="00FA1D05"/>
    <w:rsid w:val="00FA2635"/>
    <w:rsid w:val="00FB0C8C"/>
    <w:rsid w:val="00FB58BC"/>
    <w:rsid w:val="00FB6531"/>
    <w:rsid w:val="00FB671C"/>
    <w:rsid w:val="00FB6A65"/>
    <w:rsid w:val="00FB72D7"/>
    <w:rsid w:val="00FB7E7E"/>
    <w:rsid w:val="00FC1C1C"/>
    <w:rsid w:val="00FC2267"/>
    <w:rsid w:val="00FC281B"/>
    <w:rsid w:val="00FC2FB7"/>
    <w:rsid w:val="00FC347D"/>
    <w:rsid w:val="00FC3A47"/>
    <w:rsid w:val="00FC4C1D"/>
    <w:rsid w:val="00FC599C"/>
    <w:rsid w:val="00FC636E"/>
    <w:rsid w:val="00FC64A8"/>
    <w:rsid w:val="00FC66F0"/>
    <w:rsid w:val="00FC6D70"/>
    <w:rsid w:val="00FC7030"/>
    <w:rsid w:val="00FD1097"/>
    <w:rsid w:val="00FD12B6"/>
    <w:rsid w:val="00FD2144"/>
    <w:rsid w:val="00FD286F"/>
    <w:rsid w:val="00FD2F95"/>
    <w:rsid w:val="00FD3738"/>
    <w:rsid w:val="00FD377B"/>
    <w:rsid w:val="00FD66C3"/>
    <w:rsid w:val="00FE0114"/>
    <w:rsid w:val="00FE17F3"/>
    <w:rsid w:val="00FE3DBC"/>
    <w:rsid w:val="00FE3E74"/>
    <w:rsid w:val="00FE3F5E"/>
    <w:rsid w:val="00FE3FF2"/>
    <w:rsid w:val="00FE40C3"/>
    <w:rsid w:val="00FE4F60"/>
    <w:rsid w:val="00FE4F6D"/>
    <w:rsid w:val="00FE5942"/>
    <w:rsid w:val="00FE5AA9"/>
    <w:rsid w:val="00FE7FA4"/>
    <w:rsid w:val="00FF01D5"/>
    <w:rsid w:val="00FF0DC1"/>
    <w:rsid w:val="00FF256A"/>
    <w:rsid w:val="00FF4C2A"/>
    <w:rsid w:val="00FF73A3"/>
    <w:rsid w:val="00FF750E"/>
    <w:rsid w:val="00FF7680"/>
    <w:rsid w:val="00FF7A96"/>
    <w:rsid w:val="010D6029"/>
    <w:rsid w:val="013435B5"/>
    <w:rsid w:val="0148182A"/>
    <w:rsid w:val="01762040"/>
    <w:rsid w:val="019D73AC"/>
    <w:rsid w:val="01A7647D"/>
    <w:rsid w:val="01A81B5C"/>
    <w:rsid w:val="01CE78F9"/>
    <w:rsid w:val="01E4119C"/>
    <w:rsid w:val="01EC1218"/>
    <w:rsid w:val="022E64B5"/>
    <w:rsid w:val="02405F8A"/>
    <w:rsid w:val="02883974"/>
    <w:rsid w:val="02EB3270"/>
    <w:rsid w:val="032B3FFA"/>
    <w:rsid w:val="035F0718"/>
    <w:rsid w:val="03653EFA"/>
    <w:rsid w:val="037016A1"/>
    <w:rsid w:val="0398426E"/>
    <w:rsid w:val="03A91678"/>
    <w:rsid w:val="03AB3832"/>
    <w:rsid w:val="03DA48E8"/>
    <w:rsid w:val="03EA45C6"/>
    <w:rsid w:val="03FF60FC"/>
    <w:rsid w:val="0403124C"/>
    <w:rsid w:val="040E6340"/>
    <w:rsid w:val="043B39C2"/>
    <w:rsid w:val="04561A95"/>
    <w:rsid w:val="04700DA8"/>
    <w:rsid w:val="049F50F6"/>
    <w:rsid w:val="04A647CA"/>
    <w:rsid w:val="04AB7949"/>
    <w:rsid w:val="04F433B2"/>
    <w:rsid w:val="054661B1"/>
    <w:rsid w:val="0550347B"/>
    <w:rsid w:val="056C316C"/>
    <w:rsid w:val="05B4741B"/>
    <w:rsid w:val="06175254"/>
    <w:rsid w:val="06363FF5"/>
    <w:rsid w:val="066466EB"/>
    <w:rsid w:val="066A4AD6"/>
    <w:rsid w:val="067F595E"/>
    <w:rsid w:val="06CC603E"/>
    <w:rsid w:val="06D331FB"/>
    <w:rsid w:val="06D418A0"/>
    <w:rsid w:val="06D93844"/>
    <w:rsid w:val="07E31891"/>
    <w:rsid w:val="07F06144"/>
    <w:rsid w:val="081C15E8"/>
    <w:rsid w:val="08215FD2"/>
    <w:rsid w:val="08254CB4"/>
    <w:rsid w:val="08316AA1"/>
    <w:rsid w:val="08760F4D"/>
    <w:rsid w:val="088A143C"/>
    <w:rsid w:val="08BA0844"/>
    <w:rsid w:val="09383E5F"/>
    <w:rsid w:val="09656CA2"/>
    <w:rsid w:val="09665864"/>
    <w:rsid w:val="09750C0F"/>
    <w:rsid w:val="099F774B"/>
    <w:rsid w:val="09F619EA"/>
    <w:rsid w:val="0A0B50CF"/>
    <w:rsid w:val="0A6767AA"/>
    <w:rsid w:val="0AA7304A"/>
    <w:rsid w:val="0ADD6A6C"/>
    <w:rsid w:val="0B1125AA"/>
    <w:rsid w:val="0B723658"/>
    <w:rsid w:val="0B7A250D"/>
    <w:rsid w:val="0BB84DE3"/>
    <w:rsid w:val="0BBC48D3"/>
    <w:rsid w:val="0BF1626C"/>
    <w:rsid w:val="0C3571A7"/>
    <w:rsid w:val="0C4931E2"/>
    <w:rsid w:val="0CE41A7D"/>
    <w:rsid w:val="0CF37BF8"/>
    <w:rsid w:val="0CFD33F5"/>
    <w:rsid w:val="0CFE7F60"/>
    <w:rsid w:val="0D1F511A"/>
    <w:rsid w:val="0D222E5C"/>
    <w:rsid w:val="0D553128"/>
    <w:rsid w:val="0D58062B"/>
    <w:rsid w:val="0DB8556E"/>
    <w:rsid w:val="0DC42165"/>
    <w:rsid w:val="0E3C15B4"/>
    <w:rsid w:val="0E4B4E42"/>
    <w:rsid w:val="0E6F672A"/>
    <w:rsid w:val="0E836DE3"/>
    <w:rsid w:val="0E8568DF"/>
    <w:rsid w:val="0EA32A6E"/>
    <w:rsid w:val="0EE20AF5"/>
    <w:rsid w:val="0F243C96"/>
    <w:rsid w:val="0F2E2334"/>
    <w:rsid w:val="0F331350"/>
    <w:rsid w:val="0F395C80"/>
    <w:rsid w:val="0F580DB7"/>
    <w:rsid w:val="0F797617"/>
    <w:rsid w:val="0F87169C"/>
    <w:rsid w:val="0F9067A2"/>
    <w:rsid w:val="0FE443F8"/>
    <w:rsid w:val="0FE9700B"/>
    <w:rsid w:val="10305890"/>
    <w:rsid w:val="10405D6E"/>
    <w:rsid w:val="10790FE5"/>
    <w:rsid w:val="108A2DF9"/>
    <w:rsid w:val="10B53EDF"/>
    <w:rsid w:val="10D0494F"/>
    <w:rsid w:val="10DE5BEC"/>
    <w:rsid w:val="11034D52"/>
    <w:rsid w:val="11216A20"/>
    <w:rsid w:val="11585726"/>
    <w:rsid w:val="11665A0D"/>
    <w:rsid w:val="117345B2"/>
    <w:rsid w:val="118C1AFF"/>
    <w:rsid w:val="119D6F55"/>
    <w:rsid w:val="11F748B7"/>
    <w:rsid w:val="120027F9"/>
    <w:rsid w:val="123C4518"/>
    <w:rsid w:val="125F5AC8"/>
    <w:rsid w:val="127C0A9F"/>
    <w:rsid w:val="128A74D9"/>
    <w:rsid w:val="129E2F84"/>
    <w:rsid w:val="13113756"/>
    <w:rsid w:val="131153C2"/>
    <w:rsid w:val="132E255A"/>
    <w:rsid w:val="13692820"/>
    <w:rsid w:val="139323BD"/>
    <w:rsid w:val="13A02D2C"/>
    <w:rsid w:val="13D36EDA"/>
    <w:rsid w:val="13D604FC"/>
    <w:rsid w:val="14253FD0"/>
    <w:rsid w:val="143516C6"/>
    <w:rsid w:val="1457163D"/>
    <w:rsid w:val="145C30F7"/>
    <w:rsid w:val="1464048A"/>
    <w:rsid w:val="148221A6"/>
    <w:rsid w:val="14952165"/>
    <w:rsid w:val="14B101A3"/>
    <w:rsid w:val="14B874F0"/>
    <w:rsid w:val="14CF5677"/>
    <w:rsid w:val="14E522DF"/>
    <w:rsid w:val="14EA6C6B"/>
    <w:rsid w:val="150B061F"/>
    <w:rsid w:val="151C5415"/>
    <w:rsid w:val="15453B8B"/>
    <w:rsid w:val="155838BF"/>
    <w:rsid w:val="155E614E"/>
    <w:rsid w:val="15A43F63"/>
    <w:rsid w:val="15BD1DEB"/>
    <w:rsid w:val="15D54F0F"/>
    <w:rsid w:val="15F1381F"/>
    <w:rsid w:val="15F1786F"/>
    <w:rsid w:val="15F5110D"/>
    <w:rsid w:val="1657033A"/>
    <w:rsid w:val="167209B0"/>
    <w:rsid w:val="167968F7"/>
    <w:rsid w:val="168406E3"/>
    <w:rsid w:val="16AA639C"/>
    <w:rsid w:val="16AE0866"/>
    <w:rsid w:val="16AF6F34"/>
    <w:rsid w:val="16FC68BB"/>
    <w:rsid w:val="170A3ED8"/>
    <w:rsid w:val="170D2487"/>
    <w:rsid w:val="17180671"/>
    <w:rsid w:val="17215F32"/>
    <w:rsid w:val="17741A35"/>
    <w:rsid w:val="17747262"/>
    <w:rsid w:val="178772D7"/>
    <w:rsid w:val="178A6DBB"/>
    <w:rsid w:val="17CA481C"/>
    <w:rsid w:val="17F35B20"/>
    <w:rsid w:val="17F815B2"/>
    <w:rsid w:val="180B557C"/>
    <w:rsid w:val="181473FF"/>
    <w:rsid w:val="18736C61"/>
    <w:rsid w:val="18B232E6"/>
    <w:rsid w:val="18D72D4C"/>
    <w:rsid w:val="191E097B"/>
    <w:rsid w:val="192E1843"/>
    <w:rsid w:val="195A487D"/>
    <w:rsid w:val="197113F3"/>
    <w:rsid w:val="19C1623C"/>
    <w:rsid w:val="19C37466"/>
    <w:rsid w:val="19E12A46"/>
    <w:rsid w:val="19EE0A4C"/>
    <w:rsid w:val="19F40F91"/>
    <w:rsid w:val="1A7555B6"/>
    <w:rsid w:val="1A8069AB"/>
    <w:rsid w:val="1A8707A2"/>
    <w:rsid w:val="1AC7247B"/>
    <w:rsid w:val="1AD6747A"/>
    <w:rsid w:val="1B0E67CD"/>
    <w:rsid w:val="1B122C2F"/>
    <w:rsid w:val="1B2B737F"/>
    <w:rsid w:val="1B5E7755"/>
    <w:rsid w:val="1B685F21"/>
    <w:rsid w:val="1B746F78"/>
    <w:rsid w:val="1BA421CC"/>
    <w:rsid w:val="1BB605E3"/>
    <w:rsid w:val="1BD17F21"/>
    <w:rsid w:val="1C273FEB"/>
    <w:rsid w:val="1C397ADE"/>
    <w:rsid w:val="1C4E77C9"/>
    <w:rsid w:val="1C69015F"/>
    <w:rsid w:val="1C6E39C8"/>
    <w:rsid w:val="1CD46CA1"/>
    <w:rsid w:val="1CEB326A"/>
    <w:rsid w:val="1D372D62"/>
    <w:rsid w:val="1D7A639C"/>
    <w:rsid w:val="1DD279D8"/>
    <w:rsid w:val="1DD737EE"/>
    <w:rsid w:val="1DEC54EC"/>
    <w:rsid w:val="1DEC729A"/>
    <w:rsid w:val="1DF11C0E"/>
    <w:rsid w:val="1E0C3728"/>
    <w:rsid w:val="1E214A6A"/>
    <w:rsid w:val="1E301774"/>
    <w:rsid w:val="1E5E181A"/>
    <w:rsid w:val="1E84000E"/>
    <w:rsid w:val="1E9E60BA"/>
    <w:rsid w:val="1EAF02C7"/>
    <w:rsid w:val="1EB5389F"/>
    <w:rsid w:val="1EDD4465"/>
    <w:rsid w:val="1EDE3E34"/>
    <w:rsid w:val="1F0D1C50"/>
    <w:rsid w:val="1F4B186C"/>
    <w:rsid w:val="1F4E188E"/>
    <w:rsid w:val="1F842C7D"/>
    <w:rsid w:val="1F8B4890"/>
    <w:rsid w:val="1F9F2DFC"/>
    <w:rsid w:val="1F9F3A60"/>
    <w:rsid w:val="1FBF453A"/>
    <w:rsid w:val="201A1428"/>
    <w:rsid w:val="204333BD"/>
    <w:rsid w:val="204C5390"/>
    <w:rsid w:val="20554C0E"/>
    <w:rsid w:val="20701CD2"/>
    <w:rsid w:val="20784D3D"/>
    <w:rsid w:val="20AB72FF"/>
    <w:rsid w:val="20CA36DB"/>
    <w:rsid w:val="20E612C2"/>
    <w:rsid w:val="20FC3C91"/>
    <w:rsid w:val="2101054B"/>
    <w:rsid w:val="21316E48"/>
    <w:rsid w:val="21901457"/>
    <w:rsid w:val="21D461EF"/>
    <w:rsid w:val="226D1A73"/>
    <w:rsid w:val="22711B4B"/>
    <w:rsid w:val="22746369"/>
    <w:rsid w:val="227710FC"/>
    <w:rsid w:val="22813210"/>
    <w:rsid w:val="22F4274D"/>
    <w:rsid w:val="230112DE"/>
    <w:rsid w:val="232C1EE7"/>
    <w:rsid w:val="237856E2"/>
    <w:rsid w:val="238E2BA1"/>
    <w:rsid w:val="239C7906"/>
    <w:rsid w:val="23C52CB1"/>
    <w:rsid w:val="23D26F32"/>
    <w:rsid w:val="23F07F7D"/>
    <w:rsid w:val="24056D28"/>
    <w:rsid w:val="24D90F39"/>
    <w:rsid w:val="25566349"/>
    <w:rsid w:val="255A49D6"/>
    <w:rsid w:val="257A1B54"/>
    <w:rsid w:val="25E11B5E"/>
    <w:rsid w:val="25F594FF"/>
    <w:rsid w:val="266100F9"/>
    <w:rsid w:val="2668592C"/>
    <w:rsid w:val="26FF6A0B"/>
    <w:rsid w:val="27233601"/>
    <w:rsid w:val="27625EF1"/>
    <w:rsid w:val="27637EA1"/>
    <w:rsid w:val="27B7003F"/>
    <w:rsid w:val="280478D6"/>
    <w:rsid w:val="280C4E6F"/>
    <w:rsid w:val="281A50E7"/>
    <w:rsid w:val="282571F6"/>
    <w:rsid w:val="285F479E"/>
    <w:rsid w:val="28771E56"/>
    <w:rsid w:val="287849A4"/>
    <w:rsid w:val="28836A4D"/>
    <w:rsid w:val="28F40740"/>
    <w:rsid w:val="290638A6"/>
    <w:rsid w:val="293F66FA"/>
    <w:rsid w:val="2973261D"/>
    <w:rsid w:val="29744A9A"/>
    <w:rsid w:val="29CB5CC8"/>
    <w:rsid w:val="29FF5913"/>
    <w:rsid w:val="2A4D7312"/>
    <w:rsid w:val="2A522B7B"/>
    <w:rsid w:val="2A8A2314"/>
    <w:rsid w:val="2AC24A4E"/>
    <w:rsid w:val="2AD215C5"/>
    <w:rsid w:val="2AFB7E9C"/>
    <w:rsid w:val="2B042DDD"/>
    <w:rsid w:val="2B0F281A"/>
    <w:rsid w:val="2B147E30"/>
    <w:rsid w:val="2B367DA6"/>
    <w:rsid w:val="2B3D76C9"/>
    <w:rsid w:val="2B8D7629"/>
    <w:rsid w:val="2BBB02AC"/>
    <w:rsid w:val="2C083F28"/>
    <w:rsid w:val="2C147143"/>
    <w:rsid w:val="2C1D4AC2"/>
    <w:rsid w:val="2C451796"/>
    <w:rsid w:val="2C45434C"/>
    <w:rsid w:val="2C4B492E"/>
    <w:rsid w:val="2C5C1A8E"/>
    <w:rsid w:val="2C6517F6"/>
    <w:rsid w:val="2CB2345D"/>
    <w:rsid w:val="2CD86C3B"/>
    <w:rsid w:val="2CD9476B"/>
    <w:rsid w:val="2D354DA5"/>
    <w:rsid w:val="2E7E11E8"/>
    <w:rsid w:val="2E913546"/>
    <w:rsid w:val="2EAC037F"/>
    <w:rsid w:val="2EE83825"/>
    <w:rsid w:val="2EFC73D7"/>
    <w:rsid w:val="2F693AD3"/>
    <w:rsid w:val="2F6E6BBF"/>
    <w:rsid w:val="2F7718E8"/>
    <w:rsid w:val="2F946BC7"/>
    <w:rsid w:val="2F9A1526"/>
    <w:rsid w:val="2FBA9CC2"/>
    <w:rsid w:val="2FBB4237"/>
    <w:rsid w:val="2FBF7A5D"/>
    <w:rsid w:val="2FC61766"/>
    <w:rsid w:val="2FCC0CD9"/>
    <w:rsid w:val="2FE33BC5"/>
    <w:rsid w:val="301D1A23"/>
    <w:rsid w:val="30314FE0"/>
    <w:rsid w:val="30332DFB"/>
    <w:rsid w:val="304D0087"/>
    <w:rsid w:val="306A4C5A"/>
    <w:rsid w:val="308323B9"/>
    <w:rsid w:val="30AC7897"/>
    <w:rsid w:val="30D342E9"/>
    <w:rsid w:val="30FB7CB9"/>
    <w:rsid w:val="3162229D"/>
    <w:rsid w:val="31644F41"/>
    <w:rsid w:val="3175714F"/>
    <w:rsid w:val="318178A1"/>
    <w:rsid w:val="3196159F"/>
    <w:rsid w:val="31A16935"/>
    <w:rsid w:val="31A724B9"/>
    <w:rsid w:val="31A812D2"/>
    <w:rsid w:val="31BC5716"/>
    <w:rsid w:val="31D16A7B"/>
    <w:rsid w:val="322715E7"/>
    <w:rsid w:val="32803FFD"/>
    <w:rsid w:val="329A5D65"/>
    <w:rsid w:val="32DD31FD"/>
    <w:rsid w:val="33291F9F"/>
    <w:rsid w:val="335F00B6"/>
    <w:rsid w:val="3381002D"/>
    <w:rsid w:val="33A45AC9"/>
    <w:rsid w:val="33F31A49"/>
    <w:rsid w:val="33F425AD"/>
    <w:rsid w:val="341135E5"/>
    <w:rsid w:val="34143F7B"/>
    <w:rsid w:val="3432207E"/>
    <w:rsid w:val="34362BC5"/>
    <w:rsid w:val="34367069"/>
    <w:rsid w:val="345920CE"/>
    <w:rsid w:val="346F60D7"/>
    <w:rsid w:val="34831B82"/>
    <w:rsid w:val="348F6CEC"/>
    <w:rsid w:val="34AA02C9"/>
    <w:rsid w:val="34B955A4"/>
    <w:rsid w:val="34C20953"/>
    <w:rsid w:val="35045ACC"/>
    <w:rsid w:val="35132F06"/>
    <w:rsid w:val="352B0250"/>
    <w:rsid w:val="353D7F83"/>
    <w:rsid w:val="354F2B5D"/>
    <w:rsid w:val="35653E9B"/>
    <w:rsid w:val="35904A28"/>
    <w:rsid w:val="35EB79DF"/>
    <w:rsid w:val="36266C69"/>
    <w:rsid w:val="3665370B"/>
    <w:rsid w:val="36843E2C"/>
    <w:rsid w:val="369260AD"/>
    <w:rsid w:val="36AE56E9"/>
    <w:rsid w:val="36B54BF8"/>
    <w:rsid w:val="37050A5A"/>
    <w:rsid w:val="37192462"/>
    <w:rsid w:val="373259EA"/>
    <w:rsid w:val="37494E51"/>
    <w:rsid w:val="37B022DD"/>
    <w:rsid w:val="37BC7450"/>
    <w:rsid w:val="37C14E9C"/>
    <w:rsid w:val="37D42E21"/>
    <w:rsid w:val="37EB4D19"/>
    <w:rsid w:val="38031F5F"/>
    <w:rsid w:val="38673C95"/>
    <w:rsid w:val="386A108F"/>
    <w:rsid w:val="38824A56"/>
    <w:rsid w:val="3887244F"/>
    <w:rsid w:val="38E30E42"/>
    <w:rsid w:val="38FD1F03"/>
    <w:rsid w:val="391239ED"/>
    <w:rsid w:val="39155762"/>
    <w:rsid w:val="39274B00"/>
    <w:rsid w:val="39496B0D"/>
    <w:rsid w:val="397615D9"/>
    <w:rsid w:val="39904B26"/>
    <w:rsid w:val="399054E6"/>
    <w:rsid w:val="3A4F1D7D"/>
    <w:rsid w:val="3A6A35C8"/>
    <w:rsid w:val="3A702F6C"/>
    <w:rsid w:val="3A72247D"/>
    <w:rsid w:val="3A8D2D9B"/>
    <w:rsid w:val="3A8E2F01"/>
    <w:rsid w:val="3A8E3775"/>
    <w:rsid w:val="3AC56A51"/>
    <w:rsid w:val="3AC6326A"/>
    <w:rsid w:val="3AD9074E"/>
    <w:rsid w:val="3AF6FF1C"/>
    <w:rsid w:val="3B6D35A8"/>
    <w:rsid w:val="3B7E75F5"/>
    <w:rsid w:val="3B844B5E"/>
    <w:rsid w:val="3B8531B0"/>
    <w:rsid w:val="3B9A1C8B"/>
    <w:rsid w:val="3BB30F9F"/>
    <w:rsid w:val="3BFF53EC"/>
    <w:rsid w:val="3C3563C9"/>
    <w:rsid w:val="3C3F1A17"/>
    <w:rsid w:val="3C8D7A42"/>
    <w:rsid w:val="3CA858F8"/>
    <w:rsid w:val="3CBA010B"/>
    <w:rsid w:val="3CF739B8"/>
    <w:rsid w:val="3CF96E86"/>
    <w:rsid w:val="3D903673"/>
    <w:rsid w:val="3DAB709B"/>
    <w:rsid w:val="3DB1150E"/>
    <w:rsid w:val="3DC36C0D"/>
    <w:rsid w:val="3DC46429"/>
    <w:rsid w:val="3DD07BE6"/>
    <w:rsid w:val="3DFB044A"/>
    <w:rsid w:val="3E02511C"/>
    <w:rsid w:val="3E4C3E35"/>
    <w:rsid w:val="3E7F7B0D"/>
    <w:rsid w:val="3E9B2243"/>
    <w:rsid w:val="3E9C1AE6"/>
    <w:rsid w:val="3EC41F3D"/>
    <w:rsid w:val="3EDA494F"/>
    <w:rsid w:val="3F367F1D"/>
    <w:rsid w:val="3F5D3E0F"/>
    <w:rsid w:val="3F8E7D59"/>
    <w:rsid w:val="3F966C0E"/>
    <w:rsid w:val="3FC93E72"/>
    <w:rsid w:val="3FD876AC"/>
    <w:rsid w:val="3FDB0AC5"/>
    <w:rsid w:val="404E0148"/>
    <w:rsid w:val="40CB41A0"/>
    <w:rsid w:val="40E55A51"/>
    <w:rsid w:val="40ED0AAF"/>
    <w:rsid w:val="41272239"/>
    <w:rsid w:val="41562AF9"/>
    <w:rsid w:val="415A0E86"/>
    <w:rsid w:val="41652D3C"/>
    <w:rsid w:val="4178530D"/>
    <w:rsid w:val="418807D8"/>
    <w:rsid w:val="4190274A"/>
    <w:rsid w:val="41BD176A"/>
    <w:rsid w:val="41CB25EE"/>
    <w:rsid w:val="41F16057"/>
    <w:rsid w:val="41F560D9"/>
    <w:rsid w:val="42397721"/>
    <w:rsid w:val="426A70CC"/>
    <w:rsid w:val="42786A9F"/>
    <w:rsid w:val="42960F54"/>
    <w:rsid w:val="42A070F7"/>
    <w:rsid w:val="42B9147E"/>
    <w:rsid w:val="42CB271E"/>
    <w:rsid w:val="42E934F8"/>
    <w:rsid w:val="431E13F4"/>
    <w:rsid w:val="4352109E"/>
    <w:rsid w:val="43906844"/>
    <w:rsid w:val="43911BC6"/>
    <w:rsid w:val="43952200"/>
    <w:rsid w:val="439D4FBC"/>
    <w:rsid w:val="43BE0F70"/>
    <w:rsid w:val="43D019CF"/>
    <w:rsid w:val="441822E7"/>
    <w:rsid w:val="44202A53"/>
    <w:rsid w:val="44202F4A"/>
    <w:rsid w:val="44A90138"/>
    <w:rsid w:val="44D63D30"/>
    <w:rsid w:val="44DE046E"/>
    <w:rsid w:val="44E26451"/>
    <w:rsid w:val="44E6360F"/>
    <w:rsid w:val="452E44F6"/>
    <w:rsid w:val="456B5576"/>
    <w:rsid w:val="4574077E"/>
    <w:rsid w:val="45806396"/>
    <w:rsid w:val="45857508"/>
    <w:rsid w:val="45AD6A5F"/>
    <w:rsid w:val="45B47DEE"/>
    <w:rsid w:val="45BA269D"/>
    <w:rsid w:val="45E216A1"/>
    <w:rsid w:val="46232DCE"/>
    <w:rsid w:val="4630799B"/>
    <w:rsid w:val="46354828"/>
    <w:rsid w:val="463907A6"/>
    <w:rsid w:val="46402126"/>
    <w:rsid w:val="46701BA1"/>
    <w:rsid w:val="46841BF4"/>
    <w:rsid w:val="46911EDD"/>
    <w:rsid w:val="46BA4534"/>
    <w:rsid w:val="46CD560B"/>
    <w:rsid w:val="47134D29"/>
    <w:rsid w:val="475F7033"/>
    <w:rsid w:val="477041E8"/>
    <w:rsid w:val="47804D5B"/>
    <w:rsid w:val="47B734E6"/>
    <w:rsid w:val="47C85DD2"/>
    <w:rsid w:val="47CB7671"/>
    <w:rsid w:val="480E2755"/>
    <w:rsid w:val="4863515B"/>
    <w:rsid w:val="48865F10"/>
    <w:rsid w:val="488B34DE"/>
    <w:rsid w:val="48915ECC"/>
    <w:rsid w:val="48AC7C86"/>
    <w:rsid w:val="48CB3DCC"/>
    <w:rsid w:val="48F30C2D"/>
    <w:rsid w:val="490D4A74"/>
    <w:rsid w:val="491F5EC6"/>
    <w:rsid w:val="4933371F"/>
    <w:rsid w:val="494616A5"/>
    <w:rsid w:val="49923F83"/>
    <w:rsid w:val="49D3060C"/>
    <w:rsid w:val="4A031344"/>
    <w:rsid w:val="4A0814FC"/>
    <w:rsid w:val="4A1E617D"/>
    <w:rsid w:val="4A435BE4"/>
    <w:rsid w:val="4A445F6B"/>
    <w:rsid w:val="4A4E1823"/>
    <w:rsid w:val="4A62606A"/>
    <w:rsid w:val="4A7638C4"/>
    <w:rsid w:val="4A7D10F6"/>
    <w:rsid w:val="4A934476"/>
    <w:rsid w:val="4A947431"/>
    <w:rsid w:val="4A952667"/>
    <w:rsid w:val="4AA22EC5"/>
    <w:rsid w:val="4AE57EAE"/>
    <w:rsid w:val="4AEC002A"/>
    <w:rsid w:val="4AED3DD7"/>
    <w:rsid w:val="4AEF3676"/>
    <w:rsid w:val="4B22722D"/>
    <w:rsid w:val="4B95421D"/>
    <w:rsid w:val="4BAB3A41"/>
    <w:rsid w:val="4BAE27A3"/>
    <w:rsid w:val="4C2630C7"/>
    <w:rsid w:val="4C4B073B"/>
    <w:rsid w:val="4C7822ED"/>
    <w:rsid w:val="4CAA019C"/>
    <w:rsid w:val="4CC46225"/>
    <w:rsid w:val="4CCF550D"/>
    <w:rsid w:val="4D1C1AB9"/>
    <w:rsid w:val="4D307EEB"/>
    <w:rsid w:val="4D98594B"/>
    <w:rsid w:val="4DD70B1D"/>
    <w:rsid w:val="4DEF40B9"/>
    <w:rsid w:val="4DF6520A"/>
    <w:rsid w:val="4DFE27AF"/>
    <w:rsid w:val="4E04568A"/>
    <w:rsid w:val="4E8F6141"/>
    <w:rsid w:val="4E8F764A"/>
    <w:rsid w:val="4EB42C0C"/>
    <w:rsid w:val="4F062E9D"/>
    <w:rsid w:val="4F2557A1"/>
    <w:rsid w:val="4FE92D8A"/>
    <w:rsid w:val="500C726B"/>
    <w:rsid w:val="502148C8"/>
    <w:rsid w:val="50412273"/>
    <w:rsid w:val="507F1205"/>
    <w:rsid w:val="508620B1"/>
    <w:rsid w:val="50937738"/>
    <w:rsid w:val="50DD4922"/>
    <w:rsid w:val="51024CD0"/>
    <w:rsid w:val="51324BD4"/>
    <w:rsid w:val="515523EF"/>
    <w:rsid w:val="517B2883"/>
    <w:rsid w:val="519A258E"/>
    <w:rsid w:val="51AF590D"/>
    <w:rsid w:val="51C13FBE"/>
    <w:rsid w:val="51C25640"/>
    <w:rsid w:val="51DC4954"/>
    <w:rsid w:val="526606C2"/>
    <w:rsid w:val="526609EC"/>
    <w:rsid w:val="526E7576"/>
    <w:rsid w:val="529214B7"/>
    <w:rsid w:val="52994D0A"/>
    <w:rsid w:val="52C378C2"/>
    <w:rsid w:val="52CC31D2"/>
    <w:rsid w:val="52E71802"/>
    <w:rsid w:val="53035F10"/>
    <w:rsid w:val="531243A6"/>
    <w:rsid w:val="53195734"/>
    <w:rsid w:val="532C2F85"/>
    <w:rsid w:val="533933C1"/>
    <w:rsid w:val="534529CD"/>
    <w:rsid w:val="534F55FA"/>
    <w:rsid w:val="5354676C"/>
    <w:rsid w:val="53650979"/>
    <w:rsid w:val="536C7F5A"/>
    <w:rsid w:val="537F2A9A"/>
    <w:rsid w:val="53EE4E13"/>
    <w:rsid w:val="5424711B"/>
    <w:rsid w:val="54C0055D"/>
    <w:rsid w:val="54C94F38"/>
    <w:rsid w:val="54D1276A"/>
    <w:rsid w:val="54D146A9"/>
    <w:rsid w:val="54D563E7"/>
    <w:rsid w:val="54DA7145"/>
    <w:rsid w:val="54E56216"/>
    <w:rsid w:val="54F64F2B"/>
    <w:rsid w:val="55254864"/>
    <w:rsid w:val="559C53DB"/>
    <w:rsid w:val="55BF0525"/>
    <w:rsid w:val="55EF09CE"/>
    <w:rsid w:val="55FD133D"/>
    <w:rsid w:val="560C77D2"/>
    <w:rsid w:val="561D6DF5"/>
    <w:rsid w:val="561F4357"/>
    <w:rsid w:val="563A7D43"/>
    <w:rsid w:val="564029E4"/>
    <w:rsid w:val="565B199A"/>
    <w:rsid w:val="56BF3958"/>
    <w:rsid w:val="56DF426B"/>
    <w:rsid w:val="57140443"/>
    <w:rsid w:val="572FF690"/>
    <w:rsid w:val="573945F7"/>
    <w:rsid w:val="57A06424"/>
    <w:rsid w:val="57C93BCD"/>
    <w:rsid w:val="57F91662"/>
    <w:rsid w:val="581A7F84"/>
    <w:rsid w:val="5878627E"/>
    <w:rsid w:val="589055DD"/>
    <w:rsid w:val="58BA14C4"/>
    <w:rsid w:val="58F551A6"/>
    <w:rsid w:val="58FF717A"/>
    <w:rsid w:val="592945D2"/>
    <w:rsid w:val="5932648F"/>
    <w:rsid w:val="59411541"/>
    <w:rsid w:val="59570D64"/>
    <w:rsid w:val="598438F7"/>
    <w:rsid w:val="59BA7D62"/>
    <w:rsid w:val="59CC52AE"/>
    <w:rsid w:val="59D80DBD"/>
    <w:rsid w:val="5A221372"/>
    <w:rsid w:val="5A3A490E"/>
    <w:rsid w:val="5A5359CF"/>
    <w:rsid w:val="5A90452E"/>
    <w:rsid w:val="5AAC208F"/>
    <w:rsid w:val="5ABC17C7"/>
    <w:rsid w:val="5ABE78FA"/>
    <w:rsid w:val="5AFC1BC3"/>
    <w:rsid w:val="5B190DC8"/>
    <w:rsid w:val="5B626C7B"/>
    <w:rsid w:val="5B9D0DDC"/>
    <w:rsid w:val="5B9D54D7"/>
    <w:rsid w:val="5BA77191"/>
    <w:rsid w:val="5BCA76C6"/>
    <w:rsid w:val="5BEF091F"/>
    <w:rsid w:val="5C052235"/>
    <w:rsid w:val="5C1178F0"/>
    <w:rsid w:val="5C7F2AAC"/>
    <w:rsid w:val="5CA00C74"/>
    <w:rsid w:val="5CB93C77"/>
    <w:rsid w:val="5CD8040E"/>
    <w:rsid w:val="5CF52D6E"/>
    <w:rsid w:val="5D425C88"/>
    <w:rsid w:val="5D59154F"/>
    <w:rsid w:val="5D670E7B"/>
    <w:rsid w:val="5D6903BB"/>
    <w:rsid w:val="5D7E1E3D"/>
    <w:rsid w:val="5D863A92"/>
    <w:rsid w:val="5D904320"/>
    <w:rsid w:val="5D957AB0"/>
    <w:rsid w:val="5DA91CE4"/>
    <w:rsid w:val="5DCF52E0"/>
    <w:rsid w:val="5E373D29"/>
    <w:rsid w:val="5E543AC4"/>
    <w:rsid w:val="5E7B54F5"/>
    <w:rsid w:val="5E8061D8"/>
    <w:rsid w:val="5ECE55FF"/>
    <w:rsid w:val="5EED6EA4"/>
    <w:rsid w:val="5F016B73"/>
    <w:rsid w:val="5F2272C0"/>
    <w:rsid w:val="5F3F755D"/>
    <w:rsid w:val="5F8F74AA"/>
    <w:rsid w:val="5F93686E"/>
    <w:rsid w:val="5F954394"/>
    <w:rsid w:val="5F9B3347"/>
    <w:rsid w:val="5FA556FB"/>
    <w:rsid w:val="5FA647F3"/>
    <w:rsid w:val="5FBA204D"/>
    <w:rsid w:val="5FCD3B2E"/>
    <w:rsid w:val="5FDFC51F"/>
    <w:rsid w:val="5FFA069B"/>
    <w:rsid w:val="60421BE2"/>
    <w:rsid w:val="605E6E7C"/>
    <w:rsid w:val="607466A0"/>
    <w:rsid w:val="608F0752"/>
    <w:rsid w:val="60BF3DBF"/>
    <w:rsid w:val="60BF502F"/>
    <w:rsid w:val="610712C2"/>
    <w:rsid w:val="61500EBB"/>
    <w:rsid w:val="61A64F0B"/>
    <w:rsid w:val="61B10883"/>
    <w:rsid w:val="61F10697"/>
    <w:rsid w:val="620E49D6"/>
    <w:rsid w:val="62362A3A"/>
    <w:rsid w:val="62377985"/>
    <w:rsid w:val="624E65F2"/>
    <w:rsid w:val="627B5AC3"/>
    <w:rsid w:val="62813905"/>
    <w:rsid w:val="62B0313C"/>
    <w:rsid w:val="62B44C73"/>
    <w:rsid w:val="62BE3C02"/>
    <w:rsid w:val="62C55A71"/>
    <w:rsid w:val="62D022B3"/>
    <w:rsid w:val="62D81168"/>
    <w:rsid w:val="62E25B42"/>
    <w:rsid w:val="634B7B8C"/>
    <w:rsid w:val="638F7739"/>
    <w:rsid w:val="639B55FB"/>
    <w:rsid w:val="63B85BA7"/>
    <w:rsid w:val="646D3B32"/>
    <w:rsid w:val="6481138B"/>
    <w:rsid w:val="64813139"/>
    <w:rsid w:val="64B11C70"/>
    <w:rsid w:val="64C03C61"/>
    <w:rsid w:val="64CD0A53"/>
    <w:rsid w:val="65053A24"/>
    <w:rsid w:val="651755AE"/>
    <w:rsid w:val="65204386"/>
    <w:rsid w:val="6545335C"/>
    <w:rsid w:val="656B62C3"/>
    <w:rsid w:val="65A304DC"/>
    <w:rsid w:val="65B31A18"/>
    <w:rsid w:val="65CC4888"/>
    <w:rsid w:val="663375F1"/>
    <w:rsid w:val="66605FDE"/>
    <w:rsid w:val="66CE598C"/>
    <w:rsid w:val="66F422E8"/>
    <w:rsid w:val="66FE6CC3"/>
    <w:rsid w:val="6703252B"/>
    <w:rsid w:val="6716596D"/>
    <w:rsid w:val="672E032A"/>
    <w:rsid w:val="67760F4F"/>
    <w:rsid w:val="67844E18"/>
    <w:rsid w:val="67A94E81"/>
    <w:rsid w:val="67DD476E"/>
    <w:rsid w:val="67EF474E"/>
    <w:rsid w:val="686A0AB4"/>
    <w:rsid w:val="6888154C"/>
    <w:rsid w:val="68923621"/>
    <w:rsid w:val="6897117D"/>
    <w:rsid w:val="68A06E93"/>
    <w:rsid w:val="68A1014F"/>
    <w:rsid w:val="68AD274F"/>
    <w:rsid w:val="68AD50E9"/>
    <w:rsid w:val="68C83A2C"/>
    <w:rsid w:val="68D4417F"/>
    <w:rsid w:val="68EA5751"/>
    <w:rsid w:val="68FD7907"/>
    <w:rsid w:val="69411F16"/>
    <w:rsid w:val="6966721F"/>
    <w:rsid w:val="696A4AE4"/>
    <w:rsid w:val="69845062"/>
    <w:rsid w:val="69BF098B"/>
    <w:rsid w:val="6A051936"/>
    <w:rsid w:val="6A086E9A"/>
    <w:rsid w:val="6A246A40"/>
    <w:rsid w:val="6A294057"/>
    <w:rsid w:val="6A313201"/>
    <w:rsid w:val="6A4771DF"/>
    <w:rsid w:val="6A502A0D"/>
    <w:rsid w:val="6A5C063B"/>
    <w:rsid w:val="6A694D9B"/>
    <w:rsid w:val="6AD87C3B"/>
    <w:rsid w:val="6AF1726A"/>
    <w:rsid w:val="6B164206"/>
    <w:rsid w:val="6B1720BC"/>
    <w:rsid w:val="6B2F31CC"/>
    <w:rsid w:val="6B636A1C"/>
    <w:rsid w:val="6B98003E"/>
    <w:rsid w:val="6BDE2882"/>
    <w:rsid w:val="6BDF3476"/>
    <w:rsid w:val="6BE566A3"/>
    <w:rsid w:val="6C132BE9"/>
    <w:rsid w:val="6C206234"/>
    <w:rsid w:val="6C2C55DE"/>
    <w:rsid w:val="6C2C6E92"/>
    <w:rsid w:val="6C352042"/>
    <w:rsid w:val="6C5E4A73"/>
    <w:rsid w:val="6C6E0447"/>
    <w:rsid w:val="6C7120ED"/>
    <w:rsid w:val="6CB467A2"/>
    <w:rsid w:val="6CB554FA"/>
    <w:rsid w:val="6D0F7A02"/>
    <w:rsid w:val="6D1F418D"/>
    <w:rsid w:val="6D365409"/>
    <w:rsid w:val="6D3F0C48"/>
    <w:rsid w:val="6D466062"/>
    <w:rsid w:val="6D5D0BE7"/>
    <w:rsid w:val="6D9A6A20"/>
    <w:rsid w:val="6DAC56CB"/>
    <w:rsid w:val="6DEE2CB3"/>
    <w:rsid w:val="6E0E1EE1"/>
    <w:rsid w:val="6E3201BD"/>
    <w:rsid w:val="6E427DDD"/>
    <w:rsid w:val="6E5033FB"/>
    <w:rsid w:val="6E7D1D95"/>
    <w:rsid w:val="6EB34837"/>
    <w:rsid w:val="6EBD6D0A"/>
    <w:rsid w:val="6EDA00D9"/>
    <w:rsid w:val="6EE175F6"/>
    <w:rsid w:val="6EFA2466"/>
    <w:rsid w:val="6F1751E2"/>
    <w:rsid w:val="6F405D1F"/>
    <w:rsid w:val="6F4B5917"/>
    <w:rsid w:val="6F621340"/>
    <w:rsid w:val="6F6879F2"/>
    <w:rsid w:val="6FB4179A"/>
    <w:rsid w:val="6FCC62BD"/>
    <w:rsid w:val="700A73E1"/>
    <w:rsid w:val="70384FF4"/>
    <w:rsid w:val="70812E3F"/>
    <w:rsid w:val="709A0B83"/>
    <w:rsid w:val="710573C4"/>
    <w:rsid w:val="711F7F62"/>
    <w:rsid w:val="712725DE"/>
    <w:rsid w:val="71405B2B"/>
    <w:rsid w:val="71436C1E"/>
    <w:rsid w:val="71503F0B"/>
    <w:rsid w:val="71786C39"/>
    <w:rsid w:val="71E03B95"/>
    <w:rsid w:val="729329B5"/>
    <w:rsid w:val="72C2329A"/>
    <w:rsid w:val="72CC7C01"/>
    <w:rsid w:val="73075AE9"/>
    <w:rsid w:val="73245D03"/>
    <w:rsid w:val="73260519"/>
    <w:rsid w:val="73365DB9"/>
    <w:rsid w:val="73773B9E"/>
    <w:rsid w:val="737F0C47"/>
    <w:rsid w:val="738D1AFA"/>
    <w:rsid w:val="73974727"/>
    <w:rsid w:val="73C3551C"/>
    <w:rsid w:val="73C90572"/>
    <w:rsid w:val="73CC7B78"/>
    <w:rsid w:val="740022CC"/>
    <w:rsid w:val="74187B62"/>
    <w:rsid w:val="743C7494"/>
    <w:rsid w:val="74443510"/>
    <w:rsid w:val="74551DCA"/>
    <w:rsid w:val="745E6FF3"/>
    <w:rsid w:val="74635540"/>
    <w:rsid w:val="74763A6D"/>
    <w:rsid w:val="747E1101"/>
    <w:rsid w:val="749649DF"/>
    <w:rsid w:val="74E87A95"/>
    <w:rsid w:val="74F04B62"/>
    <w:rsid w:val="74FD05BA"/>
    <w:rsid w:val="750B00A1"/>
    <w:rsid w:val="75292196"/>
    <w:rsid w:val="75366F1E"/>
    <w:rsid w:val="75856FDF"/>
    <w:rsid w:val="759E7FEF"/>
    <w:rsid w:val="75AA6994"/>
    <w:rsid w:val="75CA3C62"/>
    <w:rsid w:val="75CE037C"/>
    <w:rsid w:val="76261D92"/>
    <w:rsid w:val="7627233D"/>
    <w:rsid w:val="76360227"/>
    <w:rsid w:val="7644512F"/>
    <w:rsid w:val="76615334"/>
    <w:rsid w:val="76AD9332"/>
    <w:rsid w:val="77163BB5"/>
    <w:rsid w:val="772B58B2"/>
    <w:rsid w:val="772C162A"/>
    <w:rsid w:val="772D08C0"/>
    <w:rsid w:val="77567B30"/>
    <w:rsid w:val="776112D4"/>
    <w:rsid w:val="77646B10"/>
    <w:rsid w:val="776E39F1"/>
    <w:rsid w:val="77832A6C"/>
    <w:rsid w:val="778D1A23"/>
    <w:rsid w:val="779276DF"/>
    <w:rsid w:val="779C713B"/>
    <w:rsid w:val="77E37F3B"/>
    <w:rsid w:val="78014865"/>
    <w:rsid w:val="788F1897"/>
    <w:rsid w:val="789147A7"/>
    <w:rsid w:val="78A2002D"/>
    <w:rsid w:val="78BC5A47"/>
    <w:rsid w:val="78DE05B4"/>
    <w:rsid w:val="79142376"/>
    <w:rsid w:val="792121BF"/>
    <w:rsid w:val="79256331"/>
    <w:rsid w:val="794102FE"/>
    <w:rsid w:val="79544599"/>
    <w:rsid w:val="796926C2"/>
    <w:rsid w:val="79F503F9"/>
    <w:rsid w:val="7A162166"/>
    <w:rsid w:val="7A5B0B6B"/>
    <w:rsid w:val="7A6C6A81"/>
    <w:rsid w:val="7A70182E"/>
    <w:rsid w:val="7A82024F"/>
    <w:rsid w:val="7AB076DD"/>
    <w:rsid w:val="7ABB0CFB"/>
    <w:rsid w:val="7AC90E8C"/>
    <w:rsid w:val="7B116B6D"/>
    <w:rsid w:val="7B4044A1"/>
    <w:rsid w:val="7B42141C"/>
    <w:rsid w:val="7B642D39"/>
    <w:rsid w:val="7B7D4202"/>
    <w:rsid w:val="7BDD1145"/>
    <w:rsid w:val="7BDD3E50"/>
    <w:rsid w:val="7BE424D4"/>
    <w:rsid w:val="7C1C1C6D"/>
    <w:rsid w:val="7C535A53"/>
    <w:rsid w:val="7C9509C1"/>
    <w:rsid w:val="7CCB0AFF"/>
    <w:rsid w:val="7CD73DE6"/>
    <w:rsid w:val="7D067642"/>
    <w:rsid w:val="7D5611AF"/>
    <w:rsid w:val="7D591E3C"/>
    <w:rsid w:val="7D692C90"/>
    <w:rsid w:val="7DD83B6D"/>
    <w:rsid w:val="7DEB18F7"/>
    <w:rsid w:val="7E105802"/>
    <w:rsid w:val="7E25015B"/>
    <w:rsid w:val="7E734B96"/>
    <w:rsid w:val="7EC4790B"/>
    <w:rsid w:val="7EC94FAA"/>
    <w:rsid w:val="7F2B4815"/>
    <w:rsid w:val="7F64463D"/>
    <w:rsid w:val="7F6A2CF0"/>
    <w:rsid w:val="7FA22E9C"/>
    <w:rsid w:val="7FA4324B"/>
    <w:rsid w:val="7FBEE434"/>
    <w:rsid w:val="7FDF96C0"/>
    <w:rsid w:val="7FEC5DFB"/>
    <w:rsid w:val="7FFF127D"/>
    <w:rsid w:val="7FFF38D9"/>
    <w:rsid w:val="7FFFD7C8"/>
    <w:rsid w:val="C1F78524"/>
    <w:rsid w:val="CFEFF130"/>
    <w:rsid w:val="CFFFCC01"/>
    <w:rsid w:val="D7D71102"/>
    <w:rsid w:val="D9735B35"/>
    <w:rsid w:val="E96B08D2"/>
    <w:rsid w:val="EF4F5E8C"/>
    <w:rsid w:val="F8EF0BE3"/>
    <w:rsid w:val="FAB30FBE"/>
    <w:rsid w:val="FACA009B"/>
    <w:rsid w:val="FBBF1216"/>
    <w:rsid w:val="FBFF4159"/>
    <w:rsid w:val="FEBFB038"/>
    <w:rsid w:val="FEDB7BEC"/>
    <w:rsid w:val="FF09DE81"/>
    <w:rsid w:val="FFD39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57"/>
    <w:autoRedefine/>
    <w:qFormat/>
    <w:uiPriority w:val="9"/>
    <w:pPr>
      <w:keepNext/>
      <w:keepLines/>
      <w:ind w:firstLine="0" w:firstLineChars="0"/>
      <w:contextualSpacing/>
      <w:jc w:val="center"/>
      <w:outlineLvl w:val="0"/>
    </w:pPr>
    <w:rPr>
      <w:rFonts w:eastAsia="方正小标宋简体"/>
      <w:bCs/>
      <w:kern w:val="44"/>
      <w:sz w:val="32"/>
      <w:szCs w:val="44"/>
    </w:rPr>
  </w:style>
  <w:style w:type="paragraph" w:styleId="5">
    <w:name w:val="heading 2"/>
    <w:basedOn w:val="1"/>
    <w:next w:val="1"/>
    <w:link w:val="58"/>
    <w:autoRedefine/>
    <w:unhideWhenUsed/>
    <w:qFormat/>
    <w:uiPriority w:val="9"/>
    <w:pPr>
      <w:keepNext/>
      <w:keepLines/>
      <w:spacing w:beforeLines="50" w:afterLines="50"/>
      <w:ind w:firstLine="0" w:firstLineChars="0"/>
      <w:contextualSpacing/>
      <w:jc w:val="center"/>
      <w:outlineLvl w:val="1"/>
    </w:pPr>
    <w:rPr>
      <w:rFonts w:ascii="Cambria" w:hAnsi="Cambria" w:eastAsia="方正小标宋简体"/>
      <w:bCs/>
      <w:sz w:val="28"/>
      <w:szCs w:val="32"/>
    </w:rPr>
  </w:style>
  <w:style w:type="paragraph" w:styleId="6">
    <w:name w:val="heading 3"/>
    <w:basedOn w:val="1"/>
    <w:next w:val="1"/>
    <w:link w:val="59"/>
    <w:autoRedefine/>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paragraph" w:styleId="7">
    <w:name w:val="heading 4"/>
    <w:basedOn w:val="1"/>
    <w:next w:val="1"/>
    <w:link w:val="6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link w:val="41"/>
    <w:autoRedefine/>
    <w:qFormat/>
    <w:uiPriority w:val="0"/>
    <w:pPr>
      <w:spacing w:line="380" w:lineRule="exact"/>
      <w:ind w:firstLine="480"/>
    </w:pPr>
    <w:rPr>
      <w:rFonts w:eastAsia="方正书宋简体"/>
      <w:szCs w:val="20"/>
    </w:rPr>
  </w:style>
  <w:style w:type="paragraph" w:styleId="8">
    <w:name w:val="table of authorities"/>
    <w:basedOn w:val="1"/>
    <w:next w:val="1"/>
    <w:autoRedefine/>
    <w:qFormat/>
    <w:uiPriority w:val="0"/>
    <w:pPr>
      <w:ind w:left="420" w:leftChars="200"/>
    </w:pPr>
    <w:rPr>
      <w:rFonts w:eastAsia="宋体"/>
    </w:rPr>
  </w:style>
  <w:style w:type="paragraph" w:styleId="9">
    <w:name w:val="Normal Indent"/>
    <w:basedOn w:val="1"/>
    <w:link w:val="53"/>
    <w:autoRedefine/>
    <w:qFormat/>
    <w:uiPriority w:val="0"/>
    <w:pPr>
      <w:ind w:firstLine="420"/>
    </w:pPr>
  </w:style>
  <w:style w:type="paragraph" w:styleId="10">
    <w:name w:val="caption"/>
    <w:next w:val="1"/>
    <w:autoRedefine/>
    <w:unhideWhenUsed/>
    <w:qFormat/>
    <w:uiPriority w:val="0"/>
    <w:pPr>
      <w:spacing w:line="360" w:lineRule="auto"/>
      <w:jc w:val="center"/>
    </w:pPr>
    <w:rPr>
      <w:rFonts w:ascii="Times New Roman" w:hAnsi="Times New Roman" w:eastAsia="黑体" w:cstheme="majorBidi"/>
      <w:kern w:val="2"/>
      <w:sz w:val="28"/>
      <w:lang w:val="en-US" w:eastAsia="zh-CN" w:bidi="ar-SA"/>
    </w:rPr>
  </w:style>
  <w:style w:type="paragraph" w:styleId="11">
    <w:name w:val="Document Map"/>
    <w:basedOn w:val="1"/>
    <w:link w:val="55"/>
    <w:autoRedefine/>
    <w:unhideWhenUsed/>
    <w:qFormat/>
    <w:uiPriority w:val="99"/>
    <w:rPr>
      <w:rFonts w:ascii="宋体"/>
      <w:sz w:val="18"/>
      <w:szCs w:val="18"/>
    </w:rPr>
  </w:style>
  <w:style w:type="paragraph" w:styleId="12">
    <w:name w:val="annotation text"/>
    <w:basedOn w:val="1"/>
    <w:link w:val="48"/>
    <w:autoRedefine/>
    <w:unhideWhenUsed/>
    <w:qFormat/>
    <w:uiPriority w:val="99"/>
    <w:rPr>
      <w:rFonts w:ascii="Calibri" w:hAnsi="Calibri"/>
      <w:szCs w:val="22"/>
    </w:rPr>
  </w:style>
  <w:style w:type="paragraph" w:styleId="13">
    <w:name w:val="Body Text"/>
    <w:basedOn w:val="1"/>
    <w:next w:val="1"/>
    <w:link w:val="54"/>
    <w:autoRedefine/>
    <w:unhideWhenUsed/>
    <w:qFormat/>
    <w:uiPriority w:val="99"/>
    <w:pPr>
      <w:spacing w:after="120"/>
    </w:pPr>
    <w:rPr>
      <w:rFonts w:ascii="Calibri" w:hAnsi="Calibri" w:eastAsia="宋体"/>
      <w:szCs w:val="22"/>
    </w:rPr>
  </w:style>
  <w:style w:type="paragraph" w:styleId="14">
    <w:name w:val="toc 3"/>
    <w:basedOn w:val="1"/>
    <w:next w:val="1"/>
    <w:autoRedefine/>
    <w:unhideWhenUsed/>
    <w:qFormat/>
    <w:uiPriority w:val="39"/>
    <w:pPr>
      <w:ind w:left="840" w:leftChars="400"/>
    </w:pPr>
  </w:style>
  <w:style w:type="paragraph" w:styleId="15">
    <w:name w:val="Plain Text"/>
    <w:basedOn w:val="1"/>
    <w:link w:val="40"/>
    <w:autoRedefine/>
    <w:qFormat/>
    <w:uiPriority w:val="0"/>
    <w:rPr>
      <w:rFonts w:ascii="宋体" w:hAnsi="Courier New"/>
      <w:szCs w:val="20"/>
    </w:rPr>
  </w:style>
  <w:style w:type="paragraph" w:styleId="16">
    <w:name w:val="Date"/>
    <w:basedOn w:val="1"/>
    <w:next w:val="1"/>
    <w:link w:val="49"/>
    <w:autoRedefine/>
    <w:unhideWhenUsed/>
    <w:qFormat/>
    <w:uiPriority w:val="99"/>
    <w:pPr>
      <w:ind w:left="100" w:leftChars="2500"/>
    </w:pPr>
    <w:rPr>
      <w:rFonts w:ascii="Calibri" w:hAnsi="Calibri" w:eastAsia="宋体"/>
      <w:szCs w:val="22"/>
    </w:rPr>
  </w:style>
  <w:style w:type="paragraph" w:styleId="17">
    <w:name w:val="Balloon Text"/>
    <w:basedOn w:val="1"/>
    <w:link w:val="50"/>
    <w:autoRedefine/>
    <w:unhideWhenUsed/>
    <w:qFormat/>
    <w:uiPriority w:val="99"/>
    <w:rPr>
      <w:rFonts w:ascii="Calibri" w:hAnsi="Calibri" w:eastAsia="宋体"/>
      <w:sz w:val="18"/>
      <w:szCs w:val="18"/>
    </w:rPr>
  </w:style>
  <w:style w:type="paragraph" w:styleId="18">
    <w:name w:val="footer"/>
    <w:basedOn w:val="1"/>
    <w:next w:val="19"/>
    <w:link w:val="38"/>
    <w:autoRedefine/>
    <w:qFormat/>
    <w:uiPriority w:val="99"/>
    <w:pPr>
      <w:tabs>
        <w:tab w:val="center" w:pos="4153"/>
        <w:tab w:val="right" w:pos="8306"/>
      </w:tabs>
      <w:snapToGrid w:val="0"/>
    </w:pPr>
    <w:rPr>
      <w:sz w:val="18"/>
      <w:szCs w:val="18"/>
    </w:rPr>
  </w:style>
  <w:style w:type="paragraph" w:customStyle="1" w:styleId="19">
    <w:name w:val="彩色列表 - 强调文字颜色 11"/>
    <w:basedOn w:val="1"/>
    <w:next w:val="1"/>
    <w:autoRedefine/>
    <w:qFormat/>
    <w:uiPriority w:val="0"/>
    <w:pPr>
      <w:ind w:firstLine="420"/>
    </w:pPr>
    <w:rPr>
      <w:rFonts w:ascii="Calibri" w:hAnsi="Calibri" w:eastAsia="宋体"/>
      <w:szCs w:val="22"/>
    </w:rPr>
  </w:style>
  <w:style w:type="paragraph" w:styleId="20">
    <w:name w:val="header"/>
    <w:basedOn w:val="1"/>
    <w:link w:val="3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8721"/>
      </w:tabs>
      <w:spacing w:line="300" w:lineRule="auto"/>
      <w:ind w:firstLine="0" w:firstLineChars="0"/>
      <w:jc w:val="center"/>
    </w:pPr>
    <w:rPr>
      <w:rFonts w:ascii="黑体" w:hAnsi="黑体" w:eastAsia="黑体"/>
      <w:sz w:val="28"/>
      <w:szCs w:val="28"/>
    </w:rPr>
  </w:style>
  <w:style w:type="paragraph" w:styleId="22">
    <w:name w:val="Body Text Indent 3"/>
    <w:basedOn w:val="1"/>
    <w:link w:val="52"/>
    <w:autoRedefine/>
    <w:qFormat/>
    <w:uiPriority w:val="0"/>
    <w:pPr>
      <w:spacing w:line="240" w:lineRule="auto"/>
      <w:ind w:firstLine="0" w:firstLineChars="0"/>
      <w:contextualSpacing/>
    </w:pPr>
    <w:rPr>
      <w:szCs w:val="16"/>
    </w:rPr>
  </w:style>
  <w:style w:type="paragraph" w:styleId="23">
    <w:name w:val="toc 2"/>
    <w:basedOn w:val="1"/>
    <w:next w:val="1"/>
    <w:autoRedefine/>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24">
    <w:name w:val="Normal (Web)"/>
    <w:basedOn w:val="1"/>
    <w:autoRedefine/>
    <w:unhideWhenUsed/>
    <w:qFormat/>
    <w:uiPriority w:val="0"/>
    <w:pPr>
      <w:spacing w:before="100" w:beforeAutospacing="1" w:after="100" w:afterAutospacing="1"/>
      <w:ind w:firstLine="0" w:firstLineChars="0"/>
      <w:jc w:val="both"/>
    </w:pPr>
    <w:rPr>
      <w:rFonts w:eastAsia="宋体"/>
    </w:rPr>
  </w:style>
  <w:style w:type="paragraph" w:styleId="25">
    <w:name w:val="Title"/>
    <w:basedOn w:val="1"/>
    <w:next w:val="1"/>
    <w:link w:val="46"/>
    <w:autoRedefine/>
    <w:qFormat/>
    <w:uiPriority w:val="0"/>
    <w:pPr>
      <w:spacing w:before="240" w:after="60"/>
      <w:jc w:val="center"/>
      <w:outlineLvl w:val="0"/>
    </w:pPr>
    <w:rPr>
      <w:rFonts w:ascii="Cambria" w:hAnsi="Cambria" w:eastAsia="宋体"/>
      <w:b/>
      <w:bCs/>
      <w:sz w:val="32"/>
      <w:szCs w:val="32"/>
    </w:rPr>
  </w:style>
  <w:style w:type="paragraph" w:styleId="26">
    <w:name w:val="annotation subject"/>
    <w:basedOn w:val="12"/>
    <w:next w:val="12"/>
    <w:link w:val="65"/>
    <w:autoRedefine/>
    <w:unhideWhenUsed/>
    <w:qFormat/>
    <w:uiPriority w:val="99"/>
    <w:pPr>
      <w:spacing w:before="100" w:beforeAutospacing="1" w:after="100" w:afterAutospacing="1"/>
      <w:ind w:firstLine="0" w:firstLineChars="0"/>
    </w:pPr>
    <w:rPr>
      <w:rFonts w:ascii="Times New Roman" w:hAnsi="Times New Roman" w:eastAsia="宋体"/>
      <w:b/>
      <w:bCs/>
      <w:kern w:val="0"/>
      <w:sz w:val="20"/>
      <w:szCs w:val="24"/>
    </w:r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autoRedefine/>
    <w:qFormat/>
    <w:uiPriority w:val="22"/>
    <w:rPr>
      <w:rFonts w:eastAsia="黑体"/>
      <w:bCs/>
    </w:rPr>
  </w:style>
  <w:style w:type="character" w:styleId="31">
    <w:name w:val="page number"/>
    <w:basedOn w:val="29"/>
    <w:autoRedefine/>
    <w:qFormat/>
    <w:uiPriority w:val="0"/>
  </w:style>
  <w:style w:type="character" w:styleId="32">
    <w:name w:val="FollowedHyperlink"/>
    <w:basedOn w:val="29"/>
    <w:autoRedefine/>
    <w:semiHidden/>
    <w:unhideWhenUsed/>
    <w:qFormat/>
    <w:uiPriority w:val="99"/>
    <w:rPr>
      <w:color w:val="333333"/>
      <w:u w:val="none"/>
    </w:rPr>
  </w:style>
  <w:style w:type="character" w:styleId="33">
    <w:name w:val="Emphasis"/>
    <w:basedOn w:val="29"/>
    <w:autoRedefine/>
    <w:qFormat/>
    <w:uiPriority w:val="20"/>
  </w:style>
  <w:style w:type="character" w:styleId="34">
    <w:name w:val="Hyperlink"/>
    <w:basedOn w:val="29"/>
    <w:autoRedefine/>
    <w:unhideWhenUsed/>
    <w:qFormat/>
    <w:uiPriority w:val="99"/>
    <w:rPr>
      <w:color w:val="333333"/>
      <w:u w:val="none"/>
    </w:rPr>
  </w:style>
  <w:style w:type="character" w:styleId="35">
    <w:name w:val="annotation reference"/>
    <w:autoRedefine/>
    <w:unhideWhenUsed/>
    <w:qFormat/>
    <w:uiPriority w:val="99"/>
    <w:rPr>
      <w:sz w:val="21"/>
      <w:szCs w:val="21"/>
    </w:r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报告正文1"/>
    <w:basedOn w:val="1"/>
    <w:autoRedefine/>
    <w:qFormat/>
    <w:uiPriority w:val="0"/>
    <w:pPr>
      <w:ind w:firstLine="200" w:firstLineChars="200"/>
    </w:pPr>
    <w:rPr>
      <w:rFonts w:ascii="宋体" w:hAnsi="宋体"/>
      <w:bCs/>
      <w:szCs w:val="21"/>
    </w:rPr>
  </w:style>
  <w:style w:type="character" w:customStyle="1" w:styleId="38">
    <w:name w:val="页脚 字符"/>
    <w:basedOn w:val="29"/>
    <w:link w:val="18"/>
    <w:autoRedefine/>
    <w:qFormat/>
    <w:uiPriority w:val="99"/>
    <w:rPr>
      <w:rFonts w:ascii="Times New Roman" w:hAnsi="Times New Roman" w:eastAsia="宋体" w:cs="Times New Roman"/>
      <w:sz w:val="18"/>
      <w:szCs w:val="18"/>
    </w:rPr>
  </w:style>
  <w:style w:type="character" w:customStyle="1" w:styleId="39">
    <w:name w:val="页眉 字符"/>
    <w:basedOn w:val="29"/>
    <w:link w:val="20"/>
    <w:autoRedefine/>
    <w:qFormat/>
    <w:uiPriority w:val="0"/>
    <w:rPr>
      <w:rFonts w:ascii="Times New Roman" w:hAnsi="Times New Roman" w:eastAsia="宋体" w:cs="Times New Roman"/>
      <w:sz w:val="18"/>
      <w:szCs w:val="18"/>
    </w:rPr>
  </w:style>
  <w:style w:type="character" w:customStyle="1" w:styleId="40">
    <w:name w:val="纯文本 字符"/>
    <w:basedOn w:val="29"/>
    <w:link w:val="15"/>
    <w:autoRedefine/>
    <w:qFormat/>
    <w:uiPriority w:val="0"/>
    <w:rPr>
      <w:rFonts w:ascii="宋体" w:hAnsi="Courier New" w:eastAsia="宋体" w:cs="Times New Roman"/>
      <w:szCs w:val="20"/>
    </w:rPr>
  </w:style>
  <w:style w:type="character" w:customStyle="1" w:styleId="41">
    <w:name w:val="正文文本缩进 字符"/>
    <w:basedOn w:val="29"/>
    <w:link w:val="3"/>
    <w:autoRedefine/>
    <w:qFormat/>
    <w:uiPriority w:val="0"/>
    <w:rPr>
      <w:rFonts w:ascii="Times New Roman" w:hAnsi="Times New Roman" w:eastAsia="方正书宋简体" w:cs="Times New Roman"/>
      <w:sz w:val="24"/>
      <w:szCs w:val="20"/>
    </w:rPr>
  </w:style>
  <w:style w:type="paragraph" w:customStyle="1" w:styleId="42">
    <w:name w:val="列出段落1"/>
    <w:basedOn w:val="1"/>
    <w:autoRedefine/>
    <w:qFormat/>
    <w:uiPriority w:val="34"/>
    <w:pPr>
      <w:ind w:firstLine="420"/>
    </w:pPr>
  </w:style>
  <w:style w:type="paragraph" w:customStyle="1" w:styleId="43">
    <w:name w:val="Char1 Char Char Char Char Char Char"/>
    <w:basedOn w:val="1"/>
    <w:autoRedefine/>
    <w:qFormat/>
    <w:uiPriority w:val="0"/>
    <w:pPr>
      <w:widowControl/>
      <w:spacing w:after="160" w:line="240" w:lineRule="exact"/>
    </w:pPr>
    <w:rPr>
      <w:rFonts w:ascii="Verdana" w:hAnsi="Verdana"/>
      <w:kern w:val="0"/>
      <w:sz w:val="20"/>
      <w:szCs w:val="20"/>
      <w:lang w:eastAsia="en-US"/>
    </w:rPr>
  </w:style>
  <w:style w:type="paragraph" w:customStyle="1" w:styleId="44">
    <w:name w:val="Char1"/>
    <w:basedOn w:val="1"/>
    <w:autoRedefine/>
    <w:qFormat/>
    <w:uiPriority w:val="0"/>
    <w:pPr>
      <w:widowControl/>
      <w:snapToGrid w:val="0"/>
      <w:ind w:left="-3" w:right="-28" w:rightChars="-10"/>
    </w:pPr>
    <w:rPr>
      <w:rFonts w:ascii="Tahoma" w:hAnsi="Tahoma" w:cs="Tahoma"/>
    </w:rPr>
  </w:style>
  <w:style w:type="character" w:customStyle="1" w:styleId="45">
    <w:name w:val="标题 Char"/>
    <w:basedOn w:val="29"/>
    <w:autoRedefine/>
    <w:qFormat/>
    <w:uiPriority w:val="0"/>
    <w:rPr>
      <w:rFonts w:ascii="Cambria" w:hAnsi="Cambria"/>
      <w:b/>
      <w:bCs/>
      <w:sz w:val="32"/>
      <w:szCs w:val="32"/>
    </w:rPr>
  </w:style>
  <w:style w:type="character" w:customStyle="1" w:styleId="46">
    <w:name w:val="标题 字符"/>
    <w:basedOn w:val="29"/>
    <w:link w:val="25"/>
    <w:autoRedefine/>
    <w:qFormat/>
    <w:uiPriority w:val="10"/>
    <w:rPr>
      <w:rFonts w:ascii="Cambria" w:hAnsi="Cambria" w:eastAsia="宋体" w:cs="Times New Roman"/>
      <w:b/>
      <w:bCs/>
      <w:sz w:val="32"/>
      <w:szCs w:val="32"/>
    </w:rPr>
  </w:style>
  <w:style w:type="character" w:customStyle="1" w:styleId="47">
    <w:name w:val="Char Char"/>
    <w:autoRedefine/>
    <w:qFormat/>
    <w:uiPriority w:val="0"/>
    <w:rPr>
      <w:rFonts w:ascii="Cambria" w:hAnsi="Cambria" w:eastAsia="宋体" w:cs="Times New Roman"/>
      <w:b/>
      <w:bCs/>
      <w:sz w:val="32"/>
      <w:szCs w:val="32"/>
    </w:rPr>
  </w:style>
  <w:style w:type="character" w:customStyle="1" w:styleId="48">
    <w:name w:val="批注文字 字符"/>
    <w:basedOn w:val="29"/>
    <w:link w:val="12"/>
    <w:autoRedefine/>
    <w:qFormat/>
    <w:uiPriority w:val="99"/>
    <w:rPr>
      <w:rFonts w:ascii="Calibri" w:hAnsi="Calibri" w:eastAsia="宋体" w:cs="Times New Roman"/>
    </w:rPr>
  </w:style>
  <w:style w:type="character" w:customStyle="1" w:styleId="49">
    <w:name w:val="日期 字符"/>
    <w:basedOn w:val="29"/>
    <w:link w:val="16"/>
    <w:autoRedefine/>
    <w:semiHidden/>
    <w:qFormat/>
    <w:uiPriority w:val="99"/>
  </w:style>
  <w:style w:type="character" w:customStyle="1" w:styleId="50">
    <w:name w:val="批注框文本 字符"/>
    <w:basedOn w:val="29"/>
    <w:link w:val="17"/>
    <w:autoRedefine/>
    <w:semiHidden/>
    <w:qFormat/>
    <w:uiPriority w:val="99"/>
    <w:rPr>
      <w:sz w:val="18"/>
      <w:szCs w:val="18"/>
    </w:rPr>
  </w:style>
  <w:style w:type="paragraph" w:customStyle="1" w:styleId="51">
    <w:name w:val="样式 标题 5 + 右侧:  -0.18 字符"/>
    <w:basedOn w:val="1"/>
    <w:autoRedefine/>
    <w:qFormat/>
    <w:uiPriority w:val="0"/>
    <w:pPr>
      <w:tabs>
        <w:tab w:val="left" w:pos="1008"/>
      </w:tabs>
      <w:ind w:left="2108" w:hanging="420"/>
    </w:pPr>
  </w:style>
  <w:style w:type="character" w:customStyle="1" w:styleId="52">
    <w:name w:val="正文文本缩进 3 字符"/>
    <w:basedOn w:val="29"/>
    <w:link w:val="22"/>
    <w:autoRedefine/>
    <w:qFormat/>
    <w:uiPriority w:val="0"/>
    <w:rPr>
      <w:rFonts w:ascii="Times New Roman" w:hAnsi="Times New Roman" w:eastAsia="仿宋_GB2312" w:cs="Times New Roman"/>
      <w:sz w:val="24"/>
      <w:szCs w:val="16"/>
    </w:rPr>
  </w:style>
  <w:style w:type="character" w:customStyle="1" w:styleId="53">
    <w:name w:val="正文缩进 字符"/>
    <w:basedOn w:val="29"/>
    <w:link w:val="9"/>
    <w:autoRedefine/>
    <w:qFormat/>
    <w:uiPriority w:val="0"/>
    <w:rPr>
      <w:rFonts w:ascii="Times New Roman" w:hAnsi="Times New Roman" w:eastAsia="宋体" w:cs="Times New Roman"/>
      <w:szCs w:val="24"/>
    </w:rPr>
  </w:style>
  <w:style w:type="character" w:customStyle="1" w:styleId="54">
    <w:name w:val="正文文本 字符"/>
    <w:basedOn w:val="29"/>
    <w:link w:val="13"/>
    <w:autoRedefine/>
    <w:semiHidden/>
    <w:qFormat/>
    <w:uiPriority w:val="99"/>
  </w:style>
  <w:style w:type="character" w:customStyle="1" w:styleId="55">
    <w:name w:val="文档结构图 字符"/>
    <w:basedOn w:val="29"/>
    <w:link w:val="11"/>
    <w:autoRedefine/>
    <w:semiHidden/>
    <w:qFormat/>
    <w:uiPriority w:val="99"/>
    <w:rPr>
      <w:rFonts w:ascii="宋体" w:hAnsi="Times New Roman" w:eastAsia="宋体" w:cs="Times New Roman"/>
      <w:sz w:val="18"/>
      <w:szCs w:val="18"/>
    </w:rPr>
  </w:style>
  <w:style w:type="paragraph" w:customStyle="1" w:styleId="56">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标题 1 字符"/>
    <w:basedOn w:val="29"/>
    <w:link w:val="4"/>
    <w:autoRedefine/>
    <w:qFormat/>
    <w:uiPriority w:val="9"/>
    <w:rPr>
      <w:rFonts w:ascii="Times New Roman" w:hAnsi="Times New Roman" w:eastAsia="方正小标宋简体" w:cs="Times New Roman"/>
      <w:bCs/>
      <w:kern w:val="44"/>
      <w:sz w:val="32"/>
      <w:szCs w:val="44"/>
    </w:rPr>
  </w:style>
  <w:style w:type="character" w:customStyle="1" w:styleId="58">
    <w:name w:val="标题 2 字符"/>
    <w:basedOn w:val="29"/>
    <w:link w:val="5"/>
    <w:autoRedefine/>
    <w:qFormat/>
    <w:uiPriority w:val="9"/>
    <w:rPr>
      <w:rFonts w:ascii="Cambria" w:hAnsi="Cambria" w:eastAsia="方正小标宋简体" w:cs="Times New Roman"/>
      <w:bCs/>
      <w:sz w:val="28"/>
      <w:szCs w:val="32"/>
    </w:rPr>
  </w:style>
  <w:style w:type="character" w:customStyle="1" w:styleId="59">
    <w:name w:val="标题 3 字符"/>
    <w:basedOn w:val="29"/>
    <w:link w:val="6"/>
    <w:autoRedefine/>
    <w:qFormat/>
    <w:uiPriority w:val="9"/>
    <w:rPr>
      <w:rFonts w:ascii="Times New Roman" w:hAnsi="Times New Roman" w:eastAsia="黑体"/>
      <w:bCs/>
      <w:kern w:val="2"/>
      <w:sz w:val="24"/>
      <w:szCs w:val="32"/>
    </w:rPr>
  </w:style>
  <w:style w:type="character" w:customStyle="1" w:styleId="60">
    <w:name w:val="书籍标题1"/>
    <w:basedOn w:val="29"/>
    <w:autoRedefine/>
    <w:qFormat/>
    <w:uiPriority w:val="33"/>
    <w:rPr>
      <w:rFonts w:eastAsia="仿宋_GB2312"/>
      <w:b/>
      <w:bCs/>
      <w:smallCaps/>
      <w:spacing w:val="5"/>
      <w:sz w:val="36"/>
    </w:rPr>
  </w:style>
  <w:style w:type="character" w:customStyle="1" w:styleId="61">
    <w:name w:val="标题 4 字符"/>
    <w:basedOn w:val="29"/>
    <w:link w:val="7"/>
    <w:autoRedefine/>
    <w:qFormat/>
    <w:uiPriority w:val="9"/>
    <w:rPr>
      <w:rFonts w:ascii="Cambria" w:hAnsi="Cambria" w:eastAsia="宋体" w:cs="Times New Roman"/>
      <w:b/>
      <w:bCs/>
      <w:sz w:val="28"/>
      <w:szCs w:val="28"/>
    </w:rPr>
  </w:style>
  <w:style w:type="paragraph" w:customStyle="1" w:styleId="62">
    <w:name w:val="宋体加粗内文"/>
    <w:basedOn w:val="1"/>
    <w:link w:val="63"/>
    <w:autoRedefine/>
    <w:qFormat/>
    <w:uiPriority w:val="0"/>
    <w:pPr>
      <w:spacing w:line="404" w:lineRule="exact"/>
    </w:pPr>
    <w:rPr>
      <w:rFonts w:ascii="方正书宋简体" w:hAnsi="宋体" w:eastAsia="方正书宋简体" w:cs="宋体"/>
      <w:b/>
      <w:kern w:val="0"/>
    </w:rPr>
  </w:style>
  <w:style w:type="character" w:customStyle="1" w:styleId="63">
    <w:name w:val="宋体加粗内文 Char"/>
    <w:basedOn w:val="29"/>
    <w:link w:val="62"/>
    <w:autoRedefine/>
    <w:qFormat/>
    <w:uiPriority w:val="0"/>
    <w:rPr>
      <w:rFonts w:ascii="方正书宋简体" w:hAnsi="宋体" w:eastAsia="方正书宋简体" w:cs="宋体"/>
      <w:b/>
      <w:kern w:val="0"/>
      <w:sz w:val="24"/>
      <w:szCs w:val="24"/>
    </w:rPr>
  </w:style>
  <w:style w:type="paragraph" w:customStyle="1" w:styleId="64">
    <w:name w:val="TOC 标题1"/>
    <w:basedOn w:val="4"/>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character" w:customStyle="1" w:styleId="65">
    <w:name w:val="批注主题 字符"/>
    <w:basedOn w:val="48"/>
    <w:link w:val="26"/>
    <w:autoRedefine/>
    <w:semiHidden/>
    <w:qFormat/>
    <w:uiPriority w:val="99"/>
    <w:rPr>
      <w:rFonts w:ascii="Times New Roman" w:hAnsi="Times New Roman" w:eastAsia="宋体" w:cs="Times New Roman"/>
      <w:b/>
      <w:bCs/>
      <w:szCs w:val="24"/>
    </w:rPr>
  </w:style>
  <w:style w:type="paragraph" w:customStyle="1" w:styleId="66">
    <w:name w:val="修订1"/>
    <w:autoRedefine/>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7">
    <w:name w:val="列出段落11"/>
    <w:basedOn w:val="1"/>
    <w:autoRedefine/>
    <w:qFormat/>
    <w:uiPriority w:val="34"/>
    <w:pPr>
      <w:spacing w:before="100" w:beforeAutospacing="1" w:after="100" w:afterAutospacing="1"/>
      <w:ind w:firstLine="420"/>
      <w:jc w:val="both"/>
    </w:pPr>
    <w:rPr>
      <w:rFonts w:eastAsia="宋体"/>
      <w:sz w:val="21"/>
    </w:rPr>
  </w:style>
  <w:style w:type="paragraph" w:customStyle="1" w:styleId="68">
    <w:name w:val="TOC 标题11"/>
    <w:basedOn w:val="4"/>
    <w:next w:val="1"/>
    <w:autoRedefine/>
    <w:unhideWhenUsed/>
    <w:qFormat/>
    <w:uiPriority w:val="39"/>
    <w:pPr>
      <w:widowControl/>
      <w:spacing w:before="480" w:beforeAutospacing="1" w:afterAutospacing="1" w:line="276" w:lineRule="auto"/>
      <w:contextualSpacing w:val="0"/>
      <w:jc w:val="left"/>
      <w:outlineLvl w:val="9"/>
    </w:pPr>
    <w:rPr>
      <w:rFonts w:ascii="Cambria" w:hAnsi="Cambria" w:eastAsia="宋体"/>
      <w:color w:val="365F91"/>
      <w:kern w:val="0"/>
      <w:sz w:val="28"/>
      <w:szCs w:val="28"/>
    </w:rPr>
  </w:style>
  <w:style w:type="paragraph" w:customStyle="1" w:styleId="69">
    <w:name w:val="样式 标题 2 + Times New Roman 四号 非加粗 段前: 5 磅 段后: 0 磅 行距: 固定值 20..."/>
    <w:basedOn w:val="5"/>
    <w:autoRedefine/>
    <w:qFormat/>
    <w:uiPriority w:val="0"/>
    <w:pPr>
      <w:spacing w:beforeLines="0" w:afterLines="0" w:line="400" w:lineRule="exact"/>
      <w:contextualSpacing w:val="0"/>
      <w:jc w:val="both"/>
    </w:pPr>
    <w:rPr>
      <w:rFonts w:ascii="Times New Roman" w:hAnsi="Times New Roman" w:eastAsia="黑体" w:cs="宋体"/>
      <w:bCs w:val="0"/>
      <w:szCs w:val="20"/>
    </w:rPr>
  </w:style>
  <w:style w:type="paragraph" w:customStyle="1" w:styleId="70">
    <w:name w:val="列出段落2"/>
    <w:basedOn w:val="1"/>
    <w:autoRedefine/>
    <w:qFormat/>
    <w:uiPriority w:val="34"/>
    <w:pPr>
      <w:spacing w:before="100" w:beforeAutospacing="1" w:after="100" w:afterAutospacing="1"/>
      <w:ind w:firstLine="420"/>
      <w:jc w:val="both"/>
    </w:pPr>
    <w:rPr>
      <w:rFonts w:eastAsia="宋体"/>
      <w:sz w:val="21"/>
    </w:rPr>
  </w:style>
  <w:style w:type="paragraph" w:styleId="71">
    <w:name w:val="List Paragraph"/>
    <w:basedOn w:val="1"/>
    <w:autoRedefine/>
    <w:unhideWhenUsed/>
    <w:qFormat/>
    <w:uiPriority w:val="99"/>
    <w:pPr>
      <w:spacing w:before="100" w:beforeAutospacing="1" w:after="100" w:afterAutospacing="1"/>
      <w:ind w:firstLine="420"/>
      <w:jc w:val="both"/>
    </w:pPr>
    <w:rPr>
      <w:rFonts w:eastAsia="宋体"/>
      <w:sz w:val="21"/>
    </w:rPr>
  </w:style>
  <w:style w:type="paragraph" w:customStyle="1" w:styleId="72">
    <w:name w:val="UH正文"/>
    <w:autoRedefine/>
    <w:qFormat/>
    <w:uiPriority w:val="0"/>
    <w:pPr>
      <w:spacing w:before="156" w:beforeLines="50" w:after="156" w:afterLines="50"/>
      <w:ind w:firstLine="200" w:firstLineChars="200"/>
      <w:jc w:val="both"/>
    </w:pPr>
    <w:rPr>
      <w:rFonts w:ascii="Arial" w:hAnsi="Arial" w:eastAsia="仿宋_GB2312" w:cs="Times New Roman"/>
      <w:sz w:val="24"/>
      <w:szCs w:val="21"/>
      <w:lang w:val="en-US" w:eastAsia="zh-CN" w:bidi="ar-SA"/>
    </w:rPr>
  </w:style>
  <w:style w:type="character" w:customStyle="1" w:styleId="73">
    <w:name w:val="layui-laypage-curr"/>
    <w:basedOn w:val="29"/>
    <w:autoRedefine/>
    <w:qFormat/>
    <w:uiPriority w:val="0"/>
  </w:style>
  <w:style w:type="character" w:customStyle="1" w:styleId="74">
    <w:name w:val="layui-laypage-curr1"/>
    <w:basedOn w:val="29"/>
    <w:autoRedefine/>
    <w:qFormat/>
    <w:uiPriority w:val="0"/>
  </w:style>
  <w:style w:type="character" w:customStyle="1" w:styleId="75">
    <w:name w:val="zh"/>
    <w:basedOn w:val="29"/>
    <w:autoRedefine/>
    <w:qFormat/>
    <w:uiPriority w:val="0"/>
  </w:style>
  <w:style w:type="character" w:customStyle="1" w:styleId="76">
    <w:name w:val="zh1"/>
    <w:basedOn w:val="29"/>
    <w:autoRedefine/>
    <w:qFormat/>
    <w:uiPriority w:val="0"/>
    <w:rPr>
      <w:sz w:val="21"/>
      <w:szCs w:val="21"/>
    </w:rPr>
  </w:style>
  <w:style w:type="character" w:customStyle="1" w:styleId="77">
    <w:name w:val="zh2"/>
    <w:basedOn w:val="29"/>
    <w:autoRedefine/>
    <w:qFormat/>
    <w:uiPriority w:val="0"/>
    <w:rPr>
      <w:sz w:val="21"/>
      <w:szCs w:val="21"/>
    </w:rPr>
  </w:style>
  <w:style w:type="paragraph" w:customStyle="1" w:styleId="78">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56</Pages>
  <Words>6141</Words>
  <Characters>6760</Characters>
  <Lines>1</Lines>
  <Paragraphs>1</Paragraphs>
  <TotalTime>7</TotalTime>
  <ScaleCrop>false</ScaleCrop>
  <LinksUpToDate>false</LinksUpToDate>
  <CharactersWithSpaces>7090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2022-03-28T12:09:00Z</dcterms:created>
  <dc:creator>ZFCG</dc:creator>
  <cp:lastModifiedBy>旺旺</cp:lastModifiedBy>
  <cp:lastPrinted>2025-05-12T05:42:00Z</cp:lastPrinted>
  <dcterms:modified xsi:type="dcterms:W3CDTF">2025-07-13T04:38:53Z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CBDF6244B1324119B0B21B1005DFC042_13</vt:lpwstr>
  </property>
  <property fmtid="{D5CDD505-2E9C-101B-9397-08002B2CF9AE}" pid="4" name="KSOTemplateDocerSaveRecord">
    <vt:lpwstr>eyJoZGlkIjoiODUxYWI4YmZmNWE5ZjBlNTYwOTU3MDNkNTkyMThkNWIiLCJ1c2VySWQiOiIyMTA3MDEzNzUifQ==</vt:lpwstr>
  </property>
</Properties>
</file>