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1A7BC">
      <w:pPr>
        <w:pStyle w:val="2"/>
        <w:bidi w:val="0"/>
        <w:rPr>
          <w:rFonts w:hint="eastAsia" w:ascii="宋体" w:hAnsi="宋体" w:eastAsia="宋体" w:cs="宋体"/>
          <w:color w:val="000000"/>
          <w:highlight w:val="none"/>
          <w:lang w:eastAsia="zh-CN"/>
        </w:rPr>
      </w:pPr>
      <w:r>
        <w:rPr>
          <w:rFonts w:hint="eastAsia" w:ascii="宋体" w:hAnsi="宋体" w:eastAsia="宋体" w:cs="宋体"/>
          <w:highlight w:val="none"/>
          <w:lang w:eastAsia="zh-CN"/>
        </w:rPr>
        <w:t>采购</w:t>
      </w:r>
      <w:r>
        <w:rPr>
          <w:rFonts w:hint="eastAsia" w:ascii="宋体" w:hAnsi="宋体" w:cs="宋体"/>
          <w:highlight w:val="none"/>
          <w:lang w:val="en-US" w:eastAsia="zh-CN"/>
        </w:rPr>
        <w:t>需求</w:t>
      </w:r>
    </w:p>
    <w:p w14:paraId="57BE2BA4">
      <w:pPr>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b/>
          <w:bCs/>
          <w:color w:val="auto"/>
          <w:sz w:val="36"/>
          <w:szCs w:val="36"/>
          <w:highlight w:val="none"/>
          <w:lang w:eastAsia="zh-CN"/>
        </w:rPr>
      </w:pPr>
    </w:p>
    <w:p w14:paraId="3613EA80">
      <w:pPr>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贵州省价格监测预警系统项目标包4（二次）</w:t>
      </w:r>
    </w:p>
    <w:p w14:paraId="1FE3817C">
      <w:pPr>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36"/>
          <w:szCs w:val="36"/>
          <w:highlight w:val="none"/>
        </w:rPr>
        <w:t>采购公告</w:t>
      </w:r>
    </w:p>
    <w:p w14:paraId="0BEBB2B6">
      <w:pPr>
        <w:keepNext w:val="0"/>
        <w:keepLines w:val="0"/>
        <w:pageBreakBefore w:val="0"/>
        <w:widowControl/>
        <w:shd w:val="clear"/>
        <w:kinsoku/>
        <w:wordWrap/>
        <w:overflowPunct/>
        <w:topLinePunct w:val="0"/>
        <w:autoSpaceDE/>
        <w:autoSpaceDN/>
        <w:bidi w:val="0"/>
        <w:adjustRightInd w:val="0"/>
        <w:snapToGrid w:val="0"/>
        <w:spacing w:line="600" w:lineRule="exact"/>
        <w:ind w:firstLine="482" w:firstLineChars="200"/>
        <w:textAlignment w:val="auto"/>
        <w:rPr>
          <w:rFonts w:hint="eastAsia" w:ascii="仿宋" w:hAnsi="仿宋" w:eastAsia="仿宋" w:cs="仿宋"/>
          <w:b/>
          <w:bCs/>
          <w:color w:val="auto"/>
          <w:kern w:val="0"/>
          <w:sz w:val="24"/>
          <w:szCs w:val="24"/>
          <w:highlight w:val="none"/>
          <w:shd w:val="clear" w:color="auto" w:fill="FFFFFF"/>
          <w:lang w:bidi="ar"/>
        </w:rPr>
      </w:pPr>
      <w:r>
        <w:rPr>
          <w:rFonts w:hint="eastAsia" w:ascii="仿宋" w:hAnsi="仿宋" w:eastAsia="仿宋" w:cs="仿宋"/>
          <w:b/>
          <w:bCs/>
          <w:color w:val="auto"/>
          <w:kern w:val="0"/>
          <w:sz w:val="24"/>
          <w:szCs w:val="24"/>
          <w:highlight w:val="none"/>
          <w:shd w:val="clear" w:color="auto" w:fill="FFFFFF"/>
          <w:lang w:bidi="ar"/>
        </w:rPr>
        <w:t>项目概况</w:t>
      </w:r>
    </w:p>
    <w:p w14:paraId="017F1CF9">
      <w:pPr>
        <w:keepNext w:val="0"/>
        <w:keepLines w:val="0"/>
        <w:pageBreakBefore w:val="0"/>
        <w:widowControl/>
        <w:shd w:val="clear"/>
        <w:kinsoku/>
        <w:wordWrap/>
        <w:overflowPunct/>
        <w:topLinePunct w:val="0"/>
        <w:autoSpaceDE/>
        <w:autoSpaceDN/>
        <w:bidi w:val="0"/>
        <w:adjustRightInd w:val="0"/>
        <w:snapToGrid w:val="0"/>
        <w:spacing w:line="600" w:lineRule="exact"/>
        <w:ind w:firstLine="482" w:firstLineChars="200"/>
        <w:textAlignment w:val="auto"/>
        <w:rPr>
          <w:rFonts w:hint="eastAsia" w:ascii="仿宋" w:hAnsi="仿宋" w:eastAsia="仿宋" w:cs="仿宋"/>
          <w:b w:val="0"/>
          <w:bCs w:val="0"/>
          <w:color w:val="auto"/>
          <w:kern w:val="0"/>
          <w:sz w:val="24"/>
          <w:szCs w:val="24"/>
          <w:highlight w:val="none"/>
          <w:shd w:val="clear" w:color="auto" w:fill="FFFFFF"/>
          <w:lang w:bidi="ar"/>
        </w:rPr>
      </w:pPr>
      <w:r>
        <w:rPr>
          <w:rFonts w:hint="eastAsia" w:ascii="仿宋" w:hAnsi="仿宋" w:eastAsia="仿宋" w:cs="仿宋"/>
          <w:b/>
          <w:bCs/>
          <w:color w:val="auto"/>
          <w:kern w:val="0"/>
          <w:sz w:val="24"/>
          <w:szCs w:val="24"/>
          <w:highlight w:val="none"/>
          <w:u w:val="single"/>
          <w:shd w:val="clear" w:color="auto" w:fill="FFFFFF"/>
          <w:lang w:bidi="ar"/>
        </w:rPr>
        <w:t>贵州省价格监测预警系统项目标包4</w:t>
      </w:r>
      <w:r>
        <w:rPr>
          <w:rFonts w:hint="eastAsia" w:ascii="仿宋" w:hAnsi="仿宋" w:eastAsia="仿宋" w:cs="仿宋"/>
          <w:b/>
          <w:bCs/>
          <w:color w:val="auto"/>
          <w:kern w:val="0"/>
          <w:sz w:val="24"/>
          <w:szCs w:val="24"/>
          <w:highlight w:val="none"/>
          <w:u w:val="single"/>
          <w:shd w:val="clear" w:color="auto" w:fill="FFFFFF"/>
          <w:lang w:eastAsia="zh-CN" w:bidi="ar"/>
        </w:rPr>
        <w:t>（二次）</w:t>
      </w:r>
      <w:r>
        <w:rPr>
          <w:rFonts w:hint="eastAsia" w:ascii="仿宋" w:hAnsi="仿宋" w:eastAsia="仿宋" w:cs="仿宋"/>
          <w:b w:val="0"/>
          <w:bCs w:val="0"/>
          <w:color w:val="auto"/>
          <w:kern w:val="0"/>
          <w:sz w:val="24"/>
          <w:szCs w:val="24"/>
          <w:highlight w:val="none"/>
          <w:shd w:val="clear" w:color="auto" w:fill="FFFFFF"/>
          <w:lang w:eastAsia="zh-CN" w:bidi="ar"/>
        </w:rPr>
        <w:t>采购</w:t>
      </w:r>
      <w:r>
        <w:rPr>
          <w:rFonts w:hint="eastAsia" w:ascii="仿宋" w:hAnsi="仿宋" w:eastAsia="仿宋" w:cs="仿宋"/>
          <w:b w:val="0"/>
          <w:bCs w:val="0"/>
          <w:color w:val="auto"/>
          <w:kern w:val="0"/>
          <w:sz w:val="24"/>
          <w:szCs w:val="24"/>
          <w:highlight w:val="none"/>
          <w:shd w:val="clear" w:color="auto" w:fill="FFFFFF"/>
          <w:lang w:bidi="ar"/>
        </w:rPr>
        <w:t>的潜在供应商应在贵州省公共资源交易中心网上获取(交易中心网址:http://ggzy.guizhou.gov.cn/)获取采购文件，并于2025年</w:t>
      </w:r>
      <w:r>
        <w:rPr>
          <w:rFonts w:hint="eastAsia" w:ascii="仿宋" w:hAnsi="仿宋" w:eastAsia="仿宋" w:cs="仿宋"/>
          <w:b w:val="0"/>
          <w:bCs w:val="0"/>
          <w:color w:val="auto"/>
          <w:kern w:val="0"/>
          <w:sz w:val="24"/>
          <w:szCs w:val="24"/>
          <w:highlight w:val="none"/>
          <w:shd w:val="clear" w:color="auto" w:fill="FFFFFF"/>
          <w:lang w:val="en-US" w:eastAsia="zh-CN" w:bidi="ar"/>
        </w:rPr>
        <w:t xml:space="preserve">  </w:t>
      </w:r>
      <w:r>
        <w:rPr>
          <w:rFonts w:hint="eastAsia" w:ascii="仿宋" w:hAnsi="仿宋" w:eastAsia="仿宋" w:cs="仿宋"/>
          <w:b w:val="0"/>
          <w:bCs w:val="0"/>
          <w:color w:val="auto"/>
          <w:kern w:val="0"/>
          <w:sz w:val="24"/>
          <w:szCs w:val="24"/>
          <w:highlight w:val="none"/>
          <w:shd w:val="clear" w:color="auto" w:fill="FFFFFF"/>
          <w:lang w:bidi="ar"/>
        </w:rPr>
        <w:t>月</w:t>
      </w:r>
      <w:r>
        <w:rPr>
          <w:rFonts w:hint="eastAsia" w:ascii="仿宋" w:hAnsi="仿宋" w:eastAsia="仿宋" w:cs="仿宋"/>
          <w:b w:val="0"/>
          <w:bCs w:val="0"/>
          <w:color w:val="auto"/>
          <w:kern w:val="0"/>
          <w:sz w:val="24"/>
          <w:szCs w:val="24"/>
          <w:highlight w:val="none"/>
          <w:shd w:val="clear" w:color="auto" w:fill="FFFFFF"/>
          <w:lang w:val="en-US" w:eastAsia="zh-CN" w:bidi="ar"/>
        </w:rPr>
        <w:t xml:space="preserve">  </w:t>
      </w:r>
      <w:r>
        <w:rPr>
          <w:rFonts w:hint="eastAsia" w:ascii="仿宋" w:hAnsi="仿宋" w:eastAsia="仿宋" w:cs="仿宋"/>
          <w:b w:val="0"/>
          <w:bCs w:val="0"/>
          <w:color w:val="auto"/>
          <w:kern w:val="0"/>
          <w:sz w:val="24"/>
          <w:szCs w:val="24"/>
          <w:highlight w:val="none"/>
          <w:shd w:val="clear" w:color="auto" w:fill="FFFFFF"/>
          <w:lang w:bidi="ar"/>
        </w:rPr>
        <w:t>日</w:t>
      </w:r>
      <w:r>
        <w:rPr>
          <w:rFonts w:hint="eastAsia" w:ascii="仿宋" w:hAnsi="仿宋" w:eastAsia="仿宋" w:cs="仿宋"/>
          <w:b w:val="0"/>
          <w:bCs w:val="0"/>
          <w:color w:val="auto"/>
          <w:kern w:val="0"/>
          <w:sz w:val="24"/>
          <w:szCs w:val="24"/>
          <w:highlight w:val="none"/>
          <w:shd w:val="clear" w:color="auto" w:fill="FFFFFF"/>
          <w:lang w:val="en-US" w:eastAsia="zh-CN" w:bidi="ar"/>
        </w:rPr>
        <w:t xml:space="preserve">  </w:t>
      </w:r>
      <w:r>
        <w:rPr>
          <w:rFonts w:hint="eastAsia" w:ascii="仿宋" w:hAnsi="仿宋" w:eastAsia="仿宋" w:cs="仿宋"/>
          <w:b w:val="0"/>
          <w:bCs w:val="0"/>
          <w:color w:val="auto"/>
          <w:kern w:val="0"/>
          <w:sz w:val="24"/>
          <w:szCs w:val="24"/>
          <w:highlight w:val="none"/>
          <w:shd w:val="clear" w:color="auto" w:fill="FFFFFF"/>
          <w:lang w:bidi="ar"/>
        </w:rPr>
        <w:t>时</w:t>
      </w:r>
      <w:r>
        <w:rPr>
          <w:rFonts w:hint="eastAsia" w:ascii="仿宋" w:hAnsi="仿宋" w:eastAsia="仿宋" w:cs="仿宋"/>
          <w:b w:val="0"/>
          <w:bCs w:val="0"/>
          <w:color w:val="auto"/>
          <w:kern w:val="0"/>
          <w:sz w:val="24"/>
          <w:szCs w:val="24"/>
          <w:highlight w:val="none"/>
          <w:shd w:val="clear" w:color="auto" w:fill="FFFFFF"/>
          <w:lang w:val="en-US" w:eastAsia="zh-CN" w:bidi="ar"/>
        </w:rPr>
        <w:t xml:space="preserve">  </w:t>
      </w:r>
      <w:r>
        <w:rPr>
          <w:rFonts w:hint="eastAsia" w:ascii="仿宋" w:hAnsi="仿宋" w:eastAsia="仿宋" w:cs="仿宋"/>
          <w:b w:val="0"/>
          <w:bCs w:val="0"/>
          <w:color w:val="auto"/>
          <w:kern w:val="0"/>
          <w:sz w:val="24"/>
          <w:szCs w:val="24"/>
          <w:highlight w:val="none"/>
          <w:shd w:val="clear" w:color="auto" w:fill="FFFFFF"/>
          <w:lang w:bidi="ar"/>
        </w:rPr>
        <w:t>分（北京时间）前递交投标文件。</w:t>
      </w:r>
    </w:p>
    <w:p w14:paraId="01D8D515">
      <w:pPr>
        <w:keepNext w:val="0"/>
        <w:keepLines w:val="0"/>
        <w:pageBreakBefore w:val="0"/>
        <w:widowControl/>
        <w:shd w:val="clear"/>
        <w:kinsoku/>
        <w:wordWrap/>
        <w:overflowPunct/>
        <w:topLinePunct w:val="0"/>
        <w:autoSpaceDE/>
        <w:autoSpaceDN/>
        <w:bidi w:val="0"/>
        <w:adjustRightInd w:val="0"/>
        <w:snapToGrid w:val="0"/>
        <w:spacing w:line="6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shd w:val="clear" w:color="auto" w:fill="FFFFFF"/>
          <w:lang w:bidi="ar"/>
        </w:rPr>
        <w:t>一、项目基本信息</w:t>
      </w:r>
    </w:p>
    <w:p w14:paraId="75FD0A8B">
      <w:pPr>
        <w:keepNext w:val="0"/>
        <w:keepLines w:val="0"/>
        <w:pageBreakBefore w:val="0"/>
        <w:widowControl/>
        <w:shd w:val="clear"/>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kern w:val="0"/>
          <w:sz w:val="24"/>
          <w:szCs w:val="24"/>
          <w:highlight w:val="none"/>
          <w:shd w:val="clear" w:color="auto" w:fill="FFFFFF"/>
          <w:lang w:eastAsia="zh-CN" w:bidi="ar"/>
        </w:rPr>
      </w:pPr>
      <w:r>
        <w:rPr>
          <w:rFonts w:hint="eastAsia" w:ascii="仿宋" w:hAnsi="仿宋" w:eastAsia="仿宋" w:cs="仿宋"/>
          <w:color w:val="auto"/>
          <w:kern w:val="0"/>
          <w:sz w:val="24"/>
          <w:szCs w:val="24"/>
          <w:highlight w:val="none"/>
          <w:shd w:val="clear" w:color="auto" w:fill="FFFFFF"/>
          <w:lang w:bidi="ar"/>
        </w:rPr>
        <w:t>项目名称：</w:t>
      </w:r>
      <w:r>
        <w:rPr>
          <w:rFonts w:hint="eastAsia" w:ascii="仿宋" w:hAnsi="仿宋" w:eastAsia="仿宋" w:cs="仿宋"/>
          <w:color w:val="auto"/>
          <w:kern w:val="0"/>
          <w:sz w:val="24"/>
          <w:szCs w:val="24"/>
          <w:highlight w:val="none"/>
          <w:shd w:val="clear" w:color="auto" w:fill="FFFFFF"/>
          <w:lang w:eastAsia="zh-CN" w:bidi="ar"/>
        </w:rPr>
        <w:t>贵州省价格监测预警系统项目标包4（二次）</w:t>
      </w:r>
    </w:p>
    <w:p w14:paraId="06697513">
      <w:pPr>
        <w:keepNext w:val="0"/>
        <w:keepLines w:val="0"/>
        <w:pageBreakBefore w:val="0"/>
        <w:widowControl/>
        <w:shd w:val="clear"/>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kern w:val="0"/>
          <w:sz w:val="24"/>
          <w:szCs w:val="24"/>
          <w:highlight w:val="none"/>
          <w:shd w:val="clear" w:color="auto" w:fill="FFFFFF"/>
          <w:lang w:val="en-US" w:eastAsia="zh-CN" w:bidi="ar"/>
        </w:rPr>
      </w:pPr>
      <w:r>
        <w:rPr>
          <w:rFonts w:hint="eastAsia" w:ascii="仿宋" w:hAnsi="仿宋" w:eastAsia="仿宋" w:cs="仿宋"/>
          <w:color w:val="auto"/>
          <w:kern w:val="0"/>
          <w:sz w:val="24"/>
          <w:szCs w:val="24"/>
          <w:highlight w:val="none"/>
          <w:shd w:val="clear" w:color="auto" w:fill="FFFFFF"/>
          <w:lang w:bidi="ar"/>
        </w:rPr>
        <w:t>项目编号：</w:t>
      </w:r>
      <w:r>
        <w:rPr>
          <w:rFonts w:hint="eastAsia" w:ascii="仿宋" w:hAnsi="仿宋" w:eastAsia="仿宋" w:cs="仿宋"/>
          <w:color w:val="auto"/>
          <w:kern w:val="0"/>
          <w:sz w:val="24"/>
          <w:szCs w:val="24"/>
          <w:highlight w:val="none"/>
          <w:shd w:val="clear" w:color="auto" w:fill="FFFFFF"/>
          <w:lang w:val="en-US" w:eastAsia="zh-CN" w:bidi="ar"/>
        </w:rPr>
        <w:t xml:space="preserve"> </w:t>
      </w:r>
    </w:p>
    <w:p w14:paraId="5DA0B7FF">
      <w:pPr>
        <w:keepNext w:val="0"/>
        <w:keepLines w:val="0"/>
        <w:pageBreakBefore w:val="0"/>
        <w:widowControl/>
        <w:shd w:val="clear"/>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lang w:bidi="ar"/>
        </w:rPr>
        <w:t>采购方式：公开招标</w:t>
      </w:r>
    </w:p>
    <w:p w14:paraId="47DBD3EF">
      <w:pPr>
        <w:keepNext w:val="0"/>
        <w:keepLines w:val="0"/>
        <w:pageBreakBefore w:val="0"/>
        <w:shd w:val="clear"/>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 xml:space="preserve">项目序列号：               </w:t>
      </w:r>
    </w:p>
    <w:p w14:paraId="4E9A1D95">
      <w:pPr>
        <w:keepNext w:val="0"/>
        <w:keepLines w:val="0"/>
        <w:pageBreakBefore w:val="0"/>
        <w:shd w:val="clear"/>
        <w:kinsoku/>
        <w:wordWrap/>
        <w:overflowPunct/>
        <w:topLinePunct w:val="0"/>
        <w:autoSpaceDE/>
        <w:autoSpaceDN/>
        <w:bidi w:val="0"/>
        <w:adjustRightInd w:val="0"/>
        <w:snapToGrid w:val="0"/>
        <w:spacing w:line="600" w:lineRule="exact"/>
        <w:ind w:firstLine="482" w:firstLineChars="200"/>
        <w:textAlignment w:val="auto"/>
        <w:rPr>
          <w:rFonts w:hint="eastAsia" w:ascii="仿宋" w:hAnsi="仿宋" w:eastAsia="仿宋" w:cs="仿宋"/>
          <w:b w:val="0"/>
          <w:bCs w:val="0"/>
          <w:strike w:val="0"/>
          <w:dstrike w:val="0"/>
          <w:color w:val="auto"/>
          <w:kern w:val="0"/>
          <w:sz w:val="24"/>
          <w:szCs w:val="24"/>
          <w:highlight w:val="none"/>
          <w:shd w:val="clear" w:color="auto" w:fill="FFFFFF"/>
          <w:lang w:bidi="ar"/>
        </w:rPr>
      </w:pPr>
      <w:r>
        <w:rPr>
          <w:rFonts w:hint="eastAsia" w:ascii="仿宋" w:hAnsi="仿宋" w:eastAsia="仿宋" w:cs="仿宋"/>
          <w:b/>
          <w:bCs/>
          <w:color w:val="auto"/>
          <w:kern w:val="0"/>
          <w:sz w:val="24"/>
          <w:szCs w:val="24"/>
          <w:highlight w:val="none"/>
          <w:shd w:val="clear" w:color="auto" w:fill="FFFFFF"/>
          <w:lang w:bidi="ar"/>
        </w:rPr>
        <w:t>采购</w:t>
      </w:r>
      <w:r>
        <w:rPr>
          <w:rFonts w:hint="eastAsia" w:ascii="仿宋" w:hAnsi="仿宋" w:eastAsia="仿宋" w:cs="仿宋"/>
          <w:b/>
          <w:bCs/>
          <w:color w:val="auto"/>
          <w:kern w:val="0"/>
          <w:sz w:val="24"/>
          <w:szCs w:val="24"/>
          <w:highlight w:val="none"/>
          <w:shd w:val="clear" w:color="auto" w:fill="FFFFFF"/>
          <w:lang w:eastAsia="zh-CN" w:bidi="ar"/>
        </w:rPr>
        <w:t>需求</w:t>
      </w:r>
      <w:r>
        <w:rPr>
          <w:rFonts w:hint="eastAsia" w:ascii="仿宋" w:hAnsi="仿宋" w:eastAsia="仿宋" w:cs="仿宋"/>
          <w:b/>
          <w:bCs/>
          <w:color w:val="auto"/>
          <w:kern w:val="0"/>
          <w:sz w:val="24"/>
          <w:szCs w:val="24"/>
          <w:highlight w:val="none"/>
          <w:shd w:val="clear" w:color="auto" w:fill="FFFFFF"/>
          <w:lang w:bidi="ar"/>
        </w:rPr>
        <w:t>：</w:t>
      </w:r>
      <w:r>
        <w:rPr>
          <w:rFonts w:hint="eastAsia" w:ascii="仿宋" w:hAnsi="仿宋" w:eastAsia="仿宋" w:cs="仿宋"/>
          <w:b w:val="0"/>
          <w:bCs w:val="0"/>
          <w:strike w:val="0"/>
          <w:dstrike w:val="0"/>
          <w:color w:val="auto"/>
          <w:kern w:val="0"/>
          <w:sz w:val="24"/>
          <w:szCs w:val="24"/>
          <w:highlight w:val="none"/>
          <w:shd w:val="clear" w:color="auto" w:fill="FFFFFF"/>
          <w:lang w:bidi="ar"/>
        </w:rPr>
        <w:t>本项目以推进“稳价安民，服务大局”为基本宗旨，以着力提高全省价格监测的准确性和时效性，着力增强价格形势分析的前瞻性和权威性为根本目标，通过打造纵向贯通和灵敏、高效、权威的价格监测预警系统，</w:t>
      </w:r>
      <w:r>
        <w:rPr>
          <w:rFonts w:hint="eastAsia" w:ascii="仿宋" w:hAnsi="仿宋" w:eastAsia="仿宋" w:cs="仿宋"/>
          <w:b/>
          <w:bCs/>
          <w:strike w:val="0"/>
          <w:dstrike w:val="0"/>
          <w:color w:val="auto"/>
          <w:kern w:val="0"/>
          <w:sz w:val="24"/>
          <w:szCs w:val="24"/>
          <w:highlight w:val="none"/>
          <w:shd w:val="clear" w:color="auto" w:fill="FFFFFF"/>
          <w:lang w:bidi="ar"/>
        </w:rPr>
        <w:t>推动价格监测数字化、网络化、智能化水平显著提升，夯实价格治理和价格调控监管基础</w:t>
      </w:r>
      <w:r>
        <w:rPr>
          <w:rFonts w:hint="eastAsia" w:ascii="仿宋" w:hAnsi="仿宋" w:eastAsia="仿宋" w:cs="仿宋"/>
          <w:b w:val="0"/>
          <w:bCs w:val="0"/>
          <w:strike w:val="0"/>
          <w:dstrike w:val="0"/>
          <w:color w:val="auto"/>
          <w:kern w:val="0"/>
          <w:sz w:val="24"/>
          <w:szCs w:val="24"/>
          <w:highlight w:val="none"/>
          <w:shd w:val="clear" w:color="auto" w:fill="FFFFFF"/>
          <w:lang w:bidi="ar"/>
        </w:rPr>
        <w:t>，为宏观经济治理和决策提供高效的信息化支撑。建立健全覆盖重要民生商品、初级产品、重点产业、关键领域和环节的省内外、上下游、产供销、期现货市场和价格监测预测和分析预警体系，支持全量数据采集，全面提升监测时效性和分析预警深度广度，</w:t>
      </w:r>
      <w:r>
        <w:rPr>
          <w:rFonts w:hint="eastAsia" w:ascii="仿宋" w:hAnsi="仿宋" w:eastAsia="仿宋" w:cs="仿宋"/>
          <w:b/>
          <w:bCs/>
          <w:strike w:val="0"/>
          <w:dstrike w:val="0"/>
          <w:color w:val="auto"/>
          <w:kern w:val="0"/>
          <w:sz w:val="24"/>
          <w:szCs w:val="24"/>
          <w:highlight w:val="none"/>
          <w:shd w:val="clear" w:color="auto" w:fill="FFFFFF"/>
          <w:lang w:bidi="ar"/>
        </w:rPr>
        <w:t>提高价格异常波动风险监测预测、预警信息发布等应急管理支撑能力，着力防范化解重大价格风险</w:t>
      </w:r>
      <w:r>
        <w:rPr>
          <w:rFonts w:hint="eastAsia" w:ascii="仿宋" w:hAnsi="仿宋" w:eastAsia="仿宋" w:cs="仿宋"/>
          <w:b w:val="0"/>
          <w:bCs w:val="0"/>
          <w:strike w:val="0"/>
          <w:dstrike w:val="0"/>
          <w:color w:val="auto"/>
          <w:kern w:val="0"/>
          <w:sz w:val="24"/>
          <w:szCs w:val="24"/>
          <w:highlight w:val="none"/>
          <w:shd w:val="clear" w:color="auto" w:fill="FFFFFF"/>
          <w:lang w:bidi="ar"/>
        </w:rPr>
        <w:t>，促进价格总水平处于合理区间，有力支持重要商品和服务保供稳价。建立统一的价格信息共享和发布平台，及时准确发布价格信息，充分发挥预期引导作用，矫正因信息不对称而导致的市场扭曲现象，引导市场主体自主调节生产经营决策，主动适应市场形势变化。同时，营造公开透明的市场环境，促进行业稳定发展和市场平稳运行。</w:t>
      </w:r>
    </w:p>
    <w:p w14:paraId="4C21376F">
      <w:pPr>
        <w:keepNext w:val="0"/>
        <w:keepLines w:val="0"/>
        <w:pageBreakBefore w:val="0"/>
        <w:shd w:val="clear"/>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trike w:val="0"/>
          <w:dstrike w:val="0"/>
          <w:color w:val="auto"/>
          <w:kern w:val="0"/>
          <w:sz w:val="24"/>
          <w:szCs w:val="24"/>
          <w:highlight w:val="none"/>
          <w:shd w:val="clear" w:color="auto" w:fill="FFFFFF"/>
          <w:lang w:bidi="ar"/>
        </w:rPr>
      </w:pPr>
      <w:r>
        <w:rPr>
          <w:rFonts w:hint="eastAsia" w:ascii="仿宋" w:hAnsi="仿宋" w:eastAsia="仿宋" w:cs="仿宋"/>
          <w:b w:val="0"/>
          <w:bCs w:val="0"/>
          <w:strike w:val="0"/>
          <w:dstrike w:val="0"/>
          <w:color w:val="auto"/>
          <w:kern w:val="0"/>
          <w:sz w:val="24"/>
          <w:szCs w:val="24"/>
          <w:highlight w:val="none"/>
          <w:shd w:val="clear" w:color="auto" w:fill="FFFFFF"/>
          <w:lang w:bidi="ar"/>
        </w:rPr>
        <w:t>全网全天候全时段搜集监测价格网络舆情动态，及时发出监测预警，精准分析舆论发展趋势，积极开展舆情应对处置，增强政府涉价舆论工作主动性，有效控制舆情风险。</w:t>
      </w:r>
    </w:p>
    <w:p w14:paraId="0394F14D">
      <w:pPr>
        <w:keepNext w:val="0"/>
        <w:keepLines w:val="0"/>
        <w:pageBreakBefore w:val="0"/>
        <w:shd w:val="clear"/>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b w:val="0"/>
          <w:bCs w:val="0"/>
          <w:strike w:val="0"/>
          <w:dstrike w:val="0"/>
          <w:color w:val="auto"/>
          <w:kern w:val="0"/>
          <w:sz w:val="24"/>
          <w:szCs w:val="24"/>
          <w:highlight w:val="cyan"/>
          <w:shd w:val="clear" w:color="auto" w:fill="FFFFFF"/>
          <w:lang w:bidi="ar"/>
        </w:rPr>
      </w:pPr>
      <w:r>
        <w:rPr>
          <w:rFonts w:hint="eastAsia" w:ascii="仿宋" w:hAnsi="仿宋" w:eastAsia="仿宋" w:cs="仿宋"/>
          <w:b w:val="0"/>
          <w:bCs w:val="0"/>
          <w:strike w:val="0"/>
          <w:dstrike w:val="0"/>
          <w:color w:val="auto"/>
          <w:kern w:val="0"/>
          <w:sz w:val="24"/>
          <w:szCs w:val="24"/>
          <w:highlight w:val="none"/>
          <w:shd w:val="clear" w:color="auto" w:fill="FFFFFF"/>
          <w:lang w:bidi="ar"/>
        </w:rPr>
        <w:t>建设内容主要包括“六系统 一中心”，分别为省、市、县三级联动价格监测业务系统，价格监测移动工作系统，全链条、一体化价格监测和分析预警系统，价格监测预警展示系统、价格信息共享和发布系统、价格舆情监测系统、价格监测数据中心、历史数据迁移、互联网和大型商超数据服务，以及标准规范建设。</w:t>
      </w:r>
    </w:p>
    <w:p w14:paraId="4C7E50BE">
      <w:pPr>
        <w:keepNext w:val="0"/>
        <w:keepLines w:val="0"/>
        <w:pageBreakBefore w:val="0"/>
        <w:shd w:val="clear"/>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为完成本标包所有等保测评工作及相关服务，本标包</w:t>
      </w: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7.28</w:t>
      </w:r>
      <w:r>
        <w:rPr>
          <w:rFonts w:hint="eastAsia" w:ascii="仿宋" w:hAnsi="仿宋" w:eastAsia="仿宋" w:cs="仿宋"/>
          <w:color w:val="auto"/>
          <w:sz w:val="24"/>
          <w:szCs w:val="24"/>
          <w:highlight w:val="none"/>
        </w:rPr>
        <w:t>万元。</w:t>
      </w:r>
    </w:p>
    <w:p w14:paraId="6DE63359">
      <w:pPr>
        <w:keepNext w:val="0"/>
        <w:keepLines w:val="0"/>
        <w:pageBreakBefore w:val="0"/>
        <w:widowControl/>
        <w:shd w:val="clear"/>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shd w:val="clear" w:color="auto" w:fill="FFFFFF"/>
          <w:lang w:bidi="ar"/>
        </w:rPr>
        <w:t>采购数量：1</w:t>
      </w:r>
      <w:r>
        <w:rPr>
          <w:rFonts w:hint="eastAsia" w:ascii="仿宋" w:hAnsi="仿宋" w:eastAsia="仿宋" w:cs="仿宋"/>
          <w:color w:val="auto"/>
          <w:kern w:val="0"/>
          <w:sz w:val="24"/>
          <w:szCs w:val="24"/>
          <w:highlight w:val="none"/>
          <w:shd w:val="clear" w:color="auto" w:fill="FFFFFF"/>
          <w:lang w:eastAsia="zh-CN" w:bidi="ar"/>
        </w:rPr>
        <w:t>批</w:t>
      </w:r>
    </w:p>
    <w:p w14:paraId="5C26BAFB">
      <w:pPr>
        <w:keepNext w:val="0"/>
        <w:keepLines w:val="0"/>
        <w:pageBreakBefore w:val="0"/>
        <w:widowControl/>
        <w:shd w:val="clear"/>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kern w:val="0"/>
          <w:sz w:val="24"/>
          <w:szCs w:val="24"/>
          <w:highlight w:val="none"/>
          <w:shd w:val="clear" w:color="auto" w:fill="FFFFFF"/>
          <w:lang w:val="en-US" w:eastAsia="zh-CN" w:bidi="ar"/>
        </w:rPr>
      </w:pPr>
      <w:r>
        <w:rPr>
          <w:rFonts w:hint="eastAsia" w:ascii="仿宋" w:hAnsi="仿宋" w:eastAsia="仿宋" w:cs="仿宋"/>
          <w:color w:val="auto"/>
          <w:kern w:val="0"/>
          <w:sz w:val="24"/>
          <w:szCs w:val="24"/>
          <w:highlight w:val="none"/>
          <w:shd w:val="clear" w:color="auto" w:fill="FFFFFF"/>
          <w:lang w:bidi="ar"/>
        </w:rPr>
        <w:t>预算金额：</w:t>
      </w:r>
      <w:r>
        <w:rPr>
          <w:rFonts w:hint="eastAsia" w:ascii="仿宋" w:hAnsi="仿宋" w:eastAsia="仿宋" w:cs="仿宋"/>
          <w:color w:val="auto"/>
          <w:sz w:val="24"/>
          <w:szCs w:val="24"/>
          <w:highlight w:val="none"/>
          <w:lang w:val="en-US" w:eastAsia="zh-CN"/>
        </w:rPr>
        <w:t>7.28</w:t>
      </w:r>
      <w:r>
        <w:rPr>
          <w:rFonts w:hint="eastAsia" w:ascii="仿宋" w:hAnsi="仿宋" w:eastAsia="仿宋" w:cs="仿宋"/>
          <w:color w:val="auto"/>
          <w:kern w:val="0"/>
          <w:sz w:val="24"/>
          <w:szCs w:val="24"/>
          <w:highlight w:val="none"/>
          <w:shd w:val="clear" w:color="auto" w:fill="FFFFFF"/>
          <w:lang w:val="en-US" w:eastAsia="zh-CN" w:bidi="ar"/>
        </w:rPr>
        <w:t>万元</w:t>
      </w:r>
    </w:p>
    <w:p w14:paraId="24653CD5">
      <w:pPr>
        <w:keepNext w:val="0"/>
        <w:keepLines w:val="0"/>
        <w:pageBreakBefore w:val="0"/>
        <w:widowControl/>
        <w:shd w:val="clear"/>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shd w:val="clear" w:color="auto" w:fill="FFFFFF"/>
          <w:lang w:val="en-US" w:eastAsia="zh-CN" w:bidi="ar"/>
        </w:rPr>
        <w:t>本标包</w:t>
      </w:r>
      <w:r>
        <w:rPr>
          <w:rFonts w:hint="eastAsia" w:ascii="仿宋" w:hAnsi="仿宋" w:eastAsia="仿宋" w:cs="仿宋"/>
          <w:color w:val="auto"/>
          <w:kern w:val="0"/>
          <w:sz w:val="24"/>
          <w:szCs w:val="24"/>
          <w:highlight w:val="none"/>
          <w:shd w:val="clear" w:color="auto" w:fill="FFFFFF"/>
          <w:lang w:bidi="ar"/>
        </w:rPr>
        <w:t>最高限价：</w:t>
      </w:r>
      <w:r>
        <w:rPr>
          <w:rFonts w:hint="eastAsia" w:ascii="仿宋" w:hAnsi="仿宋" w:eastAsia="仿宋" w:cs="仿宋"/>
          <w:color w:val="auto"/>
          <w:sz w:val="24"/>
          <w:szCs w:val="24"/>
          <w:highlight w:val="none"/>
          <w:lang w:val="en-US" w:eastAsia="zh-CN"/>
        </w:rPr>
        <w:t>7.28</w:t>
      </w:r>
      <w:r>
        <w:rPr>
          <w:rFonts w:hint="eastAsia" w:ascii="仿宋" w:hAnsi="仿宋" w:eastAsia="仿宋" w:cs="仿宋"/>
          <w:color w:val="auto"/>
          <w:sz w:val="24"/>
          <w:szCs w:val="24"/>
          <w:highlight w:val="none"/>
        </w:rPr>
        <w:t>万</w:t>
      </w:r>
      <w:r>
        <w:rPr>
          <w:rFonts w:hint="eastAsia" w:ascii="仿宋" w:hAnsi="仿宋" w:eastAsia="仿宋" w:cs="仿宋"/>
          <w:color w:val="auto"/>
          <w:kern w:val="0"/>
          <w:sz w:val="24"/>
          <w:szCs w:val="24"/>
          <w:highlight w:val="none"/>
          <w:shd w:val="clear" w:color="auto" w:fill="FFFFFF"/>
          <w:lang w:val="en-US" w:eastAsia="zh-CN" w:bidi="ar"/>
        </w:rPr>
        <w:t>元</w:t>
      </w:r>
    </w:p>
    <w:p w14:paraId="3B0048E1">
      <w:pPr>
        <w:keepNext w:val="0"/>
        <w:keepLines w:val="0"/>
        <w:pageBreakBefore w:val="0"/>
        <w:widowControl/>
        <w:shd w:val="clear"/>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lang w:bidi="ar"/>
        </w:rPr>
        <w:t>本项目是否接受联合体投标： 否</w:t>
      </w:r>
    </w:p>
    <w:p w14:paraId="45AC6DD6">
      <w:pPr>
        <w:keepNext w:val="0"/>
        <w:keepLines w:val="0"/>
        <w:pageBreakBefore w:val="0"/>
        <w:widowControl/>
        <w:shd w:val="clear"/>
        <w:kinsoku/>
        <w:wordWrap/>
        <w:overflowPunct/>
        <w:topLinePunct w:val="0"/>
        <w:autoSpaceDE/>
        <w:autoSpaceDN/>
        <w:bidi w:val="0"/>
        <w:adjustRightInd w:val="0"/>
        <w:snapToGrid w:val="0"/>
        <w:spacing w:line="6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shd w:val="clear" w:color="auto" w:fill="FFFFFF"/>
          <w:lang w:bidi="ar"/>
        </w:rPr>
        <w:t>二、申请人的资格要求：</w:t>
      </w:r>
    </w:p>
    <w:p w14:paraId="332C8E9A">
      <w:pPr>
        <w:keepNext w:val="0"/>
        <w:keepLines w:val="0"/>
        <w:pageBreakBefore w:val="0"/>
        <w:widowControl/>
        <w:shd w:val="clear" w:color="auto"/>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shd w:val="clear" w:color="auto" w:fill="FFFFFF"/>
          <w:lang w:bidi="ar"/>
        </w:rPr>
        <w:t>1. 一般资格要求</w:t>
      </w:r>
      <w:r>
        <w:rPr>
          <w:rFonts w:hint="eastAsia" w:ascii="仿宋" w:hAnsi="仿宋" w:eastAsia="仿宋" w:cs="仿宋"/>
          <w:color w:val="auto"/>
          <w:kern w:val="0"/>
          <w:sz w:val="24"/>
          <w:szCs w:val="24"/>
          <w:highlight w:val="none"/>
          <w:shd w:val="clear" w:color="auto" w:fill="FFFFFF"/>
          <w:lang w:eastAsia="zh-CN" w:bidi="ar"/>
        </w:rPr>
        <w:t>：</w:t>
      </w:r>
    </w:p>
    <w:p w14:paraId="5D04A3BA">
      <w:pPr>
        <w:keepNext w:val="0"/>
        <w:keepLines w:val="0"/>
        <w:pageBreakBefore w:val="0"/>
        <w:widowControl/>
        <w:shd w:val="clear" w:color="auto"/>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eastAsia="zh-CN" w:bidi="ar"/>
        </w:rPr>
        <w:t>供应商</w:t>
      </w:r>
      <w:r>
        <w:rPr>
          <w:rFonts w:hint="eastAsia" w:ascii="仿宋" w:hAnsi="仿宋" w:eastAsia="仿宋" w:cs="仿宋"/>
          <w:color w:val="auto"/>
          <w:kern w:val="0"/>
          <w:sz w:val="24"/>
          <w:szCs w:val="24"/>
          <w:highlight w:val="none"/>
          <w:shd w:val="clear" w:color="auto" w:fill="FFFFFF"/>
          <w:lang w:bidi="ar"/>
        </w:rPr>
        <w:t>符合《中华人民共和国政府采购法》第二十二条规定，并提供下列材料：</w:t>
      </w:r>
    </w:p>
    <w:p w14:paraId="7CE0FE5A">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fill="FFFFFF"/>
          <w:lang w:val="en-US" w:eastAsia="zh-CN" w:bidi="ar"/>
        </w:rPr>
        <w:t>①</w:t>
      </w:r>
      <w:r>
        <w:rPr>
          <w:rFonts w:hint="eastAsia" w:ascii="仿宋" w:hAnsi="仿宋" w:eastAsia="仿宋" w:cs="仿宋"/>
          <w:color w:val="auto"/>
          <w:kern w:val="0"/>
          <w:sz w:val="24"/>
          <w:szCs w:val="24"/>
          <w:highlight w:val="none"/>
          <w:shd w:val="clear" w:color="auto" w:fill="FFFFFF"/>
          <w:lang w:bidi="ar"/>
        </w:rPr>
        <w:t>具有独立承担民事责任的能力：</w:t>
      </w:r>
      <w:r>
        <w:rPr>
          <w:rFonts w:hint="eastAsia" w:ascii="仿宋" w:hAnsi="仿宋" w:eastAsia="仿宋" w:cs="仿宋"/>
          <w:b/>
          <w:bCs/>
          <w:color w:val="auto"/>
          <w:kern w:val="0"/>
          <w:sz w:val="24"/>
          <w:szCs w:val="24"/>
          <w:highlight w:val="none"/>
          <w:shd w:val="clear" w:color="auto" w:fill="FFFFFF"/>
          <w:lang w:bidi="ar"/>
        </w:rPr>
        <w:t>提供有效的多证合一的营业执照或事业单位法人证书或自然人的身份证明文件</w:t>
      </w:r>
      <w:r>
        <w:rPr>
          <w:rFonts w:hint="eastAsia" w:ascii="仿宋" w:hAnsi="仿宋" w:eastAsia="仿宋" w:cs="仿宋"/>
          <w:b/>
          <w:bCs/>
          <w:color w:val="auto"/>
          <w:kern w:val="0"/>
          <w:sz w:val="24"/>
          <w:szCs w:val="24"/>
          <w:highlight w:val="none"/>
          <w:shd w:val="clear" w:color="auto" w:fill="FFFFFF"/>
          <w:lang w:eastAsia="zh-CN" w:bidi="ar"/>
        </w:rPr>
        <w:t>（扫描件或</w:t>
      </w:r>
      <w:r>
        <w:rPr>
          <w:rFonts w:hint="eastAsia" w:ascii="仿宋" w:hAnsi="仿宋" w:eastAsia="仿宋" w:cs="仿宋"/>
          <w:b/>
          <w:bCs/>
          <w:color w:val="auto"/>
          <w:kern w:val="0"/>
          <w:sz w:val="24"/>
          <w:szCs w:val="24"/>
          <w:highlight w:val="none"/>
          <w:shd w:val="clear" w:color="auto" w:fill="FFFFFF"/>
          <w:lang w:bidi="ar"/>
        </w:rPr>
        <w:t>复印件加盖</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公章</w:t>
      </w:r>
      <w:r>
        <w:rPr>
          <w:rFonts w:hint="eastAsia" w:ascii="仿宋" w:hAnsi="仿宋" w:eastAsia="仿宋" w:cs="仿宋"/>
          <w:b/>
          <w:bCs/>
          <w:color w:val="auto"/>
          <w:kern w:val="0"/>
          <w:sz w:val="24"/>
          <w:szCs w:val="24"/>
          <w:highlight w:val="none"/>
          <w:shd w:val="clear" w:color="auto" w:fill="FFFFFF"/>
          <w:lang w:eastAsia="zh-CN" w:bidi="ar"/>
        </w:rPr>
        <w:t>）</w:t>
      </w:r>
      <w:r>
        <w:rPr>
          <w:rFonts w:hint="eastAsia" w:ascii="仿宋" w:hAnsi="仿宋" w:eastAsia="仿宋" w:cs="仿宋"/>
          <w:color w:val="auto"/>
          <w:kern w:val="0"/>
          <w:sz w:val="24"/>
          <w:szCs w:val="24"/>
          <w:highlight w:val="none"/>
          <w:shd w:val="clear" w:color="auto" w:fill="FFFFFF"/>
          <w:lang w:bidi="ar"/>
        </w:rPr>
        <w:t>；</w:t>
      </w:r>
    </w:p>
    <w:p w14:paraId="44AFD23B">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②</w:t>
      </w:r>
      <w:r>
        <w:rPr>
          <w:rFonts w:hint="eastAsia" w:ascii="仿宋" w:hAnsi="仿宋" w:eastAsia="仿宋" w:cs="仿宋"/>
          <w:color w:val="auto"/>
          <w:sz w:val="24"/>
          <w:szCs w:val="24"/>
          <w:highlight w:val="none"/>
        </w:rPr>
        <w:t>具有良好的商业信誉和健全的财务会计制度：提供</w:t>
      </w:r>
      <w:r>
        <w:rPr>
          <w:rFonts w:hint="eastAsia" w:ascii="仿宋" w:hAnsi="仿宋" w:eastAsia="仿宋" w:cs="仿宋"/>
          <w:color w:val="auto"/>
          <w:sz w:val="24"/>
          <w:szCs w:val="24"/>
          <w:highlight w:val="none"/>
          <w:lang w:val="en-US" w:eastAsia="zh-CN"/>
        </w:rPr>
        <w:t>2024年度（2024年度未完成审计的提供2023年度）</w:t>
      </w:r>
      <w:r>
        <w:rPr>
          <w:rFonts w:hint="eastAsia" w:ascii="仿宋" w:hAnsi="仿宋" w:eastAsia="仿宋" w:cs="仿宋"/>
          <w:color w:val="auto"/>
          <w:sz w:val="24"/>
          <w:szCs w:val="24"/>
          <w:highlight w:val="none"/>
        </w:rPr>
        <w:t>经合法审计机构出具的年度财务审计报告，</w:t>
      </w:r>
      <w:r>
        <w:rPr>
          <w:rFonts w:hint="eastAsia" w:ascii="仿宋" w:hAnsi="仿宋" w:eastAsia="仿宋" w:cs="仿宋"/>
          <w:b/>
          <w:bCs/>
          <w:color w:val="auto"/>
          <w:sz w:val="24"/>
          <w:szCs w:val="24"/>
          <w:highlight w:val="none"/>
        </w:rPr>
        <w:t>审计报告应包括资产负债表、利润表、现金流量表及财务报表附注，财务审计报告应盖有会计师事务所单位章和注册会计师的执业专用章，并附会计师事务所的营业执照及会计师事务所的执业证书复印件，成立年限不足一个会计年度的</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提供近期财务报表或投标前3个月银行出具的存款证明等证明文件(</w:t>
      </w:r>
      <w:r>
        <w:rPr>
          <w:rFonts w:hint="eastAsia" w:ascii="仿宋" w:hAnsi="仿宋" w:eastAsia="仿宋" w:cs="仿宋"/>
          <w:b/>
          <w:bCs/>
          <w:color w:val="auto"/>
          <w:kern w:val="0"/>
          <w:sz w:val="24"/>
          <w:szCs w:val="24"/>
          <w:highlight w:val="none"/>
          <w:shd w:val="clear" w:color="auto" w:fill="FFFFFF"/>
          <w:lang w:eastAsia="zh-CN" w:bidi="ar"/>
        </w:rPr>
        <w:t>扫描件或</w:t>
      </w:r>
      <w:r>
        <w:rPr>
          <w:rFonts w:hint="eastAsia" w:ascii="仿宋" w:hAnsi="仿宋" w:eastAsia="仿宋" w:cs="仿宋"/>
          <w:b/>
          <w:bCs/>
          <w:color w:val="auto"/>
          <w:kern w:val="0"/>
          <w:sz w:val="24"/>
          <w:szCs w:val="24"/>
          <w:highlight w:val="none"/>
          <w:shd w:val="clear" w:color="auto" w:fill="FFFFFF"/>
          <w:lang w:bidi="ar"/>
        </w:rPr>
        <w:t>复印件加盖</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公章）；事业单位等非企业法人可提供具有良好的商业信誉和健全的财务会计制度</w:t>
      </w:r>
      <w:r>
        <w:rPr>
          <w:rFonts w:hint="eastAsia" w:ascii="仿宋" w:hAnsi="仿宋" w:eastAsia="仿宋" w:cs="仿宋"/>
          <w:b/>
          <w:bCs/>
          <w:color w:val="auto"/>
          <w:kern w:val="0"/>
          <w:sz w:val="24"/>
          <w:szCs w:val="24"/>
          <w:highlight w:val="none"/>
          <w:shd w:val="clear" w:color="auto" w:fill="FFFFFF"/>
          <w:lang w:eastAsia="zh-CN" w:bidi="ar"/>
        </w:rPr>
        <w:t>的承诺并加盖供应商单位公章</w:t>
      </w:r>
      <w:r>
        <w:rPr>
          <w:rFonts w:hint="eastAsia" w:ascii="仿宋" w:hAnsi="仿宋" w:eastAsia="仿宋" w:cs="仿宋"/>
          <w:color w:val="auto"/>
          <w:kern w:val="0"/>
          <w:sz w:val="24"/>
          <w:szCs w:val="24"/>
          <w:highlight w:val="none"/>
          <w:shd w:val="clear" w:color="auto" w:fill="FFFFFF"/>
          <w:lang w:bidi="ar"/>
        </w:rPr>
        <w:t>；</w:t>
      </w:r>
    </w:p>
    <w:p w14:paraId="08C8D116">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③</w:t>
      </w:r>
      <w:r>
        <w:rPr>
          <w:rFonts w:hint="eastAsia" w:ascii="仿宋" w:hAnsi="仿宋" w:eastAsia="仿宋" w:cs="仿宋"/>
          <w:color w:val="auto"/>
          <w:kern w:val="0"/>
          <w:sz w:val="24"/>
          <w:szCs w:val="24"/>
          <w:highlight w:val="none"/>
          <w:shd w:val="clear" w:color="auto" w:fill="FFFFFF"/>
          <w:lang w:bidi="ar"/>
        </w:rPr>
        <w:t>具有依法缴纳税收和社会保障资金的良好记录：</w:t>
      </w:r>
      <w:r>
        <w:rPr>
          <w:rFonts w:hint="eastAsia" w:ascii="仿宋" w:hAnsi="仿宋" w:eastAsia="仿宋" w:cs="仿宋"/>
          <w:b/>
          <w:bCs/>
          <w:color w:val="auto"/>
          <w:kern w:val="0"/>
          <w:sz w:val="24"/>
          <w:szCs w:val="24"/>
          <w:highlight w:val="none"/>
          <w:shd w:val="clear" w:color="auto" w:fill="FFFFFF"/>
          <w:lang w:bidi="ar"/>
        </w:rPr>
        <w:t>提供202</w:t>
      </w:r>
      <w:r>
        <w:rPr>
          <w:rFonts w:hint="eastAsia" w:ascii="仿宋" w:hAnsi="仿宋" w:eastAsia="仿宋" w:cs="仿宋"/>
          <w:b/>
          <w:bCs/>
          <w:color w:val="auto"/>
          <w:kern w:val="0"/>
          <w:sz w:val="24"/>
          <w:szCs w:val="24"/>
          <w:highlight w:val="none"/>
          <w:shd w:val="clear" w:color="auto" w:fill="FFFFFF"/>
          <w:lang w:val="en-US" w:eastAsia="zh-CN" w:bidi="ar"/>
        </w:rPr>
        <w:t>4</w:t>
      </w:r>
      <w:r>
        <w:rPr>
          <w:rFonts w:hint="eastAsia" w:ascii="仿宋" w:hAnsi="仿宋" w:eastAsia="仿宋" w:cs="仿宋"/>
          <w:b/>
          <w:bCs/>
          <w:color w:val="auto"/>
          <w:kern w:val="0"/>
          <w:sz w:val="24"/>
          <w:szCs w:val="24"/>
          <w:highlight w:val="none"/>
          <w:shd w:val="clear" w:color="auto" w:fill="FFFFFF"/>
          <w:lang w:bidi="ar"/>
        </w:rPr>
        <w:t>年</w:t>
      </w:r>
      <w:r>
        <w:rPr>
          <w:rFonts w:hint="eastAsia" w:ascii="仿宋" w:hAnsi="仿宋" w:eastAsia="仿宋" w:cs="仿宋"/>
          <w:b/>
          <w:bCs/>
          <w:color w:val="auto"/>
          <w:kern w:val="0"/>
          <w:sz w:val="24"/>
          <w:szCs w:val="24"/>
          <w:highlight w:val="none"/>
          <w:shd w:val="clear" w:color="auto" w:fill="FFFFFF"/>
          <w:lang w:val="en-US" w:eastAsia="zh-CN" w:bidi="ar"/>
        </w:rPr>
        <w:t>10月至投标文件递交截止时间</w:t>
      </w:r>
      <w:r>
        <w:rPr>
          <w:rFonts w:hint="eastAsia" w:ascii="仿宋" w:hAnsi="仿宋" w:eastAsia="仿宋" w:cs="仿宋"/>
          <w:b/>
          <w:bCs/>
          <w:color w:val="auto"/>
          <w:kern w:val="0"/>
          <w:sz w:val="24"/>
          <w:szCs w:val="24"/>
          <w:highlight w:val="none"/>
          <w:shd w:val="clear" w:color="auto" w:fill="FFFFFF"/>
          <w:lang w:bidi="ar"/>
        </w:rPr>
        <w:t>任意</w:t>
      </w:r>
      <w:r>
        <w:rPr>
          <w:rFonts w:hint="eastAsia" w:ascii="仿宋" w:hAnsi="仿宋" w:eastAsia="仿宋" w:cs="仿宋"/>
          <w:b/>
          <w:bCs/>
          <w:color w:val="auto"/>
          <w:kern w:val="0"/>
          <w:sz w:val="24"/>
          <w:szCs w:val="24"/>
          <w:highlight w:val="none"/>
          <w:shd w:val="clear" w:color="auto" w:fill="FFFFFF"/>
          <w:lang w:val="en-US" w:eastAsia="zh-CN" w:bidi="ar"/>
        </w:rPr>
        <w:t>3</w:t>
      </w:r>
      <w:r>
        <w:rPr>
          <w:rFonts w:hint="eastAsia" w:ascii="仿宋" w:hAnsi="仿宋" w:eastAsia="仿宋" w:cs="仿宋"/>
          <w:b/>
          <w:bCs/>
          <w:color w:val="auto"/>
          <w:kern w:val="0"/>
          <w:sz w:val="24"/>
          <w:szCs w:val="24"/>
          <w:highlight w:val="none"/>
          <w:shd w:val="clear" w:color="auto" w:fill="FFFFFF"/>
          <w:lang w:bidi="ar"/>
        </w:rPr>
        <w:t>个月依法缴纳税收和社会保障资金的有效证明材料(</w:t>
      </w:r>
      <w:r>
        <w:rPr>
          <w:rFonts w:hint="eastAsia" w:ascii="仿宋" w:hAnsi="仿宋" w:eastAsia="仿宋" w:cs="仿宋"/>
          <w:b/>
          <w:bCs/>
          <w:color w:val="auto"/>
          <w:kern w:val="0"/>
          <w:sz w:val="24"/>
          <w:szCs w:val="24"/>
          <w:highlight w:val="none"/>
          <w:shd w:val="clear" w:color="auto" w:fill="FFFFFF"/>
          <w:lang w:eastAsia="zh-CN" w:bidi="ar"/>
        </w:rPr>
        <w:t>扫描件或</w:t>
      </w:r>
      <w:r>
        <w:rPr>
          <w:rFonts w:hint="eastAsia" w:ascii="仿宋" w:hAnsi="仿宋" w:eastAsia="仿宋" w:cs="仿宋"/>
          <w:b/>
          <w:bCs/>
          <w:color w:val="auto"/>
          <w:kern w:val="0"/>
          <w:sz w:val="24"/>
          <w:szCs w:val="24"/>
          <w:highlight w:val="none"/>
          <w:shd w:val="clear" w:color="auto" w:fill="FFFFFF"/>
          <w:lang w:bidi="ar"/>
        </w:rPr>
        <w:t>复印件加盖</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公章）（事业单位等非企业法人可提供</w:t>
      </w:r>
      <w:r>
        <w:rPr>
          <w:rFonts w:hint="eastAsia" w:ascii="仿宋" w:hAnsi="仿宋" w:eastAsia="仿宋" w:cs="仿宋"/>
          <w:b/>
          <w:bCs/>
          <w:color w:val="auto"/>
          <w:kern w:val="0"/>
          <w:sz w:val="24"/>
          <w:szCs w:val="24"/>
          <w:highlight w:val="none"/>
          <w:shd w:val="clear" w:color="auto" w:fill="FFFFFF"/>
          <w:lang w:eastAsia="zh-CN" w:bidi="ar"/>
        </w:rPr>
        <w:t>具有依法缴纳税收和社会保障资金的良好记录的承诺并加盖供应商单位公章</w:t>
      </w:r>
      <w:r>
        <w:rPr>
          <w:rFonts w:hint="eastAsia" w:ascii="仿宋" w:hAnsi="仿宋" w:eastAsia="仿宋" w:cs="仿宋"/>
          <w:b/>
          <w:bCs/>
          <w:color w:val="auto"/>
          <w:kern w:val="0"/>
          <w:sz w:val="24"/>
          <w:szCs w:val="24"/>
          <w:highlight w:val="none"/>
          <w:shd w:val="clear" w:color="auto" w:fill="FFFFFF"/>
          <w:lang w:bidi="ar"/>
        </w:rPr>
        <w:t>，其他依法免税或不需要缴纳社保资金的</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提供相应证明文件）</w:t>
      </w:r>
      <w:r>
        <w:rPr>
          <w:rFonts w:hint="eastAsia" w:ascii="仿宋" w:hAnsi="仿宋" w:eastAsia="仿宋" w:cs="仿宋"/>
          <w:color w:val="auto"/>
          <w:kern w:val="0"/>
          <w:sz w:val="24"/>
          <w:szCs w:val="24"/>
          <w:highlight w:val="none"/>
          <w:shd w:val="clear" w:color="auto" w:fill="FFFFFF"/>
          <w:lang w:eastAsia="zh-CN" w:bidi="ar"/>
        </w:rPr>
        <w:t>；</w:t>
      </w:r>
    </w:p>
    <w:p w14:paraId="29EB31F2">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④</w:t>
      </w:r>
      <w:r>
        <w:rPr>
          <w:rFonts w:hint="eastAsia" w:ascii="仿宋" w:hAnsi="仿宋" w:eastAsia="仿宋" w:cs="仿宋"/>
          <w:color w:val="auto"/>
          <w:kern w:val="0"/>
          <w:sz w:val="24"/>
          <w:szCs w:val="24"/>
          <w:highlight w:val="none"/>
          <w:shd w:val="clear" w:color="auto" w:fill="FFFFFF"/>
          <w:lang w:bidi="ar"/>
        </w:rPr>
        <w:t>具有履行合同所</w:t>
      </w:r>
      <w:r>
        <w:rPr>
          <w:rFonts w:hint="eastAsia" w:ascii="仿宋" w:hAnsi="仿宋" w:eastAsia="仿宋" w:cs="仿宋"/>
          <w:color w:val="auto"/>
          <w:kern w:val="0"/>
          <w:sz w:val="24"/>
          <w:szCs w:val="24"/>
          <w:highlight w:val="none"/>
          <w:shd w:val="clear" w:color="auto" w:fill="FFFFFF"/>
          <w:lang w:eastAsia="zh-CN" w:bidi="ar"/>
        </w:rPr>
        <w:t>必需</w:t>
      </w:r>
      <w:r>
        <w:rPr>
          <w:rFonts w:hint="eastAsia" w:ascii="仿宋" w:hAnsi="仿宋" w:eastAsia="仿宋" w:cs="仿宋"/>
          <w:color w:val="auto"/>
          <w:kern w:val="0"/>
          <w:sz w:val="24"/>
          <w:szCs w:val="24"/>
          <w:highlight w:val="none"/>
          <w:shd w:val="clear" w:color="auto" w:fill="FFFFFF"/>
          <w:lang w:bidi="ar"/>
        </w:rPr>
        <w:t>的</w:t>
      </w:r>
      <w:r>
        <w:rPr>
          <w:rFonts w:hint="eastAsia" w:ascii="仿宋" w:hAnsi="仿宋" w:eastAsia="仿宋" w:cs="仿宋"/>
          <w:color w:val="auto"/>
          <w:kern w:val="0"/>
          <w:sz w:val="24"/>
          <w:szCs w:val="24"/>
          <w:highlight w:val="none"/>
          <w:shd w:val="clear" w:color="auto" w:fill="FFFFFF"/>
          <w:lang w:eastAsia="zh-CN" w:bidi="ar"/>
        </w:rPr>
        <w:t>设备和</w:t>
      </w:r>
      <w:r>
        <w:rPr>
          <w:rFonts w:hint="eastAsia" w:ascii="仿宋" w:hAnsi="仿宋" w:eastAsia="仿宋" w:cs="仿宋"/>
          <w:color w:val="auto"/>
          <w:kern w:val="0"/>
          <w:sz w:val="24"/>
          <w:szCs w:val="24"/>
          <w:highlight w:val="none"/>
          <w:shd w:val="clear" w:color="auto" w:fill="FFFFFF"/>
          <w:lang w:bidi="ar"/>
        </w:rPr>
        <w:t>专业技术能力：提供承诺</w:t>
      </w:r>
      <w:r>
        <w:rPr>
          <w:rFonts w:hint="eastAsia" w:ascii="仿宋" w:hAnsi="仿宋" w:eastAsia="仿宋" w:cs="仿宋"/>
          <w:b/>
          <w:bCs/>
          <w:color w:val="auto"/>
          <w:kern w:val="0"/>
          <w:sz w:val="24"/>
          <w:szCs w:val="24"/>
          <w:highlight w:val="none"/>
          <w:shd w:val="clear" w:color="auto" w:fill="FFFFFF"/>
          <w:lang w:bidi="ar"/>
        </w:rPr>
        <w:t>（</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自行承诺，格式自拟，并加盖</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单位公章）</w:t>
      </w:r>
      <w:r>
        <w:rPr>
          <w:rFonts w:hint="eastAsia" w:ascii="仿宋" w:hAnsi="仿宋" w:eastAsia="仿宋" w:cs="仿宋"/>
          <w:color w:val="auto"/>
          <w:kern w:val="0"/>
          <w:sz w:val="24"/>
          <w:szCs w:val="24"/>
          <w:highlight w:val="none"/>
          <w:shd w:val="clear" w:color="auto" w:fill="FFFFFF"/>
          <w:lang w:bidi="ar"/>
        </w:rPr>
        <w:t>；</w:t>
      </w:r>
    </w:p>
    <w:p w14:paraId="45991E07">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fill="FFFFFF"/>
          <w:lang w:val="en-US" w:eastAsia="zh-CN" w:bidi="ar"/>
        </w:rPr>
        <w:t>⑤</w:t>
      </w:r>
      <w:r>
        <w:rPr>
          <w:rFonts w:hint="eastAsia" w:ascii="仿宋" w:hAnsi="仿宋" w:eastAsia="仿宋" w:cs="仿宋"/>
          <w:color w:val="auto"/>
          <w:kern w:val="0"/>
          <w:sz w:val="24"/>
          <w:szCs w:val="24"/>
          <w:highlight w:val="none"/>
          <w:shd w:val="clear" w:color="auto" w:fill="FFFFFF"/>
          <w:lang w:bidi="ar"/>
        </w:rPr>
        <w:t>参加本次政府采购活动前三年内，在经营活动中没有违法违规记录：提供参加政府采购活动前3年内在经营活动中没有重大违法记录的书面声明</w:t>
      </w:r>
      <w:r>
        <w:rPr>
          <w:rFonts w:hint="eastAsia" w:ascii="仿宋" w:hAnsi="仿宋" w:eastAsia="仿宋" w:cs="仿宋"/>
          <w:b/>
          <w:bCs/>
          <w:color w:val="auto"/>
          <w:kern w:val="0"/>
          <w:sz w:val="24"/>
          <w:szCs w:val="24"/>
          <w:highlight w:val="none"/>
          <w:shd w:val="clear" w:color="auto" w:fill="FFFFFF"/>
          <w:lang w:bidi="ar"/>
        </w:rPr>
        <w:t>（</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自行声明，格式自拟，并加盖</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单位公章）</w:t>
      </w:r>
      <w:r>
        <w:rPr>
          <w:rFonts w:hint="eastAsia" w:ascii="仿宋" w:hAnsi="仿宋" w:eastAsia="仿宋" w:cs="仿宋"/>
          <w:color w:val="auto"/>
          <w:kern w:val="0"/>
          <w:sz w:val="24"/>
          <w:szCs w:val="24"/>
          <w:highlight w:val="none"/>
          <w:shd w:val="clear" w:color="auto" w:fill="FFFFFF"/>
          <w:lang w:bidi="ar"/>
        </w:rPr>
        <w:t>；</w:t>
      </w:r>
    </w:p>
    <w:p w14:paraId="60015783">
      <w:pPr>
        <w:keepNext w:val="0"/>
        <w:keepLines w:val="0"/>
        <w:pageBreakBefore w:val="0"/>
        <w:widowControl/>
        <w:shd w:val="clear" w:color="auto"/>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⑥</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bidi="ar"/>
        </w:rPr>
        <w:t>法律、行政法规规定的其他条件：对列入失信被执行人、重大税收违法案件当事人名单、政府采购严重违法失信行为记录名单的</w:t>
      </w:r>
      <w:r>
        <w:rPr>
          <w:rFonts w:hint="eastAsia" w:ascii="仿宋" w:hAnsi="仿宋" w:eastAsia="仿宋" w:cs="仿宋"/>
          <w:color w:val="auto"/>
          <w:kern w:val="0"/>
          <w:sz w:val="24"/>
          <w:szCs w:val="24"/>
          <w:highlight w:val="none"/>
          <w:shd w:val="clear" w:color="auto" w:fill="FFFFFF"/>
          <w:lang w:eastAsia="zh-CN" w:bidi="ar"/>
        </w:rPr>
        <w:t>供应商</w:t>
      </w:r>
      <w:r>
        <w:rPr>
          <w:rFonts w:hint="eastAsia" w:ascii="仿宋" w:hAnsi="仿宋" w:eastAsia="仿宋" w:cs="仿宋"/>
          <w:color w:val="auto"/>
          <w:kern w:val="0"/>
          <w:sz w:val="24"/>
          <w:szCs w:val="24"/>
          <w:highlight w:val="none"/>
          <w:shd w:val="clear" w:color="auto" w:fill="FFFFFF"/>
          <w:lang w:bidi="ar"/>
        </w:rPr>
        <w:t>，拒绝其参与投标。开标后资格审查人员将通过“信用中国”网站 （www.creditchina.gov.cn）及中国政府采购网（ http</w:t>
      </w:r>
      <w:r>
        <w:rPr>
          <w:rFonts w:hint="eastAsia" w:ascii="仿宋" w:hAnsi="仿宋" w:eastAsia="仿宋" w:cs="仿宋"/>
          <w:color w:val="auto"/>
          <w:kern w:val="0"/>
          <w:sz w:val="24"/>
          <w:szCs w:val="24"/>
          <w:highlight w:val="none"/>
          <w:shd w:val="clear" w:color="auto" w:fill="FFFFFF"/>
          <w:lang w:eastAsia="zh-CN" w:bidi="ar"/>
        </w:rPr>
        <w:t>：</w:t>
      </w:r>
      <w:r>
        <w:rPr>
          <w:rFonts w:hint="eastAsia" w:ascii="仿宋" w:hAnsi="仿宋" w:eastAsia="仿宋" w:cs="仿宋"/>
          <w:color w:val="auto"/>
          <w:kern w:val="0"/>
          <w:sz w:val="24"/>
          <w:szCs w:val="24"/>
          <w:highlight w:val="none"/>
          <w:shd w:val="clear" w:color="auto" w:fill="FFFFFF"/>
          <w:lang w:bidi="ar"/>
        </w:rPr>
        <w:t>//www.ccgp.gov.cn/cr/list）对</w:t>
      </w:r>
      <w:r>
        <w:rPr>
          <w:rFonts w:hint="eastAsia" w:ascii="仿宋" w:hAnsi="仿宋" w:eastAsia="仿宋" w:cs="仿宋"/>
          <w:color w:val="auto"/>
          <w:kern w:val="0"/>
          <w:sz w:val="24"/>
          <w:szCs w:val="24"/>
          <w:highlight w:val="none"/>
          <w:shd w:val="clear" w:color="auto" w:fill="FFFFFF"/>
          <w:lang w:eastAsia="zh-CN" w:bidi="ar"/>
        </w:rPr>
        <w:t>供应商</w:t>
      </w:r>
      <w:r>
        <w:rPr>
          <w:rFonts w:hint="eastAsia" w:ascii="仿宋" w:hAnsi="仿宋" w:eastAsia="仿宋" w:cs="仿宋"/>
          <w:color w:val="auto"/>
          <w:kern w:val="0"/>
          <w:sz w:val="24"/>
          <w:szCs w:val="24"/>
          <w:highlight w:val="none"/>
          <w:shd w:val="clear" w:color="auto" w:fill="FFFFFF"/>
          <w:lang w:bidi="ar"/>
        </w:rPr>
        <w:t>进行查询，若发现</w:t>
      </w:r>
      <w:r>
        <w:rPr>
          <w:rFonts w:hint="eastAsia" w:ascii="仿宋" w:hAnsi="仿宋" w:eastAsia="仿宋" w:cs="仿宋"/>
          <w:color w:val="auto"/>
          <w:kern w:val="0"/>
          <w:sz w:val="24"/>
          <w:szCs w:val="24"/>
          <w:highlight w:val="none"/>
          <w:shd w:val="clear" w:color="auto" w:fill="FFFFFF"/>
          <w:lang w:eastAsia="zh-CN" w:bidi="ar"/>
        </w:rPr>
        <w:t>供应商</w:t>
      </w:r>
      <w:r>
        <w:rPr>
          <w:rFonts w:hint="eastAsia" w:ascii="仿宋" w:hAnsi="仿宋" w:eastAsia="仿宋" w:cs="仿宋"/>
          <w:color w:val="auto"/>
          <w:kern w:val="0"/>
          <w:sz w:val="24"/>
          <w:szCs w:val="24"/>
          <w:highlight w:val="none"/>
          <w:shd w:val="clear" w:color="auto" w:fill="FFFFFF"/>
          <w:lang w:bidi="ar"/>
        </w:rPr>
        <w:t>为被列入失信被执行人、重大税收违法案件当事人名单、政府采购严重违法失信行为记录名单，将取消其投标资格。</w:t>
      </w:r>
    </w:p>
    <w:p w14:paraId="6F1E0D51">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⑦ </w:t>
      </w:r>
      <w:r>
        <w:rPr>
          <w:rFonts w:hint="eastAsia" w:ascii="仿宋" w:hAnsi="仿宋" w:eastAsia="仿宋" w:cs="仿宋"/>
          <w:color w:val="auto"/>
          <w:sz w:val="24"/>
          <w:szCs w:val="24"/>
          <w:highlight w:val="none"/>
        </w:rPr>
        <w:t>本项目</w:t>
      </w:r>
      <w:r>
        <w:rPr>
          <w:rFonts w:hint="eastAsia" w:ascii="仿宋" w:hAnsi="仿宋" w:eastAsia="仿宋" w:cs="仿宋"/>
          <w:b/>
          <w:bCs/>
          <w:color w:val="auto"/>
          <w:sz w:val="24"/>
          <w:szCs w:val="24"/>
          <w:highlight w:val="none"/>
          <w:u w:val="single"/>
        </w:rPr>
        <w:t>不接受</w:t>
      </w:r>
      <w:r>
        <w:rPr>
          <w:rFonts w:hint="eastAsia" w:ascii="仿宋" w:hAnsi="仿宋" w:eastAsia="仿宋" w:cs="仿宋"/>
          <w:color w:val="auto"/>
          <w:sz w:val="24"/>
          <w:szCs w:val="24"/>
          <w:highlight w:val="none"/>
        </w:rPr>
        <w:t>联合体投标</w:t>
      </w:r>
      <w:r>
        <w:rPr>
          <w:rFonts w:hint="eastAsia" w:ascii="仿宋" w:hAnsi="仿宋" w:eastAsia="仿宋" w:cs="仿宋"/>
          <w:color w:val="auto"/>
          <w:sz w:val="24"/>
          <w:szCs w:val="24"/>
          <w:highlight w:val="none"/>
          <w:lang w:eastAsia="zh-CN"/>
        </w:rPr>
        <w:t>。</w:t>
      </w:r>
    </w:p>
    <w:p w14:paraId="7FDEBCC9">
      <w:pPr>
        <w:keepNext w:val="0"/>
        <w:keepLines w:val="0"/>
        <w:pageBreakBefore w:val="0"/>
        <w:widowControl/>
        <w:shd w:val="clear" w:color="auto"/>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shd w:val="clear" w:color="auto" w:fill="FFFFFF"/>
          <w:lang w:bidi="ar"/>
        </w:rPr>
        <w:t>2. 特殊资格要求</w:t>
      </w:r>
      <w:r>
        <w:rPr>
          <w:rFonts w:hint="eastAsia" w:ascii="仿宋" w:hAnsi="仿宋" w:eastAsia="仿宋" w:cs="仿宋"/>
          <w:color w:val="auto"/>
          <w:kern w:val="0"/>
          <w:sz w:val="24"/>
          <w:szCs w:val="24"/>
          <w:highlight w:val="none"/>
          <w:shd w:val="clear" w:color="auto" w:fill="FFFFFF"/>
          <w:lang w:eastAsia="zh-CN" w:bidi="ar"/>
        </w:rPr>
        <w:t>：</w:t>
      </w:r>
    </w:p>
    <w:p w14:paraId="1B7359C9">
      <w:pPr>
        <w:keepNext w:val="0"/>
        <w:keepLines w:val="0"/>
        <w:pageBreakBefore w:val="0"/>
        <w:widowControl/>
        <w:shd w:val="clear"/>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kern w:val="0"/>
          <w:sz w:val="24"/>
          <w:szCs w:val="24"/>
          <w:highlight w:val="none"/>
          <w:shd w:val="clear" w:color="auto" w:fill="FFFFFF"/>
          <w:lang w:val="en-US" w:eastAsia="zh-CN" w:bidi="ar"/>
        </w:rPr>
      </w:pPr>
      <w:r>
        <w:rPr>
          <w:rFonts w:hint="eastAsia" w:ascii="仿宋" w:hAnsi="仿宋" w:eastAsia="仿宋" w:cs="仿宋"/>
          <w:color w:val="auto"/>
          <w:kern w:val="0"/>
          <w:sz w:val="24"/>
          <w:szCs w:val="24"/>
          <w:highlight w:val="none"/>
          <w:shd w:val="clear" w:color="auto" w:fill="FFFFFF"/>
          <w:lang w:val="en-US" w:eastAsia="zh-CN" w:bidi="ar"/>
        </w:rPr>
        <w:t>供应商具有有效的网络安全等级测评与检测评估机构服务认证证书。</w:t>
      </w:r>
    </w:p>
    <w:p w14:paraId="6E33244C">
      <w:r>
        <w:br w:type="page"/>
      </w:r>
    </w:p>
    <w:p w14:paraId="15F35BC4">
      <w:pPr>
        <w:pStyle w:val="2"/>
        <w:bidi w:val="0"/>
        <w:rPr>
          <w:rFonts w:hint="eastAsia" w:ascii="仿宋" w:hAnsi="仿宋" w:eastAsia="仿宋" w:cs="仿宋"/>
          <w:highlight w:val="none"/>
        </w:rPr>
      </w:pPr>
      <w:bookmarkStart w:id="0" w:name="_Toc25949"/>
      <w:bookmarkStart w:id="1" w:name="_Toc5694"/>
      <w:r>
        <w:rPr>
          <w:rFonts w:hint="eastAsia" w:ascii="仿宋" w:hAnsi="仿宋" w:cs="仿宋"/>
          <w:highlight w:val="none"/>
          <w:lang w:val="en-US" w:eastAsia="zh-CN"/>
        </w:rPr>
        <w:t xml:space="preserve">第二章 </w:t>
      </w:r>
      <w:r>
        <w:rPr>
          <w:rFonts w:hint="eastAsia" w:ascii="仿宋" w:hAnsi="仿宋" w:eastAsia="仿宋" w:cs="仿宋"/>
          <w:highlight w:val="none"/>
          <w:lang w:val="en-US" w:eastAsia="zh-CN"/>
        </w:rPr>
        <w:t>供应商须知</w:t>
      </w:r>
      <w:bookmarkEnd w:id="0"/>
      <w:bookmarkEnd w:id="1"/>
    </w:p>
    <w:p w14:paraId="4471C257">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供应商须知前附表 </w:t>
      </w:r>
    </w:p>
    <w:tbl>
      <w:tblPr>
        <w:tblStyle w:val="7"/>
        <w:tblW w:w="9456"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787"/>
        <w:gridCol w:w="6725"/>
      </w:tblGrid>
      <w:tr w14:paraId="122F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0C7C88D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vertAlign w:val="baseline"/>
              </w:rPr>
            </w:pPr>
            <w:r>
              <w:rPr>
                <w:rFonts w:hint="eastAsia" w:ascii="仿宋" w:hAnsi="仿宋" w:eastAsia="仿宋" w:cs="仿宋"/>
                <w:b/>
                <w:color w:val="auto"/>
                <w:sz w:val="24"/>
                <w:szCs w:val="24"/>
                <w:highlight w:val="none"/>
                <w:vertAlign w:val="baseline"/>
              </w:rPr>
              <w:t>条款号</w:t>
            </w:r>
          </w:p>
        </w:tc>
        <w:tc>
          <w:tcPr>
            <w:tcW w:w="1787" w:type="dxa"/>
            <w:vAlign w:val="center"/>
          </w:tcPr>
          <w:p w14:paraId="24819F2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vertAlign w:val="baseline"/>
              </w:rPr>
            </w:pPr>
            <w:r>
              <w:rPr>
                <w:rFonts w:hint="eastAsia" w:ascii="仿宋" w:hAnsi="仿宋" w:eastAsia="仿宋" w:cs="仿宋"/>
                <w:b/>
                <w:color w:val="auto"/>
                <w:sz w:val="24"/>
                <w:szCs w:val="24"/>
                <w:highlight w:val="none"/>
                <w:vertAlign w:val="baseline"/>
              </w:rPr>
              <w:t>内 容</w:t>
            </w:r>
          </w:p>
        </w:tc>
        <w:tc>
          <w:tcPr>
            <w:tcW w:w="6725" w:type="dxa"/>
            <w:vAlign w:val="center"/>
          </w:tcPr>
          <w:p w14:paraId="36A1CF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vertAlign w:val="baseline"/>
              </w:rPr>
            </w:pPr>
            <w:r>
              <w:rPr>
                <w:rFonts w:hint="eastAsia" w:ascii="仿宋" w:hAnsi="仿宋" w:eastAsia="仿宋" w:cs="仿宋"/>
                <w:b/>
                <w:color w:val="auto"/>
                <w:sz w:val="24"/>
                <w:szCs w:val="24"/>
                <w:highlight w:val="none"/>
                <w:vertAlign w:val="baseline"/>
              </w:rPr>
              <w:t>说明与要求</w:t>
            </w:r>
          </w:p>
        </w:tc>
      </w:tr>
      <w:tr w14:paraId="0C14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0964598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1</w:t>
            </w:r>
          </w:p>
        </w:tc>
        <w:tc>
          <w:tcPr>
            <w:tcW w:w="1787" w:type="dxa"/>
            <w:shd w:val="clear" w:color="auto" w:fill="auto"/>
            <w:vAlign w:val="center"/>
          </w:tcPr>
          <w:p w14:paraId="4E2764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highlight w:val="none"/>
                <w:lang w:val="en-US" w:eastAsia="zh-CN" w:bidi="ar"/>
              </w:rPr>
              <w:t>项目名称</w:t>
            </w:r>
          </w:p>
        </w:tc>
        <w:tc>
          <w:tcPr>
            <w:tcW w:w="6725" w:type="dxa"/>
            <w:shd w:val="clear" w:color="auto" w:fill="auto"/>
            <w:vAlign w:val="center"/>
          </w:tcPr>
          <w:p w14:paraId="51B22E8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b/>
                <w:color w:val="auto"/>
                <w:sz w:val="24"/>
                <w:szCs w:val="24"/>
                <w:highlight w:val="none"/>
                <w:vertAlign w:val="baseline"/>
                <w:lang w:eastAsia="zh-CN"/>
              </w:rPr>
              <w:t>贵州省价格监测预警系统项目标包4（二次）</w:t>
            </w:r>
          </w:p>
        </w:tc>
      </w:tr>
      <w:tr w14:paraId="23D5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5731463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2</w:t>
            </w:r>
          </w:p>
        </w:tc>
        <w:tc>
          <w:tcPr>
            <w:tcW w:w="1787" w:type="dxa"/>
            <w:shd w:val="clear" w:color="auto" w:fill="auto"/>
            <w:vAlign w:val="center"/>
          </w:tcPr>
          <w:p w14:paraId="6E7C0A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highlight w:val="none"/>
                <w:lang w:val="en-US" w:eastAsia="zh-CN" w:bidi="ar"/>
              </w:rPr>
              <w:t>项目编号</w:t>
            </w:r>
          </w:p>
        </w:tc>
        <w:tc>
          <w:tcPr>
            <w:tcW w:w="6725" w:type="dxa"/>
            <w:shd w:val="clear" w:color="auto" w:fill="auto"/>
            <w:vAlign w:val="center"/>
          </w:tcPr>
          <w:p w14:paraId="107DCBC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kern w:val="0"/>
                <w:sz w:val="24"/>
                <w:szCs w:val="24"/>
                <w:highlight w:val="none"/>
                <w:lang w:val="en-US" w:eastAsia="zh-CN" w:bidi="ar"/>
              </w:rPr>
            </w:pPr>
          </w:p>
        </w:tc>
      </w:tr>
      <w:tr w14:paraId="125A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0A706C0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3</w:t>
            </w:r>
          </w:p>
        </w:tc>
        <w:tc>
          <w:tcPr>
            <w:tcW w:w="1787" w:type="dxa"/>
            <w:vAlign w:val="center"/>
          </w:tcPr>
          <w:p w14:paraId="15BAAE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采购人信息</w:t>
            </w:r>
          </w:p>
        </w:tc>
        <w:tc>
          <w:tcPr>
            <w:tcW w:w="6725" w:type="dxa"/>
            <w:shd w:val="clear" w:color="auto" w:fill="auto"/>
            <w:vAlign w:val="center"/>
          </w:tcPr>
          <w:p w14:paraId="02937F1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名称：贵州省发展和改革委员会 </w:t>
            </w:r>
          </w:p>
          <w:p w14:paraId="329AC79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sz w:val="24"/>
                <w:szCs w:val="24"/>
                <w:highlight w:val="none"/>
              </w:rPr>
              <w:t>贵阳市观山湖区林城西路盘江集团A座</w:t>
            </w:r>
          </w:p>
          <w:p w14:paraId="51FFA2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项目联系人：</w:t>
            </w:r>
            <w:ins w:id="0" w:author="梦丶初醒" w:date="2025-06-23T18:51:08Z">
              <w:r>
                <w:rPr>
                  <w:rFonts w:hint="eastAsia" w:ascii="仿宋" w:hAnsi="仿宋" w:eastAsia="仿宋" w:cs="仿宋"/>
                  <w:color w:val="auto"/>
                  <w:kern w:val="0"/>
                  <w:sz w:val="24"/>
                  <w:szCs w:val="24"/>
                  <w:highlight w:val="none"/>
                  <w:lang w:val="en-US" w:eastAsia="zh-CN" w:bidi="ar"/>
                </w:rPr>
                <w:t>彭老师</w:t>
              </w:r>
            </w:ins>
            <w:r>
              <w:rPr>
                <w:rFonts w:hint="eastAsia" w:ascii="仿宋" w:hAnsi="仿宋" w:eastAsia="仿宋" w:cs="仿宋"/>
                <w:color w:val="auto"/>
                <w:kern w:val="0"/>
                <w:sz w:val="24"/>
                <w:szCs w:val="24"/>
                <w:highlight w:val="none"/>
                <w:lang w:val="en-US" w:eastAsia="zh-CN" w:bidi="ar"/>
              </w:rPr>
              <w:t xml:space="preserve"> </w:t>
            </w:r>
          </w:p>
          <w:p w14:paraId="043AFC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联系方式：</w:t>
            </w:r>
            <w:ins w:id="1" w:author="梦丶初醒" w:date="2025-06-23T18:51:11Z">
              <w:r>
                <w:rPr>
                  <w:rFonts w:hint="eastAsia" w:ascii="仿宋" w:hAnsi="仿宋" w:eastAsia="仿宋" w:cs="仿宋"/>
                  <w:color w:val="auto"/>
                  <w:kern w:val="0"/>
                  <w:sz w:val="24"/>
                  <w:szCs w:val="24"/>
                  <w:highlight w:val="none"/>
                  <w:lang w:val="en-US" w:eastAsia="zh-CN" w:bidi="ar"/>
                </w:rPr>
                <w:t>08</w:t>
              </w:r>
            </w:ins>
            <w:ins w:id="2" w:author="梦丶初醒" w:date="2025-06-23T18:51:12Z">
              <w:r>
                <w:rPr>
                  <w:rFonts w:hint="eastAsia" w:ascii="仿宋" w:hAnsi="仿宋" w:eastAsia="仿宋" w:cs="仿宋"/>
                  <w:color w:val="auto"/>
                  <w:kern w:val="0"/>
                  <w:sz w:val="24"/>
                  <w:szCs w:val="24"/>
                  <w:highlight w:val="none"/>
                  <w:lang w:val="en-US" w:eastAsia="zh-CN" w:bidi="ar"/>
                </w:rPr>
                <w:t>5</w:t>
              </w:r>
            </w:ins>
            <w:ins w:id="3" w:author="梦丶初醒" w:date="2025-06-23T18:51:13Z">
              <w:r>
                <w:rPr>
                  <w:rFonts w:hint="eastAsia" w:ascii="仿宋" w:hAnsi="仿宋" w:eastAsia="仿宋" w:cs="仿宋"/>
                  <w:color w:val="auto"/>
                  <w:kern w:val="0"/>
                  <w:sz w:val="24"/>
                  <w:szCs w:val="24"/>
                  <w:highlight w:val="none"/>
                  <w:lang w:val="en-US" w:eastAsia="zh-CN" w:bidi="ar"/>
                </w:rPr>
                <w:t>1</w:t>
              </w:r>
            </w:ins>
            <w:ins w:id="4" w:author="梦丶初醒" w:date="2025-06-23T18:51:14Z">
              <w:r>
                <w:rPr>
                  <w:rFonts w:hint="eastAsia" w:ascii="仿宋" w:hAnsi="仿宋" w:eastAsia="仿宋" w:cs="仿宋"/>
                  <w:color w:val="auto"/>
                  <w:kern w:val="0"/>
                  <w:sz w:val="24"/>
                  <w:szCs w:val="24"/>
                  <w:highlight w:val="none"/>
                  <w:lang w:val="en-US" w:eastAsia="zh-CN" w:bidi="ar"/>
                </w:rPr>
                <w:t>-</w:t>
              </w:r>
            </w:ins>
            <w:ins w:id="5" w:author="梦丶初醒" w:date="2025-06-23T18:51:15Z">
              <w:r>
                <w:rPr>
                  <w:rFonts w:hint="eastAsia" w:ascii="仿宋" w:hAnsi="仿宋" w:eastAsia="仿宋" w:cs="仿宋"/>
                  <w:color w:val="auto"/>
                  <w:kern w:val="0"/>
                  <w:sz w:val="24"/>
                  <w:szCs w:val="24"/>
                  <w:highlight w:val="none"/>
                  <w:lang w:val="en-US" w:eastAsia="zh-CN" w:bidi="ar"/>
                </w:rPr>
                <w:t>8</w:t>
              </w:r>
            </w:ins>
            <w:ins w:id="6" w:author="梦丶初醒" w:date="2025-06-23T18:51:16Z">
              <w:r>
                <w:rPr>
                  <w:rFonts w:hint="eastAsia" w:ascii="仿宋" w:hAnsi="仿宋" w:eastAsia="仿宋" w:cs="仿宋"/>
                  <w:color w:val="auto"/>
                  <w:kern w:val="0"/>
                  <w:sz w:val="24"/>
                  <w:szCs w:val="24"/>
                  <w:highlight w:val="none"/>
                  <w:lang w:val="en-US" w:eastAsia="zh-CN" w:bidi="ar"/>
                </w:rPr>
                <w:t>52</w:t>
              </w:r>
            </w:ins>
            <w:ins w:id="7" w:author="梦丶初醒" w:date="2025-06-23T18:51:17Z">
              <w:r>
                <w:rPr>
                  <w:rFonts w:hint="eastAsia" w:ascii="仿宋" w:hAnsi="仿宋" w:eastAsia="仿宋" w:cs="仿宋"/>
                  <w:color w:val="auto"/>
                  <w:kern w:val="0"/>
                  <w:sz w:val="24"/>
                  <w:szCs w:val="24"/>
                  <w:highlight w:val="none"/>
                  <w:lang w:val="en-US" w:eastAsia="zh-CN" w:bidi="ar"/>
                </w:rPr>
                <w:t>8</w:t>
              </w:r>
            </w:ins>
            <w:ins w:id="8" w:author="梦丶初醒" w:date="2025-06-23T18:51:19Z">
              <w:r>
                <w:rPr>
                  <w:rFonts w:hint="eastAsia" w:ascii="仿宋" w:hAnsi="仿宋" w:eastAsia="仿宋" w:cs="仿宋"/>
                  <w:color w:val="auto"/>
                  <w:kern w:val="0"/>
                  <w:sz w:val="24"/>
                  <w:szCs w:val="24"/>
                  <w:highlight w:val="none"/>
                  <w:lang w:val="en-US" w:eastAsia="zh-CN" w:bidi="ar"/>
                </w:rPr>
                <w:t>6</w:t>
              </w:r>
            </w:ins>
            <w:ins w:id="9" w:author="梦丶初醒" w:date="2025-06-23T18:51:20Z">
              <w:r>
                <w:rPr>
                  <w:rFonts w:hint="eastAsia" w:ascii="仿宋" w:hAnsi="仿宋" w:eastAsia="仿宋" w:cs="仿宋"/>
                  <w:color w:val="auto"/>
                  <w:kern w:val="0"/>
                  <w:sz w:val="24"/>
                  <w:szCs w:val="24"/>
                  <w:highlight w:val="none"/>
                  <w:lang w:val="en-US" w:eastAsia="zh-CN" w:bidi="ar"/>
                </w:rPr>
                <w:t>910</w:t>
              </w:r>
            </w:ins>
            <w:r>
              <w:rPr>
                <w:rFonts w:hint="eastAsia" w:ascii="仿宋" w:hAnsi="仿宋" w:eastAsia="仿宋" w:cs="仿宋"/>
                <w:color w:val="auto"/>
                <w:kern w:val="0"/>
                <w:sz w:val="24"/>
                <w:szCs w:val="24"/>
                <w:highlight w:val="none"/>
                <w:lang w:val="en-US" w:eastAsia="zh-CN" w:bidi="ar"/>
              </w:rPr>
              <w:t xml:space="preserve">   </w:t>
            </w:r>
          </w:p>
        </w:tc>
      </w:tr>
      <w:tr w14:paraId="5118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4661FD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4</w:t>
            </w:r>
          </w:p>
        </w:tc>
        <w:tc>
          <w:tcPr>
            <w:tcW w:w="1787" w:type="dxa"/>
            <w:vAlign w:val="center"/>
          </w:tcPr>
          <w:p w14:paraId="4EB598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vertAlign w:val="baseline"/>
              </w:rPr>
            </w:pPr>
            <w:r>
              <w:rPr>
                <w:rFonts w:hint="eastAsia" w:ascii="仿宋" w:hAnsi="仿宋" w:eastAsia="仿宋" w:cs="仿宋"/>
                <w:color w:val="auto"/>
                <w:kern w:val="0"/>
                <w:sz w:val="24"/>
                <w:szCs w:val="24"/>
                <w:highlight w:val="none"/>
                <w:lang w:val="en-US" w:eastAsia="zh-CN" w:bidi="ar"/>
              </w:rPr>
              <w:t>采购代理机构</w:t>
            </w:r>
            <w:r>
              <w:rPr>
                <w:rFonts w:hint="eastAsia" w:ascii="仿宋" w:hAnsi="仿宋" w:eastAsia="仿宋" w:cs="仿宋"/>
                <w:b w:val="0"/>
                <w:bCs/>
                <w:color w:val="auto"/>
                <w:sz w:val="24"/>
                <w:szCs w:val="24"/>
                <w:highlight w:val="none"/>
                <w:vertAlign w:val="baseline"/>
                <w:lang w:val="en-US" w:eastAsia="zh-CN"/>
              </w:rPr>
              <w:t>信息</w:t>
            </w:r>
          </w:p>
        </w:tc>
        <w:tc>
          <w:tcPr>
            <w:tcW w:w="6725" w:type="dxa"/>
            <w:shd w:val="clear" w:color="auto" w:fill="auto"/>
            <w:vAlign w:val="center"/>
          </w:tcPr>
          <w:p w14:paraId="009C86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代理全称：普诚正华工程咨询有限公司</w:t>
            </w:r>
          </w:p>
          <w:p w14:paraId="7F84632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kern w:val="0"/>
                <w:sz w:val="24"/>
                <w:szCs w:val="24"/>
                <w:highlight w:val="none"/>
                <w:shd w:val="clear" w:color="auto" w:fill="FFFFFF"/>
                <w:lang w:eastAsia="zh-CN" w:bidi="ar"/>
              </w:rPr>
            </w:pPr>
            <w:r>
              <w:rPr>
                <w:rFonts w:hint="eastAsia" w:ascii="仿宋" w:hAnsi="仿宋" w:eastAsia="仿宋" w:cs="仿宋"/>
                <w:color w:val="auto"/>
                <w:kern w:val="0"/>
                <w:sz w:val="24"/>
                <w:szCs w:val="24"/>
                <w:highlight w:val="none"/>
                <w:lang w:val="en-US" w:eastAsia="zh-CN" w:bidi="ar"/>
              </w:rPr>
              <w:t>联系人：</w:t>
            </w:r>
            <w:r>
              <w:rPr>
                <w:rFonts w:hint="eastAsia" w:ascii="仿宋" w:hAnsi="仿宋" w:eastAsia="仿宋" w:cs="仿宋"/>
                <w:color w:val="auto"/>
                <w:kern w:val="0"/>
                <w:sz w:val="24"/>
                <w:szCs w:val="24"/>
                <w:highlight w:val="none"/>
                <w:shd w:val="clear" w:color="auto" w:fill="FFFFFF"/>
                <w:lang w:eastAsia="zh-CN" w:bidi="ar"/>
              </w:rPr>
              <w:t>黄智杰、</w:t>
            </w:r>
            <w:r>
              <w:rPr>
                <w:rFonts w:hint="eastAsia" w:ascii="仿宋" w:hAnsi="仿宋" w:eastAsia="仿宋" w:cs="仿宋"/>
                <w:color w:val="auto"/>
                <w:kern w:val="0"/>
                <w:sz w:val="24"/>
                <w:szCs w:val="24"/>
                <w:highlight w:val="none"/>
                <w:shd w:val="clear" w:color="auto" w:fill="FFFFFF"/>
                <w:lang w:bidi="ar"/>
              </w:rPr>
              <w:t>何敏、</w:t>
            </w:r>
            <w:r>
              <w:rPr>
                <w:rFonts w:hint="eastAsia" w:ascii="仿宋" w:hAnsi="仿宋" w:eastAsia="仿宋" w:cs="仿宋"/>
                <w:color w:val="auto"/>
                <w:kern w:val="0"/>
                <w:sz w:val="24"/>
                <w:szCs w:val="24"/>
                <w:highlight w:val="none"/>
                <w:shd w:val="clear" w:color="auto" w:fill="FFFFFF"/>
                <w:lang w:val="en-US" w:eastAsia="zh-CN" w:bidi="ar"/>
              </w:rPr>
              <w:t>李霞、</w:t>
            </w:r>
            <w:r>
              <w:rPr>
                <w:rFonts w:hint="eastAsia" w:ascii="仿宋" w:hAnsi="仿宋" w:eastAsia="仿宋" w:cs="仿宋"/>
                <w:color w:val="auto"/>
                <w:kern w:val="0"/>
                <w:sz w:val="24"/>
                <w:szCs w:val="24"/>
                <w:highlight w:val="none"/>
                <w:shd w:val="clear" w:color="auto" w:fill="FFFFFF"/>
                <w:lang w:eastAsia="zh-CN" w:bidi="ar"/>
              </w:rPr>
              <w:t>田国强</w:t>
            </w:r>
          </w:p>
          <w:p w14:paraId="0617852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地址：贵州省贵阳市观山湖区诚信南路麒龙CBD B1座17楼、18楼</w:t>
            </w:r>
          </w:p>
          <w:p w14:paraId="587836E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联系方式：0851-85530222、</w:t>
            </w:r>
            <w:r>
              <w:rPr>
                <w:rFonts w:hint="eastAsia" w:ascii="仿宋" w:hAnsi="仿宋" w:eastAsia="仿宋" w:cs="仿宋"/>
                <w:color w:val="auto"/>
                <w:kern w:val="0"/>
                <w:sz w:val="24"/>
                <w:szCs w:val="24"/>
                <w:highlight w:val="none"/>
                <w:shd w:val="clear" w:color="auto" w:fill="FFFFFF"/>
                <w:lang w:val="en-US" w:eastAsia="zh-CN" w:bidi="ar"/>
              </w:rPr>
              <w:t>18275107485</w:t>
            </w:r>
          </w:p>
        </w:tc>
      </w:tr>
      <w:tr w14:paraId="28D2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6FDDC2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5</w:t>
            </w:r>
          </w:p>
        </w:tc>
        <w:tc>
          <w:tcPr>
            <w:tcW w:w="1787" w:type="dxa"/>
            <w:vAlign w:val="center"/>
          </w:tcPr>
          <w:p w14:paraId="40CA87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采购需求</w:t>
            </w:r>
          </w:p>
        </w:tc>
        <w:tc>
          <w:tcPr>
            <w:tcW w:w="6725" w:type="dxa"/>
            <w:shd w:val="clear" w:color="auto" w:fill="auto"/>
            <w:vAlign w:val="center"/>
          </w:tcPr>
          <w:p w14:paraId="54B52422">
            <w:pPr>
              <w:keepNext w:val="0"/>
              <w:keepLines w:val="0"/>
              <w:pageBreakBefore w:val="0"/>
              <w:widowControl w:val="0"/>
              <w:shd w:val="clear"/>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val="0"/>
                <w:bCs w:val="0"/>
                <w:strike w:val="0"/>
                <w:dstrike w:val="0"/>
                <w:color w:val="auto"/>
                <w:kern w:val="0"/>
                <w:sz w:val="24"/>
                <w:szCs w:val="24"/>
                <w:highlight w:val="none"/>
                <w:shd w:val="clear" w:color="auto" w:fill="FFFFFF"/>
                <w:lang w:bidi="ar"/>
              </w:rPr>
            </w:pPr>
            <w:r>
              <w:rPr>
                <w:rFonts w:hint="eastAsia" w:ascii="仿宋" w:hAnsi="仿宋" w:eastAsia="仿宋" w:cs="仿宋"/>
                <w:b w:val="0"/>
                <w:bCs w:val="0"/>
                <w:strike w:val="0"/>
                <w:dstrike w:val="0"/>
                <w:color w:val="auto"/>
                <w:kern w:val="0"/>
                <w:sz w:val="24"/>
                <w:szCs w:val="24"/>
                <w:highlight w:val="none"/>
                <w:shd w:val="clear" w:color="auto" w:fill="FFFFFF"/>
                <w:lang w:bidi="ar"/>
              </w:rPr>
              <w:t>本项目以推进“稳价安民，服务大局”为基本宗旨，以着力提高全省价格监测的准确性和时效性，着力增强价格形势分析的前瞻性和权威性为根本目标，通过打造纵向贯通和灵敏、高效、权威的价格监测预警系统，</w:t>
            </w:r>
            <w:r>
              <w:rPr>
                <w:rFonts w:hint="eastAsia" w:ascii="仿宋" w:hAnsi="仿宋" w:eastAsia="仿宋" w:cs="仿宋"/>
                <w:b/>
                <w:bCs/>
                <w:strike w:val="0"/>
                <w:dstrike w:val="0"/>
                <w:color w:val="auto"/>
                <w:kern w:val="0"/>
                <w:sz w:val="24"/>
                <w:szCs w:val="24"/>
                <w:highlight w:val="none"/>
                <w:shd w:val="clear" w:color="auto" w:fill="FFFFFF"/>
                <w:lang w:bidi="ar"/>
              </w:rPr>
              <w:t>推动价格监测数字化、网络化、智能化水平显著提升，夯实价格治理和价格调控监管基础</w:t>
            </w:r>
            <w:r>
              <w:rPr>
                <w:rFonts w:hint="eastAsia" w:ascii="仿宋" w:hAnsi="仿宋" w:eastAsia="仿宋" w:cs="仿宋"/>
                <w:b w:val="0"/>
                <w:bCs w:val="0"/>
                <w:strike w:val="0"/>
                <w:dstrike w:val="0"/>
                <w:color w:val="auto"/>
                <w:kern w:val="0"/>
                <w:sz w:val="24"/>
                <w:szCs w:val="24"/>
                <w:highlight w:val="none"/>
                <w:shd w:val="clear" w:color="auto" w:fill="FFFFFF"/>
                <w:lang w:bidi="ar"/>
              </w:rPr>
              <w:t>，为宏观经济治理和决策提供高效的信息化支撑。建立健全覆盖重要民生商品、初级产品、重点产业、关键领域和环节的省内外、上下游、产供销、期现货市场和价格监测预测和分析预警体系，支持全量数据采集，全面提升监测时效性和分析预警深度广度，</w:t>
            </w:r>
            <w:r>
              <w:rPr>
                <w:rFonts w:hint="eastAsia" w:ascii="仿宋" w:hAnsi="仿宋" w:eastAsia="仿宋" w:cs="仿宋"/>
                <w:b/>
                <w:bCs/>
                <w:strike w:val="0"/>
                <w:dstrike w:val="0"/>
                <w:color w:val="auto"/>
                <w:kern w:val="0"/>
                <w:sz w:val="24"/>
                <w:szCs w:val="24"/>
                <w:highlight w:val="none"/>
                <w:shd w:val="clear" w:color="auto" w:fill="FFFFFF"/>
                <w:lang w:bidi="ar"/>
              </w:rPr>
              <w:t>提高价格异常波动风险监测预测、预警信息发布等应急管理支撑能力，着力防范化解重大价格风险</w:t>
            </w:r>
            <w:r>
              <w:rPr>
                <w:rFonts w:hint="eastAsia" w:ascii="仿宋" w:hAnsi="仿宋" w:eastAsia="仿宋" w:cs="仿宋"/>
                <w:b w:val="0"/>
                <w:bCs w:val="0"/>
                <w:strike w:val="0"/>
                <w:dstrike w:val="0"/>
                <w:color w:val="auto"/>
                <w:kern w:val="0"/>
                <w:sz w:val="24"/>
                <w:szCs w:val="24"/>
                <w:highlight w:val="none"/>
                <w:shd w:val="clear" w:color="auto" w:fill="FFFFFF"/>
                <w:lang w:bidi="ar"/>
              </w:rPr>
              <w:t>，促进价格总水平处于合理区间，有力支持重要商品和服务保供稳价。建立统一的价格信息共享和发布平台，及时准确发布价格信息，充分发挥预期引导作用，矫正因信息不对称而导致的市场扭曲现象，引导市场主体自主调节生产经营决策，主动适应市场形势变化。同时，营造公开透明的市场环境，促进行业稳定发展和市场平稳运行。</w:t>
            </w:r>
          </w:p>
          <w:p w14:paraId="3577A3C2">
            <w:pPr>
              <w:keepNext w:val="0"/>
              <w:keepLines w:val="0"/>
              <w:pageBreakBefore w:val="0"/>
              <w:widowControl w:val="0"/>
              <w:shd w:val="clear"/>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val="0"/>
                <w:bCs w:val="0"/>
                <w:strike w:val="0"/>
                <w:dstrike w:val="0"/>
                <w:color w:val="auto"/>
                <w:kern w:val="0"/>
                <w:sz w:val="24"/>
                <w:szCs w:val="24"/>
                <w:highlight w:val="none"/>
                <w:shd w:val="clear" w:color="auto" w:fill="FFFFFF"/>
                <w:lang w:bidi="ar"/>
              </w:rPr>
            </w:pPr>
            <w:r>
              <w:rPr>
                <w:rFonts w:hint="eastAsia" w:ascii="仿宋" w:hAnsi="仿宋" w:eastAsia="仿宋" w:cs="仿宋"/>
                <w:b w:val="0"/>
                <w:bCs w:val="0"/>
                <w:strike w:val="0"/>
                <w:dstrike w:val="0"/>
                <w:color w:val="auto"/>
                <w:kern w:val="0"/>
                <w:sz w:val="24"/>
                <w:szCs w:val="24"/>
                <w:highlight w:val="none"/>
                <w:shd w:val="clear" w:color="auto" w:fill="FFFFFF"/>
                <w:lang w:bidi="ar"/>
              </w:rPr>
              <w:t>全网全天候全时段搜集监测价格网络舆情动态，及时发出监测预警，精准分析舆论发展趋势，积极开展舆情应对处置，增强政府涉价舆论工作主动性，有效控制舆情风险。</w:t>
            </w:r>
          </w:p>
          <w:p w14:paraId="42276587">
            <w:pPr>
              <w:keepNext w:val="0"/>
              <w:keepLines w:val="0"/>
              <w:pageBreakBefore w:val="0"/>
              <w:widowControl w:val="0"/>
              <w:shd w:val="clear"/>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val="0"/>
                <w:bCs w:val="0"/>
                <w:strike w:val="0"/>
                <w:dstrike w:val="0"/>
                <w:color w:val="auto"/>
                <w:kern w:val="0"/>
                <w:sz w:val="24"/>
                <w:szCs w:val="24"/>
                <w:highlight w:val="cyan"/>
                <w:shd w:val="clear" w:color="auto" w:fill="FFFFFF"/>
                <w:lang w:bidi="ar"/>
              </w:rPr>
            </w:pPr>
            <w:r>
              <w:rPr>
                <w:rFonts w:hint="eastAsia" w:ascii="仿宋" w:hAnsi="仿宋" w:eastAsia="仿宋" w:cs="仿宋"/>
                <w:b w:val="0"/>
                <w:bCs w:val="0"/>
                <w:strike w:val="0"/>
                <w:dstrike w:val="0"/>
                <w:color w:val="auto"/>
                <w:kern w:val="0"/>
                <w:sz w:val="24"/>
                <w:szCs w:val="24"/>
                <w:highlight w:val="none"/>
                <w:shd w:val="clear" w:color="auto" w:fill="FFFFFF"/>
                <w:lang w:bidi="ar"/>
              </w:rPr>
              <w:t>建设内容主要包括“六系统 一中心”，分别为省、市、县三级联动价格监测业务系统，价格监测移动工作系统，全链条、一体化价格监测和分析预警系统，价格监测预警展示系统、价格信息共享和发布系统、价格舆情监测系统、价格监测数据中心、历史数据迁移、互联网和大型商超数据服务，以及标准规范建设。</w:t>
            </w:r>
          </w:p>
          <w:p w14:paraId="66C30D44">
            <w:pPr>
              <w:keepNext w:val="0"/>
              <w:keepLines w:val="0"/>
              <w:pageBreakBefore w:val="0"/>
              <w:widowControl w:val="0"/>
              <w:shd w:val="clear"/>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为完成本标包所有等保测评工作及相关服务，本标包</w:t>
            </w: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7.28</w:t>
            </w:r>
            <w:r>
              <w:rPr>
                <w:rFonts w:hint="eastAsia" w:ascii="仿宋" w:hAnsi="仿宋" w:eastAsia="仿宋" w:cs="仿宋"/>
                <w:color w:val="auto"/>
                <w:sz w:val="24"/>
                <w:szCs w:val="24"/>
                <w:highlight w:val="none"/>
              </w:rPr>
              <w:t>万元。</w:t>
            </w:r>
          </w:p>
        </w:tc>
      </w:tr>
      <w:tr w14:paraId="1F34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19F663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6</w:t>
            </w:r>
          </w:p>
        </w:tc>
        <w:tc>
          <w:tcPr>
            <w:tcW w:w="1787" w:type="dxa"/>
            <w:vAlign w:val="center"/>
          </w:tcPr>
          <w:p w14:paraId="27718A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联合体投标</w:t>
            </w:r>
          </w:p>
        </w:tc>
        <w:tc>
          <w:tcPr>
            <w:tcW w:w="6725" w:type="dxa"/>
            <w:vAlign w:val="center"/>
          </w:tcPr>
          <w:p w14:paraId="509C4F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rPr>
              <w:t>本项目</w:t>
            </w:r>
            <w:r>
              <w:rPr>
                <w:rFonts w:hint="eastAsia" w:ascii="仿宋" w:hAnsi="仿宋" w:eastAsia="仿宋" w:cs="仿宋"/>
                <w:b/>
                <w:bCs w:val="0"/>
                <w:color w:val="auto"/>
                <w:sz w:val="24"/>
                <w:szCs w:val="24"/>
                <w:highlight w:val="none"/>
                <w:u w:val="single"/>
                <w:vertAlign w:val="baseline"/>
              </w:rPr>
              <w:t>不允许</w:t>
            </w:r>
            <w:r>
              <w:rPr>
                <w:rFonts w:hint="eastAsia" w:ascii="仿宋" w:hAnsi="仿宋" w:eastAsia="仿宋" w:cs="仿宋"/>
                <w:b w:val="0"/>
                <w:bCs/>
                <w:color w:val="auto"/>
                <w:sz w:val="24"/>
                <w:szCs w:val="24"/>
                <w:highlight w:val="none"/>
                <w:vertAlign w:val="baseline"/>
              </w:rPr>
              <w:t>联合体投标</w:t>
            </w:r>
            <w:r>
              <w:rPr>
                <w:rFonts w:hint="eastAsia" w:ascii="仿宋" w:hAnsi="仿宋" w:eastAsia="仿宋" w:cs="仿宋"/>
                <w:b w:val="0"/>
                <w:bCs/>
                <w:color w:val="auto"/>
                <w:sz w:val="24"/>
                <w:szCs w:val="24"/>
                <w:highlight w:val="none"/>
                <w:vertAlign w:val="baseline"/>
                <w:lang w:eastAsia="zh-CN"/>
              </w:rPr>
              <w:t>。</w:t>
            </w:r>
          </w:p>
        </w:tc>
      </w:tr>
      <w:tr w14:paraId="62AE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44" w:type="dxa"/>
            <w:shd w:val="clear" w:color="auto" w:fill="auto"/>
            <w:vAlign w:val="center"/>
          </w:tcPr>
          <w:p w14:paraId="3FD31E1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7</w:t>
            </w:r>
          </w:p>
        </w:tc>
        <w:tc>
          <w:tcPr>
            <w:tcW w:w="1787" w:type="dxa"/>
            <w:vAlign w:val="center"/>
          </w:tcPr>
          <w:p w14:paraId="0E8D7B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核心产品</w:t>
            </w:r>
          </w:p>
        </w:tc>
        <w:tc>
          <w:tcPr>
            <w:tcW w:w="6725" w:type="dxa"/>
            <w:vAlign w:val="center"/>
          </w:tcPr>
          <w:p w14:paraId="7C43B7E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本项目无核心产品，详见“第五章 采购需求”</w:t>
            </w:r>
          </w:p>
        </w:tc>
      </w:tr>
      <w:tr w14:paraId="5CB4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44" w:type="dxa"/>
            <w:shd w:val="clear" w:color="auto" w:fill="auto"/>
            <w:vAlign w:val="center"/>
          </w:tcPr>
          <w:p w14:paraId="14F0C4A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8</w:t>
            </w:r>
          </w:p>
        </w:tc>
        <w:tc>
          <w:tcPr>
            <w:tcW w:w="1787" w:type="dxa"/>
            <w:vAlign w:val="center"/>
          </w:tcPr>
          <w:p w14:paraId="7668843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000000"/>
                <w:kern w:val="0"/>
                <w:sz w:val="24"/>
                <w:szCs w:val="24"/>
                <w:highlight w:val="none"/>
                <w:lang w:val="en-US" w:eastAsia="zh-CN" w:bidi="ar"/>
              </w:rPr>
              <w:t>进口产品</w:t>
            </w:r>
          </w:p>
        </w:tc>
        <w:tc>
          <w:tcPr>
            <w:tcW w:w="6725" w:type="dxa"/>
            <w:vAlign w:val="center"/>
          </w:tcPr>
          <w:p w14:paraId="5C178E1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无。</w:t>
            </w:r>
          </w:p>
        </w:tc>
      </w:tr>
      <w:tr w14:paraId="137D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44" w:type="dxa"/>
            <w:shd w:val="clear" w:color="auto" w:fill="auto"/>
            <w:vAlign w:val="center"/>
          </w:tcPr>
          <w:p w14:paraId="47F70D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9</w:t>
            </w:r>
          </w:p>
        </w:tc>
        <w:tc>
          <w:tcPr>
            <w:tcW w:w="1787" w:type="dxa"/>
            <w:vAlign w:val="center"/>
          </w:tcPr>
          <w:p w14:paraId="43819E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现场考察或答疑会</w:t>
            </w:r>
          </w:p>
        </w:tc>
        <w:tc>
          <w:tcPr>
            <w:tcW w:w="6725" w:type="dxa"/>
            <w:vAlign w:val="center"/>
          </w:tcPr>
          <w:p w14:paraId="6A2F64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 xml:space="preserve">(1)是否组织现场考察或答疑会：否。 </w:t>
            </w:r>
          </w:p>
          <w:p w14:paraId="606750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 xml:space="preserve">(2)时间： /。 </w:t>
            </w:r>
          </w:p>
          <w:p w14:paraId="50CB390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(3)地点： /。</w:t>
            </w:r>
          </w:p>
        </w:tc>
      </w:tr>
      <w:tr w14:paraId="5FB4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5F86BF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10</w:t>
            </w:r>
          </w:p>
        </w:tc>
        <w:tc>
          <w:tcPr>
            <w:tcW w:w="1787" w:type="dxa"/>
            <w:vAlign w:val="center"/>
          </w:tcPr>
          <w:p w14:paraId="145801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采购预算</w:t>
            </w:r>
          </w:p>
        </w:tc>
        <w:tc>
          <w:tcPr>
            <w:tcW w:w="6725" w:type="dxa"/>
            <w:vAlign w:val="center"/>
          </w:tcPr>
          <w:p w14:paraId="51B01C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color w:val="auto"/>
                <w:kern w:val="0"/>
                <w:sz w:val="24"/>
                <w:szCs w:val="24"/>
                <w:highlight w:val="none"/>
                <w:shd w:val="clear" w:color="auto" w:fill="FFFFFF"/>
                <w:lang w:bidi="ar"/>
              </w:rPr>
              <w:t>预算金额：</w:t>
            </w:r>
            <w:r>
              <w:rPr>
                <w:rFonts w:hint="eastAsia" w:ascii="仿宋" w:hAnsi="仿宋" w:eastAsia="仿宋" w:cs="仿宋"/>
                <w:color w:val="auto"/>
                <w:kern w:val="0"/>
                <w:sz w:val="24"/>
                <w:szCs w:val="24"/>
                <w:highlight w:val="none"/>
                <w:lang w:val="en-US" w:eastAsia="zh-CN" w:bidi="ar"/>
              </w:rPr>
              <w:t>7.28万元</w:t>
            </w:r>
            <w:bookmarkStart w:id="10" w:name="_GoBack"/>
            <w:bookmarkEnd w:id="10"/>
          </w:p>
        </w:tc>
      </w:tr>
      <w:tr w14:paraId="775E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4D971E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11</w:t>
            </w:r>
          </w:p>
        </w:tc>
        <w:tc>
          <w:tcPr>
            <w:tcW w:w="1787" w:type="dxa"/>
            <w:vAlign w:val="center"/>
          </w:tcPr>
          <w:p w14:paraId="5CABC6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最高限价</w:t>
            </w:r>
          </w:p>
        </w:tc>
        <w:tc>
          <w:tcPr>
            <w:tcW w:w="6725" w:type="dxa"/>
            <w:vAlign w:val="center"/>
          </w:tcPr>
          <w:p w14:paraId="379580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本标包设置采购限价，采购限价为：7.28万元</w:t>
            </w:r>
          </w:p>
        </w:tc>
      </w:tr>
      <w:tr w14:paraId="44C4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0240D44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12</w:t>
            </w:r>
          </w:p>
        </w:tc>
        <w:tc>
          <w:tcPr>
            <w:tcW w:w="1787" w:type="dxa"/>
            <w:shd w:val="clear" w:color="auto" w:fill="auto"/>
            <w:vAlign w:val="center"/>
          </w:tcPr>
          <w:p w14:paraId="6C7320D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投标报价</w:t>
            </w:r>
          </w:p>
        </w:tc>
        <w:tc>
          <w:tcPr>
            <w:tcW w:w="6725" w:type="dxa"/>
            <w:shd w:val="clear" w:color="auto" w:fill="auto"/>
            <w:vAlign w:val="center"/>
          </w:tcPr>
          <w:p w14:paraId="7DA8F3EB">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（1）投标报价（含税）包括但不限于：测评费、差旅费、企业管理费、保险、税费、利润等直至完成本项目所发生的一切费用。</w:t>
            </w:r>
          </w:p>
          <w:p w14:paraId="7DD73C9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lang w:val="en-US" w:eastAsia="zh-CN" w:bidi="ar"/>
              </w:rPr>
              <w:t>（2）</w:t>
            </w:r>
            <w:r>
              <w:rPr>
                <w:rFonts w:hint="eastAsia" w:ascii="仿宋" w:hAnsi="仿宋" w:eastAsia="仿宋" w:cs="仿宋"/>
                <w:b/>
                <w:bCs/>
                <w:color w:val="auto"/>
                <w:kern w:val="0"/>
                <w:sz w:val="24"/>
                <w:szCs w:val="24"/>
                <w:highlight w:val="none"/>
                <w:lang w:val="en-US" w:eastAsia="zh-CN" w:bidi="ar"/>
              </w:rPr>
              <w:t>供应商的投标总价报价（含税）不得超过采购人公布的采购限价（含税）。若超过的，按无效标处理。</w:t>
            </w:r>
          </w:p>
          <w:p w14:paraId="0DD5EC0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lang w:val="en-US" w:eastAsia="zh-CN" w:bidi="ar"/>
              </w:rPr>
              <w:t>（3）</w:t>
            </w:r>
            <w:r>
              <w:rPr>
                <w:rFonts w:hint="eastAsia" w:ascii="仿宋" w:hAnsi="仿宋" w:eastAsia="仿宋" w:cs="仿宋"/>
                <w:b/>
                <w:bCs/>
                <w:i w:val="0"/>
                <w:iCs w:val="0"/>
                <w:sz w:val="24"/>
                <w:szCs w:val="24"/>
                <w:highlight w:val="none"/>
                <w:lang w:val="en-US" w:eastAsia="zh-CN"/>
              </w:rPr>
              <w:t>供应商须按</w:t>
            </w:r>
            <w:r>
              <w:rPr>
                <w:rFonts w:hint="eastAsia" w:ascii="仿宋" w:hAnsi="仿宋" w:eastAsia="仿宋" w:cs="仿宋"/>
                <w:b/>
                <w:bCs/>
                <w:color w:val="auto"/>
                <w:kern w:val="0"/>
                <w:sz w:val="24"/>
                <w:szCs w:val="24"/>
                <w:highlight w:val="none"/>
                <w:lang w:val="en-US" w:eastAsia="zh-CN" w:bidi="ar"/>
              </w:rPr>
              <w:t>第五章《采购需求》制作详细的报价明细表，</w:t>
            </w:r>
            <w:r>
              <w:rPr>
                <w:rFonts w:hint="eastAsia" w:ascii="仿宋" w:hAnsi="仿宋" w:eastAsia="仿宋" w:cs="仿宋"/>
                <w:b/>
                <w:bCs/>
                <w:i w:val="0"/>
                <w:iCs w:val="0"/>
                <w:sz w:val="24"/>
                <w:szCs w:val="24"/>
                <w:highlight w:val="none"/>
                <w:lang w:val="en-US" w:eastAsia="zh-CN"/>
              </w:rPr>
              <w:t>未提供报价明细表则按无效标处理。</w:t>
            </w:r>
          </w:p>
          <w:p w14:paraId="4E3F6A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（4）价格分评审：以各供应商投报的</w:t>
            </w:r>
            <w:r>
              <w:rPr>
                <w:rFonts w:hint="eastAsia" w:ascii="仿宋" w:hAnsi="仿宋" w:eastAsia="仿宋" w:cs="仿宋"/>
                <w:b/>
                <w:bCs/>
                <w:color w:val="auto"/>
                <w:kern w:val="0"/>
                <w:sz w:val="24"/>
                <w:szCs w:val="24"/>
                <w:highlight w:val="none"/>
                <w:lang w:val="en-US" w:eastAsia="zh-CN" w:bidi="ar"/>
              </w:rPr>
              <w:t>投标总价报价</w:t>
            </w:r>
            <w:r>
              <w:rPr>
                <w:rFonts w:hint="eastAsia" w:ascii="仿宋" w:hAnsi="仿宋" w:eastAsia="仿宋" w:cs="仿宋"/>
                <w:color w:val="auto"/>
                <w:kern w:val="0"/>
                <w:sz w:val="24"/>
                <w:szCs w:val="24"/>
                <w:highlight w:val="none"/>
                <w:lang w:val="en-US" w:eastAsia="zh-CN" w:bidi="ar"/>
              </w:rPr>
              <w:t>进行价格分评审，且保留两位小数。</w:t>
            </w:r>
          </w:p>
          <w:p w14:paraId="0C6ACC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（5）供应商报价中按规定应计入而未计入的费用，视为供应商已计入的费用，中标后不作调整。</w:t>
            </w:r>
          </w:p>
          <w:p w14:paraId="00697A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（6）项目中标后，供应商</w:t>
            </w:r>
            <w:r>
              <w:rPr>
                <w:rFonts w:hint="eastAsia" w:ascii="仿宋" w:hAnsi="仿宋" w:eastAsia="仿宋" w:cs="仿宋"/>
                <w:b/>
                <w:bCs/>
                <w:color w:val="auto"/>
                <w:kern w:val="0"/>
                <w:sz w:val="24"/>
                <w:szCs w:val="24"/>
                <w:highlight w:val="none"/>
                <w:lang w:val="en-US" w:eastAsia="zh-CN" w:bidi="ar"/>
              </w:rPr>
              <w:t>投标总价报价</w:t>
            </w:r>
            <w:r>
              <w:rPr>
                <w:rFonts w:hint="eastAsia" w:ascii="仿宋" w:hAnsi="仿宋" w:eastAsia="仿宋" w:cs="仿宋"/>
                <w:color w:val="auto"/>
                <w:kern w:val="0"/>
                <w:sz w:val="24"/>
                <w:szCs w:val="24"/>
                <w:highlight w:val="none"/>
                <w:lang w:val="en-US" w:eastAsia="zh-CN" w:bidi="ar"/>
              </w:rPr>
              <w:t>在合同执行中是固定不变的，供应商不得以中标价格低或其他任何理由向采购人要求增加一切费用。如有，视为虚假响应，未与采购人签订合同的，将取消其中标资格，采购人可以按照评标委员会提出的中标候选人名单排序依次确定其他中标候选人为本项目中标供应商或重新组织招标；已与采购人签订合同的，采购人有权解除其合同并没收履约保证金，给采购人造成经济损失的，须进行赔偿。</w:t>
            </w:r>
          </w:p>
          <w:p w14:paraId="5E376D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sz w:val="24"/>
                <w:szCs w:val="24"/>
                <w:highlight w:val="none"/>
              </w:rPr>
            </w:pPr>
            <w:r>
              <w:rPr>
                <w:rFonts w:hint="eastAsia" w:ascii="仿宋" w:hAnsi="仿宋" w:eastAsia="仿宋" w:cs="仿宋"/>
                <w:color w:val="auto"/>
                <w:kern w:val="0"/>
                <w:sz w:val="24"/>
                <w:szCs w:val="24"/>
                <w:highlight w:val="none"/>
                <w:lang w:val="en-US" w:eastAsia="zh-CN" w:bidi="ar"/>
              </w:rPr>
              <w:t>（7）供应商的投标报价应满足国家对营改增政策的相关法律法规的规定。</w:t>
            </w:r>
          </w:p>
        </w:tc>
      </w:tr>
      <w:tr w14:paraId="1899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3C010E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13</w:t>
            </w:r>
          </w:p>
        </w:tc>
        <w:tc>
          <w:tcPr>
            <w:tcW w:w="1787" w:type="dxa"/>
            <w:vAlign w:val="center"/>
          </w:tcPr>
          <w:p w14:paraId="4DD2D5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政府采购政策扶持</w:t>
            </w:r>
          </w:p>
        </w:tc>
        <w:tc>
          <w:tcPr>
            <w:tcW w:w="6725" w:type="dxa"/>
            <w:vAlign w:val="center"/>
          </w:tcPr>
          <w:p w14:paraId="0EAF0A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（1）本项目</w:t>
            </w:r>
            <w:r>
              <w:rPr>
                <w:rFonts w:hint="eastAsia" w:ascii="仿宋" w:hAnsi="仿宋" w:eastAsia="仿宋" w:cs="仿宋"/>
                <w:b/>
                <w:bCs w:val="0"/>
                <w:color w:val="auto"/>
                <w:sz w:val="24"/>
                <w:szCs w:val="24"/>
                <w:highlight w:val="none"/>
                <w:u w:val="single"/>
                <w:vertAlign w:val="baseline"/>
              </w:rPr>
              <w:t>非专门</w:t>
            </w:r>
            <w:r>
              <w:rPr>
                <w:rFonts w:hint="eastAsia" w:ascii="仿宋" w:hAnsi="仿宋" w:eastAsia="仿宋" w:cs="仿宋"/>
                <w:b w:val="0"/>
                <w:bCs/>
                <w:color w:val="auto"/>
                <w:sz w:val="24"/>
                <w:szCs w:val="24"/>
                <w:highlight w:val="none"/>
                <w:vertAlign w:val="baseline"/>
              </w:rPr>
              <w:t>面向中小企业采购。</w:t>
            </w:r>
          </w:p>
          <w:p w14:paraId="751703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（2）专门面向中小企业采购的项目或者采购包，不再执行价格评审优惠的扶持政策。</w:t>
            </w:r>
          </w:p>
          <w:p w14:paraId="1B0FA7FF">
            <w:pPr>
              <w:pStyle w:val="4"/>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lang w:eastAsia="zh-CN"/>
              </w:rPr>
            </w:pPr>
            <w:r>
              <w:rPr>
                <w:rFonts w:hint="eastAsia" w:ascii="仿宋" w:hAnsi="仿宋" w:eastAsia="仿宋" w:cs="仿宋"/>
                <w:b w:val="0"/>
                <w:bCs/>
                <w:color w:val="auto"/>
                <w:sz w:val="24"/>
                <w:szCs w:val="24"/>
                <w:highlight w:val="none"/>
                <w:vertAlign w:val="baseline"/>
                <w:lang w:eastAsia="zh-CN"/>
              </w:rPr>
              <w:t>注：</w:t>
            </w:r>
            <w:r>
              <w:rPr>
                <w:rFonts w:hint="eastAsia" w:ascii="仿宋" w:hAnsi="仿宋" w:eastAsia="仿宋" w:cs="仿宋"/>
                <w:b w:val="0"/>
                <w:bCs/>
                <w:color w:val="auto"/>
                <w:sz w:val="24"/>
                <w:szCs w:val="24"/>
                <w:highlight w:val="none"/>
                <w:vertAlign w:val="baseline"/>
                <w:lang w:val="en-US" w:eastAsia="zh-CN"/>
              </w:rPr>
              <w:t>对小型和微型企业的价格给予10%～20%的扣除，用扣除后的价格参与评审。本项目的扣除比例为：小型企业扣除</w:t>
            </w:r>
            <w:r>
              <w:rPr>
                <w:rFonts w:hint="eastAsia" w:ascii="仿宋" w:hAnsi="仿宋" w:eastAsia="仿宋" w:cs="仿宋"/>
                <w:b w:val="0"/>
                <w:bCs/>
                <w:color w:val="auto"/>
                <w:sz w:val="24"/>
                <w:szCs w:val="24"/>
                <w:highlight w:val="none"/>
                <w:u w:val="single"/>
                <w:vertAlign w:val="baseline"/>
                <w:lang w:val="en-US" w:eastAsia="zh-CN"/>
              </w:rPr>
              <w:t>10</w:t>
            </w:r>
            <w:r>
              <w:rPr>
                <w:rFonts w:hint="eastAsia" w:ascii="仿宋" w:hAnsi="仿宋" w:eastAsia="仿宋" w:cs="仿宋"/>
                <w:b w:val="0"/>
                <w:bCs/>
                <w:color w:val="auto"/>
                <w:sz w:val="24"/>
                <w:szCs w:val="24"/>
                <w:highlight w:val="none"/>
                <w:vertAlign w:val="baseline"/>
                <w:lang w:val="en-US" w:eastAsia="zh-CN"/>
              </w:rPr>
              <w:t>%，微型企业扣除</w:t>
            </w:r>
            <w:r>
              <w:rPr>
                <w:rFonts w:hint="eastAsia" w:ascii="仿宋" w:hAnsi="仿宋" w:eastAsia="仿宋" w:cs="仿宋"/>
                <w:b w:val="0"/>
                <w:bCs/>
                <w:color w:val="auto"/>
                <w:sz w:val="24"/>
                <w:szCs w:val="24"/>
                <w:highlight w:val="none"/>
                <w:u w:val="single"/>
                <w:vertAlign w:val="baseline"/>
                <w:lang w:val="en-US" w:eastAsia="zh-CN"/>
              </w:rPr>
              <w:t>10</w:t>
            </w:r>
            <w:r>
              <w:rPr>
                <w:rFonts w:hint="eastAsia" w:ascii="仿宋" w:hAnsi="仿宋" w:eastAsia="仿宋" w:cs="仿宋"/>
                <w:b w:val="0"/>
                <w:bCs/>
                <w:color w:val="auto"/>
                <w:sz w:val="24"/>
                <w:szCs w:val="24"/>
                <w:highlight w:val="none"/>
                <w:vertAlign w:val="baseline"/>
                <w:lang w:val="en-US" w:eastAsia="zh-CN"/>
              </w:rPr>
              <w:t xml:space="preserve">%。 </w:t>
            </w:r>
          </w:p>
        </w:tc>
      </w:tr>
      <w:tr w14:paraId="0CE9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44" w:type="dxa"/>
            <w:shd w:val="clear" w:color="auto" w:fill="auto"/>
            <w:vAlign w:val="center"/>
          </w:tcPr>
          <w:p w14:paraId="19E6670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14</w:t>
            </w:r>
          </w:p>
        </w:tc>
        <w:tc>
          <w:tcPr>
            <w:tcW w:w="1787" w:type="dxa"/>
            <w:vAlign w:val="center"/>
          </w:tcPr>
          <w:p w14:paraId="331203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标的所属</w:t>
            </w:r>
          </w:p>
          <w:p w14:paraId="7924BC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行业</w:t>
            </w:r>
          </w:p>
        </w:tc>
        <w:tc>
          <w:tcPr>
            <w:tcW w:w="6725" w:type="dxa"/>
            <w:vAlign w:val="center"/>
          </w:tcPr>
          <w:p w14:paraId="6E19D0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（1）本项目采购标的对应的中小企业划分标准所属行业为</w:t>
            </w:r>
            <w:r>
              <w:rPr>
                <w:rFonts w:hint="eastAsia" w:ascii="仿宋" w:hAnsi="仿宋" w:eastAsia="仿宋" w:cs="仿宋"/>
                <w:b w:val="0"/>
                <w:bCs/>
                <w:color w:val="auto"/>
                <w:sz w:val="24"/>
                <w:szCs w:val="24"/>
                <w:highlight w:val="none"/>
                <w:u w:val="single"/>
                <w:vertAlign w:val="baseline"/>
                <w:lang w:val="en-US" w:eastAsia="zh-CN"/>
              </w:rPr>
              <w:t xml:space="preserve"> </w:t>
            </w:r>
            <w:r>
              <w:rPr>
                <w:rFonts w:hint="eastAsia" w:ascii="仿宋" w:hAnsi="仿宋" w:eastAsia="仿宋" w:cs="仿宋"/>
                <w:b/>
                <w:bCs w:val="0"/>
                <w:color w:val="auto"/>
                <w:sz w:val="24"/>
                <w:szCs w:val="24"/>
                <w:highlight w:val="none"/>
                <w:u w:val="single"/>
                <w:vertAlign w:val="baseline"/>
                <w:lang w:val="en-US" w:eastAsia="zh-CN"/>
              </w:rPr>
              <w:t>软件和信息技术服务业</w:t>
            </w:r>
            <w:r>
              <w:rPr>
                <w:rFonts w:hint="eastAsia" w:ascii="仿宋" w:hAnsi="仿宋" w:eastAsia="仿宋" w:cs="仿宋"/>
                <w:b w:val="0"/>
                <w:bCs/>
                <w:color w:val="auto"/>
                <w:sz w:val="24"/>
                <w:szCs w:val="24"/>
                <w:highlight w:val="none"/>
                <w:u w:val="single"/>
                <w:vertAlign w:val="baseline"/>
                <w:lang w:val="en-US" w:eastAsia="zh-CN"/>
              </w:rPr>
              <w:t xml:space="preserve"> </w:t>
            </w:r>
            <w:r>
              <w:rPr>
                <w:rFonts w:hint="eastAsia" w:ascii="仿宋" w:hAnsi="仿宋" w:eastAsia="仿宋" w:cs="仿宋"/>
                <w:b w:val="0"/>
                <w:bCs/>
                <w:color w:val="auto"/>
                <w:sz w:val="24"/>
                <w:szCs w:val="24"/>
                <w:highlight w:val="none"/>
                <w:vertAlign w:val="baseline"/>
              </w:rPr>
              <w:t>。</w:t>
            </w:r>
          </w:p>
          <w:p w14:paraId="38A23B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（2）属于小微企业（按“中小企业划分标准所属行业”）、残疾人福利性企业、监狱企业产品的，须提交《中小企业声明函》《残疾人福利性单位声明函》或《监狱性单位声明函》。</w:t>
            </w:r>
          </w:p>
          <w:p w14:paraId="30365175">
            <w:pPr>
              <w:pStyle w:val="4"/>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eastAsia="zh-CN"/>
              </w:rPr>
              <w:t>注：①</w:t>
            </w:r>
            <w:r>
              <w:rPr>
                <w:rFonts w:hint="eastAsia" w:ascii="仿宋" w:hAnsi="仿宋" w:eastAsia="仿宋" w:cs="仿宋"/>
                <w:color w:val="auto"/>
                <w:kern w:val="0"/>
                <w:sz w:val="24"/>
                <w:szCs w:val="24"/>
                <w:highlight w:val="none"/>
                <w:lang w:val="en-US" w:eastAsia="zh-CN" w:bidi="ar"/>
              </w:rPr>
              <w:t>残疾人福利性单位的价格给予10%～20%的扣除，用扣除后的价格参与评审。本项目的扣除比例为：扣除</w:t>
            </w:r>
            <w:r>
              <w:rPr>
                <w:rFonts w:hint="eastAsia" w:ascii="仿宋" w:hAnsi="仿宋" w:eastAsia="仿宋" w:cs="仿宋"/>
                <w:color w:val="auto"/>
                <w:kern w:val="0"/>
                <w:sz w:val="24"/>
                <w:szCs w:val="24"/>
                <w:highlight w:val="none"/>
                <w:u w:val="single"/>
                <w:lang w:val="en-US" w:eastAsia="zh-CN" w:bidi="ar"/>
              </w:rPr>
              <w:t xml:space="preserve">10 </w:t>
            </w:r>
            <w:r>
              <w:rPr>
                <w:rFonts w:hint="eastAsia" w:ascii="仿宋" w:hAnsi="仿宋" w:eastAsia="仿宋" w:cs="仿宋"/>
                <w:color w:val="auto"/>
                <w:kern w:val="0"/>
                <w:sz w:val="24"/>
                <w:szCs w:val="24"/>
                <w:highlight w:val="none"/>
                <w:lang w:val="en-US" w:eastAsia="zh-CN" w:bidi="ar"/>
              </w:rPr>
              <w:t>%。</w:t>
            </w:r>
          </w:p>
          <w:p w14:paraId="29F3A845">
            <w:pPr>
              <w:pStyle w:val="4"/>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lang w:eastAsia="zh-CN"/>
              </w:rPr>
            </w:pPr>
            <w:r>
              <w:rPr>
                <w:rFonts w:hint="eastAsia" w:ascii="仿宋" w:hAnsi="仿宋" w:eastAsia="仿宋" w:cs="仿宋"/>
                <w:b w:val="0"/>
                <w:bCs/>
                <w:color w:val="auto"/>
                <w:sz w:val="24"/>
                <w:szCs w:val="24"/>
                <w:highlight w:val="none"/>
                <w:vertAlign w:val="baseline"/>
                <w:lang w:eastAsia="zh-CN"/>
              </w:rPr>
              <w:t>②</w:t>
            </w:r>
            <w:r>
              <w:rPr>
                <w:rFonts w:hint="eastAsia" w:ascii="仿宋" w:hAnsi="仿宋" w:eastAsia="仿宋" w:cs="仿宋"/>
                <w:b w:val="0"/>
                <w:bCs/>
                <w:color w:val="auto"/>
                <w:sz w:val="24"/>
                <w:szCs w:val="24"/>
                <w:highlight w:val="none"/>
                <w:vertAlign w:val="baseline"/>
                <w:lang w:val="en-US" w:eastAsia="zh-CN"/>
              </w:rPr>
              <w:t>监狱和戒毒企业可视同小微企业在价格评审时给予 10%～20%的扣除，用扣除后的价格参与评审。本项目的扣除比例为：扣除</w:t>
            </w:r>
            <w:r>
              <w:rPr>
                <w:rFonts w:hint="eastAsia" w:ascii="仿宋" w:hAnsi="仿宋" w:eastAsia="仿宋" w:cs="仿宋"/>
                <w:b w:val="0"/>
                <w:bCs/>
                <w:color w:val="auto"/>
                <w:sz w:val="24"/>
                <w:szCs w:val="24"/>
                <w:highlight w:val="none"/>
                <w:u w:val="single"/>
                <w:vertAlign w:val="baseline"/>
                <w:lang w:val="en-US" w:eastAsia="zh-CN"/>
              </w:rPr>
              <w:t xml:space="preserve"> 10 </w:t>
            </w:r>
            <w:r>
              <w:rPr>
                <w:rFonts w:hint="eastAsia" w:ascii="仿宋" w:hAnsi="仿宋" w:eastAsia="仿宋" w:cs="仿宋"/>
                <w:b w:val="0"/>
                <w:bCs/>
                <w:color w:val="auto"/>
                <w:sz w:val="24"/>
                <w:szCs w:val="24"/>
                <w:highlight w:val="none"/>
                <w:vertAlign w:val="baseline"/>
                <w:lang w:val="en-US" w:eastAsia="zh-CN"/>
              </w:rPr>
              <w:t>%。</w:t>
            </w:r>
          </w:p>
        </w:tc>
      </w:tr>
      <w:tr w14:paraId="328A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20B09D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15</w:t>
            </w:r>
          </w:p>
        </w:tc>
        <w:tc>
          <w:tcPr>
            <w:tcW w:w="1787" w:type="dxa"/>
            <w:vAlign w:val="center"/>
          </w:tcPr>
          <w:p w14:paraId="1C2B02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投标保证金</w:t>
            </w:r>
          </w:p>
        </w:tc>
        <w:tc>
          <w:tcPr>
            <w:tcW w:w="6725" w:type="dxa"/>
            <w:vAlign w:val="center"/>
          </w:tcPr>
          <w:p w14:paraId="001876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本项目</w:t>
            </w:r>
            <w:r>
              <w:rPr>
                <w:rFonts w:hint="eastAsia" w:ascii="仿宋" w:hAnsi="仿宋" w:eastAsia="仿宋" w:cs="仿宋"/>
                <w:b/>
                <w:bCs/>
                <w:color w:val="auto"/>
                <w:kern w:val="0"/>
                <w:sz w:val="24"/>
                <w:szCs w:val="24"/>
                <w:highlight w:val="none"/>
                <w:u w:val="single"/>
                <w:lang w:val="en-US" w:eastAsia="zh-CN" w:bidi="ar"/>
              </w:rPr>
              <w:t>不收取</w:t>
            </w:r>
            <w:r>
              <w:rPr>
                <w:rFonts w:hint="eastAsia" w:ascii="仿宋" w:hAnsi="仿宋" w:eastAsia="仿宋" w:cs="仿宋"/>
                <w:color w:val="auto"/>
                <w:kern w:val="0"/>
                <w:sz w:val="24"/>
                <w:szCs w:val="24"/>
                <w:highlight w:val="none"/>
                <w:lang w:val="en-US" w:eastAsia="zh-CN" w:bidi="ar"/>
              </w:rPr>
              <w:t>投标保证金。</w:t>
            </w:r>
          </w:p>
        </w:tc>
      </w:tr>
      <w:tr w14:paraId="4C3A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51D3F30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16</w:t>
            </w:r>
          </w:p>
        </w:tc>
        <w:tc>
          <w:tcPr>
            <w:tcW w:w="1787" w:type="dxa"/>
            <w:vAlign w:val="center"/>
          </w:tcPr>
          <w:p w14:paraId="7F416E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投标有效期</w:t>
            </w:r>
          </w:p>
        </w:tc>
        <w:tc>
          <w:tcPr>
            <w:tcW w:w="6725" w:type="dxa"/>
            <w:vAlign w:val="center"/>
          </w:tcPr>
          <w:p w14:paraId="05642D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color w:val="auto"/>
                <w:sz w:val="24"/>
                <w:szCs w:val="24"/>
                <w:highlight w:val="none"/>
                <w:vertAlign w:val="baseline"/>
              </w:rPr>
            </w:pPr>
            <w:r>
              <w:rPr>
                <w:rFonts w:hint="eastAsia" w:ascii="仿宋" w:hAnsi="仿宋" w:eastAsia="仿宋" w:cs="仿宋"/>
                <w:color w:val="auto"/>
                <w:kern w:val="0"/>
                <w:sz w:val="24"/>
                <w:szCs w:val="24"/>
                <w:highlight w:val="none"/>
                <w:lang w:val="en-US" w:eastAsia="zh-CN" w:bidi="ar"/>
              </w:rPr>
              <w:t>投标截止时间起生效，其有效期为90日历天。</w:t>
            </w:r>
          </w:p>
        </w:tc>
      </w:tr>
      <w:tr w14:paraId="3144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47EC41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17</w:t>
            </w:r>
          </w:p>
        </w:tc>
        <w:tc>
          <w:tcPr>
            <w:tcW w:w="1787" w:type="dxa"/>
            <w:vAlign w:val="center"/>
          </w:tcPr>
          <w:p w14:paraId="75DA41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投标文件</w:t>
            </w:r>
          </w:p>
        </w:tc>
        <w:tc>
          <w:tcPr>
            <w:tcW w:w="6725" w:type="dxa"/>
            <w:vAlign w:val="center"/>
          </w:tcPr>
          <w:p w14:paraId="583863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（1）投标文件编制：通过贵州省公共资源交易公共服务平台下载“投标文件制作工具”编制投标文件，生成电子投标文件，使用数字（CA）证书或移动（CA）证书（贵州交易通APP、标信通 APP）进行加密、签章。</w:t>
            </w:r>
          </w:p>
          <w:p w14:paraId="72AC20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（2）投标文件提交方式：加密的电子投标文件上传至贵州省公共资源交易公共服务平台。</w:t>
            </w:r>
          </w:p>
          <w:p w14:paraId="153800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（3）提交投标文件截止时间：详见贵州省政府采购网采购公告，逾期上传或未加密的投标文件或不符合规定格式的投标文件，贵州省公共资源交易公共服务平台将予以拒收。</w:t>
            </w:r>
          </w:p>
          <w:p w14:paraId="3EBA0C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本项目为电子招标远程开标项目，供应商须在递交投标文件截止时间前完整的将加密电子投标文件上传到贵州省公共资源交易公共服务平台，投标截止时间前未完成投标文件传输或撤回投标文件的，视为未递交投标文件。投标截止时间后，贵州省公共资源交易公共服务平台不再接收投标文件。</w:t>
            </w:r>
          </w:p>
          <w:p w14:paraId="12265A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远程开标需使用数字（CA）证书或移动（CA）证书（贵州交易通 APP、标信通 APP）进行解密。</w:t>
            </w:r>
          </w:p>
          <w:p w14:paraId="635141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（证书使用事宜咨询电话如下：数字（CA）证书咨询电话: 0851-85971671/85971629；移动（CA）证书（贵州交易通APP、标信通 APP）技术保障电话：18785066386） 。</w:t>
            </w:r>
          </w:p>
        </w:tc>
      </w:tr>
      <w:tr w14:paraId="2E80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53A9F4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18</w:t>
            </w:r>
          </w:p>
        </w:tc>
        <w:tc>
          <w:tcPr>
            <w:tcW w:w="1787" w:type="dxa"/>
            <w:vAlign w:val="center"/>
          </w:tcPr>
          <w:p w14:paraId="56339C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样品/样机</w:t>
            </w:r>
          </w:p>
        </w:tc>
        <w:tc>
          <w:tcPr>
            <w:tcW w:w="6725" w:type="dxa"/>
            <w:vAlign w:val="center"/>
          </w:tcPr>
          <w:p w14:paraId="78E340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（1）是否需要提交：否。</w:t>
            </w:r>
          </w:p>
          <w:p w14:paraId="74AD76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（2）递交时间：/。</w:t>
            </w:r>
          </w:p>
          <w:p w14:paraId="3388FB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（3）递交地址：/。</w:t>
            </w:r>
          </w:p>
        </w:tc>
      </w:tr>
      <w:tr w14:paraId="56CC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6F7C20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19</w:t>
            </w:r>
          </w:p>
        </w:tc>
        <w:tc>
          <w:tcPr>
            <w:tcW w:w="1787" w:type="dxa"/>
            <w:vAlign w:val="center"/>
          </w:tcPr>
          <w:p w14:paraId="050CE8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开标时间、地点</w:t>
            </w:r>
          </w:p>
        </w:tc>
        <w:tc>
          <w:tcPr>
            <w:tcW w:w="6725" w:type="dxa"/>
            <w:vAlign w:val="center"/>
          </w:tcPr>
          <w:p w14:paraId="2DAF79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lang w:val="en-US"/>
              </w:rPr>
            </w:pPr>
            <w:r>
              <w:rPr>
                <w:rFonts w:hint="eastAsia" w:ascii="仿宋" w:hAnsi="仿宋" w:eastAsia="仿宋" w:cs="仿宋"/>
                <w:b w:val="0"/>
                <w:bCs/>
                <w:color w:val="auto"/>
                <w:sz w:val="24"/>
                <w:szCs w:val="24"/>
                <w:highlight w:val="none"/>
                <w:vertAlign w:val="baseline"/>
                <w:lang w:val="en-US"/>
              </w:rPr>
              <w:t>（1）开标时间：详见贵州省政府采购网采购公告。</w:t>
            </w:r>
          </w:p>
          <w:p w14:paraId="053CC2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lang w:val="en-US"/>
              </w:rPr>
            </w:pPr>
            <w:r>
              <w:rPr>
                <w:rFonts w:hint="eastAsia" w:ascii="仿宋" w:hAnsi="仿宋" w:eastAsia="仿宋" w:cs="仿宋"/>
                <w:b w:val="0"/>
                <w:bCs/>
                <w:color w:val="auto"/>
                <w:sz w:val="24"/>
                <w:szCs w:val="24"/>
                <w:highlight w:val="none"/>
                <w:vertAlign w:val="baseline"/>
                <w:lang w:val="en-US"/>
              </w:rPr>
              <w:t>（2）开标地点：贵州省公共资源交易中心（贵州省贵阳市遵义路65号）。</w:t>
            </w:r>
            <w:r>
              <w:rPr>
                <w:rFonts w:hint="eastAsia" w:ascii="仿宋" w:hAnsi="仿宋" w:eastAsia="仿宋" w:cs="仿宋"/>
                <w:b w:val="0"/>
                <w:bCs/>
                <w:color w:val="auto"/>
                <w:sz w:val="24"/>
                <w:szCs w:val="24"/>
                <w:highlight w:val="none"/>
                <w:vertAlign w:val="baseline"/>
                <w:lang w:val="en-US" w:eastAsia="zh-CN"/>
              </w:rPr>
              <w:t>供应商</w:t>
            </w:r>
            <w:r>
              <w:rPr>
                <w:rFonts w:hint="eastAsia" w:ascii="仿宋" w:hAnsi="仿宋" w:eastAsia="仿宋" w:cs="仿宋"/>
                <w:b w:val="0"/>
                <w:bCs/>
                <w:color w:val="auto"/>
                <w:sz w:val="24"/>
                <w:szCs w:val="24"/>
                <w:highlight w:val="none"/>
                <w:vertAlign w:val="baseline"/>
                <w:lang w:val="en-US"/>
              </w:rPr>
              <w:t>通过贵州省公共资源交易公共服务平台参加线上开标会议，对加密的电子投标文件进行解密。</w:t>
            </w:r>
          </w:p>
        </w:tc>
      </w:tr>
      <w:tr w14:paraId="6155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4" w:type="dxa"/>
            <w:shd w:val="clear" w:color="auto" w:fill="auto"/>
            <w:vAlign w:val="center"/>
          </w:tcPr>
          <w:p w14:paraId="3E67807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20</w:t>
            </w:r>
          </w:p>
        </w:tc>
        <w:tc>
          <w:tcPr>
            <w:tcW w:w="1787" w:type="dxa"/>
            <w:vAlign w:val="center"/>
          </w:tcPr>
          <w:p w14:paraId="3FEB4C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vertAlign w:val="baseline"/>
              </w:rPr>
            </w:pPr>
            <w:r>
              <w:rPr>
                <w:rFonts w:hint="eastAsia" w:ascii="仿宋" w:hAnsi="仿宋" w:eastAsia="仿宋" w:cs="仿宋"/>
                <w:b/>
                <w:color w:val="auto"/>
                <w:sz w:val="24"/>
                <w:szCs w:val="24"/>
                <w:highlight w:val="none"/>
                <w:vertAlign w:val="baseline"/>
              </w:rPr>
              <w:t>开标程序</w:t>
            </w:r>
          </w:p>
        </w:tc>
        <w:tc>
          <w:tcPr>
            <w:tcW w:w="6725" w:type="dxa"/>
            <w:vAlign w:val="center"/>
          </w:tcPr>
          <w:p w14:paraId="54F77F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（1）按下列程序进行开标：</w:t>
            </w:r>
          </w:p>
          <w:p w14:paraId="527FC3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①采购人、采购代理机构、</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登录电子开标系统。</w:t>
            </w:r>
          </w:p>
          <w:p w14:paraId="705E02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②投标文件递交截止时间后，采购人或采购代理机构确认网上开标会开始，系统显示</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名称。</w:t>
            </w:r>
          </w:p>
          <w:p w14:paraId="6487D0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③采购人或采购代理机构通过系统发出投标文件解密指令，</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应在解密指令发出后使用数字证书，在 30 分钟内完成解密。</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未在规定时间内完成解密并无合理原因的，视为撤销投标文件。</w:t>
            </w:r>
          </w:p>
          <w:p w14:paraId="7FCA8C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④</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解密成功后，网上开标系统只显示该</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自身投标报价。</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应对系统提取的报价进行确认，确认时间为 10 分钟内。</w:t>
            </w:r>
          </w:p>
          <w:p w14:paraId="3EDBEE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解密成功后，如发现系统提取的自身投标报价不正确，可通过系统向采购人或采购代理机构提出异议，采购人或采购代理机构可暂停开标，由交易中心技术人员通过网上开标系统核实报价情况，核实确定是否修正异议</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报价后，继续开标进程。</w:t>
            </w:r>
          </w:p>
          <w:p w14:paraId="039AD7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⑤确认报价后，系统生成开标记录表，内容应包含所有</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名称和</w:t>
            </w:r>
            <w:r>
              <w:rPr>
                <w:rFonts w:hint="eastAsia" w:ascii="仿宋" w:hAnsi="仿宋" w:eastAsia="仿宋" w:cs="仿宋"/>
                <w:b w:val="0"/>
                <w:bCs/>
                <w:color w:val="auto"/>
                <w:sz w:val="24"/>
                <w:szCs w:val="24"/>
                <w:highlight w:val="none"/>
                <w:vertAlign w:val="baseline"/>
                <w:lang w:eastAsia="zh-CN"/>
              </w:rPr>
              <w:t>采购文件</w:t>
            </w:r>
            <w:r>
              <w:rPr>
                <w:rFonts w:hint="eastAsia" w:ascii="仿宋" w:hAnsi="仿宋" w:eastAsia="仿宋" w:cs="仿宋"/>
                <w:b w:val="0"/>
                <w:bCs/>
                <w:color w:val="auto"/>
                <w:sz w:val="24"/>
                <w:szCs w:val="24"/>
                <w:highlight w:val="none"/>
                <w:vertAlign w:val="baseline"/>
              </w:rPr>
              <w:t>规定的其他内容，并将开标记录表在网上开标系统内公开。</w:t>
            </w:r>
          </w:p>
          <w:p w14:paraId="2A3F22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⑥各</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在确认报价环节后，应对开标记录表内容进行签章确认，确认时间为 10 分钟内。未在规定时间内对开标记录表进行签章且未提出异议(质疑)的，视为默认开标结果。</w:t>
            </w:r>
          </w:p>
          <w:p w14:paraId="6B9FBC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⑦开标结束。</w:t>
            </w:r>
          </w:p>
          <w:p w14:paraId="244EF7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（2）特别提示：</w:t>
            </w:r>
          </w:p>
          <w:p w14:paraId="518CCB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①本项目为“远程投标、网上开标”项目，为保证项目开标顺利进行，</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参与投标和开标时应妥善保管数字证书，确保数字证书在有效期内。</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由于数字证书遗失、损坏、更换、续期等导致投标文件无法解密的，</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自行承担责任。</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应当自行负责参与网上开标的网络环境、硬件环境正常。在开标前，</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应利用参与开标的电脑提前 1 至 2 天登入开标系统进行电脑配置环境检测，并按提示设置电脑环境。</w:t>
            </w:r>
          </w:p>
          <w:p w14:paraId="47AE10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 xml:space="preserve">②按照《贵州省公共资源交易网上开标操作办法(试行) 》第三章意外情况处理第二十条电子交易系统出现下列情形之一的暂停项目开标，由采购人(采购人) 或其委托的采购代理机构、交易中心研究提出意见，视情况向监督部门报告: </w:t>
            </w:r>
          </w:p>
          <w:p w14:paraId="6CBFEB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a.开标项目电子服务、交易系统服务器发生故障导致无法访问网站或无法使用系统的。</w:t>
            </w:r>
          </w:p>
          <w:p w14:paraId="2954F1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b.开标项目电子服务、交易系统的软件或网络数据库出现错误不能进行正常操作的。</w:t>
            </w:r>
          </w:p>
          <w:p w14:paraId="20F1F7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c.系统存在安全漏洞，有潜在泄密风险的。</w:t>
            </w:r>
          </w:p>
          <w:p w14:paraId="25CF49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d.交易系统计算机病毒发作，导致系统无法正常运行的。</w:t>
            </w:r>
          </w:p>
          <w:p w14:paraId="4C7BB9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e.电力系统发生故障，导致交易系统无法运行的。</w:t>
            </w:r>
          </w:p>
          <w:p w14:paraId="75323B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f.其他非</w:t>
            </w:r>
            <w:r>
              <w:rPr>
                <w:rFonts w:hint="eastAsia" w:ascii="仿宋" w:hAnsi="仿宋" w:eastAsia="仿宋" w:cs="仿宋"/>
                <w:b w:val="0"/>
                <w:bCs/>
                <w:color w:val="auto"/>
                <w:sz w:val="24"/>
                <w:szCs w:val="24"/>
                <w:highlight w:val="none"/>
                <w:vertAlign w:val="baseline"/>
                <w:lang w:eastAsia="zh-CN"/>
              </w:rPr>
              <w:t>供应商</w:t>
            </w:r>
            <w:r>
              <w:rPr>
                <w:rFonts w:hint="eastAsia" w:ascii="仿宋" w:hAnsi="仿宋" w:eastAsia="仿宋" w:cs="仿宋"/>
                <w:b w:val="0"/>
                <w:bCs/>
                <w:color w:val="auto"/>
                <w:sz w:val="24"/>
                <w:szCs w:val="24"/>
                <w:highlight w:val="none"/>
                <w:vertAlign w:val="baseline"/>
              </w:rPr>
              <w:t>(供应商) 原因，导致开标无法正常进行的。</w:t>
            </w:r>
          </w:p>
          <w:p w14:paraId="3E8E6A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系统故障在三个小时内排除的项目开标重新启动。 三个小时内未排除的，另行通知网上开标时间。</w:t>
            </w:r>
          </w:p>
        </w:tc>
      </w:tr>
      <w:tr w14:paraId="5854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65A73B2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21</w:t>
            </w:r>
          </w:p>
        </w:tc>
        <w:tc>
          <w:tcPr>
            <w:tcW w:w="1787" w:type="dxa"/>
            <w:vAlign w:val="center"/>
          </w:tcPr>
          <w:p w14:paraId="0963E4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评标方法</w:t>
            </w:r>
          </w:p>
        </w:tc>
        <w:tc>
          <w:tcPr>
            <w:tcW w:w="6725" w:type="dxa"/>
            <w:vAlign w:val="center"/>
          </w:tcPr>
          <w:p w14:paraId="488E73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评标办法：综合评分法（详见第三章）。</w:t>
            </w:r>
          </w:p>
        </w:tc>
      </w:tr>
      <w:tr w14:paraId="6855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shd w:val="clear" w:color="auto" w:fill="auto"/>
            <w:vAlign w:val="center"/>
          </w:tcPr>
          <w:p w14:paraId="5660CDA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22</w:t>
            </w:r>
          </w:p>
        </w:tc>
        <w:tc>
          <w:tcPr>
            <w:tcW w:w="1787" w:type="dxa"/>
            <w:vAlign w:val="center"/>
          </w:tcPr>
          <w:p w14:paraId="2DB5B1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strike/>
                <w:dstrike w:val="0"/>
                <w:color w:val="auto"/>
                <w:sz w:val="24"/>
                <w:szCs w:val="24"/>
                <w:highlight w:val="none"/>
                <w:vertAlign w:val="baseline"/>
              </w:rPr>
            </w:pPr>
            <w:r>
              <w:rPr>
                <w:rFonts w:hint="eastAsia" w:ascii="仿宋" w:hAnsi="仿宋" w:eastAsia="仿宋" w:cs="仿宋"/>
                <w:b w:val="0"/>
                <w:bCs/>
                <w:strike w:val="0"/>
                <w:dstrike w:val="0"/>
                <w:color w:val="auto"/>
                <w:sz w:val="24"/>
                <w:szCs w:val="24"/>
                <w:highlight w:val="none"/>
                <w:vertAlign w:val="baseline"/>
              </w:rPr>
              <w:t>履约保证金</w:t>
            </w:r>
          </w:p>
        </w:tc>
        <w:tc>
          <w:tcPr>
            <w:tcW w:w="6725" w:type="dxa"/>
            <w:vAlign w:val="center"/>
          </w:tcPr>
          <w:p w14:paraId="636059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strike w:val="0"/>
                <w:dstrike w:val="0"/>
                <w:color w:val="auto"/>
                <w:sz w:val="24"/>
                <w:szCs w:val="24"/>
                <w:highlight w:val="none"/>
                <w:vertAlign w:val="baseline"/>
                <w:lang w:val="en-US" w:eastAsia="zh-CN"/>
              </w:rPr>
            </w:pPr>
            <w:r>
              <w:rPr>
                <w:rFonts w:hint="eastAsia" w:ascii="仿宋" w:hAnsi="仿宋" w:eastAsia="仿宋" w:cs="仿宋"/>
                <w:b w:val="0"/>
                <w:bCs/>
                <w:strike w:val="0"/>
                <w:dstrike w:val="0"/>
                <w:color w:val="auto"/>
                <w:kern w:val="2"/>
                <w:sz w:val="24"/>
                <w:szCs w:val="24"/>
                <w:highlight w:val="none"/>
                <w:vertAlign w:val="baseline"/>
                <w:lang w:val="en-US" w:eastAsia="zh-CN" w:bidi="ar-SA"/>
              </w:rPr>
              <w:t xml:space="preserve"> 本项目</w:t>
            </w:r>
            <w:r>
              <w:rPr>
                <w:rFonts w:hint="eastAsia" w:ascii="仿宋" w:hAnsi="仿宋" w:eastAsia="仿宋" w:cs="仿宋"/>
                <w:b/>
                <w:bCs w:val="0"/>
                <w:strike w:val="0"/>
                <w:dstrike w:val="0"/>
                <w:color w:val="auto"/>
                <w:sz w:val="24"/>
                <w:szCs w:val="24"/>
                <w:highlight w:val="none"/>
                <w:u w:val="none"/>
                <w:vertAlign w:val="baseline"/>
                <w:lang w:val="en-US" w:eastAsia="zh-CN"/>
              </w:rPr>
              <w:t>不要求</w:t>
            </w:r>
            <w:r>
              <w:rPr>
                <w:rFonts w:hint="eastAsia" w:ascii="仿宋" w:hAnsi="仿宋" w:eastAsia="仿宋" w:cs="仿宋"/>
                <w:b w:val="0"/>
                <w:bCs/>
                <w:strike w:val="0"/>
                <w:dstrike w:val="0"/>
                <w:color w:val="auto"/>
                <w:sz w:val="24"/>
                <w:szCs w:val="24"/>
                <w:highlight w:val="none"/>
                <w:vertAlign w:val="baseline"/>
              </w:rPr>
              <w:t>履约保证金</w:t>
            </w:r>
            <w:r>
              <w:rPr>
                <w:rFonts w:hint="eastAsia" w:ascii="仿宋" w:hAnsi="仿宋" w:eastAsia="仿宋" w:cs="仿宋"/>
                <w:b w:val="0"/>
                <w:bCs/>
                <w:strike w:val="0"/>
                <w:dstrike w:val="0"/>
                <w:color w:val="auto"/>
                <w:sz w:val="24"/>
                <w:szCs w:val="24"/>
                <w:highlight w:val="none"/>
                <w:vertAlign w:val="baseline"/>
                <w:lang w:val="en-US" w:eastAsia="zh-CN"/>
              </w:rPr>
              <w:t>。</w:t>
            </w:r>
          </w:p>
        </w:tc>
      </w:tr>
      <w:tr w14:paraId="435E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5AF2AFA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kern w:val="2"/>
                <w:sz w:val="24"/>
                <w:szCs w:val="24"/>
                <w:highlight w:val="none"/>
                <w:vertAlign w:val="baseline"/>
                <w:lang w:val="en-US" w:eastAsia="zh-CN" w:bidi="ar-SA"/>
              </w:rPr>
              <w:t>23</w:t>
            </w:r>
          </w:p>
        </w:tc>
        <w:tc>
          <w:tcPr>
            <w:tcW w:w="1787" w:type="dxa"/>
            <w:vAlign w:val="center"/>
          </w:tcPr>
          <w:p w14:paraId="2474F0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strike w:val="0"/>
                <w:dstrike w:val="0"/>
                <w:color w:val="auto"/>
                <w:sz w:val="24"/>
                <w:szCs w:val="24"/>
                <w:highlight w:val="none"/>
                <w:vertAlign w:val="baseline"/>
              </w:rPr>
            </w:pPr>
            <w:r>
              <w:rPr>
                <w:rFonts w:hint="eastAsia" w:ascii="仿宋" w:hAnsi="仿宋" w:eastAsia="仿宋" w:cs="仿宋"/>
                <w:b w:val="0"/>
                <w:bCs/>
                <w:strike w:val="0"/>
                <w:dstrike w:val="0"/>
                <w:color w:val="auto"/>
                <w:sz w:val="24"/>
                <w:szCs w:val="24"/>
                <w:highlight w:val="none"/>
                <w:vertAlign w:val="baseline"/>
              </w:rPr>
              <w:t>调价原则</w:t>
            </w:r>
          </w:p>
        </w:tc>
        <w:tc>
          <w:tcPr>
            <w:tcW w:w="6725" w:type="dxa"/>
            <w:vAlign w:val="center"/>
          </w:tcPr>
          <w:p w14:paraId="4CCFF4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strike w:val="0"/>
                <w:dstrike w:val="0"/>
                <w:color w:val="auto"/>
                <w:sz w:val="24"/>
                <w:szCs w:val="24"/>
                <w:highlight w:val="none"/>
                <w:vertAlign w:val="baseline"/>
                <w:lang w:val="en-US"/>
              </w:rPr>
            </w:pPr>
            <w:r>
              <w:rPr>
                <w:rFonts w:hint="eastAsia" w:ascii="仿宋" w:hAnsi="仿宋" w:eastAsia="仿宋" w:cs="仿宋"/>
                <w:b w:val="0"/>
                <w:bCs/>
                <w:color w:val="auto"/>
                <w:sz w:val="24"/>
                <w:szCs w:val="24"/>
                <w:highlight w:val="none"/>
                <w:vertAlign w:val="baseline"/>
                <w:lang w:val="en-US" w:eastAsia="zh-CN"/>
              </w:rPr>
              <w:t>各供应商所报的投标总价报价在合同执行过程中是固定不变的，不得以任何理由予以变更。任何含价格调整要求的投标，将被认为是非响应性投标而予以拒绝。</w:t>
            </w:r>
          </w:p>
        </w:tc>
      </w:tr>
      <w:tr w14:paraId="155F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1749FF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23</w:t>
            </w:r>
          </w:p>
        </w:tc>
        <w:tc>
          <w:tcPr>
            <w:tcW w:w="1787" w:type="dxa"/>
            <w:vAlign w:val="center"/>
          </w:tcPr>
          <w:p w14:paraId="3A8FDC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strike w:val="0"/>
                <w:dstrike w:val="0"/>
                <w:color w:val="auto"/>
                <w:sz w:val="24"/>
                <w:szCs w:val="24"/>
                <w:highlight w:val="none"/>
                <w:vertAlign w:val="baseline"/>
              </w:rPr>
            </w:pPr>
            <w:r>
              <w:rPr>
                <w:rFonts w:hint="eastAsia" w:ascii="仿宋" w:hAnsi="仿宋" w:eastAsia="仿宋" w:cs="仿宋"/>
                <w:color w:val="auto"/>
                <w:kern w:val="0"/>
                <w:sz w:val="24"/>
                <w:szCs w:val="24"/>
                <w:highlight w:val="none"/>
                <w:lang w:val="en-US" w:eastAsia="zh-CN" w:bidi="ar"/>
              </w:rPr>
              <w:t>付款方式</w:t>
            </w:r>
          </w:p>
        </w:tc>
        <w:tc>
          <w:tcPr>
            <w:tcW w:w="6725" w:type="dxa"/>
            <w:vAlign w:val="center"/>
          </w:tcPr>
          <w:p w14:paraId="369C73F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kern w:val="2"/>
                <w:sz w:val="24"/>
                <w:szCs w:val="24"/>
                <w:highlight w:val="none"/>
                <w:vertAlign w:val="baseline"/>
                <w:lang w:val="en-US" w:eastAsia="zh-CN" w:bidi="ar-SA"/>
              </w:rPr>
              <w:t>（1）</w:t>
            </w:r>
            <w:r>
              <w:rPr>
                <w:rFonts w:hint="eastAsia" w:ascii="仿宋" w:hAnsi="仿宋" w:eastAsia="仿宋" w:cs="仿宋"/>
                <w:b w:val="0"/>
                <w:bCs/>
                <w:color w:val="auto"/>
                <w:sz w:val="24"/>
                <w:szCs w:val="24"/>
                <w:highlight w:val="none"/>
                <w:vertAlign w:val="baseline"/>
                <w:lang w:val="en-US" w:eastAsia="zh-CN"/>
              </w:rPr>
              <w:t xml:space="preserve">第一次付款：签订合同后，支付至合同金额的60%的预付款。 </w:t>
            </w:r>
          </w:p>
          <w:p w14:paraId="08F4FB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（2）第二次付款：满足最终验收条件，中标人提交最终验收材料，通过项目最终验收后，支付至合同金额的100%。</w:t>
            </w:r>
          </w:p>
        </w:tc>
      </w:tr>
      <w:tr w14:paraId="595C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1F5AD5B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sz w:val="24"/>
                <w:szCs w:val="24"/>
                <w:highlight w:val="none"/>
                <w:vertAlign w:val="baseline"/>
                <w:lang w:val="en-US" w:eastAsia="zh-CN"/>
              </w:rPr>
              <w:t>24</w:t>
            </w:r>
          </w:p>
        </w:tc>
        <w:tc>
          <w:tcPr>
            <w:tcW w:w="1787" w:type="dxa"/>
            <w:vAlign w:val="center"/>
          </w:tcPr>
          <w:p w14:paraId="0C93C6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评标委员会的组建</w:t>
            </w:r>
          </w:p>
        </w:tc>
        <w:tc>
          <w:tcPr>
            <w:tcW w:w="6725" w:type="dxa"/>
            <w:vAlign w:val="center"/>
          </w:tcPr>
          <w:p w14:paraId="21B357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评标委员会构成：</w:t>
            </w:r>
            <w:r>
              <w:rPr>
                <w:rFonts w:hint="eastAsia" w:ascii="仿宋" w:hAnsi="仿宋" w:eastAsia="仿宋" w:cs="仿宋"/>
                <w:b/>
                <w:bCs w:val="0"/>
                <w:color w:val="auto"/>
                <w:sz w:val="24"/>
                <w:szCs w:val="24"/>
                <w:highlight w:val="none"/>
                <w:u w:val="single"/>
                <w:vertAlign w:val="baseline"/>
                <w:lang w:val="en-US" w:eastAsia="zh-CN"/>
              </w:rPr>
              <w:t>5</w:t>
            </w:r>
            <w:r>
              <w:rPr>
                <w:rFonts w:hint="eastAsia" w:ascii="仿宋" w:hAnsi="仿宋" w:eastAsia="仿宋" w:cs="仿宋"/>
                <w:b w:val="0"/>
                <w:bCs/>
                <w:color w:val="auto"/>
                <w:sz w:val="24"/>
                <w:szCs w:val="24"/>
                <w:highlight w:val="none"/>
                <w:vertAlign w:val="baseline"/>
                <w:lang w:val="en-US" w:eastAsia="zh-CN"/>
              </w:rPr>
              <w:t>人，其中采购人代表</w:t>
            </w:r>
            <w:r>
              <w:rPr>
                <w:rFonts w:hint="eastAsia" w:ascii="仿宋" w:hAnsi="仿宋" w:eastAsia="仿宋" w:cs="仿宋"/>
                <w:b/>
                <w:bCs w:val="0"/>
                <w:color w:val="auto"/>
                <w:sz w:val="24"/>
                <w:szCs w:val="24"/>
                <w:highlight w:val="yellow"/>
                <w:u w:val="single"/>
                <w:vertAlign w:val="baseline"/>
                <w:lang w:val="en-US" w:eastAsia="zh-CN"/>
              </w:rPr>
              <w:t>1</w:t>
            </w:r>
            <w:r>
              <w:rPr>
                <w:rFonts w:hint="eastAsia" w:ascii="仿宋" w:hAnsi="仿宋" w:eastAsia="仿宋" w:cs="仿宋"/>
                <w:b w:val="0"/>
                <w:bCs/>
                <w:color w:val="auto"/>
                <w:sz w:val="24"/>
                <w:szCs w:val="24"/>
                <w:highlight w:val="none"/>
                <w:vertAlign w:val="baseline"/>
                <w:lang w:val="en-US" w:eastAsia="zh-CN"/>
              </w:rPr>
              <w:t>人，省综合评标专家库专家</w:t>
            </w:r>
            <w:r>
              <w:rPr>
                <w:rFonts w:hint="eastAsia" w:ascii="仿宋" w:hAnsi="仿宋" w:eastAsia="仿宋" w:cs="仿宋"/>
                <w:b/>
                <w:bCs w:val="0"/>
                <w:color w:val="auto"/>
                <w:sz w:val="24"/>
                <w:szCs w:val="24"/>
                <w:highlight w:val="yellow"/>
                <w:u w:val="single"/>
                <w:vertAlign w:val="baseline"/>
                <w:lang w:val="en-US" w:eastAsia="zh-CN"/>
              </w:rPr>
              <w:t>4</w:t>
            </w:r>
            <w:r>
              <w:rPr>
                <w:rFonts w:hint="eastAsia" w:ascii="仿宋" w:hAnsi="仿宋" w:eastAsia="仿宋" w:cs="仿宋"/>
                <w:b w:val="0"/>
                <w:bCs/>
                <w:color w:val="auto"/>
                <w:sz w:val="24"/>
                <w:szCs w:val="24"/>
                <w:highlight w:val="none"/>
                <w:vertAlign w:val="baseline"/>
                <w:lang w:val="en-US" w:eastAsia="zh-CN"/>
              </w:rPr>
              <w:t xml:space="preserve">人（专家库随机抽取）。 </w:t>
            </w:r>
          </w:p>
          <w:p w14:paraId="03816B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评标专家确定方式：5人以上单数，其中技术、经济等方面的专家不得少于成员总数的2/3。</w:t>
            </w:r>
          </w:p>
        </w:tc>
      </w:tr>
      <w:tr w14:paraId="3C9F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292B61F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kern w:val="2"/>
                <w:sz w:val="24"/>
                <w:szCs w:val="24"/>
                <w:highlight w:val="none"/>
                <w:vertAlign w:val="baseline"/>
                <w:lang w:val="en-US" w:eastAsia="zh-CN" w:bidi="ar-SA"/>
              </w:rPr>
              <w:t>25</w:t>
            </w:r>
          </w:p>
        </w:tc>
        <w:tc>
          <w:tcPr>
            <w:tcW w:w="1787" w:type="dxa"/>
            <w:vAlign w:val="center"/>
          </w:tcPr>
          <w:p w14:paraId="77DCF8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中标通知书的领取</w:t>
            </w:r>
          </w:p>
        </w:tc>
        <w:tc>
          <w:tcPr>
            <w:tcW w:w="6725" w:type="dxa"/>
            <w:vAlign w:val="center"/>
          </w:tcPr>
          <w:p w14:paraId="5A4B58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中标人须在采购代理机构通知后三个工作日内到采购代理机构领取中标通知书原件。因中标人不领取中标通知书对采购人项目造成影响的，采购人保留向中标人追究法律责6任的权利。</w:t>
            </w:r>
          </w:p>
        </w:tc>
      </w:tr>
      <w:tr w14:paraId="0035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0E25A7C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kern w:val="2"/>
                <w:sz w:val="24"/>
                <w:szCs w:val="24"/>
                <w:highlight w:val="none"/>
                <w:vertAlign w:val="baseline"/>
                <w:lang w:val="en-US" w:eastAsia="zh-CN" w:bidi="ar-SA"/>
              </w:rPr>
              <w:t>26</w:t>
            </w:r>
          </w:p>
        </w:tc>
        <w:tc>
          <w:tcPr>
            <w:tcW w:w="1787" w:type="dxa"/>
            <w:shd w:val="clear" w:color="auto" w:fill="auto"/>
            <w:vAlign w:val="center"/>
          </w:tcPr>
          <w:p w14:paraId="77B313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发布公告的</w:t>
            </w:r>
          </w:p>
          <w:p w14:paraId="333AEA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highlight w:val="none"/>
                <w:lang w:val="en-US" w:eastAsia="zh-CN" w:bidi="ar"/>
              </w:rPr>
              <w:t>媒介</w:t>
            </w:r>
          </w:p>
        </w:tc>
        <w:tc>
          <w:tcPr>
            <w:tcW w:w="6725" w:type="dxa"/>
            <w:shd w:val="clear" w:color="auto" w:fill="auto"/>
            <w:vAlign w:val="center"/>
          </w:tcPr>
          <w:p w14:paraId="4D6AD4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highlight w:val="none"/>
                <w:lang w:val="en-US" w:eastAsia="zh-CN" w:bidi="ar"/>
              </w:rPr>
              <w:t>本次招标公告在贵州省政府采购网、贵州省公共资源交易中心网及贵州省招标投标公共服务平台上发布。</w:t>
            </w:r>
          </w:p>
        </w:tc>
      </w:tr>
      <w:tr w14:paraId="5F97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05BCE0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kern w:val="2"/>
                <w:sz w:val="24"/>
                <w:szCs w:val="24"/>
                <w:highlight w:val="none"/>
                <w:vertAlign w:val="baseline"/>
                <w:lang w:val="en-US" w:eastAsia="zh-CN" w:bidi="ar-SA"/>
              </w:rPr>
              <w:t>27</w:t>
            </w:r>
          </w:p>
        </w:tc>
        <w:tc>
          <w:tcPr>
            <w:tcW w:w="1787" w:type="dxa"/>
            <w:vAlign w:val="center"/>
          </w:tcPr>
          <w:p w14:paraId="015703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strike/>
                <w:dstrike w:val="0"/>
                <w:color w:val="auto"/>
                <w:sz w:val="24"/>
                <w:szCs w:val="24"/>
                <w:highlight w:val="none"/>
                <w:vertAlign w:val="baseline"/>
              </w:rPr>
            </w:pPr>
            <w:r>
              <w:rPr>
                <w:rFonts w:hint="eastAsia" w:ascii="仿宋" w:hAnsi="仿宋" w:eastAsia="仿宋" w:cs="仿宋"/>
                <w:b w:val="0"/>
                <w:bCs/>
                <w:strike w:val="0"/>
                <w:dstrike w:val="0"/>
                <w:color w:val="auto"/>
                <w:sz w:val="24"/>
                <w:szCs w:val="24"/>
                <w:highlight w:val="none"/>
                <w:vertAlign w:val="baseline"/>
              </w:rPr>
              <w:t>招标代理服务费</w:t>
            </w:r>
          </w:p>
        </w:tc>
        <w:tc>
          <w:tcPr>
            <w:tcW w:w="6725" w:type="dxa"/>
            <w:vAlign w:val="center"/>
          </w:tcPr>
          <w:p w14:paraId="7BA697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val="0"/>
                <w:bCs/>
                <w:strike w:val="0"/>
                <w:dstrike w:val="0"/>
                <w:color w:val="auto"/>
                <w:sz w:val="24"/>
                <w:szCs w:val="24"/>
                <w:highlight w:val="none"/>
                <w:vertAlign w:val="baseline"/>
              </w:rPr>
            </w:pPr>
            <w:r>
              <w:rPr>
                <w:rFonts w:hint="eastAsia" w:ascii="仿宋" w:hAnsi="仿宋" w:eastAsia="仿宋" w:cs="仿宋"/>
                <w:b w:val="0"/>
                <w:bCs/>
                <w:strike w:val="0"/>
                <w:dstrike w:val="0"/>
                <w:color w:val="auto"/>
                <w:sz w:val="24"/>
                <w:szCs w:val="24"/>
                <w:highlight w:val="none"/>
                <w:vertAlign w:val="baseline"/>
              </w:rPr>
              <w:t>(1)</w:t>
            </w:r>
            <w:r>
              <w:rPr>
                <w:rFonts w:hint="eastAsia" w:ascii="仿宋" w:hAnsi="仿宋" w:eastAsia="仿宋" w:cs="仿宋"/>
                <w:color w:val="auto"/>
                <w:kern w:val="0"/>
                <w:sz w:val="24"/>
                <w:szCs w:val="24"/>
                <w:highlight w:val="none"/>
                <w:lang w:val="en-US" w:eastAsia="zh-CN" w:bidi="ar"/>
              </w:rPr>
              <w:t>以中标人的中标价为基数，</w:t>
            </w:r>
            <w:r>
              <w:rPr>
                <w:rFonts w:hint="eastAsia" w:ascii="仿宋" w:hAnsi="仿宋" w:eastAsia="仿宋" w:cs="仿宋"/>
                <w:b w:val="0"/>
                <w:bCs/>
                <w:strike w:val="0"/>
                <w:dstrike w:val="0"/>
                <w:color w:val="auto"/>
                <w:sz w:val="24"/>
                <w:szCs w:val="24"/>
                <w:highlight w:val="none"/>
                <w:vertAlign w:val="baseline"/>
              </w:rPr>
              <w:t>参照贵州省招标代理服务收费标准(黔价房[2011]69号)文件规定收取招标代理服务费，招标代理服务费由中标人领取中标（</w:t>
            </w:r>
            <w:r>
              <w:rPr>
                <w:rFonts w:hint="eastAsia" w:ascii="仿宋" w:hAnsi="仿宋" w:eastAsia="仿宋" w:cs="仿宋"/>
                <w:b w:val="0"/>
                <w:bCs/>
                <w:strike w:val="0"/>
                <w:dstrike w:val="0"/>
                <w:color w:val="auto"/>
                <w:sz w:val="24"/>
                <w:szCs w:val="24"/>
                <w:highlight w:val="none"/>
                <w:vertAlign w:val="baseline"/>
                <w:lang w:eastAsia="zh-CN"/>
              </w:rPr>
              <w:t>中标</w:t>
            </w:r>
            <w:r>
              <w:rPr>
                <w:rFonts w:hint="eastAsia" w:ascii="仿宋" w:hAnsi="仿宋" w:eastAsia="仿宋" w:cs="仿宋"/>
                <w:b w:val="0"/>
                <w:bCs/>
                <w:strike w:val="0"/>
                <w:dstrike w:val="0"/>
                <w:color w:val="auto"/>
                <w:sz w:val="24"/>
                <w:szCs w:val="24"/>
                <w:highlight w:val="none"/>
                <w:vertAlign w:val="baseline"/>
              </w:rPr>
              <w:t>）通知书时一次性支付。</w:t>
            </w:r>
          </w:p>
          <w:p w14:paraId="5FF390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val="0"/>
                <w:bCs/>
                <w:strike w:val="0"/>
                <w:dstrike w:val="0"/>
                <w:color w:val="auto"/>
                <w:sz w:val="24"/>
                <w:szCs w:val="24"/>
                <w:highlight w:val="none"/>
                <w:vertAlign w:val="baseline"/>
              </w:rPr>
            </w:pPr>
            <w:r>
              <w:rPr>
                <w:rFonts w:hint="eastAsia" w:ascii="仿宋" w:hAnsi="仿宋" w:eastAsia="仿宋" w:cs="仿宋"/>
                <w:b w:val="0"/>
                <w:bCs/>
                <w:strike w:val="0"/>
                <w:dstrike w:val="0"/>
                <w:color w:val="auto"/>
                <w:sz w:val="24"/>
                <w:szCs w:val="24"/>
                <w:highlight w:val="none"/>
                <w:vertAlign w:val="baseline"/>
              </w:rPr>
              <w:t>(2)招标代理服务费交纳账户：</w:t>
            </w:r>
          </w:p>
          <w:p w14:paraId="00DA87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val="0"/>
                <w:bCs/>
                <w:strike w:val="0"/>
                <w:dstrike w:val="0"/>
                <w:color w:val="auto"/>
                <w:sz w:val="24"/>
                <w:szCs w:val="24"/>
                <w:highlight w:val="none"/>
                <w:vertAlign w:val="baseline"/>
              </w:rPr>
            </w:pPr>
            <w:r>
              <w:rPr>
                <w:rFonts w:hint="eastAsia" w:ascii="仿宋" w:hAnsi="仿宋" w:eastAsia="仿宋" w:cs="仿宋"/>
                <w:b w:val="0"/>
                <w:bCs/>
                <w:strike w:val="0"/>
                <w:dstrike w:val="0"/>
                <w:color w:val="auto"/>
                <w:sz w:val="24"/>
                <w:szCs w:val="24"/>
                <w:highlight w:val="none"/>
                <w:vertAlign w:val="baseline"/>
              </w:rPr>
              <w:t xml:space="preserve">户 </w:t>
            </w:r>
            <w:r>
              <w:rPr>
                <w:rFonts w:hint="eastAsia" w:ascii="仿宋" w:hAnsi="仿宋" w:eastAsia="仿宋" w:cs="仿宋"/>
                <w:b w:val="0"/>
                <w:bCs/>
                <w:strike w:val="0"/>
                <w:dstrike w:val="0"/>
                <w:color w:val="auto"/>
                <w:sz w:val="24"/>
                <w:szCs w:val="24"/>
                <w:highlight w:val="none"/>
                <w:vertAlign w:val="baseline"/>
                <w:lang w:val="en-US" w:eastAsia="zh-CN"/>
              </w:rPr>
              <w:t xml:space="preserve"> </w:t>
            </w:r>
            <w:r>
              <w:rPr>
                <w:rFonts w:hint="eastAsia" w:ascii="仿宋" w:hAnsi="仿宋" w:eastAsia="仿宋" w:cs="仿宋"/>
                <w:b w:val="0"/>
                <w:bCs/>
                <w:strike w:val="0"/>
                <w:dstrike w:val="0"/>
                <w:color w:val="auto"/>
                <w:sz w:val="24"/>
                <w:szCs w:val="24"/>
                <w:highlight w:val="none"/>
                <w:vertAlign w:val="baseline"/>
              </w:rPr>
              <w:t>名：</w:t>
            </w:r>
            <w:r>
              <w:rPr>
                <w:rFonts w:hint="eastAsia" w:ascii="仿宋" w:hAnsi="仿宋" w:eastAsia="仿宋" w:cs="仿宋"/>
                <w:b w:val="0"/>
                <w:bCs/>
                <w:strike w:val="0"/>
                <w:dstrike w:val="0"/>
                <w:color w:val="auto"/>
                <w:sz w:val="24"/>
                <w:szCs w:val="24"/>
                <w:highlight w:val="none"/>
                <w:vertAlign w:val="baseline"/>
                <w:lang w:val="en-US" w:eastAsia="zh-CN"/>
              </w:rPr>
              <w:t>普诚正华工程咨询有限公司</w:t>
            </w:r>
          </w:p>
          <w:p w14:paraId="137DF1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val="0"/>
                <w:bCs/>
                <w:strike w:val="0"/>
                <w:dstrike w:val="0"/>
                <w:color w:val="auto"/>
                <w:sz w:val="24"/>
                <w:szCs w:val="24"/>
                <w:highlight w:val="none"/>
                <w:vertAlign w:val="baseline"/>
                <w:lang w:val="en-US" w:eastAsia="zh-CN"/>
              </w:rPr>
            </w:pPr>
            <w:r>
              <w:rPr>
                <w:rFonts w:hint="eastAsia" w:ascii="仿宋" w:hAnsi="仿宋" w:eastAsia="仿宋" w:cs="仿宋"/>
                <w:b w:val="0"/>
                <w:bCs/>
                <w:strike w:val="0"/>
                <w:dstrike w:val="0"/>
                <w:color w:val="auto"/>
                <w:sz w:val="24"/>
                <w:szCs w:val="24"/>
                <w:highlight w:val="none"/>
                <w:vertAlign w:val="baseline"/>
                <w:lang w:val="en-US" w:eastAsia="zh-CN"/>
              </w:rPr>
              <w:t>开户行：中国工商银行贵阳瑞金南路支行</w:t>
            </w:r>
          </w:p>
          <w:p w14:paraId="3BC7CB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val="0"/>
                <w:bCs/>
                <w:strike w:val="0"/>
                <w:dstrike w:val="0"/>
                <w:color w:val="auto"/>
                <w:sz w:val="24"/>
                <w:szCs w:val="24"/>
                <w:highlight w:val="none"/>
                <w:vertAlign w:val="baseline"/>
              </w:rPr>
            </w:pPr>
            <w:r>
              <w:rPr>
                <w:rFonts w:hint="eastAsia" w:ascii="仿宋" w:hAnsi="仿宋" w:eastAsia="仿宋" w:cs="仿宋"/>
                <w:b w:val="0"/>
                <w:bCs/>
                <w:strike w:val="0"/>
                <w:dstrike w:val="0"/>
                <w:color w:val="auto"/>
                <w:sz w:val="24"/>
                <w:szCs w:val="24"/>
                <w:highlight w:val="none"/>
                <w:vertAlign w:val="baseline"/>
                <w:lang w:val="en-US" w:eastAsia="zh-CN"/>
              </w:rPr>
              <w:t>账  号：240 200 630 902 250 4563</w:t>
            </w:r>
          </w:p>
        </w:tc>
      </w:tr>
      <w:tr w14:paraId="2D60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shd w:val="clear" w:color="auto" w:fill="auto"/>
            <w:vAlign w:val="center"/>
          </w:tcPr>
          <w:p w14:paraId="79E352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kern w:val="2"/>
                <w:sz w:val="24"/>
                <w:szCs w:val="24"/>
                <w:highlight w:val="none"/>
                <w:vertAlign w:val="baseline"/>
                <w:lang w:val="en-US" w:eastAsia="zh-CN" w:bidi="ar-SA"/>
              </w:rPr>
              <w:t>28</w:t>
            </w:r>
          </w:p>
        </w:tc>
        <w:tc>
          <w:tcPr>
            <w:tcW w:w="1787" w:type="dxa"/>
            <w:vAlign w:val="center"/>
          </w:tcPr>
          <w:p w14:paraId="2CAC8D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val="0"/>
                <w:bCs/>
                <w:strike w:val="0"/>
                <w:dstrike w:val="0"/>
                <w:color w:val="auto"/>
                <w:sz w:val="24"/>
                <w:szCs w:val="24"/>
                <w:highlight w:val="none"/>
                <w:vertAlign w:val="baseline"/>
                <w:lang w:val="en-US" w:eastAsia="zh-CN"/>
              </w:rPr>
            </w:pPr>
            <w:r>
              <w:rPr>
                <w:rFonts w:hint="eastAsia" w:ascii="仿宋" w:hAnsi="仿宋" w:eastAsia="仿宋" w:cs="仿宋"/>
                <w:b w:val="0"/>
                <w:bCs/>
                <w:strike w:val="0"/>
                <w:dstrike w:val="0"/>
                <w:color w:val="auto"/>
                <w:sz w:val="24"/>
                <w:szCs w:val="24"/>
                <w:highlight w:val="none"/>
                <w:vertAlign w:val="baseline"/>
                <w:lang w:val="en-US" w:eastAsia="zh-CN"/>
              </w:rPr>
              <w:t>其他要求</w:t>
            </w:r>
          </w:p>
        </w:tc>
        <w:tc>
          <w:tcPr>
            <w:tcW w:w="6725" w:type="dxa"/>
            <w:vAlign w:val="center"/>
          </w:tcPr>
          <w:p w14:paraId="4C3F9B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bCs w:val="0"/>
                <w:strike w:val="0"/>
                <w:dstrike w:val="0"/>
                <w:color w:val="auto"/>
                <w:sz w:val="24"/>
                <w:szCs w:val="24"/>
                <w:highlight w:val="none"/>
                <w:vertAlign w:val="baseline"/>
                <w:lang w:val="en-US" w:eastAsia="zh-CN"/>
              </w:rPr>
            </w:pPr>
            <w:r>
              <w:rPr>
                <w:rFonts w:hint="eastAsia" w:ascii="仿宋" w:hAnsi="仿宋" w:eastAsia="仿宋" w:cs="仿宋"/>
                <w:b/>
                <w:bCs w:val="0"/>
                <w:strike w:val="0"/>
                <w:dstrike w:val="0"/>
                <w:color w:val="auto"/>
                <w:sz w:val="24"/>
                <w:szCs w:val="24"/>
                <w:highlight w:val="none"/>
                <w:vertAlign w:val="baseline"/>
                <w:lang w:val="en-US" w:eastAsia="zh-CN"/>
              </w:rPr>
              <w:t>供应商须承诺中标后，采购人在中华人民共和国境内使用中标人提供的产品和服务时免受第三方提出的侵犯其专利权或其它知识产权的起诉。如果第三方提出侵权指控，中标人应承担因此而引起的一切法律责任和费用，并赔偿给采购人造成的损失</w:t>
            </w:r>
          </w:p>
          <w:p w14:paraId="616568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bCs w:val="0"/>
                <w:strike w:val="0"/>
                <w:dstrike w:val="0"/>
                <w:color w:val="auto"/>
                <w:sz w:val="24"/>
                <w:szCs w:val="24"/>
                <w:highlight w:val="none"/>
                <w:vertAlign w:val="baseline"/>
                <w:lang w:val="en-US" w:eastAsia="zh-CN"/>
              </w:rPr>
            </w:pPr>
            <w:r>
              <w:rPr>
                <w:rFonts w:hint="eastAsia" w:ascii="仿宋" w:hAnsi="仿宋" w:eastAsia="仿宋" w:cs="仿宋"/>
                <w:b/>
                <w:bCs w:val="0"/>
                <w:strike w:val="0"/>
                <w:dstrike w:val="0"/>
                <w:color w:val="auto"/>
                <w:sz w:val="24"/>
                <w:szCs w:val="24"/>
                <w:highlight w:val="none"/>
                <w:vertAlign w:val="baseline"/>
                <w:lang w:val="en-US" w:eastAsia="zh-CN"/>
              </w:rPr>
              <w:t>（供应商提供承诺函，未提供则按无效标处理）。</w:t>
            </w:r>
          </w:p>
        </w:tc>
      </w:tr>
      <w:tr w14:paraId="3AF2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3"/>
            <w:vAlign w:val="center"/>
          </w:tcPr>
          <w:p w14:paraId="11C56C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b/>
                <w:color w:val="auto"/>
                <w:sz w:val="24"/>
                <w:szCs w:val="24"/>
                <w:highlight w:val="none"/>
                <w:vertAlign w:val="baseline"/>
              </w:rPr>
            </w:pPr>
            <w:r>
              <w:rPr>
                <w:rFonts w:hint="eastAsia" w:ascii="仿宋" w:hAnsi="仿宋" w:eastAsia="仿宋" w:cs="仿宋"/>
                <w:b/>
                <w:bCs/>
                <w:color w:val="auto"/>
                <w:kern w:val="0"/>
                <w:sz w:val="24"/>
                <w:szCs w:val="24"/>
                <w:highlight w:val="none"/>
                <w:lang w:val="en-US" w:eastAsia="zh-CN" w:bidi="ar"/>
              </w:rPr>
              <w:t>注：采购文件其他地方与供应商须知前附表不一致的，以供应商须知前附表为准！</w:t>
            </w:r>
          </w:p>
        </w:tc>
      </w:tr>
    </w:tbl>
    <w:p w14:paraId="4CDD09D7">
      <w:r>
        <w:br w:type="page"/>
      </w:r>
    </w:p>
    <w:p w14:paraId="756EE2D2">
      <w:pPr>
        <w:pStyle w:val="2"/>
        <w:bidi w:val="0"/>
        <w:rPr>
          <w:rFonts w:hint="eastAsia" w:ascii="仿宋" w:hAnsi="仿宋" w:eastAsia="仿宋" w:cs="仿宋"/>
          <w:highlight w:val="none"/>
          <w:lang w:val="en-US" w:eastAsia="zh-CN"/>
        </w:rPr>
      </w:pPr>
      <w:bookmarkStart w:id="2" w:name="_Toc27833"/>
      <w:bookmarkStart w:id="3" w:name="_Toc19300"/>
      <w:bookmarkStart w:id="4" w:name="_Toc262"/>
      <w:r>
        <w:rPr>
          <w:rFonts w:hint="eastAsia" w:ascii="仿宋" w:hAnsi="仿宋" w:eastAsia="仿宋" w:cs="仿宋"/>
          <w:highlight w:val="none"/>
          <w:lang w:val="en-US" w:eastAsia="zh-CN"/>
        </w:rPr>
        <w:t>第三章  评标方法</w:t>
      </w:r>
      <w:bookmarkEnd w:id="2"/>
      <w:r>
        <w:rPr>
          <w:rFonts w:hint="eastAsia" w:ascii="仿宋" w:hAnsi="仿宋" w:eastAsia="仿宋" w:cs="仿宋"/>
          <w:highlight w:val="none"/>
          <w:lang w:val="en-US" w:eastAsia="zh-CN"/>
        </w:rPr>
        <w:t>及标准</w:t>
      </w:r>
      <w:bookmarkEnd w:id="3"/>
      <w:bookmarkEnd w:id="4"/>
    </w:p>
    <w:p w14:paraId="76B8A0B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一、评标评标办法前附表</w:t>
      </w:r>
    </w:p>
    <w:p w14:paraId="369F4D2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1、项目基本信息 </w:t>
      </w:r>
    </w:p>
    <w:p w14:paraId="6FB8AAE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项目编号：  </w:t>
      </w:r>
    </w:p>
    <w:p w14:paraId="0D5EA1A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项目名称：  </w:t>
      </w:r>
    </w:p>
    <w:p w14:paraId="57266DA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采购方式：公开招标 </w:t>
      </w:r>
    </w:p>
    <w:p w14:paraId="2BA93DC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项目资金来源：财政资金 </w:t>
      </w:r>
    </w:p>
    <w:p w14:paraId="2EFBFF7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PPP项目：否</w:t>
      </w:r>
    </w:p>
    <w:p w14:paraId="4303650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2.资格性检查。</w:t>
      </w:r>
    </w:p>
    <w:tbl>
      <w:tblPr>
        <w:tblStyle w:val="6"/>
        <w:tblW w:w="4997" w:type="pct"/>
        <w:jc w:val="center"/>
        <w:tblLayout w:type="autofit"/>
        <w:tblCellMar>
          <w:top w:w="15" w:type="dxa"/>
          <w:left w:w="15" w:type="dxa"/>
          <w:bottom w:w="15" w:type="dxa"/>
          <w:right w:w="15" w:type="dxa"/>
        </w:tblCellMar>
      </w:tblPr>
      <w:tblGrid>
        <w:gridCol w:w="613"/>
        <w:gridCol w:w="1035"/>
        <w:gridCol w:w="6683"/>
      </w:tblGrid>
      <w:tr w14:paraId="3869AE76">
        <w:tblPrEx>
          <w:tblCellMar>
            <w:top w:w="15" w:type="dxa"/>
            <w:left w:w="15" w:type="dxa"/>
            <w:bottom w:w="15" w:type="dxa"/>
            <w:right w:w="15" w:type="dxa"/>
          </w:tblCellMar>
        </w:tblPrEx>
        <w:trPr>
          <w:trHeight w:val="285" w:hRule="atLeast"/>
          <w:jc w:val="center"/>
        </w:trPr>
        <w:tc>
          <w:tcPr>
            <w:tcW w:w="368" w:type="pct"/>
            <w:tcBorders>
              <w:top w:val="single" w:color="000000" w:sz="4" w:space="0"/>
              <w:left w:val="single" w:color="000000" w:sz="4" w:space="0"/>
              <w:bottom w:val="single" w:color="000000" w:sz="4" w:space="0"/>
              <w:right w:val="single" w:color="000000" w:sz="4" w:space="0"/>
            </w:tcBorders>
            <w:noWrap w:val="0"/>
            <w:vAlign w:val="center"/>
          </w:tcPr>
          <w:p w14:paraId="6A3C3C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center"/>
              <w:rPr>
                <w:rFonts w:hint="eastAsia" w:ascii="仿宋" w:hAnsi="仿宋" w:eastAsia="仿宋" w:cs="仿宋"/>
                <w:b/>
                <w:color w:val="000000"/>
                <w:kern w:val="0"/>
                <w:sz w:val="24"/>
                <w:szCs w:val="24"/>
                <w:highlight w:val="none"/>
                <w:lang w:bidi="ar"/>
              </w:rPr>
            </w:pPr>
            <w:r>
              <w:rPr>
                <w:rFonts w:hint="eastAsia" w:ascii="仿宋" w:hAnsi="仿宋" w:eastAsia="仿宋" w:cs="仿宋"/>
                <w:b/>
                <w:color w:val="000000"/>
                <w:kern w:val="0"/>
                <w:sz w:val="24"/>
                <w:szCs w:val="24"/>
                <w:highlight w:val="none"/>
                <w:lang w:bidi="ar"/>
              </w:rPr>
              <w:t>序号</w:t>
            </w:r>
          </w:p>
        </w:tc>
        <w:tc>
          <w:tcPr>
            <w:tcW w:w="621" w:type="pct"/>
            <w:tcBorders>
              <w:top w:val="single" w:color="000000" w:sz="4" w:space="0"/>
              <w:left w:val="single" w:color="000000" w:sz="4" w:space="0"/>
              <w:bottom w:val="single" w:color="auto" w:sz="4" w:space="0"/>
              <w:right w:val="single" w:color="000000" w:sz="4" w:space="0"/>
            </w:tcBorders>
            <w:noWrap w:val="0"/>
            <w:vAlign w:val="center"/>
          </w:tcPr>
          <w:p w14:paraId="3A974E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条款号</w:t>
            </w:r>
          </w:p>
        </w:tc>
        <w:tc>
          <w:tcPr>
            <w:tcW w:w="4010" w:type="pct"/>
            <w:tcBorders>
              <w:top w:val="single" w:color="000000" w:sz="4" w:space="0"/>
              <w:bottom w:val="single" w:color="auto" w:sz="4" w:space="0"/>
              <w:right w:val="single" w:color="000000" w:sz="4" w:space="0"/>
            </w:tcBorders>
            <w:noWrap w:val="0"/>
            <w:vAlign w:val="center"/>
          </w:tcPr>
          <w:p w14:paraId="11DB90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lang w:bidi="ar"/>
              </w:rPr>
              <w:t>评审因素及评审标准</w:t>
            </w:r>
          </w:p>
        </w:tc>
      </w:tr>
      <w:tr w14:paraId="56ED8A89">
        <w:tblPrEx>
          <w:tblCellMar>
            <w:top w:w="15" w:type="dxa"/>
            <w:left w:w="15" w:type="dxa"/>
            <w:bottom w:w="15" w:type="dxa"/>
            <w:right w:w="15" w:type="dxa"/>
          </w:tblCellMar>
        </w:tblPrEx>
        <w:trPr>
          <w:trHeight w:val="783" w:hRule="atLeast"/>
          <w:jc w:val="center"/>
        </w:trPr>
        <w:tc>
          <w:tcPr>
            <w:tcW w:w="368" w:type="pct"/>
            <w:tcBorders>
              <w:top w:val="single" w:color="000000" w:sz="4" w:space="0"/>
              <w:left w:val="single" w:color="000000" w:sz="4" w:space="0"/>
              <w:bottom w:val="single" w:color="auto" w:sz="4" w:space="0"/>
              <w:right w:val="single" w:color="auto" w:sz="4" w:space="0"/>
            </w:tcBorders>
            <w:noWrap w:val="0"/>
            <w:vAlign w:val="center"/>
          </w:tcPr>
          <w:p w14:paraId="16B991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w:t>
            </w:r>
          </w:p>
        </w:tc>
        <w:tc>
          <w:tcPr>
            <w:tcW w:w="621" w:type="pct"/>
            <w:vMerge w:val="restart"/>
            <w:tcBorders>
              <w:top w:val="single" w:color="auto" w:sz="4" w:space="0"/>
              <w:left w:val="single" w:color="auto" w:sz="4" w:space="0"/>
              <w:bottom w:val="single" w:color="auto" w:sz="4" w:space="0"/>
              <w:right w:val="single" w:color="000000" w:sz="4" w:space="0"/>
            </w:tcBorders>
            <w:noWrap w:val="0"/>
            <w:vAlign w:val="center"/>
          </w:tcPr>
          <w:p w14:paraId="21428F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资格</w:t>
            </w:r>
            <w:r>
              <w:rPr>
                <w:rFonts w:hint="eastAsia" w:ascii="仿宋" w:hAnsi="仿宋" w:eastAsia="仿宋" w:cs="仿宋"/>
                <w:color w:val="auto"/>
                <w:sz w:val="24"/>
                <w:szCs w:val="24"/>
                <w:highlight w:val="none"/>
              </w:rPr>
              <w:t>审查</w:t>
            </w:r>
          </w:p>
        </w:tc>
        <w:tc>
          <w:tcPr>
            <w:tcW w:w="4010" w:type="pct"/>
            <w:tcBorders>
              <w:top w:val="single" w:color="auto" w:sz="4" w:space="0"/>
              <w:left w:val="single" w:color="000000" w:sz="4" w:space="0"/>
              <w:bottom w:val="single" w:color="auto" w:sz="4" w:space="0"/>
              <w:right w:val="single" w:color="auto" w:sz="4" w:space="0"/>
            </w:tcBorders>
            <w:noWrap w:val="0"/>
            <w:vAlign w:val="center"/>
          </w:tcPr>
          <w:p w14:paraId="3E2B44BC">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sz w:val="24"/>
                <w:szCs w:val="24"/>
                <w:highlight w:val="none"/>
              </w:rPr>
            </w:pPr>
            <w:r>
              <w:rPr>
                <w:rFonts w:hint="eastAsia" w:ascii="仿宋" w:hAnsi="仿宋" w:eastAsia="仿宋" w:cs="仿宋"/>
                <w:color w:val="auto"/>
                <w:kern w:val="0"/>
                <w:sz w:val="24"/>
                <w:szCs w:val="24"/>
                <w:highlight w:val="none"/>
                <w:shd w:val="clear" w:color="auto" w:fill="FFFFFF"/>
                <w:lang w:bidi="ar"/>
              </w:rPr>
              <w:t>具有独立承担民事责任的能力：</w:t>
            </w:r>
            <w:r>
              <w:rPr>
                <w:rFonts w:hint="eastAsia" w:ascii="仿宋" w:hAnsi="仿宋" w:eastAsia="仿宋" w:cs="仿宋"/>
                <w:b/>
                <w:bCs/>
                <w:color w:val="auto"/>
                <w:kern w:val="0"/>
                <w:sz w:val="24"/>
                <w:szCs w:val="24"/>
                <w:highlight w:val="none"/>
                <w:shd w:val="clear" w:color="auto" w:fill="FFFFFF"/>
                <w:lang w:bidi="ar"/>
              </w:rPr>
              <w:t>提供有效的多证合一的营业执照或事业单位法人证书或自然人的身份证明文件</w:t>
            </w:r>
            <w:r>
              <w:rPr>
                <w:rFonts w:hint="eastAsia" w:ascii="仿宋" w:hAnsi="仿宋" w:eastAsia="仿宋" w:cs="仿宋"/>
                <w:b/>
                <w:bCs/>
                <w:color w:val="auto"/>
                <w:kern w:val="0"/>
                <w:sz w:val="24"/>
                <w:szCs w:val="24"/>
                <w:highlight w:val="none"/>
                <w:shd w:val="clear" w:color="auto" w:fill="FFFFFF"/>
                <w:lang w:eastAsia="zh-CN" w:bidi="ar"/>
              </w:rPr>
              <w:t>（扫描件或</w:t>
            </w:r>
            <w:r>
              <w:rPr>
                <w:rFonts w:hint="eastAsia" w:ascii="仿宋" w:hAnsi="仿宋" w:eastAsia="仿宋" w:cs="仿宋"/>
                <w:b/>
                <w:bCs/>
                <w:color w:val="auto"/>
                <w:kern w:val="0"/>
                <w:sz w:val="24"/>
                <w:szCs w:val="24"/>
                <w:highlight w:val="none"/>
                <w:shd w:val="clear" w:color="auto" w:fill="FFFFFF"/>
                <w:lang w:bidi="ar"/>
              </w:rPr>
              <w:t>复印件加盖</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公章</w:t>
            </w:r>
            <w:r>
              <w:rPr>
                <w:rFonts w:hint="eastAsia" w:ascii="仿宋" w:hAnsi="仿宋" w:eastAsia="仿宋" w:cs="仿宋"/>
                <w:b/>
                <w:bCs/>
                <w:color w:val="auto"/>
                <w:kern w:val="0"/>
                <w:sz w:val="24"/>
                <w:szCs w:val="24"/>
                <w:highlight w:val="none"/>
                <w:shd w:val="clear" w:color="auto" w:fill="FFFFFF"/>
                <w:lang w:eastAsia="zh-CN" w:bidi="ar"/>
              </w:rPr>
              <w:t>）</w:t>
            </w:r>
            <w:r>
              <w:rPr>
                <w:rFonts w:hint="eastAsia" w:ascii="仿宋" w:hAnsi="仿宋" w:eastAsia="仿宋" w:cs="仿宋"/>
                <w:color w:val="auto"/>
                <w:kern w:val="0"/>
                <w:sz w:val="24"/>
                <w:szCs w:val="24"/>
                <w:highlight w:val="none"/>
                <w:shd w:val="clear" w:color="auto" w:fill="FFFFFF"/>
                <w:lang w:bidi="ar"/>
              </w:rPr>
              <w:t>；</w:t>
            </w:r>
          </w:p>
        </w:tc>
      </w:tr>
      <w:tr w14:paraId="5E695876">
        <w:tblPrEx>
          <w:tblCellMar>
            <w:top w:w="15" w:type="dxa"/>
            <w:left w:w="15" w:type="dxa"/>
            <w:bottom w:w="15" w:type="dxa"/>
            <w:right w:w="15" w:type="dxa"/>
          </w:tblCellMar>
        </w:tblPrEx>
        <w:trPr>
          <w:trHeight w:val="3053" w:hRule="atLeast"/>
          <w:jc w:val="center"/>
        </w:trPr>
        <w:tc>
          <w:tcPr>
            <w:tcW w:w="368" w:type="pct"/>
            <w:tcBorders>
              <w:top w:val="single" w:color="000000" w:sz="4" w:space="0"/>
              <w:left w:val="single" w:color="000000" w:sz="4" w:space="0"/>
              <w:bottom w:val="single" w:color="auto" w:sz="4" w:space="0"/>
              <w:right w:val="single" w:color="auto" w:sz="4" w:space="0"/>
            </w:tcBorders>
            <w:noWrap w:val="0"/>
            <w:vAlign w:val="center"/>
          </w:tcPr>
          <w:p w14:paraId="01C522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w:t>
            </w:r>
          </w:p>
        </w:tc>
        <w:tc>
          <w:tcPr>
            <w:tcW w:w="621" w:type="pct"/>
            <w:vMerge w:val="continue"/>
            <w:tcBorders>
              <w:top w:val="single" w:color="auto" w:sz="4" w:space="0"/>
              <w:left w:val="single" w:color="auto" w:sz="4" w:space="0"/>
              <w:bottom w:val="single" w:color="auto" w:sz="4" w:space="0"/>
              <w:right w:val="single" w:color="000000" w:sz="4" w:space="0"/>
            </w:tcBorders>
            <w:noWrap w:val="0"/>
            <w:vAlign w:val="center"/>
          </w:tcPr>
          <w:p w14:paraId="40439E1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000000"/>
                <w:kern w:val="0"/>
                <w:sz w:val="24"/>
                <w:szCs w:val="24"/>
                <w:highlight w:val="none"/>
                <w:lang w:bidi="ar"/>
              </w:rPr>
            </w:pPr>
          </w:p>
        </w:tc>
        <w:tc>
          <w:tcPr>
            <w:tcW w:w="4010" w:type="pct"/>
            <w:tcBorders>
              <w:top w:val="single" w:color="auto" w:sz="4" w:space="0"/>
              <w:left w:val="single" w:color="000000" w:sz="4" w:space="0"/>
              <w:bottom w:val="single" w:color="000000" w:sz="4" w:space="0"/>
              <w:right w:val="single" w:color="000000" w:sz="4" w:space="0"/>
            </w:tcBorders>
            <w:noWrap w:val="0"/>
            <w:vAlign w:val="center"/>
          </w:tcPr>
          <w:p w14:paraId="3A96A57A">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sz w:val="24"/>
                <w:szCs w:val="24"/>
                <w:highlight w:val="none"/>
              </w:rPr>
            </w:pPr>
            <w:r>
              <w:rPr>
                <w:rFonts w:hint="eastAsia" w:ascii="仿宋" w:hAnsi="仿宋" w:eastAsia="仿宋" w:cs="仿宋"/>
                <w:color w:val="auto"/>
                <w:sz w:val="24"/>
                <w:szCs w:val="24"/>
                <w:highlight w:val="none"/>
              </w:rPr>
              <w:t>具有良好的商业信誉和健全的财务会计制度：提供</w:t>
            </w:r>
            <w:r>
              <w:rPr>
                <w:rFonts w:hint="eastAsia" w:ascii="仿宋" w:hAnsi="仿宋" w:eastAsia="仿宋" w:cs="仿宋"/>
                <w:color w:val="auto"/>
                <w:sz w:val="24"/>
                <w:szCs w:val="24"/>
                <w:highlight w:val="none"/>
                <w:lang w:val="en-US" w:eastAsia="zh-CN"/>
              </w:rPr>
              <w:t>2024年度（2024年度未完成审计的提供2023年度）</w:t>
            </w:r>
            <w:r>
              <w:rPr>
                <w:rFonts w:hint="eastAsia" w:ascii="仿宋" w:hAnsi="仿宋" w:eastAsia="仿宋" w:cs="仿宋"/>
                <w:color w:val="auto"/>
                <w:sz w:val="24"/>
                <w:szCs w:val="24"/>
                <w:highlight w:val="none"/>
              </w:rPr>
              <w:t>经合法审计机构出具的年度财务审计报告，</w:t>
            </w:r>
            <w:r>
              <w:rPr>
                <w:rFonts w:hint="eastAsia" w:ascii="仿宋" w:hAnsi="仿宋" w:eastAsia="仿宋" w:cs="仿宋"/>
                <w:b/>
                <w:bCs/>
                <w:color w:val="auto"/>
                <w:sz w:val="24"/>
                <w:szCs w:val="24"/>
                <w:highlight w:val="none"/>
              </w:rPr>
              <w:t>审计报告应包括资产负债表、利润表、现金流量表及财务报表附注，财务审计报告应盖有会计师事务所单位章和注册会计师的执业专用章，并附会计师事务所的营业执照及会计师事务所的执业证书复印件，成立年限不足一个会计年度的</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提供近期财务报表或投标前3个月银行出具的存款证明等证明文件(</w:t>
            </w:r>
            <w:r>
              <w:rPr>
                <w:rFonts w:hint="eastAsia" w:ascii="仿宋" w:hAnsi="仿宋" w:eastAsia="仿宋" w:cs="仿宋"/>
                <w:b/>
                <w:bCs/>
                <w:color w:val="auto"/>
                <w:kern w:val="0"/>
                <w:sz w:val="24"/>
                <w:szCs w:val="24"/>
                <w:highlight w:val="none"/>
                <w:shd w:val="clear" w:color="auto" w:fill="FFFFFF"/>
                <w:lang w:eastAsia="zh-CN" w:bidi="ar"/>
              </w:rPr>
              <w:t>扫描件或</w:t>
            </w:r>
            <w:r>
              <w:rPr>
                <w:rFonts w:hint="eastAsia" w:ascii="仿宋" w:hAnsi="仿宋" w:eastAsia="仿宋" w:cs="仿宋"/>
                <w:b/>
                <w:bCs/>
                <w:color w:val="auto"/>
                <w:kern w:val="0"/>
                <w:sz w:val="24"/>
                <w:szCs w:val="24"/>
                <w:highlight w:val="none"/>
                <w:shd w:val="clear" w:color="auto" w:fill="FFFFFF"/>
                <w:lang w:bidi="ar"/>
              </w:rPr>
              <w:t>复印件加盖</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公章）；事业单位等非企业法人可提供具有良好的商业信誉和健全的财务会计制度</w:t>
            </w:r>
            <w:r>
              <w:rPr>
                <w:rFonts w:hint="eastAsia" w:ascii="仿宋" w:hAnsi="仿宋" w:eastAsia="仿宋" w:cs="仿宋"/>
                <w:b/>
                <w:bCs/>
                <w:color w:val="auto"/>
                <w:kern w:val="0"/>
                <w:sz w:val="24"/>
                <w:szCs w:val="24"/>
                <w:highlight w:val="none"/>
                <w:shd w:val="clear" w:color="auto" w:fill="FFFFFF"/>
                <w:lang w:eastAsia="zh-CN" w:bidi="ar"/>
              </w:rPr>
              <w:t>的承诺并加盖供应商单位公章</w:t>
            </w:r>
            <w:r>
              <w:rPr>
                <w:rFonts w:hint="eastAsia" w:ascii="仿宋" w:hAnsi="仿宋" w:eastAsia="仿宋" w:cs="仿宋"/>
                <w:color w:val="auto"/>
                <w:kern w:val="0"/>
                <w:sz w:val="24"/>
                <w:szCs w:val="24"/>
                <w:highlight w:val="none"/>
                <w:shd w:val="clear" w:color="auto" w:fill="FFFFFF"/>
                <w:lang w:bidi="ar"/>
              </w:rPr>
              <w:t>；</w:t>
            </w:r>
          </w:p>
        </w:tc>
      </w:tr>
      <w:tr w14:paraId="1F32C4B9">
        <w:tblPrEx>
          <w:tblCellMar>
            <w:top w:w="15" w:type="dxa"/>
            <w:left w:w="15" w:type="dxa"/>
            <w:bottom w:w="15" w:type="dxa"/>
            <w:right w:w="15" w:type="dxa"/>
          </w:tblCellMar>
        </w:tblPrEx>
        <w:trPr>
          <w:trHeight w:val="90" w:hRule="atLeast"/>
          <w:jc w:val="center"/>
        </w:trPr>
        <w:tc>
          <w:tcPr>
            <w:tcW w:w="368" w:type="pct"/>
            <w:tcBorders>
              <w:top w:val="single" w:color="000000" w:sz="4" w:space="0"/>
              <w:left w:val="single" w:color="000000" w:sz="4" w:space="0"/>
              <w:bottom w:val="single" w:color="auto" w:sz="4" w:space="0"/>
              <w:right w:val="single" w:color="auto" w:sz="4" w:space="0"/>
            </w:tcBorders>
            <w:noWrap w:val="0"/>
            <w:vAlign w:val="center"/>
          </w:tcPr>
          <w:p w14:paraId="5FDC75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w:t>
            </w:r>
          </w:p>
        </w:tc>
        <w:tc>
          <w:tcPr>
            <w:tcW w:w="621" w:type="pct"/>
            <w:vMerge w:val="continue"/>
            <w:tcBorders>
              <w:top w:val="single" w:color="auto" w:sz="4" w:space="0"/>
              <w:left w:val="single" w:color="auto" w:sz="4" w:space="0"/>
              <w:bottom w:val="single" w:color="auto" w:sz="4" w:space="0"/>
              <w:right w:val="single" w:color="000000" w:sz="4" w:space="0"/>
            </w:tcBorders>
            <w:noWrap w:val="0"/>
            <w:vAlign w:val="center"/>
          </w:tcPr>
          <w:p w14:paraId="4B1FFD1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000000"/>
                <w:kern w:val="0"/>
                <w:sz w:val="24"/>
                <w:szCs w:val="24"/>
                <w:highlight w:val="none"/>
                <w:lang w:bidi="ar"/>
              </w:rPr>
            </w:pPr>
          </w:p>
        </w:tc>
        <w:tc>
          <w:tcPr>
            <w:tcW w:w="4010" w:type="pct"/>
            <w:tcBorders>
              <w:top w:val="single" w:color="000000" w:sz="4" w:space="0"/>
              <w:left w:val="single" w:color="000000" w:sz="4" w:space="0"/>
              <w:bottom w:val="single" w:color="000000" w:sz="4" w:space="0"/>
              <w:right w:val="single" w:color="000000" w:sz="4" w:space="0"/>
            </w:tcBorders>
            <w:noWrap w:val="0"/>
            <w:vAlign w:val="center"/>
          </w:tcPr>
          <w:p w14:paraId="0A566DBC">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sz w:val="24"/>
                <w:szCs w:val="24"/>
                <w:highlight w:val="none"/>
              </w:rPr>
            </w:pPr>
            <w:r>
              <w:rPr>
                <w:rFonts w:hint="eastAsia" w:ascii="仿宋" w:hAnsi="仿宋" w:eastAsia="仿宋" w:cs="仿宋"/>
                <w:color w:val="auto"/>
                <w:kern w:val="0"/>
                <w:sz w:val="24"/>
                <w:szCs w:val="24"/>
                <w:highlight w:val="none"/>
                <w:shd w:val="clear" w:color="auto" w:fill="FFFFFF"/>
                <w:lang w:bidi="ar"/>
              </w:rPr>
              <w:t>具有依法缴纳税收和社会保障资金的良好记录：</w:t>
            </w:r>
            <w:r>
              <w:rPr>
                <w:rFonts w:hint="eastAsia" w:ascii="仿宋" w:hAnsi="仿宋" w:eastAsia="仿宋" w:cs="仿宋"/>
                <w:b/>
                <w:bCs/>
                <w:color w:val="auto"/>
                <w:kern w:val="0"/>
                <w:sz w:val="24"/>
                <w:szCs w:val="24"/>
                <w:highlight w:val="none"/>
                <w:shd w:val="clear" w:color="auto" w:fill="FFFFFF"/>
                <w:lang w:bidi="ar"/>
              </w:rPr>
              <w:t>提供202</w:t>
            </w:r>
            <w:r>
              <w:rPr>
                <w:rFonts w:hint="eastAsia" w:ascii="仿宋" w:hAnsi="仿宋" w:eastAsia="仿宋" w:cs="仿宋"/>
                <w:b/>
                <w:bCs/>
                <w:color w:val="auto"/>
                <w:kern w:val="0"/>
                <w:sz w:val="24"/>
                <w:szCs w:val="24"/>
                <w:highlight w:val="none"/>
                <w:shd w:val="clear" w:color="auto" w:fill="FFFFFF"/>
                <w:lang w:val="en-US" w:eastAsia="zh-CN" w:bidi="ar"/>
              </w:rPr>
              <w:t>4</w:t>
            </w:r>
            <w:r>
              <w:rPr>
                <w:rFonts w:hint="eastAsia" w:ascii="仿宋" w:hAnsi="仿宋" w:eastAsia="仿宋" w:cs="仿宋"/>
                <w:b/>
                <w:bCs/>
                <w:color w:val="auto"/>
                <w:kern w:val="0"/>
                <w:sz w:val="24"/>
                <w:szCs w:val="24"/>
                <w:highlight w:val="none"/>
                <w:shd w:val="clear" w:color="auto" w:fill="FFFFFF"/>
                <w:lang w:bidi="ar"/>
              </w:rPr>
              <w:t>年</w:t>
            </w:r>
            <w:r>
              <w:rPr>
                <w:rFonts w:hint="eastAsia" w:ascii="仿宋" w:hAnsi="仿宋" w:eastAsia="仿宋" w:cs="仿宋"/>
                <w:b/>
                <w:bCs/>
                <w:color w:val="auto"/>
                <w:kern w:val="0"/>
                <w:sz w:val="24"/>
                <w:szCs w:val="24"/>
                <w:highlight w:val="none"/>
                <w:shd w:val="clear" w:color="auto" w:fill="FFFFFF"/>
                <w:lang w:val="en-US" w:eastAsia="zh-CN" w:bidi="ar"/>
              </w:rPr>
              <w:t>10月至投标文件递交截止时间</w:t>
            </w:r>
            <w:r>
              <w:rPr>
                <w:rFonts w:hint="eastAsia" w:ascii="仿宋" w:hAnsi="仿宋" w:eastAsia="仿宋" w:cs="仿宋"/>
                <w:b/>
                <w:bCs/>
                <w:color w:val="auto"/>
                <w:kern w:val="0"/>
                <w:sz w:val="24"/>
                <w:szCs w:val="24"/>
                <w:highlight w:val="none"/>
                <w:shd w:val="clear" w:color="auto" w:fill="FFFFFF"/>
                <w:lang w:bidi="ar"/>
              </w:rPr>
              <w:t>任意</w:t>
            </w:r>
            <w:r>
              <w:rPr>
                <w:rFonts w:hint="eastAsia" w:ascii="仿宋" w:hAnsi="仿宋" w:eastAsia="仿宋" w:cs="仿宋"/>
                <w:b/>
                <w:bCs/>
                <w:color w:val="auto"/>
                <w:kern w:val="0"/>
                <w:sz w:val="24"/>
                <w:szCs w:val="24"/>
                <w:highlight w:val="none"/>
                <w:shd w:val="clear" w:color="auto" w:fill="FFFFFF"/>
                <w:lang w:val="en-US" w:eastAsia="zh-CN" w:bidi="ar"/>
              </w:rPr>
              <w:t>3</w:t>
            </w:r>
            <w:r>
              <w:rPr>
                <w:rFonts w:hint="eastAsia" w:ascii="仿宋" w:hAnsi="仿宋" w:eastAsia="仿宋" w:cs="仿宋"/>
                <w:b/>
                <w:bCs/>
                <w:color w:val="auto"/>
                <w:kern w:val="0"/>
                <w:sz w:val="24"/>
                <w:szCs w:val="24"/>
                <w:highlight w:val="none"/>
                <w:shd w:val="clear" w:color="auto" w:fill="FFFFFF"/>
                <w:lang w:bidi="ar"/>
              </w:rPr>
              <w:t>个月依法缴纳税收和社会保障资金的有效证明材料(</w:t>
            </w:r>
            <w:r>
              <w:rPr>
                <w:rFonts w:hint="eastAsia" w:ascii="仿宋" w:hAnsi="仿宋" w:eastAsia="仿宋" w:cs="仿宋"/>
                <w:b/>
                <w:bCs/>
                <w:color w:val="auto"/>
                <w:kern w:val="0"/>
                <w:sz w:val="24"/>
                <w:szCs w:val="24"/>
                <w:highlight w:val="none"/>
                <w:shd w:val="clear" w:color="auto" w:fill="FFFFFF"/>
                <w:lang w:eastAsia="zh-CN" w:bidi="ar"/>
              </w:rPr>
              <w:t>扫描件或</w:t>
            </w:r>
            <w:r>
              <w:rPr>
                <w:rFonts w:hint="eastAsia" w:ascii="仿宋" w:hAnsi="仿宋" w:eastAsia="仿宋" w:cs="仿宋"/>
                <w:b/>
                <w:bCs/>
                <w:color w:val="auto"/>
                <w:kern w:val="0"/>
                <w:sz w:val="24"/>
                <w:szCs w:val="24"/>
                <w:highlight w:val="none"/>
                <w:shd w:val="clear" w:color="auto" w:fill="FFFFFF"/>
                <w:lang w:bidi="ar"/>
              </w:rPr>
              <w:t>复印件加盖</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公章）（事业单位等非企业法人可提供</w:t>
            </w:r>
            <w:r>
              <w:rPr>
                <w:rFonts w:hint="eastAsia" w:ascii="仿宋" w:hAnsi="仿宋" w:eastAsia="仿宋" w:cs="仿宋"/>
                <w:b/>
                <w:bCs/>
                <w:color w:val="auto"/>
                <w:kern w:val="0"/>
                <w:sz w:val="24"/>
                <w:szCs w:val="24"/>
                <w:highlight w:val="none"/>
                <w:shd w:val="clear" w:color="auto" w:fill="FFFFFF"/>
                <w:lang w:eastAsia="zh-CN" w:bidi="ar"/>
              </w:rPr>
              <w:t>具有依法缴纳税收和社会保障资金的良好记录的承诺并加盖供应商单位公章</w:t>
            </w:r>
            <w:r>
              <w:rPr>
                <w:rFonts w:hint="eastAsia" w:ascii="仿宋" w:hAnsi="仿宋" w:eastAsia="仿宋" w:cs="仿宋"/>
                <w:b/>
                <w:bCs/>
                <w:color w:val="auto"/>
                <w:kern w:val="0"/>
                <w:sz w:val="24"/>
                <w:szCs w:val="24"/>
                <w:highlight w:val="none"/>
                <w:shd w:val="clear" w:color="auto" w:fill="FFFFFF"/>
                <w:lang w:bidi="ar"/>
              </w:rPr>
              <w:t>，其他依法免税或不需要缴纳社保资金的</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提供相应证明文件）</w:t>
            </w:r>
            <w:r>
              <w:rPr>
                <w:rFonts w:hint="eastAsia" w:ascii="仿宋" w:hAnsi="仿宋" w:eastAsia="仿宋" w:cs="仿宋"/>
                <w:color w:val="auto"/>
                <w:kern w:val="0"/>
                <w:sz w:val="24"/>
                <w:szCs w:val="24"/>
                <w:highlight w:val="none"/>
                <w:shd w:val="clear" w:color="auto" w:fill="FFFFFF"/>
                <w:lang w:eastAsia="zh-CN" w:bidi="ar"/>
              </w:rPr>
              <w:t>；</w:t>
            </w:r>
          </w:p>
        </w:tc>
      </w:tr>
      <w:tr w14:paraId="3E4609D0">
        <w:tblPrEx>
          <w:tblCellMar>
            <w:top w:w="15" w:type="dxa"/>
            <w:left w:w="15" w:type="dxa"/>
            <w:bottom w:w="15" w:type="dxa"/>
            <w:right w:w="15" w:type="dxa"/>
          </w:tblCellMar>
        </w:tblPrEx>
        <w:trPr>
          <w:trHeight w:val="90" w:hRule="atLeast"/>
          <w:jc w:val="center"/>
        </w:trPr>
        <w:tc>
          <w:tcPr>
            <w:tcW w:w="368" w:type="pct"/>
            <w:tcBorders>
              <w:top w:val="single" w:color="000000" w:sz="4" w:space="0"/>
              <w:left w:val="single" w:color="000000" w:sz="4" w:space="0"/>
              <w:bottom w:val="single" w:color="auto" w:sz="4" w:space="0"/>
              <w:right w:val="single" w:color="auto" w:sz="4" w:space="0"/>
            </w:tcBorders>
            <w:noWrap w:val="0"/>
            <w:vAlign w:val="center"/>
          </w:tcPr>
          <w:p w14:paraId="73A5AC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4</w:t>
            </w:r>
          </w:p>
        </w:tc>
        <w:tc>
          <w:tcPr>
            <w:tcW w:w="621" w:type="pct"/>
            <w:vMerge w:val="continue"/>
            <w:tcBorders>
              <w:top w:val="single" w:color="auto" w:sz="4" w:space="0"/>
              <w:left w:val="single" w:color="auto" w:sz="4" w:space="0"/>
              <w:bottom w:val="single" w:color="auto" w:sz="4" w:space="0"/>
              <w:right w:val="single" w:color="000000" w:sz="4" w:space="0"/>
            </w:tcBorders>
            <w:noWrap w:val="0"/>
            <w:vAlign w:val="center"/>
          </w:tcPr>
          <w:p w14:paraId="480E40B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000000"/>
                <w:kern w:val="0"/>
                <w:sz w:val="24"/>
                <w:szCs w:val="24"/>
                <w:highlight w:val="none"/>
                <w:lang w:bidi="ar"/>
              </w:rPr>
            </w:pPr>
          </w:p>
        </w:tc>
        <w:tc>
          <w:tcPr>
            <w:tcW w:w="4010" w:type="pct"/>
            <w:tcBorders>
              <w:top w:val="single" w:color="000000" w:sz="4" w:space="0"/>
              <w:left w:val="single" w:color="000000" w:sz="4" w:space="0"/>
              <w:bottom w:val="single" w:color="000000" w:sz="4" w:space="0"/>
              <w:right w:val="single" w:color="000000" w:sz="4" w:space="0"/>
            </w:tcBorders>
            <w:noWrap w:val="0"/>
            <w:vAlign w:val="center"/>
          </w:tcPr>
          <w:p w14:paraId="771D46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rPr>
                <w:rFonts w:hint="eastAsia" w:ascii="仿宋" w:hAnsi="仿宋" w:eastAsia="仿宋" w:cs="仿宋"/>
                <w:bCs/>
                <w:color w:val="000000"/>
                <w:sz w:val="24"/>
                <w:szCs w:val="24"/>
                <w:highlight w:val="none"/>
                <w:lang w:val="en-US" w:eastAsia="zh-CN"/>
              </w:rPr>
            </w:pPr>
            <w:r>
              <w:rPr>
                <w:rFonts w:hint="eastAsia" w:ascii="仿宋" w:hAnsi="仿宋" w:eastAsia="仿宋" w:cs="仿宋"/>
                <w:color w:val="auto"/>
                <w:kern w:val="0"/>
                <w:sz w:val="24"/>
                <w:szCs w:val="24"/>
                <w:highlight w:val="none"/>
                <w:shd w:val="clear" w:color="auto" w:fill="FFFFFF"/>
                <w:lang w:bidi="ar"/>
              </w:rPr>
              <w:t>具有履行合同所</w:t>
            </w:r>
            <w:r>
              <w:rPr>
                <w:rFonts w:hint="eastAsia" w:ascii="仿宋" w:hAnsi="仿宋" w:eastAsia="仿宋" w:cs="仿宋"/>
                <w:color w:val="auto"/>
                <w:kern w:val="0"/>
                <w:sz w:val="24"/>
                <w:szCs w:val="24"/>
                <w:highlight w:val="none"/>
                <w:shd w:val="clear" w:color="auto" w:fill="FFFFFF"/>
                <w:lang w:eastAsia="zh-CN" w:bidi="ar"/>
              </w:rPr>
              <w:t>必需</w:t>
            </w:r>
            <w:r>
              <w:rPr>
                <w:rFonts w:hint="eastAsia" w:ascii="仿宋" w:hAnsi="仿宋" w:eastAsia="仿宋" w:cs="仿宋"/>
                <w:color w:val="auto"/>
                <w:kern w:val="0"/>
                <w:sz w:val="24"/>
                <w:szCs w:val="24"/>
                <w:highlight w:val="none"/>
                <w:shd w:val="clear" w:color="auto" w:fill="FFFFFF"/>
                <w:lang w:bidi="ar"/>
              </w:rPr>
              <w:t>的</w:t>
            </w:r>
            <w:r>
              <w:rPr>
                <w:rFonts w:hint="eastAsia" w:ascii="仿宋" w:hAnsi="仿宋" w:eastAsia="仿宋" w:cs="仿宋"/>
                <w:color w:val="auto"/>
                <w:kern w:val="0"/>
                <w:sz w:val="24"/>
                <w:szCs w:val="24"/>
                <w:highlight w:val="none"/>
                <w:shd w:val="clear" w:color="auto" w:fill="FFFFFF"/>
                <w:lang w:eastAsia="zh-CN" w:bidi="ar"/>
              </w:rPr>
              <w:t>设备和</w:t>
            </w:r>
            <w:r>
              <w:rPr>
                <w:rFonts w:hint="eastAsia" w:ascii="仿宋" w:hAnsi="仿宋" w:eastAsia="仿宋" w:cs="仿宋"/>
                <w:color w:val="auto"/>
                <w:kern w:val="0"/>
                <w:sz w:val="24"/>
                <w:szCs w:val="24"/>
                <w:highlight w:val="none"/>
                <w:shd w:val="clear" w:color="auto" w:fill="FFFFFF"/>
                <w:lang w:bidi="ar"/>
              </w:rPr>
              <w:t>专业技术能力：提供承诺</w:t>
            </w:r>
            <w:r>
              <w:rPr>
                <w:rFonts w:hint="eastAsia" w:ascii="仿宋" w:hAnsi="仿宋" w:eastAsia="仿宋" w:cs="仿宋"/>
                <w:b/>
                <w:bCs/>
                <w:color w:val="auto"/>
                <w:kern w:val="0"/>
                <w:sz w:val="24"/>
                <w:szCs w:val="24"/>
                <w:highlight w:val="none"/>
                <w:shd w:val="clear" w:color="auto" w:fill="FFFFFF"/>
                <w:lang w:bidi="ar"/>
              </w:rPr>
              <w:t>（</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自行承诺，格式自拟，并加盖</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单位公章）</w:t>
            </w:r>
            <w:r>
              <w:rPr>
                <w:rFonts w:hint="eastAsia" w:ascii="仿宋" w:hAnsi="仿宋" w:eastAsia="仿宋" w:cs="仿宋"/>
                <w:color w:val="auto"/>
                <w:kern w:val="0"/>
                <w:sz w:val="24"/>
                <w:szCs w:val="24"/>
                <w:highlight w:val="none"/>
                <w:shd w:val="clear" w:color="auto" w:fill="FFFFFF"/>
                <w:lang w:bidi="ar"/>
              </w:rPr>
              <w:t>；</w:t>
            </w:r>
          </w:p>
        </w:tc>
      </w:tr>
      <w:tr w14:paraId="68453EA9">
        <w:tblPrEx>
          <w:tblCellMar>
            <w:top w:w="15" w:type="dxa"/>
            <w:left w:w="15" w:type="dxa"/>
            <w:bottom w:w="15" w:type="dxa"/>
            <w:right w:w="15" w:type="dxa"/>
          </w:tblCellMar>
        </w:tblPrEx>
        <w:trPr>
          <w:trHeight w:val="322" w:hRule="atLeast"/>
          <w:jc w:val="center"/>
        </w:trPr>
        <w:tc>
          <w:tcPr>
            <w:tcW w:w="368" w:type="pct"/>
            <w:tcBorders>
              <w:top w:val="single" w:color="auto" w:sz="4" w:space="0"/>
              <w:left w:val="single" w:color="000000" w:sz="4" w:space="0"/>
              <w:bottom w:val="single" w:color="auto" w:sz="4" w:space="0"/>
              <w:right w:val="single" w:color="auto" w:sz="4" w:space="0"/>
            </w:tcBorders>
            <w:noWrap w:val="0"/>
            <w:vAlign w:val="center"/>
          </w:tcPr>
          <w:p w14:paraId="5615F0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621" w:type="pct"/>
            <w:vMerge w:val="continue"/>
            <w:tcBorders>
              <w:top w:val="single" w:color="auto" w:sz="4" w:space="0"/>
              <w:left w:val="single" w:color="auto" w:sz="4" w:space="0"/>
              <w:bottom w:val="single" w:color="auto" w:sz="4" w:space="0"/>
              <w:right w:val="single" w:color="000000" w:sz="4" w:space="0"/>
            </w:tcBorders>
            <w:noWrap w:val="0"/>
            <w:vAlign w:val="center"/>
          </w:tcPr>
          <w:p w14:paraId="1579321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000000"/>
                <w:sz w:val="24"/>
                <w:szCs w:val="24"/>
                <w:highlight w:val="none"/>
              </w:rPr>
            </w:pPr>
          </w:p>
        </w:tc>
        <w:tc>
          <w:tcPr>
            <w:tcW w:w="4010" w:type="pct"/>
            <w:tcBorders>
              <w:top w:val="single" w:color="000000" w:sz="4" w:space="0"/>
              <w:left w:val="single" w:color="000000" w:sz="4" w:space="0"/>
              <w:bottom w:val="single" w:color="auto" w:sz="4" w:space="0"/>
              <w:right w:val="single" w:color="000000" w:sz="4" w:space="0"/>
            </w:tcBorders>
            <w:noWrap w:val="0"/>
            <w:vAlign w:val="center"/>
          </w:tcPr>
          <w:p w14:paraId="4FFA7A60">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color w:val="auto"/>
                <w:kern w:val="0"/>
                <w:sz w:val="24"/>
                <w:szCs w:val="24"/>
                <w:highlight w:val="none"/>
                <w:shd w:val="clear" w:color="auto" w:fill="FFFFFF"/>
                <w:lang w:bidi="ar"/>
              </w:rPr>
              <w:t>参加本次政府采购活动前三年内，在经营活动中没有违法违规记录：提供参加政府采购活动前3年内在经营活动中没有重大违法记录的书面声明</w:t>
            </w:r>
            <w:r>
              <w:rPr>
                <w:rFonts w:hint="eastAsia" w:ascii="仿宋" w:hAnsi="仿宋" w:eastAsia="仿宋" w:cs="仿宋"/>
                <w:b/>
                <w:bCs/>
                <w:color w:val="auto"/>
                <w:kern w:val="0"/>
                <w:sz w:val="24"/>
                <w:szCs w:val="24"/>
                <w:highlight w:val="none"/>
                <w:shd w:val="clear" w:color="auto" w:fill="FFFFFF"/>
                <w:lang w:bidi="ar"/>
              </w:rPr>
              <w:t>（</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自行声明，格式自拟，并加盖</w:t>
            </w:r>
            <w:r>
              <w:rPr>
                <w:rFonts w:hint="eastAsia" w:ascii="仿宋" w:hAnsi="仿宋" w:eastAsia="仿宋" w:cs="仿宋"/>
                <w:b/>
                <w:bCs/>
                <w:color w:val="auto"/>
                <w:kern w:val="0"/>
                <w:sz w:val="24"/>
                <w:szCs w:val="24"/>
                <w:highlight w:val="none"/>
                <w:shd w:val="clear" w:color="auto" w:fill="FFFFFF"/>
                <w:lang w:eastAsia="zh-CN" w:bidi="ar"/>
              </w:rPr>
              <w:t>供应商</w:t>
            </w:r>
            <w:r>
              <w:rPr>
                <w:rFonts w:hint="eastAsia" w:ascii="仿宋" w:hAnsi="仿宋" w:eastAsia="仿宋" w:cs="仿宋"/>
                <w:b/>
                <w:bCs/>
                <w:color w:val="auto"/>
                <w:kern w:val="0"/>
                <w:sz w:val="24"/>
                <w:szCs w:val="24"/>
                <w:highlight w:val="none"/>
                <w:shd w:val="clear" w:color="auto" w:fill="FFFFFF"/>
                <w:lang w:bidi="ar"/>
              </w:rPr>
              <w:t>单位公章）</w:t>
            </w:r>
            <w:r>
              <w:rPr>
                <w:rFonts w:hint="eastAsia" w:ascii="仿宋" w:hAnsi="仿宋" w:eastAsia="仿宋" w:cs="仿宋"/>
                <w:color w:val="auto"/>
                <w:kern w:val="0"/>
                <w:sz w:val="24"/>
                <w:szCs w:val="24"/>
                <w:highlight w:val="none"/>
                <w:shd w:val="clear" w:color="auto" w:fill="FFFFFF"/>
                <w:lang w:bidi="ar"/>
              </w:rPr>
              <w:t>；</w:t>
            </w:r>
          </w:p>
        </w:tc>
      </w:tr>
      <w:tr w14:paraId="293DD2A3">
        <w:tblPrEx>
          <w:tblCellMar>
            <w:top w:w="15" w:type="dxa"/>
            <w:left w:w="15" w:type="dxa"/>
            <w:bottom w:w="15" w:type="dxa"/>
            <w:right w:w="15" w:type="dxa"/>
          </w:tblCellMar>
        </w:tblPrEx>
        <w:trPr>
          <w:trHeight w:val="322"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14:paraId="6274B29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621" w:type="pct"/>
            <w:vMerge w:val="continue"/>
            <w:tcBorders>
              <w:top w:val="single" w:color="auto" w:sz="4" w:space="0"/>
              <w:left w:val="single" w:color="auto" w:sz="4" w:space="0"/>
              <w:bottom w:val="single" w:color="auto" w:sz="4" w:space="0"/>
              <w:right w:val="single" w:color="000000" w:sz="4" w:space="0"/>
            </w:tcBorders>
            <w:noWrap w:val="0"/>
            <w:vAlign w:val="center"/>
          </w:tcPr>
          <w:p w14:paraId="3F88FE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000000"/>
                <w:sz w:val="24"/>
                <w:szCs w:val="24"/>
                <w:highlight w:val="none"/>
              </w:rPr>
            </w:pPr>
          </w:p>
        </w:tc>
        <w:tc>
          <w:tcPr>
            <w:tcW w:w="4010" w:type="pct"/>
            <w:tcBorders>
              <w:top w:val="single" w:color="auto" w:sz="4" w:space="0"/>
              <w:left w:val="single" w:color="000000" w:sz="4" w:space="0"/>
              <w:bottom w:val="single" w:color="auto" w:sz="4" w:space="0"/>
              <w:right w:val="single" w:color="auto" w:sz="4" w:space="0"/>
            </w:tcBorders>
            <w:noWrap w:val="0"/>
            <w:vAlign w:val="center"/>
          </w:tcPr>
          <w:p w14:paraId="29C6C8CC">
            <w:pPr>
              <w:keepNext w:val="0"/>
              <w:keepLines w:val="0"/>
              <w:pageBreakBefore w:val="0"/>
              <w:widowControl/>
              <w:shd w:val="clear" w:color="auto"/>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auto"/>
                <w:kern w:val="0"/>
                <w:sz w:val="24"/>
                <w:szCs w:val="24"/>
                <w:highlight w:val="none"/>
                <w:shd w:val="clear" w:color="auto" w:fill="FFFFFF"/>
                <w:lang w:bidi="ar"/>
              </w:rPr>
              <w:t>法律、行政法规规定的其他条件：对列入失信被执行人、重大税收违法案件当事人名单、政府采购严重违法失信行为记录名单的</w:t>
            </w:r>
            <w:r>
              <w:rPr>
                <w:rFonts w:hint="eastAsia" w:ascii="仿宋" w:hAnsi="仿宋" w:eastAsia="仿宋" w:cs="仿宋"/>
                <w:color w:val="auto"/>
                <w:kern w:val="0"/>
                <w:sz w:val="24"/>
                <w:szCs w:val="24"/>
                <w:highlight w:val="none"/>
                <w:shd w:val="clear" w:color="auto" w:fill="FFFFFF"/>
                <w:lang w:eastAsia="zh-CN" w:bidi="ar"/>
              </w:rPr>
              <w:t>供应商</w:t>
            </w:r>
            <w:r>
              <w:rPr>
                <w:rFonts w:hint="eastAsia" w:ascii="仿宋" w:hAnsi="仿宋" w:eastAsia="仿宋" w:cs="仿宋"/>
                <w:color w:val="auto"/>
                <w:kern w:val="0"/>
                <w:sz w:val="24"/>
                <w:szCs w:val="24"/>
                <w:highlight w:val="none"/>
                <w:shd w:val="clear" w:color="auto" w:fill="FFFFFF"/>
                <w:lang w:bidi="ar"/>
              </w:rPr>
              <w:t>，拒绝其参与投标。开标后资格审查人员将通过“信用中国”网站 （www.creditchina.gov.cn）及中国政府采购网（ http</w:t>
            </w:r>
            <w:r>
              <w:rPr>
                <w:rFonts w:hint="eastAsia" w:ascii="仿宋" w:hAnsi="仿宋" w:eastAsia="仿宋" w:cs="仿宋"/>
                <w:color w:val="auto"/>
                <w:kern w:val="0"/>
                <w:sz w:val="24"/>
                <w:szCs w:val="24"/>
                <w:highlight w:val="none"/>
                <w:shd w:val="clear" w:color="auto" w:fill="FFFFFF"/>
                <w:lang w:eastAsia="zh-CN" w:bidi="ar"/>
              </w:rPr>
              <w:t>：</w:t>
            </w:r>
            <w:r>
              <w:rPr>
                <w:rFonts w:hint="eastAsia" w:ascii="仿宋" w:hAnsi="仿宋" w:eastAsia="仿宋" w:cs="仿宋"/>
                <w:color w:val="auto"/>
                <w:kern w:val="0"/>
                <w:sz w:val="24"/>
                <w:szCs w:val="24"/>
                <w:highlight w:val="none"/>
                <w:shd w:val="clear" w:color="auto" w:fill="FFFFFF"/>
                <w:lang w:bidi="ar"/>
              </w:rPr>
              <w:t>//www.ccgp.gov.cn/cr/list）对</w:t>
            </w:r>
            <w:r>
              <w:rPr>
                <w:rFonts w:hint="eastAsia" w:ascii="仿宋" w:hAnsi="仿宋" w:eastAsia="仿宋" w:cs="仿宋"/>
                <w:color w:val="auto"/>
                <w:kern w:val="0"/>
                <w:sz w:val="24"/>
                <w:szCs w:val="24"/>
                <w:highlight w:val="none"/>
                <w:shd w:val="clear" w:color="auto" w:fill="FFFFFF"/>
                <w:lang w:eastAsia="zh-CN" w:bidi="ar"/>
              </w:rPr>
              <w:t>供应商</w:t>
            </w:r>
            <w:r>
              <w:rPr>
                <w:rFonts w:hint="eastAsia" w:ascii="仿宋" w:hAnsi="仿宋" w:eastAsia="仿宋" w:cs="仿宋"/>
                <w:color w:val="auto"/>
                <w:kern w:val="0"/>
                <w:sz w:val="24"/>
                <w:szCs w:val="24"/>
                <w:highlight w:val="none"/>
                <w:shd w:val="clear" w:color="auto" w:fill="FFFFFF"/>
                <w:lang w:bidi="ar"/>
              </w:rPr>
              <w:t>进行查询，若发现</w:t>
            </w:r>
            <w:r>
              <w:rPr>
                <w:rFonts w:hint="eastAsia" w:ascii="仿宋" w:hAnsi="仿宋" w:eastAsia="仿宋" w:cs="仿宋"/>
                <w:color w:val="auto"/>
                <w:kern w:val="0"/>
                <w:sz w:val="24"/>
                <w:szCs w:val="24"/>
                <w:highlight w:val="none"/>
                <w:shd w:val="clear" w:color="auto" w:fill="FFFFFF"/>
                <w:lang w:eastAsia="zh-CN" w:bidi="ar"/>
              </w:rPr>
              <w:t>供应商</w:t>
            </w:r>
            <w:r>
              <w:rPr>
                <w:rFonts w:hint="eastAsia" w:ascii="仿宋" w:hAnsi="仿宋" w:eastAsia="仿宋" w:cs="仿宋"/>
                <w:color w:val="auto"/>
                <w:kern w:val="0"/>
                <w:sz w:val="24"/>
                <w:szCs w:val="24"/>
                <w:highlight w:val="none"/>
                <w:shd w:val="clear" w:color="auto" w:fill="FFFFFF"/>
                <w:lang w:bidi="ar"/>
              </w:rPr>
              <w:t>为被列入失信被执行人、重大税收违法案件当事人名单、政府采购严重违法失信行为记录名单，将取消其投标资格。</w:t>
            </w:r>
          </w:p>
        </w:tc>
      </w:tr>
      <w:tr w14:paraId="1D8A7D36">
        <w:tblPrEx>
          <w:tblCellMar>
            <w:top w:w="15" w:type="dxa"/>
            <w:left w:w="15" w:type="dxa"/>
            <w:bottom w:w="15" w:type="dxa"/>
            <w:right w:w="15" w:type="dxa"/>
          </w:tblCellMar>
        </w:tblPrEx>
        <w:trPr>
          <w:trHeight w:val="322"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14:paraId="2015BB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621" w:type="pct"/>
            <w:vMerge w:val="continue"/>
            <w:tcBorders>
              <w:top w:val="single" w:color="auto" w:sz="4" w:space="0"/>
              <w:left w:val="single" w:color="auto" w:sz="4" w:space="0"/>
              <w:bottom w:val="single" w:color="auto" w:sz="4" w:space="0"/>
              <w:right w:val="single" w:color="000000" w:sz="4" w:space="0"/>
            </w:tcBorders>
            <w:noWrap w:val="0"/>
            <w:vAlign w:val="center"/>
          </w:tcPr>
          <w:p w14:paraId="2CC271C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000000"/>
                <w:sz w:val="24"/>
                <w:szCs w:val="24"/>
                <w:highlight w:val="none"/>
              </w:rPr>
            </w:pPr>
          </w:p>
        </w:tc>
        <w:tc>
          <w:tcPr>
            <w:tcW w:w="4010" w:type="pct"/>
            <w:tcBorders>
              <w:top w:val="single" w:color="auto" w:sz="4" w:space="0"/>
              <w:left w:val="single" w:color="000000" w:sz="4" w:space="0"/>
              <w:bottom w:val="single" w:color="auto" w:sz="4" w:space="0"/>
              <w:right w:val="single" w:color="auto" w:sz="4" w:space="0"/>
            </w:tcBorders>
            <w:noWrap w:val="0"/>
            <w:vAlign w:val="center"/>
          </w:tcPr>
          <w:p w14:paraId="3FE9394E">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rPr>
              <w:t>本项目</w:t>
            </w:r>
            <w:r>
              <w:rPr>
                <w:rFonts w:hint="eastAsia" w:ascii="仿宋" w:hAnsi="仿宋" w:eastAsia="仿宋" w:cs="仿宋"/>
                <w:b/>
                <w:bCs/>
                <w:color w:val="auto"/>
                <w:sz w:val="24"/>
                <w:szCs w:val="24"/>
                <w:highlight w:val="none"/>
                <w:u w:val="single"/>
              </w:rPr>
              <w:t>不接受</w:t>
            </w:r>
            <w:r>
              <w:rPr>
                <w:rFonts w:hint="eastAsia" w:ascii="仿宋" w:hAnsi="仿宋" w:eastAsia="仿宋" w:cs="仿宋"/>
                <w:color w:val="auto"/>
                <w:sz w:val="24"/>
                <w:szCs w:val="24"/>
                <w:highlight w:val="none"/>
              </w:rPr>
              <w:t>联合体投标</w:t>
            </w:r>
            <w:r>
              <w:rPr>
                <w:rFonts w:hint="eastAsia" w:ascii="仿宋" w:hAnsi="仿宋" w:eastAsia="仿宋" w:cs="仿宋"/>
                <w:color w:val="auto"/>
                <w:sz w:val="24"/>
                <w:szCs w:val="24"/>
                <w:highlight w:val="none"/>
                <w:lang w:eastAsia="zh-CN"/>
              </w:rPr>
              <w:t>。</w:t>
            </w:r>
          </w:p>
        </w:tc>
      </w:tr>
      <w:tr w14:paraId="679547D3">
        <w:tblPrEx>
          <w:tblCellMar>
            <w:top w:w="15" w:type="dxa"/>
            <w:left w:w="15" w:type="dxa"/>
            <w:bottom w:w="15" w:type="dxa"/>
            <w:right w:w="15" w:type="dxa"/>
          </w:tblCellMar>
        </w:tblPrEx>
        <w:trPr>
          <w:trHeight w:val="322"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14:paraId="7C517FB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621" w:type="pct"/>
            <w:vMerge w:val="continue"/>
            <w:tcBorders>
              <w:top w:val="single" w:color="auto" w:sz="4" w:space="0"/>
              <w:left w:val="single" w:color="auto" w:sz="4" w:space="0"/>
              <w:bottom w:val="single" w:color="auto" w:sz="4" w:space="0"/>
              <w:right w:val="single" w:color="000000" w:sz="4" w:space="0"/>
            </w:tcBorders>
            <w:noWrap w:val="0"/>
            <w:vAlign w:val="center"/>
          </w:tcPr>
          <w:p w14:paraId="4892576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4010" w:type="pct"/>
            <w:tcBorders>
              <w:top w:val="single" w:color="auto" w:sz="4" w:space="0"/>
              <w:left w:val="single" w:color="000000" w:sz="4" w:space="0"/>
              <w:bottom w:val="single" w:color="auto" w:sz="4" w:space="0"/>
              <w:right w:val="single" w:color="auto" w:sz="4" w:space="0"/>
            </w:tcBorders>
            <w:noWrap w:val="0"/>
            <w:vAlign w:val="center"/>
          </w:tcPr>
          <w:p w14:paraId="6A6B07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特殊资格要求</w:t>
            </w:r>
            <w:r>
              <w:rPr>
                <w:rFonts w:hint="eastAsia" w:ascii="仿宋" w:hAnsi="仿宋" w:eastAsia="仿宋" w:cs="仿宋"/>
                <w:color w:val="auto"/>
                <w:sz w:val="24"/>
                <w:szCs w:val="24"/>
                <w:highlight w:val="none"/>
                <w:lang w:eastAsia="zh-CN"/>
              </w:rPr>
              <w:t>：</w:t>
            </w:r>
          </w:p>
          <w:p w14:paraId="52DCEABF">
            <w:pPr>
              <w:keepNext w:val="0"/>
              <w:keepLines w:val="0"/>
              <w:pageBreakBefore w:val="0"/>
              <w:widowControl/>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shd w:val="clear" w:color="auto" w:fill="FFFFFF"/>
                <w:lang w:val="en-US" w:eastAsia="zh-CN" w:bidi="ar"/>
              </w:rPr>
              <w:t>供应</w:t>
            </w:r>
            <w:r>
              <w:rPr>
                <w:rFonts w:hint="eastAsia" w:ascii="仿宋" w:hAnsi="仿宋" w:eastAsia="仿宋" w:cs="仿宋"/>
                <w:color w:val="auto"/>
                <w:kern w:val="0"/>
                <w:sz w:val="24"/>
                <w:szCs w:val="24"/>
                <w:highlight w:val="yellow"/>
                <w:shd w:val="clear" w:color="auto" w:fill="FFFFFF"/>
                <w:lang w:val="en-US" w:eastAsia="zh-CN" w:bidi="ar"/>
              </w:rPr>
              <w:t>商具有有效的网络安全等级测评与检测评估机构服务</w:t>
            </w:r>
            <w:r>
              <w:rPr>
                <w:rFonts w:hint="eastAsia" w:ascii="仿宋" w:hAnsi="仿宋" w:eastAsia="仿宋" w:cs="仿宋"/>
                <w:color w:val="auto"/>
                <w:kern w:val="0"/>
                <w:sz w:val="24"/>
                <w:szCs w:val="24"/>
                <w:highlight w:val="none"/>
                <w:shd w:val="clear" w:color="auto" w:fill="FFFFFF"/>
                <w:lang w:val="en-US" w:eastAsia="zh-CN" w:bidi="ar"/>
              </w:rPr>
              <w:t>认证证书。</w:t>
            </w:r>
          </w:p>
        </w:tc>
      </w:tr>
      <w:tr w14:paraId="25816BE6">
        <w:tblPrEx>
          <w:tblCellMar>
            <w:top w:w="15" w:type="dxa"/>
            <w:left w:w="15" w:type="dxa"/>
            <w:bottom w:w="15" w:type="dxa"/>
            <w:right w:w="15" w:type="dxa"/>
          </w:tblCellMar>
        </w:tblPrEx>
        <w:trPr>
          <w:trHeight w:val="32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36A07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621" w:type="pct"/>
            <w:vMerge w:val="continue"/>
            <w:tcBorders>
              <w:top w:val="single" w:color="auto" w:sz="4" w:space="0"/>
              <w:left w:val="single" w:color="auto" w:sz="4" w:space="0"/>
              <w:bottom w:val="single" w:color="auto" w:sz="4" w:space="0"/>
              <w:right w:val="single" w:color="000000" w:sz="4" w:space="0"/>
            </w:tcBorders>
            <w:noWrap w:val="0"/>
            <w:vAlign w:val="center"/>
          </w:tcPr>
          <w:p w14:paraId="74EDDFE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4010" w:type="pct"/>
            <w:tcBorders>
              <w:top w:val="single" w:color="auto" w:sz="4" w:space="0"/>
              <w:left w:val="single" w:color="000000" w:sz="4" w:space="0"/>
              <w:bottom w:val="single" w:color="auto" w:sz="4" w:space="0"/>
              <w:right w:val="single" w:color="auto" w:sz="4" w:space="0"/>
            </w:tcBorders>
            <w:noWrap w:val="0"/>
            <w:vAlign w:val="center"/>
          </w:tcPr>
          <w:p w14:paraId="76F171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仿宋"/>
                <w:color w:val="auto"/>
                <w:kern w:val="0"/>
                <w:sz w:val="24"/>
                <w:szCs w:val="24"/>
                <w:highlight w:val="none"/>
                <w:shd w:val="clear" w:color="auto" w:fill="FFFFFF"/>
                <w:lang w:val="en-US" w:eastAsia="zh-CN" w:bidi="ar"/>
              </w:rPr>
            </w:pPr>
            <w:r>
              <w:rPr>
                <w:rFonts w:hint="eastAsia" w:ascii="仿宋" w:hAnsi="仿宋" w:eastAsia="仿宋" w:cs="仿宋"/>
                <w:b w:val="0"/>
                <w:bCs/>
                <w:strike w:val="0"/>
                <w:dstrike w:val="0"/>
                <w:color w:val="auto"/>
                <w:sz w:val="24"/>
                <w:szCs w:val="24"/>
                <w:highlight w:val="none"/>
                <w:vertAlign w:val="baseline"/>
                <w:lang w:val="en-US" w:eastAsia="zh-CN"/>
              </w:rPr>
              <w:t>供应商须承诺中标后，采购人在中华人民共和国境内使用中标人提供的产品和服务时免受第三方提出的侵犯其专利权或其它知识产权的起诉。如果第三方提出侵权指控，中标人应承担因此而引起的一切法律责任和费用，并赔偿给采购人造成的损失（供应商提供承诺函，未提供则按无效标处理）。</w:t>
            </w:r>
          </w:p>
        </w:tc>
      </w:tr>
      <w:tr w14:paraId="175C6E10">
        <w:tblPrEx>
          <w:tblCellMar>
            <w:top w:w="15" w:type="dxa"/>
            <w:left w:w="15" w:type="dxa"/>
            <w:bottom w:w="15" w:type="dxa"/>
            <w:right w:w="15" w:type="dxa"/>
          </w:tblCellMar>
        </w:tblPrEx>
        <w:trPr>
          <w:trHeight w:val="32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DA88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621" w:type="pct"/>
            <w:vMerge w:val="continue"/>
            <w:tcBorders>
              <w:top w:val="single" w:color="auto" w:sz="4" w:space="0"/>
              <w:left w:val="single" w:color="auto" w:sz="4" w:space="0"/>
              <w:bottom w:val="single" w:color="auto" w:sz="4" w:space="0"/>
              <w:right w:val="single" w:color="000000" w:sz="4" w:space="0"/>
            </w:tcBorders>
            <w:noWrap w:val="0"/>
            <w:vAlign w:val="center"/>
          </w:tcPr>
          <w:p w14:paraId="1E33B9F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4010" w:type="pct"/>
            <w:tcBorders>
              <w:top w:val="single" w:color="auto" w:sz="4" w:space="0"/>
              <w:left w:val="single" w:color="000000" w:sz="4" w:space="0"/>
              <w:bottom w:val="single" w:color="auto" w:sz="4" w:space="0"/>
              <w:right w:val="single" w:color="auto" w:sz="4" w:space="0"/>
            </w:tcBorders>
            <w:noWrap w:val="0"/>
            <w:vAlign w:val="center"/>
          </w:tcPr>
          <w:p w14:paraId="6262B9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rPr>
              <w:t>单位负责人为同一人或者存在直接控股、管理关系的不同</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，不得参加同一合同项下的政府采购活动。</w:t>
            </w:r>
          </w:p>
        </w:tc>
      </w:tr>
      <w:tr w14:paraId="029B0469">
        <w:tblPrEx>
          <w:tblCellMar>
            <w:top w:w="15" w:type="dxa"/>
            <w:left w:w="15" w:type="dxa"/>
            <w:bottom w:w="15" w:type="dxa"/>
            <w:right w:w="15" w:type="dxa"/>
          </w:tblCellMar>
        </w:tblPrEx>
        <w:trPr>
          <w:trHeight w:val="32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F1FF0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621" w:type="pct"/>
            <w:vMerge w:val="continue"/>
            <w:tcBorders>
              <w:top w:val="single" w:color="auto" w:sz="4" w:space="0"/>
              <w:left w:val="single" w:color="auto" w:sz="4" w:space="0"/>
              <w:bottom w:val="single" w:color="auto" w:sz="4" w:space="0"/>
              <w:right w:val="single" w:color="000000" w:sz="4" w:space="0"/>
            </w:tcBorders>
            <w:noWrap w:val="0"/>
            <w:vAlign w:val="center"/>
          </w:tcPr>
          <w:p w14:paraId="775DB48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4010" w:type="pct"/>
            <w:tcBorders>
              <w:top w:val="single" w:color="auto" w:sz="4" w:space="0"/>
              <w:left w:val="single" w:color="000000" w:sz="4" w:space="0"/>
              <w:bottom w:val="single" w:color="auto" w:sz="4" w:space="0"/>
              <w:right w:val="single" w:color="auto" w:sz="4" w:space="0"/>
            </w:tcBorders>
            <w:noWrap w:val="0"/>
            <w:vAlign w:val="center"/>
          </w:tcPr>
          <w:p w14:paraId="196231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为项目提供整体设计、规范编制或项目管理、监理、检测等服务的</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，不得再参加该项目的其他采购活动。</w:t>
            </w:r>
          </w:p>
        </w:tc>
      </w:tr>
      <w:tr w14:paraId="4E7FCD91">
        <w:tblPrEx>
          <w:tblCellMar>
            <w:top w:w="15" w:type="dxa"/>
            <w:left w:w="15" w:type="dxa"/>
            <w:bottom w:w="15" w:type="dxa"/>
            <w:right w:w="15" w:type="dxa"/>
          </w:tblCellMar>
        </w:tblPrEx>
        <w:trPr>
          <w:trHeight w:val="322"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14:paraId="3193BE2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21" w:type="pct"/>
            <w:vMerge w:val="continue"/>
            <w:tcBorders>
              <w:top w:val="single" w:color="auto" w:sz="4" w:space="0"/>
              <w:left w:val="single" w:color="auto" w:sz="4" w:space="0"/>
              <w:bottom w:val="single" w:color="auto" w:sz="4" w:space="0"/>
              <w:right w:val="single" w:color="000000" w:sz="4" w:space="0"/>
            </w:tcBorders>
            <w:noWrap w:val="0"/>
            <w:vAlign w:val="center"/>
          </w:tcPr>
          <w:p w14:paraId="6C469DC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4010" w:type="pct"/>
            <w:tcBorders>
              <w:top w:val="single" w:color="auto" w:sz="4" w:space="0"/>
              <w:left w:val="single" w:color="000000" w:sz="4" w:space="0"/>
              <w:bottom w:val="single" w:color="auto" w:sz="4" w:space="0"/>
              <w:right w:val="single" w:color="auto" w:sz="4" w:space="0"/>
            </w:tcBorders>
            <w:noWrap w:val="0"/>
            <w:vAlign w:val="center"/>
          </w:tcPr>
          <w:p w14:paraId="08C0B2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投标保证金</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本项目不收取投标保证金</w:t>
            </w:r>
            <w:r>
              <w:rPr>
                <w:rFonts w:hint="eastAsia" w:ascii="仿宋" w:hAnsi="仿宋" w:eastAsia="仿宋" w:cs="仿宋"/>
                <w:color w:val="auto"/>
                <w:sz w:val="24"/>
                <w:szCs w:val="24"/>
                <w:highlight w:val="none"/>
              </w:rPr>
              <w:t>）。</w:t>
            </w:r>
          </w:p>
        </w:tc>
      </w:tr>
    </w:tbl>
    <w:p w14:paraId="087798BF">
      <w:pPr>
        <w:pageBreakBefore w:val="0"/>
        <w:kinsoku/>
        <w:wordWrap/>
        <w:overflowPunct/>
        <w:topLinePunct w:val="0"/>
        <w:autoSpaceDE/>
        <w:autoSpaceDN/>
        <w:bidi w:val="0"/>
        <w:snapToGrid w:val="0"/>
        <w:spacing w:line="600" w:lineRule="exact"/>
        <w:ind w:firstLine="482" w:firstLineChars="20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注：资格审查由采购人代表或其采购代理机构代表进行审查。</w:t>
      </w:r>
    </w:p>
    <w:p w14:paraId="5E1C2047">
      <w:pP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br w:type="page"/>
      </w:r>
    </w:p>
    <w:p w14:paraId="0A775735">
      <w:pPr>
        <w:pageBreakBefore w:val="0"/>
        <w:kinsoku/>
        <w:wordWrap/>
        <w:overflowPunct/>
        <w:topLinePunct w:val="0"/>
        <w:autoSpaceDE/>
        <w:autoSpaceDN/>
        <w:bidi w:val="0"/>
        <w:snapToGrid w:val="0"/>
        <w:spacing w:line="600" w:lineRule="exact"/>
        <w:ind w:firstLine="482"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b/>
          <w:bCs/>
          <w:color w:val="000000"/>
          <w:sz w:val="24"/>
          <w:szCs w:val="24"/>
          <w:highlight w:val="none"/>
        </w:rPr>
        <w:t>、符合性检查。</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029"/>
        <w:gridCol w:w="1982"/>
        <w:gridCol w:w="4727"/>
      </w:tblGrid>
      <w:tr w14:paraId="1C41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7" w:type="pct"/>
            <w:noWrap w:val="0"/>
            <w:vAlign w:val="center"/>
          </w:tcPr>
          <w:p w14:paraId="3DAC2E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序号</w:t>
            </w:r>
          </w:p>
        </w:tc>
        <w:tc>
          <w:tcPr>
            <w:tcW w:w="1767" w:type="pct"/>
            <w:gridSpan w:val="2"/>
            <w:noWrap w:val="0"/>
            <w:vAlign w:val="center"/>
          </w:tcPr>
          <w:p w14:paraId="35FEA7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评审因素</w:t>
            </w:r>
          </w:p>
        </w:tc>
        <w:tc>
          <w:tcPr>
            <w:tcW w:w="2774" w:type="pct"/>
            <w:noWrap w:val="0"/>
            <w:vAlign w:val="center"/>
          </w:tcPr>
          <w:p w14:paraId="3E91D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评审标准</w:t>
            </w:r>
          </w:p>
        </w:tc>
      </w:tr>
      <w:tr w14:paraId="6F16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7" w:type="pct"/>
            <w:vMerge w:val="restart"/>
            <w:noWrap w:val="0"/>
            <w:vAlign w:val="center"/>
          </w:tcPr>
          <w:p w14:paraId="2B004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604" w:type="pct"/>
            <w:vMerge w:val="restart"/>
            <w:noWrap w:val="0"/>
            <w:vAlign w:val="center"/>
          </w:tcPr>
          <w:p w14:paraId="326D80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有效性审查</w:t>
            </w:r>
          </w:p>
        </w:tc>
        <w:tc>
          <w:tcPr>
            <w:tcW w:w="1162" w:type="pct"/>
            <w:noWrap w:val="0"/>
            <w:vAlign w:val="center"/>
          </w:tcPr>
          <w:p w14:paraId="47418C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投标文件签署</w:t>
            </w:r>
          </w:p>
        </w:tc>
        <w:tc>
          <w:tcPr>
            <w:tcW w:w="2774" w:type="pct"/>
            <w:noWrap w:val="0"/>
            <w:vAlign w:val="center"/>
          </w:tcPr>
          <w:p w14:paraId="07080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投标文件上法定代表人（单位负责人）或其授权代表人的签字（或签章）齐全。</w:t>
            </w:r>
          </w:p>
        </w:tc>
      </w:tr>
      <w:tr w14:paraId="61B3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57" w:type="pct"/>
            <w:vMerge w:val="continue"/>
            <w:noWrap w:val="0"/>
            <w:vAlign w:val="center"/>
          </w:tcPr>
          <w:p w14:paraId="0A8DA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auto"/>
                <w:kern w:val="0"/>
                <w:sz w:val="24"/>
                <w:szCs w:val="24"/>
                <w:highlight w:val="none"/>
              </w:rPr>
            </w:pPr>
          </w:p>
        </w:tc>
        <w:tc>
          <w:tcPr>
            <w:tcW w:w="604" w:type="pct"/>
            <w:vMerge w:val="continue"/>
            <w:noWrap w:val="0"/>
            <w:vAlign w:val="center"/>
          </w:tcPr>
          <w:p w14:paraId="363DEB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auto"/>
                <w:kern w:val="0"/>
                <w:sz w:val="24"/>
                <w:szCs w:val="24"/>
                <w:highlight w:val="none"/>
              </w:rPr>
            </w:pPr>
          </w:p>
        </w:tc>
        <w:tc>
          <w:tcPr>
            <w:tcW w:w="1162" w:type="pct"/>
            <w:noWrap w:val="0"/>
            <w:vAlign w:val="center"/>
          </w:tcPr>
          <w:p w14:paraId="3F59B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法定代表人（单位负责人）身份证明及授权委托书</w:t>
            </w:r>
          </w:p>
        </w:tc>
        <w:tc>
          <w:tcPr>
            <w:tcW w:w="2774" w:type="pct"/>
            <w:noWrap w:val="0"/>
            <w:vAlign w:val="center"/>
          </w:tcPr>
          <w:p w14:paraId="3AABDB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法定代表人（单位负责人）身份证明及授权委托书有效，符合采购文件规定的格式且签章齐全。</w:t>
            </w:r>
          </w:p>
        </w:tc>
      </w:tr>
      <w:tr w14:paraId="6F3F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7" w:type="pct"/>
            <w:vMerge w:val="continue"/>
            <w:noWrap w:val="0"/>
            <w:vAlign w:val="center"/>
          </w:tcPr>
          <w:p w14:paraId="64C61A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auto"/>
                <w:kern w:val="0"/>
                <w:sz w:val="24"/>
                <w:szCs w:val="24"/>
                <w:highlight w:val="none"/>
              </w:rPr>
            </w:pPr>
          </w:p>
        </w:tc>
        <w:tc>
          <w:tcPr>
            <w:tcW w:w="604" w:type="pct"/>
            <w:vMerge w:val="continue"/>
            <w:noWrap w:val="0"/>
            <w:vAlign w:val="center"/>
          </w:tcPr>
          <w:p w14:paraId="0EF5A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auto"/>
                <w:kern w:val="0"/>
                <w:sz w:val="24"/>
                <w:szCs w:val="24"/>
                <w:highlight w:val="none"/>
              </w:rPr>
            </w:pPr>
          </w:p>
        </w:tc>
        <w:tc>
          <w:tcPr>
            <w:tcW w:w="1162" w:type="pct"/>
            <w:noWrap w:val="0"/>
            <w:vAlign w:val="center"/>
          </w:tcPr>
          <w:p w14:paraId="747164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报价唯一且有效</w:t>
            </w:r>
          </w:p>
        </w:tc>
        <w:tc>
          <w:tcPr>
            <w:tcW w:w="2774" w:type="pct"/>
            <w:noWrap w:val="0"/>
            <w:vAlign w:val="center"/>
          </w:tcPr>
          <w:p w14:paraId="48B934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 xml:space="preserve">投标报价不能超过采购限价，且报价唯一。  </w:t>
            </w:r>
          </w:p>
        </w:tc>
      </w:tr>
      <w:tr w14:paraId="0888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57" w:type="pct"/>
            <w:noWrap w:val="0"/>
            <w:vAlign w:val="center"/>
          </w:tcPr>
          <w:p w14:paraId="2F6195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604" w:type="pct"/>
            <w:noWrap w:val="0"/>
            <w:vAlign w:val="center"/>
          </w:tcPr>
          <w:p w14:paraId="0089A2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完整性审查</w:t>
            </w:r>
          </w:p>
        </w:tc>
        <w:tc>
          <w:tcPr>
            <w:tcW w:w="1162" w:type="pct"/>
            <w:noWrap w:val="0"/>
            <w:vAlign w:val="center"/>
          </w:tcPr>
          <w:p w14:paraId="732400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lang w:val="zh-CN"/>
              </w:rPr>
              <w:t>投标文件份数</w:t>
            </w:r>
          </w:p>
        </w:tc>
        <w:tc>
          <w:tcPr>
            <w:tcW w:w="2774" w:type="pct"/>
            <w:noWrap w:val="0"/>
            <w:vAlign w:val="center"/>
          </w:tcPr>
          <w:p w14:paraId="28B5D4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lang w:val="zh-CN"/>
              </w:rPr>
              <w:t>本项目为远程电子标，开标期间无需提供纸质文件，后续与采购人签订合同时，根据采购人的要求提供纸质文件。</w:t>
            </w:r>
          </w:p>
        </w:tc>
      </w:tr>
      <w:tr w14:paraId="09F2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57" w:type="pct"/>
            <w:vMerge w:val="restart"/>
            <w:noWrap w:val="0"/>
            <w:vAlign w:val="center"/>
          </w:tcPr>
          <w:p w14:paraId="6252E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3</w:t>
            </w:r>
          </w:p>
        </w:tc>
        <w:tc>
          <w:tcPr>
            <w:tcW w:w="604" w:type="pct"/>
            <w:vMerge w:val="restart"/>
            <w:noWrap w:val="0"/>
            <w:vAlign w:val="center"/>
          </w:tcPr>
          <w:p w14:paraId="4B87C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rPr>
              <w:t>采购文件的响应程度审查</w:t>
            </w:r>
          </w:p>
        </w:tc>
        <w:tc>
          <w:tcPr>
            <w:tcW w:w="1162" w:type="pct"/>
            <w:noWrap w:val="0"/>
            <w:vAlign w:val="center"/>
          </w:tcPr>
          <w:p w14:paraId="51F70D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技术符合性</w:t>
            </w:r>
          </w:p>
        </w:tc>
        <w:tc>
          <w:tcPr>
            <w:tcW w:w="2774" w:type="pct"/>
            <w:noWrap w:val="0"/>
            <w:vAlign w:val="center"/>
          </w:tcPr>
          <w:p w14:paraId="6323EED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符合采购文件第</w:t>
            </w: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章《采购</w:t>
            </w:r>
            <w:r>
              <w:rPr>
                <w:rFonts w:hint="eastAsia" w:ascii="仿宋" w:hAnsi="仿宋" w:eastAsia="仿宋" w:cs="仿宋"/>
                <w:color w:val="000000"/>
                <w:sz w:val="24"/>
                <w:szCs w:val="24"/>
                <w:highlight w:val="none"/>
                <w:lang w:eastAsia="zh-CN"/>
              </w:rPr>
              <w:t>需求</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第一节技术要求</w:t>
            </w:r>
            <w:r>
              <w:rPr>
                <w:rFonts w:hint="eastAsia" w:ascii="仿宋" w:hAnsi="仿宋" w:eastAsia="仿宋" w:cs="仿宋"/>
                <w:color w:val="000000"/>
                <w:sz w:val="24"/>
                <w:szCs w:val="24"/>
                <w:highlight w:val="none"/>
              </w:rPr>
              <w:t>规定的</w:t>
            </w:r>
            <w:r>
              <w:rPr>
                <w:rFonts w:hint="eastAsia" w:ascii="仿宋" w:hAnsi="仿宋" w:eastAsia="仿宋" w:cs="仿宋"/>
                <w:color w:val="000000"/>
                <w:sz w:val="24"/>
                <w:szCs w:val="24"/>
                <w:highlight w:val="none"/>
                <w:lang w:val="en-US" w:eastAsia="zh-CN"/>
              </w:rPr>
              <w:t>所有要求</w:t>
            </w:r>
            <w:r>
              <w:rPr>
                <w:rFonts w:hint="eastAsia" w:ascii="仿宋" w:hAnsi="仿宋" w:eastAsia="仿宋" w:cs="仿宋"/>
                <w:color w:val="000000"/>
                <w:sz w:val="24"/>
                <w:szCs w:val="24"/>
                <w:highlight w:val="none"/>
              </w:rPr>
              <w:t>。</w:t>
            </w:r>
          </w:p>
        </w:tc>
      </w:tr>
      <w:tr w14:paraId="02C6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57" w:type="pct"/>
            <w:vMerge w:val="continue"/>
            <w:noWrap w:val="0"/>
            <w:vAlign w:val="center"/>
          </w:tcPr>
          <w:p w14:paraId="00034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auto"/>
                <w:kern w:val="0"/>
                <w:sz w:val="24"/>
                <w:szCs w:val="24"/>
                <w:highlight w:val="none"/>
              </w:rPr>
            </w:pPr>
          </w:p>
        </w:tc>
        <w:tc>
          <w:tcPr>
            <w:tcW w:w="604" w:type="pct"/>
            <w:vMerge w:val="continue"/>
            <w:noWrap w:val="0"/>
            <w:vAlign w:val="center"/>
          </w:tcPr>
          <w:p w14:paraId="0551B9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auto"/>
                <w:sz w:val="24"/>
                <w:szCs w:val="24"/>
                <w:highlight w:val="none"/>
                <w:lang w:val="zh-CN"/>
              </w:rPr>
            </w:pPr>
          </w:p>
        </w:tc>
        <w:tc>
          <w:tcPr>
            <w:tcW w:w="1162" w:type="pct"/>
            <w:noWrap w:val="0"/>
            <w:vAlign w:val="center"/>
          </w:tcPr>
          <w:p w14:paraId="6B6445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商务符合性</w:t>
            </w:r>
          </w:p>
        </w:tc>
        <w:tc>
          <w:tcPr>
            <w:tcW w:w="2774" w:type="pct"/>
            <w:noWrap w:val="0"/>
            <w:vAlign w:val="center"/>
          </w:tcPr>
          <w:p w14:paraId="6763C67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符合采购文件</w:t>
            </w:r>
            <w:r>
              <w:rPr>
                <w:rFonts w:hint="eastAsia" w:ascii="仿宋" w:hAnsi="仿宋" w:eastAsia="仿宋" w:cs="仿宋"/>
                <w:color w:val="000000"/>
                <w:sz w:val="24"/>
                <w:szCs w:val="24"/>
                <w:highlight w:val="none"/>
              </w:rPr>
              <w:t>第</w:t>
            </w: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章《采购</w:t>
            </w:r>
            <w:r>
              <w:rPr>
                <w:rFonts w:hint="eastAsia" w:ascii="仿宋" w:hAnsi="仿宋" w:eastAsia="仿宋" w:cs="仿宋"/>
                <w:color w:val="000000"/>
                <w:sz w:val="24"/>
                <w:szCs w:val="24"/>
                <w:highlight w:val="none"/>
                <w:lang w:eastAsia="zh-CN"/>
              </w:rPr>
              <w:t>需求</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第二节商务要求</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val="en-US" w:eastAsia="zh-CN"/>
              </w:rPr>
              <w:t>所有要求</w:t>
            </w:r>
            <w:r>
              <w:rPr>
                <w:rFonts w:hint="eastAsia" w:ascii="仿宋" w:hAnsi="仿宋" w:eastAsia="仿宋" w:cs="仿宋"/>
                <w:color w:val="auto"/>
                <w:sz w:val="24"/>
                <w:szCs w:val="24"/>
                <w:highlight w:val="none"/>
              </w:rPr>
              <w:t>。</w:t>
            </w:r>
          </w:p>
        </w:tc>
      </w:tr>
      <w:tr w14:paraId="56CA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57" w:type="pct"/>
            <w:vMerge w:val="continue"/>
            <w:noWrap w:val="0"/>
            <w:vAlign w:val="center"/>
          </w:tcPr>
          <w:p w14:paraId="7D75E2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auto"/>
                <w:kern w:val="0"/>
                <w:sz w:val="24"/>
                <w:szCs w:val="24"/>
                <w:highlight w:val="none"/>
              </w:rPr>
            </w:pPr>
          </w:p>
        </w:tc>
        <w:tc>
          <w:tcPr>
            <w:tcW w:w="604" w:type="pct"/>
            <w:vMerge w:val="continue"/>
            <w:noWrap w:val="0"/>
            <w:vAlign w:val="center"/>
          </w:tcPr>
          <w:p w14:paraId="57C7B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auto"/>
                <w:sz w:val="24"/>
                <w:szCs w:val="24"/>
                <w:highlight w:val="none"/>
                <w:lang w:val="zh-CN"/>
              </w:rPr>
            </w:pPr>
          </w:p>
        </w:tc>
        <w:tc>
          <w:tcPr>
            <w:tcW w:w="1162" w:type="pct"/>
            <w:noWrap w:val="0"/>
            <w:vAlign w:val="center"/>
          </w:tcPr>
          <w:p w14:paraId="7434E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2774" w:type="pct"/>
            <w:noWrap w:val="0"/>
            <w:vAlign w:val="center"/>
          </w:tcPr>
          <w:p w14:paraId="3EC987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满足采购文件</w:t>
            </w:r>
            <w:r>
              <w:rPr>
                <w:rFonts w:hint="eastAsia" w:ascii="仿宋" w:hAnsi="仿宋" w:eastAsia="仿宋" w:cs="仿宋"/>
                <w:color w:val="auto"/>
                <w:sz w:val="24"/>
                <w:szCs w:val="24"/>
                <w:highlight w:val="none"/>
                <w:lang w:val="zh-CN"/>
              </w:rPr>
              <w:t>规定。</w:t>
            </w:r>
            <w:r>
              <w:rPr>
                <w:rFonts w:hint="eastAsia" w:ascii="仿宋" w:hAnsi="仿宋" w:eastAsia="仿宋" w:cs="仿宋"/>
                <w:color w:val="auto"/>
                <w:sz w:val="24"/>
                <w:szCs w:val="24"/>
                <w:highlight w:val="none"/>
                <w:lang w:val="en-US" w:eastAsia="zh-CN"/>
              </w:rPr>
              <w:t xml:space="preserve">  </w:t>
            </w:r>
          </w:p>
        </w:tc>
      </w:tr>
    </w:tbl>
    <w:p w14:paraId="2DFBDBBA">
      <w:pP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br w:type="page"/>
      </w:r>
    </w:p>
    <w:p w14:paraId="38044AA7">
      <w:pPr>
        <w:pageBreakBefore w:val="0"/>
        <w:numPr>
          <w:ilvl w:val="0"/>
          <w:numId w:val="1"/>
        </w:numPr>
        <w:kinsoku/>
        <w:wordWrap/>
        <w:overflowPunct/>
        <w:topLinePunct w:val="0"/>
        <w:autoSpaceDE/>
        <w:autoSpaceDN/>
        <w:bidi w:val="0"/>
        <w:spacing w:line="60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评标标准</w:t>
      </w:r>
    </w:p>
    <w:tbl>
      <w:tblPr>
        <w:tblStyle w:val="6"/>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08"/>
        <w:gridCol w:w="1527"/>
        <w:gridCol w:w="5792"/>
      </w:tblGrid>
      <w:tr w14:paraId="308A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0" w:type="dxa"/>
            <w:noWrap w:val="0"/>
            <w:vAlign w:val="center"/>
          </w:tcPr>
          <w:p w14:paraId="164751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序号</w:t>
            </w:r>
          </w:p>
        </w:tc>
        <w:tc>
          <w:tcPr>
            <w:tcW w:w="1208" w:type="dxa"/>
            <w:noWrap w:val="0"/>
            <w:vAlign w:val="center"/>
          </w:tcPr>
          <w:p w14:paraId="2EFB26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评分项目</w:t>
            </w:r>
          </w:p>
        </w:tc>
        <w:tc>
          <w:tcPr>
            <w:tcW w:w="1527" w:type="dxa"/>
            <w:noWrap w:val="0"/>
            <w:vAlign w:val="center"/>
          </w:tcPr>
          <w:p w14:paraId="6B6D11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满分分值</w:t>
            </w:r>
          </w:p>
        </w:tc>
        <w:tc>
          <w:tcPr>
            <w:tcW w:w="5792" w:type="dxa"/>
            <w:noWrap w:val="0"/>
            <w:vAlign w:val="center"/>
          </w:tcPr>
          <w:p w14:paraId="4C95ED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评分标准</w:t>
            </w:r>
          </w:p>
        </w:tc>
      </w:tr>
      <w:tr w14:paraId="5A61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780" w:type="dxa"/>
            <w:noWrap w:val="0"/>
            <w:vAlign w:val="center"/>
          </w:tcPr>
          <w:p w14:paraId="3A42EC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208" w:type="dxa"/>
            <w:noWrap w:val="0"/>
            <w:vAlign w:val="center"/>
          </w:tcPr>
          <w:p w14:paraId="662A41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28"/>
              <w:contextualSpacing/>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14:paraId="6A9753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28"/>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lang w:eastAsia="zh-CN"/>
              </w:rPr>
              <w:t>）</w:t>
            </w:r>
          </w:p>
        </w:tc>
        <w:tc>
          <w:tcPr>
            <w:tcW w:w="1527" w:type="dxa"/>
            <w:noWrap w:val="0"/>
            <w:vAlign w:val="center"/>
          </w:tcPr>
          <w:p w14:paraId="5E46DF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792" w:type="dxa"/>
            <w:noWrap w:val="0"/>
            <w:vAlign w:val="center"/>
          </w:tcPr>
          <w:p w14:paraId="28A576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有效的投标报价中合理的最低价为评标基准价，按照下列公式计算每个</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的投标价格得分。投标报价得分＝（评标基准价/投标报价）×价格权重×100%。</w:t>
            </w:r>
          </w:p>
          <w:p w14:paraId="50A530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小型和微型企业参与投标的，给予</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%的价格扣除，用扣除后的价格参与评审。计算公式：评审价格=投标报价-投标报价*</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w:t>
            </w:r>
          </w:p>
          <w:p w14:paraId="452439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评标委员会认为</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的报价明显低于其他通过符合性审查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的报价，有可能不能诚信履约的，可要求其在评标现场提供有效的书面说明，证明其报价的合理性。（该说明可先由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授权委托人签字，盖单位公章后补）。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不能证明其报价合理性的，评标委员会有权按无效标处理。</w:t>
            </w:r>
          </w:p>
          <w:p w14:paraId="18E177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contextualSpacing/>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属于小型和微型企业的应在投标文件中提供小型和微型企业的《中小企业声明函》，并对声明函的真实有效性负责（违者将自行承担相应的法律责任）。</w:t>
            </w:r>
          </w:p>
          <w:p w14:paraId="7BE8E2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②价格权重为10分。     </w:t>
            </w:r>
          </w:p>
        </w:tc>
      </w:tr>
      <w:tr w14:paraId="298E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Merge w:val="restart"/>
            <w:noWrap w:val="0"/>
            <w:vAlign w:val="center"/>
          </w:tcPr>
          <w:p w14:paraId="464CB5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208" w:type="dxa"/>
            <w:vMerge w:val="restart"/>
            <w:noWrap w:val="0"/>
            <w:vAlign w:val="center"/>
          </w:tcPr>
          <w:p w14:paraId="4CB059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技术部分</w:t>
            </w:r>
          </w:p>
          <w:p w14:paraId="79C828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40分</w:t>
            </w:r>
            <w:r>
              <w:rPr>
                <w:rFonts w:hint="eastAsia" w:ascii="仿宋" w:hAnsi="仿宋" w:eastAsia="仿宋" w:cs="仿宋"/>
                <w:color w:val="auto"/>
                <w:kern w:val="0"/>
                <w:sz w:val="24"/>
                <w:szCs w:val="24"/>
                <w:highlight w:val="none"/>
                <w:lang w:eastAsia="zh-CN"/>
              </w:rPr>
              <w:t>）</w:t>
            </w:r>
          </w:p>
        </w:tc>
        <w:tc>
          <w:tcPr>
            <w:tcW w:w="1527" w:type="dxa"/>
            <w:noWrap w:val="0"/>
            <w:vAlign w:val="center"/>
          </w:tcPr>
          <w:p w14:paraId="482422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测评方案</w:t>
            </w:r>
          </w:p>
          <w:p w14:paraId="2BE578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15分</w:t>
            </w:r>
            <w:r>
              <w:rPr>
                <w:rFonts w:hint="eastAsia" w:ascii="仿宋" w:hAnsi="仿宋" w:eastAsia="仿宋" w:cs="仿宋"/>
                <w:color w:val="auto"/>
                <w:kern w:val="0"/>
                <w:sz w:val="24"/>
                <w:szCs w:val="24"/>
                <w:highlight w:val="none"/>
                <w:lang w:eastAsia="zh-CN"/>
              </w:rPr>
              <w:t>）</w:t>
            </w:r>
          </w:p>
        </w:tc>
        <w:tc>
          <w:tcPr>
            <w:tcW w:w="5792" w:type="dxa"/>
            <w:noWrap w:val="0"/>
            <w:vAlign w:val="center"/>
          </w:tcPr>
          <w:p w14:paraId="6A9808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供应商提供等级保护测评方案，包含但不限于信息安全等级测评、测评对象与指标、测评方法、测评相关工作的实施计划、测评进度计划及流程安排。重点评价方案编写的质量符合本项目实际现状，并对方案的客观性、准确性、公正性、符合性等进行评价： </w:t>
            </w:r>
          </w:p>
          <w:p w14:paraId="163AA9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lang w:val="en-US" w:eastAsia="zh-CN"/>
              </w:rPr>
              <w:t xml:space="preserve">：①了解服务需求以及重点难点分析，从方案的可行性、合理性和建设性方面综合评价，得 15-10分。 </w:t>
            </w:r>
          </w:p>
          <w:p w14:paraId="41C96C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②方案理解完整、依据明确、方案内容及要点清晰明确，无与项目无关，符合项目需求，得9-5分。 </w:t>
            </w:r>
          </w:p>
          <w:p w14:paraId="7E91A1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③方案有明显的欠缺，针对性较差得4-1分。 </w:t>
            </w:r>
          </w:p>
          <w:p w14:paraId="39D26B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④方案完全不满足不得分。</w:t>
            </w:r>
          </w:p>
        </w:tc>
      </w:tr>
      <w:tr w14:paraId="5B53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Merge w:val="continue"/>
            <w:noWrap w:val="0"/>
            <w:vAlign w:val="center"/>
          </w:tcPr>
          <w:p w14:paraId="3D3611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p>
        </w:tc>
        <w:tc>
          <w:tcPr>
            <w:tcW w:w="1208" w:type="dxa"/>
            <w:vMerge w:val="continue"/>
            <w:noWrap w:val="0"/>
            <w:vAlign w:val="center"/>
          </w:tcPr>
          <w:p w14:paraId="13DF55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p>
        </w:tc>
        <w:tc>
          <w:tcPr>
            <w:tcW w:w="1527" w:type="dxa"/>
            <w:noWrap w:val="0"/>
            <w:vAlign w:val="center"/>
          </w:tcPr>
          <w:p w14:paraId="5E1CBB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 xml:space="preserve">安全防护方 </w:t>
            </w:r>
          </w:p>
          <w:p w14:paraId="509E44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案（5分）</w:t>
            </w:r>
          </w:p>
        </w:tc>
        <w:tc>
          <w:tcPr>
            <w:tcW w:w="5792" w:type="dxa"/>
            <w:noWrap w:val="0"/>
            <w:vAlign w:val="center"/>
          </w:tcPr>
          <w:p w14:paraId="7B1958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供应商需根据对本项目实施服务需求的理解</w:t>
            </w:r>
            <w:r>
              <w:rPr>
                <w:rFonts w:hint="eastAsia" w:ascii="仿宋" w:hAnsi="仿宋" w:eastAsia="仿宋" w:cs="仿宋"/>
                <w:color w:val="auto"/>
                <w:kern w:val="0"/>
                <w:sz w:val="24"/>
                <w:szCs w:val="24"/>
                <w:highlight w:val="none"/>
                <w:lang w:val="en-US" w:eastAsia="zh-CN"/>
              </w:rPr>
              <w:t>针对本项目提出的安全防护方案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内容应包括但不限于以下内容：具体维护措施、明确维护方式、测试环境、安全运维管理、</w:t>
            </w:r>
            <w:r>
              <w:rPr>
                <w:rFonts w:hint="eastAsia" w:ascii="仿宋" w:hAnsi="仿宋" w:eastAsia="仿宋" w:cs="仿宋"/>
                <w:color w:val="auto"/>
                <w:kern w:val="0"/>
                <w:sz w:val="24"/>
                <w:szCs w:val="24"/>
                <w:highlight w:val="none"/>
                <w:lang w:val="en-US" w:eastAsia="zh-CN"/>
              </w:rPr>
              <w:t>安全培训方案、</w:t>
            </w:r>
            <w:r>
              <w:rPr>
                <w:rFonts w:hint="eastAsia" w:ascii="仿宋" w:hAnsi="仿宋" w:eastAsia="仿宋" w:cs="仿宋"/>
                <w:b w:val="0"/>
                <w:bCs w:val="0"/>
                <w:color w:val="auto"/>
                <w:kern w:val="0"/>
                <w:sz w:val="24"/>
                <w:szCs w:val="24"/>
                <w:highlight w:val="none"/>
                <w:lang w:val="en-US" w:eastAsia="zh-CN"/>
              </w:rPr>
              <w:t>网络检测、系统检测、应用检测、数据检测等措施及所提供的设备等内容。</w:t>
            </w:r>
            <w:r>
              <w:rPr>
                <w:rFonts w:hint="eastAsia" w:ascii="仿宋" w:hAnsi="仿宋" w:eastAsia="仿宋" w:cs="仿宋"/>
                <w:color w:val="auto"/>
                <w:kern w:val="0"/>
                <w:sz w:val="24"/>
                <w:szCs w:val="24"/>
                <w:highlight w:val="none"/>
                <w:lang w:val="en-US" w:eastAsia="zh-CN"/>
              </w:rPr>
              <w:t xml:space="preserve"> </w:t>
            </w:r>
          </w:p>
          <w:p w14:paraId="408635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kern w:val="0"/>
                <w:sz w:val="24"/>
                <w:szCs w:val="24"/>
                <w:highlight w:val="none"/>
              </w:rPr>
              <w:t>注：供应商同时提供上述</w:t>
            </w:r>
            <w:r>
              <w:rPr>
                <w:rFonts w:hint="eastAsia" w:ascii="仿宋" w:hAnsi="仿宋" w:eastAsia="仿宋" w:cs="仿宋"/>
                <w:b/>
                <w:bCs/>
                <w:kern w:val="0"/>
                <w:sz w:val="24"/>
                <w:szCs w:val="24"/>
                <w:highlight w:val="none"/>
                <w:lang w:val="en-US" w:eastAsia="zh-CN"/>
              </w:rPr>
              <w:t>9项</w:t>
            </w:r>
            <w:r>
              <w:rPr>
                <w:rFonts w:hint="eastAsia" w:ascii="仿宋" w:hAnsi="仿宋" w:eastAsia="仿宋" w:cs="仿宋"/>
                <w:b/>
                <w:bCs/>
                <w:kern w:val="0"/>
                <w:sz w:val="24"/>
                <w:szCs w:val="24"/>
                <w:highlight w:val="none"/>
              </w:rPr>
              <w:t>内容的得5分；方案中缺少1项内容扣1分，扣完为止。</w:t>
            </w:r>
          </w:p>
        </w:tc>
      </w:tr>
      <w:tr w14:paraId="74A6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Merge w:val="continue"/>
            <w:noWrap w:val="0"/>
            <w:vAlign w:val="center"/>
          </w:tcPr>
          <w:p w14:paraId="654FC3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p>
        </w:tc>
        <w:tc>
          <w:tcPr>
            <w:tcW w:w="1208" w:type="dxa"/>
            <w:vMerge w:val="continue"/>
            <w:noWrap w:val="0"/>
            <w:vAlign w:val="center"/>
          </w:tcPr>
          <w:p w14:paraId="040925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p>
        </w:tc>
        <w:tc>
          <w:tcPr>
            <w:tcW w:w="1527" w:type="dxa"/>
            <w:noWrap w:val="0"/>
            <w:vAlign w:val="center"/>
          </w:tcPr>
          <w:p w14:paraId="22EA28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风险控制及措施（</w:t>
            </w:r>
            <w:r>
              <w:rPr>
                <w:rFonts w:hint="eastAsia" w:ascii="仿宋" w:hAnsi="仿宋" w:eastAsia="仿宋" w:cs="仿宋"/>
                <w:color w:val="auto"/>
                <w:kern w:val="0"/>
                <w:sz w:val="24"/>
                <w:szCs w:val="24"/>
                <w:highlight w:val="none"/>
                <w:lang w:val="en-US" w:eastAsia="zh-CN"/>
              </w:rPr>
              <w:t>5分</w:t>
            </w:r>
            <w:r>
              <w:rPr>
                <w:rFonts w:hint="eastAsia" w:ascii="仿宋" w:hAnsi="仿宋" w:eastAsia="仿宋" w:cs="仿宋"/>
                <w:color w:val="auto"/>
                <w:kern w:val="0"/>
                <w:sz w:val="24"/>
                <w:szCs w:val="24"/>
                <w:highlight w:val="none"/>
                <w:lang w:eastAsia="zh-CN"/>
              </w:rPr>
              <w:t>）</w:t>
            </w:r>
          </w:p>
        </w:tc>
        <w:tc>
          <w:tcPr>
            <w:tcW w:w="5792" w:type="dxa"/>
            <w:noWrap w:val="0"/>
            <w:vAlign w:val="center"/>
          </w:tcPr>
          <w:p w14:paraId="5DADE6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供应商需根据对本项目实施服务需求的理解</w:t>
            </w:r>
            <w:r>
              <w:rPr>
                <w:rFonts w:hint="eastAsia" w:ascii="仿宋" w:hAnsi="仿宋" w:eastAsia="仿宋" w:cs="仿宋"/>
                <w:color w:val="auto"/>
                <w:kern w:val="0"/>
                <w:sz w:val="24"/>
                <w:szCs w:val="24"/>
                <w:highlight w:val="none"/>
                <w:lang w:val="en-US" w:eastAsia="zh-CN"/>
              </w:rPr>
              <w:t>针对本项目提出的</w:t>
            </w:r>
            <w:r>
              <w:rPr>
                <w:rFonts w:hint="eastAsia" w:ascii="仿宋" w:hAnsi="仿宋" w:eastAsia="仿宋" w:cs="仿宋"/>
                <w:color w:val="auto"/>
                <w:kern w:val="0"/>
                <w:sz w:val="24"/>
                <w:szCs w:val="24"/>
                <w:highlight w:val="none"/>
                <w:lang w:eastAsia="zh-CN"/>
              </w:rPr>
              <w:t>风险控制及措施，</w:t>
            </w:r>
            <w:r>
              <w:rPr>
                <w:rFonts w:hint="eastAsia" w:ascii="仿宋" w:hAnsi="仿宋" w:eastAsia="仿宋" w:cs="仿宋"/>
                <w:b w:val="0"/>
                <w:bCs w:val="0"/>
                <w:color w:val="auto"/>
                <w:kern w:val="0"/>
                <w:sz w:val="24"/>
                <w:szCs w:val="24"/>
                <w:highlight w:val="none"/>
                <w:lang w:val="en-US" w:eastAsia="zh-CN"/>
              </w:rPr>
              <w:t>内容应包括但不限于以下内容：</w:t>
            </w:r>
          </w:p>
          <w:p w14:paraId="72D8DAF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rPr>
              <w:t>实施过程存在的风险点提出的风险控制策略；</w:t>
            </w:r>
          </w:p>
          <w:p w14:paraId="4EBC89C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US" w:eastAsia="zh-CN"/>
              </w:rPr>
              <w:t xml:space="preserve">针对实施过程的商业秘密和技术秘密提出保密措施策略。 </w:t>
            </w:r>
          </w:p>
          <w:p w14:paraId="415BE6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kern w:val="0"/>
                <w:sz w:val="24"/>
                <w:szCs w:val="24"/>
                <w:highlight w:val="none"/>
              </w:rPr>
              <w:t>注：供应商同时提供上述</w:t>
            </w:r>
            <w:r>
              <w:rPr>
                <w:rFonts w:hint="eastAsia" w:ascii="仿宋" w:hAnsi="仿宋" w:eastAsia="仿宋" w:cs="仿宋"/>
                <w:b/>
                <w:bCs/>
                <w:kern w:val="0"/>
                <w:sz w:val="24"/>
                <w:szCs w:val="24"/>
                <w:highlight w:val="none"/>
                <w:lang w:val="en-US" w:eastAsia="zh-CN"/>
              </w:rPr>
              <w:t>2</w:t>
            </w:r>
            <w:r>
              <w:rPr>
                <w:rFonts w:hint="eastAsia" w:ascii="仿宋" w:hAnsi="仿宋" w:eastAsia="仿宋" w:cs="仿宋"/>
                <w:b/>
                <w:bCs/>
                <w:kern w:val="0"/>
                <w:sz w:val="24"/>
                <w:szCs w:val="24"/>
                <w:highlight w:val="none"/>
              </w:rPr>
              <w:t>项内容的得5分；方案中缺少1项内容扣</w:t>
            </w:r>
            <w:r>
              <w:rPr>
                <w:rFonts w:hint="eastAsia" w:ascii="仿宋" w:hAnsi="仿宋" w:eastAsia="仿宋" w:cs="仿宋"/>
                <w:b/>
                <w:bCs/>
                <w:kern w:val="0"/>
                <w:sz w:val="24"/>
                <w:szCs w:val="24"/>
                <w:highlight w:val="none"/>
                <w:lang w:val="en-US" w:eastAsia="zh-CN"/>
              </w:rPr>
              <w:t>2.5</w:t>
            </w:r>
            <w:r>
              <w:rPr>
                <w:rFonts w:hint="eastAsia" w:ascii="仿宋" w:hAnsi="仿宋" w:eastAsia="仿宋" w:cs="仿宋"/>
                <w:b/>
                <w:bCs/>
                <w:kern w:val="0"/>
                <w:sz w:val="24"/>
                <w:szCs w:val="24"/>
                <w:highlight w:val="none"/>
              </w:rPr>
              <w:t>分，扣完为止。</w:t>
            </w:r>
          </w:p>
        </w:tc>
      </w:tr>
      <w:tr w14:paraId="2F64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80" w:type="dxa"/>
            <w:vMerge w:val="continue"/>
            <w:noWrap w:val="0"/>
            <w:vAlign w:val="center"/>
          </w:tcPr>
          <w:p w14:paraId="611690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p>
        </w:tc>
        <w:tc>
          <w:tcPr>
            <w:tcW w:w="1208" w:type="dxa"/>
            <w:vMerge w:val="continue"/>
            <w:noWrap w:val="0"/>
            <w:vAlign w:val="center"/>
          </w:tcPr>
          <w:p w14:paraId="047BCE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p>
        </w:tc>
        <w:tc>
          <w:tcPr>
            <w:tcW w:w="1527" w:type="dxa"/>
            <w:shd w:val="clear" w:color="auto" w:fill="auto"/>
            <w:noWrap w:val="0"/>
            <w:vAlign w:val="center"/>
          </w:tcPr>
          <w:p w14:paraId="3AA25F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问题解决方 </w:t>
            </w:r>
          </w:p>
          <w:p w14:paraId="49A03B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案（5分）</w:t>
            </w:r>
          </w:p>
        </w:tc>
        <w:tc>
          <w:tcPr>
            <w:tcW w:w="5792" w:type="dxa"/>
            <w:shd w:val="clear" w:color="auto" w:fill="auto"/>
            <w:noWrap w:val="0"/>
            <w:vAlign w:val="center"/>
          </w:tcPr>
          <w:p w14:paraId="45A9ED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供应商需根据对本项目实施服务需求的理解提供针对本项目</w:t>
            </w:r>
            <w:r>
              <w:rPr>
                <w:rFonts w:hint="eastAsia" w:ascii="仿宋" w:hAnsi="仿宋" w:eastAsia="仿宋" w:cs="仿宋"/>
                <w:color w:val="auto"/>
                <w:kern w:val="0"/>
                <w:sz w:val="24"/>
                <w:szCs w:val="24"/>
                <w:highlight w:val="none"/>
                <w:lang w:val="en-US" w:eastAsia="zh-CN"/>
              </w:rPr>
              <w:t>测评中遇到问题解决方案</w:t>
            </w:r>
            <w:r>
              <w:rPr>
                <w:rFonts w:hint="eastAsia" w:ascii="仿宋" w:hAnsi="仿宋" w:eastAsia="仿宋" w:cs="仿宋"/>
                <w:b w:val="0"/>
                <w:bCs w:val="0"/>
                <w:color w:val="auto"/>
                <w:kern w:val="0"/>
                <w:sz w:val="24"/>
                <w:szCs w:val="24"/>
                <w:highlight w:val="none"/>
                <w:lang w:val="en-US" w:eastAsia="zh-CN"/>
              </w:rPr>
              <w:t>，内容应包括但不限于以下内容：</w:t>
            </w:r>
            <w:r>
              <w:rPr>
                <w:rFonts w:hint="eastAsia" w:ascii="仿宋" w:hAnsi="仿宋" w:eastAsia="仿宋" w:cs="仿宋"/>
                <w:color w:val="auto"/>
                <w:kern w:val="0"/>
                <w:sz w:val="24"/>
                <w:szCs w:val="24"/>
                <w:highlight w:val="none"/>
                <w:lang w:val="en-US" w:eastAsia="zh-CN"/>
              </w:rPr>
              <w:t>突发问题、技术难题、关键问题的解决方案及建议</w:t>
            </w:r>
            <w:r>
              <w:rPr>
                <w:rFonts w:hint="eastAsia" w:ascii="仿宋" w:hAnsi="仿宋" w:eastAsia="仿宋" w:cs="仿宋"/>
                <w:kern w:val="0"/>
                <w:sz w:val="24"/>
                <w:szCs w:val="24"/>
                <w:highlight w:val="none"/>
              </w:rPr>
              <w:t>等内容。</w:t>
            </w:r>
          </w:p>
          <w:p w14:paraId="193C16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kern w:val="0"/>
                <w:sz w:val="24"/>
                <w:szCs w:val="24"/>
                <w:highlight w:val="none"/>
              </w:rPr>
              <w:t>注：供应商同时提供上述</w:t>
            </w:r>
            <w:r>
              <w:rPr>
                <w:rFonts w:hint="eastAsia" w:ascii="仿宋" w:hAnsi="仿宋" w:eastAsia="仿宋" w:cs="仿宋"/>
                <w:b/>
                <w:bCs/>
                <w:kern w:val="0"/>
                <w:sz w:val="24"/>
                <w:szCs w:val="24"/>
                <w:highlight w:val="none"/>
                <w:lang w:val="en-US" w:eastAsia="zh-CN"/>
              </w:rPr>
              <w:t>3</w:t>
            </w:r>
            <w:r>
              <w:rPr>
                <w:rFonts w:hint="eastAsia" w:ascii="仿宋" w:hAnsi="仿宋" w:eastAsia="仿宋" w:cs="仿宋"/>
                <w:b/>
                <w:bCs/>
                <w:kern w:val="0"/>
                <w:sz w:val="24"/>
                <w:szCs w:val="24"/>
                <w:highlight w:val="none"/>
              </w:rPr>
              <w:t>项内容的得5分；方案中缺少1项内容扣</w:t>
            </w:r>
            <w:r>
              <w:rPr>
                <w:rFonts w:hint="eastAsia" w:ascii="仿宋" w:hAnsi="仿宋" w:eastAsia="仿宋" w:cs="仿宋"/>
                <w:b/>
                <w:bCs/>
                <w:kern w:val="0"/>
                <w:sz w:val="24"/>
                <w:szCs w:val="24"/>
                <w:highlight w:val="none"/>
                <w:lang w:val="en-US" w:eastAsia="zh-CN"/>
              </w:rPr>
              <w:t>2</w:t>
            </w:r>
            <w:r>
              <w:rPr>
                <w:rFonts w:hint="eastAsia" w:ascii="仿宋" w:hAnsi="仿宋" w:eastAsia="仿宋" w:cs="仿宋"/>
                <w:b/>
                <w:bCs/>
                <w:kern w:val="0"/>
                <w:sz w:val="24"/>
                <w:szCs w:val="24"/>
                <w:highlight w:val="none"/>
              </w:rPr>
              <w:t>分，扣完为止。</w:t>
            </w:r>
          </w:p>
        </w:tc>
      </w:tr>
      <w:tr w14:paraId="3DCE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80" w:type="dxa"/>
            <w:vMerge w:val="continue"/>
            <w:noWrap w:val="0"/>
            <w:vAlign w:val="center"/>
          </w:tcPr>
          <w:p w14:paraId="20703F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p>
        </w:tc>
        <w:tc>
          <w:tcPr>
            <w:tcW w:w="1208" w:type="dxa"/>
            <w:vMerge w:val="continue"/>
            <w:noWrap w:val="0"/>
            <w:vAlign w:val="center"/>
          </w:tcPr>
          <w:p w14:paraId="5EEC13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p>
        </w:tc>
        <w:tc>
          <w:tcPr>
            <w:tcW w:w="1527" w:type="dxa"/>
            <w:shd w:val="clear" w:color="auto" w:fill="auto"/>
            <w:noWrap w:val="0"/>
            <w:vAlign w:val="center"/>
          </w:tcPr>
          <w:p w14:paraId="653329E8">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内部管理制度（5分）</w:t>
            </w:r>
          </w:p>
        </w:tc>
        <w:tc>
          <w:tcPr>
            <w:tcW w:w="5792" w:type="dxa"/>
            <w:shd w:val="clear" w:color="auto" w:fill="auto"/>
            <w:noWrap w:val="0"/>
            <w:vAlign w:val="center"/>
          </w:tcPr>
          <w:p w14:paraId="76D16D94">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供应商提供内部管理制度方案，包括但不限于：</w:t>
            </w:r>
            <w:r>
              <w:rPr>
                <w:rFonts w:hint="eastAsia" w:ascii="仿宋" w:hAnsi="仿宋" w:eastAsia="仿宋" w:cs="仿宋"/>
                <w:kern w:val="0"/>
                <w:sz w:val="24"/>
                <w:szCs w:val="24"/>
                <w:highlight w:val="none"/>
                <w:lang w:val="en-US" w:eastAsia="zh-CN"/>
              </w:rPr>
              <w:t>质量管理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保密管理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风险管理</w:t>
            </w:r>
            <w:r>
              <w:rPr>
                <w:rFonts w:hint="eastAsia" w:ascii="仿宋" w:hAnsi="仿宋" w:eastAsia="仿宋" w:cs="仿宋"/>
                <w:kern w:val="0"/>
                <w:sz w:val="24"/>
                <w:szCs w:val="24"/>
                <w:highlight w:val="none"/>
              </w:rPr>
              <w:t>等内容。</w:t>
            </w:r>
          </w:p>
          <w:p w14:paraId="389FB10A">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b/>
                <w:bCs/>
                <w:kern w:val="0"/>
                <w:sz w:val="24"/>
                <w:szCs w:val="24"/>
                <w:highlight w:val="none"/>
              </w:rPr>
              <w:t>注：供应商同时提供上述</w:t>
            </w:r>
            <w:r>
              <w:rPr>
                <w:rFonts w:hint="eastAsia" w:ascii="仿宋" w:hAnsi="仿宋" w:eastAsia="仿宋" w:cs="仿宋"/>
                <w:b/>
                <w:bCs/>
                <w:kern w:val="0"/>
                <w:sz w:val="24"/>
                <w:szCs w:val="24"/>
                <w:highlight w:val="none"/>
                <w:lang w:val="en-US" w:eastAsia="zh-CN"/>
              </w:rPr>
              <w:t>3</w:t>
            </w:r>
            <w:r>
              <w:rPr>
                <w:rFonts w:hint="eastAsia" w:ascii="仿宋" w:hAnsi="仿宋" w:eastAsia="仿宋" w:cs="仿宋"/>
                <w:b/>
                <w:bCs/>
                <w:kern w:val="0"/>
                <w:sz w:val="24"/>
                <w:szCs w:val="24"/>
                <w:highlight w:val="none"/>
              </w:rPr>
              <w:t>项内容的得5分；方案中缺少1项内容扣</w:t>
            </w:r>
            <w:r>
              <w:rPr>
                <w:rFonts w:hint="eastAsia" w:ascii="仿宋" w:hAnsi="仿宋" w:eastAsia="仿宋" w:cs="仿宋"/>
                <w:b/>
                <w:bCs/>
                <w:kern w:val="0"/>
                <w:sz w:val="24"/>
                <w:szCs w:val="24"/>
                <w:highlight w:val="none"/>
                <w:lang w:val="en-US" w:eastAsia="zh-CN"/>
              </w:rPr>
              <w:t>2</w:t>
            </w:r>
            <w:r>
              <w:rPr>
                <w:rFonts w:hint="eastAsia" w:ascii="仿宋" w:hAnsi="仿宋" w:eastAsia="仿宋" w:cs="仿宋"/>
                <w:b/>
                <w:bCs/>
                <w:kern w:val="0"/>
                <w:sz w:val="24"/>
                <w:szCs w:val="24"/>
                <w:highlight w:val="none"/>
              </w:rPr>
              <w:t>分，扣完为止。</w:t>
            </w:r>
          </w:p>
        </w:tc>
      </w:tr>
      <w:tr w14:paraId="59F4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80" w:type="dxa"/>
            <w:vMerge w:val="continue"/>
            <w:noWrap w:val="0"/>
            <w:vAlign w:val="center"/>
          </w:tcPr>
          <w:p w14:paraId="7A67FC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p>
        </w:tc>
        <w:tc>
          <w:tcPr>
            <w:tcW w:w="1208" w:type="dxa"/>
            <w:vMerge w:val="continue"/>
            <w:noWrap w:val="0"/>
            <w:vAlign w:val="center"/>
          </w:tcPr>
          <w:p w14:paraId="543983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p>
        </w:tc>
        <w:tc>
          <w:tcPr>
            <w:tcW w:w="1527" w:type="dxa"/>
            <w:shd w:val="clear" w:color="auto" w:fill="auto"/>
            <w:noWrap w:val="0"/>
            <w:vAlign w:val="center"/>
          </w:tcPr>
          <w:p w14:paraId="5D153C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服务响应内容（5分）</w:t>
            </w:r>
          </w:p>
        </w:tc>
        <w:tc>
          <w:tcPr>
            <w:tcW w:w="5792" w:type="dxa"/>
            <w:shd w:val="clear" w:color="auto" w:fill="auto"/>
            <w:noWrap w:val="0"/>
            <w:vAlign w:val="center"/>
          </w:tcPr>
          <w:p w14:paraId="2AA303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（1）服务承诺：服务到期后提供半年的免费安全咨 </w:t>
            </w:r>
          </w:p>
          <w:p w14:paraId="27BE40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询服务（包括不限于应急支撑,等保商用密码、数据 </w:t>
            </w:r>
          </w:p>
          <w:p w14:paraId="432504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安全等安全咨询服务），当发生网络安全事件时，响应时间工作日在0.5小时到达，非工作日1小时到达，并提供详细服务方案，提供此承诺的得2分。 </w:t>
            </w:r>
          </w:p>
          <w:p w14:paraId="039182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（2）实施承诺：若测评报告质量达不到采购人要求， </w:t>
            </w:r>
          </w:p>
          <w:p w14:paraId="28D392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供应商无条件配合采购人对相关系统进行优化整改直到测评报告达到要求的得3分。</w:t>
            </w:r>
          </w:p>
        </w:tc>
      </w:tr>
      <w:tr w14:paraId="5615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0" w:type="dxa"/>
            <w:vMerge w:val="restart"/>
            <w:noWrap w:val="0"/>
            <w:vAlign w:val="center"/>
          </w:tcPr>
          <w:p w14:paraId="4C2134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208" w:type="dxa"/>
            <w:vMerge w:val="restart"/>
            <w:noWrap w:val="0"/>
            <w:vAlign w:val="center"/>
          </w:tcPr>
          <w:p w14:paraId="340902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商务部分</w:t>
            </w:r>
          </w:p>
          <w:p w14:paraId="42C051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50分</w:t>
            </w:r>
            <w:r>
              <w:rPr>
                <w:rFonts w:hint="eastAsia" w:ascii="仿宋" w:hAnsi="仿宋" w:eastAsia="仿宋" w:cs="仿宋"/>
                <w:color w:val="auto"/>
                <w:kern w:val="0"/>
                <w:sz w:val="24"/>
                <w:szCs w:val="24"/>
                <w:highlight w:val="none"/>
                <w:lang w:eastAsia="zh-CN"/>
              </w:rPr>
              <w:t>）</w:t>
            </w:r>
          </w:p>
        </w:tc>
        <w:tc>
          <w:tcPr>
            <w:tcW w:w="1527" w:type="dxa"/>
            <w:vMerge w:val="restart"/>
            <w:noWrap w:val="0"/>
            <w:vAlign w:val="center"/>
          </w:tcPr>
          <w:p w14:paraId="586ABE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项目团队</w:t>
            </w:r>
          </w:p>
          <w:p w14:paraId="0626D2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25分</w:t>
            </w:r>
            <w:r>
              <w:rPr>
                <w:rFonts w:hint="eastAsia" w:ascii="仿宋" w:hAnsi="仿宋" w:eastAsia="仿宋" w:cs="仿宋"/>
                <w:color w:val="auto"/>
                <w:kern w:val="0"/>
                <w:sz w:val="24"/>
                <w:szCs w:val="24"/>
                <w:highlight w:val="none"/>
                <w:lang w:eastAsia="zh-CN"/>
              </w:rPr>
              <w:t>）</w:t>
            </w:r>
          </w:p>
        </w:tc>
        <w:tc>
          <w:tcPr>
            <w:tcW w:w="5792" w:type="dxa"/>
            <w:noWrap w:val="0"/>
            <w:vAlign w:val="center"/>
          </w:tcPr>
          <w:p w14:paraId="2DCDB85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供应商拟派项目负责人能力（6分）： </w:t>
            </w:r>
          </w:p>
          <w:p w14:paraId="2C7991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供应商应配备经验丰富的项目负责人（1人）承担本项目工作，项目负责人具有以下证书：</w:t>
            </w:r>
          </w:p>
          <w:p w14:paraId="13239A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val="0"/>
                <w:bCs w:val="0"/>
                <w:color w:val="FF0000"/>
                <w:kern w:val="0"/>
                <w:sz w:val="24"/>
                <w:szCs w:val="24"/>
                <w:highlight w:val="none"/>
                <w:lang w:val="en-US" w:eastAsia="zh-CN" w:bidi="ar-SA"/>
              </w:rPr>
            </w:pPr>
            <w:r>
              <w:rPr>
                <w:rFonts w:hint="eastAsia" w:ascii="仿宋" w:hAnsi="仿宋" w:eastAsia="仿宋" w:cs="仿宋"/>
                <w:b w:val="0"/>
                <w:bCs w:val="0"/>
                <w:color w:val="FF0000"/>
                <w:kern w:val="0"/>
                <w:sz w:val="24"/>
                <w:szCs w:val="24"/>
                <w:highlight w:val="none"/>
                <w:lang w:val="en-US" w:eastAsia="zh-CN" w:bidi="ar-SA"/>
              </w:rPr>
              <w:t>①具有高级信息安全等级测评师证书的，得2分；</w:t>
            </w:r>
          </w:p>
          <w:p w14:paraId="581C88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default" w:ascii="仿宋" w:hAnsi="仿宋" w:eastAsia="仿宋" w:cs="仿宋"/>
                <w:b w:val="0"/>
                <w:bCs w:val="0"/>
                <w:color w:val="FF0000"/>
                <w:kern w:val="0"/>
                <w:sz w:val="24"/>
                <w:szCs w:val="24"/>
                <w:highlight w:val="none"/>
                <w:lang w:val="en-US" w:eastAsia="zh-CN" w:bidi="ar-SA"/>
              </w:rPr>
            </w:pPr>
            <w:r>
              <w:rPr>
                <w:rFonts w:hint="eastAsia" w:ascii="仿宋" w:hAnsi="仿宋" w:eastAsia="仿宋" w:cs="仿宋"/>
                <w:b w:val="0"/>
                <w:bCs w:val="0"/>
                <w:color w:val="FF0000"/>
                <w:kern w:val="0"/>
                <w:sz w:val="24"/>
                <w:szCs w:val="24"/>
                <w:highlight w:val="none"/>
                <w:lang w:val="en-US" w:eastAsia="zh-CN" w:bidi="ar-SA"/>
              </w:rPr>
              <w:t>②软件性能测试高级工程师的，得2分；</w:t>
            </w:r>
          </w:p>
          <w:p w14:paraId="60EE21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FF0000"/>
                <w:kern w:val="0"/>
                <w:sz w:val="24"/>
                <w:szCs w:val="24"/>
                <w:highlight w:val="none"/>
                <w:lang w:val="en-US" w:eastAsia="zh-CN" w:bidi="ar-SA"/>
              </w:rPr>
              <w:t>③注册网络安全源代码审计专业人员（NSATP-SCA），得2分。</w:t>
            </w:r>
          </w:p>
          <w:p w14:paraId="2551D0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注：提供身份证、相关证书及2024年10月至今</w:t>
            </w:r>
            <w:r>
              <w:rPr>
                <w:rFonts w:hint="eastAsia" w:ascii="仿宋" w:hAnsi="仿宋" w:eastAsia="仿宋" w:cs="仿宋"/>
                <w:b/>
                <w:bCs/>
                <w:color w:val="auto"/>
                <w:kern w:val="0"/>
                <w:sz w:val="24"/>
                <w:szCs w:val="24"/>
                <w:highlight w:val="none"/>
                <w:shd w:val="clear" w:color="auto" w:fill="FFFFFF"/>
                <w:lang w:bidi="ar"/>
              </w:rPr>
              <w:t>任意</w:t>
            </w:r>
            <w:r>
              <w:rPr>
                <w:rFonts w:hint="eastAsia" w:ascii="仿宋" w:hAnsi="仿宋" w:eastAsia="仿宋" w:cs="仿宋"/>
                <w:b/>
                <w:bCs/>
                <w:color w:val="auto"/>
                <w:kern w:val="0"/>
                <w:sz w:val="24"/>
                <w:szCs w:val="24"/>
                <w:highlight w:val="none"/>
                <w:shd w:val="clear" w:color="auto" w:fill="FFFFFF"/>
                <w:lang w:val="en-US" w:eastAsia="zh-CN" w:bidi="ar"/>
              </w:rPr>
              <w:t>3</w:t>
            </w:r>
            <w:r>
              <w:rPr>
                <w:rFonts w:hint="eastAsia" w:ascii="仿宋" w:hAnsi="仿宋" w:eastAsia="仿宋" w:cs="仿宋"/>
                <w:b/>
                <w:bCs/>
                <w:color w:val="auto"/>
                <w:kern w:val="0"/>
                <w:sz w:val="24"/>
                <w:szCs w:val="24"/>
                <w:highlight w:val="none"/>
                <w:shd w:val="clear" w:color="auto" w:fill="FFFFFF"/>
                <w:lang w:bidi="ar"/>
              </w:rPr>
              <w:t>个月</w:t>
            </w:r>
            <w:r>
              <w:rPr>
                <w:rFonts w:hint="eastAsia" w:ascii="仿宋" w:hAnsi="仿宋" w:eastAsia="仿宋" w:cs="仿宋"/>
                <w:b/>
                <w:bCs/>
                <w:color w:val="auto"/>
                <w:kern w:val="0"/>
                <w:sz w:val="24"/>
                <w:szCs w:val="24"/>
                <w:highlight w:val="none"/>
                <w:lang w:val="en-US" w:eastAsia="zh-CN"/>
              </w:rPr>
              <w:t>供应商为其缴纳的社保证明材料复印件或扫描件并加盖供应商单位公章，未提供不得分。</w:t>
            </w:r>
          </w:p>
        </w:tc>
      </w:tr>
      <w:tr w14:paraId="07A4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0" w:type="dxa"/>
            <w:vMerge w:val="continue"/>
            <w:noWrap w:val="0"/>
            <w:vAlign w:val="center"/>
          </w:tcPr>
          <w:p w14:paraId="069237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val="en-US" w:eastAsia="zh-CN"/>
              </w:rPr>
            </w:pPr>
          </w:p>
        </w:tc>
        <w:tc>
          <w:tcPr>
            <w:tcW w:w="1208" w:type="dxa"/>
            <w:vMerge w:val="continue"/>
            <w:noWrap w:val="0"/>
            <w:vAlign w:val="center"/>
          </w:tcPr>
          <w:p w14:paraId="60DF25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p>
        </w:tc>
        <w:tc>
          <w:tcPr>
            <w:tcW w:w="1527" w:type="dxa"/>
            <w:vMerge w:val="continue"/>
            <w:noWrap w:val="0"/>
            <w:vAlign w:val="center"/>
          </w:tcPr>
          <w:p w14:paraId="231B40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p>
        </w:tc>
        <w:tc>
          <w:tcPr>
            <w:tcW w:w="5792" w:type="dxa"/>
            <w:noWrap w:val="0"/>
            <w:vAlign w:val="center"/>
          </w:tcPr>
          <w:p w14:paraId="7FA8FD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供应商拟派技术负责人能力（6分）</w:t>
            </w:r>
          </w:p>
          <w:p w14:paraId="7089C8F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供应商应配备经验丰富的技术负责人（1人）负责本项目测评技术把关工作，技术负责人具有以下证书：</w:t>
            </w:r>
          </w:p>
          <w:p w14:paraId="046519D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①具有中级及以上信息安全等级测评师证书的，得2分。</w:t>
            </w:r>
          </w:p>
          <w:p w14:paraId="4A1572F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②具有中级及以上信息安全工程师（计算机技术与软件专业技术资格）的，得2分。</w:t>
            </w:r>
          </w:p>
          <w:p w14:paraId="29A243C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③具有信创规划管理师的，得2分。</w:t>
            </w:r>
          </w:p>
          <w:p w14:paraId="69DED3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注：提供身份证、相关证书及2024年10月至今</w:t>
            </w:r>
            <w:r>
              <w:rPr>
                <w:rFonts w:hint="eastAsia" w:ascii="仿宋" w:hAnsi="仿宋" w:eastAsia="仿宋" w:cs="仿宋"/>
                <w:b/>
                <w:bCs/>
                <w:color w:val="auto"/>
                <w:kern w:val="0"/>
                <w:sz w:val="24"/>
                <w:szCs w:val="24"/>
                <w:highlight w:val="none"/>
                <w:shd w:val="clear" w:color="auto" w:fill="FFFFFF"/>
                <w:lang w:bidi="ar"/>
              </w:rPr>
              <w:t>任意</w:t>
            </w:r>
            <w:r>
              <w:rPr>
                <w:rFonts w:hint="eastAsia" w:ascii="仿宋" w:hAnsi="仿宋" w:eastAsia="仿宋" w:cs="仿宋"/>
                <w:b/>
                <w:bCs/>
                <w:color w:val="auto"/>
                <w:kern w:val="0"/>
                <w:sz w:val="24"/>
                <w:szCs w:val="24"/>
                <w:highlight w:val="none"/>
                <w:shd w:val="clear" w:color="auto" w:fill="FFFFFF"/>
                <w:lang w:val="en-US" w:eastAsia="zh-CN" w:bidi="ar"/>
              </w:rPr>
              <w:t>3</w:t>
            </w:r>
            <w:r>
              <w:rPr>
                <w:rFonts w:hint="eastAsia" w:ascii="仿宋" w:hAnsi="仿宋" w:eastAsia="仿宋" w:cs="仿宋"/>
                <w:b/>
                <w:bCs/>
                <w:color w:val="auto"/>
                <w:kern w:val="0"/>
                <w:sz w:val="24"/>
                <w:szCs w:val="24"/>
                <w:highlight w:val="none"/>
                <w:shd w:val="clear" w:color="auto" w:fill="FFFFFF"/>
                <w:lang w:bidi="ar"/>
              </w:rPr>
              <w:t>个月</w:t>
            </w:r>
            <w:r>
              <w:rPr>
                <w:rFonts w:hint="eastAsia" w:ascii="仿宋" w:hAnsi="仿宋" w:eastAsia="仿宋" w:cs="仿宋"/>
                <w:b/>
                <w:bCs/>
                <w:color w:val="auto"/>
                <w:kern w:val="0"/>
                <w:sz w:val="24"/>
                <w:szCs w:val="24"/>
                <w:highlight w:val="none"/>
                <w:lang w:val="en-US" w:eastAsia="zh-CN"/>
              </w:rPr>
              <w:t>供应商为其缴纳的社保证明材料复印件或扫描件并加盖供应商单位公章，未提供不得分。</w:t>
            </w:r>
          </w:p>
        </w:tc>
      </w:tr>
      <w:tr w14:paraId="2328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80" w:type="dxa"/>
            <w:vMerge w:val="continue"/>
            <w:noWrap w:val="0"/>
            <w:vAlign w:val="center"/>
          </w:tcPr>
          <w:p w14:paraId="0EE61D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p>
        </w:tc>
        <w:tc>
          <w:tcPr>
            <w:tcW w:w="1208" w:type="dxa"/>
            <w:vMerge w:val="continue"/>
            <w:noWrap w:val="0"/>
            <w:vAlign w:val="center"/>
          </w:tcPr>
          <w:p w14:paraId="6770E7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p>
        </w:tc>
        <w:tc>
          <w:tcPr>
            <w:tcW w:w="1527" w:type="dxa"/>
            <w:vMerge w:val="continue"/>
            <w:noWrap w:val="0"/>
            <w:vAlign w:val="center"/>
          </w:tcPr>
          <w:p w14:paraId="0F64DA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val="en-US" w:eastAsia="zh-CN"/>
              </w:rPr>
            </w:pPr>
          </w:p>
        </w:tc>
        <w:tc>
          <w:tcPr>
            <w:tcW w:w="5792" w:type="dxa"/>
            <w:noWrap w:val="0"/>
            <w:vAlign w:val="center"/>
          </w:tcPr>
          <w:p w14:paraId="6D1278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供应商拟派项目团队人员（1</w:t>
            </w:r>
            <w:ins w:id="10" w:author="梦丶初醒" w:date="2025-06-23T19:59:26Z">
              <w:r>
                <w:rPr>
                  <w:rFonts w:hint="eastAsia" w:ascii="仿宋" w:hAnsi="仿宋" w:eastAsia="仿宋" w:cs="仿宋"/>
                  <w:color w:val="auto"/>
                  <w:kern w:val="0"/>
                  <w:sz w:val="24"/>
                  <w:szCs w:val="24"/>
                  <w:highlight w:val="none"/>
                  <w:lang w:val="en-US" w:eastAsia="zh-CN"/>
                </w:rPr>
                <w:t>3</w:t>
              </w:r>
            </w:ins>
            <w:r>
              <w:rPr>
                <w:rFonts w:hint="eastAsia" w:ascii="仿宋" w:hAnsi="仿宋" w:eastAsia="仿宋" w:cs="仿宋"/>
                <w:color w:val="auto"/>
                <w:kern w:val="0"/>
                <w:sz w:val="24"/>
                <w:szCs w:val="24"/>
                <w:highlight w:val="none"/>
                <w:lang w:val="en-US" w:eastAsia="zh-CN"/>
              </w:rPr>
              <w:t xml:space="preserve">分）： </w:t>
            </w:r>
          </w:p>
          <w:p w14:paraId="79CD37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供应商应配备经验丰富的测评实施人员负责本项目测评实施工作。</w:t>
            </w:r>
          </w:p>
          <w:p w14:paraId="104274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①项目团队成员（不含项目负责人及技术负责人）其中一名</w:t>
            </w:r>
            <w:r>
              <w:rPr>
                <w:rFonts w:hint="eastAsia" w:ascii="仿宋" w:hAnsi="仿宋" w:eastAsia="仿宋" w:cs="仿宋"/>
                <w:b/>
                <w:bCs/>
                <w:color w:val="auto"/>
                <w:kern w:val="0"/>
                <w:sz w:val="24"/>
                <w:szCs w:val="24"/>
                <w:highlight w:val="none"/>
                <w:lang w:val="en-US" w:eastAsia="zh-CN"/>
              </w:rPr>
              <w:t>同时具有</w:t>
            </w:r>
            <w:r>
              <w:rPr>
                <w:rFonts w:hint="eastAsia" w:ascii="仿宋" w:hAnsi="仿宋" w:eastAsia="仿宋" w:cs="仿宋"/>
                <w:b w:val="0"/>
                <w:bCs w:val="0"/>
                <w:color w:val="auto"/>
                <w:kern w:val="0"/>
                <w:sz w:val="24"/>
                <w:szCs w:val="24"/>
                <w:highlight w:val="none"/>
                <w:lang w:val="en-US" w:eastAsia="zh-CN"/>
              </w:rPr>
              <w:t>中级及以上信息安全等级测评师证书及网络工程师的，得2分。</w:t>
            </w:r>
          </w:p>
          <w:p w14:paraId="770F87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②项目团队成员（不含项目负责人及技术负责人）每具有一名高级信息安全等级测评师的，得2分，本项最多得6分。</w:t>
            </w:r>
          </w:p>
          <w:p w14:paraId="5C04AB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③项目团队成员（不含项目负责人及技术负责人）其中一名</w:t>
            </w:r>
            <w:r>
              <w:rPr>
                <w:rFonts w:hint="eastAsia" w:ascii="仿宋" w:hAnsi="仿宋" w:eastAsia="仿宋" w:cs="仿宋"/>
                <w:b/>
                <w:bCs/>
                <w:color w:val="auto"/>
                <w:kern w:val="0"/>
                <w:sz w:val="24"/>
                <w:szCs w:val="24"/>
                <w:highlight w:val="none"/>
                <w:lang w:val="en-US" w:eastAsia="zh-CN"/>
              </w:rPr>
              <w:t>同时具有</w:t>
            </w:r>
            <w:r>
              <w:rPr>
                <w:rFonts w:hint="eastAsia" w:ascii="仿宋" w:hAnsi="仿宋" w:eastAsia="仿宋" w:cs="仿宋"/>
                <w:b w:val="0"/>
                <w:bCs w:val="0"/>
                <w:color w:val="auto"/>
                <w:kern w:val="0"/>
                <w:sz w:val="24"/>
                <w:szCs w:val="24"/>
                <w:highlight w:val="none"/>
                <w:lang w:val="en-US" w:eastAsia="zh-CN"/>
              </w:rPr>
              <w:t>中级及以上信息安全等级测评师和具备注册网络安全渗透评估专业人员 NSATP-A和向国家信息安全漏洞共享评估机构提供原创漏洞证明的，得3分，每缺一项扣1分。</w:t>
            </w:r>
          </w:p>
          <w:p w14:paraId="4E880C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④项目团队成员（不含项目负责人及技术负责人）中具有两名（含）以上注册渗透测试专家（CISP-PTS）得2分，不提供不得分。</w:t>
            </w:r>
          </w:p>
          <w:p w14:paraId="5B4577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注：提供上述人员名单，身份证、相关证书及2024年10月至今任意3个月供应商为其缴纳的社保证明材料复印件或扫描件加盖供应商单位公章。未按要求提供或未提供的不得分。</w:t>
            </w:r>
          </w:p>
        </w:tc>
      </w:tr>
      <w:tr w14:paraId="53AD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80" w:type="dxa"/>
            <w:vMerge w:val="continue"/>
            <w:noWrap w:val="0"/>
            <w:vAlign w:val="center"/>
          </w:tcPr>
          <w:p w14:paraId="64032B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p>
        </w:tc>
        <w:tc>
          <w:tcPr>
            <w:tcW w:w="1208" w:type="dxa"/>
            <w:vMerge w:val="continue"/>
            <w:noWrap w:val="0"/>
            <w:vAlign w:val="center"/>
          </w:tcPr>
          <w:p w14:paraId="617A25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p>
        </w:tc>
        <w:tc>
          <w:tcPr>
            <w:tcW w:w="1527" w:type="dxa"/>
            <w:noWrap w:val="0"/>
            <w:vAlign w:val="center"/>
          </w:tcPr>
          <w:p w14:paraId="0DBCCA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综合实力</w:t>
            </w:r>
          </w:p>
          <w:p w14:paraId="599F8C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15分</w:t>
            </w:r>
            <w:r>
              <w:rPr>
                <w:rFonts w:hint="eastAsia" w:ascii="仿宋" w:hAnsi="仿宋" w:eastAsia="仿宋" w:cs="仿宋"/>
                <w:color w:val="auto"/>
                <w:kern w:val="0"/>
                <w:sz w:val="24"/>
                <w:szCs w:val="24"/>
                <w:highlight w:val="none"/>
                <w:lang w:eastAsia="zh-CN"/>
              </w:rPr>
              <w:t>）</w:t>
            </w:r>
          </w:p>
        </w:tc>
        <w:tc>
          <w:tcPr>
            <w:tcW w:w="5792" w:type="dxa"/>
            <w:noWrap w:val="0"/>
            <w:vAlign w:val="center"/>
          </w:tcPr>
          <w:p w14:paraId="6C2C99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（1）供应商具有连续三年入选省级及以上网络安全应急技术支撑单位的，得3分。</w:t>
            </w:r>
          </w:p>
          <w:p w14:paraId="4EC20B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（2）供应商具有有效的中国网络安全审查技术与认证中心颁发的信息安全服务资质证书（风险评估类）二级及以上的，得2分；三级得1分。</w:t>
            </w:r>
          </w:p>
          <w:p w14:paraId="02E46F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（3）供应商具有有效的中国网络安全审查技术与认证中心的信息安全服务资质证书（安全运维）二级及以上的，得2分；三级得1分。</w:t>
            </w:r>
          </w:p>
          <w:p w14:paraId="4A6BF1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（4）供应商具有有效的中国网络安全审查技术与认证中心的信息安全服务资质证书（信息安全应急处理）二级及以上的，得2分；三级得1分。</w:t>
            </w:r>
          </w:p>
          <w:p w14:paraId="3C8EBD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（5）供应商具有有效的服务管理体系认证证书（ISO/IEC 20000）的，得1分。</w:t>
            </w:r>
          </w:p>
          <w:p w14:paraId="128765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（6）供应商具有有效的信息安全管理体系认证证书（ISO/IEC 27001）的，得1分。</w:t>
            </w:r>
          </w:p>
          <w:p w14:paraId="420283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（7）供应商具有有效的具有国家工业信息安全发展研究中心的应急支撑单位的，得2分。</w:t>
            </w:r>
          </w:p>
          <w:p w14:paraId="1BE745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（8）供应商具有有效的具有保密局颁发的涉及国家秘密的数据恢复定点单位的，得2分。</w:t>
            </w:r>
          </w:p>
          <w:p w14:paraId="62E71A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①需提供对应证明材料的复印件或扫描件并加盖供应商单位公章，其中上述第（2）-（6）项需提供对应证书在“全国认证认可信息公共服务平台”（网址：http://cx.cnca.cn/CertECloud/index/index/page）查询结果的网页截图。</w:t>
            </w:r>
          </w:p>
          <w:p w14:paraId="5DCCBB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②证明材料未提供或提供不全的，本项不得分。</w:t>
            </w:r>
          </w:p>
        </w:tc>
      </w:tr>
      <w:tr w14:paraId="60B1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0" w:type="dxa"/>
            <w:vMerge w:val="continue"/>
            <w:noWrap w:val="0"/>
            <w:vAlign w:val="center"/>
          </w:tcPr>
          <w:p w14:paraId="2AAB25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lang w:val="en-US" w:eastAsia="zh-CN"/>
              </w:rPr>
            </w:pPr>
          </w:p>
        </w:tc>
        <w:tc>
          <w:tcPr>
            <w:tcW w:w="1208" w:type="dxa"/>
            <w:vMerge w:val="continue"/>
            <w:noWrap w:val="0"/>
            <w:vAlign w:val="center"/>
          </w:tcPr>
          <w:p w14:paraId="330B0A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p>
        </w:tc>
        <w:tc>
          <w:tcPr>
            <w:tcW w:w="1527" w:type="dxa"/>
            <w:noWrap w:val="0"/>
            <w:vAlign w:val="center"/>
          </w:tcPr>
          <w:p w14:paraId="553B54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类似业绩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10分</w:t>
            </w:r>
            <w:r>
              <w:rPr>
                <w:rFonts w:hint="eastAsia" w:ascii="仿宋" w:hAnsi="仿宋" w:eastAsia="仿宋" w:cs="仿宋"/>
                <w:color w:val="auto"/>
                <w:kern w:val="0"/>
                <w:sz w:val="24"/>
                <w:szCs w:val="24"/>
                <w:highlight w:val="none"/>
                <w:lang w:eastAsia="zh-CN"/>
              </w:rPr>
              <w:t>）</w:t>
            </w:r>
          </w:p>
        </w:tc>
        <w:tc>
          <w:tcPr>
            <w:tcW w:w="5792" w:type="dxa"/>
            <w:noWrap w:val="0"/>
            <w:vAlign w:val="center"/>
          </w:tcPr>
          <w:p w14:paraId="48635A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供应商提供 2022年 1 月 1 日至今的类似项目业绩（等保测评类），提供一个得2 分，本项最高10分。</w:t>
            </w:r>
          </w:p>
          <w:p w14:paraId="33F74D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注：①须提供业绩合同（须包含首页、签署页、覆盖项目名称、合同金额、合同范围或服务内容的相关页）复印件或扫描件加盖供应商单位公章，作为有效业绩证明材料，材料不完整或未提供的不计分。</w:t>
            </w:r>
          </w:p>
          <w:p w14:paraId="3F3379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②合同案例仅指供应商自身的合同案例，即合同中的乙方须与供应商名称一致。</w:t>
            </w:r>
          </w:p>
          <w:p w14:paraId="6071E8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③业绩时间以合同签订时间为准，合同未体现签订时间的视为无效业绩。</w:t>
            </w:r>
          </w:p>
        </w:tc>
      </w:tr>
      <w:tr w14:paraId="0BF8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8" w:type="dxa"/>
            <w:gridSpan w:val="2"/>
            <w:noWrap w:val="0"/>
            <w:vAlign w:val="bottom"/>
          </w:tcPr>
          <w:p w14:paraId="0E4751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总计</w:t>
            </w:r>
          </w:p>
        </w:tc>
        <w:tc>
          <w:tcPr>
            <w:tcW w:w="1527" w:type="dxa"/>
            <w:noWrap w:val="0"/>
            <w:vAlign w:val="center"/>
          </w:tcPr>
          <w:p w14:paraId="30AEFB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792" w:type="dxa"/>
            <w:noWrap w:val="0"/>
            <w:vAlign w:val="bottom"/>
          </w:tcPr>
          <w:p w14:paraId="57E6CF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tc>
      </w:tr>
    </w:tbl>
    <w:p w14:paraId="76B0735B">
      <w:r>
        <w:br w:type="page"/>
      </w:r>
    </w:p>
    <w:p w14:paraId="58AEDABF">
      <w:pPr>
        <w:pStyle w:val="2"/>
        <w:bidi w:val="0"/>
        <w:rPr>
          <w:rFonts w:hint="eastAsia" w:ascii="仿宋" w:hAnsi="仿宋" w:eastAsia="仿宋" w:cs="仿宋"/>
          <w:highlight w:val="none"/>
          <w:lang w:eastAsia="zh-CN"/>
        </w:rPr>
      </w:pPr>
      <w:bookmarkStart w:id="5" w:name="_Toc15366"/>
      <w:bookmarkStart w:id="6" w:name="_Toc27106"/>
      <w:r>
        <w:rPr>
          <w:rFonts w:hint="eastAsia" w:ascii="仿宋" w:hAnsi="仿宋" w:eastAsia="仿宋" w:cs="仿宋"/>
          <w:highlight w:val="none"/>
          <w:lang w:eastAsia="zh-CN"/>
        </w:rPr>
        <w:t>第五章</w:t>
      </w:r>
      <w:r>
        <w:rPr>
          <w:rFonts w:hint="eastAsia" w:ascii="仿宋" w:hAnsi="仿宋" w:eastAsia="仿宋" w:cs="仿宋"/>
          <w:highlight w:val="none"/>
          <w:lang w:val="en-US" w:eastAsia="zh-CN"/>
        </w:rPr>
        <w:t xml:space="preserve"> </w:t>
      </w:r>
      <w:r>
        <w:rPr>
          <w:rFonts w:hint="eastAsia" w:ascii="仿宋" w:hAnsi="仿宋" w:eastAsia="仿宋" w:cs="仿宋"/>
          <w:highlight w:val="none"/>
          <w:lang w:eastAsia="zh-CN"/>
        </w:rPr>
        <w:t>采购需求</w:t>
      </w:r>
      <w:bookmarkEnd w:id="5"/>
      <w:bookmarkEnd w:id="6"/>
    </w:p>
    <w:p w14:paraId="6D737B7D">
      <w:pPr>
        <w:pStyle w:val="3"/>
        <w:bidi w:val="0"/>
        <w:jc w:val="center"/>
        <w:rPr>
          <w:rFonts w:hint="eastAsia" w:ascii="仿宋" w:hAnsi="仿宋" w:eastAsia="仿宋" w:cs="仿宋"/>
          <w:highlight w:val="none"/>
          <w:lang w:val="en-US" w:eastAsia="zh-CN"/>
        </w:rPr>
      </w:pPr>
      <w:r>
        <w:rPr>
          <w:rFonts w:hint="eastAsia" w:ascii="仿宋" w:hAnsi="仿宋" w:eastAsia="仿宋" w:cs="仿宋"/>
          <w:highlight w:val="none"/>
          <w:lang w:eastAsia="zh-CN"/>
        </w:rPr>
        <w:t>第一节</w:t>
      </w:r>
      <w:r>
        <w:rPr>
          <w:rFonts w:hint="eastAsia" w:ascii="仿宋" w:hAnsi="仿宋" w:eastAsia="仿宋" w:cs="仿宋"/>
          <w:highlight w:val="none"/>
          <w:lang w:val="en-US" w:eastAsia="zh-CN"/>
        </w:rPr>
        <w:t xml:space="preserve"> 技术要求</w:t>
      </w:r>
      <w:bookmarkStart w:id="7" w:name="_Toc242"/>
      <w:bookmarkStart w:id="8" w:name="_Toc17652"/>
    </w:p>
    <w:bookmarkEnd w:id="7"/>
    <w:bookmarkEnd w:id="8"/>
    <w:p w14:paraId="3DB17D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13" w:leftChars="0" w:right="1" w:rightChars="0" w:firstLine="625" w:firstLineChars="0"/>
        <w:jc w:val="left"/>
        <w:textAlignment w:val="baseline"/>
        <w:rPr>
          <w:rFonts w:hint="eastAsia" w:ascii="仿宋" w:hAnsi="仿宋" w:eastAsia="仿宋" w:cs="仿宋"/>
          <w:b/>
          <w:bCs/>
          <w:snapToGrid w:val="0"/>
          <w:color w:val="000000"/>
          <w:spacing w:val="4"/>
          <w:kern w:val="0"/>
          <w:sz w:val="24"/>
          <w:szCs w:val="24"/>
          <w:highlight w:val="none"/>
          <w:lang w:val="en-US" w:eastAsia="zh-CN"/>
        </w:rPr>
      </w:pPr>
      <w:r>
        <w:rPr>
          <w:rFonts w:hint="eastAsia" w:ascii="仿宋" w:hAnsi="仿宋" w:eastAsia="仿宋" w:cs="仿宋"/>
          <w:b/>
          <w:bCs/>
          <w:snapToGrid w:val="0"/>
          <w:color w:val="000000"/>
          <w:spacing w:val="4"/>
          <w:kern w:val="0"/>
          <w:sz w:val="24"/>
          <w:szCs w:val="24"/>
          <w:highlight w:val="none"/>
          <w:lang w:val="en-US" w:eastAsia="zh-CN" w:bidi="ar-SA"/>
        </w:rPr>
        <w:t>一、</w:t>
      </w:r>
      <w:r>
        <w:rPr>
          <w:rFonts w:hint="eastAsia" w:ascii="仿宋" w:hAnsi="仿宋" w:eastAsia="仿宋" w:cs="仿宋"/>
          <w:b/>
          <w:bCs/>
          <w:snapToGrid w:val="0"/>
          <w:color w:val="000000"/>
          <w:spacing w:val="4"/>
          <w:kern w:val="0"/>
          <w:sz w:val="24"/>
          <w:szCs w:val="24"/>
          <w:highlight w:val="none"/>
          <w:lang w:val="en-US" w:eastAsia="zh-CN"/>
        </w:rPr>
        <w:t>服务内容</w:t>
      </w:r>
    </w:p>
    <w:p w14:paraId="41C616EE">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firstLine="48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1、按网络安全等级保护测评要求完成</w:t>
      </w:r>
      <w:r>
        <w:rPr>
          <w:rFonts w:hint="eastAsia" w:ascii="仿宋" w:hAnsi="仿宋" w:eastAsia="仿宋" w:cs="仿宋"/>
          <w:color w:val="auto"/>
          <w:sz w:val="24"/>
          <w:szCs w:val="24"/>
          <w:highlight w:val="none"/>
          <w:lang w:eastAsia="zh-CN"/>
        </w:rPr>
        <w:t>贵州省价格监测预警系统项目</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000000" w:themeColor="text1"/>
          <w:sz w:val="24"/>
          <w:szCs w:val="24"/>
          <w:highlight w:val="none"/>
          <w14:textFill>
            <w14:solidFill>
              <w14:schemeClr w14:val="tx1"/>
            </w14:solidFill>
          </w14:textFill>
        </w:rPr>
        <w:t>级测评</w:t>
      </w:r>
      <w:r>
        <w:rPr>
          <w:rFonts w:hint="eastAsia" w:ascii="仿宋" w:hAnsi="仿宋" w:eastAsia="仿宋" w:cs="仿宋"/>
          <w:color w:val="auto"/>
          <w:sz w:val="24"/>
          <w:szCs w:val="24"/>
          <w:highlight w:val="none"/>
        </w:rPr>
        <w:t>。</w:t>
      </w:r>
    </w:p>
    <w:p w14:paraId="696EF241">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firstLine="48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2、配合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完成定级备案</w:t>
      </w:r>
      <w:r>
        <w:rPr>
          <w:rFonts w:hint="eastAsia" w:ascii="仿宋" w:hAnsi="仿宋" w:eastAsia="仿宋" w:cs="仿宋"/>
          <w:color w:val="auto"/>
          <w:sz w:val="24"/>
          <w:szCs w:val="24"/>
          <w:highlight w:val="none"/>
          <w:lang w:val="en-US" w:eastAsia="zh-CN"/>
        </w:rPr>
        <w:t>并获得备案证书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专家</w:t>
      </w:r>
      <w:r>
        <w:rPr>
          <w:rFonts w:hint="eastAsia" w:ascii="仿宋" w:hAnsi="仿宋" w:eastAsia="仿宋" w:cs="仿宋"/>
          <w:color w:val="auto"/>
          <w:sz w:val="24"/>
          <w:szCs w:val="24"/>
          <w:highlight w:val="none"/>
          <w:lang w:val="en-US" w:eastAsia="zh-CN"/>
        </w:rPr>
        <w:t>定级</w:t>
      </w:r>
      <w:r>
        <w:rPr>
          <w:rFonts w:hint="eastAsia" w:ascii="仿宋" w:hAnsi="仿宋" w:eastAsia="仿宋" w:cs="仿宋"/>
          <w:color w:val="auto"/>
          <w:sz w:val="24"/>
          <w:szCs w:val="24"/>
          <w:highlight w:val="none"/>
        </w:rPr>
        <w:t>评审。</w:t>
      </w:r>
    </w:p>
    <w:p w14:paraId="2A8220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13" w:leftChars="0" w:right="1" w:rightChars="0" w:firstLine="625" w:firstLineChars="0"/>
        <w:jc w:val="left"/>
        <w:textAlignment w:val="baseline"/>
        <w:rPr>
          <w:rFonts w:hint="eastAsia" w:ascii="仿宋" w:hAnsi="仿宋" w:eastAsia="仿宋" w:cs="仿宋"/>
          <w:b/>
          <w:bCs/>
          <w:snapToGrid w:val="0"/>
          <w:color w:val="000000"/>
          <w:spacing w:val="4"/>
          <w:kern w:val="0"/>
          <w:sz w:val="24"/>
          <w:szCs w:val="24"/>
          <w:highlight w:val="none"/>
          <w:lang w:val="en-US" w:eastAsia="zh-CN"/>
        </w:rPr>
      </w:pPr>
      <w:r>
        <w:rPr>
          <w:rFonts w:hint="eastAsia" w:ascii="仿宋" w:hAnsi="仿宋" w:eastAsia="仿宋" w:cs="仿宋"/>
          <w:b/>
          <w:bCs/>
          <w:snapToGrid w:val="0"/>
          <w:color w:val="000000"/>
          <w:spacing w:val="4"/>
          <w:kern w:val="0"/>
          <w:sz w:val="24"/>
          <w:szCs w:val="24"/>
          <w:highlight w:val="none"/>
          <w:lang w:val="en-US" w:eastAsia="zh-CN" w:bidi="ar-SA"/>
        </w:rPr>
        <w:t>二、</w:t>
      </w:r>
      <w:r>
        <w:rPr>
          <w:rFonts w:hint="eastAsia" w:ascii="仿宋" w:hAnsi="仿宋" w:eastAsia="仿宋" w:cs="仿宋"/>
          <w:b/>
          <w:bCs/>
          <w:snapToGrid w:val="0"/>
          <w:color w:val="000000"/>
          <w:spacing w:val="4"/>
          <w:kern w:val="0"/>
          <w:sz w:val="24"/>
          <w:szCs w:val="24"/>
          <w:highlight w:val="none"/>
          <w:lang w:val="en-US" w:eastAsia="zh-CN"/>
        </w:rPr>
        <w:t>测评依据：</w:t>
      </w:r>
    </w:p>
    <w:p w14:paraId="6C7DA2A9">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rPr>
        <w:t>依据信息安全等级保护的国家标准或行业标准，按照特定方法对信息系统的安全保护能力进行科学公正的综合评判过程。本次开展测评活动所依据的文件及标准如下（不仅限于以下标准和规范，测评必须按照国家最新标准规范要求执行）：</w:t>
      </w:r>
    </w:p>
    <w:p w14:paraId="31D66449">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rPr>
        <w:t>1.《关于信息安全等级保护工作的实施意见》（公通字〔2004〕66号）</w:t>
      </w:r>
    </w:p>
    <w:p w14:paraId="3EA0CE21">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rPr>
        <w:t>2.《信息安全等级保护管理办法》（公通字〔2007〕43 号）</w:t>
      </w:r>
    </w:p>
    <w:p w14:paraId="3193CD47">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lang w:val="en-US" w:eastAsia="zh-CN"/>
        </w:rPr>
        <w:t>3</w:t>
      </w:r>
      <w:r>
        <w:rPr>
          <w:rFonts w:hint="eastAsia" w:ascii="仿宋" w:hAnsi="仿宋" w:eastAsia="仿宋" w:cs="仿宋"/>
          <w:snapToGrid w:val="0"/>
          <w:color w:val="000000"/>
          <w:spacing w:val="4"/>
          <w:kern w:val="0"/>
          <w:sz w:val="24"/>
          <w:szCs w:val="24"/>
          <w:highlight w:val="none"/>
        </w:rPr>
        <w:t>.《计算机信息系统安全保护等级划分准则》GB 17859-1999</w:t>
      </w:r>
    </w:p>
    <w:p w14:paraId="1A6529AC">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lang w:val="en-US" w:eastAsia="zh-CN"/>
        </w:rPr>
        <w:t>4</w:t>
      </w:r>
      <w:r>
        <w:rPr>
          <w:rFonts w:hint="eastAsia" w:ascii="仿宋" w:hAnsi="仿宋" w:eastAsia="仿宋" w:cs="仿宋"/>
          <w:snapToGrid w:val="0"/>
          <w:color w:val="000000"/>
          <w:spacing w:val="4"/>
          <w:kern w:val="0"/>
          <w:sz w:val="24"/>
          <w:szCs w:val="24"/>
          <w:highlight w:val="none"/>
        </w:rPr>
        <w:t>.《信息安全技术信息系统安全等级保护基本要求》GB/T 22239-2019</w:t>
      </w:r>
    </w:p>
    <w:p w14:paraId="43C982B4">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lang w:val="en-US" w:eastAsia="zh-CN"/>
        </w:rPr>
        <w:t>5</w:t>
      </w:r>
      <w:r>
        <w:rPr>
          <w:rFonts w:hint="eastAsia" w:ascii="仿宋" w:hAnsi="仿宋" w:eastAsia="仿宋" w:cs="仿宋"/>
          <w:snapToGrid w:val="0"/>
          <w:color w:val="000000"/>
          <w:spacing w:val="4"/>
          <w:kern w:val="0"/>
          <w:sz w:val="24"/>
          <w:szCs w:val="24"/>
          <w:highlight w:val="none"/>
        </w:rPr>
        <w:t>.《信息安全技术网络安全等级保护测评要求》GB/T28448-2019</w:t>
      </w:r>
    </w:p>
    <w:p w14:paraId="5DA03317">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0"/>
          <w:kern w:val="0"/>
          <w:sz w:val="24"/>
          <w:szCs w:val="24"/>
          <w:highlight w:val="none"/>
        </w:rPr>
      </w:pPr>
      <w:r>
        <w:rPr>
          <w:rFonts w:hint="eastAsia" w:ascii="仿宋" w:hAnsi="仿宋" w:eastAsia="仿宋" w:cs="仿宋"/>
          <w:snapToGrid w:val="0"/>
          <w:color w:val="000000"/>
          <w:spacing w:val="4"/>
          <w:kern w:val="0"/>
          <w:sz w:val="24"/>
          <w:szCs w:val="24"/>
          <w:highlight w:val="none"/>
          <w:lang w:val="en-US" w:eastAsia="zh-CN"/>
        </w:rPr>
        <w:t>6</w:t>
      </w:r>
      <w:r>
        <w:rPr>
          <w:rFonts w:hint="eastAsia" w:ascii="仿宋" w:hAnsi="仿宋" w:eastAsia="仿宋" w:cs="仿宋"/>
          <w:snapToGrid w:val="0"/>
          <w:color w:val="000000"/>
          <w:spacing w:val="4"/>
          <w:kern w:val="0"/>
          <w:sz w:val="24"/>
          <w:szCs w:val="24"/>
          <w:highlight w:val="none"/>
        </w:rPr>
        <w:t>.</w:t>
      </w:r>
      <w:r>
        <w:rPr>
          <w:rFonts w:hint="eastAsia" w:ascii="仿宋" w:hAnsi="仿宋" w:eastAsia="仿宋" w:cs="仿宋"/>
          <w:snapToGrid w:val="0"/>
          <w:color w:val="000000"/>
          <w:spacing w:val="0"/>
          <w:kern w:val="0"/>
          <w:sz w:val="24"/>
          <w:szCs w:val="24"/>
          <w:highlight w:val="none"/>
        </w:rPr>
        <w:t>《信息安全技术网络安全等级保护安全设计技术要求》GB/T25070-2019</w:t>
      </w:r>
    </w:p>
    <w:p w14:paraId="5C2BD3E4">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lang w:val="en-US" w:eastAsia="zh-CN"/>
        </w:rPr>
        <w:t>7</w:t>
      </w:r>
      <w:r>
        <w:rPr>
          <w:rFonts w:hint="eastAsia" w:ascii="仿宋" w:hAnsi="仿宋" w:eastAsia="仿宋" w:cs="仿宋"/>
          <w:snapToGrid w:val="0"/>
          <w:color w:val="000000"/>
          <w:spacing w:val="4"/>
          <w:kern w:val="0"/>
          <w:sz w:val="24"/>
          <w:szCs w:val="24"/>
          <w:highlight w:val="none"/>
        </w:rPr>
        <w:t>.《信息安全风险管理指南》GB/Z 24363-2009</w:t>
      </w:r>
    </w:p>
    <w:p w14:paraId="4E50DEB9">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lang w:val="en-US" w:eastAsia="zh-CN"/>
        </w:rPr>
        <w:t>8</w:t>
      </w:r>
      <w:r>
        <w:rPr>
          <w:rFonts w:hint="eastAsia" w:ascii="仿宋" w:hAnsi="仿宋" w:eastAsia="仿宋" w:cs="仿宋"/>
          <w:snapToGrid w:val="0"/>
          <w:color w:val="000000"/>
          <w:spacing w:val="4"/>
          <w:kern w:val="0"/>
          <w:sz w:val="24"/>
          <w:szCs w:val="24"/>
          <w:highlight w:val="none"/>
        </w:rPr>
        <w:t>.《信息安全管理体系要求》GB/T 22080-2008</w:t>
      </w:r>
    </w:p>
    <w:p w14:paraId="18A96AF2">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lang w:val="en-US" w:eastAsia="zh-CN"/>
        </w:rPr>
        <w:t>9</w:t>
      </w:r>
      <w:r>
        <w:rPr>
          <w:rFonts w:hint="eastAsia" w:ascii="仿宋" w:hAnsi="仿宋" w:eastAsia="仿宋" w:cs="仿宋"/>
          <w:snapToGrid w:val="0"/>
          <w:color w:val="000000"/>
          <w:spacing w:val="4"/>
          <w:kern w:val="0"/>
          <w:sz w:val="24"/>
          <w:szCs w:val="24"/>
          <w:highlight w:val="none"/>
        </w:rPr>
        <w:t>.《信息安全管理实用规则》GB/T 22081-2008</w:t>
      </w:r>
    </w:p>
    <w:p w14:paraId="6535EC7F">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lang w:val="en-US" w:eastAsia="zh-CN"/>
        </w:rPr>
        <w:t>10.</w:t>
      </w:r>
      <w:r>
        <w:rPr>
          <w:rFonts w:hint="eastAsia" w:ascii="仿宋" w:hAnsi="仿宋" w:eastAsia="仿宋" w:cs="仿宋"/>
          <w:snapToGrid w:val="0"/>
          <w:color w:val="000000"/>
          <w:spacing w:val="4"/>
          <w:kern w:val="0"/>
          <w:sz w:val="24"/>
          <w:szCs w:val="24"/>
          <w:highlight w:val="none"/>
        </w:rPr>
        <w:t>《信息系统安全管理要求》GB/T 20269-2006</w:t>
      </w:r>
    </w:p>
    <w:p w14:paraId="7038FEB5">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rPr>
        <w:t>1</w:t>
      </w:r>
      <w:r>
        <w:rPr>
          <w:rFonts w:hint="eastAsia" w:ascii="仿宋" w:hAnsi="仿宋" w:eastAsia="仿宋" w:cs="仿宋"/>
          <w:snapToGrid w:val="0"/>
          <w:color w:val="000000"/>
          <w:spacing w:val="4"/>
          <w:kern w:val="0"/>
          <w:sz w:val="24"/>
          <w:szCs w:val="24"/>
          <w:highlight w:val="none"/>
          <w:lang w:val="en-US" w:eastAsia="zh-CN"/>
        </w:rPr>
        <w:t>1</w:t>
      </w:r>
      <w:r>
        <w:rPr>
          <w:rFonts w:hint="eastAsia" w:ascii="仿宋" w:hAnsi="仿宋" w:eastAsia="仿宋" w:cs="仿宋"/>
          <w:snapToGrid w:val="0"/>
          <w:color w:val="000000"/>
          <w:spacing w:val="4"/>
          <w:kern w:val="0"/>
          <w:sz w:val="24"/>
          <w:szCs w:val="24"/>
          <w:highlight w:val="none"/>
        </w:rPr>
        <w:t>.《电子信息系统机房设计规范》GB 50173-2008</w:t>
      </w:r>
    </w:p>
    <w:p w14:paraId="753EB5EE">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rPr>
        <w:t>1</w:t>
      </w:r>
      <w:r>
        <w:rPr>
          <w:rFonts w:hint="eastAsia" w:ascii="仿宋" w:hAnsi="仿宋" w:eastAsia="仿宋" w:cs="仿宋"/>
          <w:snapToGrid w:val="0"/>
          <w:color w:val="000000"/>
          <w:spacing w:val="4"/>
          <w:kern w:val="0"/>
          <w:sz w:val="24"/>
          <w:szCs w:val="24"/>
          <w:highlight w:val="none"/>
          <w:lang w:val="en-US" w:eastAsia="zh-CN"/>
        </w:rPr>
        <w:t>2</w:t>
      </w:r>
      <w:r>
        <w:rPr>
          <w:rFonts w:hint="eastAsia" w:ascii="仿宋" w:hAnsi="仿宋" w:eastAsia="仿宋" w:cs="仿宋"/>
          <w:snapToGrid w:val="0"/>
          <w:color w:val="000000"/>
          <w:spacing w:val="4"/>
          <w:kern w:val="0"/>
          <w:sz w:val="24"/>
          <w:szCs w:val="24"/>
          <w:highlight w:val="none"/>
        </w:rPr>
        <w:t>.《信息安全技术服务器测评要求》GB/T 25062-2010</w:t>
      </w:r>
    </w:p>
    <w:p w14:paraId="639B82DC">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rPr>
        <w:t>1</w:t>
      </w:r>
      <w:r>
        <w:rPr>
          <w:rFonts w:hint="eastAsia" w:ascii="仿宋" w:hAnsi="仿宋" w:eastAsia="仿宋" w:cs="仿宋"/>
          <w:snapToGrid w:val="0"/>
          <w:color w:val="000000"/>
          <w:spacing w:val="4"/>
          <w:kern w:val="0"/>
          <w:sz w:val="24"/>
          <w:szCs w:val="24"/>
          <w:highlight w:val="none"/>
          <w:lang w:val="en-US" w:eastAsia="zh-CN"/>
        </w:rPr>
        <w:t>3</w:t>
      </w:r>
      <w:r>
        <w:rPr>
          <w:rFonts w:hint="eastAsia" w:ascii="仿宋" w:hAnsi="仿宋" w:eastAsia="仿宋" w:cs="仿宋"/>
          <w:snapToGrid w:val="0"/>
          <w:color w:val="000000"/>
          <w:spacing w:val="4"/>
          <w:kern w:val="0"/>
          <w:sz w:val="24"/>
          <w:szCs w:val="24"/>
          <w:highlight w:val="none"/>
        </w:rPr>
        <w:t>.《信息安全技术包过滤防火墙评估准则》GB/T 20010-2005</w:t>
      </w:r>
    </w:p>
    <w:p w14:paraId="516EBA55">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rPr>
        <w:t>1</w:t>
      </w:r>
      <w:r>
        <w:rPr>
          <w:rFonts w:hint="eastAsia" w:ascii="仿宋" w:hAnsi="仿宋" w:eastAsia="仿宋" w:cs="仿宋"/>
          <w:snapToGrid w:val="0"/>
          <w:color w:val="000000"/>
          <w:spacing w:val="4"/>
          <w:kern w:val="0"/>
          <w:sz w:val="24"/>
          <w:szCs w:val="24"/>
          <w:highlight w:val="none"/>
          <w:lang w:val="en-US" w:eastAsia="zh-CN"/>
        </w:rPr>
        <w:t>4</w:t>
      </w:r>
      <w:r>
        <w:rPr>
          <w:rFonts w:hint="eastAsia" w:ascii="仿宋" w:hAnsi="仿宋" w:eastAsia="仿宋" w:cs="仿宋"/>
          <w:snapToGrid w:val="0"/>
          <w:color w:val="000000"/>
          <w:spacing w:val="4"/>
          <w:kern w:val="0"/>
          <w:sz w:val="24"/>
          <w:szCs w:val="24"/>
          <w:highlight w:val="none"/>
        </w:rPr>
        <w:t>.《信息安全技术路由器安全评估准则》GB/T 20011-2005</w:t>
      </w:r>
    </w:p>
    <w:p w14:paraId="04274FAB">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rPr>
        <w:t>1</w:t>
      </w:r>
      <w:r>
        <w:rPr>
          <w:rFonts w:hint="eastAsia" w:ascii="仿宋" w:hAnsi="仿宋" w:eastAsia="仿宋" w:cs="仿宋"/>
          <w:snapToGrid w:val="0"/>
          <w:color w:val="000000"/>
          <w:spacing w:val="4"/>
          <w:kern w:val="0"/>
          <w:sz w:val="24"/>
          <w:szCs w:val="24"/>
          <w:highlight w:val="none"/>
          <w:lang w:val="en-US" w:eastAsia="zh-CN"/>
        </w:rPr>
        <w:t>5</w:t>
      </w:r>
      <w:r>
        <w:rPr>
          <w:rFonts w:hint="eastAsia" w:ascii="仿宋" w:hAnsi="仿宋" w:eastAsia="仿宋" w:cs="仿宋"/>
          <w:snapToGrid w:val="0"/>
          <w:color w:val="000000"/>
          <w:spacing w:val="4"/>
          <w:kern w:val="0"/>
          <w:sz w:val="24"/>
          <w:szCs w:val="24"/>
          <w:highlight w:val="none"/>
        </w:rPr>
        <w:t>.《信息安全技术终端计算机系统安全等级评估准则》GA/T 672-2006</w:t>
      </w:r>
    </w:p>
    <w:p w14:paraId="410B470A">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rPr>
      </w:pPr>
      <w:r>
        <w:rPr>
          <w:rFonts w:hint="eastAsia" w:ascii="仿宋" w:hAnsi="仿宋" w:eastAsia="仿宋" w:cs="仿宋"/>
          <w:snapToGrid w:val="0"/>
          <w:color w:val="000000"/>
          <w:spacing w:val="4"/>
          <w:kern w:val="0"/>
          <w:sz w:val="24"/>
          <w:szCs w:val="24"/>
          <w:highlight w:val="none"/>
        </w:rPr>
        <w:t>1</w:t>
      </w:r>
      <w:r>
        <w:rPr>
          <w:rFonts w:hint="eastAsia" w:ascii="仿宋" w:hAnsi="仿宋" w:eastAsia="仿宋" w:cs="仿宋"/>
          <w:snapToGrid w:val="0"/>
          <w:color w:val="000000"/>
          <w:spacing w:val="4"/>
          <w:kern w:val="0"/>
          <w:sz w:val="24"/>
          <w:szCs w:val="24"/>
          <w:highlight w:val="none"/>
          <w:lang w:val="en-US" w:eastAsia="zh-CN"/>
        </w:rPr>
        <w:t>6</w:t>
      </w:r>
      <w:r>
        <w:rPr>
          <w:rFonts w:hint="eastAsia" w:ascii="仿宋" w:hAnsi="仿宋" w:eastAsia="仿宋" w:cs="仿宋"/>
          <w:snapToGrid w:val="0"/>
          <w:color w:val="000000"/>
          <w:spacing w:val="4"/>
          <w:kern w:val="0"/>
          <w:sz w:val="24"/>
          <w:szCs w:val="24"/>
          <w:highlight w:val="none"/>
        </w:rPr>
        <w:t>.《信息安全技术应用软件系统安全等级保护通用测试指南》GA/T 712-2007</w:t>
      </w:r>
    </w:p>
    <w:p w14:paraId="7D1388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13" w:leftChars="0" w:right="1" w:rightChars="0" w:firstLine="625" w:firstLineChars="0"/>
        <w:jc w:val="left"/>
        <w:textAlignment w:val="baseline"/>
        <w:rPr>
          <w:rFonts w:hint="eastAsia" w:ascii="仿宋" w:hAnsi="仿宋" w:eastAsia="仿宋" w:cs="仿宋"/>
          <w:b/>
          <w:bCs/>
          <w:snapToGrid w:val="0"/>
          <w:color w:val="000000"/>
          <w:spacing w:val="4"/>
          <w:kern w:val="0"/>
          <w:sz w:val="24"/>
          <w:szCs w:val="24"/>
          <w:highlight w:val="none"/>
          <w:lang w:val="en-US" w:eastAsia="zh-CN"/>
        </w:rPr>
      </w:pPr>
      <w:bookmarkStart w:id="9" w:name="_Toc6104"/>
      <w:r>
        <w:rPr>
          <w:rFonts w:hint="eastAsia" w:ascii="仿宋" w:hAnsi="仿宋" w:eastAsia="仿宋" w:cs="仿宋"/>
          <w:b/>
          <w:bCs/>
          <w:snapToGrid w:val="0"/>
          <w:color w:val="000000"/>
          <w:spacing w:val="4"/>
          <w:kern w:val="0"/>
          <w:sz w:val="24"/>
          <w:szCs w:val="24"/>
          <w:highlight w:val="none"/>
          <w:lang w:val="en-US" w:eastAsia="zh-CN" w:bidi="ar-SA"/>
        </w:rPr>
        <w:t>三、</w:t>
      </w:r>
      <w:r>
        <w:rPr>
          <w:rFonts w:hint="eastAsia" w:ascii="仿宋" w:hAnsi="仿宋" w:eastAsia="仿宋" w:cs="仿宋"/>
          <w:b/>
          <w:bCs/>
          <w:snapToGrid w:val="0"/>
          <w:color w:val="000000"/>
          <w:spacing w:val="4"/>
          <w:kern w:val="0"/>
          <w:sz w:val="24"/>
          <w:szCs w:val="24"/>
          <w:highlight w:val="none"/>
          <w:lang w:val="en-US" w:eastAsia="zh-CN"/>
        </w:rPr>
        <w:t>测评内容</w:t>
      </w:r>
      <w:bookmarkEnd w:id="9"/>
    </w:p>
    <w:p w14:paraId="206607D3">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lang w:val="en-US" w:eastAsia="zh-CN"/>
        </w:rPr>
      </w:pPr>
      <w:r>
        <w:rPr>
          <w:rFonts w:hint="eastAsia" w:ascii="仿宋" w:hAnsi="仿宋" w:eastAsia="仿宋" w:cs="仿宋"/>
          <w:snapToGrid w:val="0"/>
          <w:color w:val="000000"/>
          <w:spacing w:val="4"/>
          <w:kern w:val="0"/>
          <w:sz w:val="24"/>
          <w:szCs w:val="24"/>
          <w:highlight w:val="none"/>
          <w:lang w:val="en-US" w:eastAsia="zh-CN"/>
        </w:rPr>
        <w:t>等级测评的现场实施过程由单元测试和整体测评两部分构成。单元测试是对应各安全控制点的测评，主要包括：安全物理环境、安全通信网络、安全区域边界、安全计算环境、安全管理中心、安全制度管理、安全管理机构、安全管理人员、安全建设管理和安全运维管理等测评任务（不限于以下内容）。</w:t>
      </w:r>
    </w:p>
    <w:p w14:paraId="3B3BAEA9">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lang w:val="en-US" w:eastAsia="zh-CN"/>
        </w:rPr>
      </w:pPr>
      <w:r>
        <w:rPr>
          <w:rFonts w:hint="eastAsia" w:ascii="仿宋" w:hAnsi="仿宋" w:eastAsia="仿宋" w:cs="仿宋"/>
          <w:snapToGrid w:val="0"/>
          <w:color w:val="000000"/>
          <w:spacing w:val="4"/>
          <w:kern w:val="0"/>
          <w:sz w:val="24"/>
          <w:szCs w:val="24"/>
          <w:highlight w:val="none"/>
          <w:lang w:val="en-US" w:eastAsia="zh-CN"/>
        </w:rPr>
        <w:t>整体测评是在单元测评的基础上，通过进一步的分析信息系统安全保护功能的整体相关性，对信息系统实施的综合安全测评。</w:t>
      </w:r>
    </w:p>
    <w:p w14:paraId="469E6938">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lang w:val="en-US" w:eastAsia="zh-CN"/>
        </w:rPr>
      </w:pPr>
      <w:r>
        <w:rPr>
          <w:rFonts w:hint="eastAsia" w:ascii="仿宋" w:hAnsi="仿宋" w:eastAsia="仿宋" w:cs="仿宋"/>
          <w:snapToGrid w:val="0"/>
          <w:color w:val="000000"/>
          <w:spacing w:val="4"/>
          <w:kern w:val="0"/>
          <w:sz w:val="24"/>
          <w:szCs w:val="24"/>
          <w:highlight w:val="none"/>
          <w:lang w:val="en-US" w:eastAsia="zh-CN"/>
        </w:rPr>
        <w:t>测评工程师在进行各单元测评之前，需获得被测评方的授权，并签署安全保密协议，在现场测评过程中，需要对设备和系统进行一定验证测试工作，部分测试内容需要上机查看一些信息，可能会影响系统的正常运行。因此，在进行验证测试和工具测试时，应尽量避开业务高峰期，同时还应对关键数据做好备份工作，并对可能出现的影响制定相应的处理方案。上机验证测试原则上应是测评人员提出需要查看或验证的内容，由测评委托单位的相关技术人员进行操作，测评人员根据操作结果进行记录。测评工程完成后，测评人员应交回测评过程中获取的所有特权，归还测评过程中借阅的相关资料文档，并严格清理测评过程中植入被测评系统中的相关代码/程序。</w:t>
      </w:r>
    </w:p>
    <w:p w14:paraId="056A8861">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lang w:val="en-US" w:eastAsia="zh-CN"/>
        </w:rPr>
      </w:pPr>
      <w:r>
        <w:rPr>
          <w:rFonts w:hint="eastAsia" w:ascii="仿宋" w:hAnsi="仿宋" w:eastAsia="仿宋" w:cs="仿宋"/>
          <w:snapToGrid w:val="0"/>
          <w:color w:val="000000"/>
          <w:spacing w:val="4"/>
          <w:kern w:val="0"/>
          <w:sz w:val="24"/>
          <w:szCs w:val="24"/>
          <w:highlight w:val="none"/>
          <w:lang w:val="en-US" w:eastAsia="zh-CN"/>
        </w:rPr>
        <w:t>安全物理环境：物理位置的选择、物理访问控制、防盗窃和防破坏、防雷击、防火、防水和防潮、防静电、温湿度控制、电力供应、电磁防护；</w:t>
      </w:r>
    </w:p>
    <w:p w14:paraId="1D10510F">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lang w:val="en-US" w:eastAsia="zh-CN"/>
        </w:rPr>
      </w:pPr>
      <w:r>
        <w:rPr>
          <w:rFonts w:hint="eastAsia" w:ascii="仿宋" w:hAnsi="仿宋" w:eastAsia="仿宋" w:cs="仿宋"/>
          <w:snapToGrid w:val="0"/>
          <w:color w:val="000000"/>
          <w:spacing w:val="4"/>
          <w:kern w:val="0"/>
          <w:sz w:val="24"/>
          <w:szCs w:val="24"/>
          <w:highlight w:val="none"/>
          <w:lang w:val="en-US" w:eastAsia="zh-CN"/>
        </w:rPr>
        <w:t>安全通信网络：网络架构、通信传输、可信验证；</w:t>
      </w:r>
    </w:p>
    <w:p w14:paraId="519DF9C5">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lang w:val="en-US" w:eastAsia="zh-CN"/>
        </w:rPr>
      </w:pPr>
      <w:r>
        <w:rPr>
          <w:rFonts w:hint="eastAsia" w:ascii="仿宋" w:hAnsi="仿宋" w:eastAsia="仿宋" w:cs="仿宋"/>
          <w:snapToGrid w:val="0"/>
          <w:color w:val="000000"/>
          <w:spacing w:val="4"/>
          <w:kern w:val="0"/>
          <w:sz w:val="24"/>
          <w:szCs w:val="24"/>
          <w:highlight w:val="none"/>
          <w:lang w:val="en-US" w:eastAsia="zh-CN"/>
        </w:rPr>
        <w:t>安全区域边界：边界防护、访问控制、入侵防范、恶意代码防范和垃圾邮件防范、安全审计、可信验证；</w:t>
      </w:r>
    </w:p>
    <w:p w14:paraId="6A9A9739">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lang w:val="en-US" w:eastAsia="zh-CN"/>
        </w:rPr>
      </w:pPr>
      <w:r>
        <w:rPr>
          <w:rFonts w:hint="eastAsia" w:ascii="仿宋" w:hAnsi="仿宋" w:eastAsia="仿宋" w:cs="仿宋"/>
          <w:snapToGrid w:val="0"/>
          <w:color w:val="000000"/>
          <w:spacing w:val="4"/>
          <w:kern w:val="0"/>
          <w:sz w:val="24"/>
          <w:szCs w:val="24"/>
          <w:highlight w:val="none"/>
          <w:lang w:val="en-US" w:eastAsia="zh-CN"/>
        </w:rPr>
        <w:t>安全计算环境：身份鉴别、访问控制、安全审计、入侵防范、恶意代码防范、可信验证、数据完整性、数据保密性、数据备份恢复、剩余信息保护、个人信息保护；</w:t>
      </w:r>
    </w:p>
    <w:p w14:paraId="55D3E474">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lang w:val="en-US" w:eastAsia="zh-CN"/>
        </w:rPr>
      </w:pPr>
      <w:r>
        <w:rPr>
          <w:rFonts w:hint="eastAsia" w:ascii="仿宋" w:hAnsi="仿宋" w:eastAsia="仿宋" w:cs="仿宋"/>
          <w:snapToGrid w:val="0"/>
          <w:color w:val="000000"/>
          <w:spacing w:val="4"/>
          <w:kern w:val="0"/>
          <w:sz w:val="24"/>
          <w:szCs w:val="24"/>
          <w:highlight w:val="none"/>
          <w:lang w:val="en-US" w:eastAsia="zh-CN"/>
        </w:rPr>
        <w:t>安全管理中心：系统管理、审计管理、安全管理、集中管控；安全制度管理：安全策略、管理制度、制定与发布、评审和修订；</w:t>
      </w:r>
    </w:p>
    <w:p w14:paraId="70310954">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lang w:val="en-US" w:eastAsia="zh-CN"/>
        </w:rPr>
      </w:pPr>
      <w:r>
        <w:rPr>
          <w:rFonts w:hint="eastAsia" w:ascii="仿宋" w:hAnsi="仿宋" w:eastAsia="仿宋" w:cs="仿宋"/>
          <w:snapToGrid w:val="0"/>
          <w:color w:val="000000"/>
          <w:spacing w:val="4"/>
          <w:kern w:val="0"/>
          <w:sz w:val="24"/>
          <w:szCs w:val="24"/>
          <w:highlight w:val="none"/>
          <w:lang w:val="en-US" w:eastAsia="zh-CN"/>
        </w:rPr>
        <w:t>安全管理机构：岗位设置、人员配备、授权和审批、沟通和合作、审核和检查；</w:t>
      </w:r>
    </w:p>
    <w:p w14:paraId="7814FE65">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lang w:val="en-US" w:eastAsia="zh-CN"/>
        </w:rPr>
      </w:pPr>
      <w:r>
        <w:rPr>
          <w:rFonts w:hint="eastAsia" w:ascii="仿宋" w:hAnsi="仿宋" w:eastAsia="仿宋" w:cs="仿宋"/>
          <w:snapToGrid w:val="0"/>
          <w:color w:val="000000"/>
          <w:spacing w:val="4"/>
          <w:kern w:val="0"/>
          <w:sz w:val="24"/>
          <w:szCs w:val="24"/>
          <w:highlight w:val="none"/>
          <w:lang w:val="en-US" w:eastAsia="zh-CN"/>
        </w:rPr>
        <w:t>安全管理人员：人员录用、人员离岗、安全意识教育培训、外部人员访问管理；</w:t>
      </w:r>
    </w:p>
    <w:p w14:paraId="59F6CBD2">
      <w:pPr>
        <w:keepNext w:val="0"/>
        <w:keepLines w:val="0"/>
        <w:pageBreakBefore w:val="0"/>
        <w:widowControl/>
        <w:kinsoku w:val="0"/>
        <w:wordWrap/>
        <w:overflowPunct/>
        <w:topLinePunct w:val="0"/>
        <w:autoSpaceDE w:val="0"/>
        <w:autoSpaceDN w:val="0"/>
        <w:bidi w:val="0"/>
        <w:adjustRightInd w:val="0"/>
        <w:snapToGrid w:val="0"/>
        <w:spacing w:line="560" w:lineRule="exact"/>
        <w:ind w:left="13" w:right="1" w:firstLine="625"/>
        <w:jc w:val="left"/>
        <w:textAlignment w:val="baseline"/>
        <w:rPr>
          <w:rFonts w:hint="eastAsia" w:ascii="仿宋" w:hAnsi="仿宋" w:eastAsia="仿宋" w:cs="仿宋"/>
          <w:snapToGrid w:val="0"/>
          <w:color w:val="000000"/>
          <w:spacing w:val="4"/>
          <w:kern w:val="0"/>
          <w:sz w:val="24"/>
          <w:szCs w:val="24"/>
          <w:highlight w:val="none"/>
          <w:lang w:val="en-US" w:eastAsia="zh-CN"/>
        </w:rPr>
      </w:pPr>
      <w:r>
        <w:rPr>
          <w:rFonts w:hint="eastAsia" w:ascii="仿宋" w:hAnsi="仿宋" w:eastAsia="仿宋" w:cs="仿宋"/>
          <w:snapToGrid w:val="0"/>
          <w:color w:val="000000"/>
          <w:spacing w:val="4"/>
          <w:kern w:val="0"/>
          <w:sz w:val="24"/>
          <w:szCs w:val="24"/>
          <w:highlight w:val="none"/>
          <w:lang w:val="en-US" w:eastAsia="zh-CN"/>
        </w:rPr>
        <w:t>安全建设管理：定级和备案、安全方案设计、产品采购和使用、自行软件开发、外包软件开发、工程实施、测试验收、系统交付、服务供应商选择、等级测评；</w:t>
      </w:r>
    </w:p>
    <w:p w14:paraId="45BD91C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napToGrid w:val="0"/>
          <w:color w:val="000000"/>
          <w:spacing w:val="4"/>
          <w:kern w:val="0"/>
          <w:sz w:val="24"/>
          <w:szCs w:val="24"/>
          <w:highlight w:val="none"/>
          <w:lang w:val="en-US" w:eastAsia="zh-CN"/>
        </w:rPr>
      </w:pPr>
      <w:r>
        <w:rPr>
          <w:rFonts w:hint="eastAsia" w:ascii="仿宋" w:hAnsi="仿宋" w:eastAsia="仿宋" w:cs="仿宋"/>
          <w:snapToGrid w:val="0"/>
          <w:color w:val="000000"/>
          <w:spacing w:val="4"/>
          <w:kern w:val="0"/>
          <w:sz w:val="24"/>
          <w:szCs w:val="24"/>
          <w:highlight w:val="none"/>
          <w:lang w:val="en-US" w:eastAsia="zh-CN"/>
        </w:rPr>
        <w:t>安全运维管理：环境管理、资产管理、介质管理、设备维护管理、漏洞和风险管理、网络和安全管理、恶意代码防范管理、配置管理、密码管理、变更管理、备份与恢复管理、安全事件处置、应急预案管理、外包运维管理。</w:t>
      </w:r>
    </w:p>
    <w:p w14:paraId="6FD2AD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13" w:leftChars="0" w:right="1" w:rightChars="0" w:firstLine="625" w:firstLineChars="0"/>
        <w:jc w:val="left"/>
        <w:textAlignment w:val="baseline"/>
        <w:rPr>
          <w:rFonts w:hint="eastAsia" w:ascii="仿宋" w:hAnsi="仿宋" w:eastAsia="仿宋" w:cs="仿宋"/>
          <w:b/>
          <w:bCs/>
          <w:snapToGrid w:val="0"/>
          <w:color w:val="000000"/>
          <w:spacing w:val="4"/>
          <w:kern w:val="0"/>
          <w:sz w:val="24"/>
          <w:szCs w:val="24"/>
          <w:highlight w:val="none"/>
          <w:lang w:val="en-US" w:eastAsia="zh-CN"/>
        </w:rPr>
      </w:pPr>
      <w:r>
        <w:rPr>
          <w:rFonts w:hint="eastAsia" w:ascii="仿宋" w:hAnsi="仿宋" w:eastAsia="仿宋" w:cs="仿宋"/>
          <w:b/>
          <w:bCs/>
          <w:snapToGrid w:val="0"/>
          <w:color w:val="000000"/>
          <w:spacing w:val="4"/>
          <w:kern w:val="0"/>
          <w:sz w:val="24"/>
          <w:szCs w:val="24"/>
          <w:highlight w:val="none"/>
          <w:lang w:val="en-US" w:eastAsia="zh-CN" w:bidi="ar-SA"/>
        </w:rPr>
        <w:t>四、</w:t>
      </w:r>
      <w:r>
        <w:rPr>
          <w:rFonts w:hint="eastAsia" w:ascii="仿宋" w:hAnsi="仿宋" w:eastAsia="仿宋" w:cs="仿宋"/>
          <w:b/>
          <w:bCs/>
          <w:snapToGrid w:val="0"/>
          <w:color w:val="000000"/>
          <w:spacing w:val="4"/>
          <w:kern w:val="0"/>
          <w:sz w:val="24"/>
          <w:szCs w:val="24"/>
          <w:highlight w:val="none"/>
          <w:lang w:val="en-US" w:eastAsia="zh-CN"/>
        </w:rPr>
        <w:t>项目实施要求</w:t>
      </w:r>
    </w:p>
    <w:p w14:paraId="3BDD4117">
      <w:pPr>
        <w:pStyle w:val="10"/>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本项目要求供应商在采购人指定地点进行现场测评，不接受远程测评。</w:t>
      </w:r>
    </w:p>
    <w:p w14:paraId="732DE3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13" w:leftChars="0" w:right="1" w:rightChars="0" w:firstLine="625" w:firstLineChars="0"/>
        <w:jc w:val="left"/>
        <w:textAlignment w:val="baseline"/>
        <w:rPr>
          <w:rFonts w:hint="eastAsia" w:ascii="仿宋" w:hAnsi="仿宋" w:eastAsia="仿宋" w:cs="仿宋"/>
          <w:b/>
          <w:bCs/>
          <w:snapToGrid w:val="0"/>
          <w:color w:val="000000"/>
          <w:spacing w:val="4"/>
          <w:kern w:val="0"/>
          <w:sz w:val="24"/>
          <w:szCs w:val="24"/>
          <w:highlight w:val="none"/>
          <w:lang w:val="en-US" w:eastAsia="zh-CN"/>
        </w:rPr>
      </w:pPr>
      <w:r>
        <w:rPr>
          <w:rFonts w:hint="eastAsia" w:ascii="仿宋" w:hAnsi="仿宋" w:eastAsia="仿宋" w:cs="仿宋"/>
          <w:b/>
          <w:bCs/>
          <w:snapToGrid w:val="0"/>
          <w:color w:val="000000"/>
          <w:spacing w:val="4"/>
          <w:kern w:val="0"/>
          <w:sz w:val="24"/>
          <w:szCs w:val="24"/>
          <w:highlight w:val="none"/>
          <w:lang w:val="en-US" w:eastAsia="zh-CN" w:bidi="ar-SA"/>
        </w:rPr>
        <w:t>五、</w:t>
      </w:r>
      <w:r>
        <w:rPr>
          <w:rFonts w:hint="eastAsia" w:ascii="仿宋" w:hAnsi="仿宋" w:eastAsia="仿宋" w:cs="仿宋"/>
          <w:b/>
          <w:bCs/>
          <w:snapToGrid w:val="0"/>
          <w:color w:val="000000"/>
          <w:spacing w:val="4"/>
          <w:kern w:val="0"/>
          <w:sz w:val="24"/>
          <w:szCs w:val="24"/>
          <w:highlight w:val="none"/>
          <w:lang w:val="en-US" w:eastAsia="zh-CN"/>
        </w:rPr>
        <w:t>保密要求</w:t>
      </w:r>
    </w:p>
    <w:p w14:paraId="67712939">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425" w:firstLine="500" w:firstLineChars="200"/>
        <w:jc w:val="both"/>
        <w:textAlignment w:val="baseline"/>
        <w:rPr>
          <w:rFonts w:hint="eastAsia" w:ascii="仿宋" w:hAnsi="仿宋" w:eastAsia="仿宋" w:cs="仿宋"/>
          <w:spacing w:val="-2"/>
          <w:sz w:val="24"/>
          <w:szCs w:val="24"/>
          <w:highlight w:val="none"/>
        </w:rPr>
      </w:pPr>
      <w:r>
        <w:rPr>
          <w:rFonts w:hint="eastAsia" w:ascii="仿宋" w:hAnsi="仿宋" w:eastAsia="仿宋" w:cs="仿宋"/>
          <w:spacing w:val="5"/>
          <w:sz w:val="24"/>
          <w:szCs w:val="24"/>
          <w:highlight w:val="none"/>
        </w:rPr>
        <w:t>供应商对在合作过程中接触到的采购人的任何资料、文件、数据（无论是否纸质</w:t>
      </w:r>
      <w:r>
        <w:rPr>
          <w:rFonts w:hint="eastAsia" w:ascii="仿宋" w:hAnsi="仿宋" w:eastAsia="仿宋" w:cs="仿宋"/>
          <w:spacing w:val="6"/>
          <w:sz w:val="24"/>
          <w:szCs w:val="24"/>
          <w:highlight w:val="none"/>
        </w:rPr>
        <w:t xml:space="preserve"> </w:t>
      </w:r>
      <w:r>
        <w:rPr>
          <w:rFonts w:hint="eastAsia" w:ascii="仿宋" w:hAnsi="仿宋" w:eastAsia="仿宋" w:cs="仿宋"/>
          <w:spacing w:val="5"/>
          <w:sz w:val="24"/>
          <w:szCs w:val="24"/>
          <w:highlight w:val="none"/>
        </w:rPr>
        <w:t>文档）等一切载体所载明的信息，负有严格的保密义务。未经采购人书面同</w:t>
      </w:r>
      <w:r>
        <w:rPr>
          <w:rFonts w:hint="eastAsia" w:ascii="仿宋" w:hAnsi="仿宋" w:eastAsia="仿宋" w:cs="仿宋"/>
          <w:spacing w:val="4"/>
          <w:sz w:val="24"/>
          <w:szCs w:val="24"/>
          <w:highlight w:val="none"/>
        </w:rPr>
        <w:t>意，供应</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商不得以任何方式向任何第三方提供或透露，违反保密义务给采购人造成损</w:t>
      </w:r>
      <w:r>
        <w:rPr>
          <w:rFonts w:hint="eastAsia" w:ascii="仿宋" w:hAnsi="仿宋" w:eastAsia="仿宋" w:cs="仿宋"/>
          <w:spacing w:val="4"/>
          <w:sz w:val="24"/>
          <w:szCs w:val="24"/>
          <w:highlight w:val="none"/>
        </w:rPr>
        <w:t>失的，供</w:t>
      </w:r>
      <w:r>
        <w:rPr>
          <w:rFonts w:hint="eastAsia" w:ascii="仿宋" w:hAnsi="仿宋" w:eastAsia="仿宋" w:cs="仿宋"/>
          <w:spacing w:val="-2"/>
          <w:sz w:val="24"/>
          <w:szCs w:val="24"/>
          <w:highlight w:val="none"/>
        </w:rPr>
        <w:t>应商应负责赔偿。</w:t>
      </w:r>
    </w:p>
    <w:p w14:paraId="7DDE32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13" w:leftChars="0" w:right="1" w:rightChars="0" w:firstLine="625" w:firstLineChars="0"/>
        <w:jc w:val="left"/>
        <w:textAlignment w:val="baseline"/>
        <w:rPr>
          <w:rFonts w:hint="eastAsia" w:ascii="仿宋" w:hAnsi="仿宋" w:eastAsia="仿宋" w:cs="仿宋"/>
          <w:b/>
          <w:bCs/>
          <w:snapToGrid w:val="0"/>
          <w:color w:val="000000"/>
          <w:spacing w:val="4"/>
          <w:kern w:val="0"/>
          <w:sz w:val="24"/>
          <w:szCs w:val="24"/>
          <w:highlight w:val="none"/>
          <w:lang w:val="en-US" w:eastAsia="zh-CN"/>
        </w:rPr>
      </w:pPr>
      <w:r>
        <w:rPr>
          <w:rFonts w:hint="eastAsia" w:ascii="仿宋" w:hAnsi="仿宋" w:eastAsia="仿宋" w:cs="仿宋"/>
          <w:b/>
          <w:bCs/>
          <w:snapToGrid w:val="0"/>
          <w:color w:val="000000"/>
          <w:spacing w:val="4"/>
          <w:kern w:val="0"/>
          <w:sz w:val="24"/>
          <w:szCs w:val="24"/>
          <w:highlight w:val="none"/>
          <w:lang w:val="en-US" w:eastAsia="zh-CN" w:bidi="ar-SA"/>
        </w:rPr>
        <w:t>六、</w:t>
      </w:r>
      <w:r>
        <w:rPr>
          <w:rFonts w:hint="eastAsia" w:ascii="仿宋" w:hAnsi="仿宋" w:eastAsia="仿宋" w:cs="仿宋"/>
          <w:b/>
          <w:bCs/>
          <w:snapToGrid w:val="0"/>
          <w:color w:val="000000"/>
          <w:spacing w:val="4"/>
          <w:kern w:val="0"/>
          <w:sz w:val="24"/>
          <w:szCs w:val="24"/>
          <w:highlight w:val="none"/>
          <w:lang w:val="en-US" w:eastAsia="zh-CN"/>
        </w:rPr>
        <w:t>风险控制</w:t>
      </w:r>
    </w:p>
    <w:p w14:paraId="6D803057">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425" w:firstLine="500" w:firstLineChars="200"/>
        <w:jc w:val="both"/>
        <w:textAlignment w:val="baseline"/>
        <w:rPr>
          <w:rFonts w:hint="eastAsia" w:ascii="仿宋" w:hAnsi="仿宋" w:eastAsia="仿宋" w:cs="仿宋"/>
          <w:spacing w:val="5"/>
          <w:sz w:val="24"/>
          <w:szCs w:val="24"/>
          <w:highlight w:val="none"/>
          <w:lang w:val="en-US" w:eastAsia="zh-CN"/>
        </w:rPr>
      </w:pPr>
      <w:r>
        <w:rPr>
          <w:rFonts w:hint="eastAsia" w:ascii="仿宋" w:hAnsi="仿宋" w:eastAsia="仿宋" w:cs="仿宋"/>
          <w:spacing w:val="5"/>
          <w:sz w:val="24"/>
          <w:szCs w:val="24"/>
          <w:highlight w:val="none"/>
          <w:lang w:val="en-US" w:eastAsia="zh-CN"/>
        </w:rPr>
        <w:t>为规避测评风险，双方应签署保密协议，明确约束行为，保护被测网络运营者的合法权益。测评前，双方应以委托协议形式明确测评目标、范围、人员组成及计划安排，预防后续分歧。现场测评时，测评机构需采取专业测试工具、充分测试前准备等措施，确保测评工作的顺利进行。</w:t>
      </w:r>
    </w:p>
    <w:p w14:paraId="536115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13" w:leftChars="0" w:right="1" w:rightChars="0" w:firstLine="625" w:firstLineChars="0"/>
        <w:jc w:val="left"/>
        <w:textAlignment w:val="baseline"/>
        <w:rPr>
          <w:rFonts w:hint="eastAsia" w:ascii="仿宋" w:hAnsi="仿宋" w:eastAsia="仿宋" w:cs="仿宋"/>
          <w:b/>
          <w:bCs/>
          <w:snapToGrid w:val="0"/>
          <w:color w:val="000000"/>
          <w:spacing w:val="4"/>
          <w:kern w:val="0"/>
          <w:sz w:val="24"/>
          <w:szCs w:val="24"/>
          <w:highlight w:val="none"/>
          <w:lang w:val="en-US" w:eastAsia="zh-CN"/>
        </w:rPr>
      </w:pPr>
      <w:r>
        <w:rPr>
          <w:rFonts w:hint="eastAsia" w:ascii="仿宋" w:hAnsi="仿宋" w:eastAsia="仿宋" w:cs="仿宋"/>
          <w:b/>
          <w:bCs/>
          <w:snapToGrid w:val="0"/>
          <w:color w:val="000000"/>
          <w:spacing w:val="4"/>
          <w:kern w:val="0"/>
          <w:sz w:val="24"/>
          <w:szCs w:val="24"/>
          <w:highlight w:val="none"/>
          <w:lang w:val="en-US" w:eastAsia="zh-CN" w:bidi="ar-SA"/>
        </w:rPr>
        <w:t>七、</w:t>
      </w:r>
      <w:r>
        <w:rPr>
          <w:rFonts w:hint="eastAsia" w:ascii="仿宋" w:hAnsi="仿宋" w:eastAsia="仿宋" w:cs="仿宋"/>
          <w:b/>
          <w:bCs/>
          <w:snapToGrid w:val="0"/>
          <w:color w:val="000000"/>
          <w:spacing w:val="4"/>
          <w:kern w:val="0"/>
          <w:sz w:val="24"/>
          <w:szCs w:val="24"/>
          <w:highlight w:val="none"/>
          <w:lang w:val="en-US" w:eastAsia="zh-CN"/>
        </w:rPr>
        <w:t>项目验收要求</w:t>
      </w:r>
    </w:p>
    <w:p w14:paraId="6EAFD18C">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425" w:firstLine="500" w:firstLineChars="200"/>
        <w:jc w:val="both"/>
        <w:textAlignment w:val="baseline"/>
        <w:rPr>
          <w:rFonts w:hint="eastAsia" w:ascii="仿宋" w:hAnsi="仿宋" w:eastAsia="仿宋" w:cs="仿宋"/>
          <w:spacing w:val="5"/>
          <w:sz w:val="24"/>
          <w:szCs w:val="24"/>
          <w:highlight w:val="none"/>
          <w:lang w:val="en-US" w:eastAsia="zh-CN"/>
        </w:rPr>
      </w:pPr>
      <w:r>
        <w:rPr>
          <w:rFonts w:hint="eastAsia" w:ascii="仿宋" w:hAnsi="仿宋" w:eastAsia="仿宋" w:cs="仿宋"/>
          <w:spacing w:val="5"/>
          <w:sz w:val="24"/>
          <w:szCs w:val="24"/>
          <w:highlight w:val="none"/>
          <w:lang w:val="en-US" w:eastAsia="zh-CN"/>
        </w:rPr>
        <w:t>供应商根据采购人的书面运维需求完成运维服务后，应按照合同及附件约定的内容进行成果交付，供应商在交付前应按本合同的要求进行内部自检，自检通过后形成所交付的文件（电子版和纸质版文档）。供应商在交付前应以书面方式或电子邮件形式通知采购人，并将运维成果交付采购人，同时根据采购人的相关工作安排和要求完成项目验收。</w:t>
      </w:r>
    </w:p>
    <w:p w14:paraId="67C70103">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425" w:firstLine="500" w:firstLineChars="200"/>
        <w:jc w:val="both"/>
        <w:textAlignment w:val="baseline"/>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4.验收内容及标准：按采购文件规定、响应文件及合同约定的条款进行验收。若 项目未通过验收，供应商应按照采购人要求进行整改，直至项目通过验收为止。</w:t>
      </w:r>
    </w:p>
    <w:p w14:paraId="1C662559">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425"/>
        <w:jc w:val="both"/>
        <w:textAlignment w:val="baseline"/>
        <w:rPr>
          <w:rFonts w:hint="eastAsia" w:ascii="仿宋" w:hAnsi="仿宋" w:eastAsia="仿宋" w:cs="仿宋"/>
          <w:b/>
          <w:bCs/>
          <w:sz w:val="28"/>
          <w:szCs w:val="28"/>
          <w:highlight w:val="none"/>
          <w:lang w:val="en-US" w:eastAsia="zh-CN"/>
        </w:rPr>
      </w:pPr>
    </w:p>
    <w:p w14:paraId="56238A56">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425"/>
        <w:jc w:val="both"/>
        <w:textAlignment w:val="baseline"/>
        <w:rPr>
          <w:rFonts w:hint="eastAsia" w:ascii="仿宋" w:hAnsi="仿宋" w:eastAsia="仿宋" w:cs="仿宋"/>
          <w:b/>
          <w:bCs/>
          <w:sz w:val="28"/>
          <w:szCs w:val="28"/>
          <w:highlight w:val="none"/>
          <w:lang w:val="en-US" w:eastAsia="zh-CN"/>
        </w:rPr>
      </w:pPr>
    </w:p>
    <w:p w14:paraId="20C70D12">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425"/>
        <w:jc w:val="both"/>
        <w:textAlignment w:val="baseline"/>
        <w:rPr>
          <w:rFonts w:hint="eastAsia" w:ascii="仿宋" w:hAnsi="仿宋" w:eastAsia="仿宋" w:cs="仿宋"/>
          <w:spacing w:val="5"/>
          <w:sz w:val="24"/>
          <w:szCs w:val="24"/>
          <w:highlight w:val="none"/>
          <w:lang w:val="en-US" w:eastAsia="zh-CN"/>
        </w:rPr>
      </w:pPr>
      <w:r>
        <w:rPr>
          <w:rFonts w:hint="eastAsia" w:ascii="仿宋" w:hAnsi="仿宋" w:eastAsia="仿宋" w:cs="仿宋"/>
          <w:b/>
          <w:bCs/>
          <w:sz w:val="28"/>
          <w:szCs w:val="28"/>
          <w:highlight w:val="none"/>
          <w:lang w:val="en-US" w:eastAsia="zh-CN"/>
        </w:rPr>
        <w:t>注：供应商须承诺完全响应采购文件《第五章 采购需求》第一节 技术要求的所有内容。提供承诺函，未提供则按无效标处理。</w:t>
      </w:r>
    </w:p>
    <w:p w14:paraId="1681731C">
      <w:pPr>
        <w:pageBreakBefore w:val="0"/>
        <w:wordWrap/>
        <w:bidi w:val="0"/>
        <w:adjustRightInd w:val="0"/>
        <w:snapToGrid w:val="0"/>
        <w:spacing w:line="560" w:lineRule="exact"/>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br w:type="page"/>
      </w:r>
    </w:p>
    <w:p w14:paraId="69B58C0F">
      <w:pPr>
        <w:pageBreakBefore w:val="0"/>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 w:hAnsi="仿宋" w:eastAsia="仿宋" w:cs="仿宋"/>
          <w:b/>
          <w:bCs w:val="0"/>
          <w:color w:val="auto"/>
          <w:sz w:val="24"/>
          <w:szCs w:val="24"/>
          <w:highlight w:val="none"/>
          <w:lang w:val="en-US" w:eastAsia="zh-CN"/>
        </w:rPr>
      </w:pPr>
      <w:ins w:id="11" w:author="木子小姐" w:date="2025-06-20T08:54:58Z">
        <w:r>
          <w:rPr>
            <w:rFonts w:hint="eastAsia" w:ascii="仿宋" w:hAnsi="仿宋" w:eastAsia="仿宋" w:cs="仿宋"/>
            <w:b/>
            <w:bCs w:val="0"/>
            <w:color w:val="auto"/>
            <w:kern w:val="2"/>
            <w:sz w:val="24"/>
            <w:szCs w:val="24"/>
            <w:highlight w:val="none"/>
            <w:lang w:val="en-US" w:eastAsia="zh-CN" w:bidi="ar-SA"/>
          </w:rPr>
          <w:t>第</w:t>
        </w:r>
      </w:ins>
      <w:ins w:id="12" w:author="木子小姐" w:date="2025-06-20T08:55:01Z">
        <w:r>
          <w:rPr>
            <w:rFonts w:hint="eastAsia" w:ascii="仿宋" w:hAnsi="仿宋" w:eastAsia="仿宋" w:cs="仿宋"/>
            <w:b/>
            <w:bCs w:val="0"/>
            <w:color w:val="auto"/>
            <w:kern w:val="2"/>
            <w:sz w:val="24"/>
            <w:szCs w:val="24"/>
            <w:highlight w:val="none"/>
            <w:lang w:val="en-US" w:eastAsia="zh-CN" w:bidi="ar-SA"/>
          </w:rPr>
          <w:t>二</w:t>
        </w:r>
      </w:ins>
      <w:ins w:id="13" w:author="木子小姐" w:date="2025-06-20T08:54:58Z">
        <w:r>
          <w:rPr>
            <w:rFonts w:hint="eastAsia" w:ascii="仿宋" w:hAnsi="仿宋" w:eastAsia="仿宋" w:cs="仿宋"/>
            <w:b/>
            <w:bCs w:val="0"/>
            <w:color w:val="auto"/>
            <w:kern w:val="2"/>
            <w:sz w:val="24"/>
            <w:szCs w:val="24"/>
            <w:highlight w:val="none"/>
            <w:lang w:val="en-US" w:eastAsia="zh-CN" w:bidi="ar-SA"/>
          </w:rPr>
          <w:t>节</w:t>
        </w:r>
      </w:ins>
      <w:ins w:id="14" w:author="梦丶初醒" w:date="2025-06-23T12:35:13Z">
        <w:r>
          <w:rPr>
            <w:rFonts w:hint="eastAsia" w:ascii="仿宋" w:hAnsi="仿宋" w:eastAsia="仿宋" w:cs="仿宋"/>
            <w:b/>
            <w:bCs w:val="0"/>
            <w:color w:val="auto"/>
            <w:kern w:val="2"/>
            <w:sz w:val="24"/>
            <w:szCs w:val="24"/>
            <w:highlight w:val="none"/>
            <w:lang w:val="en-US" w:eastAsia="zh-CN" w:bidi="ar-SA"/>
          </w:rPr>
          <w:t xml:space="preserve"> </w:t>
        </w:r>
      </w:ins>
      <w:r>
        <w:rPr>
          <w:rFonts w:hint="eastAsia" w:ascii="仿宋" w:hAnsi="仿宋" w:eastAsia="仿宋" w:cs="仿宋"/>
          <w:b/>
          <w:bCs w:val="0"/>
          <w:color w:val="auto"/>
          <w:sz w:val="24"/>
          <w:szCs w:val="24"/>
          <w:highlight w:val="none"/>
          <w:lang w:val="en-US" w:eastAsia="zh-CN"/>
        </w:rPr>
        <w:t>商务要求</w:t>
      </w:r>
    </w:p>
    <w:p w14:paraId="1178F04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82" w:firstLineChars="200"/>
        <w:jc w:val="lef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kern w:val="2"/>
          <w:sz w:val="24"/>
          <w:szCs w:val="24"/>
          <w:highlight w:val="none"/>
          <w:lang w:val="en-US" w:eastAsia="zh-CN" w:bidi="ar-SA"/>
        </w:rPr>
        <w:t>一、</w:t>
      </w:r>
      <w:r>
        <w:rPr>
          <w:rFonts w:hint="eastAsia" w:ascii="仿宋" w:hAnsi="仿宋" w:eastAsia="仿宋" w:cs="仿宋"/>
          <w:b/>
          <w:bCs w:val="0"/>
          <w:color w:val="auto"/>
          <w:sz w:val="24"/>
          <w:szCs w:val="24"/>
          <w:highlight w:val="none"/>
          <w:lang w:eastAsia="zh-CN"/>
        </w:rPr>
        <w:t>服务期及服务地点</w:t>
      </w:r>
    </w:p>
    <w:p w14:paraId="0665FB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（1）服务期：供应商中标并接到采购人通知后，90日历天内提交项目测评报告。</w:t>
      </w:r>
    </w:p>
    <w:p w14:paraId="0E16FA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）服务地点：采购人指定地点。</w:t>
      </w:r>
    </w:p>
    <w:p w14:paraId="28AD376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kern w:val="2"/>
          <w:sz w:val="24"/>
          <w:szCs w:val="24"/>
          <w:highlight w:val="none"/>
          <w:lang w:val="en-US" w:eastAsia="zh-CN" w:bidi="ar-SA"/>
        </w:rPr>
        <w:t>（3）</w:t>
      </w:r>
      <w:r>
        <w:rPr>
          <w:rFonts w:hint="eastAsia" w:ascii="仿宋" w:hAnsi="仿宋" w:eastAsia="仿宋" w:cs="仿宋"/>
          <w:bCs/>
          <w:color w:val="auto"/>
          <w:sz w:val="24"/>
          <w:szCs w:val="24"/>
          <w:highlight w:val="none"/>
          <w:lang w:eastAsia="zh-CN"/>
        </w:rPr>
        <w:t>交付方式：现场交付。</w:t>
      </w:r>
    </w:p>
    <w:p w14:paraId="5B5103B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82"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bidi="ar-SA"/>
        </w:rPr>
        <w:t>二、</w:t>
      </w:r>
      <w:r>
        <w:rPr>
          <w:rFonts w:hint="eastAsia" w:ascii="仿宋" w:hAnsi="仿宋" w:eastAsia="仿宋" w:cs="仿宋"/>
          <w:b/>
          <w:bCs w:val="0"/>
          <w:color w:val="auto"/>
          <w:sz w:val="24"/>
          <w:szCs w:val="24"/>
          <w:highlight w:val="none"/>
          <w:lang w:val="en-US" w:eastAsia="zh-CN"/>
        </w:rPr>
        <w:t>质量要求及标准</w:t>
      </w:r>
    </w:p>
    <w:p w14:paraId="25F91B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符合行业及国家相关标准、采购文件及合同要求。</w:t>
      </w:r>
    </w:p>
    <w:p w14:paraId="1F1E161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82" w:firstLineChars="20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bidi="ar-SA"/>
        </w:rPr>
        <w:t>三、</w:t>
      </w:r>
      <w:r>
        <w:rPr>
          <w:rFonts w:hint="eastAsia" w:ascii="仿宋" w:hAnsi="仿宋" w:eastAsia="仿宋" w:cs="仿宋"/>
          <w:b/>
          <w:bCs w:val="0"/>
          <w:color w:val="auto"/>
          <w:sz w:val="24"/>
          <w:szCs w:val="24"/>
          <w:highlight w:val="none"/>
          <w:lang w:val="en-US" w:eastAsia="zh-CN"/>
        </w:rPr>
        <w:t>付款方式</w:t>
      </w:r>
    </w:p>
    <w:p w14:paraId="296E96A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（1）第一次付款：签订合同后，支付至合同金额的60%的预付款。 </w:t>
      </w:r>
    </w:p>
    <w:p w14:paraId="39F03A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（2）第二次付款：满足最终验收条件，中标人提交最终验收材料，通过项目最终验收后，支付至合同金额的100%。</w:t>
      </w:r>
    </w:p>
    <w:p w14:paraId="3349EEF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四、履约保证金：详见供应商须知前附表。</w:t>
      </w:r>
    </w:p>
    <w:p w14:paraId="2A81A89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五、验收标准：</w:t>
      </w:r>
      <w:r>
        <w:rPr>
          <w:rFonts w:hint="eastAsia" w:ascii="仿宋" w:hAnsi="仿宋" w:eastAsia="仿宋" w:cs="仿宋"/>
          <w:b w:val="0"/>
          <w:bCs/>
          <w:color w:val="auto"/>
          <w:sz w:val="24"/>
          <w:szCs w:val="24"/>
          <w:highlight w:val="none"/>
          <w:lang w:val="en-US" w:eastAsia="zh-CN"/>
        </w:rPr>
        <w:t>满足</w:t>
      </w:r>
      <w:r>
        <w:rPr>
          <w:rFonts w:hint="eastAsia" w:ascii="仿宋" w:hAnsi="仿宋" w:eastAsia="仿宋" w:cs="仿宋"/>
          <w:b w:val="0"/>
          <w:bCs/>
          <w:color w:val="auto"/>
          <w:sz w:val="24"/>
          <w:szCs w:val="24"/>
          <w:highlight w:val="none"/>
          <w:lang w:eastAsia="zh-CN"/>
        </w:rPr>
        <w:t>采购人要求。</w:t>
      </w:r>
    </w:p>
    <w:p w14:paraId="07E3C36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六、投标有效期：</w:t>
      </w:r>
      <w:r>
        <w:rPr>
          <w:rFonts w:hint="eastAsia" w:ascii="仿宋" w:hAnsi="仿宋" w:eastAsia="仿宋" w:cs="仿宋"/>
          <w:b w:val="0"/>
          <w:bCs/>
          <w:color w:val="auto"/>
          <w:sz w:val="24"/>
          <w:szCs w:val="24"/>
          <w:highlight w:val="none"/>
          <w:lang w:val="en-US" w:eastAsia="zh-CN"/>
        </w:rPr>
        <w:t>投标截止时间起生效，其有效期为90日历天。</w:t>
      </w:r>
    </w:p>
    <w:p w14:paraId="6E48D086">
      <w:pPr>
        <w:pageBreakBefore w:val="0"/>
        <w:kinsoku/>
        <w:wordWrap/>
        <w:overflowPunct/>
        <w:topLinePunct w:val="0"/>
        <w:autoSpaceDE/>
        <w:autoSpaceDN/>
        <w:bidi w:val="0"/>
        <w:adjustRightInd w:val="0"/>
        <w:snapToGrid w:val="0"/>
        <w:spacing w:line="560" w:lineRule="exact"/>
        <w:ind w:left="0" w:leftChars="0"/>
        <w:textAlignment w:val="auto"/>
        <w:rPr>
          <w:ins w:id="15" w:author="梦丶初醒" w:date="2025-06-23T12:30:44Z"/>
          <w:rFonts w:hint="eastAsia" w:ascii="仿宋" w:hAnsi="仿宋" w:eastAsia="仿宋" w:cs="仿宋"/>
          <w:sz w:val="24"/>
          <w:szCs w:val="24"/>
          <w:highlight w:val="none"/>
          <w:lang w:val="en-US" w:eastAsia="zh-CN"/>
        </w:rPr>
      </w:pPr>
    </w:p>
    <w:p w14:paraId="498CC0D2">
      <w:pPr>
        <w:pageBreakBefore w:val="0"/>
        <w:kinsoku/>
        <w:wordWrap/>
        <w:overflowPunct/>
        <w:topLinePunct w:val="0"/>
        <w:autoSpaceDE/>
        <w:autoSpaceDN/>
        <w:bidi w:val="0"/>
        <w:adjustRightInd w:val="0"/>
        <w:snapToGrid w:val="0"/>
        <w:spacing w:line="560" w:lineRule="exact"/>
        <w:ind w:left="0" w:leftChars="0"/>
        <w:textAlignment w:val="auto"/>
        <w:rPr>
          <w:ins w:id="16" w:author="梦丶初醒" w:date="2025-06-23T12:30:45Z"/>
          <w:rFonts w:hint="eastAsia" w:ascii="仿宋" w:hAnsi="仿宋" w:eastAsia="仿宋" w:cs="仿宋"/>
          <w:sz w:val="24"/>
          <w:szCs w:val="24"/>
          <w:highlight w:val="none"/>
          <w:lang w:val="en-US" w:eastAsia="zh-CN"/>
        </w:rPr>
      </w:pPr>
    </w:p>
    <w:p w14:paraId="671B21A6">
      <w:pPr>
        <w:pageBreakBefore w:val="0"/>
        <w:kinsoku/>
        <w:wordWrap/>
        <w:overflowPunct/>
        <w:topLinePunct w:val="0"/>
        <w:autoSpaceDE/>
        <w:autoSpaceDN/>
        <w:bidi w:val="0"/>
        <w:adjustRightInd w:val="0"/>
        <w:snapToGrid w:val="0"/>
        <w:spacing w:line="560" w:lineRule="exact"/>
        <w:ind w:left="0" w:leftChars="0"/>
        <w:textAlignment w:val="auto"/>
        <w:rPr>
          <w:ins w:id="17" w:author="梦丶初醒" w:date="2025-06-23T12:30:45Z"/>
          <w:rFonts w:hint="eastAsia" w:ascii="仿宋" w:hAnsi="仿宋" w:eastAsia="仿宋" w:cs="仿宋"/>
          <w:color w:val="auto"/>
          <w:sz w:val="24"/>
          <w:szCs w:val="24"/>
          <w:highlight w:val="none"/>
        </w:rPr>
      </w:pPr>
      <w:ins w:id="18" w:author="梦丶初醒" w:date="2025-06-23T12:30:45Z">
        <w:r>
          <w:rPr>
            <w:rFonts w:hint="eastAsia" w:ascii="仿宋" w:hAnsi="仿宋" w:eastAsia="仿宋" w:cs="仿宋"/>
            <w:b/>
            <w:bCs/>
            <w:sz w:val="28"/>
            <w:szCs w:val="28"/>
            <w:highlight w:val="none"/>
            <w:lang w:val="en-US" w:eastAsia="zh-CN"/>
          </w:rPr>
          <w:t>注：供应商须承诺完全响应采购文件《第五章 采购需求》第二节 技术要求的所有内容。提供承诺函，未提供则按无效标处理。</w:t>
        </w:r>
      </w:ins>
    </w:p>
    <w:p w14:paraId="6D0768B3">
      <w:pPr>
        <w:pageBreakBefore w:val="0"/>
        <w:kinsoku/>
        <w:wordWrap/>
        <w:overflowPunct/>
        <w:topLinePunct w:val="0"/>
        <w:autoSpaceDE/>
        <w:autoSpaceDN/>
        <w:bidi w:val="0"/>
        <w:adjustRightInd w:val="0"/>
        <w:snapToGrid w:val="0"/>
        <w:spacing w:line="560" w:lineRule="exact"/>
        <w:ind w:left="0" w:leftChars="0"/>
        <w:textAlignment w:val="auto"/>
        <w:rPr>
          <w:rFonts w:hint="eastAsia" w:ascii="仿宋" w:hAnsi="仿宋" w:eastAsia="仿宋" w:cs="仿宋"/>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C09A1"/>
    <w:multiLevelType w:val="singleLevel"/>
    <w:tmpl w:val="9EFC09A1"/>
    <w:lvl w:ilvl="0" w:tentative="0">
      <w:start w:val="4"/>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梦丶初醒">
    <w15:presenceInfo w15:providerId="WPS Office" w15:userId="2832996982"/>
  </w15:person>
  <w15:person w15:author="木子小姐">
    <w15:presenceInfo w15:providerId="WPS Office" w15:userId="414869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65033"/>
    <w:rsid w:val="0463409D"/>
    <w:rsid w:val="7916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adjustRightInd w:val="0"/>
      <w:snapToGrid w:val="0"/>
      <w:spacing w:beforeAutospacing="0" w:afterAutospacing="0" w:line="360" w:lineRule="auto"/>
      <w:jc w:val="center"/>
      <w:outlineLvl w:val="0"/>
    </w:pPr>
    <w:rPr>
      <w:rFonts w:eastAsia="宋体"/>
      <w:b/>
      <w:sz w:val="44"/>
    </w:rPr>
  </w:style>
  <w:style w:type="paragraph" w:styleId="3">
    <w:name w:val="heading 2"/>
    <w:basedOn w:val="1"/>
    <w:next w:val="1"/>
    <w:qFormat/>
    <w:uiPriority w:val="0"/>
    <w:pPr>
      <w:keepNext/>
      <w:keepLines/>
      <w:adjustRightInd w:val="0"/>
      <w:snapToGrid w:val="0"/>
      <w:spacing w:line="360" w:lineRule="auto"/>
      <w:outlineLvl w:val="1"/>
    </w:pPr>
    <w:rPr>
      <w:rFonts w:ascii="Arial" w:hAnsi="Arial" w:eastAsia="仿宋" w:cs="Arial"/>
      <w:b/>
      <w:bCs/>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Body Text"/>
    <w:basedOn w:val="1"/>
    <w:qFormat/>
    <w:uiPriority w:val="0"/>
    <w:rPr>
      <w:rFonts w:ascii="仿宋_GB2312" w:eastAsia="仿宋_GB2312"/>
      <w:sz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日期1"/>
    <w:basedOn w:val="1"/>
    <w:next w:val="1"/>
    <w:qFormat/>
    <w:uiPriority w:val="0"/>
  </w:style>
  <w:style w:type="paragraph" w:customStyle="1" w:styleId="10">
    <w:name w:val="表格内文"/>
    <w:basedOn w:val="1"/>
    <w:qFormat/>
    <w:uiPriority w:val="0"/>
    <w:pPr>
      <w:spacing w:line="400" w:lineRule="exact"/>
    </w:pPr>
    <w:rPr>
      <w:rFonts w:ascii="Arial" w:hAnsi="Arial" w:cs="宋体"/>
      <w:kern w:val="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7289</Words>
  <Characters>7656</Characters>
  <Lines>0</Lines>
  <Paragraphs>0</Paragraphs>
  <TotalTime>0</TotalTime>
  <ScaleCrop>false</ScaleCrop>
  <LinksUpToDate>false</LinksUpToDate>
  <CharactersWithSpaces>7754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2025-07-22T06:59:00Z</dcterms:created>
  <dc:creator>木子小姐</dc:creator>
  <cp:lastModifiedBy>木子小姐</cp:lastModifiedBy>
  <dcterms:modified xsi:type="dcterms:W3CDTF">2025-07-22T07:07:07Z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0AA6890D0E21402FBC4C820521879899_11</vt:lpwstr>
  </property>
  <property fmtid="{D5CDD505-2E9C-101B-9397-08002B2CF9AE}" pid="4" name="KSOTemplateDocerSaveRecord">
    <vt:lpwstr>eyJoZGlkIjoiZTk1M2IzMWYxMjYyNzY1MjA4NDc1NmQ5NmFjZjA2YjUiLCJ1c2VySWQiOiIzNTMwMzgxODcifQ==</vt:lpwstr>
  </property>
</Properties>
</file>