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AAD81">
      <w:pPr>
        <w:pStyle w:val="2"/>
        <w:spacing w:before="249" w:line="226" w:lineRule="auto"/>
        <w:jc w:val="center"/>
        <w:rPr>
          <w:rFonts w:hint="eastAsia"/>
          <w:b/>
          <w:bCs/>
          <w:color w:val="auto"/>
          <w:spacing w:val="6"/>
          <w:sz w:val="36"/>
          <w:szCs w:val="36"/>
          <w:lang w:eastAsia="zh-CN"/>
        </w:rPr>
      </w:pPr>
      <w:r>
        <w:rPr>
          <w:rFonts w:hint="eastAsia"/>
          <w:b/>
          <w:bCs/>
          <w:color w:val="auto"/>
          <w:spacing w:val="6"/>
          <w:sz w:val="36"/>
          <w:szCs w:val="36"/>
          <w:lang w:eastAsia="zh-CN"/>
        </w:rPr>
        <w:t>贵州省独山县上荣山锑矿普查二期</w:t>
      </w:r>
    </w:p>
    <w:p w14:paraId="3F5F5ECF">
      <w:pPr>
        <w:pStyle w:val="2"/>
        <w:spacing w:before="249" w:line="226" w:lineRule="auto"/>
        <w:jc w:val="center"/>
        <w:rPr>
          <w:b/>
          <w:bCs/>
          <w:color w:val="auto"/>
          <w:sz w:val="36"/>
          <w:szCs w:val="36"/>
        </w:rPr>
      </w:pPr>
      <w:r>
        <w:rPr>
          <w:b/>
          <w:bCs/>
          <w:color w:val="auto"/>
          <w:spacing w:val="5"/>
          <w:sz w:val="36"/>
          <w:szCs w:val="36"/>
        </w:rPr>
        <w:t>需求公示</w:t>
      </w:r>
    </w:p>
    <w:p w14:paraId="70E80A3C">
      <w:pPr>
        <w:pStyle w:val="2"/>
        <w:spacing w:before="240" w:line="222" w:lineRule="auto"/>
        <w:outlineLvl w:val="0"/>
        <w:rPr>
          <w:b/>
          <w:bCs/>
          <w:color w:val="auto"/>
        </w:rPr>
      </w:pPr>
      <w:r>
        <w:rPr>
          <w:b/>
          <w:bCs/>
          <w:color w:val="auto"/>
          <w:spacing w:val="-6"/>
        </w:rPr>
        <w:t>一、项目基本情况</w:t>
      </w:r>
    </w:p>
    <w:p w14:paraId="73D39374">
      <w:pPr>
        <w:pStyle w:val="2"/>
        <w:spacing w:before="178" w:line="222" w:lineRule="auto"/>
        <w:ind w:left="16" w:firstLine="472" w:firstLineChars="200"/>
        <w:rPr>
          <w:rFonts w:hint="eastAsia"/>
          <w:b/>
          <w:bCs/>
          <w:color w:val="auto"/>
          <w:spacing w:val="-2"/>
          <w:lang w:eastAsia="zh-CN"/>
        </w:rPr>
      </w:pPr>
      <w:r>
        <w:rPr>
          <w:color w:val="auto"/>
          <w:spacing w:val="-2"/>
        </w:rPr>
        <w:t>项目名称：</w:t>
      </w:r>
      <w:r>
        <w:rPr>
          <w:rFonts w:hint="eastAsia"/>
          <w:b/>
          <w:bCs/>
          <w:color w:val="auto"/>
          <w:spacing w:val="-2"/>
          <w:lang w:eastAsia="zh-CN"/>
        </w:rPr>
        <w:t>贵州省独山县上荣山锑矿普查二期</w:t>
      </w:r>
    </w:p>
    <w:p w14:paraId="4C557309">
      <w:pPr>
        <w:pStyle w:val="2"/>
        <w:spacing w:before="178" w:line="222" w:lineRule="auto"/>
        <w:ind w:left="16" w:firstLine="464" w:firstLineChars="200"/>
        <w:rPr>
          <w:rFonts w:hint="eastAsia" w:eastAsia="仿宋"/>
          <w:b/>
          <w:bCs/>
          <w:color w:val="auto"/>
          <w:spacing w:val="-4"/>
          <w:lang w:val="en-US" w:eastAsia="zh-CN"/>
        </w:rPr>
      </w:pPr>
      <w:r>
        <w:rPr>
          <w:color w:val="auto"/>
          <w:spacing w:val="-4"/>
        </w:rPr>
        <w:t>项目编号</w:t>
      </w:r>
      <w:r>
        <w:rPr>
          <w:rFonts w:hint="eastAsia"/>
          <w:color w:val="auto"/>
          <w:spacing w:val="-4"/>
          <w:lang w:eastAsia="zh-CN"/>
        </w:rPr>
        <w:t>：</w:t>
      </w:r>
      <w:r>
        <w:rPr>
          <w:rFonts w:hint="eastAsia"/>
          <w:b/>
          <w:bCs/>
          <w:color w:val="auto"/>
          <w:spacing w:val="-4"/>
          <w:lang w:eastAsia="zh-CN"/>
        </w:rPr>
        <w:t xml:space="preserve"> GZZH-2025-6(03) </w:t>
      </w:r>
    </w:p>
    <w:p w14:paraId="72FD9E1A">
      <w:pPr>
        <w:pStyle w:val="2"/>
        <w:spacing w:before="178" w:line="222" w:lineRule="auto"/>
        <w:ind w:left="16" w:firstLine="452" w:firstLineChars="200"/>
        <w:rPr>
          <w:rFonts w:hint="eastAsia"/>
          <w:b/>
          <w:bCs/>
          <w:color w:val="auto"/>
          <w:spacing w:val="19"/>
          <w:lang w:val="en-US" w:eastAsia="zh-CN"/>
        </w:rPr>
      </w:pPr>
      <w:r>
        <w:rPr>
          <w:color w:val="auto"/>
          <w:spacing w:val="-7"/>
        </w:rPr>
        <w:t>采购方式:</w:t>
      </w:r>
      <w:r>
        <w:rPr>
          <w:rFonts w:hint="eastAsia"/>
          <w:color w:val="auto"/>
          <w:spacing w:val="-7"/>
          <w:lang w:val="en-US" w:eastAsia="zh-CN"/>
        </w:rPr>
        <w:t xml:space="preserve"> </w:t>
      </w:r>
      <w:r>
        <w:rPr>
          <w:rFonts w:hint="eastAsia"/>
          <w:b/>
          <w:bCs/>
          <w:color w:val="auto"/>
          <w:spacing w:val="19"/>
          <w:lang w:val="en-US" w:eastAsia="zh-CN"/>
        </w:rPr>
        <w:t>公开招标</w:t>
      </w:r>
    </w:p>
    <w:p w14:paraId="6AB9F1C3">
      <w:pPr>
        <w:pStyle w:val="2"/>
        <w:spacing w:before="178" w:line="222" w:lineRule="auto"/>
        <w:ind w:left="16" w:firstLine="464" w:firstLineChars="200"/>
        <w:rPr>
          <w:rFonts w:hint="eastAsia" w:eastAsia="仿宋"/>
          <w:b/>
          <w:bCs/>
          <w:color w:val="auto"/>
          <w:lang w:eastAsia="zh-CN"/>
        </w:rPr>
      </w:pPr>
      <w:r>
        <w:rPr>
          <w:color w:val="auto"/>
          <w:spacing w:val="-4"/>
        </w:rPr>
        <w:t>预算金额：</w:t>
      </w:r>
      <w:r>
        <w:rPr>
          <w:rFonts w:hint="eastAsia"/>
          <w:b/>
          <w:bCs/>
          <w:color w:val="auto"/>
          <w:spacing w:val="-4"/>
          <w:lang w:eastAsia="zh-CN"/>
        </w:rPr>
        <w:t>1907300.00元</w:t>
      </w:r>
      <w:bookmarkStart w:id="0" w:name="_GoBack"/>
      <w:bookmarkEnd w:id="0"/>
    </w:p>
    <w:p w14:paraId="25564CAB">
      <w:pPr>
        <w:pStyle w:val="2"/>
        <w:spacing w:before="180" w:line="360" w:lineRule="auto"/>
        <w:ind w:left="21" w:firstLine="464" w:firstLineChars="200"/>
        <w:rPr>
          <w:rFonts w:hint="eastAsia" w:eastAsia="仿宋"/>
          <w:b/>
          <w:bCs/>
          <w:color w:val="auto"/>
          <w:lang w:eastAsia="zh-CN"/>
        </w:rPr>
      </w:pPr>
      <w:r>
        <w:rPr>
          <w:b w:val="0"/>
          <w:bCs w:val="0"/>
          <w:color w:val="auto"/>
          <w:spacing w:val="-4"/>
        </w:rPr>
        <w:t>最高限价：</w:t>
      </w:r>
      <w:r>
        <w:rPr>
          <w:rFonts w:hint="eastAsia"/>
          <w:b/>
          <w:bCs/>
          <w:color w:val="auto"/>
          <w:spacing w:val="-4"/>
          <w:lang w:eastAsia="zh-CN"/>
        </w:rPr>
        <w:t>1907300.00元</w:t>
      </w:r>
    </w:p>
    <w:p w14:paraId="63CE87CA">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64" w:firstLineChars="200"/>
        <w:jc w:val="left"/>
        <w:textAlignment w:val="baseline"/>
        <w:rPr>
          <w:rFonts w:hint="eastAsia" w:ascii="仿宋" w:hAnsi="仿宋" w:eastAsia="仿宋" w:cs="仿宋"/>
          <w:b w:val="0"/>
          <w:bCs w:val="0"/>
          <w:snapToGrid w:val="0"/>
          <w:color w:val="auto"/>
          <w:spacing w:val="-1"/>
          <w:kern w:val="0"/>
          <w:sz w:val="24"/>
          <w:szCs w:val="24"/>
          <w:lang w:val="en-US" w:eastAsia="zh-CN" w:bidi="ar-SA"/>
        </w:rPr>
      </w:pPr>
      <w:r>
        <w:rPr>
          <w:rFonts w:ascii="仿宋" w:hAnsi="仿宋" w:eastAsia="仿宋" w:cs="仿宋"/>
          <w:b w:val="0"/>
          <w:bCs w:val="0"/>
          <w:snapToGrid w:val="0"/>
          <w:color w:val="auto"/>
          <w:spacing w:val="-4"/>
          <w:kern w:val="0"/>
          <w:sz w:val="24"/>
          <w:szCs w:val="24"/>
          <w:lang w:val="en-US" w:eastAsia="en-US" w:bidi="ar-SA"/>
        </w:rPr>
        <w:t>采购需求：</w:t>
      </w:r>
      <w:r>
        <w:rPr>
          <w:rFonts w:hint="eastAsia" w:ascii="仿宋" w:hAnsi="仿宋" w:eastAsia="仿宋" w:cs="仿宋"/>
          <w:i w:val="0"/>
          <w:iCs w:val="0"/>
          <w:caps w:val="0"/>
          <w:color w:val="000000"/>
          <w:spacing w:val="0"/>
          <w:sz w:val="28"/>
          <w:szCs w:val="28"/>
        </w:rPr>
        <w:t>2025年度钻探工作总量为850m/2孔，其中0-700m，直孔，岩石级别VI级，工作量850m/2孔；钻孔结构：开孔口径采用Φ130mm或Φ110mm，终孔口径要求≥75mm。采取率：岩心采取率不得低于75%，矿心采取率与矿层顶底板3～5m内的围岩每5m岩心采取率不能低于85%。孔深及孔斜测量：施工至25m进行第一次测斜及孔深校正，之后每100m进行一次，孔斜要求100m误差不得超过2°；在矿体顶板需进行孔深校正。班报表记录及封孔满足规范，并严格执行钻探绿色勘查规范要求。</w:t>
      </w:r>
    </w:p>
    <w:p w14:paraId="2542B4BD">
      <w:pPr>
        <w:pStyle w:val="2"/>
        <w:spacing w:before="180" w:line="360" w:lineRule="auto"/>
        <w:ind w:left="21" w:firstLine="464" w:firstLineChars="200"/>
        <w:rPr>
          <w:rFonts w:hint="eastAsia"/>
          <w:b w:val="0"/>
          <w:bCs w:val="0"/>
          <w:color w:val="auto"/>
          <w:spacing w:val="-4"/>
          <w:lang w:val="en-US" w:eastAsia="zh-CN"/>
        </w:rPr>
      </w:pPr>
      <w:r>
        <w:rPr>
          <w:rFonts w:hint="eastAsia"/>
          <w:b w:val="0"/>
          <w:bCs w:val="0"/>
          <w:color w:val="auto"/>
          <w:spacing w:val="-4"/>
          <w:lang w:val="en-US" w:eastAsia="zh-CN"/>
        </w:rPr>
        <w:t>供货期限：</w:t>
      </w:r>
      <w:r>
        <w:rPr>
          <w:rFonts w:hint="eastAsia"/>
          <w:b/>
          <w:bCs/>
          <w:color w:val="auto"/>
          <w:spacing w:val="-4"/>
          <w:u w:val="single"/>
          <w:lang w:val="en-US" w:eastAsia="zh-CN"/>
        </w:rPr>
        <w:t>一年。</w:t>
      </w:r>
    </w:p>
    <w:p w14:paraId="5C6381DF">
      <w:pPr>
        <w:pStyle w:val="2"/>
        <w:spacing w:before="180" w:line="360" w:lineRule="auto"/>
        <w:ind w:left="21" w:firstLine="464" w:firstLineChars="200"/>
        <w:rPr>
          <w:rFonts w:hint="eastAsia"/>
          <w:b w:val="0"/>
          <w:bCs w:val="0"/>
          <w:color w:val="auto"/>
          <w:spacing w:val="-4"/>
          <w:lang w:val="en-US" w:eastAsia="zh-CN"/>
        </w:rPr>
      </w:pPr>
      <w:r>
        <w:rPr>
          <w:rFonts w:hint="eastAsia"/>
          <w:b w:val="0"/>
          <w:bCs w:val="0"/>
          <w:color w:val="auto"/>
          <w:spacing w:val="-4"/>
          <w:lang w:val="en-US" w:eastAsia="zh-CN"/>
        </w:rPr>
        <w:t>供货地点：</w:t>
      </w:r>
      <w:r>
        <w:rPr>
          <w:rFonts w:hint="eastAsia"/>
          <w:b/>
          <w:bCs/>
          <w:color w:val="auto"/>
          <w:spacing w:val="-4"/>
          <w:u w:val="single"/>
          <w:lang w:val="en-US" w:eastAsia="zh-CN"/>
        </w:rPr>
        <w:t>采购人指定地点。</w:t>
      </w:r>
    </w:p>
    <w:p w14:paraId="108CF207">
      <w:pPr>
        <w:pStyle w:val="2"/>
        <w:spacing w:before="178" w:line="222" w:lineRule="auto"/>
        <w:ind w:left="15" w:firstLine="472" w:firstLineChars="200"/>
        <w:outlineLvl w:val="1"/>
        <w:rPr>
          <w:b/>
          <w:bCs/>
          <w:color w:val="auto"/>
          <w:u w:val="single"/>
        </w:rPr>
      </w:pPr>
      <w:r>
        <w:rPr>
          <w:color w:val="auto"/>
          <w:spacing w:val="-2"/>
        </w:rPr>
        <w:t>本项目（是/否）接受联合体投标</w:t>
      </w:r>
      <w:r>
        <w:rPr>
          <w:b w:val="0"/>
          <w:bCs w:val="0"/>
          <w:color w:val="auto"/>
          <w:spacing w:val="-2"/>
        </w:rPr>
        <w:t>：</w:t>
      </w:r>
      <w:r>
        <w:rPr>
          <w:b/>
          <w:bCs/>
          <w:color w:val="auto"/>
          <w:spacing w:val="-2"/>
          <w:u w:val="single"/>
        </w:rPr>
        <w:t>否</w:t>
      </w:r>
    </w:p>
    <w:p w14:paraId="50EFB5DA">
      <w:pPr>
        <w:pStyle w:val="2"/>
        <w:spacing w:before="256" w:line="220" w:lineRule="auto"/>
        <w:ind w:left="22"/>
        <w:outlineLvl w:val="0"/>
        <w:rPr>
          <w:b/>
          <w:bCs/>
          <w:color w:val="auto"/>
        </w:rPr>
      </w:pPr>
      <w:r>
        <w:rPr>
          <w:b/>
          <w:bCs/>
          <w:color w:val="auto"/>
          <w:spacing w:val="-11"/>
        </w:rPr>
        <w:t>二、申请人的资格要求：</w:t>
      </w:r>
    </w:p>
    <w:p w14:paraId="70F0ED85">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1.满足《中华人民共和国政府采购法》第二十二条规定的资格要求如下：</w:t>
      </w:r>
    </w:p>
    <w:p w14:paraId="352D5A35">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(1)法人或者其他组织的营业执照等证明文件，自然人的身份证明；</w:t>
      </w:r>
    </w:p>
    <w:p w14:paraId="2973568F">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(2)财务状况报告（经合法审计机构出具的2023或2024年度财务审计报告，或银行出具的有效的资信证明）；</w:t>
      </w:r>
    </w:p>
    <w:p w14:paraId="5245676F">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(3)依法缴纳税收（2025年任意1个月的纳税证明）和社会保障资金（2025年任意1个月的社保缴纳证明）的相关材料，纳税零申报供应商应当按照以下任意一种方式提供相应证明文件：①税务大厅零申报报表且加盖受理章；②网络申报完成截图。依法免税或不需要缴纳社保的供应商，应提供税务机关出具的依法免税的证明文件或社会保险基金管理部门出具的不需要缴纳社会保障资金的证明文件。新成立的供应商按实际的缴纳情况提交相关证明；</w:t>
      </w:r>
    </w:p>
    <w:p w14:paraId="2CD0E9F8">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(4)具备履行合同所必需的设备和专业技术能力的证明材料；</w:t>
      </w:r>
    </w:p>
    <w:p w14:paraId="61F1C31F">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(5)参加政府采购活动前3年内在经营活动中没有重大违法记录的书面声明。</w:t>
      </w:r>
    </w:p>
    <w:p w14:paraId="4CB98E95">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根据《财政部关于在政府采购活动中查询及使用信用记录有关问题的通知》（财库〔2016〕125号）规定，供应商的信用记录作为本项目资格审查的重要依据。信用记录查询渠道由采购代理机构通过“信用中国”网站（www.creditchina.gov.cn）、中国政府采购网（www.ccgp.gov.cn）查询、记录和证据留存，查询截止时点为开标当日评审前。信用信息使用规则：由代理机构对供应商信用记录进行甄别，对列入失信被执行人、重大税收违法失信主体、政府采购严重违法失信行为记录名单及其他不符合《中华人民共和国政府采购法》第二十二条规定条件的供应商，应当拒绝其参与政府采购活动。</w:t>
      </w:r>
    </w:p>
    <w:p w14:paraId="5CB31819">
      <w:pPr>
        <w:pStyle w:val="2"/>
        <w:spacing w:before="124" w:line="220" w:lineRule="auto"/>
        <w:outlineLvl w:val="0"/>
        <w:rPr>
          <w:b/>
          <w:bCs/>
          <w:color w:val="auto"/>
        </w:rPr>
      </w:pPr>
      <w:r>
        <w:rPr>
          <w:b/>
          <w:bCs/>
          <w:color w:val="auto"/>
          <w:spacing w:val="-5"/>
        </w:rPr>
        <w:t>三、对本次招标提出询问，请按以下方式联系。</w:t>
      </w:r>
    </w:p>
    <w:p w14:paraId="176799E6">
      <w:pPr>
        <w:pStyle w:val="2"/>
        <w:spacing w:before="181" w:line="222" w:lineRule="auto"/>
        <w:ind w:firstLine="466" w:firstLineChars="200"/>
        <w:rPr>
          <w:rFonts w:hint="eastAsia" w:eastAsia="仿宋"/>
          <w:b/>
          <w:bCs/>
          <w:color w:val="auto"/>
          <w:lang w:eastAsia="zh-CN"/>
        </w:rPr>
      </w:pPr>
      <w:r>
        <w:rPr>
          <w:b/>
          <w:bCs/>
          <w:color w:val="auto"/>
          <w:spacing w:val="-4"/>
        </w:rPr>
        <w:t>1.采购人信息</w:t>
      </w:r>
      <w:r>
        <w:rPr>
          <w:rFonts w:hint="eastAsia"/>
          <w:b/>
          <w:bCs/>
          <w:color w:val="auto"/>
          <w:spacing w:val="-4"/>
          <w:lang w:eastAsia="zh-CN"/>
        </w:rPr>
        <w:t>：</w:t>
      </w:r>
    </w:p>
    <w:p w14:paraId="116AFC16">
      <w:pPr>
        <w:pStyle w:val="2"/>
        <w:spacing w:before="180" w:line="221" w:lineRule="auto"/>
        <w:ind w:firstLine="472" w:firstLineChars="200"/>
        <w:rPr>
          <w:rFonts w:hint="eastAsia" w:eastAsia="仿宋"/>
          <w:color w:val="auto"/>
          <w:lang w:eastAsia="zh-CN"/>
        </w:rPr>
      </w:pPr>
      <w:r>
        <w:rPr>
          <w:color w:val="auto"/>
          <w:spacing w:val="-2"/>
        </w:rPr>
        <w:t>名</w:t>
      </w:r>
      <w:r>
        <w:rPr>
          <w:rFonts w:hint="eastAsia"/>
          <w:color w:val="auto"/>
          <w:spacing w:val="-2"/>
          <w:lang w:val="en-US" w:eastAsia="zh-CN"/>
        </w:rPr>
        <w:t xml:space="preserve"> </w:t>
      </w:r>
      <w:r>
        <w:rPr>
          <w:color w:val="auto"/>
          <w:spacing w:val="-2"/>
        </w:rPr>
        <w:t>称：</w:t>
      </w:r>
      <w:r>
        <w:rPr>
          <w:rFonts w:hint="eastAsia"/>
          <w:color w:val="auto"/>
          <w:spacing w:val="-2"/>
          <w:lang w:eastAsia="zh-CN"/>
        </w:rPr>
        <w:t>贵州省有色金属和核工业地质勘查局物化探总队</w:t>
      </w:r>
    </w:p>
    <w:p w14:paraId="472B4998">
      <w:pPr>
        <w:pStyle w:val="2"/>
        <w:spacing w:before="181" w:line="222" w:lineRule="auto"/>
        <w:ind w:firstLine="472" w:firstLineChars="200"/>
        <w:rPr>
          <w:color w:val="auto"/>
        </w:rPr>
      </w:pPr>
      <w:r>
        <w:rPr>
          <w:color w:val="auto"/>
          <w:spacing w:val="-2"/>
        </w:rPr>
        <w:t>地</w:t>
      </w:r>
      <w:r>
        <w:rPr>
          <w:rFonts w:hint="eastAsia"/>
          <w:color w:val="auto"/>
          <w:spacing w:val="-2"/>
          <w:lang w:val="en-US" w:eastAsia="zh-CN"/>
        </w:rPr>
        <w:t xml:space="preserve"> </w:t>
      </w:r>
      <w:r>
        <w:rPr>
          <w:color w:val="auto"/>
          <w:spacing w:val="-2"/>
        </w:rPr>
        <w:t>址：</w:t>
      </w:r>
      <w:r>
        <w:rPr>
          <w:rFonts w:hint="eastAsia"/>
          <w:color w:val="auto"/>
          <w:spacing w:val="-1"/>
          <w:sz w:val="24"/>
          <w:szCs w:val="24"/>
          <w:lang w:eastAsia="zh-CN"/>
        </w:rPr>
        <w:t>贵州省都匀市剑江大道北段旺福大厦7楼</w:t>
      </w:r>
    </w:p>
    <w:p w14:paraId="2FA30945">
      <w:pPr>
        <w:pStyle w:val="2"/>
        <w:spacing w:before="180" w:line="222" w:lineRule="auto"/>
        <w:ind w:firstLine="468" w:firstLineChars="200"/>
        <w:rPr>
          <w:rFonts w:hint="eastAsia" w:eastAsia="仿宋"/>
          <w:color w:val="auto"/>
          <w:lang w:eastAsia="zh-CN"/>
        </w:rPr>
      </w:pPr>
      <w:r>
        <w:rPr>
          <w:color w:val="auto"/>
          <w:spacing w:val="-3"/>
        </w:rPr>
        <w:t>联系人：</w:t>
      </w:r>
      <w:r>
        <w:rPr>
          <w:rFonts w:hint="eastAsia"/>
          <w:color w:val="auto"/>
          <w:spacing w:val="-3"/>
          <w:lang w:eastAsia="zh-CN"/>
        </w:rPr>
        <w:t>蒙院长</w:t>
      </w:r>
    </w:p>
    <w:p w14:paraId="39F24C49">
      <w:pPr>
        <w:pStyle w:val="2"/>
        <w:spacing w:before="122" w:line="223" w:lineRule="auto"/>
        <w:ind w:firstLine="476" w:firstLineChars="200"/>
        <w:rPr>
          <w:rFonts w:hint="eastAsia" w:eastAsia="仿宋"/>
          <w:color w:val="auto"/>
          <w:lang w:eastAsia="zh-CN"/>
        </w:rPr>
      </w:pPr>
      <w:r>
        <w:rPr>
          <w:color w:val="auto"/>
          <w:spacing w:val="-1"/>
        </w:rPr>
        <w:t>联系电话：</w:t>
      </w:r>
      <w:r>
        <w:rPr>
          <w:rFonts w:hint="eastAsia"/>
          <w:color w:val="auto"/>
          <w:spacing w:val="-1"/>
          <w:lang w:eastAsia="zh-CN"/>
        </w:rPr>
        <w:t>0854-7111177</w:t>
      </w:r>
    </w:p>
    <w:p w14:paraId="22E0611E">
      <w:pPr>
        <w:pStyle w:val="2"/>
        <w:spacing w:before="177" w:line="222" w:lineRule="auto"/>
        <w:ind w:firstLine="474" w:firstLineChars="200"/>
        <w:rPr>
          <w:b/>
          <w:bCs/>
          <w:color w:val="auto"/>
        </w:rPr>
      </w:pPr>
      <w:r>
        <w:rPr>
          <w:b/>
          <w:bCs/>
          <w:color w:val="auto"/>
          <w:spacing w:val="-2"/>
        </w:rPr>
        <w:t>2.采购代理机构信息</w:t>
      </w:r>
    </w:p>
    <w:p w14:paraId="33D48466">
      <w:pPr>
        <w:pStyle w:val="2"/>
        <w:spacing w:before="179" w:line="221" w:lineRule="auto"/>
        <w:ind w:firstLine="472" w:firstLineChars="200"/>
        <w:rPr>
          <w:rFonts w:hint="eastAsia" w:eastAsia="仿宋"/>
          <w:color w:val="auto"/>
          <w:lang w:eastAsia="zh-CN"/>
        </w:rPr>
      </w:pPr>
      <w:r>
        <w:rPr>
          <w:color w:val="auto"/>
          <w:spacing w:val="-2"/>
        </w:rPr>
        <w:t>名称：</w:t>
      </w:r>
      <w:r>
        <w:rPr>
          <w:rFonts w:hint="eastAsia"/>
          <w:color w:val="auto"/>
          <w:spacing w:val="-2"/>
          <w:lang w:eastAsia="zh-CN"/>
        </w:rPr>
        <w:t>贵州正航建设咨询有限公司</w:t>
      </w:r>
    </w:p>
    <w:p w14:paraId="76930004">
      <w:pPr>
        <w:pStyle w:val="2"/>
        <w:spacing w:before="177" w:line="222" w:lineRule="auto"/>
        <w:ind w:firstLine="476" w:firstLineChars="200"/>
        <w:rPr>
          <w:rFonts w:hint="eastAsia"/>
          <w:color w:val="auto"/>
          <w:spacing w:val="-1"/>
          <w:lang w:eastAsia="zh-CN"/>
        </w:rPr>
      </w:pPr>
      <w:r>
        <w:rPr>
          <w:color w:val="auto"/>
          <w:spacing w:val="-1"/>
        </w:rPr>
        <w:t>地址：</w:t>
      </w:r>
      <w:r>
        <w:rPr>
          <w:rFonts w:hint="eastAsia"/>
          <w:color w:val="auto"/>
          <w:spacing w:val="-1"/>
          <w:lang w:eastAsia="zh-CN"/>
        </w:rPr>
        <w:t>贵州省凯里市北京东路46号</w:t>
      </w:r>
    </w:p>
    <w:p w14:paraId="01E0DF7B">
      <w:pPr>
        <w:pStyle w:val="2"/>
        <w:spacing w:before="177" w:line="360" w:lineRule="auto"/>
        <w:ind w:firstLine="472" w:firstLineChars="200"/>
        <w:rPr>
          <w:rFonts w:hint="eastAsia" w:eastAsia="仿宋"/>
          <w:color w:val="auto"/>
          <w:lang w:eastAsia="zh-CN"/>
        </w:rPr>
      </w:pPr>
      <w:r>
        <w:rPr>
          <w:color w:val="auto"/>
          <w:spacing w:val="-2"/>
        </w:rPr>
        <w:t>联系人：</w:t>
      </w:r>
      <w:r>
        <w:rPr>
          <w:rFonts w:hint="eastAsia"/>
          <w:color w:val="auto"/>
          <w:spacing w:val="-2"/>
          <w:lang w:eastAsia="zh-CN"/>
        </w:rPr>
        <w:t>邱先锋、李锴、杨凯龙</w:t>
      </w:r>
    </w:p>
    <w:p w14:paraId="76DE8656">
      <w:pPr>
        <w:spacing w:line="360" w:lineRule="auto"/>
        <w:ind w:firstLine="472" w:firstLineChars="200"/>
        <w:rPr>
          <w:rFonts w:hint="eastAsia" w:ascii="仿宋" w:hAnsi="仿宋" w:eastAsia="仿宋" w:cs="仿宋"/>
          <w:snapToGrid w:val="0"/>
          <w:color w:val="auto"/>
          <w:spacing w:val="-2"/>
          <w:kern w:val="0"/>
          <w:sz w:val="24"/>
          <w:szCs w:val="24"/>
          <w:lang w:val="en-US" w:eastAsia="zh-CN" w:bidi="ar-SA"/>
        </w:rPr>
        <w:sectPr>
          <w:pgSz w:w="11906" w:h="16839"/>
          <w:pgMar w:top="1259" w:right="1417" w:bottom="1134" w:left="1417" w:header="0" w:footer="742" w:gutter="0"/>
          <w:cols w:space="720" w:num="1"/>
        </w:sectPr>
      </w:pPr>
      <w:r>
        <w:rPr>
          <w:rFonts w:hint="eastAsia" w:ascii="仿宋" w:hAnsi="仿宋" w:eastAsia="仿宋" w:cs="仿宋"/>
          <w:snapToGrid w:val="0"/>
          <w:color w:val="auto"/>
          <w:spacing w:val="-2"/>
          <w:kern w:val="0"/>
          <w:sz w:val="24"/>
          <w:szCs w:val="24"/>
          <w:lang w:val="en-US" w:eastAsia="zh-CN" w:bidi="ar-SA"/>
        </w:rPr>
        <w:t>联系方式：13308549859</w:t>
      </w:r>
    </w:p>
    <w:p w14:paraId="0A19F661">
      <w:pPr>
        <w:pStyle w:val="2"/>
        <w:spacing w:before="118" w:line="223" w:lineRule="auto"/>
        <w:ind w:left="3686"/>
        <w:rPr>
          <w:b/>
          <w:bCs/>
          <w:color w:val="auto"/>
          <w:spacing w:val="-14"/>
          <w:sz w:val="40"/>
          <w:szCs w:val="40"/>
        </w:rPr>
      </w:pPr>
      <w:r>
        <w:rPr>
          <w:b/>
          <w:bCs/>
          <w:color w:val="auto"/>
          <w:spacing w:val="-14"/>
          <w:sz w:val="40"/>
          <w:szCs w:val="40"/>
        </w:rPr>
        <w:t>采购内容</w:t>
      </w:r>
    </w:p>
    <w:p w14:paraId="572C9CDA">
      <w:pPr>
        <w:keepNext w:val="0"/>
        <w:keepLines w:val="0"/>
        <w:pageBreakBefore w:val="0"/>
        <w:widowControl/>
        <w:numPr>
          <w:numId w:val="0"/>
        </w:numPr>
        <w:kinsoku w:val="0"/>
        <w:wordWrap w:val="0"/>
        <w:overflowPunct/>
        <w:topLinePunct w:val="0"/>
        <w:autoSpaceDE/>
        <w:autoSpaceDN w:val="0"/>
        <w:bidi w:val="0"/>
        <w:adjustRightInd w:val="0"/>
        <w:snapToGrid w:val="0"/>
        <w:spacing w:line="360" w:lineRule="auto"/>
        <w:ind w:right="0" w:rightChars="0"/>
        <w:jc w:val="left"/>
        <w:textAlignment w:val="baseline"/>
        <w:rPr>
          <w:rFonts w:hint="eastAsia" w:ascii="仿宋" w:hAnsi="仿宋" w:eastAsia="仿宋" w:cs="仿宋"/>
          <w:b w:val="0"/>
          <w:bCs w:val="0"/>
          <w:snapToGrid w:val="0"/>
          <w:color w:val="auto"/>
          <w:spacing w:val="-2"/>
          <w:kern w:val="0"/>
          <w:sz w:val="24"/>
          <w:szCs w:val="24"/>
          <w:lang w:val="en-US" w:eastAsia="zh-CN" w:bidi="ar-SA"/>
        </w:rPr>
      </w:pPr>
    </w:p>
    <w:p w14:paraId="15F49D38">
      <w:pPr>
        <w:keepNext w:val="0"/>
        <w:keepLines w:val="0"/>
        <w:pageBreakBefore w:val="0"/>
        <w:widowControl/>
        <w:numPr>
          <w:ilvl w:val="0"/>
          <w:numId w:val="1"/>
        </w:numPr>
        <w:kinsoku w:val="0"/>
        <w:wordWrap w:val="0"/>
        <w:overflowPunct/>
        <w:topLinePunct w:val="0"/>
        <w:autoSpaceDE/>
        <w:autoSpaceDN w:val="0"/>
        <w:bidi w:val="0"/>
        <w:adjustRightInd w:val="0"/>
        <w:snapToGrid w:val="0"/>
        <w:spacing w:line="360" w:lineRule="auto"/>
        <w:ind w:right="0" w:firstLine="236" w:firstLineChars="1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标的物：贵州省独山县上荣山锑矿普查二期</w:t>
      </w:r>
    </w:p>
    <w:p w14:paraId="3CF24553">
      <w:pPr>
        <w:pStyle w:val="2"/>
        <w:keepNext w:val="0"/>
        <w:keepLines w:val="0"/>
        <w:pageBreakBefore w:val="0"/>
        <w:widowControl/>
        <w:kinsoku w:val="0"/>
        <w:overflowPunct/>
        <w:topLinePunct w:val="0"/>
        <w:autoSpaceDN w:val="0"/>
        <w:bidi w:val="0"/>
        <w:adjustRightInd w:val="0"/>
        <w:snapToGrid w:val="0"/>
        <w:spacing w:line="360" w:lineRule="auto"/>
        <w:ind w:right="0" w:firstLine="236" w:firstLineChars="100"/>
        <w:textAlignment w:val="baseline"/>
        <w:outlineLvl w:val="0"/>
        <w:rPr>
          <w:rFonts w:hint="eastAsia" w:ascii="仿宋" w:hAnsi="仿宋" w:eastAsia="仿宋" w:cs="仿宋"/>
          <w:b w:val="0"/>
          <w:bCs w:val="0"/>
          <w:snapToGrid w:val="0"/>
          <w:color w:val="auto"/>
          <w:spacing w:val="-2"/>
          <w:kern w:val="0"/>
          <w:sz w:val="24"/>
          <w:szCs w:val="24"/>
          <w:lang w:val="en-US" w:eastAsia="zh-CN" w:bidi="ar-SA"/>
        </w:rPr>
      </w:pPr>
      <w:r>
        <w:rPr>
          <w:rFonts w:hint="eastAsia" w:cs="仿宋"/>
          <w:b w:val="0"/>
          <w:bCs w:val="0"/>
          <w:snapToGrid w:val="0"/>
          <w:color w:val="auto"/>
          <w:spacing w:val="-2"/>
          <w:kern w:val="0"/>
          <w:sz w:val="24"/>
          <w:szCs w:val="24"/>
          <w:lang w:val="en-US" w:eastAsia="zh-CN" w:bidi="ar-SA"/>
        </w:rPr>
        <w:t>2、</w:t>
      </w:r>
      <w:r>
        <w:rPr>
          <w:rFonts w:hint="eastAsia" w:ascii="仿宋" w:hAnsi="仿宋" w:eastAsia="仿宋" w:cs="仿宋"/>
          <w:b w:val="0"/>
          <w:bCs w:val="0"/>
          <w:snapToGrid w:val="0"/>
          <w:color w:val="auto"/>
          <w:spacing w:val="-2"/>
          <w:kern w:val="0"/>
          <w:sz w:val="24"/>
          <w:szCs w:val="24"/>
          <w:lang w:val="en-US" w:eastAsia="zh-CN" w:bidi="ar-SA"/>
        </w:rPr>
        <w:t>2025年度钻探工作总量为850m/2孔，其中0-700m，直孔，岩石级别VI级，工作量850m/2孔；钻孔结构：开孔口径采用Φ130mm或Φ110mm，终孔口径要求≥75mm。采取率：岩心采取率不得低于75%，矿心采取率与矿层顶底板3～5m内的围岩每5m岩心采取率不能低于85%。孔深及孔斜测量：施工至25m进行第一次测斜及孔深校正，之后每100m进行一次，孔斜要求100m误差不得超过2°；在矿体顶板需进行孔深校正。班报表记录及封孔满足规范，并严格执行钻探绿色勘查规范要求。</w:t>
      </w:r>
    </w:p>
    <w:p w14:paraId="698F267D">
      <w:pPr>
        <w:pStyle w:val="2"/>
        <w:keepNext w:val="0"/>
        <w:keepLines w:val="0"/>
        <w:pageBreakBefore w:val="0"/>
        <w:widowControl/>
        <w:kinsoku w:val="0"/>
        <w:overflowPunct/>
        <w:topLinePunct w:val="0"/>
        <w:autoSpaceDN w:val="0"/>
        <w:bidi w:val="0"/>
        <w:adjustRightInd w:val="0"/>
        <w:snapToGrid w:val="0"/>
        <w:spacing w:line="360" w:lineRule="auto"/>
        <w:ind w:right="0" w:firstLine="210" w:firstLineChars="100"/>
        <w:textAlignment w:val="baseline"/>
        <w:outlineLvl w:val="0"/>
        <w:rPr>
          <w:rFonts w:hint="eastAsia" w:ascii="仿宋" w:hAnsi="仿宋" w:eastAsia="仿宋" w:cs="仿宋"/>
          <w:b w:val="0"/>
          <w:bCs w:val="0"/>
          <w:snapToGrid w:val="0"/>
          <w:color w:val="auto"/>
          <w:spacing w:val="-2"/>
          <w:kern w:val="0"/>
          <w:sz w:val="24"/>
          <w:szCs w:val="24"/>
          <w:lang w:val="en-US" w:eastAsia="zh-CN" w:bidi="ar-SA"/>
        </w:rPr>
      </w:pPr>
      <w:r>
        <w:rPr>
          <w:color w:val="auto"/>
          <w:spacing w:val="-15"/>
        </w:rPr>
        <w:t>3、最高限价：</w:t>
      </w:r>
      <w:r>
        <w:rPr>
          <w:rFonts w:hint="eastAsia"/>
          <w:b w:val="0"/>
          <w:bCs w:val="0"/>
          <w:color w:val="auto"/>
          <w:spacing w:val="0"/>
          <w:u w:val="none"/>
          <w:lang w:eastAsia="zh-CN"/>
        </w:rPr>
        <w:t>1907300.00元。（</w:t>
      </w:r>
      <w:r>
        <w:rPr>
          <w:b w:val="0"/>
          <w:bCs w:val="0"/>
          <w:color w:val="auto"/>
          <w:spacing w:val="0"/>
          <w:u w:val="none"/>
        </w:rPr>
        <w:t>投标报价超过最高投标限价的为无效报价</w:t>
      </w:r>
      <w:r>
        <w:rPr>
          <w:rFonts w:hint="eastAsia"/>
          <w:b w:val="0"/>
          <w:bCs w:val="0"/>
          <w:color w:val="auto"/>
          <w:spacing w:val="0"/>
          <w:u w:val="none"/>
          <w:lang w:eastAsia="zh-CN"/>
        </w:rPr>
        <w:t>）</w:t>
      </w:r>
      <w:r>
        <w:rPr>
          <w:b w:val="0"/>
          <w:bCs w:val="0"/>
          <w:color w:val="auto"/>
          <w:spacing w:val="0"/>
          <w:u w:val="none"/>
        </w:rPr>
        <w:t>。</w:t>
      </w:r>
    </w:p>
    <w:p w14:paraId="4080F1D6">
      <w:pPr>
        <w:pStyle w:val="2"/>
        <w:keepNext w:val="0"/>
        <w:keepLines w:val="0"/>
        <w:pageBreakBefore w:val="0"/>
        <w:widowControl/>
        <w:kinsoku w:val="0"/>
        <w:overflowPunct/>
        <w:topLinePunct w:val="0"/>
        <w:autoSpaceDN w:val="0"/>
        <w:bidi w:val="0"/>
        <w:adjustRightInd w:val="0"/>
        <w:snapToGrid w:val="0"/>
        <w:spacing w:before="79" w:line="240" w:lineRule="auto"/>
        <w:ind w:right="0" w:firstLine="210" w:firstLineChars="100"/>
        <w:textAlignment w:val="baseline"/>
        <w:outlineLvl w:val="0"/>
        <w:rPr>
          <w:color w:val="auto"/>
        </w:rPr>
      </w:pPr>
      <w:r>
        <w:rPr>
          <w:color w:val="auto"/>
          <w:spacing w:val="-15"/>
        </w:rPr>
        <w:t>4、供货期限：</w:t>
      </w:r>
      <w:r>
        <w:rPr>
          <w:rFonts w:hint="eastAsia"/>
          <w:b w:val="0"/>
          <w:bCs w:val="0"/>
          <w:color w:val="auto"/>
          <w:spacing w:val="-4"/>
          <w:u w:val="none"/>
          <w:lang w:val="en-US" w:eastAsia="zh-CN"/>
        </w:rPr>
        <w:t>一年</w:t>
      </w:r>
      <w:r>
        <w:rPr>
          <w:b w:val="0"/>
          <w:bCs w:val="0"/>
          <w:color w:val="auto"/>
          <w:spacing w:val="-15"/>
        </w:rPr>
        <w:t>。</w:t>
      </w:r>
    </w:p>
    <w:p w14:paraId="2D6C7464">
      <w:pPr>
        <w:pStyle w:val="2"/>
        <w:keepNext w:val="0"/>
        <w:keepLines w:val="0"/>
        <w:pageBreakBefore w:val="0"/>
        <w:widowControl/>
        <w:kinsoku w:val="0"/>
        <w:overflowPunct/>
        <w:topLinePunct w:val="0"/>
        <w:autoSpaceDN w:val="0"/>
        <w:bidi w:val="0"/>
        <w:adjustRightInd w:val="0"/>
        <w:snapToGrid w:val="0"/>
        <w:spacing w:before="78" w:line="240" w:lineRule="auto"/>
        <w:ind w:right="0" w:firstLine="210" w:firstLineChars="100"/>
        <w:textAlignment w:val="baseline"/>
        <w:outlineLvl w:val="0"/>
        <w:rPr>
          <w:b w:val="0"/>
          <w:bCs w:val="0"/>
          <w:color w:val="auto"/>
        </w:rPr>
      </w:pPr>
      <w:r>
        <w:rPr>
          <w:color w:val="auto"/>
          <w:spacing w:val="-15"/>
        </w:rPr>
        <w:t>5、供货地点：</w:t>
      </w:r>
      <w:r>
        <w:rPr>
          <w:rFonts w:hint="eastAsia"/>
          <w:b w:val="0"/>
          <w:bCs w:val="0"/>
          <w:color w:val="auto"/>
          <w:spacing w:val="-4"/>
          <w:u w:val="none"/>
          <w:lang w:val="en-US" w:eastAsia="zh-CN"/>
        </w:rPr>
        <w:t>采购人指定地点。</w:t>
      </w:r>
    </w:p>
    <w:p w14:paraId="75E7AC9E">
      <w:pPr>
        <w:pStyle w:val="2"/>
        <w:keepNext w:val="0"/>
        <w:keepLines w:val="0"/>
        <w:pageBreakBefore w:val="0"/>
        <w:widowControl/>
        <w:kinsoku w:val="0"/>
        <w:overflowPunct/>
        <w:topLinePunct w:val="0"/>
        <w:autoSpaceDN w:val="0"/>
        <w:bidi w:val="0"/>
        <w:adjustRightInd w:val="0"/>
        <w:snapToGrid w:val="0"/>
        <w:spacing w:before="79" w:line="240" w:lineRule="auto"/>
        <w:ind w:right="0" w:firstLine="230" w:firstLineChars="100"/>
        <w:textAlignment w:val="baseline"/>
        <w:outlineLvl w:val="0"/>
        <w:rPr>
          <w:color w:val="auto"/>
        </w:rPr>
      </w:pPr>
      <w:r>
        <w:rPr>
          <w:color w:val="auto"/>
          <w:spacing w:val="-5"/>
        </w:rPr>
        <w:t>6、投标供应商须承诺：若有幸中标，在领取中标（成交）通知书前足额一</w:t>
      </w:r>
      <w:r>
        <w:rPr>
          <w:color w:val="auto"/>
          <w:spacing w:val="-3"/>
        </w:rPr>
        <w:t>次性向招标代理公司支付代理服务费；</w:t>
      </w:r>
    </w:p>
    <w:p w14:paraId="236559E2">
      <w:pPr>
        <w:pStyle w:val="2"/>
        <w:keepNext w:val="0"/>
        <w:keepLines w:val="0"/>
        <w:pageBreakBefore w:val="0"/>
        <w:widowControl/>
        <w:kinsoku w:val="0"/>
        <w:overflowPunct/>
        <w:topLinePunct w:val="0"/>
        <w:autoSpaceDN w:val="0"/>
        <w:bidi w:val="0"/>
        <w:adjustRightInd w:val="0"/>
        <w:snapToGrid w:val="0"/>
        <w:spacing w:before="78" w:line="240" w:lineRule="auto"/>
        <w:ind w:right="0" w:firstLine="232" w:firstLineChars="100"/>
        <w:textAlignment w:val="baseline"/>
        <w:outlineLvl w:val="0"/>
        <w:rPr>
          <w:rFonts w:hint="default" w:eastAsia="仿宋"/>
          <w:color w:val="auto"/>
          <w:lang w:val="en-US" w:eastAsia="zh-CN"/>
        </w:rPr>
      </w:pPr>
      <w:r>
        <w:rPr>
          <w:color w:val="auto"/>
          <w:spacing w:val="-4"/>
        </w:rPr>
        <w:t>7、其他要求</w:t>
      </w:r>
      <w:r>
        <w:rPr>
          <w:rFonts w:hint="eastAsia"/>
          <w:color w:val="auto"/>
          <w:spacing w:val="-4"/>
          <w:lang w:eastAsia="zh-CN"/>
        </w:rPr>
        <w:t>：</w:t>
      </w:r>
      <w:r>
        <w:rPr>
          <w:rFonts w:hint="eastAsia"/>
          <w:color w:val="auto"/>
          <w:spacing w:val="-4"/>
          <w:lang w:val="en-US" w:eastAsia="zh-CN"/>
        </w:rPr>
        <w:t xml:space="preserve"> 无。</w:t>
      </w:r>
    </w:p>
    <w:p w14:paraId="6C92D1FF">
      <w:pPr>
        <w:spacing w:line="245" w:lineRule="auto"/>
        <w:rPr>
          <w:rFonts w:ascii="Arial"/>
          <w:color w:val="auto"/>
          <w:sz w:val="21"/>
        </w:rPr>
      </w:pPr>
    </w:p>
    <w:p w14:paraId="583706D8">
      <w:pPr>
        <w:pStyle w:val="2"/>
        <w:spacing w:before="79" w:line="223" w:lineRule="auto"/>
        <w:ind w:left="596"/>
        <w:rPr>
          <w:color w:val="auto"/>
        </w:rPr>
      </w:pPr>
      <w:r>
        <w:rPr>
          <w:b/>
          <w:bCs/>
          <w:color w:val="auto"/>
          <w:spacing w:val="-9"/>
        </w:rPr>
        <w:t>敬告</w:t>
      </w:r>
      <w:r>
        <w:rPr>
          <w:color w:val="auto"/>
          <w:spacing w:val="-9"/>
        </w:rPr>
        <w:t>：</w:t>
      </w:r>
    </w:p>
    <w:p w14:paraId="797DC37E">
      <w:pPr>
        <w:pStyle w:val="2"/>
        <w:spacing w:before="178" w:line="291" w:lineRule="auto"/>
        <w:ind w:right="292" w:firstLine="477"/>
        <w:rPr>
          <w:color w:val="auto"/>
        </w:rPr>
      </w:pPr>
      <w:r>
        <w:rPr>
          <w:color w:val="auto"/>
          <w:spacing w:val="-8"/>
        </w:rPr>
        <w:t>1.供应商承诺按国家现行的相关规范、标准以及采购项目的实际</w:t>
      </w:r>
      <w:r>
        <w:rPr>
          <w:color w:val="auto"/>
          <w:spacing w:val="-9"/>
        </w:rPr>
        <w:t>需求完成本</w:t>
      </w:r>
      <w:r>
        <w:rPr>
          <w:color w:val="auto"/>
          <w:spacing w:val="-5"/>
        </w:rPr>
        <w:t>项目的服务；</w:t>
      </w:r>
    </w:p>
    <w:p w14:paraId="5BB0F76C">
      <w:pPr>
        <w:pStyle w:val="2"/>
        <w:spacing w:before="180" w:line="291" w:lineRule="auto"/>
        <w:ind w:right="289" w:firstLine="463"/>
        <w:rPr>
          <w:color w:val="auto"/>
        </w:rPr>
      </w:pPr>
      <w:r>
        <w:rPr>
          <w:color w:val="auto"/>
          <w:spacing w:val="-8"/>
        </w:rPr>
        <w:t>2.供应商承诺完成采购全部内容，所提供的标的物质量、服务等必须满足或</w:t>
      </w:r>
      <w:r>
        <w:rPr>
          <w:color w:val="auto"/>
          <w:spacing w:val="-7"/>
        </w:rPr>
        <w:t>优于本《</w:t>
      </w:r>
      <w:r>
        <w:rPr>
          <w:rFonts w:hint="eastAsia"/>
          <w:color w:val="auto"/>
          <w:spacing w:val="-7"/>
          <w:lang w:eastAsia="zh-CN"/>
        </w:rPr>
        <w:t>采购文件</w:t>
      </w:r>
      <w:r>
        <w:rPr>
          <w:color w:val="auto"/>
          <w:spacing w:val="-7"/>
        </w:rPr>
        <w:t>》的要求；</w:t>
      </w:r>
    </w:p>
    <w:p w14:paraId="79AF2A26">
      <w:pPr>
        <w:pStyle w:val="2"/>
        <w:spacing w:before="179" w:line="291" w:lineRule="auto"/>
        <w:ind w:left="6" w:right="289" w:firstLine="458"/>
        <w:rPr>
          <w:color w:val="auto"/>
        </w:rPr>
      </w:pPr>
      <w:r>
        <w:rPr>
          <w:color w:val="auto"/>
          <w:spacing w:val="-8"/>
        </w:rPr>
        <w:t>3.供应商承诺服务规范、标准：满足相关法律法规及行业标准要求，同时符合采购人需求。</w:t>
      </w:r>
    </w:p>
    <w:p w14:paraId="6AC02339">
      <w:pPr>
        <w:spacing w:line="291" w:lineRule="auto"/>
        <w:rPr>
          <w:color w:val="auto"/>
        </w:rPr>
        <w:sectPr>
          <w:footerReference r:id="rId5" w:type="default"/>
          <w:pgSz w:w="11906" w:h="16839"/>
          <w:pgMar w:top="1440" w:right="1417" w:bottom="1134" w:left="1417" w:header="0" w:footer="742" w:gutter="0"/>
          <w:cols w:space="720" w:num="1"/>
        </w:sectPr>
      </w:pPr>
    </w:p>
    <w:p w14:paraId="6CC2B368">
      <w:pPr>
        <w:pStyle w:val="2"/>
        <w:spacing w:before="119" w:line="221" w:lineRule="auto"/>
        <w:ind w:left="3870"/>
        <w:outlineLvl w:val="0"/>
        <w:rPr>
          <w:b/>
          <w:bCs/>
          <w:color w:val="auto"/>
          <w:spacing w:val="-11"/>
          <w:sz w:val="40"/>
          <w:szCs w:val="40"/>
        </w:rPr>
      </w:pPr>
      <w:r>
        <w:rPr>
          <w:b/>
          <w:bCs/>
          <w:color w:val="auto"/>
          <w:spacing w:val="-11"/>
          <w:sz w:val="40"/>
          <w:szCs w:val="40"/>
        </w:rPr>
        <w:t>采购清单</w:t>
      </w:r>
    </w:p>
    <w:p w14:paraId="4851BF8A">
      <w:pPr>
        <w:rPr>
          <w:rFonts w:ascii="Arial"/>
          <w:color w:val="auto"/>
          <w:sz w:val="21"/>
        </w:rPr>
      </w:pPr>
    </w:p>
    <w:tbl>
      <w:tblPr>
        <w:tblStyle w:val="7"/>
        <w:tblpPr w:leftFromText="180" w:rightFromText="180" w:vertAnchor="page" w:horzAnchor="page" w:tblpX="1905" w:tblpY="3173"/>
        <w:tblOverlap w:val="never"/>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3042"/>
        <w:gridCol w:w="1127"/>
        <w:gridCol w:w="1081"/>
        <w:gridCol w:w="1170"/>
      </w:tblGrid>
      <w:tr w14:paraId="43B9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900" w:type="dxa"/>
            <w:vAlign w:val="center"/>
          </w:tcPr>
          <w:p w14:paraId="280EC6A3">
            <w:pPr>
              <w:jc w:val="center"/>
              <w:rPr>
                <w:rFonts w:hint="default" w:eastAsiaTheme="minorEastAsia"/>
                <w:b/>
                <w:bCs/>
                <w:sz w:val="28"/>
                <w:szCs w:val="36"/>
                <w:vertAlign w:val="baseline"/>
                <w:lang w:val="en-US" w:eastAsia="zh-CN"/>
              </w:rPr>
            </w:pPr>
            <w:r>
              <w:rPr>
                <w:rFonts w:hint="eastAsia"/>
                <w:b/>
                <w:bCs/>
                <w:sz w:val="28"/>
                <w:szCs w:val="36"/>
                <w:vertAlign w:val="baseline"/>
                <w:lang w:val="en-US" w:eastAsia="zh-CN"/>
              </w:rPr>
              <w:t>钻孔编号</w:t>
            </w:r>
          </w:p>
        </w:tc>
        <w:tc>
          <w:tcPr>
            <w:tcW w:w="3042" w:type="dxa"/>
            <w:vAlign w:val="center"/>
          </w:tcPr>
          <w:p w14:paraId="0494452C">
            <w:pPr>
              <w:jc w:val="center"/>
              <w:rPr>
                <w:rFonts w:hint="eastAsia" w:eastAsiaTheme="minorEastAsia"/>
                <w:b/>
                <w:bCs/>
                <w:sz w:val="28"/>
                <w:szCs w:val="36"/>
                <w:vertAlign w:val="baseline"/>
                <w:lang w:val="en-US" w:eastAsia="zh-CN"/>
              </w:rPr>
            </w:pPr>
            <w:r>
              <w:rPr>
                <w:rFonts w:hint="eastAsia"/>
                <w:b/>
                <w:bCs/>
                <w:sz w:val="28"/>
                <w:szCs w:val="36"/>
                <w:vertAlign w:val="baseline"/>
                <w:lang w:val="en-US" w:eastAsia="zh-CN"/>
              </w:rPr>
              <w:t xml:space="preserve">工作量 </w:t>
            </w:r>
            <w:r>
              <w:rPr>
                <w:rFonts w:hint="default"/>
                <w:b/>
                <w:bCs/>
                <w:sz w:val="28"/>
                <w:szCs w:val="36"/>
                <w:vertAlign w:val="baseline"/>
                <w:lang w:val="en-US" w:eastAsia="zh-CN"/>
              </w:rPr>
              <w:t xml:space="preserve"> </w:t>
            </w:r>
            <w:r>
              <w:rPr>
                <w:rFonts w:hint="eastAsia"/>
                <w:b/>
                <w:bCs/>
                <w:sz w:val="28"/>
                <w:szCs w:val="36"/>
                <w:vertAlign w:val="baseline"/>
                <w:lang w:val="en-US" w:eastAsia="zh-CN"/>
              </w:rPr>
              <w:t>（m）</w:t>
            </w:r>
          </w:p>
        </w:tc>
        <w:tc>
          <w:tcPr>
            <w:tcW w:w="1127" w:type="dxa"/>
            <w:vAlign w:val="center"/>
          </w:tcPr>
          <w:p w14:paraId="0444B452">
            <w:pPr>
              <w:jc w:val="center"/>
              <w:rPr>
                <w:rFonts w:hint="default" w:eastAsiaTheme="minorEastAsia"/>
                <w:b/>
                <w:bCs/>
                <w:sz w:val="28"/>
                <w:szCs w:val="36"/>
                <w:vertAlign w:val="baseline"/>
                <w:lang w:val="en-US" w:eastAsia="zh-CN"/>
              </w:rPr>
            </w:pPr>
            <w:r>
              <w:rPr>
                <w:rFonts w:hint="eastAsia" w:eastAsiaTheme="minorEastAsia"/>
                <w:b/>
                <w:bCs/>
                <w:sz w:val="28"/>
                <w:szCs w:val="36"/>
                <w:vertAlign w:val="baseline"/>
                <w:lang w:val="en-US" w:eastAsia="zh-CN"/>
              </w:rPr>
              <w:t xml:space="preserve">批次 </w:t>
            </w:r>
            <w:r>
              <w:rPr>
                <w:rFonts w:hint="default" w:eastAsiaTheme="minorEastAsia"/>
                <w:b/>
                <w:bCs/>
                <w:sz w:val="28"/>
                <w:szCs w:val="36"/>
                <w:vertAlign w:val="baseline"/>
                <w:lang w:val="en-US" w:eastAsia="zh-CN"/>
              </w:rPr>
              <w:t xml:space="preserve">  </w:t>
            </w:r>
          </w:p>
        </w:tc>
        <w:tc>
          <w:tcPr>
            <w:tcW w:w="1081" w:type="dxa"/>
            <w:vAlign w:val="center"/>
          </w:tcPr>
          <w:p w14:paraId="137D3249">
            <w:pPr>
              <w:jc w:val="center"/>
              <w:rPr>
                <w:rFonts w:hint="default" w:eastAsiaTheme="minorEastAsia"/>
                <w:b/>
                <w:bCs/>
                <w:sz w:val="28"/>
                <w:szCs w:val="36"/>
                <w:vertAlign w:val="baseline"/>
                <w:lang w:val="en-US" w:eastAsia="zh-CN"/>
              </w:rPr>
            </w:pPr>
          </w:p>
        </w:tc>
        <w:tc>
          <w:tcPr>
            <w:tcW w:w="1170" w:type="dxa"/>
            <w:vAlign w:val="center"/>
          </w:tcPr>
          <w:p w14:paraId="59AEB3D0">
            <w:pPr>
              <w:jc w:val="center"/>
              <w:rPr>
                <w:rFonts w:hint="default"/>
                <w:b/>
                <w:bCs/>
                <w:sz w:val="28"/>
                <w:szCs w:val="36"/>
                <w:vertAlign w:val="baseline"/>
                <w:lang w:val="en-US" w:eastAsia="zh-CN"/>
              </w:rPr>
            </w:pPr>
          </w:p>
        </w:tc>
      </w:tr>
      <w:tr w14:paraId="318F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vAlign w:val="center"/>
          </w:tcPr>
          <w:p w14:paraId="325C7163">
            <w:pPr>
              <w:jc w:val="center"/>
              <w:rPr>
                <w:sz w:val="28"/>
                <w:szCs w:val="36"/>
                <w:vertAlign w:val="baseline"/>
              </w:rPr>
            </w:pPr>
            <w:r>
              <w:rPr>
                <w:rFonts w:hint="eastAsia"/>
                <w:sz w:val="28"/>
                <w:szCs w:val="36"/>
              </w:rPr>
              <w:t>ZK0-1</w:t>
            </w:r>
          </w:p>
        </w:tc>
        <w:tc>
          <w:tcPr>
            <w:tcW w:w="3042" w:type="dxa"/>
            <w:vAlign w:val="center"/>
          </w:tcPr>
          <w:p w14:paraId="79245FE4">
            <w:pPr>
              <w:jc w:val="center"/>
              <w:rPr>
                <w:sz w:val="28"/>
                <w:szCs w:val="36"/>
                <w:vertAlign w:val="baseline"/>
              </w:rPr>
            </w:pPr>
            <w:r>
              <w:rPr>
                <w:rFonts w:hint="eastAsia"/>
                <w:sz w:val="28"/>
                <w:szCs w:val="36"/>
              </w:rPr>
              <w:t>550</w:t>
            </w:r>
          </w:p>
        </w:tc>
        <w:tc>
          <w:tcPr>
            <w:tcW w:w="1127" w:type="dxa"/>
            <w:vMerge w:val="restart"/>
            <w:vAlign w:val="center"/>
          </w:tcPr>
          <w:p w14:paraId="270F1969">
            <w:pPr>
              <w:jc w:val="center"/>
              <w:rPr>
                <w:rFonts w:hint="default" w:eastAsiaTheme="minorEastAsia"/>
                <w:sz w:val="28"/>
                <w:szCs w:val="36"/>
                <w:vertAlign w:val="baseline"/>
                <w:lang w:val="en-US" w:eastAsia="zh-CN"/>
              </w:rPr>
            </w:pPr>
            <w:r>
              <w:rPr>
                <w:rFonts w:hint="eastAsia" w:eastAsiaTheme="minorEastAsia"/>
                <w:sz w:val="28"/>
                <w:szCs w:val="36"/>
                <w:vertAlign w:val="baseline"/>
                <w:lang w:val="en-US" w:eastAsia="zh-CN"/>
              </w:rPr>
              <w:t>1</w:t>
            </w:r>
          </w:p>
        </w:tc>
        <w:tc>
          <w:tcPr>
            <w:tcW w:w="1081" w:type="dxa"/>
            <w:vMerge w:val="restart"/>
            <w:vAlign w:val="center"/>
          </w:tcPr>
          <w:p w14:paraId="7976FF33">
            <w:pPr>
              <w:jc w:val="center"/>
              <w:rPr>
                <w:sz w:val="28"/>
                <w:szCs w:val="36"/>
                <w:vertAlign w:val="baseline"/>
              </w:rPr>
            </w:pPr>
          </w:p>
        </w:tc>
        <w:tc>
          <w:tcPr>
            <w:tcW w:w="1170" w:type="dxa"/>
            <w:vMerge w:val="restart"/>
            <w:vAlign w:val="center"/>
          </w:tcPr>
          <w:p w14:paraId="3A183876">
            <w:pPr>
              <w:jc w:val="center"/>
              <w:rPr>
                <w:rFonts w:hint="eastAsia"/>
                <w:sz w:val="28"/>
                <w:szCs w:val="36"/>
              </w:rPr>
            </w:pPr>
          </w:p>
        </w:tc>
      </w:tr>
      <w:tr w14:paraId="597F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vAlign w:val="center"/>
          </w:tcPr>
          <w:p w14:paraId="518AFEAE">
            <w:pPr>
              <w:jc w:val="center"/>
              <w:rPr>
                <w:sz w:val="28"/>
                <w:szCs w:val="36"/>
                <w:vertAlign w:val="baseline"/>
              </w:rPr>
            </w:pPr>
            <w:r>
              <w:rPr>
                <w:rFonts w:hint="eastAsia"/>
                <w:sz w:val="28"/>
                <w:szCs w:val="36"/>
              </w:rPr>
              <w:t>ZK</w:t>
            </w:r>
            <w:r>
              <w:rPr>
                <w:rFonts w:hint="eastAsia"/>
                <w:sz w:val="28"/>
                <w:szCs w:val="36"/>
                <w:lang w:val="en-US" w:eastAsia="zh-CN"/>
              </w:rPr>
              <w:t>9</w:t>
            </w:r>
            <w:r>
              <w:rPr>
                <w:rFonts w:hint="eastAsia"/>
                <w:sz w:val="28"/>
                <w:szCs w:val="36"/>
              </w:rPr>
              <w:t>-1</w:t>
            </w:r>
          </w:p>
        </w:tc>
        <w:tc>
          <w:tcPr>
            <w:tcW w:w="3042" w:type="dxa"/>
            <w:vAlign w:val="center"/>
          </w:tcPr>
          <w:p w14:paraId="4C19C206">
            <w:pPr>
              <w:jc w:val="center"/>
              <w:rPr>
                <w:rFonts w:hint="eastAsia"/>
                <w:sz w:val="28"/>
                <w:szCs w:val="36"/>
              </w:rPr>
            </w:pPr>
            <w:r>
              <w:rPr>
                <w:rFonts w:hint="eastAsia"/>
                <w:sz w:val="28"/>
                <w:szCs w:val="36"/>
              </w:rPr>
              <w:t>550</w:t>
            </w:r>
          </w:p>
        </w:tc>
        <w:tc>
          <w:tcPr>
            <w:tcW w:w="1127" w:type="dxa"/>
            <w:vMerge w:val="continue"/>
            <w:vAlign w:val="center"/>
          </w:tcPr>
          <w:p w14:paraId="6EEB4ACF">
            <w:pPr>
              <w:jc w:val="center"/>
              <w:rPr>
                <w:sz w:val="28"/>
                <w:szCs w:val="36"/>
                <w:vertAlign w:val="baseline"/>
              </w:rPr>
            </w:pPr>
          </w:p>
        </w:tc>
        <w:tc>
          <w:tcPr>
            <w:tcW w:w="1081" w:type="dxa"/>
            <w:vMerge w:val="continue"/>
            <w:vAlign w:val="center"/>
          </w:tcPr>
          <w:p w14:paraId="0D446D66">
            <w:pPr>
              <w:jc w:val="center"/>
              <w:rPr>
                <w:sz w:val="28"/>
                <w:szCs w:val="36"/>
                <w:vertAlign w:val="baseline"/>
              </w:rPr>
            </w:pPr>
          </w:p>
        </w:tc>
        <w:tc>
          <w:tcPr>
            <w:tcW w:w="1170" w:type="dxa"/>
            <w:vMerge w:val="continue"/>
            <w:vAlign w:val="center"/>
          </w:tcPr>
          <w:p w14:paraId="144912EB">
            <w:pPr>
              <w:jc w:val="center"/>
              <w:rPr>
                <w:sz w:val="28"/>
                <w:szCs w:val="36"/>
                <w:vertAlign w:val="baseline"/>
              </w:rPr>
            </w:pPr>
          </w:p>
        </w:tc>
      </w:tr>
      <w:tr w14:paraId="1943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vAlign w:val="center"/>
          </w:tcPr>
          <w:p w14:paraId="0020982E">
            <w:pPr>
              <w:jc w:val="center"/>
              <w:rPr>
                <w:sz w:val="28"/>
                <w:szCs w:val="36"/>
                <w:vertAlign w:val="baseline"/>
              </w:rPr>
            </w:pPr>
            <w:r>
              <w:rPr>
                <w:rFonts w:hint="eastAsia"/>
                <w:sz w:val="28"/>
                <w:szCs w:val="36"/>
                <w:lang w:val="en-US" w:eastAsia="zh-CN"/>
              </w:rPr>
              <w:t>Z</w:t>
            </w:r>
            <w:r>
              <w:rPr>
                <w:rFonts w:hint="eastAsia"/>
                <w:sz w:val="28"/>
                <w:szCs w:val="36"/>
              </w:rPr>
              <w:t>K17-1</w:t>
            </w:r>
          </w:p>
        </w:tc>
        <w:tc>
          <w:tcPr>
            <w:tcW w:w="3042" w:type="dxa"/>
            <w:vAlign w:val="center"/>
          </w:tcPr>
          <w:p w14:paraId="40FE5B9C">
            <w:pPr>
              <w:jc w:val="center"/>
              <w:rPr>
                <w:rFonts w:hint="eastAsia"/>
                <w:sz w:val="28"/>
                <w:szCs w:val="36"/>
              </w:rPr>
            </w:pPr>
            <w:r>
              <w:rPr>
                <w:rFonts w:hint="eastAsia"/>
                <w:sz w:val="28"/>
                <w:szCs w:val="36"/>
              </w:rPr>
              <w:t>550</w:t>
            </w:r>
          </w:p>
        </w:tc>
        <w:tc>
          <w:tcPr>
            <w:tcW w:w="1127" w:type="dxa"/>
            <w:vMerge w:val="continue"/>
            <w:vAlign w:val="center"/>
          </w:tcPr>
          <w:p w14:paraId="26891E5C">
            <w:pPr>
              <w:jc w:val="center"/>
              <w:rPr>
                <w:sz w:val="28"/>
                <w:szCs w:val="36"/>
                <w:vertAlign w:val="baseline"/>
              </w:rPr>
            </w:pPr>
          </w:p>
        </w:tc>
        <w:tc>
          <w:tcPr>
            <w:tcW w:w="1081" w:type="dxa"/>
            <w:vMerge w:val="continue"/>
            <w:vAlign w:val="center"/>
          </w:tcPr>
          <w:p w14:paraId="596AC8C6">
            <w:pPr>
              <w:jc w:val="center"/>
              <w:rPr>
                <w:sz w:val="28"/>
                <w:szCs w:val="36"/>
                <w:vertAlign w:val="baseline"/>
              </w:rPr>
            </w:pPr>
          </w:p>
        </w:tc>
        <w:tc>
          <w:tcPr>
            <w:tcW w:w="1170" w:type="dxa"/>
            <w:vMerge w:val="continue"/>
            <w:vAlign w:val="center"/>
          </w:tcPr>
          <w:p w14:paraId="4E14345F">
            <w:pPr>
              <w:jc w:val="center"/>
              <w:rPr>
                <w:sz w:val="28"/>
                <w:szCs w:val="36"/>
                <w:vertAlign w:val="baseline"/>
              </w:rPr>
            </w:pPr>
          </w:p>
        </w:tc>
      </w:tr>
      <w:tr w14:paraId="1FAF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vAlign w:val="center"/>
          </w:tcPr>
          <w:p w14:paraId="18FF3A31">
            <w:pPr>
              <w:jc w:val="center"/>
              <w:rPr>
                <w:sz w:val="28"/>
                <w:szCs w:val="36"/>
                <w:vertAlign w:val="baseline"/>
              </w:rPr>
            </w:pPr>
            <w:r>
              <w:rPr>
                <w:rFonts w:hint="eastAsia"/>
                <w:sz w:val="28"/>
                <w:szCs w:val="36"/>
              </w:rPr>
              <w:t>ZK56-1</w:t>
            </w:r>
          </w:p>
        </w:tc>
        <w:tc>
          <w:tcPr>
            <w:tcW w:w="3042" w:type="dxa"/>
            <w:vAlign w:val="center"/>
          </w:tcPr>
          <w:p w14:paraId="47B27607">
            <w:pPr>
              <w:jc w:val="center"/>
              <w:rPr>
                <w:rFonts w:hint="eastAsia"/>
                <w:sz w:val="28"/>
                <w:szCs w:val="36"/>
              </w:rPr>
            </w:pPr>
            <w:r>
              <w:rPr>
                <w:rFonts w:hint="eastAsia"/>
                <w:sz w:val="28"/>
                <w:szCs w:val="36"/>
              </w:rPr>
              <w:t>500</w:t>
            </w:r>
          </w:p>
        </w:tc>
        <w:tc>
          <w:tcPr>
            <w:tcW w:w="1127" w:type="dxa"/>
            <w:vMerge w:val="continue"/>
            <w:vAlign w:val="center"/>
          </w:tcPr>
          <w:p w14:paraId="09764B33">
            <w:pPr>
              <w:jc w:val="center"/>
              <w:rPr>
                <w:sz w:val="28"/>
                <w:szCs w:val="36"/>
                <w:vertAlign w:val="baseline"/>
              </w:rPr>
            </w:pPr>
          </w:p>
        </w:tc>
        <w:tc>
          <w:tcPr>
            <w:tcW w:w="1081" w:type="dxa"/>
            <w:vMerge w:val="continue"/>
            <w:vAlign w:val="center"/>
          </w:tcPr>
          <w:p w14:paraId="1ECE36F7">
            <w:pPr>
              <w:jc w:val="center"/>
              <w:rPr>
                <w:sz w:val="28"/>
                <w:szCs w:val="36"/>
                <w:vertAlign w:val="baseline"/>
              </w:rPr>
            </w:pPr>
          </w:p>
        </w:tc>
        <w:tc>
          <w:tcPr>
            <w:tcW w:w="1170" w:type="dxa"/>
            <w:vMerge w:val="continue"/>
            <w:vAlign w:val="center"/>
          </w:tcPr>
          <w:p w14:paraId="17D20FE4">
            <w:pPr>
              <w:jc w:val="center"/>
              <w:rPr>
                <w:sz w:val="28"/>
                <w:szCs w:val="36"/>
                <w:vertAlign w:val="baseline"/>
              </w:rPr>
            </w:pPr>
          </w:p>
        </w:tc>
      </w:tr>
      <w:tr w14:paraId="40AE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vAlign w:val="center"/>
          </w:tcPr>
          <w:p w14:paraId="51B9D18B">
            <w:pPr>
              <w:jc w:val="center"/>
              <w:rPr>
                <w:rFonts w:hint="eastAsia"/>
                <w:sz w:val="28"/>
                <w:szCs w:val="36"/>
              </w:rPr>
            </w:pPr>
            <w:r>
              <w:rPr>
                <w:rFonts w:hint="eastAsia"/>
                <w:sz w:val="28"/>
                <w:szCs w:val="36"/>
              </w:rPr>
              <w:t>ZK0-5</w:t>
            </w:r>
          </w:p>
        </w:tc>
        <w:tc>
          <w:tcPr>
            <w:tcW w:w="3042" w:type="dxa"/>
            <w:vAlign w:val="center"/>
          </w:tcPr>
          <w:p w14:paraId="763B9A1F">
            <w:pPr>
              <w:jc w:val="center"/>
              <w:rPr>
                <w:rFonts w:hint="default"/>
                <w:sz w:val="28"/>
                <w:szCs w:val="36"/>
                <w:lang w:val="en-US" w:eastAsia="zh-CN"/>
              </w:rPr>
            </w:pPr>
            <w:r>
              <w:rPr>
                <w:rFonts w:hint="eastAsia"/>
                <w:sz w:val="28"/>
                <w:szCs w:val="36"/>
                <w:lang w:val="en-US" w:eastAsia="zh-CN"/>
              </w:rPr>
              <w:t>650</w:t>
            </w:r>
          </w:p>
        </w:tc>
        <w:tc>
          <w:tcPr>
            <w:tcW w:w="1127" w:type="dxa"/>
            <w:vMerge w:val="restart"/>
            <w:vAlign w:val="center"/>
          </w:tcPr>
          <w:p w14:paraId="6EC7AA81">
            <w:pPr>
              <w:jc w:val="center"/>
              <w:rPr>
                <w:rFonts w:hint="eastAsia" w:eastAsia="宋体"/>
                <w:sz w:val="28"/>
                <w:szCs w:val="36"/>
                <w:vertAlign w:val="baseline"/>
                <w:lang w:val="en-US" w:eastAsia="zh-CN"/>
              </w:rPr>
            </w:pPr>
            <w:r>
              <w:rPr>
                <w:rFonts w:hint="eastAsia"/>
                <w:sz w:val="28"/>
                <w:szCs w:val="36"/>
                <w:vertAlign w:val="baseline"/>
                <w:lang w:val="en-US" w:eastAsia="zh-CN"/>
              </w:rPr>
              <w:t>2</w:t>
            </w:r>
          </w:p>
        </w:tc>
        <w:tc>
          <w:tcPr>
            <w:tcW w:w="1081" w:type="dxa"/>
            <w:vMerge w:val="continue"/>
            <w:vAlign w:val="center"/>
          </w:tcPr>
          <w:p w14:paraId="4860B0E0">
            <w:pPr>
              <w:jc w:val="center"/>
              <w:rPr>
                <w:sz w:val="28"/>
                <w:szCs w:val="36"/>
                <w:vertAlign w:val="baseline"/>
              </w:rPr>
            </w:pPr>
          </w:p>
        </w:tc>
        <w:tc>
          <w:tcPr>
            <w:tcW w:w="1170" w:type="dxa"/>
            <w:vMerge w:val="continue"/>
            <w:vAlign w:val="center"/>
          </w:tcPr>
          <w:p w14:paraId="12A57869">
            <w:pPr>
              <w:jc w:val="center"/>
              <w:rPr>
                <w:sz w:val="28"/>
                <w:szCs w:val="36"/>
                <w:vertAlign w:val="baseline"/>
              </w:rPr>
            </w:pPr>
          </w:p>
        </w:tc>
      </w:tr>
      <w:tr w14:paraId="0BCA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00" w:type="dxa"/>
            <w:vAlign w:val="center"/>
          </w:tcPr>
          <w:p w14:paraId="02B92D0E">
            <w:pPr>
              <w:jc w:val="center"/>
              <w:rPr>
                <w:rFonts w:hint="eastAsia"/>
                <w:sz w:val="28"/>
                <w:szCs w:val="36"/>
              </w:rPr>
            </w:pPr>
            <w:r>
              <w:rPr>
                <w:rFonts w:hint="eastAsia"/>
                <w:sz w:val="28"/>
                <w:szCs w:val="36"/>
              </w:rPr>
              <w:t>ZK9-5</w:t>
            </w:r>
          </w:p>
        </w:tc>
        <w:tc>
          <w:tcPr>
            <w:tcW w:w="3042" w:type="dxa"/>
            <w:vAlign w:val="center"/>
          </w:tcPr>
          <w:p w14:paraId="7167350C">
            <w:pPr>
              <w:jc w:val="center"/>
              <w:rPr>
                <w:rFonts w:hint="default"/>
                <w:sz w:val="28"/>
                <w:szCs w:val="36"/>
                <w:lang w:val="en-US" w:eastAsia="zh-CN"/>
              </w:rPr>
            </w:pPr>
            <w:r>
              <w:rPr>
                <w:rFonts w:hint="eastAsia"/>
                <w:sz w:val="28"/>
                <w:szCs w:val="36"/>
                <w:lang w:val="en-US" w:eastAsia="zh-CN"/>
              </w:rPr>
              <w:t>200</w:t>
            </w:r>
          </w:p>
        </w:tc>
        <w:tc>
          <w:tcPr>
            <w:tcW w:w="1127" w:type="dxa"/>
            <w:vMerge w:val="continue"/>
            <w:vAlign w:val="center"/>
          </w:tcPr>
          <w:p w14:paraId="3088A24B">
            <w:pPr>
              <w:jc w:val="center"/>
              <w:rPr>
                <w:sz w:val="28"/>
                <w:szCs w:val="36"/>
                <w:vertAlign w:val="baseline"/>
              </w:rPr>
            </w:pPr>
          </w:p>
        </w:tc>
        <w:tc>
          <w:tcPr>
            <w:tcW w:w="1081" w:type="dxa"/>
            <w:vMerge w:val="continue"/>
            <w:vAlign w:val="center"/>
          </w:tcPr>
          <w:p w14:paraId="5DB23A94">
            <w:pPr>
              <w:jc w:val="center"/>
              <w:rPr>
                <w:sz w:val="28"/>
                <w:szCs w:val="36"/>
                <w:vertAlign w:val="baseline"/>
              </w:rPr>
            </w:pPr>
          </w:p>
        </w:tc>
        <w:tc>
          <w:tcPr>
            <w:tcW w:w="1170" w:type="dxa"/>
            <w:vMerge w:val="continue"/>
            <w:vAlign w:val="center"/>
          </w:tcPr>
          <w:p w14:paraId="3CD55D21">
            <w:pPr>
              <w:jc w:val="center"/>
              <w:rPr>
                <w:sz w:val="28"/>
                <w:szCs w:val="36"/>
                <w:vertAlign w:val="baseline"/>
              </w:rPr>
            </w:pPr>
          </w:p>
        </w:tc>
      </w:tr>
      <w:tr w14:paraId="64F7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vAlign w:val="center"/>
          </w:tcPr>
          <w:p w14:paraId="5284E8DE">
            <w:pPr>
              <w:jc w:val="center"/>
              <w:rPr>
                <w:b/>
                <w:bCs/>
                <w:color w:val="0000FF"/>
                <w:sz w:val="28"/>
                <w:szCs w:val="36"/>
                <w:vertAlign w:val="baseline"/>
              </w:rPr>
            </w:pPr>
          </w:p>
        </w:tc>
        <w:tc>
          <w:tcPr>
            <w:tcW w:w="3042" w:type="dxa"/>
            <w:vAlign w:val="center"/>
          </w:tcPr>
          <w:p w14:paraId="4C88C08B">
            <w:pPr>
              <w:jc w:val="center"/>
              <w:rPr>
                <w:rFonts w:hint="default" w:eastAsia="宋体"/>
                <w:b/>
                <w:bCs/>
                <w:color w:val="0000FF"/>
                <w:sz w:val="28"/>
                <w:szCs w:val="36"/>
                <w:vertAlign w:val="baseline"/>
                <w:lang w:val="en-US" w:eastAsia="zh-CN"/>
              </w:rPr>
            </w:pPr>
            <w:r>
              <w:rPr>
                <w:rFonts w:hint="eastAsia"/>
                <w:sz w:val="28"/>
                <w:szCs w:val="36"/>
                <w:lang w:val="en-US" w:eastAsia="zh-CN"/>
              </w:rPr>
              <w:t>3000</w:t>
            </w:r>
          </w:p>
        </w:tc>
        <w:tc>
          <w:tcPr>
            <w:tcW w:w="1127" w:type="dxa"/>
            <w:vMerge w:val="continue"/>
            <w:vAlign w:val="center"/>
          </w:tcPr>
          <w:p w14:paraId="7DAC57ED">
            <w:pPr>
              <w:jc w:val="center"/>
              <w:rPr>
                <w:sz w:val="28"/>
                <w:szCs w:val="36"/>
                <w:vertAlign w:val="baseline"/>
              </w:rPr>
            </w:pPr>
          </w:p>
        </w:tc>
        <w:tc>
          <w:tcPr>
            <w:tcW w:w="1081" w:type="dxa"/>
            <w:vMerge w:val="continue"/>
            <w:vAlign w:val="center"/>
          </w:tcPr>
          <w:p w14:paraId="24F8A444">
            <w:pPr>
              <w:jc w:val="center"/>
              <w:rPr>
                <w:sz w:val="28"/>
                <w:szCs w:val="36"/>
                <w:vertAlign w:val="baseline"/>
              </w:rPr>
            </w:pPr>
          </w:p>
        </w:tc>
        <w:tc>
          <w:tcPr>
            <w:tcW w:w="1170" w:type="dxa"/>
            <w:vMerge w:val="continue"/>
            <w:vAlign w:val="center"/>
          </w:tcPr>
          <w:p w14:paraId="7C39ED06">
            <w:pPr>
              <w:jc w:val="center"/>
              <w:rPr>
                <w:sz w:val="28"/>
                <w:szCs w:val="36"/>
                <w:vertAlign w:val="baseline"/>
              </w:rPr>
            </w:pPr>
          </w:p>
        </w:tc>
      </w:tr>
    </w:tbl>
    <w:p w14:paraId="7EBA6DDA">
      <w:pPr>
        <w:rPr>
          <w:rFonts w:ascii="Arial" w:hAnsi="Arial" w:eastAsia="Arial" w:cs="Arial"/>
          <w:color w:val="auto"/>
          <w:sz w:val="21"/>
          <w:szCs w:val="21"/>
        </w:rPr>
        <w:sectPr>
          <w:footerReference r:id="rId6" w:type="default"/>
          <w:pgSz w:w="11906" w:h="16839"/>
          <w:pgMar w:top="1431" w:right="774" w:bottom="976" w:left="1309" w:header="0" w:footer="742" w:gutter="0"/>
          <w:cols w:space="720" w:num="1"/>
        </w:sectPr>
      </w:pPr>
    </w:p>
    <w:p w14:paraId="4C98E32E">
      <w:pPr>
        <w:pStyle w:val="2"/>
        <w:spacing w:before="118" w:line="240" w:lineRule="auto"/>
        <w:ind w:left="3472"/>
        <w:outlineLvl w:val="1"/>
        <w:rPr>
          <w:color w:val="auto"/>
          <w:sz w:val="40"/>
          <w:szCs w:val="40"/>
        </w:rPr>
      </w:pPr>
      <w:r>
        <w:rPr>
          <w:b/>
          <w:bCs/>
          <w:color w:val="auto"/>
          <w:spacing w:val="-12"/>
          <w:sz w:val="40"/>
          <w:szCs w:val="40"/>
        </w:rPr>
        <w:t>评标办法</w:t>
      </w:r>
    </w:p>
    <w:p w14:paraId="7FFEE117">
      <w:pPr>
        <w:pStyle w:val="2"/>
        <w:spacing w:before="91" w:line="360" w:lineRule="auto"/>
        <w:ind w:firstLine="556" w:firstLineChars="200"/>
        <w:jc w:val="both"/>
        <w:rPr>
          <w:color w:val="auto"/>
          <w:sz w:val="28"/>
          <w:szCs w:val="28"/>
        </w:rPr>
      </w:pPr>
      <w:r>
        <w:rPr>
          <w:color w:val="auto"/>
          <w:spacing w:val="-1"/>
          <w:sz w:val="28"/>
          <w:szCs w:val="28"/>
        </w:rPr>
        <w:t>本次招标采用</w:t>
      </w:r>
      <w:r>
        <w:rPr>
          <w:b/>
          <w:bCs/>
          <w:color w:val="auto"/>
          <w:spacing w:val="-1"/>
          <w:sz w:val="28"/>
          <w:szCs w:val="28"/>
          <w:u w:val="single"/>
        </w:rPr>
        <w:t>100分制综合评分法</w:t>
      </w:r>
      <w:r>
        <w:rPr>
          <w:color w:val="auto"/>
          <w:spacing w:val="-1"/>
          <w:sz w:val="28"/>
          <w:szCs w:val="28"/>
        </w:rPr>
        <w:t>，由评标委员会现场按照“在最大限度地满足</w:t>
      </w:r>
      <w:r>
        <w:rPr>
          <w:rFonts w:hint="eastAsia"/>
          <w:color w:val="auto"/>
          <w:spacing w:val="-1"/>
          <w:sz w:val="28"/>
          <w:szCs w:val="28"/>
          <w:lang w:eastAsia="zh-CN"/>
        </w:rPr>
        <w:t>采购文件</w:t>
      </w:r>
      <w:r>
        <w:rPr>
          <w:color w:val="auto"/>
          <w:spacing w:val="-1"/>
          <w:sz w:val="28"/>
          <w:szCs w:val="28"/>
        </w:rPr>
        <w:t>实质性要求前提下，按照</w:t>
      </w:r>
      <w:r>
        <w:rPr>
          <w:rFonts w:hint="eastAsia"/>
          <w:color w:val="auto"/>
          <w:spacing w:val="-1"/>
          <w:sz w:val="28"/>
          <w:szCs w:val="28"/>
          <w:lang w:eastAsia="zh-CN"/>
        </w:rPr>
        <w:t>采购文件</w:t>
      </w:r>
      <w:r>
        <w:rPr>
          <w:color w:val="auto"/>
          <w:spacing w:val="-1"/>
          <w:sz w:val="28"/>
          <w:szCs w:val="28"/>
        </w:rPr>
        <w:t>中规定的各项因素进行综合评审后，以评标总得分最高的投标人作为中标候选供</w:t>
      </w:r>
      <w:r>
        <w:rPr>
          <w:color w:val="auto"/>
          <w:spacing w:val="-2"/>
          <w:sz w:val="28"/>
          <w:szCs w:val="28"/>
        </w:rPr>
        <w:t>应商或者中标供应商”(财政部87号令第</w:t>
      </w:r>
      <w:r>
        <w:rPr>
          <w:color w:val="auto"/>
          <w:spacing w:val="-3"/>
          <w:sz w:val="28"/>
          <w:szCs w:val="28"/>
        </w:rPr>
        <w:t>五十五条)的原则确定中标候</w:t>
      </w:r>
      <w:r>
        <w:rPr>
          <w:color w:val="auto"/>
          <w:spacing w:val="-6"/>
          <w:sz w:val="28"/>
          <w:szCs w:val="28"/>
        </w:rPr>
        <w:t>选人。</w:t>
      </w:r>
    </w:p>
    <w:sectPr>
      <w:footerReference r:id="rId7" w:type="default"/>
      <w:pgSz w:w="11906" w:h="16839"/>
      <w:pgMar w:top="1431" w:right="1686" w:bottom="976" w:left="1708" w:header="0" w:footer="7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E8F10">
    <w:pPr>
      <w:spacing w:line="229" w:lineRule="auto"/>
      <w:ind w:left="4213"/>
      <w:rPr>
        <w:rFonts w:ascii="宋体" w:hAnsi="宋体" w:eastAsia="宋体" w:cs="宋体"/>
        <w:sz w:val="18"/>
        <w:szCs w:val="18"/>
      </w:rPr>
    </w:pPr>
    <w:r>
      <w:rPr>
        <w:rFonts w:ascii="宋体" w:hAnsi="宋体" w:eastAsia="宋体" w:cs="宋体"/>
        <w:sz w:val="18"/>
        <w:szCs w:val="18"/>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4A37D">
    <w:pPr>
      <w:spacing w:line="229" w:lineRule="auto"/>
      <w:ind w:left="4608"/>
      <w:rPr>
        <w:rFonts w:ascii="宋体" w:hAnsi="宋体" w:eastAsia="宋体" w:cs="宋体"/>
        <w:sz w:val="18"/>
        <w:szCs w:val="18"/>
      </w:rPr>
    </w:pPr>
    <w:r>
      <w:rPr>
        <w:rFonts w:ascii="宋体" w:hAnsi="宋体" w:eastAsia="宋体" w:cs="宋体"/>
        <w:sz w:val="18"/>
        <w:szCs w:val="1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B70E2">
    <w:pPr>
      <w:spacing w:line="229" w:lineRule="auto"/>
      <w:ind w:left="4211"/>
      <w:rPr>
        <w:rFonts w:ascii="宋体" w:hAnsi="宋体" w:eastAsia="宋体" w:cs="宋体"/>
        <w:sz w:val="18"/>
        <w:szCs w:val="18"/>
      </w:rPr>
    </w:pPr>
    <w:r>
      <w:rPr>
        <w:rFonts w:ascii="宋体" w:hAnsi="宋体" w:eastAsia="宋体" w:cs="宋体"/>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C942E8"/>
    <w:multiLevelType w:val="singleLevel"/>
    <w:tmpl w:val="37C942E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8306705"/>
    <w:rsid w:val="084E0BDA"/>
    <w:rsid w:val="08DD72D9"/>
    <w:rsid w:val="0CC2164E"/>
    <w:rsid w:val="0EC37C27"/>
    <w:rsid w:val="10857571"/>
    <w:rsid w:val="126637EB"/>
    <w:rsid w:val="18C4126B"/>
    <w:rsid w:val="1A4D1765"/>
    <w:rsid w:val="1F7B7A67"/>
    <w:rsid w:val="214B2529"/>
    <w:rsid w:val="22D622C7"/>
    <w:rsid w:val="24AF39DE"/>
    <w:rsid w:val="3960519A"/>
    <w:rsid w:val="3BD7494C"/>
    <w:rsid w:val="3E810C2A"/>
    <w:rsid w:val="4234240F"/>
    <w:rsid w:val="42FC1762"/>
    <w:rsid w:val="4C55339E"/>
    <w:rsid w:val="51695F30"/>
    <w:rsid w:val="540B7773"/>
    <w:rsid w:val="562E3449"/>
    <w:rsid w:val="57D91936"/>
    <w:rsid w:val="5F585836"/>
    <w:rsid w:val="60B847DE"/>
    <w:rsid w:val="62736D4F"/>
    <w:rsid w:val="64F97173"/>
    <w:rsid w:val="6B122D3D"/>
    <w:rsid w:val="6BB107A8"/>
    <w:rsid w:val="6F370FC4"/>
    <w:rsid w:val="70645DE9"/>
    <w:rsid w:val="72317088"/>
    <w:rsid w:val="7E5C27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3"/>
    <w:basedOn w:val="1"/>
    <w:next w:val="1"/>
    <w:qFormat/>
    <w:uiPriority w:val="0"/>
    <w:pPr>
      <w:keepNext/>
      <w:keepLines/>
      <w:spacing w:before="260" w:after="260" w:line="416" w:lineRule="atLeast"/>
      <w:jc w:val="both"/>
      <w:outlineLvl w:val="2"/>
    </w:pPr>
    <w:rPr>
      <w:rFonts w:ascii="Times New Roman"/>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24"/>
      <w:szCs w:val="24"/>
      <w:lang w:val="en-US" w:eastAsia="en-US" w:bidi="ar-SA"/>
    </w:rPr>
  </w:style>
  <w:style w:type="paragraph" w:styleId="4">
    <w:name w:val="table of authorities"/>
    <w:basedOn w:val="1"/>
    <w:next w:val="1"/>
    <w:qFormat/>
    <w:uiPriority w:val="0"/>
    <w:pPr>
      <w:ind w:left="420" w:leftChars="2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1866</Words>
  <Characters>2175</Characters>
  <TotalTime>0</TotalTime>
  <ScaleCrop>false</ScaleCrop>
  <LinksUpToDate>false</LinksUpToDate>
  <CharactersWithSpaces>2185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2025-03-20T17:45:00Z</dcterms:created>
  <dc:creator>WPS_1524973530</dc:creator>
  <cp:lastModifiedBy>黔南历</cp:lastModifiedBy>
  <dcterms:modified xsi:type="dcterms:W3CDTF">2025-07-07T08:45:42Z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2025-04-02T15:43:09Z</vt:filetime>
  </property>
  <property fmtid="{D5CDD505-2E9C-101B-9397-08002B2CF9AE}" pid="4" name="KSOTemplateDocerSaveRecord">
    <vt:lpwstr>eyJoZGlkIjoiOGI3MDRkYTViMTU2ZGM3MjI5YzgxZTFhMDNlN2Q0MTIiLCJ1c2VySWQiOiIxMjMyMjIyNDMzIn0=</vt:lpwstr>
  </property>
  <property fmtid="{D5CDD505-2E9C-101B-9397-08002B2CF9AE}" pid="5" name="KSOProductBuildVer">
    <vt:lpwstr>2052-12.1.0.21915</vt:lpwstr>
  </property>
  <property fmtid="{D5CDD505-2E9C-101B-9397-08002B2CF9AE}" pid="6" name="ICV">
    <vt:lpwstr>FF8BAB996CF74D4D98C1AF8DE3544ADB_13</vt:lpwstr>
  </property>
</Properties>
</file>