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8" w:line="225" w:lineRule="auto"/>
        <w:ind w:left="2651"/>
        <w:outlineLvl w:val="0"/>
        <w:rPr>
          <w:rFonts w:hint="eastAsia" w:ascii="宋体" w:hAnsi="宋体" w:eastAsia="宋体" w:cs="宋体"/>
          <w:color w:val="auto"/>
          <w:sz w:val="27"/>
          <w:szCs w:val="27"/>
        </w:rPr>
      </w:pPr>
      <w:r>
        <w:rPr>
          <w:rFonts w:ascii="微软雅黑" w:hAnsi="微软雅黑" w:eastAsia="微软雅黑" w:cs="微软雅黑"/>
          <w:color w:val="auto"/>
          <w:spacing w:val="12"/>
          <w:sz w:val="31"/>
          <w:szCs w:val="31"/>
        </w:rPr>
        <w:t>第二章 供应商须知前附表</w:t>
      </w:r>
    </w:p>
    <w:p>
      <w:pPr>
        <w:spacing w:before="156" w:line="254" w:lineRule="auto"/>
        <w:ind w:left="128" w:right="121" w:firstLine="477"/>
        <w:rPr>
          <w:rFonts w:hint="eastAsia" w:ascii="宋体" w:hAnsi="宋体" w:eastAsia="宋体" w:cs="宋体"/>
          <w:color w:val="auto"/>
          <w:sz w:val="24"/>
          <w:szCs w:val="24"/>
        </w:rPr>
      </w:pPr>
      <w:r>
        <w:rPr>
          <w:rFonts w:ascii="宋体" w:hAnsi="宋体" w:eastAsia="宋体" w:cs="宋体"/>
          <w:color w:val="auto"/>
          <w:spacing w:val="-12"/>
          <w:sz w:val="24"/>
          <w:szCs w:val="24"/>
        </w:rPr>
        <w:t>本表关于</w:t>
      </w:r>
      <w:r>
        <w:rPr>
          <w:rFonts w:ascii="宋体" w:hAnsi="宋体" w:eastAsia="宋体" w:cs="宋体"/>
          <w:color w:val="auto"/>
          <w:spacing w:val="-8"/>
          <w:sz w:val="24"/>
          <w:szCs w:val="24"/>
        </w:rPr>
        <w:t>所</w:t>
      </w:r>
      <w:r>
        <w:rPr>
          <w:rFonts w:ascii="宋体" w:hAnsi="宋体" w:eastAsia="宋体" w:cs="宋体"/>
          <w:color w:val="auto"/>
          <w:spacing w:val="-6"/>
          <w:sz w:val="24"/>
          <w:szCs w:val="24"/>
        </w:rPr>
        <w:t>要采购服务的具体资料是对“供应商须知”的补充或修改， 两者</w:t>
      </w:r>
      <w:r>
        <w:rPr>
          <w:rFonts w:ascii="宋体" w:hAnsi="宋体" w:eastAsia="宋体" w:cs="宋体"/>
          <w:color w:val="auto"/>
          <w:sz w:val="24"/>
          <w:szCs w:val="24"/>
        </w:rPr>
        <w:t xml:space="preserve"> </w:t>
      </w:r>
      <w:r>
        <w:rPr>
          <w:rFonts w:ascii="宋体" w:hAnsi="宋体" w:eastAsia="宋体" w:cs="宋体"/>
          <w:color w:val="auto"/>
          <w:spacing w:val="-6"/>
          <w:sz w:val="24"/>
          <w:szCs w:val="24"/>
        </w:rPr>
        <w:t>如</w:t>
      </w:r>
      <w:r>
        <w:rPr>
          <w:rFonts w:ascii="宋体" w:hAnsi="宋体" w:eastAsia="宋体" w:cs="宋体"/>
          <w:color w:val="auto"/>
          <w:spacing w:val="-4"/>
          <w:sz w:val="24"/>
          <w:szCs w:val="24"/>
        </w:rPr>
        <w:t>有矛盾以本表为准。</w:t>
      </w:r>
    </w:p>
    <w:p>
      <w:pPr>
        <w:rPr>
          <w:color w:val="auto"/>
        </w:rPr>
      </w:pPr>
    </w:p>
    <w:p>
      <w:pPr>
        <w:rPr>
          <w:color w:va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spacing w:before="101"/>
              <w:ind w:right="-99" w:rightChars="-47"/>
              <w:jc w:val="center"/>
              <w:rPr>
                <w:rFonts w:hint="eastAsia"/>
                <w:color w:val="auto"/>
                <w:lang w:val="en-US"/>
              </w:rPr>
            </w:pPr>
            <w:r>
              <w:rPr>
                <w:rFonts w:hint="eastAsia"/>
                <w:b/>
                <w:color w:val="auto"/>
              </w:rPr>
              <w:t>项目名称</w:t>
            </w:r>
          </w:p>
        </w:tc>
        <w:tc>
          <w:tcPr>
            <w:tcW w:w="6957" w:type="dxa"/>
          </w:tcPr>
          <w:p>
            <w:pPr>
              <w:pStyle w:val="9"/>
              <w:widowControl w:val="0"/>
              <w:spacing w:before="101"/>
              <w:ind w:right="-99" w:rightChars="-47"/>
              <w:jc w:val="center"/>
              <w:rPr>
                <w:rFonts w:hint="eastAsia"/>
                <w:color w:val="auto"/>
                <w:lang w:val="en-US"/>
              </w:rPr>
            </w:pPr>
            <w:r>
              <w:rPr>
                <w:rFonts w:hint="eastAsia"/>
                <w:color w:val="auto"/>
                <w:lang w:val="en-US"/>
              </w:rPr>
              <w:t xml:space="preserve">贵州经贸职业技术学院学生宿舍建设项目工程勘察服务项目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spacing w:before="99"/>
              <w:ind w:right="-99" w:rightChars="-47"/>
              <w:jc w:val="center"/>
              <w:rPr>
                <w:rFonts w:hint="eastAsia"/>
                <w:color w:val="auto"/>
                <w:lang w:val="en-US"/>
              </w:rPr>
            </w:pPr>
            <w:r>
              <w:rPr>
                <w:rFonts w:hint="eastAsia"/>
                <w:b/>
                <w:color w:val="auto"/>
              </w:rPr>
              <w:t>项目编号</w:t>
            </w:r>
          </w:p>
        </w:tc>
        <w:tc>
          <w:tcPr>
            <w:tcW w:w="6957" w:type="dxa"/>
          </w:tcPr>
          <w:p>
            <w:pPr>
              <w:pStyle w:val="9"/>
              <w:widowControl w:val="0"/>
              <w:spacing w:before="99"/>
              <w:ind w:left="2271" w:right="-99" w:rightChars="-47"/>
              <w:jc w:val="both"/>
              <w:rPr>
                <w:rFonts w:hint="eastAsia"/>
                <w:color w:val="auto"/>
                <w:lang w:val="en-US"/>
              </w:rPr>
            </w:pPr>
            <w:r>
              <w:rPr>
                <w:rFonts w:hint="eastAsia"/>
                <w:b/>
                <w:bCs/>
                <w:color w:val="auto"/>
                <w:lang w:val="en-US"/>
              </w:rPr>
              <w:t xml:space="preserve">  GZJLZB2025019-2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spacing w:before="99"/>
              <w:ind w:right="-99" w:rightChars="-47"/>
              <w:jc w:val="center"/>
              <w:rPr>
                <w:rFonts w:hint="eastAsia"/>
                <w:color w:val="auto"/>
                <w:lang w:val="en-US"/>
              </w:rPr>
            </w:pPr>
            <w:r>
              <w:rPr>
                <w:rFonts w:hint="eastAsia"/>
                <w:b/>
                <w:color w:val="auto"/>
              </w:rPr>
              <w:t>项目序列号</w:t>
            </w:r>
          </w:p>
        </w:tc>
        <w:tc>
          <w:tcPr>
            <w:tcW w:w="6957" w:type="dxa"/>
          </w:tcPr>
          <w:p>
            <w:pPr>
              <w:pStyle w:val="9"/>
              <w:widowControl w:val="0"/>
              <w:spacing w:before="99"/>
              <w:ind w:right="-99" w:rightChars="-47"/>
              <w:jc w:val="center"/>
              <w:rPr>
                <w:rFonts w:hint="eastAsia"/>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spacing w:before="99"/>
              <w:ind w:right="-99" w:rightChars="-47"/>
              <w:jc w:val="center"/>
              <w:rPr>
                <w:rFonts w:hint="eastAsia"/>
                <w:color w:val="auto"/>
                <w:lang w:val="en-US"/>
              </w:rPr>
            </w:pPr>
            <w:r>
              <w:rPr>
                <w:rFonts w:hint="eastAsia"/>
                <w:b/>
                <w:color w:val="auto"/>
              </w:rPr>
              <w:t>内容</w:t>
            </w:r>
          </w:p>
        </w:tc>
        <w:tc>
          <w:tcPr>
            <w:tcW w:w="6957" w:type="dxa"/>
          </w:tcPr>
          <w:p>
            <w:pPr>
              <w:pStyle w:val="9"/>
              <w:widowControl w:val="0"/>
              <w:spacing w:before="99"/>
              <w:ind w:right="-99" w:rightChars="-47"/>
              <w:jc w:val="center"/>
              <w:rPr>
                <w:rFonts w:hint="eastAsia"/>
                <w:color w:val="auto"/>
                <w:lang w:val="en-US"/>
              </w:rPr>
            </w:pPr>
            <w:r>
              <w:rPr>
                <w:rFonts w:hint="eastAsia"/>
                <w:b/>
                <w:color w:val="auto"/>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99" w:rightChars="-47"/>
              <w:jc w:val="center"/>
              <w:rPr>
                <w:rFonts w:hint="eastAsia"/>
                <w:color w:val="auto"/>
                <w:lang w:val="en-US"/>
              </w:rPr>
            </w:pPr>
            <w:r>
              <w:rPr>
                <w:rFonts w:hint="eastAsia"/>
                <w:color w:val="auto"/>
              </w:rPr>
              <w:t>采购人信息</w:t>
            </w:r>
          </w:p>
        </w:tc>
        <w:tc>
          <w:tcPr>
            <w:tcW w:w="6957" w:type="dxa"/>
          </w:tcPr>
          <w:p>
            <w:pPr>
              <w:pStyle w:val="9"/>
              <w:widowControl w:val="0"/>
              <w:spacing w:before="25"/>
              <w:ind w:left="121" w:right="-99" w:rightChars="-47"/>
              <w:jc w:val="both"/>
              <w:rPr>
                <w:rFonts w:hint="eastAsia"/>
                <w:color w:val="auto"/>
              </w:rPr>
            </w:pPr>
            <w:r>
              <w:rPr>
                <w:rFonts w:hint="eastAsia"/>
                <w:color w:val="auto"/>
              </w:rPr>
              <w:t xml:space="preserve">采购人：贵州经贸职业技术学院 </w:t>
            </w:r>
          </w:p>
          <w:p>
            <w:pPr>
              <w:pStyle w:val="9"/>
              <w:widowControl w:val="0"/>
              <w:spacing w:before="43"/>
              <w:ind w:left="121" w:right="-99" w:rightChars="-47"/>
              <w:jc w:val="both"/>
              <w:rPr>
                <w:rFonts w:hint="eastAsia"/>
                <w:color w:val="auto"/>
                <w:lang w:val="en-US"/>
              </w:rPr>
            </w:pPr>
            <w:r>
              <w:rPr>
                <w:rFonts w:hint="eastAsia"/>
                <w:color w:val="auto"/>
              </w:rPr>
              <w:t xml:space="preserve">地址：贵州省都匀市绿茵湖产业园区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spacing w:before="134" w:line="278" w:lineRule="auto"/>
              <w:ind w:right="-99" w:rightChars="-47"/>
              <w:jc w:val="center"/>
              <w:rPr>
                <w:rFonts w:hint="eastAsia"/>
                <w:color w:val="auto"/>
                <w:lang w:val="en-US"/>
              </w:rPr>
            </w:pPr>
            <w:r>
              <w:rPr>
                <w:rFonts w:hint="eastAsia"/>
                <w:color w:val="auto"/>
              </w:rPr>
              <w:t>采购代理机构信息</w:t>
            </w:r>
          </w:p>
        </w:tc>
        <w:tc>
          <w:tcPr>
            <w:tcW w:w="6957" w:type="dxa"/>
          </w:tcPr>
          <w:p>
            <w:pPr>
              <w:pStyle w:val="9"/>
              <w:widowControl w:val="0"/>
              <w:spacing w:before="22" w:line="278" w:lineRule="auto"/>
              <w:ind w:left="121" w:right="-99" w:rightChars="-47"/>
              <w:jc w:val="both"/>
              <w:rPr>
                <w:rFonts w:hint="eastAsia"/>
                <w:color w:val="auto"/>
              </w:rPr>
            </w:pPr>
            <w:r>
              <w:rPr>
                <w:rFonts w:hint="eastAsia"/>
                <w:color w:val="auto"/>
              </w:rPr>
              <w:t>采购代理机构：贵州聚龙项目投资咨询有限公司</w:t>
            </w:r>
            <w:r>
              <w:rPr>
                <w:rFonts w:hint="eastAsia"/>
                <w:color w:val="auto"/>
                <w:lang w:val="en-US"/>
              </w:rPr>
              <w:t xml:space="preserve"> </w:t>
            </w:r>
          </w:p>
          <w:p>
            <w:pPr>
              <w:pStyle w:val="9"/>
              <w:widowControl w:val="0"/>
              <w:spacing w:line="278" w:lineRule="auto"/>
              <w:ind w:left="121" w:right="-99" w:rightChars="-47"/>
              <w:jc w:val="both"/>
              <w:rPr>
                <w:rFonts w:hint="eastAsia"/>
                <w:color w:val="auto"/>
                <w:spacing w:val="-28"/>
              </w:rPr>
            </w:pPr>
            <w:r>
              <w:rPr>
                <w:rFonts w:hint="eastAsia"/>
                <w:color w:val="auto"/>
                <w:spacing w:val="-7"/>
              </w:rPr>
              <w:t>地址：贵州省贵阳市观山湖区东原财富广场一期第3幢（3）1单元21层1.2.3.4号房</w:t>
            </w:r>
            <w:r>
              <w:rPr>
                <w:rFonts w:hint="eastAsia"/>
                <w:color w:val="auto"/>
                <w:spacing w:val="-7"/>
                <w:lang w:val="en-US"/>
              </w:rPr>
              <w:t xml:space="preserve"> </w:t>
            </w:r>
          </w:p>
          <w:p>
            <w:pPr>
              <w:pStyle w:val="9"/>
              <w:widowControl w:val="0"/>
              <w:spacing w:line="278" w:lineRule="auto"/>
              <w:ind w:left="121" w:right="-99" w:rightChars="-47"/>
              <w:jc w:val="both"/>
              <w:rPr>
                <w:rFonts w:hint="eastAsia"/>
                <w:color w:val="auto"/>
              </w:rPr>
            </w:pPr>
            <w:r>
              <w:rPr>
                <w:rFonts w:hint="eastAsia"/>
                <w:color w:val="auto"/>
                <w:spacing w:val="20"/>
              </w:rPr>
              <w:t>电话：13639063815</w:t>
            </w:r>
            <w:r>
              <w:rPr>
                <w:rFonts w:hint="eastAsia"/>
                <w:color w:val="auto"/>
                <w:lang w:val="en-US"/>
              </w:rPr>
              <w:t xml:space="preserve"> </w:t>
            </w:r>
            <w:r>
              <w:rPr>
                <w:rFonts w:hint="eastAsia"/>
                <w:color w:val="auto"/>
              </w:rPr>
              <w:t xml:space="preserve"> </w:t>
            </w:r>
          </w:p>
          <w:p>
            <w:pPr>
              <w:pStyle w:val="9"/>
              <w:widowControl w:val="0"/>
              <w:spacing w:line="269" w:lineRule="exact"/>
              <w:ind w:left="121" w:right="-99" w:rightChars="-47"/>
              <w:jc w:val="both"/>
              <w:rPr>
                <w:rFonts w:hint="eastAsia"/>
                <w:color w:val="auto"/>
                <w:lang w:val="en-US"/>
              </w:rPr>
            </w:pPr>
            <w:r>
              <w:rPr>
                <w:rFonts w:hint="eastAsia"/>
                <w:color w:val="auto"/>
                <w:spacing w:val="15"/>
              </w:rPr>
              <w:t>传真：</w:t>
            </w:r>
            <w:r>
              <w:rPr>
                <w:rFonts w:hint="eastAsia"/>
                <w:color w:val="auto"/>
                <w:spacing w:val="15"/>
                <w:lang w:val="en-US"/>
              </w:rPr>
              <w:t>0851-85503618</w:t>
            </w:r>
          </w:p>
          <w:p>
            <w:pPr>
              <w:pStyle w:val="9"/>
              <w:widowControl w:val="0"/>
              <w:spacing w:before="43"/>
              <w:ind w:left="121" w:right="-99" w:rightChars="-47"/>
              <w:jc w:val="both"/>
              <w:rPr>
                <w:rFonts w:hint="eastAsia"/>
                <w:color w:val="auto"/>
                <w:lang w:val="en-US"/>
              </w:rPr>
            </w:pPr>
            <w:r>
              <w:rPr>
                <w:rFonts w:hint="eastAsia"/>
                <w:color w:val="auto"/>
              </w:rPr>
              <w:t>联系人：饶宇、陈远玫、王天娅</w:t>
            </w:r>
            <w:r>
              <w:rPr>
                <w:rFonts w:hint="eastAsia"/>
                <w:color w:val="auto"/>
                <w:lang w:val="en-US"/>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spacing w:before="94"/>
              <w:ind w:right="29"/>
              <w:jc w:val="center"/>
              <w:rPr>
                <w:rFonts w:hint="eastAsia"/>
                <w:color w:val="auto"/>
                <w:lang w:val="en-US"/>
              </w:rPr>
            </w:pPr>
            <w:r>
              <w:rPr>
                <w:rFonts w:hint="eastAsia"/>
                <w:color w:val="auto"/>
              </w:rPr>
              <w:t>联合体投标</w:t>
            </w:r>
          </w:p>
        </w:tc>
        <w:tc>
          <w:tcPr>
            <w:tcW w:w="6957" w:type="dxa"/>
          </w:tcPr>
          <w:p>
            <w:pPr>
              <w:pStyle w:val="9"/>
              <w:widowControl w:val="0"/>
              <w:spacing w:before="94"/>
              <w:ind w:left="121"/>
              <w:jc w:val="both"/>
              <w:rPr>
                <w:rFonts w:hint="eastAsia"/>
                <w:color w:val="auto"/>
                <w:lang w:val="en-US"/>
              </w:rPr>
            </w:pPr>
            <w:r>
              <w:rPr>
                <w:rFonts w:hint="eastAsia"/>
                <w:color w:val="auto"/>
              </w:rPr>
              <w:t>本项目</w:t>
            </w:r>
            <w:r>
              <w:rPr>
                <w:rFonts w:hint="eastAsia"/>
                <w:color w:val="auto"/>
                <w:u w:val="single"/>
                <w:lang w:val="en-US"/>
              </w:rPr>
              <w:t xml:space="preserve"> 不接受  </w:t>
            </w:r>
            <w:r>
              <w:rPr>
                <w:rFonts w:hint="eastAsia"/>
                <w:color w:val="auto"/>
              </w:rPr>
              <w:t xml:space="preserve">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61"/>
              <w:jc w:val="center"/>
              <w:rPr>
                <w:rFonts w:hint="eastAsia"/>
                <w:color w:val="auto"/>
                <w:lang w:val="en-US"/>
              </w:rPr>
            </w:pPr>
            <w:r>
              <w:rPr>
                <w:rFonts w:hint="eastAsia"/>
                <w:color w:val="auto"/>
              </w:rPr>
              <w:t>采购预算</w:t>
            </w:r>
          </w:p>
        </w:tc>
        <w:tc>
          <w:tcPr>
            <w:tcW w:w="6957" w:type="dxa"/>
          </w:tcPr>
          <w:p>
            <w:pPr>
              <w:pStyle w:val="9"/>
              <w:widowControl w:val="0"/>
              <w:spacing w:before="2" w:line="310" w:lineRule="atLeast"/>
              <w:ind w:left="121" w:right="-44"/>
              <w:jc w:val="both"/>
              <w:rPr>
                <w:rFonts w:hint="eastAsia"/>
                <w:color w:val="auto"/>
                <w:lang w:val="en-US"/>
              </w:rPr>
            </w:pPr>
            <w:r>
              <w:rPr>
                <w:rFonts w:hint="eastAsia"/>
                <w:color w:val="auto"/>
                <w:spacing w:val="-4"/>
              </w:rPr>
              <w:t>本项目采购预算为：</w:t>
            </w:r>
            <w:r>
              <w:rPr>
                <w:rFonts w:hint="eastAsia"/>
                <w:color w:val="auto"/>
                <w:spacing w:val="-4"/>
                <w:lang w:val="en-US"/>
              </w:rPr>
              <w:t xml:space="preserve">770000.00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61"/>
              <w:jc w:val="center"/>
              <w:rPr>
                <w:rFonts w:hint="eastAsia"/>
                <w:color w:val="auto"/>
                <w:lang w:val="en-US"/>
              </w:rPr>
            </w:pPr>
            <w:r>
              <w:rPr>
                <w:rFonts w:hint="eastAsia"/>
                <w:color w:val="auto"/>
              </w:rPr>
              <w:t>最高限价</w:t>
            </w:r>
          </w:p>
        </w:tc>
        <w:tc>
          <w:tcPr>
            <w:tcW w:w="6957" w:type="dxa"/>
          </w:tcPr>
          <w:p>
            <w:pPr>
              <w:pStyle w:val="9"/>
              <w:widowControl w:val="0"/>
              <w:spacing w:line="269" w:lineRule="exact"/>
              <w:ind w:left="121"/>
              <w:jc w:val="both"/>
              <w:rPr>
                <w:rFonts w:hint="eastAsia"/>
                <w:color w:val="auto"/>
                <w:lang w:val="en-US"/>
              </w:rPr>
            </w:pPr>
            <w:r>
              <w:rPr>
                <w:rFonts w:hint="eastAsia"/>
                <w:color w:val="auto"/>
                <w:spacing w:val="-4"/>
              </w:rPr>
              <w:t>本项目最高限价为：</w:t>
            </w:r>
            <w:r>
              <w:rPr>
                <w:rFonts w:hint="eastAsia"/>
                <w:color w:val="auto"/>
                <w:spacing w:val="-4"/>
                <w:lang w:val="en-US"/>
              </w:rPr>
              <w:t xml:space="preserve">770000.00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61"/>
              <w:jc w:val="center"/>
              <w:rPr>
                <w:rFonts w:hint="eastAsia"/>
                <w:color w:val="auto"/>
                <w:lang w:val="en-US"/>
              </w:rPr>
            </w:pPr>
            <w:r>
              <w:rPr>
                <w:rFonts w:hint="eastAsia"/>
                <w:color w:val="auto"/>
                <w:lang w:val="en-US"/>
              </w:rPr>
              <w:t>投标报价</w:t>
            </w:r>
          </w:p>
        </w:tc>
        <w:tc>
          <w:tcPr>
            <w:tcW w:w="6957" w:type="dxa"/>
          </w:tcPr>
          <w:p>
            <w:pPr>
              <w:pStyle w:val="9"/>
              <w:widowControl w:val="0"/>
              <w:spacing w:line="269" w:lineRule="exact"/>
              <w:ind w:left="121"/>
              <w:jc w:val="both"/>
              <w:rPr>
                <w:rFonts w:hint="eastAsia"/>
                <w:color w:val="auto"/>
                <w:spacing w:val="-4"/>
                <w:lang w:val="en-US"/>
              </w:rPr>
            </w:pPr>
            <w:r>
              <w:rPr>
                <w:rFonts w:hint="eastAsia"/>
                <w:color w:val="auto"/>
                <w:spacing w:val="-4"/>
                <w:lang w:val="en-US"/>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61"/>
              <w:jc w:val="center"/>
              <w:rPr>
                <w:rFonts w:hint="eastAsia"/>
                <w:color w:val="auto"/>
              </w:rPr>
            </w:pPr>
            <w:r>
              <w:rPr>
                <w:rFonts w:hint="eastAsia"/>
                <w:color w:val="auto"/>
              </w:rPr>
              <w:t>标的所属行业</w:t>
            </w:r>
          </w:p>
        </w:tc>
        <w:tc>
          <w:tcPr>
            <w:tcW w:w="6957" w:type="dxa"/>
          </w:tcPr>
          <w:p>
            <w:pPr>
              <w:pStyle w:val="9"/>
              <w:widowControl w:val="0"/>
              <w:spacing w:line="269" w:lineRule="exact"/>
              <w:jc w:val="both"/>
              <w:rPr>
                <w:rFonts w:hint="eastAsia" w:eastAsiaTheme="minorEastAsia"/>
                <w:color w:val="auto"/>
                <w:sz w:val="20"/>
                <w:szCs w:val="20"/>
                <w:lang w:val="en-US"/>
              </w:rPr>
            </w:pPr>
            <w:r>
              <w:rPr>
                <w:rFonts w:hint="eastAsia" w:asciiTheme="minorEastAsia" w:hAnsiTheme="minorEastAsia" w:eastAsiaTheme="minorEastAsia" w:cstheme="minorEastAsia"/>
                <w:color w:val="auto"/>
                <w:sz w:val="22"/>
                <w:szCs w:val="20"/>
              </w:rPr>
              <w:t>本项目是否专门面向中小企业采购：</w:t>
            </w:r>
            <w:r>
              <w:rPr>
                <w:rFonts w:hint="eastAsia" w:asciiTheme="minorEastAsia" w:hAnsiTheme="minorEastAsia" w:eastAsiaTheme="minorEastAsia" w:cstheme="minorEastAsia"/>
                <w:color w:val="auto"/>
                <w:sz w:val="22"/>
                <w:szCs w:val="20"/>
                <w:lang w:val="en-US"/>
              </w:rPr>
              <w:t>是</w:t>
            </w:r>
          </w:p>
          <w:p>
            <w:pPr>
              <w:pStyle w:val="9"/>
              <w:widowControl w:val="0"/>
              <w:spacing w:line="269" w:lineRule="exact"/>
              <w:jc w:val="both"/>
              <w:rPr>
                <w:rFonts w:hint="eastAsia"/>
                <w:color w:val="auto"/>
              </w:rPr>
            </w:pPr>
            <w:r>
              <w:rPr>
                <w:rFonts w:hint="eastAsia"/>
                <w:color w:val="auto"/>
                <w:spacing w:val="11"/>
              </w:rPr>
              <w:t>（</w:t>
            </w:r>
            <w:r>
              <w:rPr>
                <w:rFonts w:hint="eastAsia"/>
                <w:color w:val="auto"/>
                <w:spacing w:val="11"/>
                <w:lang w:val="en-US"/>
              </w:rPr>
              <w:t>1</w:t>
            </w:r>
            <w:r>
              <w:rPr>
                <w:rFonts w:hint="eastAsia"/>
                <w:color w:val="auto"/>
                <w:spacing w:val="11"/>
              </w:rPr>
              <w:t>）本项目采购标的对应的中小企业划分标准所属行业为</w:t>
            </w:r>
            <w:r>
              <w:rPr>
                <w:rFonts w:hint="eastAsia"/>
                <w:color w:val="auto"/>
                <w:spacing w:val="11"/>
                <w:u w:val="single"/>
              </w:rPr>
              <w:t>服务业</w:t>
            </w:r>
            <w:r>
              <w:rPr>
                <w:rFonts w:hint="eastAsia"/>
                <w:color w:val="auto"/>
                <w:spacing w:val="11"/>
              </w:rPr>
              <w:t>。企业划分标准详见本招标文件中的“附表</w:t>
            </w:r>
            <w:r>
              <w:rPr>
                <w:rFonts w:hint="eastAsia"/>
                <w:color w:val="auto"/>
                <w:spacing w:val="11"/>
                <w:lang w:val="en-US"/>
              </w:rPr>
              <w:t>2</w:t>
            </w:r>
            <w:r>
              <w:rPr>
                <w:rFonts w:hint="eastAsia"/>
                <w:color w:val="auto"/>
                <w:spacing w:val="11"/>
              </w:rPr>
              <w:t>：统计上大中小微型企业划分办法(2017) ”。</w:t>
            </w:r>
            <w:r>
              <w:rPr>
                <w:rFonts w:hint="eastAsia"/>
                <w:color w:val="auto"/>
              </w:rPr>
              <w:t xml:space="preserve">                  </w:t>
            </w:r>
            <w:r>
              <w:rPr>
                <w:rFonts w:hint="eastAsia"/>
                <w:color w:val="auto"/>
              </w:rPr>
              <w:tab/>
            </w:r>
          </w:p>
          <w:p>
            <w:pPr>
              <w:pStyle w:val="9"/>
              <w:widowControl w:val="0"/>
              <w:spacing w:line="269" w:lineRule="exact"/>
              <w:jc w:val="both"/>
              <w:rPr>
                <w:rFonts w:hint="eastAsia"/>
                <w:color w:val="auto"/>
                <w:spacing w:val="-4"/>
              </w:rPr>
            </w:pPr>
            <w:r>
              <w:rPr>
                <w:rFonts w:hint="eastAsia"/>
                <w:color w:val="auto"/>
                <w:spacing w:val="22"/>
              </w:rPr>
              <w:t>(</w:t>
            </w:r>
            <w:r>
              <w:rPr>
                <w:rFonts w:hint="eastAsia"/>
                <w:color w:val="auto"/>
                <w:spacing w:val="12"/>
              </w:rPr>
              <w:t>2</w:t>
            </w:r>
            <w:r>
              <w:rPr>
                <w:rFonts w:hint="eastAsia"/>
                <w:color w:val="auto"/>
                <w:spacing w:val="11"/>
              </w:rPr>
              <w:t>)属于小微企业(按“中小企业划分标准所属行业”)、</w:t>
            </w:r>
            <w:r>
              <w:rPr>
                <w:rFonts w:hint="eastAsia"/>
                <w:color w:val="auto"/>
              </w:rPr>
              <w:t xml:space="preserve"> </w:t>
            </w:r>
            <w:r>
              <w:rPr>
                <w:rFonts w:hint="eastAsia"/>
                <w:color w:val="auto"/>
                <w:spacing w:val="-16"/>
              </w:rPr>
              <w:t>残</w:t>
            </w:r>
            <w:r>
              <w:rPr>
                <w:rFonts w:hint="eastAsia"/>
                <w:color w:val="auto"/>
                <w:spacing w:val="-10"/>
              </w:rPr>
              <w:t>疾人福利性企业、监狱企业产品的， 须提交《中小企业声明</w:t>
            </w:r>
            <w:r>
              <w:rPr>
                <w:rFonts w:hint="eastAsia"/>
                <w:color w:val="auto"/>
              </w:rPr>
              <w:t xml:space="preserve"> </w:t>
            </w:r>
            <w:r>
              <w:rPr>
                <w:rFonts w:hint="eastAsia"/>
                <w:color w:val="auto"/>
                <w:spacing w:val="-2"/>
              </w:rPr>
              <w:t>函》《残疾人福利性单位声明函》或《监狱性单位声明函》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spacing w:before="5"/>
              <w:jc w:val="center"/>
              <w:rPr>
                <w:rFonts w:hint="eastAsia"/>
                <w:color w:val="auto"/>
              </w:rPr>
            </w:pPr>
          </w:p>
          <w:p>
            <w:pPr>
              <w:pStyle w:val="9"/>
              <w:widowControl w:val="0"/>
              <w:ind w:right="29"/>
              <w:jc w:val="center"/>
              <w:rPr>
                <w:rFonts w:hint="eastAsia"/>
                <w:color w:val="auto"/>
              </w:rPr>
            </w:pPr>
            <w:r>
              <w:rPr>
                <w:rFonts w:hint="eastAsia"/>
                <w:color w:val="auto"/>
              </w:rPr>
              <w:t>投标保证金</w:t>
            </w: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spacing w:before="12"/>
              <w:jc w:val="center"/>
              <w:rPr>
                <w:rFonts w:hint="eastAsia"/>
                <w:color w:val="auto"/>
              </w:rPr>
            </w:pPr>
          </w:p>
          <w:p>
            <w:pPr>
              <w:pStyle w:val="9"/>
              <w:widowControl w:val="0"/>
              <w:ind w:right="440"/>
              <w:jc w:val="center"/>
              <w:rPr>
                <w:rFonts w:hint="eastAsia"/>
                <w:color w:val="auto"/>
                <w:lang w:val="en-US"/>
              </w:rPr>
            </w:pPr>
          </w:p>
        </w:tc>
        <w:tc>
          <w:tcPr>
            <w:tcW w:w="6957" w:type="dxa"/>
          </w:tcPr>
          <w:p>
            <w:pPr>
              <w:pStyle w:val="9"/>
              <w:widowControl w:val="0"/>
              <w:numPr>
                <w:ilvl w:val="0"/>
                <w:numId w:val="1"/>
              </w:numPr>
              <w:tabs>
                <w:tab w:val="left" w:pos="651"/>
              </w:tabs>
              <w:spacing w:before="24"/>
              <w:ind w:hanging="530"/>
              <w:jc w:val="both"/>
              <w:rPr>
                <w:rFonts w:hint="eastAsia"/>
                <w:color w:val="auto"/>
              </w:rPr>
            </w:pPr>
            <w:r>
              <w:rPr>
                <w:rFonts w:hint="eastAsia"/>
                <w:color w:val="auto"/>
                <w:spacing w:val="-3"/>
              </w:rPr>
              <w:t>政府采购项目投标保证金缴纳要求：</w:t>
            </w:r>
            <w:r>
              <w:rPr>
                <w:rFonts w:hint="eastAsia"/>
                <w:color w:val="auto"/>
              </w:rPr>
              <w:t xml:space="preserve"> </w:t>
            </w:r>
          </w:p>
          <w:p>
            <w:pPr>
              <w:widowControl w:val="0"/>
              <w:jc w:val="both"/>
            </w:pPr>
            <w:r>
              <w:rPr>
                <w:rFonts w:hint="eastAsia"/>
              </w:rPr>
              <w:t>投标保证金的形式：银行</w:t>
            </w:r>
            <w:r>
              <w:rPr>
                <w:rFonts w:hint="eastAsia" w:eastAsia="宋体" w:cs="Times New Roman"/>
              </w:rPr>
              <w:t>支票或电汇或银行保函或保证保险（电子保单）或合法担保机构出具</w:t>
            </w:r>
            <w:r>
              <w:rPr>
                <w:rFonts w:hint="eastAsia"/>
              </w:rPr>
              <w:t>的担保。</w:t>
            </w:r>
          </w:p>
          <w:p>
            <w:pPr>
              <w:widowControl w:val="0"/>
              <w:jc w:val="both"/>
            </w:pPr>
            <w:r>
              <w:rPr>
                <w:rFonts w:hint="eastAsia"/>
              </w:rPr>
              <w:t>（</w:t>
            </w:r>
            <w:r>
              <w:rPr>
                <w:rFonts w:hint="eastAsia" w:eastAsia="宋体"/>
              </w:rPr>
              <w:t>2</w:t>
            </w:r>
            <w:r>
              <w:rPr>
                <w:rFonts w:hint="eastAsia"/>
              </w:rPr>
              <w:t>）投标保证金以银行转账方式交纳的，必须从投标人的基本账户转出。</w:t>
            </w:r>
          </w:p>
          <w:p>
            <w:pPr>
              <w:widowControl w:val="0"/>
              <w:jc w:val="both"/>
            </w:pPr>
            <w:r>
              <w:rPr>
                <w:rFonts w:hint="eastAsia"/>
              </w:rPr>
              <w:t>投标保证金的金额为人民币：壹万元整（￥：10000.00）</w:t>
            </w:r>
          </w:p>
          <w:p>
            <w:pPr>
              <w:widowControl w:val="0"/>
              <w:jc w:val="both"/>
            </w:pPr>
            <w:r>
              <w:rPr>
                <w:rFonts w:hint="eastAsia"/>
              </w:rPr>
              <w:t>户名：贵州省公共资源交易中心</w:t>
            </w:r>
          </w:p>
          <w:p>
            <w:pPr>
              <w:widowControl w:val="0"/>
              <w:jc w:val="both"/>
            </w:pPr>
            <w:r>
              <w:rPr>
                <w:rFonts w:hint="eastAsia"/>
              </w:rPr>
              <w:t>开户银行：贵州银行股份有限公司贵阳展览馆支行</w:t>
            </w:r>
          </w:p>
          <w:p>
            <w:pPr>
              <w:widowControl w:val="0"/>
              <w:jc w:val="both"/>
            </w:pPr>
            <w:r>
              <w:rPr>
                <w:rFonts w:hint="eastAsia"/>
              </w:rPr>
              <w:t>账号：0109001400000182-0002</w:t>
            </w:r>
          </w:p>
          <w:p>
            <w:pPr>
              <w:widowControl w:val="0"/>
              <w:jc w:val="both"/>
            </w:pPr>
            <w:r>
              <w:rPr>
                <w:rFonts w:hint="eastAsia"/>
              </w:rPr>
              <w:t>注：投标保证金以银行转账方式交纳的：须由投标人在投标截止时间前自行在系统内与参与投标项目进行绑定。未绑定的，将视为未交纳投标保证金。</w:t>
            </w:r>
          </w:p>
          <w:p>
            <w:pPr>
              <w:widowControl w:val="0"/>
              <w:jc w:val="both"/>
              <w:rPr>
                <w:color w:val="auto"/>
              </w:rPr>
            </w:pPr>
            <w:r>
              <w:rPr>
                <w:rFonts w:hint="eastAsia"/>
              </w:rPr>
              <w:t>（</w:t>
            </w:r>
            <w:r>
              <w:rPr>
                <w:rFonts w:hint="eastAsia" w:eastAsia="宋体"/>
              </w:rPr>
              <w:t>3</w:t>
            </w:r>
            <w:r>
              <w:rPr>
                <w:rFonts w:hint="eastAsia"/>
              </w:rPr>
              <w:t>）投标保证金应以招标文件规定的交纳形式进行交纳，投标人可通过贵州省公共资源交易综合金融服务平台 PC 端或移动端（贵州交易通 APP）在线办理电子保函（注：其内容应载有招标人名称、投标人名称、项目名称、标段名称、保证金金额、有效期，且其有效期应不小于投标有效期），直接在交易系统中确认；未通过贵州省公共资源交易综合金融服务平台交纳投标保证金的，应在交易系统中选择“纸质保函”交纳方式，并上传保函扫描件，上传内容确保清晰可见。招标人（代理机构）在开标时对其进行真伪验证，通过上传保函中提供的在线官网地址进行查验，检查未通过或不能查验的视为未按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tabs>
                <w:tab w:val="left" w:pos="880"/>
              </w:tabs>
              <w:spacing w:before="94"/>
              <w:ind w:right="29"/>
              <w:jc w:val="center"/>
              <w:rPr>
                <w:rFonts w:hint="eastAsia"/>
                <w:color w:val="auto"/>
                <w:lang w:val="en-US"/>
              </w:rPr>
            </w:pPr>
            <w:r>
              <w:rPr>
                <w:rFonts w:hint="eastAsia"/>
                <w:color w:val="auto"/>
                <w:lang w:val="en-US"/>
              </w:rPr>
              <w:t>投标有效</w:t>
            </w:r>
            <w:r>
              <w:rPr>
                <w:rFonts w:hint="eastAsia"/>
                <w:color w:val="auto"/>
              </w:rPr>
              <w:t>期</w:t>
            </w:r>
          </w:p>
        </w:tc>
        <w:tc>
          <w:tcPr>
            <w:tcW w:w="6957" w:type="dxa"/>
          </w:tcPr>
          <w:p>
            <w:pPr>
              <w:pStyle w:val="9"/>
              <w:widowControl w:val="0"/>
              <w:spacing w:before="94"/>
              <w:ind w:left="121"/>
              <w:jc w:val="both"/>
              <w:rPr>
                <w:rFonts w:hint="eastAsia"/>
                <w:color w:val="auto"/>
                <w:lang w:val="en-US"/>
              </w:rPr>
            </w:pPr>
            <w:r>
              <w:rPr>
                <w:rFonts w:hint="eastAsia"/>
                <w:color w:val="auto"/>
              </w:rPr>
              <w:t xml:space="preserve">开标时间之日起 90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61"/>
              <w:jc w:val="center"/>
              <w:rPr>
                <w:rFonts w:hint="eastAsia"/>
                <w:color w:val="auto"/>
                <w:lang w:val="en-US"/>
              </w:rPr>
            </w:pPr>
            <w:r>
              <w:rPr>
                <w:rFonts w:hint="eastAsia"/>
                <w:color w:val="auto"/>
              </w:rPr>
              <w:t>投标文件</w:t>
            </w:r>
          </w:p>
        </w:tc>
        <w:tc>
          <w:tcPr>
            <w:tcW w:w="6957" w:type="dxa"/>
          </w:tcPr>
          <w:p>
            <w:pPr>
              <w:pStyle w:val="9"/>
              <w:widowControl w:val="0"/>
              <w:spacing w:before="2" w:line="310" w:lineRule="atLeast"/>
              <w:ind w:right="21"/>
              <w:jc w:val="both"/>
              <w:rPr>
                <w:rFonts w:hint="eastAsia"/>
                <w:color w:val="auto"/>
                <w:spacing w:val="24"/>
              </w:rPr>
            </w:pPr>
            <w:r>
              <w:rPr>
                <w:rFonts w:hint="eastAsia"/>
                <w:color w:val="auto"/>
                <w:spacing w:val="24"/>
              </w:rPr>
              <w:t>（</w:t>
            </w:r>
            <w:r>
              <w:rPr>
                <w:rFonts w:hint="eastAsia"/>
                <w:color w:val="auto"/>
                <w:spacing w:val="24"/>
                <w:lang w:val="en-US"/>
              </w:rPr>
              <w:t>1</w:t>
            </w:r>
            <w:r>
              <w:rPr>
                <w:rFonts w:hint="eastAsia"/>
                <w:color w:val="auto"/>
                <w:spacing w:val="24"/>
              </w:rPr>
              <w:t>）投标文件编制：通过贵州省公共资源交易公共服务平台下载 “投标文件制作工具”编制投标文件，生成电子投标文件，使用数 字 (CA) 证书或移动 (CA) 证书 (贵州交易通 APP、标信通 APP)进行加密、签章。</w:t>
            </w:r>
          </w:p>
          <w:p>
            <w:pPr>
              <w:pStyle w:val="9"/>
              <w:widowControl w:val="0"/>
              <w:spacing w:before="2" w:line="310" w:lineRule="atLeast"/>
              <w:ind w:right="21"/>
              <w:jc w:val="both"/>
              <w:rPr>
                <w:rFonts w:hint="eastAsia"/>
                <w:color w:val="auto"/>
                <w:spacing w:val="24"/>
              </w:rPr>
            </w:pPr>
            <w:r>
              <w:rPr>
                <w:rFonts w:hint="eastAsia"/>
                <w:color w:val="auto"/>
                <w:spacing w:val="24"/>
              </w:rPr>
              <w:t>(2) 投标文件提交方式：加密的电子投标文件上传至贵州省公共 资源交易公共服务平台。</w:t>
            </w:r>
          </w:p>
          <w:p>
            <w:pPr>
              <w:pStyle w:val="9"/>
              <w:widowControl w:val="0"/>
              <w:spacing w:before="2" w:line="310" w:lineRule="atLeast"/>
              <w:ind w:right="21"/>
              <w:jc w:val="both"/>
              <w:rPr>
                <w:rFonts w:hint="eastAsia"/>
                <w:color w:val="auto"/>
                <w:spacing w:val="24"/>
              </w:rPr>
            </w:pPr>
            <w:r>
              <w:rPr>
                <w:rFonts w:hint="eastAsia"/>
                <w:color w:val="auto"/>
                <w:spacing w:val="24"/>
              </w:rPr>
              <w:t>(3) 提交投标文件截止时间：详见贵州省政府采购网采购公告或 贵州省公共资源交易公共服务平台采购公告，逾期上传或未加密的投标文件或不符合规定格式的投标文件，贵州省公共资源交易公共 服务平台将予以拒收。</w:t>
            </w:r>
          </w:p>
          <w:p>
            <w:pPr>
              <w:pStyle w:val="9"/>
              <w:widowControl w:val="0"/>
              <w:spacing w:before="2" w:line="310" w:lineRule="atLeast"/>
              <w:ind w:right="21"/>
              <w:jc w:val="both"/>
              <w:rPr>
                <w:rFonts w:hint="eastAsia"/>
                <w:color w:val="auto"/>
              </w:rPr>
            </w:pPr>
            <w:r>
              <w:rPr>
                <w:rFonts w:hint="eastAsia"/>
                <w:color w:val="auto"/>
                <w:spacing w:val="24"/>
              </w:rPr>
              <w:t>(</w:t>
            </w:r>
            <w:r>
              <w:rPr>
                <w:rFonts w:hint="eastAsia"/>
                <w:color w:val="auto"/>
                <w:spacing w:val="19"/>
              </w:rPr>
              <w:t>4</w:t>
            </w:r>
            <w:r>
              <w:rPr>
                <w:rFonts w:hint="eastAsia"/>
                <w:color w:val="auto"/>
                <w:spacing w:val="12"/>
              </w:rPr>
              <w:t>) 本项目为电子招标远程开标项目，投标人须在递交投标文件</w:t>
            </w:r>
            <w:r>
              <w:rPr>
                <w:rFonts w:hint="eastAsia"/>
                <w:color w:val="auto"/>
              </w:rPr>
              <w:t xml:space="preserve"> </w:t>
            </w:r>
            <w:r>
              <w:rPr>
                <w:rFonts w:hint="eastAsia"/>
                <w:color w:val="auto"/>
                <w:spacing w:val="18"/>
              </w:rPr>
              <w:t>截止</w:t>
            </w:r>
            <w:r>
              <w:rPr>
                <w:rFonts w:hint="eastAsia"/>
                <w:color w:val="auto"/>
                <w:spacing w:val="10"/>
              </w:rPr>
              <w:t>时</w:t>
            </w:r>
            <w:r>
              <w:rPr>
                <w:rFonts w:hint="eastAsia"/>
                <w:color w:val="auto"/>
                <w:spacing w:val="9"/>
              </w:rPr>
              <w:t>间前完整的将加密电子投标文件上传到贵州省公共资源交</w:t>
            </w:r>
            <w:r>
              <w:rPr>
                <w:rFonts w:hint="eastAsia"/>
                <w:color w:val="auto"/>
                <w:spacing w:val="8"/>
              </w:rPr>
              <w:t>易公共服务平台，投标截止时间前未完成投标文件传输或撤回投</w:t>
            </w:r>
            <w:r>
              <w:rPr>
                <w:rFonts w:hint="eastAsia"/>
                <w:color w:val="auto"/>
                <w:spacing w:val="4"/>
              </w:rPr>
              <w:t>标</w:t>
            </w:r>
            <w:r>
              <w:rPr>
                <w:rFonts w:hint="eastAsia"/>
                <w:color w:val="auto"/>
                <w:spacing w:val="8"/>
              </w:rPr>
              <w:t>文件的，视为未递交投标文件。投标截止时间后，贵州省公共资</w:t>
            </w:r>
            <w:r>
              <w:rPr>
                <w:rFonts w:hint="eastAsia"/>
                <w:color w:val="auto"/>
                <w:spacing w:val="4"/>
              </w:rPr>
              <w:t>源</w:t>
            </w:r>
            <w:r>
              <w:rPr>
                <w:rFonts w:hint="eastAsia"/>
                <w:color w:val="auto"/>
                <w:spacing w:val="9"/>
              </w:rPr>
              <w:t>交易公共服务平台不再接收投标文件。远程开标需使用数字 (</w:t>
            </w:r>
            <w:r>
              <w:rPr>
                <w:rFonts w:hint="eastAsia"/>
                <w:color w:val="auto"/>
              </w:rPr>
              <w:t>CA</w:t>
            </w:r>
            <w:r>
              <w:rPr>
                <w:rFonts w:hint="eastAsia"/>
                <w:color w:val="auto"/>
                <w:spacing w:val="8"/>
              </w:rPr>
              <w:t>)</w:t>
            </w:r>
            <w:r>
              <w:rPr>
                <w:rFonts w:hint="eastAsia"/>
                <w:color w:val="auto"/>
              </w:rPr>
              <w:t xml:space="preserve"> </w:t>
            </w:r>
            <w:r>
              <w:rPr>
                <w:rFonts w:hint="eastAsia"/>
                <w:color w:val="auto"/>
                <w:spacing w:val="4"/>
              </w:rPr>
              <w:t>证书或移动 (</w:t>
            </w:r>
            <w:r>
              <w:rPr>
                <w:rFonts w:hint="eastAsia"/>
                <w:color w:val="auto"/>
              </w:rPr>
              <w:t>CA</w:t>
            </w:r>
            <w:r>
              <w:rPr>
                <w:rFonts w:hint="eastAsia"/>
                <w:color w:val="auto"/>
                <w:spacing w:val="4"/>
              </w:rPr>
              <w:t>)</w:t>
            </w:r>
            <w:r>
              <w:rPr>
                <w:rFonts w:hint="eastAsia"/>
                <w:color w:val="auto"/>
                <w:spacing w:val="3"/>
              </w:rPr>
              <w:t xml:space="preserve"> </w:t>
            </w:r>
            <w:r>
              <w:rPr>
                <w:rFonts w:hint="eastAsia"/>
                <w:color w:val="auto"/>
                <w:spacing w:val="2"/>
              </w:rPr>
              <w:t xml:space="preserve">证书 (贵州交易通 </w:t>
            </w:r>
            <w:r>
              <w:rPr>
                <w:rFonts w:hint="eastAsia"/>
                <w:color w:val="auto"/>
              </w:rPr>
              <w:t>APP</w:t>
            </w:r>
            <w:r>
              <w:rPr>
                <w:rFonts w:hint="eastAsia"/>
                <w:color w:val="auto"/>
                <w:spacing w:val="2"/>
              </w:rPr>
              <w:t xml:space="preserve">、标信通 </w:t>
            </w:r>
            <w:r>
              <w:rPr>
                <w:rFonts w:hint="eastAsia"/>
                <w:color w:val="auto"/>
              </w:rPr>
              <w:t>APP</w:t>
            </w:r>
            <w:r>
              <w:rPr>
                <w:rFonts w:hint="eastAsia"/>
                <w:color w:val="auto"/>
                <w:spacing w:val="2"/>
              </w:rPr>
              <w:t>) 进行解密。</w:t>
            </w:r>
            <w:r>
              <w:rPr>
                <w:rFonts w:hint="eastAsia"/>
                <w:color w:val="auto"/>
              </w:rPr>
              <w:t xml:space="preserve"> </w:t>
            </w:r>
            <w:r>
              <w:rPr>
                <w:rFonts w:hint="eastAsia"/>
                <w:color w:val="auto"/>
              </w:rPr>
              <w:tab/>
            </w:r>
          </w:p>
          <w:p>
            <w:pPr>
              <w:pStyle w:val="9"/>
              <w:widowControl w:val="0"/>
              <w:spacing w:before="2" w:line="310" w:lineRule="atLeast"/>
              <w:ind w:right="21"/>
              <w:jc w:val="both"/>
              <w:rPr>
                <w:rFonts w:hint="eastAsia"/>
                <w:color w:val="auto"/>
                <w:lang w:val="en-US"/>
              </w:rPr>
            </w:pPr>
            <w:r>
              <w:rPr>
                <w:rFonts w:hint="eastAsia"/>
                <w:color w:val="auto"/>
                <w:spacing w:val="16"/>
              </w:rPr>
              <w:t>(证</w:t>
            </w:r>
            <w:r>
              <w:rPr>
                <w:rFonts w:hint="eastAsia"/>
                <w:color w:val="auto"/>
                <w:spacing w:val="11"/>
              </w:rPr>
              <w:t>书</w:t>
            </w:r>
            <w:r>
              <w:rPr>
                <w:rFonts w:hint="eastAsia"/>
                <w:color w:val="auto"/>
                <w:spacing w:val="8"/>
              </w:rPr>
              <w:t>使用事宜咨询电话如下：数字 (</w:t>
            </w:r>
            <w:r>
              <w:rPr>
                <w:rFonts w:hint="eastAsia"/>
                <w:color w:val="auto"/>
              </w:rPr>
              <w:t>CA</w:t>
            </w:r>
            <w:r>
              <w:rPr>
                <w:rFonts w:hint="eastAsia"/>
                <w:color w:val="auto"/>
                <w:spacing w:val="8"/>
              </w:rPr>
              <w:t>) 证书咨询电话:</w:t>
            </w:r>
            <w:r>
              <w:rPr>
                <w:rFonts w:hint="eastAsia"/>
                <w:color w:val="auto"/>
                <w:spacing w:val="10"/>
              </w:rPr>
              <w:t>085</w:t>
            </w:r>
            <w:r>
              <w:rPr>
                <w:rFonts w:hint="eastAsia"/>
                <w:color w:val="auto"/>
                <w:spacing w:val="6"/>
              </w:rPr>
              <w:t>1</w:t>
            </w:r>
            <w:r>
              <w:rPr>
                <w:rFonts w:hint="eastAsia"/>
                <w:color w:val="auto"/>
                <w:spacing w:val="5"/>
              </w:rPr>
              <w:t>-85971671/85971629；移动 (</w:t>
            </w:r>
            <w:r>
              <w:rPr>
                <w:rFonts w:hint="eastAsia"/>
                <w:color w:val="auto"/>
              </w:rPr>
              <w:t>CA</w:t>
            </w:r>
            <w:r>
              <w:rPr>
                <w:rFonts w:hint="eastAsia"/>
                <w:color w:val="auto"/>
                <w:spacing w:val="5"/>
              </w:rPr>
              <w:t xml:space="preserve">) 证书 (贵州交易通 </w:t>
            </w:r>
            <w:r>
              <w:rPr>
                <w:rFonts w:hint="eastAsia"/>
                <w:color w:val="auto"/>
              </w:rPr>
              <w:t>APP</w:t>
            </w:r>
            <w:r>
              <w:rPr>
                <w:rFonts w:hint="eastAsia"/>
                <w:color w:val="auto"/>
                <w:spacing w:val="5"/>
              </w:rPr>
              <w:t>、标</w:t>
            </w:r>
            <w:r>
              <w:rPr>
                <w:rFonts w:hint="eastAsia"/>
                <w:color w:val="auto"/>
                <w:spacing w:val="4"/>
              </w:rPr>
              <w:t>信通</w:t>
            </w:r>
            <w:r>
              <w:rPr>
                <w:rFonts w:hint="eastAsia"/>
                <w:color w:val="auto"/>
              </w:rPr>
              <w:t>APP</w:t>
            </w:r>
            <w:r>
              <w:rPr>
                <w:rFonts w:hint="eastAsia"/>
                <w:color w:val="auto"/>
                <w:spacing w:val="4"/>
              </w:rPr>
              <w:t>) 技术保障电话：18785066386</w:t>
            </w:r>
            <w:r>
              <w:rPr>
                <w:rFonts w:hint="eastAsia"/>
                <w:color w:val="auto"/>
                <w:spacing w:val="3"/>
              </w:rPr>
              <w:t>)</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58"/>
              <w:jc w:val="center"/>
              <w:rPr>
                <w:rFonts w:hint="eastAsia"/>
                <w:color w:val="auto"/>
                <w:lang w:val="en-US"/>
              </w:rPr>
            </w:pPr>
            <w:r>
              <w:rPr>
                <w:rFonts w:hint="eastAsia"/>
                <w:color w:val="auto"/>
              </w:rPr>
              <w:t>开标时间、地点</w:t>
            </w:r>
          </w:p>
        </w:tc>
        <w:tc>
          <w:tcPr>
            <w:tcW w:w="6957" w:type="dxa"/>
          </w:tcPr>
          <w:p>
            <w:pPr>
              <w:pStyle w:val="9"/>
              <w:widowControl w:val="0"/>
              <w:tabs>
                <w:tab w:val="left" w:pos="651"/>
              </w:tabs>
              <w:spacing w:before="3" w:line="310" w:lineRule="atLeast"/>
              <w:ind w:left="1" w:right="57"/>
              <w:jc w:val="both"/>
              <w:rPr>
                <w:rFonts w:hint="eastAsia"/>
                <w:color w:val="auto"/>
              </w:rPr>
            </w:pPr>
            <w:r>
              <w:rPr>
                <w:rFonts w:hint="eastAsia"/>
                <w:color w:val="auto"/>
              </w:rPr>
              <w:t>(1) 开标时间：详见贵州省政府采购网采购公告或贵州省公共资源交易公共服务平台采购公告。</w:t>
            </w:r>
          </w:p>
          <w:p>
            <w:pPr>
              <w:pStyle w:val="9"/>
              <w:widowControl w:val="0"/>
              <w:tabs>
                <w:tab w:val="left" w:pos="651"/>
              </w:tabs>
              <w:spacing w:before="3" w:line="310" w:lineRule="atLeast"/>
              <w:ind w:left="1" w:right="57"/>
              <w:jc w:val="both"/>
              <w:rPr>
                <w:rFonts w:hint="eastAsia"/>
                <w:color w:val="auto"/>
                <w:lang w:val="en-US"/>
              </w:rPr>
            </w:pPr>
            <w:r>
              <w:rPr>
                <w:rFonts w:hint="eastAsia"/>
                <w:color w:val="auto"/>
              </w:rPr>
              <w:t xml:space="preserve">(2) 开标地点：贵州省公共资源交易中心 (贵州省贵阳市遵义路65号)。投标人通过贵州省公共资源交易公共服务平台参加线上开标会议，对加密的电子投标文件进行解密。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65" w:type="dxa"/>
            <w:vAlign w:val="center"/>
          </w:tcPr>
          <w:p>
            <w:pPr>
              <w:pStyle w:val="9"/>
              <w:widowControl w:val="0"/>
              <w:tabs>
                <w:tab w:val="left" w:pos="651"/>
              </w:tabs>
              <w:spacing w:before="22"/>
              <w:jc w:val="center"/>
              <w:rPr>
                <w:rFonts w:hint="eastAsia"/>
                <w:color w:val="auto"/>
                <w:spacing w:val="-3"/>
                <w:lang w:val="en-US"/>
              </w:rPr>
            </w:pPr>
            <w:r>
              <w:rPr>
                <w:rFonts w:hint="eastAsia"/>
                <w:color w:val="auto"/>
                <w:spacing w:val="-3"/>
              </w:rPr>
              <w:t>评标</w:t>
            </w:r>
          </w:p>
        </w:tc>
        <w:tc>
          <w:tcPr>
            <w:tcW w:w="6957" w:type="dxa"/>
            <w:vAlign w:val="center"/>
          </w:tcPr>
          <w:p>
            <w:pPr>
              <w:pStyle w:val="9"/>
              <w:widowControl w:val="0"/>
              <w:tabs>
                <w:tab w:val="left" w:pos="651"/>
              </w:tabs>
              <w:spacing w:before="22"/>
              <w:jc w:val="both"/>
              <w:rPr>
                <w:rFonts w:hint="eastAsia"/>
                <w:color w:val="auto"/>
                <w:spacing w:val="-3"/>
                <w:lang w:val="en-US"/>
              </w:rPr>
            </w:pPr>
            <w:r>
              <w:rPr>
                <w:rFonts w:hint="eastAsia"/>
                <w:color w:val="auto"/>
                <w:spacing w:val="-3"/>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58" w:firstLine="210" w:firstLineChars="100"/>
              <w:jc w:val="both"/>
              <w:rPr>
                <w:rFonts w:hint="eastAsia"/>
                <w:color w:val="auto"/>
              </w:rPr>
            </w:pPr>
            <w:r>
              <w:rPr>
                <w:rFonts w:hint="eastAsia"/>
                <w:color w:val="auto"/>
              </w:rPr>
              <w:t>开标程序</w:t>
            </w:r>
          </w:p>
        </w:tc>
        <w:tc>
          <w:tcPr>
            <w:tcW w:w="6957" w:type="dxa"/>
          </w:tcPr>
          <w:p>
            <w:pPr>
              <w:widowControl w:val="0"/>
              <w:spacing w:line="360" w:lineRule="auto"/>
              <w:jc w:val="both"/>
            </w:pPr>
            <w:r>
              <w:rPr>
                <w:rFonts w:hint="eastAsia"/>
              </w:rPr>
              <w:t>本项目采用电子招标远程开标，投标人无须到现场递交投标文件和参加开标会议。</w:t>
            </w:r>
          </w:p>
          <w:p>
            <w:pPr>
              <w:widowControl w:val="0"/>
              <w:spacing w:line="360" w:lineRule="auto"/>
              <w:jc w:val="both"/>
            </w:pPr>
            <w:r>
              <w:rPr>
                <w:rFonts w:hint="eastAsia"/>
              </w:rPr>
              <w:t>1.开标准备：投标人应在投标截止时间之前使用数字证书（实体 CA锁或贵州交易通 APP）自行登陆远程开标系统，根据系统检测提示完成开标电脑环境配置。（环境配置及加解密注意事项详见：https://ggzy.guizhou.gov.cn/fwzn/xzzx/czsc/）。</w:t>
            </w:r>
          </w:p>
          <w:p>
            <w:pPr>
              <w:widowControl w:val="0"/>
              <w:spacing w:line="360" w:lineRule="auto"/>
              <w:jc w:val="both"/>
            </w:pPr>
            <w:r>
              <w:rPr>
                <w:rFonts w:hint="eastAsia"/>
              </w:rPr>
              <w:t>2.出现下列情形之一，将予以拒收投标文件：①投标截止时间前未完整上传；②未按规定进行电子签名、加密。③投标截止时间前未交纳投标保证金。</w:t>
            </w:r>
          </w:p>
          <w:p>
            <w:pPr>
              <w:widowControl w:val="0"/>
              <w:spacing w:line="360" w:lineRule="auto"/>
              <w:jc w:val="both"/>
              <w:rPr>
                <w:rFonts w:eastAsia="宋体"/>
              </w:rPr>
            </w:pPr>
            <w:r>
              <w:rPr>
                <w:rFonts w:hint="eastAsia"/>
              </w:rPr>
              <w:t>3.投标文件远程解密：在招标人（代理机构）发出解密指令后，投标人应使用加密投标文件的数字证书（实体 CA 锁或贵州交易通APP），在 30 分钟内完成解密。如因投标人网络问题、访问设备终端问题、未按操作手册要求完成设备环境设置或检测、解密数字证书发生故障或用错等，导致投标文件未在规定时间内完成解密，视为无效投标文件。（环境配置及加解密注意事项详见：https://ggzy.guizhou.gov.cn/fwzn/xzzx/czsc/）。</w:t>
            </w:r>
          </w:p>
          <w:p>
            <w:pPr>
              <w:widowControl w:val="0"/>
              <w:spacing w:line="360" w:lineRule="auto"/>
              <w:jc w:val="both"/>
            </w:pPr>
            <w:r>
              <w:rPr>
                <w:rFonts w:hint="eastAsia"/>
              </w:rPr>
              <w:t>4.开标结果确认：投标人在解密完成后，应对投标内容进行确认，确认时间为 10 分钟。未在规定时间内对投标内容进行确认且未提</w:t>
            </w:r>
          </w:p>
          <w:p>
            <w:pPr>
              <w:widowControl w:val="0"/>
              <w:spacing w:line="360" w:lineRule="auto"/>
              <w:jc w:val="both"/>
            </w:pPr>
            <w:r>
              <w:rPr>
                <w:rFonts w:hint="eastAsia"/>
              </w:rPr>
              <w:t>出异议（质疑）的，视为默认开标结果。</w:t>
            </w:r>
          </w:p>
          <w:p>
            <w:pPr>
              <w:widowControl w:val="0"/>
              <w:spacing w:line="360" w:lineRule="auto"/>
              <w:jc w:val="both"/>
            </w:pPr>
            <w:r>
              <w:rPr>
                <w:rFonts w:hint="eastAsia"/>
              </w:rPr>
              <w:t>5.公开开标信息：确认投标信息后，系统生成开标记录表，内容包</w:t>
            </w:r>
          </w:p>
          <w:p>
            <w:pPr>
              <w:widowControl w:val="0"/>
              <w:spacing w:line="360" w:lineRule="auto"/>
              <w:jc w:val="both"/>
            </w:pPr>
            <w:r>
              <w:rPr>
                <w:rFonts w:hint="eastAsia"/>
              </w:rPr>
              <w:t>含所有投标人名称和招标文件规定的其他内容，并将开标记录表在网上开标系统内公开。</w:t>
            </w:r>
          </w:p>
          <w:p>
            <w:pPr>
              <w:widowControl w:val="0"/>
              <w:spacing w:line="360" w:lineRule="auto"/>
              <w:jc w:val="both"/>
            </w:pPr>
            <w:r>
              <w:rPr>
                <w:rFonts w:hint="eastAsia"/>
              </w:rPr>
              <w:t>6.投标人如发现系统提取的自身投标信息不正确的，可通过远程开标系统向招标人（代理机构）提出更改意见。</w:t>
            </w:r>
          </w:p>
          <w:p>
            <w:pPr>
              <w:widowControl w:val="0"/>
              <w:spacing w:line="360" w:lineRule="auto"/>
              <w:jc w:val="both"/>
            </w:pPr>
            <w:r>
              <w:rPr>
                <w:rFonts w:hint="eastAsia"/>
              </w:rPr>
              <w:t>7.开标结束。</w:t>
            </w:r>
          </w:p>
          <w:p>
            <w:pPr>
              <w:widowControl w:val="0"/>
              <w:spacing w:line="360" w:lineRule="auto"/>
              <w:jc w:val="both"/>
            </w:pPr>
            <w:r>
              <w:rPr>
                <w:rFonts w:hint="eastAsia"/>
              </w:rPr>
              <w:t>8. 若出现下列情形之一的，暂停项目开标，并根据实际情况向监督部门报告：</w:t>
            </w:r>
          </w:p>
          <w:p>
            <w:pPr>
              <w:widowControl w:val="0"/>
              <w:spacing w:line="360" w:lineRule="auto"/>
              <w:jc w:val="both"/>
            </w:pPr>
            <w:r>
              <w:rPr>
                <w:rFonts w:hint="eastAsia"/>
              </w:rPr>
              <w:t>①交易系统发生服务器故障、业务系统故障、数据库故障等，导致无法正常访问网站或无法正常使用交易系统；</w:t>
            </w:r>
          </w:p>
          <w:p>
            <w:pPr>
              <w:widowControl w:val="0"/>
              <w:spacing w:line="360" w:lineRule="auto"/>
              <w:jc w:val="both"/>
            </w:pPr>
            <w:r>
              <w:rPr>
                <w:rFonts w:hint="eastAsia"/>
              </w:rPr>
              <w:t>②受到网络攻击或发生安全漏洞等问题，导致交易系统有潜在泄密风险；</w:t>
            </w:r>
          </w:p>
          <w:p>
            <w:pPr>
              <w:widowControl w:val="0"/>
              <w:spacing w:line="360" w:lineRule="auto"/>
              <w:jc w:val="both"/>
            </w:pPr>
            <w:r>
              <w:rPr>
                <w:rFonts w:hint="eastAsia"/>
              </w:rPr>
              <w:t>③发生计算机病毒，导致交易系统无法正常运行；</w:t>
            </w:r>
          </w:p>
          <w:p>
            <w:pPr>
              <w:widowControl w:val="0"/>
              <w:spacing w:line="360" w:lineRule="auto"/>
              <w:jc w:val="both"/>
            </w:pPr>
            <w:r>
              <w:rPr>
                <w:rFonts w:hint="eastAsia"/>
              </w:rPr>
              <w:t>④发生电力或网络故障，导致交易系统无法运行；</w:t>
            </w:r>
          </w:p>
          <w:p>
            <w:pPr>
              <w:widowControl w:val="0"/>
              <w:spacing w:line="360" w:lineRule="auto"/>
              <w:jc w:val="both"/>
            </w:pPr>
            <w:r>
              <w:rPr>
                <w:rFonts w:hint="eastAsia"/>
              </w:rPr>
              <w:t>⑤其他非投标人原因，导致开标无法正常进行。</w:t>
            </w:r>
          </w:p>
          <w:p>
            <w:pPr>
              <w:pStyle w:val="9"/>
              <w:widowControl w:val="0"/>
              <w:spacing w:before="43" w:line="266" w:lineRule="exact"/>
              <w:jc w:val="both"/>
              <w:rPr>
                <w:rFonts w:hint="eastAsia"/>
                <w:color w:val="auto"/>
              </w:rPr>
            </w:pPr>
            <w:r>
              <w:rPr>
                <w:rFonts w:hint="eastAsia"/>
              </w:rPr>
              <w:t>若发生的故障在三个小时内排除，则重新启动项目开标；若三个小时内未排除故障，则另行通知开标时间</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widowControl w:val="0"/>
              <w:spacing w:before="78" w:line="257" w:lineRule="auto"/>
              <w:ind w:right="-181" w:rightChars="-86"/>
              <w:jc w:val="both"/>
              <w:rPr>
                <w:rFonts w:hint="eastAsia" w:ascii="宋体" w:hAnsi="宋体" w:eastAsia="宋体" w:cs="宋体"/>
                <w:color w:val="auto"/>
              </w:rPr>
            </w:pPr>
            <w:r>
              <w:rPr>
                <w:rFonts w:hint="eastAsia" w:ascii="宋体" w:hAnsi="宋体" w:eastAsia="宋体" w:cs="宋体"/>
                <w:color w:val="auto"/>
                <w:spacing w:val="8"/>
              </w:rPr>
              <w:t>履</w:t>
            </w:r>
            <w:r>
              <w:rPr>
                <w:rFonts w:hint="eastAsia" w:ascii="宋体" w:hAnsi="宋体" w:eastAsia="宋体" w:cs="宋体"/>
                <w:color w:val="auto"/>
                <w:spacing w:val="7"/>
              </w:rPr>
              <w:t>约保证金</w:t>
            </w:r>
          </w:p>
        </w:tc>
        <w:tc>
          <w:tcPr>
            <w:tcW w:w="6957" w:type="dxa"/>
            <w:vAlign w:val="center"/>
          </w:tcPr>
          <w:p>
            <w:pPr>
              <w:widowControl w:val="0"/>
              <w:spacing w:before="21" w:line="233" w:lineRule="auto"/>
              <w:ind w:right="-181" w:rightChars="-86"/>
              <w:jc w:val="both"/>
              <w:rPr>
                <w:rFonts w:hint="eastAsia" w:ascii="宋体" w:hAnsi="宋体" w:eastAsia="宋体" w:cs="宋体"/>
                <w:color w:val="auto"/>
              </w:rPr>
            </w:pPr>
            <w:r>
              <w:rPr>
                <w:rFonts w:hint="eastAsia" w:ascii="宋体" w:hAnsi="宋体" w:eastAsia="宋体" w:cs="宋体"/>
                <w:color w:val="auto"/>
                <w:spacing w:val="10"/>
              </w:rPr>
              <w:t>是</w:t>
            </w:r>
            <w:r>
              <w:rPr>
                <w:rFonts w:hint="eastAsia" w:ascii="宋体" w:hAnsi="宋体" w:eastAsia="宋体" w:cs="宋体"/>
                <w:color w:val="auto"/>
                <w:spacing w:val="7"/>
              </w:rPr>
              <w:t>否需要提交：否。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58"/>
              <w:jc w:val="both"/>
              <w:rPr>
                <w:rFonts w:hint="eastAsia"/>
                <w:color w:val="auto"/>
              </w:rPr>
            </w:pPr>
            <w:r>
              <w:rPr>
                <w:rFonts w:hint="eastAsia"/>
                <w:color w:val="auto"/>
              </w:rPr>
              <w:t>招标代理服务费</w:t>
            </w:r>
          </w:p>
        </w:tc>
        <w:tc>
          <w:tcPr>
            <w:tcW w:w="6957" w:type="dxa"/>
          </w:tcPr>
          <w:p>
            <w:pPr>
              <w:pStyle w:val="9"/>
              <w:widowControl w:val="0"/>
              <w:tabs>
                <w:tab w:val="left" w:pos="651"/>
              </w:tabs>
              <w:spacing w:before="25"/>
              <w:ind w:left="120"/>
              <w:jc w:val="both"/>
              <w:rPr>
                <w:rFonts w:hint="eastAsia"/>
                <w:color w:val="auto"/>
              </w:rPr>
            </w:pPr>
            <w:r>
              <w:rPr>
                <w:rFonts w:hint="eastAsia"/>
                <w:color w:val="auto"/>
              </w:rPr>
              <w:t xml:space="preserve"> </w:t>
            </w:r>
          </w:p>
          <w:p>
            <w:pPr>
              <w:pStyle w:val="9"/>
              <w:widowControl w:val="0"/>
              <w:numPr>
                <w:ilvl w:val="0"/>
                <w:numId w:val="2"/>
              </w:numPr>
              <w:tabs>
                <w:tab w:val="left" w:pos="651"/>
              </w:tabs>
              <w:spacing w:before="43" w:line="278" w:lineRule="auto"/>
              <w:ind w:left="121" w:right="165" w:firstLine="0"/>
              <w:jc w:val="both"/>
              <w:rPr>
                <w:rFonts w:hint="eastAsia"/>
                <w:color w:val="auto"/>
              </w:rPr>
            </w:pPr>
            <w:r>
              <w:rPr>
                <w:rFonts w:hint="eastAsia"/>
                <w:color w:val="auto"/>
                <w:spacing w:val="-3"/>
              </w:rPr>
              <w:t>招标代理服务费收费标准：参照国家发展计划委员会《招标代理服务收费管理暂行办法》（计价格[2002]1980号文）计价标准计算，由中标人支付</w:t>
            </w:r>
            <w:r>
              <w:rPr>
                <w:rFonts w:hint="eastAsia"/>
                <w:color w:val="auto"/>
                <w:spacing w:val="-3"/>
                <w:lang w:val="en-US"/>
              </w:rPr>
              <w:t xml:space="preserve"> </w:t>
            </w:r>
            <w:r>
              <w:rPr>
                <w:rFonts w:hint="eastAsia"/>
                <w:color w:val="auto"/>
                <w:spacing w:val="-3"/>
              </w:rPr>
              <w:t>。</w:t>
            </w:r>
            <w:r>
              <w:rPr>
                <w:rFonts w:hint="eastAsia"/>
                <w:color w:val="auto"/>
              </w:rPr>
              <w:t xml:space="preserve"> </w:t>
            </w:r>
          </w:p>
          <w:p>
            <w:pPr>
              <w:pStyle w:val="9"/>
              <w:widowControl w:val="0"/>
              <w:numPr>
                <w:ilvl w:val="0"/>
                <w:numId w:val="2"/>
              </w:numPr>
              <w:tabs>
                <w:tab w:val="left" w:pos="651"/>
              </w:tabs>
              <w:ind w:hanging="530"/>
              <w:jc w:val="both"/>
              <w:rPr>
                <w:rFonts w:hint="eastAsia"/>
                <w:color w:val="auto"/>
              </w:rPr>
            </w:pPr>
            <w:r>
              <w:rPr>
                <w:rFonts w:hint="eastAsia"/>
                <w:color w:val="auto"/>
                <w:spacing w:val="-3"/>
              </w:rPr>
              <w:t>中标人在领取中标通知书时缴纳招标代理服务费。</w:t>
            </w:r>
            <w:r>
              <w:rPr>
                <w:rFonts w:hint="eastAsia"/>
                <w:color w:val="auto"/>
              </w:rPr>
              <w:t xml:space="preserve"> </w:t>
            </w:r>
          </w:p>
          <w:p>
            <w:pPr>
              <w:pStyle w:val="9"/>
              <w:widowControl w:val="0"/>
              <w:numPr>
                <w:ilvl w:val="0"/>
                <w:numId w:val="2"/>
              </w:numPr>
              <w:tabs>
                <w:tab w:val="left" w:pos="651"/>
              </w:tabs>
              <w:spacing w:before="43" w:line="278" w:lineRule="auto"/>
              <w:ind w:left="121" w:right="-79" w:firstLine="0"/>
              <w:jc w:val="both"/>
              <w:rPr>
                <w:rFonts w:hint="eastAsia"/>
                <w:color w:val="auto"/>
              </w:rPr>
            </w:pPr>
            <w:r>
              <w:rPr>
                <w:rFonts w:hint="eastAsia"/>
                <w:color w:val="auto"/>
                <w:spacing w:val="-3"/>
              </w:rPr>
              <w:t>招标代理服务费缴纳账户：</w:t>
            </w:r>
          </w:p>
          <w:p>
            <w:pPr>
              <w:pStyle w:val="9"/>
              <w:widowControl w:val="0"/>
              <w:tabs>
                <w:tab w:val="left" w:pos="651"/>
              </w:tabs>
              <w:spacing w:before="25"/>
              <w:ind w:left="120"/>
              <w:jc w:val="both"/>
              <w:rPr>
                <w:rFonts w:hint="eastAsia"/>
                <w:color w:val="auto"/>
                <w:spacing w:val="-3"/>
              </w:rPr>
            </w:pPr>
            <w:r>
              <w:rPr>
                <w:rFonts w:hint="eastAsia"/>
                <w:color w:val="auto"/>
                <w:spacing w:val="-3"/>
              </w:rPr>
              <w:t xml:space="preserve">户  名：贵州聚龙项目投资咨询有限公司遵义分公司 </w:t>
            </w:r>
          </w:p>
          <w:p>
            <w:pPr>
              <w:pStyle w:val="9"/>
              <w:widowControl w:val="0"/>
              <w:tabs>
                <w:tab w:val="left" w:pos="651"/>
              </w:tabs>
              <w:spacing w:before="25"/>
              <w:ind w:left="120"/>
              <w:jc w:val="both"/>
              <w:rPr>
                <w:rFonts w:hint="eastAsia"/>
                <w:color w:val="auto"/>
                <w:spacing w:val="-3"/>
              </w:rPr>
            </w:pPr>
            <w:r>
              <w:rPr>
                <w:rFonts w:hint="eastAsia"/>
                <w:color w:val="auto"/>
                <w:spacing w:val="-3"/>
              </w:rPr>
              <w:t xml:space="preserve">账  号：0202001800001192 </w:t>
            </w:r>
          </w:p>
          <w:p>
            <w:pPr>
              <w:pStyle w:val="9"/>
              <w:widowControl w:val="0"/>
              <w:tabs>
                <w:tab w:val="left" w:pos="651"/>
              </w:tabs>
              <w:spacing w:before="25"/>
              <w:ind w:left="120"/>
              <w:jc w:val="both"/>
              <w:rPr>
                <w:rFonts w:hint="eastAsia"/>
                <w:color w:val="auto"/>
                <w:spacing w:val="-3"/>
              </w:rPr>
            </w:pPr>
            <w:r>
              <w:rPr>
                <w:rFonts w:hint="eastAsia"/>
                <w:color w:val="auto"/>
                <w:spacing w:val="-3"/>
              </w:rPr>
              <w:t xml:space="preserve">开户行：贵州银行股份有限公司遵义分行营业部 </w:t>
            </w:r>
          </w:p>
          <w:p>
            <w:pPr>
              <w:pStyle w:val="9"/>
              <w:widowControl w:val="0"/>
              <w:spacing w:before="43" w:line="266" w:lineRule="exact"/>
              <w:ind w:firstLine="210" w:firstLineChars="100"/>
              <w:jc w:val="both"/>
              <w:rPr>
                <w:rFonts w:hint="eastAsia"/>
                <w:color w:val="auto"/>
              </w:rPr>
            </w:pPr>
            <w:r>
              <w:rPr>
                <w:rFonts w:hint="eastAsia"/>
                <w:color w:val="auto"/>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58"/>
              <w:jc w:val="both"/>
              <w:rPr>
                <w:rFonts w:hint="eastAsia" w:eastAsia="宋体"/>
                <w:color w:val="auto"/>
                <w:lang w:eastAsia="zh-CN"/>
              </w:rPr>
            </w:pPr>
            <w:r>
              <w:rPr>
                <w:rFonts w:hint="eastAsia"/>
                <w:color w:val="auto"/>
                <w:lang w:eastAsia="zh-CN"/>
              </w:rPr>
              <w:t>现场踏勘</w:t>
            </w:r>
          </w:p>
        </w:tc>
        <w:tc>
          <w:tcPr>
            <w:tcW w:w="6957" w:type="dxa"/>
          </w:tcPr>
          <w:p>
            <w:pPr>
              <w:pStyle w:val="9"/>
              <w:widowControl w:val="0"/>
              <w:spacing w:before="43" w:line="266" w:lineRule="exact"/>
              <w:ind w:firstLine="210" w:firstLineChars="100"/>
              <w:jc w:val="both"/>
              <w:rPr>
                <w:rFonts w:hint="eastAsia" w:eastAsia="宋体"/>
                <w:color w:val="auto"/>
                <w:lang w:val="en-US" w:eastAsia="zh-CN"/>
              </w:rPr>
            </w:pPr>
            <w:r>
              <w:rPr>
                <w:rFonts w:hint="eastAsia"/>
                <w:color w:val="auto"/>
                <w:lang w:val="en-US" w:eastAsia="zh-CN"/>
              </w:rPr>
              <w:t>采购人不统一组织踏勘，供应商自行踏勘。</w:t>
            </w:r>
          </w:p>
        </w:tc>
      </w:tr>
    </w:tbl>
    <w:p>
      <w:pPr>
        <w:rPr>
          <w:color w:val="auto"/>
        </w:rPr>
        <w:sectPr>
          <w:footerReference r:id="rId3" w:type="default"/>
          <w:pgSz w:w="11905" w:h="16839"/>
          <w:pgMar w:top="400" w:right="1680" w:bottom="447" w:left="1685" w:header="0" w:footer="208" w:gutter="0"/>
          <w:cols w:space="720" w:num="1"/>
        </w:sectPr>
      </w:pPr>
    </w:p>
    <w:p>
      <w:pPr>
        <w:rPr>
          <w:color w:val="auto"/>
        </w:rPr>
      </w:pPr>
    </w:p>
    <w:p>
      <w:pPr>
        <w:rPr>
          <w:color w:val="auto"/>
        </w:rPr>
      </w:pPr>
    </w:p>
    <w:p>
      <w:pPr>
        <w:rPr>
          <w:color w:val="auto"/>
        </w:rPr>
      </w:pPr>
    </w:p>
    <w:p>
      <w:pPr>
        <w:spacing w:line="244" w:lineRule="auto"/>
        <w:rPr>
          <w:color w:val="auto"/>
        </w:rPr>
      </w:pPr>
    </w:p>
    <w:p>
      <w:pPr>
        <w:spacing w:before="104" w:line="220" w:lineRule="auto"/>
        <w:ind w:left="2490"/>
        <w:outlineLvl w:val="0"/>
        <w:rPr>
          <w:color w:val="auto"/>
        </w:rPr>
      </w:pPr>
      <w:bookmarkStart w:id="0" w:name="_bookmark10"/>
      <w:bookmarkEnd w:id="0"/>
      <w:bookmarkStart w:id="1" w:name="_Toc31866"/>
      <w:r>
        <w:rPr>
          <w:rFonts w:ascii="微软雅黑" w:hAnsi="微软雅黑" w:eastAsia="微软雅黑" w:cs="微软雅黑"/>
          <w:color w:val="auto"/>
          <w:spacing w:val="12"/>
          <w:sz w:val="31"/>
          <w:szCs w:val="31"/>
        </w:rPr>
        <w:t>第三章 供应商须知正文</w:t>
      </w:r>
      <w:bookmarkEnd w:id="1"/>
    </w:p>
    <w:p>
      <w:pPr>
        <w:spacing w:line="243" w:lineRule="auto"/>
        <w:rPr>
          <w:color w:val="auto"/>
        </w:rPr>
      </w:pPr>
    </w:p>
    <w:p>
      <w:pPr>
        <w:spacing w:before="104" w:line="220" w:lineRule="auto"/>
        <w:ind w:left="2746"/>
        <w:outlineLvl w:val="1"/>
        <w:rPr>
          <w:rFonts w:hint="eastAsia" w:ascii="宋体" w:hAnsi="宋体" w:eastAsia="宋体" w:cs="宋体"/>
          <w:color w:val="auto"/>
          <w:sz w:val="32"/>
          <w:szCs w:val="32"/>
        </w:rPr>
      </w:pPr>
      <w:bookmarkStart w:id="2" w:name="_bookmark12"/>
      <w:bookmarkEnd w:id="2"/>
      <w:bookmarkStart w:id="3" w:name="_bookmark11"/>
      <w:bookmarkEnd w:id="3"/>
      <w:bookmarkStart w:id="4" w:name="_bookmark13"/>
      <w:bookmarkEnd w:id="4"/>
      <w:r>
        <w:rPr>
          <w:rFonts w:ascii="宋体" w:hAnsi="宋体" w:eastAsia="宋体" w:cs="宋体"/>
          <w:color w:val="auto"/>
          <w:spacing w:val="-20"/>
          <w:sz w:val="32"/>
          <w:szCs w:val="32"/>
        </w:rPr>
        <w:t>一</w:t>
      </w:r>
      <w:r>
        <w:rPr>
          <w:rFonts w:ascii="宋体" w:hAnsi="宋体" w:eastAsia="宋体" w:cs="宋体"/>
          <w:color w:val="auto"/>
          <w:spacing w:val="-17"/>
          <w:sz w:val="32"/>
          <w:szCs w:val="32"/>
        </w:rPr>
        <w:t>、 供应商须知正文</w:t>
      </w:r>
    </w:p>
    <w:p>
      <w:pPr>
        <w:spacing w:line="286" w:lineRule="auto"/>
        <w:rPr>
          <w:color w:val="auto"/>
        </w:rPr>
      </w:pPr>
    </w:p>
    <w:p>
      <w:pPr>
        <w:spacing w:before="78" w:line="218" w:lineRule="auto"/>
        <w:ind w:left="3035"/>
        <w:outlineLvl w:val="2"/>
        <w:rPr>
          <w:rFonts w:hint="eastAsia" w:ascii="宋体" w:hAnsi="宋体" w:eastAsia="宋体" w:cs="宋体"/>
          <w:color w:val="auto"/>
          <w:sz w:val="24"/>
          <w:szCs w:val="24"/>
        </w:rPr>
      </w:pPr>
      <w:r>
        <w:rPr>
          <w:rFonts w:ascii="宋体" w:hAnsi="宋体" w:eastAsia="宋体" w:cs="宋体"/>
          <w:color w:val="auto"/>
          <w:spacing w:val="-1"/>
          <w:sz w:val="24"/>
          <w:szCs w:val="24"/>
        </w:rPr>
        <w:t>第一节 发布采</w:t>
      </w:r>
      <w:r>
        <w:rPr>
          <w:rFonts w:ascii="宋体" w:hAnsi="宋体" w:eastAsia="宋体" w:cs="宋体"/>
          <w:color w:val="auto"/>
          <w:sz w:val="24"/>
          <w:szCs w:val="24"/>
        </w:rPr>
        <w:t>购公告</w:t>
      </w:r>
    </w:p>
    <w:p>
      <w:pPr>
        <w:spacing w:before="284" w:line="218" w:lineRule="auto"/>
        <w:rPr>
          <w:rFonts w:hint="eastAsia" w:ascii="宋体" w:hAnsi="宋体" w:eastAsia="宋体" w:cs="宋体"/>
          <w:sz w:val="22"/>
          <w:szCs w:val="22"/>
        </w:rPr>
      </w:pPr>
      <w:r>
        <w:rPr>
          <w:rFonts w:ascii="宋体" w:hAnsi="宋体" w:eastAsia="宋体" w:cs="宋体"/>
          <w:spacing w:val="-3"/>
          <w:sz w:val="22"/>
          <w:szCs w:val="22"/>
        </w:rPr>
        <w:t>一、公告发布媒体</w:t>
      </w:r>
    </w:p>
    <w:p>
      <w:pPr>
        <w:spacing w:before="168" w:line="358" w:lineRule="auto"/>
        <w:ind w:right="11" w:firstLine="440" w:firstLineChars="200"/>
        <w:rPr>
          <w:rFonts w:hint="eastAsia" w:ascii="宋体" w:hAnsi="宋体" w:eastAsia="宋体" w:cs="宋体"/>
          <w:sz w:val="22"/>
          <w:szCs w:val="22"/>
        </w:rPr>
      </w:pPr>
      <w:r>
        <w:rPr>
          <w:rFonts w:ascii="宋体" w:hAnsi="宋体" w:eastAsia="宋体" w:cs="宋体"/>
          <w:sz w:val="22"/>
          <w:szCs w:val="22"/>
        </w:rPr>
        <w:t>全国公共资源交易平台（贵州省•省中心</w:t>
      </w:r>
      <w:r>
        <w:rPr>
          <w:rFonts w:ascii="宋体" w:hAnsi="宋体" w:eastAsia="宋体" w:cs="宋体"/>
          <w:spacing w:val="-7"/>
          <w:sz w:val="22"/>
          <w:szCs w:val="22"/>
        </w:rPr>
        <w:t>）（</w:t>
      </w:r>
      <w:r>
        <w:fldChar w:fldCharType="begin"/>
      </w:r>
      <w:r>
        <w:instrText xml:space="preserve"> HYPERLINK "http://ggzy.guizhou.gov.cn/" </w:instrText>
      </w:r>
      <w:r>
        <w:fldChar w:fldCharType="separate"/>
      </w:r>
      <w:r>
        <w:rPr>
          <w:rFonts w:ascii="宋体" w:hAnsi="宋体" w:eastAsia="宋体" w:cs="宋体"/>
          <w:sz w:val="22"/>
          <w:szCs w:val="22"/>
        </w:rPr>
        <w:t>http://ggzy.guiz</w:t>
      </w:r>
      <w:r>
        <w:rPr>
          <w:rFonts w:ascii="宋体" w:hAnsi="宋体" w:eastAsia="宋体" w:cs="宋体"/>
          <w:spacing w:val="-1"/>
          <w:sz w:val="22"/>
          <w:szCs w:val="22"/>
        </w:rPr>
        <w:t>hou.gov.cn/</w:t>
      </w:r>
      <w:r>
        <w:rPr>
          <w:rFonts w:ascii="宋体" w:hAnsi="宋体" w:eastAsia="宋体" w:cs="宋体"/>
          <w:spacing w:val="-1"/>
          <w:sz w:val="22"/>
          <w:szCs w:val="22"/>
        </w:rPr>
        <w:fldChar w:fldCharType="end"/>
      </w:r>
      <w:r>
        <w:rPr>
          <w:rFonts w:ascii="宋体" w:hAnsi="宋体" w:eastAsia="宋体" w:cs="宋体"/>
          <w:spacing w:val="-1"/>
          <w:sz w:val="22"/>
          <w:szCs w:val="22"/>
        </w:rPr>
        <w:t>）</w:t>
      </w:r>
      <w:r>
        <w:rPr>
          <w:rFonts w:ascii="宋体" w:hAnsi="宋体" w:eastAsia="宋体" w:cs="宋体"/>
          <w:spacing w:val="1"/>
          <w:sz w:val="22"/>
          <w:szCs w:val="22"/>
        </w:rPr>
        <w:t xml:space="preserve"> </w:t>
      </w:r>
      <w:r>
        <w:rPr>
          <w:rFonts w:ascii="宋体" w:hAnsi="宋体" w:eastAsia="宋体" w:cs="宋体"/>
          <w:spacing w:val="-1"/>
          <w:sz w:val="22"/>
          <w:szCs w:val="22"/>
        </w:rPr>
        <w:t>、贵州省政府采购网（</w:t>
      </w:r>
      <w:r>
        <w:fldChar w:fldCharType="begin"/>
      </w:r>
      <w:r>
        <w:instrText xml:space="preserve"> HYPERLINK "http://www.ccgp-guizhou.gov.cn/" </w:instrText>
      </w:r>
      <w:r>
        <w:fldChar w:fldCharType="separate"/>
      </w:r>
      <w:r>
        <w:rPr>
          <w:rFonts w:ascii="宋体" w:hAnsi="宋体" w:eastAsia="宋体" w:cs="宋体"/>
          <w:spacing w:val="-1"/>
          <w:sz w:val="22"/>
          <w:szCs w:val="22"/>
        </w:rPr>
        <w:t>http://www.ccgp-guizhou.gov.cn/</w:t>
      </w:r>
      <w:r>
        <w:rPr>
          <w:rFonts w:ascii="宋体" w:hAnsi="宋体" w:eastAsia="宋体" w:cs="宋体"/>
          <w:spacing w:val="-1"/>
          <w:sz w:val="22"/>
          <w:szCs w:val="22"/>
        </w:rPr>
        <w:fldChar w:fldCharType="end"/>
      </w:r>
      <w:r>
        <w:rPr>
          <w:rFonts w:ascii="宋体" w:hAnsi="宋体" w:eastAsia="宋体" w:cs="宋体"/>
          <w:spacing w:val="-1"/>
          <w:sz w:val="22"/>
          <w:szCs w:val="22"/>
        </w:rPr>
        <w:t>）</w:t>
      </w:r>
    </w:p>
    <w:p>
      <w:pPr>
        <w:spacing w:before="2" w:line="218" w:lineRule="auto"/>
        <w:rPr>
          <w:rFonts w:hint="eastAsia" w:ascii="宋体" w:hAnsi="宋体" w:eastAsia="宋体" w:cs="宋体"/>
          <w:sz w:val="22"/>
          <w:szCs w:val="22"/>
        </w:rPr>
      </w:pPr>
      <w:r>
        <w:rPr>
          <w:rFonts w:ascii="宋体" w:hAnsi="宋体" w:eastAsia="宋体" w:cs="宋体"/>
          <w:spacing w:val="-2"/>
          <w:sz w:val="22"/>
          <w:szCs w:val="22"/>
        </w:rPr>
        <w:t>二、变更公告</w:t>
      </w:r>
    </w:p>
    <w:p>
      <w:pPr>
        <w:spacing w:before="168" w:line="360" w:lineRule="auto"/>
        <w:ind w:right="11" w:firstLine="432" w:firstLineChars="200"/>
        <w:jc w:val="both"/>
        <w:rPr>
          <w:rFonts w:hint="eastAsia" w:ascii="宋体" w:hAnsi="宋体" w:eastAsia="宋体" w:cs="宋体"/>
          <w:sz w:val="22"/>
          <w:szCs w:val="22"/>
        </w:rPr>
      </w:pPr>
      <w:r>
        <w:rPr>
          <w:rFonts w:ascii="宋体" w:hAnsi="宋体" w:eastAsia="宋体" w:cs="宋体"/>
          <w:spacing w:val="-2"/>
          <w:sz w:val="22"/>
          <w:szCs w:val="22"/>
        </w:rPr>
        <w:t>本项目将根据实际情况及需要，发布技术参数、开评标时间调整等有关内容的</w:t>
      </w:r>
      <w:r>
        <w:rPr>
          <w:rFonts w:ascii="宋体" w:hAnsi="宋体" w:eastAsia="宋体" w:cs="宋体"/>
          <w:spacing w:val="6"/>
          <w:sz w:val="22"/>
          <w:szCs w:val="22"/>
        </w:rPr>
        <w:t xml:space="preserve"> </w:t>
      </w:r>
      <w:r>
        <w:rPr>
          <w:rFonts w:ascii="宋体" w:hAnsi="宋体" w:eastAsia="宋体" w:cs="宋体"/>
          <w:sz w:val="22"/>
          <w:szCs w:val="22"/>
        </w:rPr>
        <w:t>变更公告。供应商须关注全国公共资源交易平台（贵州省•</w:t>
      </w:r>
      <w:r>
        <w:rPr>
          <w:rFonts w:ascii="宋体" w:hAnsi="宋体" w:eastAsia="宋体" w:cs="宋体"/>
          <w:spacing w:val="-1"/>
          <w:sz w:val="22"/>
          <w:szCs w:val="22"/>
        </w:rPr>
        <w:t>省中心）变更公告栏及</w:t>
      </w:r>
      <w:r>
        <w:rPr>
          <w:rFonts w:ascii="宋体" w:hAnsi="宋体" w:eastAsia="宋体" w:cs="宋体"/>
          <w:spacing w:val="-2"/>
          <w:sz w:val="22"/>
          <w:szCs w:val="22"/>
        </w:rPr>
        <w:t>其他有关网站和媒体发布的关于本项目的变更公告。变更公告是采购文件的组成部</w:t>
      </w:r>
      <w:r>
        <w:rPr>
          <w:rFonts w:ascii="宋体" w:hAnsi="宋体" w:eastAsia="宋体" w:cs="宋体"/>
          <w:spacing w:val="-3"/>
          <w:sz w:val="22"/>
          <w:szCs w:val="22"/>
        </w:rPr>
        <w:t>分，与采购文件具有同等法律效力。</w:t>
      </w:r>
    </w:p>
    <w:p>
      <w:pPr>
        <w:spacing w:before="203" w:line="219" w:lineRule="auto"/>
        <w:ind w:left="3035"/>
        <w:outlineLvl w:val="2"/>
        <w:rPr>
          <w:rFonts w:hint="eastAsia" w:ascii="宋体" w:hAnsi="宋体" w:eastAsia="宋体" w:cs="宋体"/>
          <w:color w:val="auto"/>
          <w:sz w:val="24"/>
          <w:szCs w:val="24"/>
        </w:rPr>
      </w:pPr>
      <w:r>
        <w:rPr>
          <w:rFonts w:ascii="宋体" w:hAnsi="宋体" w:eastAsia="宋体" w:cs="宋体"/>
          <w:color w:val="auto"/>
          <w:spacing w:val="-1"/>
          <w:sz w:val="24"/>
          <w:szCs w:val="24"/>
        </w:rPr>
        <w:t>第二节 获取采</w:t>
      </w:r>
      <w:r>
        <w:rPr>
          <w:rFonts w:ascii="宋体" w:hAnsi="宋体" w:eastAsia="宋体" w:cs="宋体"/>
          <w:color w:val="auto"/>
          <w:sz w:val="24"/>
          <w:szCs w:val="24"/>
        </w:rPr>
        <w:t>购文件</w:t>
      </w:r>
    </w:p>
    <w:p>
      <w:pPr>
        <w:rPr>
          <w:color w:val="auto"/>
        </w:rPr>
      </w:pPr>
      <w:r>
        <w:rPr>
          <w:color w:val="auto"/>
        </w:rPr>
        <w:t>一、获取时间</w:t>
      </w:r>
    </w:p>
    <w:p>
      <w:pPr>
        <w:spacing w:line="254" w:lineRule="auto"/>
        <w:rPr>
          <w:color w:val="auto"/>
        </w:rPr>
      </w:pP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以本项目公告时间为准。若发布更正公告，以更正公告时间为准。</w:t>
      </w:r>
    </w:p>
    <w:p>
      <w:pPr>
        <w:rPr>
          <w:color w:val="auto"/>
        </w:rPr>
      </w:pPr>
      <w:r>
        <w:rPr>
          <w:color w:val="auto"/>
        </w:rPr>
        <w:t>二、采购文件的澄清和修改</w:t>
      </w:r>
    </w:p>
    <w:p>
      <w:pPr>
        <w:rPr>
          <w:color w:val="auto"/>
        </w:rPr>
      </w:pP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一）采购文件的澄清和修改：采购人或者采购代理机构可以对已发出的采购文件进行必要的澄清或者修改。澄清或者修改的内容可能影响投标文件编制的，采购人或者采购代理机构应当在投标截止时间至少15日前，以书面形式通知所有获取采购文件的潜在供应商；不足15日的，采购人或者采购代理机构应当顺延提交投标文件的截止时间。补充变更文件是采购文件的组成部分，对所有供应商均具有约束力。所有采购文件的补充、变更将以变更公告形式发布。</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二）项目延期：采购人可以视采购具体情况，延长投标截止时间和开标时间,但至少应当在采购文件要求提交投标文件的截止时间三日前，将变更时间书面通知所有采购文件收受人，并在财政部门指定的政府采购信息发布媒体上发布变更公告。</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（三）采购文件的质疑：供应商或潜在供应商对采购文件中存在的任何含糊、 遗漏、相互矛盾之处，或对技术规格及其他条件不清楚，或采购文件具有不合理、 不公平、歧视性、限制性、指向性条款损害潜在供应商权益的，或供应商有疑问的其他事项，供应商或潜在供应商可向采购人或代理机构提出书面质疑，对采购人或采购代理机构质疑回复不满意的可向主管财政部门进行投诉。未递交质疑函的视为充分理解并认可采购文件及补充变更的所有内容。</w:t>
      </w:r>
    </w:p>
    <w:p>
      <w:pPr>
        <w:spacing w:before="168" w:line="360" w:lineRule="auto"/>
        <w:ind w:right="11" w:firstLine="434" w:firstLineChars="200"/>
        <w:jc w:val="both"/>
        <w:rPr>
          <w:rFonts w:hint="eastAsia" w:ascii="宋体" w:hAnsi="宋体" w:eastAsia="宋体" w:cs="宋体"/>
          <w:b/>
          <w:bCs/>
          <w:spacing w:val="-2"/>
          <w:sz w:val="22"/>
          <w:szCs w:val="22"/>
        </w:rPr>
      </w:pPr>
      <w:r>
        <w:rPr>
          <w:rFonts w:ascii="宋体" w:hAnsi="宋体" w:eastAsia="宋体" w:cs="宋体"/>
          <w:b/>
          <w:bCs/>
          <w:spacing w:val="-2"/>
          <w:sz w:val="22"/>
          <w:szCs w:val="22"/>
        </w:rPr>
        <w:t>采购文件质疑、投诉的具体要求和流程详见采购文件第七节：发布中标公告，第二点：政府采购活动的质疑投诉。</w:t>
      </w:r>
      <w:r>
        <w:rPr>
          <w:rFonts w:ascii="宋体" w:hAnsi="宋体" w:eastAsia="宋体" w:cs="宋体"/>
          <w:b/>
          <w:bCs/>
          <w:spacing w:val="-2"/>
          <w:sz w:val="22"/>
          <w:szCs w:val="22"/>
        </w:rPr>
        <mc:AlternateContent>
          <mc:Choice Requires="wps">
            <w:drawing>
              <wp:anchor distT="0" distB="0" distL="114300" distR="114300" simplePos="0" relativeHeight="251670528" behindDoc="0" locked="0" layoutInCell="0" allowOverlap="1">
                <wp:simplePos x="0" y="0"/>
                <wp:positionH relativeFrom="page">
                  <wp:posOffset>3275330</wp:posOffset>
                </wp:positionH>
                <wp:positionV relativeFrom="page">
                  <wp:posOffset>1920240</wp:posOffset>
                </wp:positionV>
                <wp:extent cx="167640" cy="207645"/>
                <wp:effectExtent l="0" t="0" r="0" b="0"/>
                <wp:wrapNone/>
                <wp:docPr id="114097844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67640" cy="207645"/>
                        </a:xfrm>
                        <a:prstGeom prst="rect">
                          <a:avLst/>
                        </a:prstGeom>
                        <a:noFill/>
                        <a:ln>
                          <a:noFill/>
                        </a:ln>
                      </wps:spPr>
                      <wps:txbx>
                        <w:txbxContent>
                          <w:p>
                            <w:pPr>
                              <w:spacing w:before="20" w:line="220" w:lineRule="auto"/>
                              <w:ind w:left="20" w:firstLine="240" w:firstLineChars="100"/>
                              <w:rPr>
                                <w:rFonts w:hint="eastAsia" w:ascii="宋体" w:hAnsi="宋体" w:eastAsia="宋体" w:cs="宋体"/>
                                <w:sz w:val="24"/>
                                <w:szCs w:val="24"/>
                              </w:rPr>
                            </w:pPr>
                            <w:r>
                              <w:rPr>
                                <w:rFonts w:ascii="宋体" w:hAnsi="宋体" w:eastAsia="宋体" w:cs="宋体"/>
                                <w:sz w:val="24"/>
                                <w:szCs w:val="24"/>
                              </w:rPr>
                              <w:t>否</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57.9pt;margin-top:151.2pt;height:16.35pt;width:13.2pt;mso-position-horizontal-relative:page;mso-position-vertical-relative:page;z-index:251670528;mso-width-relative:page;mso-height-relative:page;" filled="f" stroked="f" coordsize="21600,21600" o:allowincell="f" o:gfxdata="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11wk9oAAAALAQAADwAAAAAAAAABACAAAAAiAAAAZHJz&#10;L2Rvd25yZXYueG1sUEsBAhQAFAAAAAgAh07iQHu/nPECAgAADAQAAA4AAAAAAAAAAQAgAAAAKQEA&#10;AGRycy9lMm9Eb2MueG1sUEsFBgAAAAAGAAYAWQEAAJ0FAAAAAA==&#10;">
                <v:fill on="f" focussize="0,0"/>
                <v:stroke on="f"/>
                <v:imagedata o:title=""/>
                <o:lock v:ext="edit" aspectratio="f"/>
                <v:textbox inset="0mm,0mm,0mm,0mm">
                  <w:txbxContent>
                    <w:p>
                      <w:pPr>
                        <w:spacing w:before="20" w:line="220" w:lineRule="auto"/>
                        <w:ind w:left="20" w:firstLine="240" w:firstLineChars="100"/>
                        <w:rPr>
                          <w:rFonts w:hint="eastAsia" w:ascii="宋体" w:hAnsi="宋体" w:eastAsia="宋体" w:cs="宋体"/>
                          <w:sz w:val="24"/>
                          <w:szCs w:val="24"/>
                        </w:rPr>
                      </w:pPr>
                      <w:r>
                        <w:rPr>
                          <w:rFonts w:ascii="宋体" w:hAnsi="宋体" w:eastAsia="宋体" w:cs="宋体"/>
                          <w:sz w:val="24"/>
                          <w:szCs w:val="24"/>
                        </w:rPr>
                        <w:t>否</w:t>
                      </w:r>
                    </w:p>
                  </w:txbxContent>
                </v:textbox>
              </v:shape>
            </w:pict>
          </mc:Fallback>
        </mc:AlternateContent>
      </w:r>
    </w:p>
    <w:p>
      <w:pPr>
        <w:spacing w:line="257" w:lineRule="auto"/>
        <w:rPr>
          <w:color w:val="auto"/>
        </w:rPr>
      </w:pPr>
    </w:p>
    <w:p>
      <w:pPr>
        <w:spacing w:line="257" w:lineRule="auto"/>
        <w:rPr>
          <w:color w:val="auto"/>
        </w:rPr>
      </w:pPr>
    </w:p>
    <w:p>
      <w:pPr>
        <w:spacing w:before="78" w:line="220" w:lineRule="auto"/>
        <w:ind w:left="2915"/>
        <w:outlineLvl w:val="2"/>
        <w:rPr>
          <w:rFonts w:hint="eastAsia" w:ascii="宋体" w:hAnsi="宋体" w:eastAsia="宋体" w:cs="宋体"/>
          <w:color w:val="auto"/>
          <w:sz w:val="24"/>
          <w:szCs w:val="24"/>
        </w:rPr>
      </w:pPr>
      <w:bookmarkStart w:id="5" w:name="_bookmark14"/>
      <w:bookmarkEnd w:id="5"/>
      <w:r>
        <w:rPr>
          <w:rFonts w:ascii="宋体" w:hAnsi="宋体" w:eastAsia="宋体" w:cs="宋体"/>
          <w:color w:val="auto"/>
          <w:spacing w:val="-1"/>
          <w:sz w:val="24"/>
          <w:szCs w:val="24"/>
        </w:rPr>
        <w:t>第三节 交纳投标</w:t>
      </w:r>
      <w:r>
        <w:rPr>
          <w:rFonts w:ascii="宋体" w:hAnsi="宋体" w:eastAsia="宋体" w:cs="宋体"/>
          <w:color w:val="auto"/>
          <w:sz w:val="24"/>
          <w:szCs w:val="24"/>
        </w:rPr>
        <w:t>保证金</w:t>
      </w:r>
    </w:p>
    <w:p>
      <w:pPr>
        <w:rPr>
          <w:color w:val="auto"/>
        </w:rPr>
      </w:pPr>
      <w:r>
        <w:rPr>
          <w:rFonts w:ascii="宋体" w:hAnsi="宋体" w:eastAsia="宋体" w:cs="宋体"/>
          <w:color w:val="auto"/>
          <w:spacing w:val="-2"/>
          <w:sz w:val="24"/>
          <w:szCs w:val="24"/>
        </w:rPr>
        <w:t xml:space="preserve">一、 是否交纳保证金 </w:t>
      </w:r>
    </w:p>
    <w:p>
      <w:pPr>
        <w:pStyle w:val="4"/>
        <w:rPr>
          <w:color w:val="auto"/>
        </w:rPr>
      </w:pPr>
      <w:r>
        <w:rPr>
          <w:rFonts w:ascii="宋体" w:hAnsi="宋体" w:cs="宋体"/>
          <w:color w:val="auto"/>
          <w:spacing w:val="-2"/>
          <w:szCs w:val="24"/>
        </w:rPr>
        <mc:AlternateContent>
          <mc:Choice Requires="wps">
            <w:drawing>
              <wp:anchor distT="0" distB="0" distL="114300" distR="114300" simplePos="0" relativeHeight="251669504" behindDoc="0" locked="0" layoutInCell="0" allowOverlap="1">
                <wp:simplePos x="0" y="0"/>
                <wp:positionH relativeFrom="page">
                  <wp:posOffset>2332990</wp:posOffset>
                </wp:positionH>
                <wp:positionV relativeFrom="page">
                  <wp:posOffset>1785620</wp:posOffset>
                </wp:positionV>
                <wp:extent cx="256540" cy="207645"/>
                <wp:effectExtent l="0" t="0" r="10160" b="1905"/>
                <wp:wrapNone/>
                <wp:docPr id="2098232864" name="Rectangle 2"/>
                <wp:cNvGraphicFramePr/>
                <a:graphic xmlns:a="http://schemas.openxmlformats.org/drawingml/2006/main">
                  <a:graphicData uri="http://schemas.microsoft.com/office/word/2010/wordprocessingShape">
                    <wps:wsp>
                      <wps:cNvSpPr>
                        <a:spLocks noChangeArrowheads="1"/>
                      </wps:cNvSpPr>
                      <wps:spPr bwMode="auto">
                        <a:xfrm>
                          <a:off x="0" y="0"/>
                          <a:ext cx="256540" cy="20764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83.7pt;margin-top:140.6pt;height:16.35pt;width:20.2pt;mso-position-horizontal-relative:page;mso-position-vertical-relative:page;z-index:251669504;mso-width-relative:page;mso-height-relative:page;" fillcolor="#000000" filled="t" stroked="f" coordsize="21600,21600" o:allowincell="f" o:gfxdata="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T3FrdoAAAALAQAA&#10;DwAAAAAAAAABACAAAAAiAAAAZHJzL2Rvd25yZXYueG1sUEsBAhQAFAAAAAgAh07iQNA3a4kXAgAA&#10;MQQAAA4AAAAAAAAAAQAgAAAAKQEAAGRycy9lMm9Eb2MueG1sUEsFBgAAAAAGAAYAWQEAALIFAAAA&#10;AA==&#10;">
                <v:fill on="t" focussize="0,0"/>
                <v:stroke on="f"/>
                <v:imagedata o:title=""/>
                <o:lock v:ext="edit" aspectratio="f"/>
              </v:rect>
            </w:pict>
          </mc:Fallback>
        </mc:AlternateContent>
      </w:r>
      <w:r>
        <w:rPr>
          <w:color w:val="auto"/>
        </w:rPr>
        <mc:AlternateContent>
          <mc:Choice Requires="wps">
            <w:drawing>
              <wp:anchor distT="0" distB="0" distL="114300" distR="114300" simplePos="0" relativeHeight="251668480" behindDoc="0" locked="0" layoutInCell="0" allowOverlap="1">
                <wp:simplePos x="0" y="0"/>
                <wp:positionH relativeFrom="page">
                  <wp:posOffset>3949700</wp:posOffset>
                </wp:positionH>
                <wp:positionV relativeFrom="page">
                  <wp:posOffset>1809750</wp:posOffset>
                </wp:positionV>
                <wp:extent cx="265430" cy="228600"/>
                <wp:effectExtent l="0" t="635" r="1270" b="18415"/>
                <wp:wrapNone/>
                <wp:docPr id="26100848" name="Freeform 5"/>
                <wp:cNvGraphicFramePr/>
                <a:graphic xmlns:a="http://schemas.openxmlformats.org/drawingml/2006/main">
                  <a:graphicData uri="http://schemas.microsoft.com/office/word/2010/wordprocessingShape">
                    <wps:wsp>
                      <wps:cNvSpPr>
                        <a:spLocks noChangeArrowheads="1"/>
                      </wps:cNvSpPr>
                      <wps:spPr bwMode="auto">
                        <a:xfrm>
                          <a:off x="0" y="0"/>
                          <a:ext cx="265430" cy="228600"/>
                        </a:xfrm>
                        <a:custGeom>
                          <a:avLst/>
                          <a:gdLst>
                            <a:gd name="T0" fmla="*/ 7 w 417"/>
                            <a:gd name="T1" fmla="*/ 367 h 375"/>
                            <a:gd name="T2" fmla="*/ 410 w 417"/>
                            <a:gd name="T3" fmla="*/ 367 h 375"/>
                            <a:gd name="T4" fmla="*/ 410 w 417"/>
                            <a:gd name="T5" fmla="*/ 7 h 375"/>
                            <a:gd name="T6" fmla="*/ 7 w 417"/>
                            <a:gd name="T7" fmla="*/ 7 h 375"/>
                            <a:gd name="T8" fmla="*/ 7 w 417"/>
                            <a:gd name="T9" fmla="*/ 367 h 375"/>
                          </a:gdLst>
                          <a:ahLst/>
                          <a:cxnLst>
                            <a:cxn ang="0">
                              <a:pos x="T0" y="T1"/>
                            </a:cxn>
                            <a:cxn ang="0">
                              <a:pos x="T2" y="T3"/>
                            </a:cxn>
                            <a:cxn ang="0">
                              <a:pos x="T4" y="T5"/>
                            </a:cxn>
                            <a:cxn ang="0">
                              <a:pos x="T6" y="T7"/>
                            </a:cxn>
                            <a:cxn ang="0">
                              <a:pos x="T8" y="T9"/>
                            </a:cxn>
                          </a:cxnLst>
                          <a:rect l="0" t="0" r="r" b="b"/>
                          <a:pathLst>
                            <a:path w="417" h="375">
                              <a:moveTo>
                                <a:pt x="7" y="367"/>
                              </a:moveTo>
                              <a:lnTo>
                                <a:pt x="410" y="367"/>
                              </a:lnTo>
                              <a:lnTo>
                                <a:pt x="410" y="7"/>
                              </a:lnTo>
                              <a:lnTo>
                                <a:pt x="7" y="7"/>
                              </a:lnTo>
                              <a:lnTo>
                                <a:pt x="7" y="367"/>
                              </a:lnTo>
                              <a:close/>
                            </a:path>
                          </a:pathLst>
                        </a:custGeom>
                        <a:noFill/>
                        <a:ln w="9144">
                          <a:solidFill>
                            <a:srgbClr val="000000"/>
                          </a:solidFill>
                          <a:miter lim="1000000"/>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311pt;margin-top:142.5pt;height:18pt;width:20.9pt;mso-position-horizontal-relative:page;mso-position-vertical-relative:page;z-index:251668480;mso-width-relative:page;mso-height-relative:page;" filled="f" stroked="t" coordsize="417,375" o:allowincell="f" o:gfxdata="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DhvGwXYAAAACwEAAA8AAAAAAAAAAQAgAAAAIgAAAGRycy9k&#10;b3ducmV2LnhtbFBLAQIUABQAAAAIAIdO4kA6hwcVHwMAAOMHAAAOAAAAAAAAAAEAIAAAACcBAABk&#10;cnMvZTJvRG9jLnhtbFBLBQYAAAAABgAGAFkBAAC4BgAAAAA=&#10;" path="m7,367l410,367,410,7,7,7,7,367xe">
                <v:path o:connectlocs="4455,223723;260974,223723;260974,4267;4455,4267;4455,223723" o:connectangles="0,0,0,0,0"/>
                <v:fill on="f" focussize="0,0"/>
                <v:stroke weight="0.72pt" color="#000000" miterlimit="10" joinstyle="miter"/>
                <v:imagedata o:title=""/>
                <o:lock v:ext="edit" aspectratio="f"/>
              </v:shape>
            </w:pict>
          </mc:Fallback>
        </mc:AlternateContent>
      </w:r>
    </w:p>
    <w:p>
      <w:pPr>
        <w:pStyle w:val="4"/>
        <w:tabs>
          <w:tab w:val="left" w:pos="1513"/>
          <w:tab w:val="center" w:pos="4202"/>
        </w:tabs>
        <w:rPr>
          <w:color w:val="auto"/>
        </w:rPr>
      </w:pPr>
      <w:r>
        <w:rPr>
          <w:rFonts w:hint="eastAsia"/>
          <w:color w:val="auto"/>
        </w:rPr>
        <w:tab/>
      </w:r>
      <w:r>
        <w:rPr>
          <w:rFonts w:hint="eastAsia"/>
          <w:color w:val="auto"/>
        </w:rPr>
        <w:t xml:space="preserve">是  </w:t>
      </w:r>
      <w:r>
        <w:rPr>
          <w:rFonts w:hint="eastAsia"/>
          <w:color w:val="auto"/>
        </w:rPr>
        <w:tab/>
      </w:r>
      <w:r>
        <w:rPr>
          <w:rFonts w:hint="eastAsia"/>
          <w:color w:val="auto"/>
        </w:rPr>
        <w:t>否</w:t>
      </w:r>
    </w:p>
    <w:p>
      <w:pPr>
        <w:pStyle w:val="4"/>
        <w:rPr>
          <w:color w:val="auto"/>
        </w:rPr>
      </w:pPr>
    </w:p>
    <w:p>
      <w:pPr>
        <w:pStyle w:val="4"/>
        <w:rPr>
          <w:color w:val="auto"/>
        </w:rPr>
      </w:pPr>
      <w:r>
        <w:rPr>
          <w:color w:val="auto"/>
        </w:rPr>
        <w:t>二、交纳金额</w:t>
      </w:r>
    </w:p>
    <w:p>
      <w:pPr>
        <w:spacing w:before="78" w:line="220" w:lineRule="auto"/>
        <w:ind w:left="999"/>
        <w:rPr>
          <w:rFonts w:hint="eastAsia" w:ascii="宋体" w:hAnsi="宋体" w:eastAsia="宋体" w:cs="宋体"/>
          <w:color w:val="auto"/>
          <w:sz w:val="24"/>
          <w:szCs w:val="24"/>
        </w:rPr>
      </w:pPr>
      <w:r>
        <w:rPr>
          <w:rFonts w:hint="eastAsia" w:ascii="宋体" w:hAnsi="宋体" w:eastAsia="宋体" w:cs="宋体"/>
          <w:color w:val="auto"/>
          <w:spacing w:val="-6"/>
          <w:sz w:val="24"/>
          <w:szCs w:val="24"/>
        </w:rPr>
        <w:t>壹万</w:t>
      </w:r>
      <w:r>
        <w:rPr>
          <w:rFonts w:ascii="宋体" w:hAnsi="宋体" w:eastAsia="宋体" w:cs="宋体"/>
          <w:color w:val="auto"/>
          <w:spacing w:val="-6"/>
          <w:sz w:val="24"/>
          <w:szCs w:val="24"/>
        </w:rPr>
        <w:t>元整</w:t>
      </w:r>
      <w:r>
        <w:rPr>
          <w:rFonts w:ascii="宋体" w:hAnsi="宋体" w:eastAsia="宋体" w:cs="宋体"/>
          <w:color w:val="auto"/>
          <w:spacing w:val="-5"/>
          <w:sz w:val="24"/>
          <w:szCs w:val="24"/>
        </w:rPr>
        <w:t>(</w:t>
      </w:r>
      <w:r>
        <w:rPr>
          <w:rFonts w:ascii="宋体" w:hAnsi="宋体" w:eastAsia="宋体" w:cs="宋体"/>
          <w:color w:val="auto"/>
          <w:spacing w:val="-3"/>
          <w:sz w:val="24"/>
          <w:szCs w:val="24"/>
        </w:rPr>
        <w:t>￥</w:t>
      </w:r>
      <w:r>
        <w:rPr>
          <w:rFonts w:hint="eastAsia" w:ascii="宋体" w:hAnsi="宋体" w:eastAsia="宋体" w:cs="宋体"/>
          <w:color w:val="auto"/>
          <w:spacing w:val="-3"/>
          <w:sz w:val="24"/>
          <w:szCs w:val="24"/>
        </w:rPr>
        <w:t>10000.00</w:t>
      </w:r>
      <w:r>
        <w:rPr>
          <w:rFonts w:ascii="宋体" w:hAnsi="宋体" w:eastAsia="宋体" w:cs="宋体"/>
          <w:color w:val="auto"/>
          <w:spacing w:val="-3"/>
          <w:sz w:val="24"/>
          <w:szCs w:val="24"/>
        </w:rPr>
        <w:t>元 )。</w:t>
      </w:r>
    </w:p>
    <w:p>
      <w:pPr>
        <w:pStyle w:val="4"/>
        <w:rPr>
          <w:color w:val="auto"/>
        </w:rPr>
      </w:pPr>
      <w:r>
        <w:rPr>
          <w:color w:val="auto"/>
        </w:rPr>
        <w:t>三、交纳方式</w:t>
      </w:r>
    </w:p>
    <w:p>
      <w:pPr>
        <w:spacing w:before="78" w:line="220" w:lineRule="auto"/>
        <w:ind w:left="99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详见 “供应商须知前附表”。</w:t>
      </w:r>
    </w:p>
    <w:p>
      <w:pPr>
        <w:spacing w:line="257" w:lineRule="auto"/>
        <w:rPr>
          <w:color w:val="auto"/>
        </w:rPr>
      </w:pPr>
    </w:p>
    <w:p>
      <w:pPr>
        <w:spacing w:before="78" w:line="220" w:lineRule="auto"/>
        <w:ind w:left="3035"/>
        <w:outlineLvl w:val="2"/>
        <w:rPr>
          <w:rFonts w:hint="eastAsia" w:ascii="宋体" w:hAnsi="宋体" w:eastAsia="宋体" w:cs="宋体"/>
          <w:color w:val="auto"/>
          <w:sz w:val="24"/>
          <w:szCs w:val="24"/>
        </w:rPr>
      </w:pPr>
      <w:bookmarkStart w:id="6" w:name="_bookmark20"/>
      <w:bookmarkEnd w:id="6"/>
      <w:bookmarkStart w:id="7" w:name="_bookmark17"/>
      <w:bookmarkEnd w:id="7"/>
      <w:bookmarkStart w:id="8" w:name="_bookmark19"/>
      <w:bookmarkEnd w:id="8"/>
      <w:bookmarkStart w:id="9" w:name="_bookmark15"/>
      <w:bookmarkEnd w:id="9"/>
      <w:bookmarkStart w:id="10" w:name="_bookmark21"/>
      <w:bookmarkEnd w:id="10"/>
      <w:bookmarkStart w:id="11" w:name="_bookmark16"/>
      <w:bookmarkEnd w:id="11"/>
      <w:bookmarkStart w:id="12" w:name="_bookmark18"/>
      <w:bookmarkEnd w:id="12"/>
      <w:bookmarkStart w:id="13" w:name="_bookmark22"/>
      <w:bookmarkEnd w:id="13"/>
      <w:r>
        <w:rPr>
          <w:rFonts w:ascii="宋体" w:hAnsi="宋体" w:eastAsia="宋体" w:cs="宋体"/>
          <w:color w:val="auto"/>
          <w:spacing w:val="-1"/>
          <w:sz w:val="24"/>
          <w:szCs w:val="24"/>
        </w:rPr>
        <w:t>第四节 递交响应</w:t>
      </w:r>
      <w:r>
        <w:rPr>
          <w:rFonts w:ascii="宋体" w:hAnsi="宋体" w:eastAsia="宋体" w:cs="宋体"/>
          <w:color w:val="auto"/>
          <w:sz w:val="24"/>
          <w:szCs w:val="24"/>
        </w:rPr>
        <w:t>文件</w:t>
      </w:r>
    </w:p>
    <w:p>
      <w:pPr>
        <w:spacing w:before="168" w:line="360" w:lineRule="auto"/>
        <w:ind w:right="11"/>
        <w:jc w:val="both"/>
        <w:rPr>
          <w:rFonts w:hint="eastAsia" w:ascii="宋体" w:hAnsi="宋体" w:eastAsia="宋体" w:cs="宋体"/>
          <w:spacing w:val="-2"/>
          <w:sz w:val="22"/>
          <w:szCs w:val="22"/>
        </w:rPr>
      </w:pPr>
      <w:r>
        <w:rPr>
          <w:rFonts w:ascii="宋体" w:hAnsi="宋体" w:eastAsia="宋体" w:cs="宋体"/>
          <w:spacing w:val="-2"/>
          <w:sz w:val="22"/>
          <w:szCs w:val="22"/>
        </w:rPr>
        <w:t>一、递交时间</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以本项目公告时间为准，如本项目有变更公告的，以变更公告时间为准。</w:t>
      </w:r>
    </w:p>
    <w:p>
      <w:pPr>
        <w:spacing w:before="168" w:line="360" w:lineRule="auto"/>
        <w:ind w:right="11"/>
        <w:jc w:val="both"/>
        <w:rPr>
          <w:rFonts w:hint="eastAsia" w:ascii="宋体" w:hAnsi="宋体" w:eastAsia="宋体" w:cs="宋体"/>
          <w:spacing w:val="-2"/>
          <w:sz w:val="22"/>
          <w:szCs w:val="22"/>
        </w:rPr>
      </w:pPr>
      <w:r>
        <w:rPr>
          <w:rFonts w:hint="eastAsia" w:ascii="宋体" w:hAnsi="宋体" w:eastAsia="宋体" w:cs="宋体"/>
          <w:spacing w:val="-2"/>
          <w:sz w:val="22"/>
          <w:szCs w:val="22"/>
        </w:rPr>
        <w:t>二</w:t>
      </w:r>
      <w:r>
        <w:rPr>
          <w:rFonts w:ascii="宋体" w:hAnsi="宋体" w:eastAsia="宋体" w:cs="宋体"/>
          <w:spacing w:val="-2"/>
          <w:sz w:val="22"/>
          <w:szCs w:val="22"/>
        </w:rPr>
        <w:t>、递交地点</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贵州省公共资源交易中心（详见贵州省公共资源交易中心一楼大厅LED屏显示的具 体开标室）。本项目为电子招标现场开标项目，供应商须在递交投标文件截止时间前完 整的将加密电子投标文件（.GPT格式）上传到全国公共资源交易平台（贵州省）（网址 ：ggzy.guizhou.gov.cn）-2020版，投标截止时间前未完成投标文件传输的，视为撤回 投标文件。投标截止时间后，贵州省公共资源交易平台不再接收投标文件。</w:t>
      </w:r>
    </w:p>
    <w:p>
      <w:pPr>
        <w:spacing w:before="168" w:line="360" w:lineRule="auto"/>
        <w:ind w:right="11" w:firstLine="434" w:firstLineChars="200"/>
        <w:jc w:val="both"/>
        <w:rPr>
          <w:rFonts w:hint="eastAsia" w:ascii="宋体" w:hAnsi="宋体" w:eastAsia="宋体" w:cs="宋体"/>
          <w:b/>
          <w:bCs/>
          <w:spacing w:val="-2"/>
          <w:sz w:val="22"/>
          <w:szCs w:val="22"/>
        </w:rPr>
      </w:pPr>
      <w:r>
        <w:rPr>
          <w:rFonts w:ascii="宋体" w:hAnsi="宋体" w:eastAsia="宋体" w:cs="宋体"/>
          <w:b/>
          <w:bCs/>
          <w:spacing w:val="-2"/>
          <w:sz w:val="22"/>
          <w:szCs w:val="22"/>
        </w:rPr>
        <w:t>注：文件解密须注意：</w:t>
      </w:r>
    </w:p>
    <w:p>
      <w:pPr>
        <w:spacing w:before="168" w:line="360" w:lineRule="auto"/>
        <w:ind w:right="11" w:firstLine="434" w:firstLineChars="200"/>
        <w:jc w:val="both"/>
        <w:rPr>
          <w:rFonts w:hint="eastAsia" w:ascii="宋体" w:hAnsi="宋体" w:eastAsia="宋体" w:cs="宋体"/>
          <w:b/>
          <w:bCs/>
          <w:spacing w:val="-2"/>
          <w:sz w:val="22"/>
          <w:szCs w:val="22"/>
        </w:rPr>
      </w:pPr>
      <w:r>
        <w:rPr>
          <w:rFonts w:ascii="宋体" w:hAnsi="宋体" w:eastAsia="宋体" w:cs="宋体"/>
          <w:b/>
          <w:bCs/>
          <w:spacing w:val="-2"/>
          <w:sz w:val="22"/>
          <w:szCs w:val="22"/>
        </w:rPr>
        <w:t>（1）投标文件递交截止时间后，招标代理机构发出投标文件解密指令，供应商应在解密指令发出后使用数字证书（加、解密为同一把数字证书）在系统规定时间完成解密。如因供应商原因导致在此时间内未解密成功的，视为放弃投标。</w:t>
      </w:r>
    </w:p>
    <w:p>
      <w:pPr>
        <w:spacing w:before="168" w:line="360" w:lineRule="auto"/>
        <w:ind w:right="11" w:firstLine="434" w:firstLineChars="200"/>
        <w:jc w:val="both"/>
        <w:rPr>
          <w:rFonts w:hint="eastAsia" w:ascii="宋体" w:hAnsi="宋体" w:eastAsia="宋体" w:cs="宋体"/>
          <w:b/>
          <w:bCs/>
          <w:spacing w:val="-2"/>
          <w:sz w:val="22"/>
          <w:szCs w:val="22"/>
        </w:rPr>
      </w:pPr>
      <w:r>
        <w:rPr>
          <w:rFonts w:ascii="宋体" w:hAnsi="宋体" w:eastAsia="宋体" w:cs="宋体"/>
          <w:b/>
          <w:bCs/>
          <w:spacing w:val="-2"/>
          <w:sz w:val="22"/>
          <w:szCs w:val="22"/>
        </w:rPr>
        <w:t>（2）出现下列情形之一的供应商投标文件将被省中心交易平台网上开标系统拒收：①投标截止时间后送达的投标文件。②供应商未按规定递交投标保证金的投标文件。③供应商未按规定签章、加密的投标文件。</w:t>
      </w:r>
    </w:p>
    <w:p>
      <w:pPr>
        <w:spacing w:before="168" w:line="360" w:lineRule="auto"/>
        <w:ind w:right="11" w:firstLine="434" w:firstLineChars="200"/>
        <w:jc w:val="both"/>
        <w:rPr>
          <w:rFonts w:hint="eastAsia" w:ascii="宋体" w:hAnsi="宋体" w:eastAsia="宋体" w:cs="宋体"/>
          <w:b/>
          <w:bCs/>
          <w:spacing w:val="-2"/>
          <w:sz w:val="22"/>
          <w:szCs w:val="22"/>
        </w:rPr>
      </w:pPr>
      <w:r>
        <w:rPr>
          <w:rFonts w:ascii="宋体" w:hAnsi="宋体" w:eastAsia="宋体" w:cs="宋体"/>
          <w:b/>
          <w:bCs/>
          <w:spacing w:val="-2"/>
          <w:sz w:val="22"/>
          <w:szCs w:val="22"/>
        </w:rPr>
        <w:t>（3）出现下列情况的，供应商须重新用数字证书签章和加密投标文件，并在投标截止时间之前上传完成到交易平台：①数字证书到期后重新续期；②数字证书因遗失、损坏、企业信息变更等情况更换新证书。</w:t>
      </w:r>
    </w:p>
    <w:p>
      <w:pPr>
        <w:spacing w:before="168" w:line="360" w:lineRule="auto"/>
        <w:ind w:right="11" w:firstLine="434" w:firstLineChars="200"/>
        <w:jc w:val="both"/>
        <w:rPr>
          <w:rFonts w:hint="eastAsia" w:ascii="宋体" w:hAnsi="宋体" w:eastAsia="宋体" w:cs="宋体"/>
          <w:b/>
          <w:bCs/>
          <w:spacing w:val="-2"/>
          <w:sz w:val="22"/>
          <w:szCs w:val="22"/>
        </w:rPr>
      </w:pPr>
      <w:r>
        <w:rPr>
          <w:rFonts w:ascii="宋体" w:hAnsi="宋体" w:eastAsia="宋体" w:cs="宋体"/>
          <w:b/>
          <w:bCs/>
          <w:spacing w:val="-2"/>
          <w:sz w:val="22"/>
          <w:szCs w:val="22"/>
        </w:rPr>
        <w:t>（4）供应商由于数字证书遗失、损坏、更换、续期等情况导致投标文件无法解密，由供应商自行承担责任。</w:t>
      </w:r>
    </w:p>
    <w:p>
      <w:pPr>
        <w:spacing w:before="78" w:line="220" w:lineRule="auto"/>
        <w:ind w:left="3035"/>
        <w:outlineLvl w:val="2"/>
        <w:rPr>
          <w:rFonts w:hint="eastAsia" w:ascii="宋体" w:hAnsi="宋体" w:eastAsia="宋体" w:cs="宋体"/>
          <w:color w:val="auto"/>
          <w:spacing w:val="-1"/>
          <w:sz w:val="24"/>
          <w:szCs w:val="24"/>
        </w:rPr>
      </w:pPr>
      <w:bookmarkStart w:id="14" w:name="_bookmark23"/>
      <w:bookmarkEnd w:id="14"/>
    </w:p>
    <w:p>
      <w:pPr>
        <w:spacing w:before="78" w:line="220" w:lineRule="auto"/>
        <w:ind w:left="3035"/>
        <w:outlineLvl w:val="2"/>
        <w:rPr>
          <w:rFonts w:hint="eastAsia" w:ascii="宋体" w:hAnsi="宋体" w:eastAsia="宋体" w:cs="宋体"/>
          <w:color w:val="auto"/>
          <w:spacing w:val="-1"/>
          <w:sz w:val="24"/>
          <w:szCs w:val="24"/>
        </w:rPr>
      </w:pPr>
      <w:r>
        <w:rPr>
          <w:rFonts w:ascii="宋体" w:hAnsi="宋体" w:eastAsia="宋体" w:cs="宋体"/>
          <w:color w:val="auto"/>
          <w:spacing w:val="-1"/>
          <w:sz w:val="24"/>
          <w:szCs w:val="24"/>
        </w:rPr>
        <w:t>第五节 开标</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一、开标时间</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以本项目公告时间为准。如发布变更公告的，以变更公告时间为准。</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二、开标地点</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贵州省公共资源交易中心（详见贵州省公共资源交易中心一楼大厅LED屏显示的具体开标室）。地址：贵阳市遵义路65号。</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三、开标流程</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1.采购代理机构按“投标须知表”及“省公共资源交易中心电子招标远程开标须知”规定的时间组织开标会议。</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2.采购代理机构通过贵州省公共资源交易公共服务平台发出投标文件解密指令，供应商应在解密指令发出后使用数字（CA）证书或移动（CA）证书（贵州交易通 APP、标信通 APP）进行解密。供应商因自身原因解密不成功的，视为撤销投标文件，投标无效。</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3.供应商均解密完成后，由贵州省公共资源交易公共服务平台对解密的投标报价进行线上唱标。供应商须注意，唱标行为本身不作为证明投标文件有效的依据。</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开标注意事项：供应商应妥善保管数字（CA）证书，确认数字（CA）证书或移 动（CA）证书（贵州交易通 APP、标信通 APP）在有效期内，由于数字（CA）证书 遗失、损坏、更换、续期等原因导致投标文件无法成功解密的，供应商自行承担责任。</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贵州省公共资源交易公共服务平台出现下列情形的，将暂停线上开标程序。</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1.开标项目电子服务、交易系统服务器发生故障，导致无法访问网站或无法使用系统。</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2.开标项目电子服务、交易系统的软件或网络数据库出现错误，不能进行正常操作的。</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3.系统存在安全漏洞，有潜在泄密风险的。</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4.交易系统计算机病毒发作，导致系统无法正常运行的。</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5.电力系统发生故障，导致交易系统无法运行的。</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6.其他非供应商原因，导致开标无法正常运行。</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上述情形导致系统故障在短时间内无法解决排除的，或其他不可抗力因素，无法继续使用的情况时，暂停线上开标和评标程序；由招标人（采购人）或其委托的代理机构、交易中心研究提出意见，视情况向监督部门报告；系统故障在三个小时内排除的项目开标重新启动，三个小时内未排除的，另行通知网上开标时间。</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四、资格审查</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开标会议结束后，采购人或采购代理机构依法对供应商的资格性进行审查 , 以“资格性审查”内容为准。没有通过资格性审查的供应商，不得进入评标程序；合格的供应商不满足 3 家的，不得进入评标程序。</w:t>
      </w:r>
    </w:p>
    <w:p>
      <w:pPr>
        <w:spacing w:before="168" w:line="360" w:lineRule="auto"/>
        <w:ind w:right="11" w:firstLine="432" w:firstLineChars="200"/>
        <w:jc w:val="both"/>
        <w:rPr>
          <w:rFonts w:hint="eastAsia" w:ascii="宋体" w:hAnsi="宋体" w:eastAsia="宋体" w:cs="宋体"/>
          <w:spacing w:val="-2"/>
          <w:sz w:val="22"/>
          <w:szCs w:val="22"/>
        </w:rPr>
      </w:pPr>
    </w:p>
    <w:p>
      <w:pPr>
        <w:spacing w:before="78" w:line="220" w:lineRule="auto"/>
        <w:ind w:left="3035"/>
        <w:outlineLvl w:val="2"/>
        <w:rPr>
          <w:rFonts w:hint="eastAsia" w:ascii="宋体" w:hAnsi="宋体" w:eastAsia="宋体" w:cs="宋体"/>
          <w:color w:val="auto"/>
          <w:spacing w:val="-1"/>
          <w:sz w:val="24"/>
          <w:szCs w:val="24"/>
        </w:rPr>
      </w:pPr>
      <w:r>
        <w:rPr>
          <w:rFonts w:ascii="宋体" w:hAnsi="宋体" w:eastAsia="宋体" w:cs="宋体"/>
          <w:color w:val="auto"/>
          <w:spacing w:val="-1"/>
          <w:sz w:val="24"/>
          <w:szCs w:val="24"/>
        </w:rPr>
        <w:t>第六节 评标</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一、评标时间</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以本项目公告时间为准，如本项目发布变更公告的，以变更公告时间为准。</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二、评标地点</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贵州省公共资源交易中心。</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三、评标程序</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评标委员会推选出一名评标组长，由评标组长按照以下流程组织评标：</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（一）符合性审查：评标委员会依照《符合性审查表》所列内容对供应商进行符合 性审查，审查通过的供应商进入评分环节。未通过符合性审查的投标文件不参与评分和 中标候选人推荐。通过初步审查的供应商不足三家的，本项目作废标处理，评标工作结 束。</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商务、技术实质性检查：评标委员会审查投标文件是否对采购文件作了实质性响应 ,即投标文件是否满足或响应采购文件技术、商务方面的要求。无效标检查：依照本采 购文件无效标条款规定审查供应商是否为有效投标。</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（二）比较与评价：评标专家按采购文件中规定的评标方法和标准，对资格性检查 和符合性检查合格的投标文件进行商务和技术评估，综合比较与评价。</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（三）专家评分：评标专家严格按照评分表逐项对投标文件进行评分。评分依据为 投标文件提供的有效资料。投标文件中未提供的资料、未明确的内容，评标专家不得以 个人的意愿、猜想、推测等方式得出的结论作为评分依据。评标专家须独立评分， 不得 相互抄袭评分分值（价格分除外）。</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（四）评分汇总：评标组长将各评审专家的评分表汇总到评分汇总表，评分汇总表 保留两位小数，按最终得分由高至低依次对供应商进行推荐排序。得分相同的，按投标 下浮率由高到低顺序排列，得分且投标下浮率相同的，按技术和商务优劣顺序排列。评 分表交由评标组长汇总后，评标专家不得再更改各项打分分值（价格分及总分计算错误 除外）。</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（五）评标报告：评标组长根据评分汇总情况及排序情况，主持编写评标报告。评 标报告按规定需涵盖公告发布情况、开评标情况、推荐排序及有关需要说明的情况等政 府采购法规规定的内容。评标委员会成员须在评标报告上签字确认。</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（六）评审复核：评标委员会对评审过程和评审结果进行复核。评标委员会可对评 审过程和结果中存在的遗漏或偏差进行修正，完成复核后，确定评标结果及推荐排序。</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（七）评标结束：评标委员会出具评标报告并复核无误后，由评标组长宣布评标工 作结束。待代理机构工作人员收理好评标资料，并发放评审费用后评标专家方可离开评 标区。评标过程中评标专家不得擅自离开评标区或进入其他评标室。</w:t>
      </w:r>
    </w:p>
    <w:p>
      <w:pPr>
        <w:spacing w:before="168" w:line="360" w:lineRule="auto"/>
        <w:ind w:right="11"/>
        <w:jc w:val="both"/>
        <w:rPr>
          <w:rFonts w:hint="eastAsia" w:ascii="宋体" w:hAnsi="宋体" w:eastAsia="宋体" w:cs="宋体"/>
          <w:spacing w:val="-2"/>
          <w:sz w:val="22"/>
          <w:szCs w:val="22"/>
        </w:rPr>
      </w:pPr>
      <w:r>
        <w:rPr>
          <w:rFonts w:ascii="宋体" w:hAnsi="宋体" w:eastAsia="宋体" w:cs="宋体"/>
          <w:spacing w:val="-2"/>
          <w:sz w:val="22"/>
          <w:szCs w:val="22"/>
        </w:rPr>
        <w:t>注：</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（1）当初步审查结果确定有效供应商不足三家，或出现影响采购公正的违法违规 行为，或供应商的报价均超过了采购预算采购人不能支付，或因重大变故采购任务取消 的，或采购文件存在重大歧义、重大缺陷导致评审工作无法进行时，或采购文件内容违 反国家有关规定的，评标程序终止。</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（2）投标文件的评审和比较、中标候选人的推荐以及与评标有关的其他情况，评 标委员会成员、采购人和采购代理机构等人员均不得泄露。</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（3）开标、评标过程由贵州省公共资源交易中心全程同步录音录像，相关录音录 像资料由贵州省公共资源交易中心存档，以便为财政、纪检监察等有关部门处理项目相 关事宜提供资料。</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（4）演示：如项目有演示需求的，由采购代理机构工作人员组织。</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（5）评标过程中，如需出具统一意见但评标专家意见不一致的，按照少数服从多 数的原则形成决议。</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四、评标委员会</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评标委员会成员由采购人代表和有关技术、经济等方面的专家组成， 其中技术、经 济等方面的专家不少于成员总数的三分之二。评标委员会成员人数为单数。评标委员会 遵循公平公正、科学择优、经济有效的原则， 按照评标程序，依法依规，根据采购文件 所列评标标准，独立、认真、负责地开展评审工作， 提出评审意见，并对自己的评审意 见承担责任。</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（一）享有的权利：</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1．对政府采购制度及相关情况的知情权；</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2．对供应商所供货物和服务质量的评审权；</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4．按规定获得相应的评审劳务报酬；</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5．法律、法规和规章规定的其他权利。</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（二）承担的义务：</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1．为政府采购工作提供科学合理、经济有效的评审意见；</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2．严格遵守政府采购评审工作纪律，不得向外界泄露评审情况；</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3．发现供应商在政府采购活动中有不正当竞争或恶意串通等违规行为，应及时向 政府采购评审工作的组织者或财政部门报告并加以制止；</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4．解答有关方面对政府采购评审工作中有关问题的咨询或质疑；</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5．法律、法规和规章规定的其他义务。</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五、询标与澄清</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（一）评标过程中，评标委员会发现投标文件存在含义不明、表述不清、有歧义等 情况，实质性影响评审结果的，评标委员会可书面向供应商进行询标，要求供应商对询 问的问题进行澄清。供应商须在贵州省公共资源交易中心通知的时间内进行书面答疑和 澄清。供应商未在通知的时间内进行答疑和澄清的，视为放弃澄清。</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（二）供应商的答疑和澄清须为书面形式，须由供应商授权代表签字或加盖供应商 公章。书面澄清文件为投标文件的组成部分。</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（三）供应商对投标文件的澄清不得超出投标文件的范围或改变投标报价等实质性 内容。澄清和补正应遵循公平公正的原则， 供应商的澄清补正不得对其他供应商造成不 公平不公正的结果或影响，如有，评标委员会应拒绝其澄清。</w:t>
      </w:r>
    </w:p>
    <w:p>
      <w:pPr>
        <w:spacing w:before="203" w:line="360" w:lineRule="auto"/>
        <w:ind w:left="3035"/>
        <w:outlineLvl w:val="2"/>
        <w:rPr>
          <w:rFonts w:hint="eastAsia" w:ascii="宋体" w:hAnsi="宋体" w:eastAsia="宋体" w:cs="宋体"/>
          <w:color w:val="auto"/>
          <w:sz w:val="24"/>
          <w:szCs w:val="24"/>
        </w:rPr>
      </w:pPr>
      <w:r>
        <w:rPr>
          <w:rFonts w:ascii="宋体" w:hAnsi="宋体" w:eastAsia="宋体" w:cs="宋体"/>
          <w:color w:val="auto"/>
          <w:spacing w:val="-1"/>
          <w:sz w:val="24"/>
          <w:szCs w:val="24"/>
        </w:rPr>
        <w:t>第</w:t>
      </w:r>
      <w:r>
        <w:rPr>
          <w:rFonts w:hint="eastAsia" w:ascii="宋体" w:hAnsi="宋体" w:eastAsia="宋体" w:cs="宋体"/>
          <w:color w:val="auto"/>
          <w:spacing w:val="-1"/>
          <w:sz w:val="24"/>
          <w:szCs w:val="24"/>
        </w:rPr>
        <w:t>七</w:t>
      </w:r>
      <w:r>
        <w:rPr>
          <w:rFonts w:ascii="宋体" w:hAnsi="宋体" w:eastAsia="宋体" w:cs="宋体"/>
          <w:color w:val="auto"/>
          <w:spacing w:val="-1"/>
          <w:sz w:val="24"/>
          <w:szCs w:val="24"/>
        </w:rPr>
        <w:t>节 发布成</w:t>
      </w:r>
      <w:r>
        <w:rPr>
          <w:rFonts w:ascii="宋体" w:hAnsi="宋体" w:eastAsia="宋体" w:cs="宋体"/>
          <w:color w:val="auto"/>
          <w:sz w:val="24"/>
          <w:szCs w:val="24"/>
        </w:rPr>
        <w:t>交公告</w:t>
      </w:r>
    </w:p>
    <w:p>
      <w:pPr>
        <w:pStyle w:val="4"/>
        <w:rPr>
          <w:rFonts w:ascii="Arial"/>
          <w:color w:val="auto"/>
          <w:sz w:val="21"/>
        </w:rPr>
      </w:pPr>
      <w:r>
        <w:rPr>
          <w:color w:val="auto"/>
        </w:rPr>
        <w:t>一、公告发布媒体</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全 国 公 共 资 源 交 易 平 台 (贵 州 省 . 省 中 心 ) 、 贵 州 省 政 府 采 购 网 (</w:t>
      </w:r>
      <w:r>
        <w:fldChar w:fldCharType="begin"/>
      </w:r>
      <w:r>
        <w:instrText xml:space="preserve"> HYPERLINK "http://www.ccgp-guizhou.gov.cn/" </w:instrText>
      </w:r>
      <w:r>
        <w:fldChar w:fldCharType="separate"/>
      </w:r>
      <w:r>
        <w:rPr>
          <w:rFonts w:ascii="宋体" w:hAnsi="宋体" w:eastAsia="宋体" w:cs="宋体"/>
          <w:spacing w:val="-2"/>
          <w:sz w:val="22"/>
          <w:szCs w:val="22"/>
        </w:rPr>
        <w:t>http://www.ccgp-guizhou.gov.cn/</w:t>
      </w:r>
      <w:r>
        <w:rPr>
          <w:rFonts w:ascii="宋体" w:hAnsi="宋体" w:eastAsia="宋体" w:cs="宋体"/>
          <w:spacing w:val="-2"/>
          <w:sz w:val="22"/>
          <w:szCs w:val="22"/>
        </w:rPr>
        <w:fldChar w:fldCharType="end"/>
      </w:r>
      <w:r>
        <w:rPr>
          <w:rFonts w:ascii="宋体" w:hAnsi="宋体" w:eastAsia="宋体" w:cs="宋体"/>
          <w:spacing w:val="-2"/>
          <w:sz w:val="22"/>
          <w:szCs w:val="22"/>
        </w:rPr>
        <w:t>)及法律法规规定的其他媒体。</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贵州省公共资源交易中心根据评标报告将中标候选人推荐排序及相关评标 结果进行公告。供应商可在</w:t>
      </w:r>
      <w:r>
        <w:rPr>
          <w:rFonts w:hint="eastAsia" w:ascii="宋体" w:hAnsi="宋体" w:eastAsia="宋体" w:cs="宋体"/>
          <w:spacing w:val="-2"/>
          <w:sz w:val="22"/>
          <w:szCs w:val="22"/>
        </w:rPr>
        <w:t xml:space="preserve">全国公共资源交易台(贵州省.省中心) </w:t>
      </w:r>
      <w:r>
        <w:rPr>
          <w:rFonts w:ascii="宋体" w:hAnsi="宋体" w:eastAsia="宋体" w:cs="宋体"/>
          <w:spacing w:val="-2"/>
          <w:sz w:val="22"/>
          <w:szCs w:val="22"/>
        </w:rPr>
        <w:t>及其他相关网站查询评标 结果信息。</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采购代理机构应当自评审结束之日起 2 个工作日内将评审报告送交采购</w:t>
      </w:r>
      <w:r>
        <w:rPr>
          <w:rFonts w:hint="eastAsia" w:ascii="宋体" w:hAnsi="宋体" w:eastAsia="宋体" w:cs="宋体"/>
          <w:spacing w:val="-2"/>
          <w:sz w:val="22"/>
          <w:szCs w:val="22"/>
        </w:rPr>
        <w:t>人。</w:t>
      </w:r>
      <w:r>
        <w:rPr>
          <w:rFonts w:ascii="宋体" w:hAnsi="宋体" w:eastAsia="宋体" w:cs="宋体"/>
          <w:spacing w:val="-2"/>
          <w:sz w:val="22"/>
          <w:szCs w:val="22"/>
        </w:rPr>
        <w:t>采购人应当自收到评审报告之日起 5 个工作日内在评审报告推荐的中标或者成 交候选人中按顺序确定中标或者成交供应商。采购人或者采购代理机构应当自中 标、成交供应商确定之日起 2 个工作日内，发出中标、成交通知书。中标通知书 对采购人和中标供应商具有同等法律效力。中标通知书发出后，采购人改变中标 结果，或者中标供应商放弃中标，应当承担相应的法律责任。</w:t>
      </w:r>
    </w:p>
    <w:p>
      <w:pPr>
        <w:pStyle w:val="4"/>
        <w:rPr>
          <w:rFonts w:ascii="Arial"/>
          <w:color w:val="auto"/>
          <w:sz w:val="21"/>
        </w:rPr>
      </w:pPr>
      <w:r>
        <w:rPr>
          <w:color w:val="auto"/>
        </w:rPr>
        <w:t>二、政府采购活动的质疑投诉</w:t>
      </w:r>
    </w:p>
    <w:p>
      <w:pPr>
        <w:pStyle w:val="4"/>
        <w:ind w:firstLine="448" w:firstLineChars="200"/>
        <w:rPr>
          <w:rFonts w:hint="eastAsia" w:ascii="宋体" w:hAnsi="宋体" w:cs="宋体"/>
          <w:color w:val="auto"/>
          <w:spacing w:val="-8"/>
          <w:szCs w:val="24"/>
        </w:rPr>
      </w:pPr>
      <w:r>
        <w:rPr>
          <w:rFonts w:ascii="宋体" w:hAnsi="宋体" w:cs="宋体"/>
          <w:color w:val="auto"/>
          <w:spacing w:val="-8"/>
          <w:szCs w:val="24"/>
        </w:rPr>
        <w:t>(一)质疑</w:t>
      </w:r>
    </w:p>
    <w:p>
      <w:pPr>
        <w:spacing w:line="360" w:lineRule="auto"/>
        <w:ind w:firstLine="448" w:firstLineChars="200"/>
        <w:rPr>
          <w:rFonts w:hint="eastAsia" w:ascii="宋体" w:hAnsi="宋体" w:eastAsia="宋体" w:cs="宋体"/>
          <w:color w:val="auto"/>
          <w:sz w:val="24"/>
          <w:szCs w:val="24"/>
        </w:rPr>
      </w:pPr>
      <w:r>
        <w:rPr>
          <w:rFonts w:ascii="宋体" w:hAnsi="宋体" w:eastAsia="宋体" w:cs="宋体"/>
          <w:color w:val="auto"/>
          <w:spacing w:val="-8"/>
          <w:sz w:val="24"/>
          <w:szCs w:val="24"/>
        </w:rPr>
        <w:t>供应商认为采购文件、采购过程和中标、成交结果使自己的权益受到损害的，</w:t>
      </w:r>
      <w:r>
        <w:rPr>
          <w:rFonts w:ascii="宋体" w:hAnsi="宋体" w:eastAsia="宋体" w:cs="宋体"/>
          <w:color w:val="auto"/>
          <w:sz w:val="24"/>
          <w:szCs w:val="24"/>
        </w:rPr>
        <w:t xml:space="preserve"> </w:t>
      </w:r>
      <w:r>
        <w:rPr>
          <w:rFonts w:ascii="宋体" w:hAnsi="宋体" w:eastAsia="宋体" w:cs="宋体"/>
          <w:color w:val="auto"/>
          <w:spacing w:val="1"/>
          <w:sz w:val="24"/>
          <w:szCs w:val="24"/>
        </w:rPr>
        <w:t>可以在知道或者应知其权益受</w:t>
      </w:r>
      <w:r>
        <w:rPr>
          <w:rFonts w:ascii="宋体" w:hAnsi="宋体" w:eastAsia="宋体" w:cs="宋体"/>
          <w:color w:val="auto"/>
          <w:sz w:val="24"/>
          <w:szCs w:val="24"/>
        </w:rPr>
        <w:t>到损害之日</w:t>
      </w: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(政府采购法第五十二条规定的供应商</w:t>
      </w:r>
      <w:r>
        <w:rPr>
          <w:rFonts w:ascii="宋体" w:hAnsi="宋体" w:eastAsia="宋体" w:cs="宋体"/>
          <w:color w:val="auto"/>
          <w:spacing w:val="18"/>
          <w:sz w:val="24"/>
          <w:szCs w:val="24"/>
          <w14:textOutline w14:w="4356" w14:cap="flat" w14:cmpd="sng" w14:algn="ctr">
            <w14:solidFill>
              <w14:srgbClr w14:val="000000"/>
            </w14:solidFill>
            <w14:prstDash w14:val="solid"/>
            <w14:miter w14:val="0"/>
          </w14:textOutline>
        </w:rPr>
        <w:t>应知</w:t>
      </w:r>
      <w:r>
        <w:rPr>
          <w:rFonts w:ascii="宋体" w:hAnsi="宋体" w:eastAsia="宋体" w:cs="宋体"/>
          <w:color w:val="auto"/>
          <w:spacing w:val="10"/>
          <w:sz w:val="24"/>
          <w:szCs w:val="24"/>
          <w14:textOutline w14:w="4356" w14:cap="flat" w14:cmpd="sng" w14:algn="ctr">
            <w14:solidFill>
              <w14:srgbClr w14:val="000000"/>
            </w14:solidFill>
            <w14:prstDash w14:val="solid"/>
            <w14:miter w14:val="0"/>
          </w14:textOutline>
        </w:rPr>
        <w:t>其</w:t>
      </w:r>
      <w:r>
        <w:rPr>
          <w:rFonts w:ascii="宋体" w:hAnsi="宋体" w:eastAsia="宋体" w:cs="宋体"/>
          <w:color w:val="auto"/>
          <w:spacing w:val="9"/>
          <w:sz w:val="24"/>
          <w:szCs w:val="24"/>
          <w14:textOutline w14:w="4356" w14:cap="flat" w14:cmpd="sng" w14:algn="ctr">
            <w14:solidFill>
              <w14:srgbClr w14:val="000000"/>
            </w14:solidFill>
            <w14:prstDash w14:val="solid"/>
            <w14:miter w14:val="0"/>
          </w14:textOutline>
        </w:rPr>
        <w:t>权益受到损害之日，是指：(一)对可以质疑的采购文件提出质疑的，</w:t>
      </w:r>
      <w:r>
        <w:rPr>
          <w:rFonts w:ascii="宋体" w:hAnsi="宋体" w:eastAsia="宋体" w:cs="宋体"/>
          <w:color w:val="auto"/>
          <w:spacing w:val="15"/>
          <w:sz w:val="24"/>
          <w:szCs w:val="24"/>
          <w14:textOutline w14:w="4356" w14:cap="flat" w14:cmpd="sng" w14:algn="ctr">
            <w14:solidFill>
              <w14:srgbClr w14:val="000000"/>
            </w14:solidFill>
            <w14:prstDash w14:val="solid"/>
            <w14:miter w14:val="0"/>
          </w14:textOutline>
        </w:rPr>
        <w:t>为</w:t>
      </w:r>
      <w:r>
        <w:rPr>
          <w:rFonts w:ascii="宋体" w:hAnsi="宋体" w:eastAsia="宋体" w:cs="宋体"/>
          <w:color w:val="auto"/>
          <w:spacing w:val="11"/>
          <w:sz w:val="24"/>
          <w:szCs w:val="24"/>
          <w14:textOutline w14:w="4356" w14:cap="flat" w14:cmpd="sng" w14:algn="ctr">
            <w14:solidFill>
              <w14:srgbClr w14:val="000000"/>
            </w14:solidFill>
            <w14:prstDash w14:val="solid"/>
            <w14:miter w14:val="0"/>
          </w14:textOutline>
        </w:rPr>
        <w:t>收到采购文件之日或者采购文件公告期限届满之日；(二)对采购过程提出</w:t>
      </w:r>
      <w:r>
        <w:rPr>
          <w:rFonts w:ascii="宋体" w:hAnsi="宋体" w:eastAsia="宋体" w:cs="宋体"/>
          <w:color w:val="auto"/>
          <w:spacing w:val="-20"/>
          <w:sz w:val="24"/>
          <w:szCs w:val="24"/>
          <w14:textOutline w14:w="4356" w14:cap="flat" w14:cmpd="sng" w14:algn="ctr">
            <w14:solidFill>
              <w14:srgbClr w14:val="000000"/>
            </w14:solidFill>
            <w14:prstDash w14:val="solid"/>
            <w14:miter w14:val="0"/>
          </w14:textOutline>
        </w:rPr>
        <w:t>质</w:t>
      </w:r>
      <w:r>
        <w:rPr>
          <w:rFonts w:ascii="宋体" w:hAnsi="宋体" w:eastAsia="宋体" w:cs="宋体"/>
          <w:color w:val="auto"/>
          <w:spacing w:val="-12"/>
          <w:sz w:val="24"/>
          <w:szCs w:val="24"/>
          <w14:textOutline w14:w="4356" w14:cap="flat" w14:cmpd="sng" w14:algn="ctr">
            <w14:solidFill>
              <w14:srgbClr w14:val="000000"/>
            </w14:solidFill>
            <w14:prstDash w14:val="solid"/>
            <w14:miter w14:val="0"/>
          </w14:textOutline>
        </w:rPr>
        <w:t>疑</w:t>
      </w:r>
      <w:r>
        <w:rPr>
          <w:rFonts w:ascii="宋体" w:hAnsi="宋体" w:eastAsia="宋体" w:cs="宋体"/>
          <w:color w:val="auto"/>
          <w:spacing w:val="-10"/>
          <w:sz w:val="24"/>
          <w:szCs w:val="24"/>
          <w14:textOutline w14:w="4356" w14:cap="flat" w14:cmpd="sng" w14:algn="ctr">
            <w14:solidFill>
              <w14:srgbClr w14:val="000000"/>
            </w14:solidFill>
            <w14:prstDash w14:val="solid"/>
            <w14:miter w14:val="0"/>
          </w14:textOutline>
        </w:rPr>
        <w:t>的，为各采购程序环节结束之日</w:t>
      </w:r>
      <w:r>
        <w:rPr>
          <w:rFonts w:hint="eastAsia" w:ascii="宋体" w:hAnsi="宋体" w:eastAsia="宋体" w:cs="宋体"/>
          <w:color w:val="auto"/>
          <w:spacing w:val="-10"/>
          <w:sz w:val="24"/>
          <w:szCs w:val="24"/>
          <w14:textOutline w14:w="4356" w14:cap="flat" w14:cmpd="sng" w14:algn="ctr">
            <w14:solidFill>
              <w14:srgbClr w14:val="000000"/>
            </w14:solidFill>
            <w14:prstDash w14:val="solid"/>
            <w14:miter w14:val="0"/>
          </w14:textOutline>
        </w:rPr>
        <w:t>；</w:t>
      </w:r>
      <w:r>
        <w:rPr>
          <w:rFonts w:ascii="宋体" w:hAnsi="宋体" w:eastAsia="宋体" w:cs="宋体"/>
          <w:color w:val="auto"/>
          <w:spacing w:val="-10"/>
          <w:sz w:val="24"/>
          <w:szCs w:val="24"/>
          <w14:textOutline w14:w="4356" w14:cap="flat" w14:cmpd="sng" w14:algn="ctr">
            <w14:solidFill>
              <w14:srgbClr w14:val="000000"/>
            </w14:solidFill>
            <w14:prstDash w14:val="solid"/>
            <w14:miter w14:val="0"/>
          </w14:textOutline>
        </w:rPr>
        <w:t>(三)</w:t>
      </w:r>
      <w:r>
        <w:rPr>
          <w:rFonts w:ascii="宋体" w:hAnsi="宋体" w:eastAsia="宋体" w:cs="宋体"/>
          <w:color w:val="auto"/>
          <w:spacing w:val="-10"/>
          <w:sz w:val="24"/>
          <w:szCs w:val="24"/>
        </w:rPr>
        <w:t xml:space="preserve"> </w:t>
      </w:r>
      <w:r>
        <w:rPr>
          <w:rFonts w:ascii="宋体" w:hAnsi="宋体" w:eastAsia="宋体" w:cs="宋体"/>
          <w:color w:val="auto"/>
          <w:spacing w:val="-10"/>
          <w:sz w:val="24"/>
          <w:szCs w:val="24"/>
          <w14:textOutline w14:w="4356" w14:cap="flat" w14:cmpd="sng" w14:algn="ctr">
            <w14:solidFill>
              <w14:srgbClr w14:val="000000"/>
            </w14:solidFill>
            <w14:prstDash w14:val="solid"/>
            <w14:miter w14:val="0"/>
          </w14:textOutline>
        </w:rPr>
        <w:t>对中标或者成交结果提出质疑的，</w:t>
      </w:r>
      <w:r>
        <w:rPr>
          <w:rFonts w:ascii="宋体" w:hAnsi="宋体" w:eastAsia="宋体" w:cs="宋体"/>
          <w:color w:val="auto"/>
          <w:spacing w:val="-9"/>
          <w:sz w:val="24"/>
          <w:szCs w:val="24"/>
          <w14:textOutline w14:w="4356" w14:cap="flat" w14:cmpd="sng" w14:algn="ctr">
            <w14:solidFill>
              <w14:srgbClr w14:val="000000"/>
            </w14:solidFill>
            <w14:prstDash w14:val="solid"/>
            <w14:miter w14:val="0"/>
          </w14:textOutline>
        </w:rPr>
        <w:t>为</w:t>
      </w:r>
      <w:r>
        <w:rPr>
          <w:rFonts w:ascii="宋体" w:hAnsi="宋体" w:eastAsia="宋体" w:cs="宋体"/>
          <w:color w:val="auto"/>
          <w:spacing w:val="-6"/>
          <w:sz w:val="24"/>
          <w:szCs w:val="24"/>
          <w14:textOutline w14:w="4356" w14:cap="flat" w14:cmpd="sng" w14:algn="ctr">
            <w14:solidFill>
              <w14:srgbClr w14:val="000000"/>
            </w14:solidFill>
            <w14:prstDash w14:val="solid"/>
            <w14:miter w14:val="0"/>
          </w14:textOutline>
        </w:rPr>
        <w:t>中标或者成交结果公告期限届满之日。</w:t>
      </w:r>
      <w:r>
        <w:rPr>
          <w:rFonts w:ascii="宋体" w:hAnsi="宋体" w:eastAsia="宋体" w:cs="宋体"/>
          <w:color w:val="auto"/>
          <w:spacing w:val="-6"/>
          <w:sz w:val="24"/>
          <w:szCs w:val="24"/>
        </w:rPr>
        <w:t>) 起七个工作日内，以书面形式向采购</w:t>
      </w:r>
      <w:r>
        <w:rPr>
          <w:rFonts w:ascii="宋体" w:hAnsi="宋体" w:eastAsia="宋体" w:cs="宋体"/>
          <w:color w:val="auto"/>
          <w:spacing w:val="-8"/>
          <w:sz w:val="24"/>
          <w:szCs w:val="24"/>
        </w:rPr>
        <w:t>人</w:t>
      </w:r>
      <w:r>
        <w:rPr>
          <w:rFonts w:ascii="宋体" w:hAnsi="宋体" w:eastAsia="宋体" w:cs="宋体"/>
          <w:color w:val="auto"/>
          <w:spacing w:val="-6"/>
          <w:sz w:val="24"/>
          <w:szCs w:val="24"/>
        </w:rPr>
        <w:t>提出质疑。</w:t>
      </w:r>
    </w:p>
    <w:p>
      <w:pPr>
        <w:pStyle w:val="4"/>
        <w:ind w:firstLine="448" w:firstLineChars="200"/>
        <w:rPr>
          <w:rFonts w:ascii="Arial"/>
          <w:color w:val="auto"/>
          <w:sz w:val="21"/>
        </w:rPr>
      </w:pPr>
      <w:r>
        <w:rPr>
          <w:rFonts w:ascii="宋体" w:hAnsi="宋体" w:cs="宋体"/>
          <w:color w:val="auto"/>
          <w:spacing w:val="-8"/>
          <w:szCs w:val="24"/>
        </w:rPr>
        <w:t>(二)受理条件</w:t>
      </w:r>
    </w:p>
    <w:p>
      <w:pPr>
        <w:spacing w:before="273" w:line="360" w:lineRule="auto"/>
        <w:ind w:left="23" w:firstLine="494"/>
        <w:rPr>
          <w:rFonts w:hint="eastAsia" w:ascii="宋体" w:hAnsi="宋体" w:eastAsia="宋体" w:cs="宋体"/>
          <w:color w:val="auto"/>
          <w:spacing w:val="1"/>
          <w:sz w:val="24"/>
          <w:szCs w:val="24"/>
        </w:rPr>
      </w:pPr>
      <w:r>
        <w:rPr>
          <w:rFonts w:ascii="宋体" w:hAnsi="宋体" w:eastAsia="宋体" w:cs="宋体"/>
          <w:color w:val="auto"/>
          <w:spacing w:val="1"/>
          <w:sz w:val="24"/>
          <w:szCs w:val="24"/>
        </w:rPr>
        <w:t>1、供应商所提出质疑，必需有认为采购文件、采购过程、中标和成交结果等使自已的利益受到损害的事实和依据</w:t>
      </w:r>
      <w:r>
        <w:rPr>
          <w:rFonts w:hint="eastAsia" w:ascii="宋体" w:hAnsi="宋体" w:eastAsia="宋体" w:cs="宋体"/>
          <w:color w:val="auto"/>
          <w:spacing w:val="1"/>
          <w:sz w:val="24"/>
          <w:szCs w:val="24"/>
        </w:rPr>
        <w:t>，</w:t>
      </w:r>
      <w:r>
        <w:rPr>
          <w:rFonts w:ascii="宋体" w:hAnsi="宋体" w:eastAsia="宋体" w:cs="宋体"/>
          <w:color w:val="auto"/>
          <w:spacing w:val="1"/>
          <w:sz w:val="24"/>
          <w:szCs w:val="24"/>
        </w:rPr>
        <w:t>对与采购活动无关的供应商或者没有提出使自己的利益受到损害的事实和依据的质疑，可不予受理;</w:t>
      </w:r>
    </w:p>
    <w:p>
      <w:pPr>
        <w:spacing w:before="259" w:line="360" w:lineRule="auto"/>
        <w:ind w:left="24" w:right="82" w:firstLine="483"/>
        <w:rPr>
          <w:rFonts w:hint="eastAsia" w:ascii="宋体" w:hAnsi="宋体" w:eastAsia="宋体" w:cs="宋体"/>
          <w:color w:val="auto"/>
          <w:sz w:val="24"/>
          <w:szCs w:val="24"/>
        </w:rPr>
      </w:pPr>
      <w:r>
        <w:rPr>
          <w:rFonts w:ascii="宋体" w:hAnsi="宋体" w:eastAsia="宋体" w:cs="宋体"/>
          <w:color w:val="auto"/>
          <w:spacing w:val="-1"/>
          <w:sz w:val="24"/>
          <w:szCs w:val="24"/>
        </w:rPr>
        <w:t>2、质疑必需以书面形</w:t>
      </w:r>
      <w:r>
        <w:rPr>
          <w:rFonts w:ascii="宋体" w:hAnsi="宋体" w:eastAsia="宋体" w:cs="宋体"/>
          <w:color w:val="auto"/>
          <w:sz w:val="24"/>
          <w:szCs w:val="24"/>
        </w:rPr>
        <w:t xml:space="preserve">式提出并署名，质疑人为法人或其他组织的，质疑书 </w:t>
      </w:r>
      <w:r>
        <w:rPr>
          <w:rFonts w:ascii="宋体" w:hAnsi="宋体" w:eastAsia="宋体" w:cs="宋体"/>
          <w:color w:val="auto"/>
          <w:spacing w:val="-3"/>
          <w:sz w:val="24"/>
          <w:szCs w:val="24"/>
        </w:rPr>
        <w:t xml:space="preserve">应当加盖质疑单位公章，以口头形式提出的，可不予受理 </w:t>
      </w:r>
      <w:r>
        <w:rPr>
          <w:rFonts w:ascii="宋体" w:hAnsi="宋体" w:eastAsia="宋体" w:cs="宋体"/>
          <w:color w:val="auto"/>
          <w:spacing w:val="-2"/>
          <w:sz w:val="24"/>
          <w:szCs w:val="24"/>
        </w:rPr>
        <w:t>;</w:t>
      </w:r>
    </w:p>
    <w:p>
      <w:pPr>
        <w:spacing w:before="166" w:line="360" w:lineRule="auto"/>
        <w:ind w:left="63" w:right="66" w:firstLine="445"/>
        <w:rPr>
          <w:rFonts w:hint="eastAsia" w:ascii="宋体" w:hAnsi="宋体" w:eastAsia="宋体" w:cs="宋体"/>
          <w:color w:val="auto"/>
          <w:sz w:val="24"/>
          <w:szCs w:val="24"/>
        </w:rPr>
      </w:pPr>
      <w:r>
        <w:rPr>
          <w:rFonts w:ascii="宋体" w:hAnsi="宋体" w:eastAsia="宋体" w:cs="宋体"/>
          <w:color w:val="auto"/>
          <w:spacing w:val="1"/>
          <w:sz w:val="24"/>
          <w:szCs w:val="24"/>
        </w:rPr>
        <w:t>3、在法</w:t>
      </w:r>
      <w:r>
        <w:rPr>
          <w:rFonts w:ascii="宋体" w:hAnsi="宋体" w:eastAsia="宋体" w:cs="宋体"/>
          <w:color w:val="auto"/>
          <w:sz w:val="24"/>
          <w:szCs w:val="24"/>
        </w:rPr>
        <w:t xml:space="preserve">定时间内提出质疑。供应商在认为采购过程、中标和成交结果等使 </w:t>
      </w:r>
      <w:r>
        <w:rPr>
          <w:rFonts w:ascii="宋体" w:hAnsi="宋体" w:eastAsia="宋体" w:cs="宋体"/>
          <w:color w:val="auto"/>
          <w:spacing w:val="-10"/>
          <w:sz w:val="24"/>
          <w:szCs w:val="24"/>
        </w:rPr>
        <w:t>自</w:t>
      </w:r>
      <w:r>
        <w:rPr>
          <w:rFonts w:ascii="宋体" w:hAnsi="宋体" w:eastAsia="宋体" w:cs="宋体"/>
          <w:color w:val="auto"/>
          <w:spacing w:val="-5"/>
          <w:sz w:val="24"/>
          <w:szCs w:val="24"/>
        </w:rPr>
        <w:t>已的利益受到损害后的七个工作日内提出质疑 ;</w:t>
      </w:r>
    </w:p>
    <w:p>
      <w:pPr>
        <w:spacing w:before="273" w:line="360" w:lineRule="auto"/>
        <w:ind w:left="23" w:firstLine="494"/>
        <w:rPr>
          <w:rFonts w:hint="eastAsia" w:ascii="宋体" w:hAnsi="宋体" w:eastAsia="宋体" w:cs="宋体"/>
          <w:color w:val="auto"/>
          <w:spacing w:val="1"/>
          <w:sz w:val="24"/>
          <w:szCs w:val="24"/>
        </w:rPr>
      </w:pPr>
      <w:r>
        <w:rPr>
          <w:rFonts w:ascii="宋体" w:hAnsi="宋体" w:eastAsia="宋体" w:cs="宋体"/>
          <w:color w:val="auto"/>
          <w:spacing w:val="1"/>
          <w:sz w:val="24"/>
          <w:szCs w:val="24"/>
        </w:rPr>
        <w:t>(三)质疑具体要求及注意事项：</w:t>
      </w:r>
    </w:p>
    <w:p>
      <w:pPr>
        <w:spacing w:before="273" w:line="360" w:lineRule="auto"/>
        <w:ind w:left="23" w:firstLine="494"/>
        <w:rPr>
          <w:rFonts w:hint="eastAsia" w:ascii="宋体" w:hAnsi="宋体" w:eastAsia="宋体" w:cs="宋体"/>
          <w:color w:val="auto"/>
          <w:sz w:val="24"/>
          <w:szCs w:val="24"/>
        </w:rPr>
      </w:pPr>
      <w:r>
        <w:rPr>
          <w:rFonts w:ascii="宋体" w:hAnsi="宋体" w:eastAsia="宋体" w:cs="宋体"/>
          <w:color w:val="auto"/>
          <w:spacing w:val="1"/>
          <w:sz w:val="24"/>
          <w:szCs w:val="24"/>
        </w:rPr>
        <w:t>1.质疑文件递交要求：质疑须以书面形式提出，列明</w:t>
      </w:r>
      <w:r>
        <w:rPr>
          <w:rFonts w:ascii="宋体" w:hAnsi="宋体" w:eastAsia="宋体" w:cs="宋体"/>
          <w:color w:val="auto"/>
          <w:spacing w:val="-2"/>
          <w:sz w:val="24"/>
          <w:szCs w:val="24"/>
        </w:rPr>
        <w:t>质疑事项及相关</w:t>
      </w:r>
      <w:r>
        <w:rPr>
          <w:rFonts w:ascii="宋体" w:hAnsi="宋体" w:eastAsia="宋体" w:cs="宋体"/>
          <w:color w:val="auto"/>
          <w:spacing w:val="-1"/>
          <w:sz w:val="24"/>
          <w:szCs w:val="24"/>
        </w:rPr>
        <w:t>依</w:t>
      </w:r>
      <w:r>
        <w:rPr>
          <w:rFonts w:ascii="宋体" w:hAnsi="宋体" w:eastAsia="宋体" w:cs="宋体"/>
          <w:color w:val="auto"/>
          <w:sz w:val="24"/>
          <w:szCs w:val="24"/>
        </w:rPr>
        <w:t xml:space="preserve">据， </w:t>
      </w:r>
      <w:r>
        <w:rPr>
          <w:rFonts w:ascii="宋体" w:hAnsi="宋体" w:eastAsia="宋体" w:cs="宋体"/>
          <w:color w:val="auto"/>
          <w:spacing w:val="-12"/>
          <w:sz w:val="24"/>
          <w:szCs w:val="24"/>
        </w:rPr>
        <w:t>联</w:t>
      </w:r>
      <w:r>
        <w:rPr>
          <w:rFonts w:ascii="宋体" w:hAnsi="宋体" w:eastAsia="宋体" w:cs="宋体"/>
          <w:color w:val="auto"/>
          <w:spacing w:val="-6"/>
          <w:sz w:val="24"/>
          <w:szCs w:val="24"/>
        </w:rPr>
        <w:t>系人、联系电话、传真、详细地址、邮编等基本信息。质疑函一式两份， 加盖</w:t>
      </w:r>
      <w:r>
        <w:rPr>
          <w:rFonts w:ascii="宋体" w:hAnsi="宋体" w:eastAsia="宋体" w:cs="宋体"/>
          <w:color w:val="auto"/>
          <w:spacing w:val="-20"/>
          <w:sz w:val="24"/>
          <w:szCs w:val="24"/>
        </w:rPr>
        <w:t>公</w:t>
      </w:r>
      <w:r>
        <w:rPr>
          <w:rFonts w:ascii="宋体" w:hAnsi="宋体" w:eastAsia="宋体" w:cs="宋体"/>
          <w:color w:val="auto"/>
          <w:spacing w:val="-12"/>
          <w:sz w:val="24"/>
          <w:szCs w:val="24"/>
        </w:rPr>
        <w:t>章后， 一份送本项目代理机构，一份送采购人处，项目代理机构或采购人收悉</w:t>
      </w:r>
      <w:r>
        <w:rPr>
          <w:rFonts w:ascii="宋体" w:hAnsi="宋体" w:eastAsia="宋体" w:cs="宋体"/>
          <w:color w:val="auto"/>
          <w:spacing w:val="-4"/>
          <w:sz w:val="24"/>
          <w:szCs w:val="24"/>
        </w:rPr>
        <w:t>质</w:t>
      </w:r>
      <w:r>
        <w:rPr>
          <w:rFonts w:ascii="宋体" w:hAnsi="宋体" w:eastAsia="宋体" w:cs="宋体"/>
          <w:color w:val="auto"/>
          <w:spacing w:val="-3"/>
          <w:sz w:val="24"/>
          <w:szCs w:val="24"/>
        </w:rPr>
        <w:t>疑</w:t>
      </w:r>
      <w:r>
        <w:rPr>
          <w:rFonts w:ascii="宋体" w:hAnsi="宋体" w:eastAsia="宋体" w:cs="宋体"/>
          <w:color w:val="auto"/>
          <w:spacing w:val="-2"/>
          <w:sz w:val="24"/>
          <w:szCs w:val="24"/>
        </w:rPr>
        <w:t>函后及时告知贵州省公共资源交易中心。</w:t>
      </w:r>
    </w:p>
    <w:p>
      <w:pPr>
        <w:spacing w:before="259" w:line="360" w:lineRule="auto"/>
        <w:ind w:left="24" w:right="82" w:firstLine="483"/>
        <w:rPr>
          <w:rFonts w:hint="eastAsia" w:ascii="宋体" w:hAnsi="宋体" w:eastAsia="宋体" w:cs="宋体"/>
          <w:color w:val="auto"/>
          <w:spacing w:val="-3"/>
          <w:sz w:val="24"/>
          <w:szCs w:val="24"/>
        </w:rPr>
      </w:pPr>
      <w:r>
        <w:rPr>
          <w:rFonts w:ascii="宋体" w:hAnsi="宋体" w:eastAsia="宋体" w:cs="宋体"/>
          <w:color w:val="auto"/>
          <w:spacing w:val="-3"/>
          <w:sz w:val="24"/>
          <w:szCs w:val="24"/>
        </w:rPr>
        <w:t>2.质疑文件递交地点：</w:t>
      </w:r>
    </w:p>
    <w:p>
      <w:pPr>
        <w:pStyle w:val="4"/>
        <w:ind w:firstLine="480" w:firstLineChars="200"/>
        <w:rPr>
          <w:rFonts w:hint="eastAsia" w:ascii="宋体" w:hAnsi="宋体" w:cs="宋体"/>
          <w:color w:val="auto"/>
          <w:szCs w:val="24"/>
        </w:rPr>
      </w:pPr>
      <w:r>
        <w:rPr>
          <w:color w:val="auto"/>
        </w:rPr>
        <w:t xml:space="preserve">代理机构：  贵州聚龙项目投资咨询有限公司 </w:t>
      </w:r>
    </w:p>
    <w:p>
      <w:pPr>
        <w:spacing w:before="186" w:line="360" w:lineRule="auto"/>
        <w:ind w:left="505" w:right="907" w:firstLine="16"/>
        <w:rPr>
          <w:rFonts w:hint="eastAsia" w:ascii="宋体" w:hAnsi="宋体" w:eastAsia="宋体" w:cs="宋体"/>
          <w:color w:val="auto"/>
          <w:sz w:val="24"/>
          <w:szCs w:val="24"/>
        </w:rPr>
      </w:pPr>
      <w:r>
        <w:rPr>
          <w:rFonts w:ascii="宋体" w:hAnsi="宋体" w:eastAsia="宋体" w:cs="宋体"/>
          <w:color w:val="auto"/>
          <w:spacing w:val="-22"/>
          <w:sz w:val="24"/>
          <w:szCs w:val="24"/>
        </w:rPr>
        <w:t>详</w:t>
      </w:r>
      <w:r>
        <w:rPr>
          <w:rFonts w:ascii="宋体" w:hAnsi="宋体" w:eastAsia="宋体" w:cs="宋体"/>
          <w:color w:val="auto"/>
          <w:spacing w:val="-13"/>
          <w:sz w:val="24"/>
          <w:szCs w:val="24"/>
        </w:rPr>
        <w:t xml:space="preserve">细地址： </w:t>
      </w:r>
      <w:r>
        <w:rPr>
          <w:rFonts w:ascii="宋体" w:hAnsi="宋体" w:eastAsia="宋体" w:cs="宋体"/>
          <w:color w:val="auto"/>
          <w:spacing w:val="-13"/>
          <w:sz w:val="24"/>
          <w:szCs w:val="24"/>
          <w:u w:val="single"/>
        </w:rPr>
        <w:t xml:space="preserve">贵阳市观山湖区长岭北路 6 号东原财富广场 3 栋 21 层 </w:t>
      </w:r>
      <w:r>
        <w:rPr>
          <w:rFonts w:ascii="宋体" w:hAnsi="宋体" w:eastAsia="宋体" w:cs="宋体"/>
          <w:color w:val="auto"/>
          <w:sz w:val="24"/>
          <w:szCs w:val="24"/>
        </w:rPr>
        <w:t xml:space="preserve"> </w:t>
      </w:r>
      <w:r>
        <w:rPr>
          <w:rFonts w:ascii="宋体" w:hAnsi="宋体" w:eastAsia="宋体" w:cs="宋体"/>
          <w:color w:val="auto"/>
          <w:spacing w:val="-8"/>
          <w:sz w:val="24"/>
          <w:szCs w:val="24"/>
        </w:rPr>
        <w:t>联 系 人</w:t>
      </w:r>
      <w:r>
        <w:rPr>
          <w:rFonts w:ascii="宋体" w:hAnsi="宋体" w:eastAsia="宋体" w:cs="宋体"/>
          <w:color w:val="auto"/>
          <w:spacing w:val="-5"/>
          <w:sz w:val="24"/>
          <w:szCs w:val="24"/>
        </w:rPr>
        <w:t>：</w:t>
      </w:r>
      <w:r>
        <w:rPr>
          <w:rFonts w:ascii="宋体" w:hAnsi="宋体" w:eastAsia="宋体" w:cs="宋体"/>
          <w:color w:val="auto"/>
          <w:spacing w:val="-4"/>
          <w:sz w:val="24"/>
          <w:szCs w:val="24"/>
        </w:rPr>
        <w:t xml:space="preserve">联系电话： </w:t>
      </w:r>
      <w:r>
        <w:rPr>
          <w:rFonts w:ascii="宋体" w:hAnsi="宋体" w:eastAsia="宋体" w:cs="宋体"/>
          <w:color w:val="auto"/>
          <w:spacing w:val="-4"/>
          <w:sz w:val="24"/>
          <w:szCs w:val="24"/>
          <w:u w:val="single"/>
        </w:rPr>
        <w:t xml:space="preserve"> 0851-85503618</w:t>
      </w:r>
    </w:p>
    <w:p>
      <w:pPr>
        <w:spacing w:before="2" w:line="360" w:lineRule="auto"/>
        <w:ind w:left="23" w:right="60" w:firstLine="486"/>
        <w:rPr>
          <w:rFonts w:hint="eastAsia" w:ascii="宋体" w:hAnsi="宋体" w:eastAsia="宋体" w:cs="宋体"/>
          <w:color w:val="auto"/>
          <w:sz w:val="24"/>
          <w:szCs w:val="24"/>
        </w:rPr>
      </w:pPr>
      <w:r>
        <w:rPr>
          <w:rFonts w:ascii="宋体" w:hAnsi="宋体" w:eastAsia="宋体" w:cs="宋体"/>
          <w:color w:val="auto"/>
          <w:spacing w:val="-18"/>
          <w:sz w:val="24"/>
          <w:szCs w:val="24"/>
        </w:rPr>
        <w:t>3.采</w:t>
      </w:r>
      <w:r>
        <w:rPr>
          <w:rFonts w:ascii="宋体" w:hAnsi="宋体" w:eastAsia="宋体" w:cs="宋体"/>
          <w:color w:val="auto"/>
          <w:spacing w:val="-9"/>
          <w:sz w:val="24"/>
          <w:szCs w:val="24"/>
        </w:rPr>
        <w:t>购方式的时间原因，供应商对采购文件质疑的截止时间为：供应商下载</w:t>
      </w:r>
      <w:r>
        <w:rPr>
          <w:rFonts w:ascii="宋体" w:hAnsi="宋体" w:eastAsia="宋体" w:cs="宋体"/>
          <w:color w:val="auto"/>
          <w:sz w:val="24"/>
          <w:szCs w:val="24"/>
        </w:rPr>
        <w:t xml:space="preserve"> </w:t>
      </w:r>
      <w:r>
        <w:rPr>
          <w:rFonts w:ascii="宋体" w:hAnsi="宋体" w:eastAsia="宋体" w:cs="宋体"/>
          <w:color w:val="auto"/>
          <w:spacing w:val="-18"/>
          <w:sz w:val="24"/>
          <w:szCs w:val="24"/>
        </w:rPr>
        <w:t>采</w:t>
      </w:r>
      <w:r>
        <w:rPr>
          <w:rFonts w:ascii="宋体" w:hAnsi="宋体" w:eastAsia="宋体" w:cs="宋体"/>
          <w:color w:val="auto"/>
          <w:spacing w:val="-11"/>
          <w:sz w:val="24"/>
          <w:szCs w:val="24"/>
        </w:rPr>
        <w:t>购</w:t>
      </w:r>
      <w:r>
        <w:rPr>
          <w:rFonts w:ascii="宋体" w:hAnsi="宋体" w:eastAsia="宋体" w:cs="宋体"/>
          <w:color w:val="auto"/>
          <w:spacing w:val="-9"/>
          <w:sz w:val="24"/>
          <w:szCs w:val="24"/>
        </w:rPr>
        <w:t>文件文件之日起个工作日内。</w:t>
      </w:r>
      <w:r>
        <w:rPr>
          <w:rFonts w:ascii="宋体" w:hAnsi="宋体" w:eastAsia="宋体" w:cs="宋体"/>
          <w:color w:val="auto"/>
          <w:spacing w:val="-9"/>
          <w:sz w:val="24"/>
          <w:szCs w:val="24"/>
          <w14:textOutline w14:w="4356" w14:cap="flat" w14:cmpd="sng" w14:algn="ctr">
            <w14:solidFill>
              <w14:srgbClr w14:val="000000"/>
            </w14:solidFill>
            <w14:prstDash w14:val="solid"/>
            <w14:miter w14:val="0"/>
          </w14:textOutline>
        </w:rPr>
        <w:t>供应商提供书面质疑文件的同时，向采购人或</w:t>
      </w:r>
      <w:r>
        <w:rPr>
          <w:rFonts w:ascii="宋体" w:hAnsi="宋体" w:eastAsia="宋体" w:cs="宋体"/>
          <w:color w:val="auto"/>
          <w:sz w:val="24"/>
          <w:szCs w:val="24"/>
        </w:rPr>
        <w:t xml:space="preserve"> </w:t>
      </w: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采购代理机构出示文件购买采购文件</w:t>
      </w: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凭证的复印件并加盖公章。</w:t>
      </w:r>
    </w:p>
    <w:p>
      <w:pPr>
        <w:spacing w:before="276" w:line="360" w:lineRule="auto"/>
        <w:ind w:left="23" w:right="58" w:firstLine="502"/>
        <w:rPr>
          <w:rFonts w:hint="eastAsia" w:ascii="宋体" w:hAnsi="宋体" w:eastAsia="宋体" w:cs="宋体"/>
          <w:color w:val="auto"/>
          <w:sz w:val="24"/>
          <w:szCs w:val="24"/>
        </w:rPr>
      </w:pPr>
      <w:r>
        <w:rPr>
          <w:rFonts w:ascii="宋体" w:hAnsi="宋体" w:eastAsia="宋体" w:cs="宋体"/>
          <w:color w:val="auto"/>
          <w:spacing w:val="-12"/>
          <w:sz w:val="24"/>
          <w:szCs w:val="24"/>
        </w:rPr>
        <w:t>(四)</w:t>
      </w:r>
      <w:r>
        <w:rPr>
          <w:rFonts w:ascii="宋体" w:hAnsi="宋体" w:eastAsia="宋体" w:cs="宋体"/>
          <w:color w:val="auto"/>
          <w:spacing w:val="-11"/>
          <w:sz w:val="24"/>
          <w:szCs w:val="24"/>
        </w:rPr>
        <w:t xml:space="preserve"> </w:t>
      </w:r>
      <w:r>
        <w:rPr>
          <w:rFonts w:ascii="宋体" w:hAnsi="宋体" w:eastAsia="宋体" w:cs="宋体"/>
          <w:color w:val="auto"/>
          <w:spacing w:val="-6"/>
          <w:sz w:val="24"/>
          <w:szCs w:val="24"/>
        </w:rPr>
        <w:t>质疑答复：采购人或者采购代理机构应当在 7 个工作日内对供应商依</w:t>
      </w:r>
      <w:r>
        <w:rPr>
          <w:rFonts w:ascii="宋体" w:hAnsi="宋体" w:eastAsia="宋体" w:cs="宋体"/>
          <w:color w:val="auto"/>
          <w:sz w:val="24"/>
          <w:szCs w:val="24"/>
        </w:rPr>
        <w:t xml:space="preserve"> </w:t>
      </w:r>
      <w:r>
        <w:rPr>
          <w:rFonts w:ascii="宋体" w:hAnsi="宋体" w:eastAsia="宋体" w:cs="宋体"/>
          <w:color w:val="auto"/>
          <w:spacing w:val="-3"/>
          <w:sz w:val="24"/>
          <w:szCs w:val="24"/>
        </w:rPr>
        <w:t>法提出的询问作出答复。供应商提出的询问或者质疑超出采购人对采购代理机</w:t>
      </w:r>
      <w:r>
        <w:rPr>
          <w:rFonts w:ascii="宋体" w:hAnsi="宋体" w:eastAsia="宋体" w:cs="宋体"/>
          <w:color w:val="auto"/>
          <w:spacing w:val="-2"/>
          <w:sz w:val="24"/>
          <w:szCs w:val="24"/>
        </w:rPr>
        <w:t>构</w:t>
      </w:r>
      <w:r>
        <w:rPr>
          <w:rFonts w:ascii="宋体" w:hAnsi="宋体" w:eastAsia="宋体" w:cs="宋体"/>
          <w:color w:val="auto"/>
          <w:sz w:val="24"/>
          <w:szCs w:val="24"/>
        </w:rPr>
        <w:t xml:space="preserve"> </w:t>
      </w:r>
      <w:r>
        <w:rPr>
          <w:rFonts w:ascii="宋体" w:hAnsi="宋体" w:eastAsia="宋体" w:cs="宋体"/>
          <w:color w:val="auto"/>
          <w:spacing w:val="-12"/>
          <w:sz w:val="24"/>
          <w:szCs w:val="24"/>
        </w:rPr>
        <w:t>委</w:t>
      </w:r>
      <w:r>
        <w:rPr>
          <w:rFonts w:ascii="宋体" w:hAnsi="宋体" w:eastAsia="宋体" w:cs="宋体"/>
          <w:color w:val="auto"/>
          <w:spacing w:val="-9"/>
          <w:sz w:val="24"/>
          <w:szCs w:val="24"/>
        </w:rPr>
        <w:t>托</w:t>
      </w:r>
      <w:r>
        <w:rPr>
          <w:rFonts w:ascii="宋体" w:hAnsi="宋体" w:eastAsia="宋体" w:cs="宋体"/>
          <w:color w:val="auto"/>
          <w:spacing w:val="-6"/>
          <w:sz w:val="24"/>
          <w:szCs w:val="24"/>
        </w:rPr>
        <w:t>授权范围的， 采购代理机构应当告知供应商向采购人提出。政府采购评审专</w:t>
      </w:r>
      <w:r>
        <w:rPr>
          <w:rFonts w:ascii="宋体" w:hAnsi="宋体" w:eastAsia="宋体" w:cs="宋体"/>
          <w:color w:val="auto"/>
          <w:sz w:val="24"/>
          <w:szCs w:val="24"/>
        </w:rPr>
        <w:t xml:space="preserve"> </w:t>
      </w:r>
      <w:r>
        <w:rPr>
          <w:rFonts w:ascii="宋体" w:hAnsi="宋体" w:eastAsia="宋体" w:cs="宋体"/>
          <w:color w:val="auto"/>
          <w:spacing w:val="-2"/>
          <w:sz w:val="24"/>
          <w:szCs w:val="24"/>
        </w:rPr>
        <w:t>家应当配合采购人或者采购代理</w:t>
      </w:r>
      <w:r>
        <w:rPr>
          <w:rFonts w:ascii="宋体" w:hAnsi="宋体" w:eastAsia="宋体" w:cs="宋体"/>
          <w:color w:val="auto"/>
          <w:spacing w:val="-1"/>
          <w:sz w:val="24"/>
          <w:szCs w:val="24"/>
        </w:rPr>
        <w:t>机构答复供应商的询问和质疑。</w:t>
      </w:r>
    </w:p>
    <w:p>
      <w:pPr>
        <w:spacing w:line="360" w:lineRule="auto"/>
        <w:ind w:firstLine="484" w:firstLineChars="200"/>
        <w:rPr>
          <w:color w:val="auto"/>
        </w:rPr>
      </w:pPr>
      <w:r>
        <w:rPr>
          <w:rFonts w:ascii="宋体" w:hAnsi="宋体" w:eastAsia="宋体" w:cs="宋体"/>
          <w:color w:val="auto"/>
          <w:spacing w:val="1"/>
          <w:sz w:val="24"/>
          <w:szCs w:val="24"/>
        </w:rPr>
        <w:t>(五) 提出质疑</w:t>
      </w:r>
      <w:r>
        <w:rPr>
          <w:rFonts w:ascii="宋体" w:hAnsi="宋体" w:eastAsia="宋体" w:cs="宋体"/>
          <w:color w:val="auto"/>
          <w:sz w:val="24"/>
          <w:szCs w:val="24"/>
        </w:rPr>
        <w:t xml:space="preserve">的供应商对采购人或代理机构的答复不满意或采购人、采购 </w:t>
      </w:r>
      <w:r>
        <w:rPr>
          <w:rFonts w:ascii="宋体" w:hAnsi="宋体" w:eastAsia="宋体" w:cs="宋体"/>
          <w:color w:val="auto"/>
          <w:spacing w:val="-12"/>
          <w:sz w:val="24"/>
          <w:szCs w:val="24"/>
        </w:rPr>
        <w:t>代</w:t>
      </w:r>
      <w:r>
        <w:rPr>
          <w:rFonts w:ascii="宋体" w:hAnsi="宋体" w:eastAsia="宋体" w:cs="宋体"/>
          <w:color w:val="auto"/>
          <w:spacing w:val="-9"/>
          <w:sz w:val="24"/>
          <w:szCs w:val="24"/>
        </w:rPr>
        <w:t>理</w:t>
      </w:r>
      <w:r>
        <w:rPr>
          <w:rFonts w:ascii="宋体" w:hAnsi="宋体" w:eastAsia="宋体" w:cs="宋体"/>
          <w:color w:val="auto"/>
          <w:spacing w:val="-6"/>
          <w:sz w:val="24"/>
          <w:szCs w:val="24"/>
        </w:rPr>
        <w:t>机构在规定的时间内未作出答复的， 可在收到答复之日起或答复期满后十五</w:t>
      </w:r>
      <w:bookmarkStart w:id="15" w:name="_bookmark26"/>
      <w:bookmarkEnd w:id="15"/>
      <w:bookmarkStart w:id="16" w:name="_bookmark25"/>
      <w:bookmarkEnd w:id="16"/>
      <w:bookmarkStart w:id="17" w:name="_bookmark27"/>
      <w:bookmarkEnd w:id="17"/>
      <w:r>
        <w:rPr>
          <w:rFonts w:ascii="宋体" w:hAnsi="宋体" w:eastAsia="宋体" w:cs="宋体"/>
          <w:color w:val="auto"/>
          <w:spacing w:val="-2"/>
          <w:sz w:val="24"/>
          <w:szCs w:val="24"/>
        </w:rPr>
        <w:t>个工作日内向采购人同级政府采购监督部门投诉</w:t>
      </w:r>
      <w:r>
        <w:rPr>
          <w:rFonts w:ascii="宋体" w:hAnsi="宋体" w:eastAsia="宋体" w:cs="宋体"/>
          <w:color w:val="auto"/>
          <w:spacing w:val="-1"/>
          <w:sz w:val="24"/>
          <w:szCs w:val="24"/>
        </w:rPr>
        <w:t>。</w:t>
      </w:r>
    </w:p>
    <w:p>
      <w:pPr>
        <w:spacing w:before="203" w:line="360" w:lineRule="auto"/>
        <w:ind w:left="3035"/>
        <w:outlineLvl w:val="2"/>
        <w:rPr>
          <w:rFonts w:hint="eastAsia" w:ascii="宋体" w:hAnsi="宋体" w:eastAsia="宋体" w:cs="宋体"/>
          <w:color w:val="auto"/>
          <w:spacing w:val="-1"/>
          <w:sz w:val="24"/>
          <w:szCs w:val="24"/>
        </w:rPr>
      </w:pPr>
      <w:r>
        <w:rPr>
          <w:rFonts w:ascii="宋体" w:hAnsi="宋体" w:eastAsia="宋体" w:cs="宋体"/>
          <w:color w:val="auto"/>
          <w:spacing w:val="-1"/>
          <w:sz w:val="24"/>
          <w:szCs w:val="24"/>
        </w:rPr>
        <w:t>第</w:t>
      </w:r>
      <w:r>
        <w:rPr>
          <w:rFonts w:hint="eastAsia" w:ascii="宋体" w:hAnsi="宋体" w:eastAsia="宋体" w:cs="宋体"/>
          <w:color w:val="auto"/>
          <w:spacing w:val="-1"/>
          <w:sz w:val="24"/>
          <w:szCs w:val="24"/>
        </w:rPr>
        <w:t>八</w:t>
      </w:r>
      <w:r>
        <w:rPr>
          <w:rFonts w:ascii="宋体" w:hAnsi="宋体" w:eastAsia="宋体" w:cs="宋体"/>
          <w:color w:val="auto"/>
          <w:spacing w:val="-1"/>
          <w:sz w:val="24"/>
          <w:szCs w:val="24"/>
        </w:rPr>
        <w:t>节 支付代理服务费</w:t>
      </w:r>
    </w:p>
    <w:p>
      <w:pPr>
        <w:pStyle w:val="4"/>
        <w:rPr>
          <w:rFonts w:hint="eastAsia" w:ascii="宋体" w:hAnsi="宋体" w:cs="宋体"/>
          <w:color w:val="auto"/>
          <w:szCs w:val="24"/>
        </w:rPr>
      </w:pPr>
      <w:r>
        <w:rPr>
          <w:color w:val="auto"/>
        </w:rPr>
        <w:t>一、收费标准</w:t>
      </w:r>
      <w:r>
        <w:rPr>
          <w:rFonts w:hint="eastAsia" w:ascii="宋体" w:hAnsi="宋体" w:cs="宋体"/>
          <w:color w:val="auto"/>
          <w:spacing w:val="-9"/>
          <w:szCs w:val="24"/>
        </w:rPr>
        <w:t xml:space="preserve"> </w:t>
      </w:r>
    </w:p>
    <w:p>
      <w:pPr>
        <w:spacing w:before="120" w:line="360" w:lineRule="auto"/>
        <w:ind w:left="23" w:firstLine="49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依据：参照国家发展计划委员会《招标代理服务收费管理暂行办法》（计价格[2002]1980号文）计价标准计算，由中标人支付 。</w:t>
      </w:r>
    </w:p>
    <w:p>
      <w:pPr>
        <w:spacing w:before="120" w:line="360" w:lineRule="auto"/>
        <w:ind w:left="23" w:firstLine="494"/>
        <w:rPr>
          <w:rFonts w:hint="eastAsia" w:ascii="宋体" w:hAnsi="宋体" w:eastAsia="宋体" w:cs="宋体"/>
          <w:color w:val="auto"/>
          <w:sz w:val="24"/>
          <w:szCs w:val="24"/>
        </w:rPr>
      </w:pPr>
      <w:r>
        <w:rPr>
          <w:rFonts w:ascii="宋体" w:hAnsi="宋体" w:eastAsia="宋体" w:cs="宋体"/>
          <w:color w:val="auto"/>
          <w:spacing w:val="-6"/>
          <w:sz w:val="24"/>
          <w:szCs w:val="24"/>
        </w:rPr>
        <w:t>代理机构严</w:t>
      </w:r>
      <w:r>
        <w:rPr>
          <w:rFonts w:ascii="宋体" w:hAnsi="宋体" w:eastAsia="宋体" w:cs="宋体"/>
          <w:color w:val="auto"/>
          <w:spacing w:val="-3"/>
          <w:sz w:val="24"/>
          <w:szCs w:val="24"/>
        </w:rPr>
        <w:t>格遵守《价格法》、《关于商品和服务实行明码标价的规定》等</w:t>
      </w:r>
      <w:r>
        <w:rPr>
          <w:rFonts w:ascii="宋体" w:hAnsi="宋体" w:eastAsia="宋体" w:cs="宋体"/>
          <w:color w:val="auto"/>
          <w:sz w:val="24"/>
          <w:szCs w:val="24"/>
        </w:rPr>
        <w:t xml:space="preserve"> </w:t>
      </w:r>
      <w:r>
        <w:rPr>
          <w:rFonts w:ascii="宋体" w:hAnsi="宋体" w:eastAsia="宋体" w:cs="宋体"/>
          <w:color w:val="auto"/>
          <w:spacing w:val="-21"/>
          <w:sz w:val="24"/>
          <w:szCs w:val="24"/>
        </w:rPr>
        <w:t>法</w:t>
      </w:r>
      <w:r>
        <w:rPr>
          <w:rFonts w:ascii="宋体" w:hAnsi="宋体" w:eastAsia="宋体" w:cs="宋体"/>
          <w:color w:val="auto"/>
          <w:spacing w:val="-12"/>
          <w:sz w:val="24"/>
          <w:szCs w:val="24"/>
        </w:rPr>
        <w:t>律法规规定， 告知有关服务项目、服务内容、服务质量， 以及服务价格等， 并</w:t>
      </w:r>
      <w:r>
        <w:rPr>
          <w:rFonts w:ascii="宋体" w:hAnsi="宋体" w:eastAsia="宋体" w:cs="宋体"/>
          <w:color w:val="auto"/>
          <w:sz w:val="24"/>
          <w:szCs w:val="24"/>
        </w:rPr>
        <w:t xml:space="preserve"> </w:t>
      </w:r>
      <w:r>
        <w:rPr>
          <w:rFonts w:ascii="宋体" w:hAnsi="宋体" w:eastAsia="宋体" w:cs="宋体"/>
          <w:color w:val="auto"/>
          <w:spacing w:val="-12"/>
          <w:sz w:val="24"/>
          <w:szCs w:val="24"/>
        </w:rPr>
        <w:t>在</w:t>
      </w:r>
      <w:r>
        <w:rPr>
          <w:rFonts w:ascii="宋体" w:hAnsi="宋体" w:eastAsia="宋体" w:cs="宋体"/>
          <w:color w:val="auto"/>
          <w:spacing w:val="-9"/>
          <w:sz w:val="24"/>
          <w:szCs w:val="24"/>
        </w:rPr>
        <w:t>相</w:t>
      </w:r>
      <w:r>
        <w:rPr>
          <w:rFonts w:ascii="宋体" w:hAnsi="宋体" w:eastAsia="宋体" w:cs="宋体"/>
          <w:color w:val="auto"/>
          <w:spacing w:val="-6"/>
          <w:sz w:val="24"/>
          <w:szCs w:val="24"/>
        </w:rPr>
        <w:t>关服务合同中约定。代理机构提供的服务， 应当符合国家和行业有关标准规</w:t>
      </w:r>
      <w:r>
        <w:rPr>
          <w:rFonts w:ascii="宋体" w:hAnsi="宋体" w:eastAsia="宋体" w:cs="宋体"/>
          <w:color w:val="auto"/>
          <w:sz w:val="24"/>
          <w:szCs w:val="24"/>
        </w:rPr>
        <w:t xml:space="preserve"> </w:t>
      </w:r>
      <w:r>
        <w:rPr>
          <w:rFonts w:ascii="宋体" w:hAnsi="宋体" w:eastAsia="宋体" w:cs="宋体"/>
          <w:color w:val="auto"/>
          <w:spacing w:val="-14"/>
          <w:sz w:val="24"/>
          <w:szCs w:val="24"/>
        </w:rPr>
        <w:t>范，满</w:t>
      </w:r>
      <w:r>
        <w:rPr>
          <w:rFonts w:ascii="宋体" w:hAnsi="宋体" w:eastAsia="宋体" w:cs="宋体"/>
          <w:color w:val="auto"/>
          <w:spacing w:val="-12"/>
          <w:sz w:val="24"/>
          <w:szCs w:val="24"/>
        </w:rPr>
        <w:t>足</w:t>
      </w:r>
      <w:r>
        <w:rPr>
          <w:rFonts w:ascii="宋体" w:hAnsi="宋体" w:eastAsia="宋体" w:cs="宋体"/>
          <w:color w:val="auto"/>
          <w:spacing w:val="-7"/>
          <w:sz w:val="24"/>
          <w:szCs w:val="24"/>
        </w:rPr>
        <w:t>合同约定的服务内容和质量等要求。不得违反标准规范规定或合同约定，</w:t>
      </w:r>
      <w:r>
        <w:rPr>
          <w:rFonts w:ascii="宋体" w:hAnsi="宋体" w:eastAsia="宋体" w:cs="宋体"/>
          <w:color w:val="auto"/>
          <w:sz w:val="24"/>
          <w:szCs w:val="24"/>
        </w:rPr>
        <w:t xml:space="preserve"> </w:t>
      </w:r>
      <w:r>
        <w:rPr>
          <w:rFonts w:ascii="宋体" w:hAnsi="宋体" w:eastAsia="宋体" w:cs="宋体"/>
          <w:color w:val="auto"/>
          <w:spacing w:val="-2"/>
          <w:sz w:val="24"/>
          <w:szCs w:val="24"/>
        </w:rPr>
        <w:t>通过降低服务质量</w:t>
      </w:r>
      <w:r>
        <w:rPr>
          <w:rFonts w:ascii="宋体" w:hAnsi="宋体" w:eastAsia="宋体" w:cs="宋体"/>
          <w:color w:val="auto"/>
          <w:spacing w:val="-1"/>
          <w:sz w:val="24"/>
          <w:szCs w:val="24"/>
        </w:rPr>
        <w:t>、减少服务内容等手段进行恶性竞争，扰乱正常市场秩序。</w:t>
      </w:r>
    </w:p>
    <w:p>
      <w:pPr>
        <w:pStyle w:val="4"/>
        <w:rPr>
          <w:color w:val="auto"/>
        </w:rPr>
      </w:pPr>
      <w:r>
        <w:rPr>
          <w:color w:val="auto"/>
        </w:rPr>
        <w:t>二、支付方式</w:t>
      </w:r>
    </w:p>
    <w:p>
      <w:pPr>
        <w:spacing w:before="27" w:line="360" w:lineRule="auto"/>
        <w:ind w:left="23" w:right="65" w:firstLine="483"/>
        <w:rPr>
          <w:rFonts w:hint="eastAsia" w:ascii="宋体" w:hAnsi="宋体" w:eastAsia="宋体" w:cs="宋体"/>
          <w:color w:val="auto"/>
          <w:sz w:val="24"/>
          <w:szCs w:val="24"/>
        </w:rPr>
      </w:pPr>
      <w:r>
        <w:rPr>
          <w:rFonts w:ascii="宋体" w:hAnsi="宋体" w:eastAsia="宋体" w:cs="宋体"/>
          <w:color w:val="auto"/>
          <w:spacing w:val="-6"/>
          <w:sz w:val="24"/>
          <w:szCs w:val="24"/>
        </w:rPr>
        <w:t>成交供</w:t>
      </w:r>
      <w:r>
        <w:rPr>
          <w:rFonts w:ascii="宋体" w:hAnsi="宋体" w:eastAsia="宋体" w:cs="宋体"/>
          <w:color w:val="auto"/>
          <w:spacing w:val="-3"/>
          <w:sz w:val="24"/>
          <w:szCs w:val="24"/>
        </w:rPr>
        <w:t>应商在收到中标通知书时向代理机构支付代理服务费。中标服务费可</w:t>
      </w:r>
      <w:r>
        <w:rPr>
          <w:rFonts w:ascii="宋体" w:hAnsi="宋体" w:eastAsia="宋体" w:cs="宋体"/>
          <w:color w:val="auto"/>
          <w:sz w:val="24"/>
          <w:szCs w:val="24"/>
        </w:rPr>
        <w:t xml:space="preserve"> </w:t>
      </w:r>
      <w:r>
        <w:rPr>
          <w:rFonts w:ascii="宋体" w:hAnsi="宋体" w:eastAsia="宋体" w:cs="宋体"/>
          <w:color w:val="auto"/>
          <w:spacing w:val="-2"/>
          <w:sz w:val="24"/>
          <w:szCs w:val="24"/>
        </w:rPr>
        <w:t>采取现金、银行汇款、电汇款等</w:t>
      </w:r>
      <w:r>
        <w:rPr>
          <w:rFonts w:ascii="宋体" w:hAnsi="宋体" w:eastAsia="宋体" w:cs="宋体"/>
          <w:color w:val="auto"/>
          <w:spacing w:val="-1"/>
          <w:sz w:val="24"/>
          <w:szCs w:val="24"/>
        </w:rPr>
        <w:t>代理机构认可的方式进行支付。</w:t>
      </w:r>
    </w:p>
    <w:p>
      <w:pPr>
        <w:pStyle w:val="4"/>
        <w:rPr>
          <w:color w:val="auto"/>
        </w:rPr>
      </w:pPr>
      <w:r>
        <w:rPr>
          <w:color w:val="auto"/>
        </w:rPr>
        <w:t>三、账户信息</w:t>
      </w:r>
    </w:p>
    <w:p>
      <w:pPr>
        <w:pStyle w:val="9"/>
        <w:widowControl w:val="0"/>
        <w:tabs>
          <w:tab w:val="left" w:pos="651"/>
        </w:tabs>
        <w:spacing w:before="25"/>
        <w:ind w:left="120"/>
        <w:jc w:val="both"/>
        <w:rPr>
          <w:rFonts w:hint="eastAsia"/>
          <w:color w:val="auto"/>
          <w:spacing w:val="-12"/>
          <w:sz w:val="24"/>
          <w:szCs w:val="24"/>
          <w:lang w:val="en-US" w:bidi="ar-SA"/>
        </w:rPr>
      </w:pPr>
      <w:r>
        <w:rPr>
          <w:rFonts w:hint="eastAsia"/>
          <w:color w:val="auto"/>
          <w:spacing w:val="-12"/>
          <w:sz w:val="24"/>
          <w:szCs w:val="24"/>
          <w:lang w:val="en-US" w:bidi="ar-SA"/>
        </w:rPr>
        <w:t xml:space="preserve">户  名：贵州聚龙项目投资咨询有限公司遵义分公司 </w:t>
      </w:r>
    </w:p>
    <w:p>
      <w:pPr>
        <w:pStyle w:val="9"/>
        <w:widowControl w:val="0"/>
        <w:tabs>
          <w:tab w:val="left" w:pos="651"/>
        </w:tabs>
        <w:spacing w:before="25"/>
        <w:ind w:left="120"/>
        <w:jc w:val="both"/>
        <w:rPr>
          <w:rFonts w:hint="eastAsia"/>
          <w:color w:val="auto"/>
          <w:spacing w:val="-12"/>
          <w:sz w:val="24"/>
          <w:szCs w:val="24"/>
          <w:lang w:val="en-US" w:bidi="ar-SA"/>
        </w:rPr>
      </w:pPr>
      <w:r>
        <w:rPr>
          <w:rFonts w:hint="eastAsia"/>
          <w:color w:val="auto"/>
          <w:spacing w:val="-12"/>
          <w:sz w:val="24"/>
          <w:szCs w:val="24"/>
          <w:lang w:val="en-US" w:bidi="ar-SA"/>
        </w:rPr>
        <w:t xml:space="preserve">账  号：0202001800001192 </w:t>
      </w:r>
    </w:p>
    <w:p>
      <w:pPr>
        <w:pStyle w:val="9"/>
        <w:widowControl w:val="0"/>
        <w:tabs>
          <w:tab w:val="left" w:pos="651"/>
        </w:tabs>
        <w:spacing w:before="25"/>
        <w:ind w:left="120"/>
        <w:jc w:val="both"/>
        <w:rPr>
          <w:rFonts w:hint="eastAsia"/>
          <w:color w:val="auto"/>
          <w:spacing w:val="-12"/>
          <w:sz w:val="24"/>
          <w:szCs w:val="24"/>
          <w:lang w:val="en-US" w:bidi="ar-SA"/>
        </w:rPr>
      </w:pPr>
      <w:r>
        <w:rPr>
          <w:rFonts w:hint="eastAsia"/>
          <w:color w:val="auto"/>
          <w:spacing w:val="-12"/>
          <w:sz w:val="24"/>
          <w:szCs w:val="24"/>
          <w:lang w:val="en-US" w:bidi="ar-SA"/>
        </w:rPr>
        <w:t xml:space="preserve">开户行：贵州银行股份有限公司遵义分行营业部 </w:t>
      </w:r>
    </w:p>
    <w:p>
      <w:pPr>
        <w:pStyle w:val="4"/>
        <w:ind w:firstLine="432" w:firstLineChars="200"/>
        <w:rPr>
          <w:rFonts w:hint="eastAsia" w:ascii="宋体" w:hAnsi="宋体" w:cs="宋体"/>
          <w:color w:val="auto"/>
          <w:spacing w:val="-12"/>
          <w:szCs w:val="24"/>
        </w:rPr>
      </w:pPr>
    </w:p>
    <w:p>
      <w:pPr>
        <w:rPr>
          <w:color w:val="auto"/>
        </w:rPr>
      </w:pPr>
    </w:p>
    <w:p>
      <w:pPr>
        <w:numPr>
          <w:ilvl w:val="0"/>
          <w:numId w:val="3"/>
        </w:numPr>
        <w:spacing w:before="79" w:line="218" w:lineRule="auto"/>
        <w:ind w:left="2074"/>
        <w:outlineLvl w:val="2"/>
        <w:rPr>
          <w:rFonts w:hint="eastAsia" w:ascii="宋体" w:hAnsi="宋体" w:eastAsia="宋体" w:cs="宋体"/>
          <w:color w:val="auto"/>
          <w:sz w:val="24"/>
          <w:szCs w:val="24"/>
        </w:rPr>
      </w:pPr>
      <w:r>
        <w:rPr>
          <w:rFonts w:ascii="宋体" w:hAnsi="宋体" w:eastAsia="宋体" w:cs="宋体"/>
          <w:color w:val="auto"/>
          <w:spacing w:val="-1"/>
          <w:sz w:val="24"/>
          <w:szCs w:val="24"/>
        </w:rPr>
        <w:t>政府采购合</w:t>
      </w:r>
      <w:r>
        <w:rPr>
          <w:rFonts w:ascii="宋体" w:hAnsi="宋体" w:eastAsia="宋体" w:cs="宋体"/>
          <w:color w:val="auto"/>
          <w:sz w:val="24"/>
          <w:szCs w:val="24"/>
        </w:rPr>
        <w:t>同签订、备案及公告</w:t>
      </w:r>
    </w:p>
    <w:p>
      <w:pPr>
        <w:pStyle w:val="4"/>
        <w:rPr>
          <w:color w:val="auto"/>
        </w:rPr>
      </w:pP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一、签订、备案及公告时间</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采购人与中标、中标供应商应当在中标、成交通知书发出之日起三十日内， 按照采 购文件确定的事项签订政府采购合同，采购合同自签订之日起七个工作日内，采购人应 当将合同副本报同级政府采购监督管理部门和有关部门备案。</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采购人应当自政府采购合同签订之日起2个工作日内，将政府采购合同在省级以上 人民政府财政部门指定的媒体上公告，但政府采购合同中涉及国家秘密、商业秘密的内 容除外。</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《中标通知书》发出之日起三十日内。中标或者中标供应商拒绝与采购人签订合同 的，采购人可以按照评审报告推荐的中标或者成交候选人名单排序，确定下一候选人为 中标或者中标供应商，也可以重新开展政府采购活动。</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二、合同内容</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本项目拟签订的政府采购合同见第五章有关内容。中标供应商与采购人须按照本项 目的采购文件和投标文件所载内容，及评标过程中有关澄清文件内容签订政府采购合同</w:t>
      </w:r>
      <w:r>
        <w:rPr>
          <w:rFonts w:hint="eastAsia" w:ascii="宋体" w:hAnsi="宋体" w:eastAsia="宋体" w:cs="宋体"/>
          <w:spacing w:val="-2"/>
          <w:sz w:val="22"/>
          <w:szCs w:val="22"/>
        </w:rPr>
        <w:t>。</w:t>
      </w:r>
    </w:p>
    <w:p>
      <w:pPr>
        <w:spacing w:before="79" w:line="218" w:lineRule="auto"/>
        <w:ind w:left="2074" w:firstLine="476" w:firstLineChars="200"/>
        <w:outlineLvl w:val="2"/>
        <w:rPr>
          <w:rFonts w:hint="eastAsia" w:ascii="宋体" w:hAnsi="宋体" w:eastAsia="宋体" w:cs="宋体"/>
          <w:color w:val="auto"/>
          <w:spacing w:val="-1"/>
          <w:sz w:val="24"/>
          <w:szCs w:val="24"/>
        </w:rPr>
      </w:pPr>
    </w:p>
    <w:p>
      <w:pPr>
        <w:spacing w:before="79" w:line="218" w:lineRule="auto"/>
        <w:ind w:left="2074" w:firstLine="476" w:firstLineChars="200"/>
        <w:outlineLvl w:val="2"/>
        <w:rPr>
          <w:rFonts w:hint="eastAsia" w:ascii="宋体" w:hAnsi="宋体" w:eastAsia="宋体" w:cs="宋体"/>
          <w:color w:val="auto"/>
          <w:spacing w:val="-1"/>
          <w:sz w:val="24"/>
          <w:szCs w:val="24"/>
        </w:rPr>
      </w:pPr>
    </w:p>
    <w:p>
      <w:pPr>
        <w:spacing w:before="79" w:line="218" w:lineRule="auto"/>
        <w:ind w:left="2074" w:firstLine="476" w:firstLineChars="200"/>
        <w:outlineLvl w:val="2"/>
        <w:rPr>
          <w:rFonts w:hint="eastAsia" w:ascii="宋体" w:hAnsi="宋体" w:eastAsia="宋体" w:cs="宋体"/>
          <w:color w:val="auto"/>
          <w:spacing w:val="-1"/>
          <w:sz w:val="24"/>
          <w:szCs w:val="24"/>
        </w:rPr>
      </w:pPr>
      <w:r>
        <w:rPr>
          <w:rFonts w:ascii="宋体" w:hAnsi="宋体" w:eastAsia="宋体" w:cs="宋体"/>
          <w:color w:val="auto"/>
          <w:spacing w:val="-1"/>
          <w:sz w:val="24"/>
          <w:szCs w:val="24"/>
        </w:rPr>
        <w:t>第</w:t>
      </w:r>
      <w:r>
        <w:rPr>
          <w:rFonts w:hint="eastAsia" w:ascii="宋体" w:hAnsi="宋体" w:eastAsia="宋体" w:cs="宋体"/>
          <w:color w:val="auto"/>
          <w:spacing w:val="-1"/>
          <w:sz w:val="24"/>
          <w:szCs w:val="24"/>
        </w:rPr>
        <w:t>十</w:t>
      </w:r>
      <w:r>
        <w:rPr>
          <w:rFonts w:ascii="宋体" w:hAnsi="宋体" w:eastAsia="宋体" w:cs="宋体"/>
          <w:color w:val="auto"/>
          <w:spacing w:val="-1"/>
          <w:sz w:val="24"/>
          <w:szCs w:val="24"/>
        </w:rPr>
        <w:t>节 退还投标保证金</w:t>
      </w:r>
    </w:p>
    <w:p>
      <w:pPr>
        <w:spacing w:before="267" w:line="219" w:lineRule="auto"/>
        <w:ind w:left="1183"/>
        <w:rPr>
          <w:rFonts w:hint="eastAsia" w:ascii="宋体" w:hAnsi="宋体" w:eastAsia="宋体" w:cs="宋体"/>
          <w:color w:val="auto"/>
          <w:sz w:val="24"/>
          <w:szCs w:val="24"/>
        </w:rPr>
      </w:pPr>
      <w:r>
        <w:rPr>
          <w:rFonts w:ascii="宋体" w:hAnsi="宋体" w:eastAsia="宋体" w:cs="宋体"/>
          <w:color w:val="auto"/>
          <w:spacing w:val="6"/>
          <w:sz w:val="24"/>
          <w:szCs w:val="24"/>
        </w:rPr>
        <w:t>(仅适用</w:t>
      </w:r>
      <w:r>
        <w:rPr>
          <w:rFonts w:ascii="宋体" w:hAnsi="宋体" w:eastAsia="宋体" w:cs="宋体"/>
          <w:color w:val="auto"/>
          <w:spacing w:val="4"/>
          <w:sz w:val="24"/>
          <w:szCs w:val="24"/>
        </w:rPr>
        <w:t>于</w:t>
      </w:r>
      <w:r>
        <w:rPr>
          <w:rFonts w:ascii="宋体" w:hAnsi="宋体" w:eastAsia="宋体" w:cs="宋体"/>
          <w:color w:val="auto"/>
          <w:spacing w:val="3"/>
          <w:sz w:val="24"/>
          <w:szCs w:val="24"/>
        </w:rPr>
        <w:t>银行转账方式交纳投标保证金的投标供应商)</w:t>
      </w:r>
    </w:p>
    <w:p>
      <w:pPr>
        <w:pStyle w:val="4"/>
        <w:rPr>
          <w:color w:val="auto"/>
        </w:rPr>
      </w:pPr>
      <w:r>
        <w:rPr>
          <w:color w:val="auto"/>
        </w:rPr>
        <w:t>一、退还时间</w:t>
      </w:r>
    </w:p>
    <w:p>
      <w:pPr>
        <w:spacing w:before="186" w:line="360" w:lineRule="auto"/>
        <w:ind w:left="525"/>
        <w:rPr>
          <w:rFonts w:hint="eastAsia" w:ascii="宋体" w:hAnsi="宋体" w:eastAsia="宋体" w:cs="宋体"/>
          <w:color w:val="auto"/>
          <w:spacing w:val="6"/>
          <w:sz w:val="24"/>
          <w:szCs w:val="24"/>
        </w:rPr>
      </w:pPr>
      <w:r>
        <w:rPr>
          <w:rFonts w:ascii="宋体" w:hAnsi="宋体" w:eastAsia="宋体" w:cs="宋体"/>
          <w:color w:val="auto"/>
          <w:spacing w:val="6"/>
          <w:sz w:val="24"/>
          <w:szCs w:val="24"/>
        </w:rPr>
        <w:t>(一)未中标单位的投标保证金，在中标结果公告期满后退还。</w:t>
      </w:r>
    </w:p>
    <w:p>
      <w:pPr>
        <w:spacing w:before="186" w:line="360" w:lineRule="auto"/>
        <w:ind w:left="525"/>
        <w:rPr>
          <w:rFonts w:hint="eastAsia" w:ascii="宋体" w:hAnsi="宋体" w:eastAsia="宋体" w:cs="宋体"/>
          <w:color w:val="auto"/>
          <w:sz w:val="24"/>
          <w:szCs w:val="24"/>
        </w:rPr>
      </w:pPr>
      <w:r>
        <w:rPr>
          <w:rFonts w:ascii="宋体" w:hAnsi="宋体" w:eastAsia="宋体" w:cs="宋体"/>
          <w:color w:val="auto"/>
          <w:spacing w:val="6"/>
          <w:sz w:val="24"/>
          <w:szCs w:val="24"/>
        </w:rPr>
        <w:t>(二)中标单位的投标保证金在与买方签订了合同后五个工作日内退还</w:t>
      </w:r>
      <w:r>
        <w:rPr>
          <w:rFonts w:ascii="宋体" w:hAnsi="宋体" w:eastAsia="宋体" w:cs="宋体"/>
          <w:color w:val="auto"/>
          <w:spacing w:val="3"/>
          <w:sz w:val="24"/>
          <w:szCs w:val="24"/>
        </w:rPr>
        <w:t>。</w:t>
      </w:r>
    </w:p>
    <w:p>
      <w:pPr>
        <w:pStyle w:val="4"/>
        <w:rPr>
          <w:color w:val="auto"/>
        </w:rPr>
      </w:pPr>
      <w:r>
        <w:rPr>
          <w:color w:val="auto"/>
        </w:rPr>
        <w:t>二、退还方式</w:t>
      </w:r>
    </w:p>
    <w:p>
      <w:pPr>
        <w:spacing w:before="25" w:line="360" w:lineRule="auto"/>
        <w:ind w:left="28" w:firstLine="479"/>
        <w:rPr>
          <w:rFonts w:hint="eastAsia" w:ascii="宋体" w:hAnsi="宋体" w:eastAsia="宋体" w:cs="宋体"/>
          <w:color w:val="auto"/>
          <w:sz w:val="24"/>
          <w:szCs w:val="24"/>
        </w:rPr>
      </w:pPr>
      <w:r>
        <w:rPr>
          <w:rFonts w:ascii="宋体" w:hAnsi="宋体" w:eastAsia="宋体" w:cs="宋体"/>
          <w:color w:val="auto"/>
          <w:spacing w:val="-6"/>
          <w:sz w:val="24"/>
          <w:szCs w:val="24"/>
        </w:rPr>
        <w:t>投标人</w:t>
      </w:r>
      <w:r>
        <w:rPr>
          <w:rFonts w:ascii="宋体" w:hAnsi="宋体" w:eastAsia="宋体" w:cs="宋体"/>
          <w:color w:val="auto"/>
          <w:spacing w:val="-4"/>
          <w:sz w:val="24"/>
          <w:szCs w:val="24"/>
        </w:rPr>
        <w:t>申</w:t>
      </w:r>
      <w:r>
        <w:rPr>
          <w:rFonts w:ascii="宋体" w:hAnsi="宋体" w:eastAsia="宋体" w:cs="宋体"/>
          <w:color w:val="auto"/>
          <w:spacing w:val="-3"/>
          <w:sz w:val="24"/>
          <w:szCs w:val="24"/>
        </w:rPr>
        <w:t>请交易中心退还保证金： 请登录全国公共资源交易平台(贵州省 •</w:t>
      </w:r>
      <w:r>
        <w:rPr>
          <w:rFonts w:ascii="宋体" w:hAnsi="宋体" w:eastAsia="宋体" w:cs="宋体"/>
          <w:color w:val="auto"/>
          <w:sz w:val="24"/>
          <w:szCs w:val="24"/>
        </w:rPr>
        <w:t xml:space="preserve"> </w:t>
      </w:r>
      <w:r>
        <w:rPr>
          <w:rFonts w:ascii="宋体" w:hAnsi="宋体" w:eastAsia="宋体" w:cs="宋体"/>
          <w:color w:val="auto"/>
          <w:spacing w:val="4"/>
          <w:sz w:val="24"/>
          <w:szCs w:val="24"/>
        </w:rPr>
        <w:t>省中心)网站按照《贵</w:t>
      </w:r>
      <w:r>
        <w:rPr>
          <w:rFonts w:ascii="宋体" w:hAnsi="宋体" w:eastAsia="宋体" w:cs="宋体"/>
          <w:color w:val="auto"/>
          <w:spacing w:val="2"/>
          <w:sz w:val="24"/>
          <w:szCs w:val="24"/>
        </w:rPr>
        <w:t>州省公共资源交易中心退还保证金办事指南》申请退保。</w:t>
      </w:r>
    </w:p>
    <w:p>
      <w:pPr>
        <w:spacing w:before="6" w:line="360" w:lineRule="auto"/>
        <w:ind w:left="503" w:right="759" w:hanging="479"/>
        <w:rPr>
          <w:rFonts w:hint="eastAsia" w:ascii="宋体" w:hAnsi="宋体" w:eastAsia="宋体" w:cs="宋体"/>
          <w:color w:val="auto"/>
          <w:sz w:val="24"/>
          <w:szCs w:val="24"/>
        </w:rPr>
      </w:pPr>
      <w:r>
        <w:rPr>
          <w:rStyle w:val="10"/>
          <w:color w:val="auto"/>
        </w:rPr>
        <w:t xml:space="preserve">三、发生下列情况之一的，投标保证金将不予退还： </w:t>
      </w:r>
      <w:r>
        <w:rPr>
          <w:rFonts w:ascii="宋体" w:hAnsi="宋体" w:eastAsia="宋体" w:cs="宋体"/>
          <w:color w:val="auto"/>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3"/>
          <w:sz w:val="24"/>
          <w:szCs w:val="24"/>
        </w:rPr>
        <w:t>.</w:t>
      </w:r>
      <w:r>
        <w:rPr>
          <w:rFonts w:ascii="宋体" w:hAnsi="宋体" w:eastAsia="宋体" w:cs="宋体"/>
          <w:color w:val="auto"/>
          <w:spacing w:val="-2"/>
          <w:sz w:val="24"/>
          <w:szCs w:val="24"/>
        </w:rPr>
        <w:t>投标人有《中华人民共和国政府采购法》第七十七条所列行为的；</w:t>
      </w:r>
      <w:r>
        <w:rPr>
          <w:rFonts w:ascii="宋体" w:hAnsi="宋体" w:eastAsia="宋体" w:cs="宋体"/>
          <w:color w:val="auto"/>
          <w:sz w:val="24"/>
          <w:szCs w:val="24"/>
        </w:rPr>
        <w:t xml:space="preserve"> </w:t>
      </w:r>
      <w:r>
        <w:rPr>
          <w:rFonts w:ascii="宋体" w:hAnsi="宋体" w:eastAsia="宋体" w:cs="宋体"/>
          <w:color w:val="auto"/>
          <w:spacing w:val="-4"/>
          <w:sz w:val="24"/>
          <w:szCs w:val="24"/>
        </w:rPr>
        <w:t>2.开标后在投</w:t>
      </w:r>
      <w:r>
        <w:rPr>
          <w:rFonts w:ascii="宋体" w:hAnsi="宋体" w:eastAsia="宋体" w:cs="宋体"/>
          <w:color w:val="auto"/>
          <w:spacing w:val="-3"/>
          <w:sz w:val="24"/>
          <w:szCs w:val="24"/>
        </w:rPr>
        <w:t>标</w:t>
      </w:r>
      <w:r>
        <w:rPr>
          <w:rFonts w:ascii="宋体" w:hAnsi="宋体" w:eastAsia="宋体" w:cs="宋体"/>
          <w:color w:val="auto"/>
          <w:spacing w:val="-2"/>
          <w:sz w:val="24"/>
          <w:szCs w:val="24"/>
        </w:rPr>
        <w:t>有效期间内，投标人撤回投标文件的；</w:t>
      </w:r>
      <w:r>
        <w:rPr>
          <w:rFonts w:ascii="宋体" w:hAnsi="宋体" w:eastAsia="宋体" w:cs="宋体"/>
          <w:color w:val="auto"/>
          <w:sz w:val="24"/>
          <w:szCs w:val="24"/>
        </w:rPr>
        <w:t xml:space="preserve">            </w:t>
      </w:r>
      <w:r>
        <w:rPr>
          <w:rFonts w:ascii="宋体" w:hAnsi="宋体" w:eastAsia="宋体" w:cs="宋体"/>
          <w:color w:val="auto"/>
          <w:spacing w:val="-6"/>
          <w:sz w:val="24"/>
          <w:szCs w:val="24"/>
        </w:rPr>
        <w:t>3</w:t>
      </w:r>
      <w:r>
        <w:rPr>
          <w:rFonts w:ascii="宋体" w:hAnsi="宋体" w:eastAsia="宋体" w:cs="宋体"/>
          <w:color w:val="auto"/>
          <w:spacing w:val="-5"/>
          <w:sz w:val="24"/>
          <w:szCs w:val="24"/>
        </w:rPr>
        <w:t>.</w:t>
      </w:r>
      <w:r>
        <w:rPr>
          <w:rFonts w:ascii="宋体" w:hAnsi="宋体" w:eastAsia="宋体" w:cs="宋体"/>
          <w:color w:val="auto"/>
          <w:spacing w:val="-3"/>
          <w:sz w:val="24"/>
          <w:szCs w:val="24"/>
        </w:rPr>
        <w:t>中标投标人不按规定支付招标服务费的；</w:t>
      </w:r>
      <w:r>
        <w:rPr>
          <w:rFonts w:ascii="宋体" w:hAnsi="宋体" w:eastAsia="宋体" w:cs="宋体"/>
          <w:color w:val="auto"/>
          <w:sz w:val="24"/>
          <w:szCs w:val="24"/>
        </w:rPr>
        <w:t xml:space="preserve">                      </w:t>
      </w:r>
      <w:r>
        <w:rPr>
          <w:rFonts w:ascii="宋体" w:hAnsi="宋体" w:eastAsia="宋体" w:cs="宋体"/>
          <w:color w:val="auto"/>
          <w:spacing w:val="-6"/>
          <w:sz w:val="24"/>
          <w:szCs w:val="24"/>
        </w:rPr>
        <w:t>4.违反</w:t>
      </w:r>
      <w:r>
        <w:rPr>
          <w:rFonts w:ascii="宋体" w:hAnsi="宋体" w:eastAsia="宋体" w:cs="宋体"/>
          <w:color w:val="auto"/>
          <w:spacing w:val="-5"/>
          <w:sz w:val="24"/>
          <w:szCs w:val="24"/>
        </w:rPr>
        <w:t>《</w:t>
      </w:r>
      <w:r>
        <w:rPr>
          <w:rFonts w:ascii="宋体" w:hAnsi="宋体" w:eastAsia="宋体" w:cs="宋体"/>
          <w:color w:val="auto"/>
          <w:spacing w:val="-3"/>
          <w:sz w:val="24"/>
          <w:szCs w:val="24"/>
        </w:rPr>
        <w:t>投标申请书》有关条款的；</w:t>
      </w:r>
      <w:r>
        <w:rPr>
          <w:rFonts w:ascii="宋体" w:hAnsi="宋体" w:eastAsia="宋体" w:cs="宋体"/>
          <w:color w:val="auto"/>
          <w:sz w:val="24"/>
          <w:szCs w:val="24"/>
        </w:rPr>
        <w:t xml:space="preserve">                            </w:t>
      </w:r>
      <w:r>
        <w:rPr>
          <w:rFonts w:ascii="宋体" w:hAnsi="宋体" w:eastAsia="宋体" w:cs="宋体"/>
          <w:color w:val="auto"/>
          <w:spacing w:val="-4"/>
          <w:sz w:val="24"/>
          <w:szCs w:val="24"/>
        </w:rPr>
        <w:t>5</w:t>
      </w:r>
      <w:r>
        <w:rPr>
          <w:rFonts w:ascii="宋体" w:hAnsi="宋体" w:eastAsia="宋体" w:cs="宋体"/>
          <w:color w:val="auto"/>
          <w:spacing w:val="-3"/>
          <w:sz w:val="24"/>
          <w:szCs w:val="24"/>
        </w:rPr>
        <w:t>.</w:t>
      </w:r>
      <w:r>
        <w:rPr>
          <w:rFonts w:ascii="宋体" w:hAnsi="宋体" w:eastAsia="宋体" w:cs="宋体"/>
          <w:color w:val="auto"/>
          <w:spacing w:val="-2"/>
          <w:sz w:val="24"/>
          <w:szCs w:val="24"/>
        </w:rPr>
        <w:t>法律法规及采购文件规定的其他情形。</w:t>
      </w:r>
    </w:p>
    <w:p>
      <w:pPr>
        <w:rPr>
          <w:color w:val="auto"/>
        </w:rPr>
        <w:sectPr>
          <w:footerReference r:id="rId4" w:type="default"/>
          <w:pgSz w:w="11905" w:h="16839"/>
          <w:pgMar w:top="400" w:right="1720" w:bottom="449" w:left="1785" w:header="0" w:footer="208" w:gutter="0"/>
          <w:cols w:space="720" w:num="1"/>
        </w:sectPr>
      </w:pPr>
    </w:p>
    <w:p>
      <w:pPr>
        <w:spacing w:line="263" w:lineRule="auto"/>
        <w:rPr>
          <w:color w:val="auto"/>
        </w:rPr>
      </w:pPr>
    </w:p>
    <w:p>
      <w:pPr>
        <w:spacing w:line="263" w:lineRule="auto"/>
        <w:rPr>
          <w:color w:val="auto"/>
        </w:rPr>
      </w:pPr>
    </w:p>
    <w:p>
      <w:pPr>
        <w:spacing w:line="264" w:lineRule="auto"/>
        <w:rPr>
          <w:color w:val="auto"/>
        </w:rPr>
      </w:pPr>
    </w:p>
    <w:p>
      <w:pPr>
        <w:spacing w:line="264" w:lineRule="auto"/>
        <w:rPr>
          <w:color w:val="auto"/>
        </w:rPr>
      </w:pPr>
    </w:p>
    <w:p>
      <w:pPr>
        <w:spacing w:line="264" w:lineRule="auto"/>
        <w:rPr>
          <w:color w:val="auto"/>
        </w:rPr>
      </w:pPr>
    </w:p>
    <w:p>
      <w:pPr>
        <w:spacing w:before="104" w:line="220" w:lineRule="auto"/>
        <w:ind w:left="2864"/>
        <w:outlineLvl w:val="1"/>
        <w:rPr>
          <w:rFonts w:hint="eastAsia" w:ascii="宋体" w:hAnsi="宋体" w:eastAsia="宋体" w:cs="宋体"/>
          <w:color w:val="auto"/>
          <w:sz w:val="32"/>
          <w:szCs w:val="32"/>
        </w:rPr>
      </w:pPr>
      <w:bookmarkStart w:id="18" w:name="_bookmark28"/>
      <w:bookmarkEnd w:id="18"/>
      <w:r>
        <w:rPr>
          <w:rFonts w:ascii="宋体" w:hAnsi="宋体" w:eastAsia="宋体" w:cs="宋体"/>
          <w:color w:val="auto"/>
          <w:spacing w:val="-9"/>
          <w:sz w:val="32"/>
          <w:szCs w:val="32"/>
          <w14:textOutline w14:w="5829" w14:cap="flat" w14:cmpd="sng" w14:algn="ctr">
            <w14:solidFill>
              <w14:srgbClr w14:val="000000"/>
            </w14:solidFill>
            <w14:prstDash w14:val="solid"/>
            <w14:miter w14:val="0"/>
          </w14:textOutline>
        </w:rPr>
        <w:t>二</w:t>
      </w:r>
      <w:r>
        <w:rPr>
          <w:rFonts w:ascii="宋体" w:hAnsi="宋体" w:eastAsia="宋体" w:cs="宋体"/>
          <w:color w:val="auto"/>
          <w:spacing w:val="-8"/>
          <w:sz w:val="32"/>
          <w:szCs w:val="32"/>
          <w14:textOutline w14:w="5829" w14:cap="flat" w14:cmpd="sng" w14:algn="ctr">
            <w14:solidFill>
              <w14:srgbClr w14:val="000000"/>
            </w14:solidFill>
            <w14:prstDash w14:val="solid"/>
            <w14:miter w14:val="0"/>
          </w14:textOutline>
        </w:rPr>
        <w:t>、</w:t>
      </w:r>
      <w:r>
        <w:rPr>
          <w:rFonts w:ascii="宋体" w:hAnsi="宋体" w:eastAsia="宋体" w:cs="宋体"/>
          <w:color w:val="auto"/>
          <w:spacing w:val="-8"/>
          <w:sz w:val="32"/>
          <w:szCs w:val="32"/>
        </w:rPr>
        <w:t xml:space="preserve"> </w:t>
      </w:r>
      <w:r>
        <w:rPr>
          <w:rFonts w:ascii="宋体" w:hAnsi="宋体" w:eastAsia="宋体" w:cs="宋体"/>
          <w:color w:val="auto"/>
          <w:spacing w:val="-8"/>
          <w:sz w:val="32"/>
          <w:szCs w:val="32"/>
          <w14:textOutline w14:w="5829" w14:cap="flat" w14:cmpd="sng" w14:algn="ctr">
            <w14:solidFill>
              <w14:srgbClr w14:val="000000"/>
            </w14:solidFill>
            <w14:prstDash w14:val="solid"/>
            <w14:miter w14:val="0"/>
          </w14:textOutline>
        </w:rPr>
        <w:t>供应商保证金缴纳须知</w:t>
      </w:r>
    </w:p>
    <w:p>
      <w:pPr>
        <w:spacing w:line="388" w:lineRule="auto"/>
        <w:rPr>
          <w:color w:val="auto"/>
        </w:rPr>
      </w:pPr>
    </w:p>
    <w:p>
      <w:pPr>
        <w:spacing w:before="78" w:line="365" w:lineRule="auto"/>
        <w:ind w:left="1" w:right="9" w:firstLine="487"/>
        <w:rPr>
          <w:rFonts w:hint="eastAsia" w:ascii="仿宋" w:hAnsi="仿宋" w:eastAsia="仿宋" w:cs="仿宋"/>
          <w:color w:val="auto"/>
          <w:sz w:val="24"/>
          <w:szCs w:val="24"/>
        </w:rPr>
      </w:pPr>
      <w:r>
        <w:rPr>
          <w:rFonts w:ascii="仿宋" w:hAnsi="仿宋" w:eastAsia="仿宋" w:cs="仿宋"/>
          <w:color w:val="auto"/>
          <w:spacing w:val="-3"/>
          <w:sz w:val="24"/>
          <w:szCs w:val="24"/>
          <w14:textOutline w14:w="4356" w14:cap="flat" w14:cmpd="sng" w14:algn="ctr">
            <w14:solidFill>
              <w14:srgbClr w14:val="000000"/>
            </w14:solidFill>
            <w14:prstDash w14:val="solid"/>
            <w14:miter w14:val="0"/>
          </w14:textOutline>
        </w:rPr>
        <w:t>为优化营商环境，</w:t>
      </w:r>
      <w:r>
        <w:rPr>
          <w:rFonts w:ascii="仿宋" w:hAnsi="仿宋" w:eastAsia="仿宋" w:cs="仿宋"/>
          <w:color w:val="auto"/>
          <w:spacing w:val="-3"/>
          <w:sz w:val="24"/>
          <w:szCs w:val="24"/>
        </w:rPr>
        <w:t xml:space="preserve"> </w:t>
      </w:r>
      <w:r>
        <w:rPr>
          <w:rFonts w:ascii="仿宋" w:hAnsi="仿宋" w:eastAsia="仿宋" w:cs="仿宋"/>
          <w:color w:val="auto"/>
          <w:spacing w:val="-3"/>
          <w:sz w:val="24"/>
          <w:szCs w:val="24"/>
          <w14:textOutline w14:w="4356" w14:cap="flat" w14:cmpd="sng" w14:algn="ctr">
            <w14:solidFill>
              <w14:srgbClr w14:val="000000"/>
            </w14:solidFill>
            <w14:prstDash w14:val="solid"/>
            <w14:miter w14:val="0"/>
          </w14:textOutline>
        </w:rPr>
        <w:t>大力推广使用电子保函，投标保证金采用银行保函、担保保函、</w:t>
      </w:r>
      <w:r>
        <w:rPr>
          <w:rFonts w:ascii="仿宋" w:hAnsi="仿宋" w:eastAsia="仿宋" w:cs="仿宋"/>
          <w:color w:val="auto"/>
          <w:spacing w:val="-2"/>
          <w:sz w:val="24"/>
          <w:szCs w:val="24"/>
          <w14:textOutline w14:w="4356" w14:cap="flat" w14:cmpd="sng" w14:algn="ctr">
            <w14:solidFill>
              <w14:srgbClr w14:val="000000"/>
            </w14:solidFill>
            <w14:prstDash w14:val="solid"/>
            <w14:miter w14:val="0"/>
          </w14:textOutline>
        </w:rPr>
        <w:t>保</w:t>
      </w:r>
      <w:r>
        <w:rPr>
          <w:rFonts w:ascii="仿宋" w:hAnsi="仿宋" w:eastAsia="仿宋" w:cs="仿宋"/>
          <w:color w:val="auto"/>
          <w:sz w:val="24"/>
          <w:szCs w:val="24"/>
          <w14:textOutline w14:w="4356" w14:cap="flat" w14:cmpd="sng" w14:algn="ctr">
            <w14:solidFill>
              <w14:srgbClr w14:val="000000"/>
            </w14:solidFill>
            <w14:prstDash w14:val="solid"/>
            <w14:miter w14:val="0"/>
          </w14:textOutline>
        </w:rPr>
        <w:t>证</w:t>
      </w:r>
      <w:r>
        <w:rPr>
          <w:rFonts w:ascii="仿宋" w:hAnsi="仿宋" w:eastAsia="仿宋" w:cs="仿宋"/>
          <w:color w:val="auto"/>
          <w:sz w:val="24"/>
          <w:szCs w:val="24"/>
        </w:rPr>
        <w:t xml:space="preserve"> </w:t>
      </w:r>
      <w:r>
        <w:rPr>
          <w:rFonts w:ascii="仿宋" w:hAnsi="仿宋" w:eastAsia="仿宋" w:cs="仿宋"/>
          <w:color w:val="auto"/>
          <w:spacing w:val="-9"/>
          <w:sz w:val="24"/>
          <w:szCs w:val="24"/>
          <w14:textOutline w14:w="4356" w14:cap="flat" w14:cmpd="sng" w14:algn="ctr">
            <w14:solidFill>
              <w14:srgbClr w14:val="000000"/>
            </w14:solidFill>
            <w14:prstDash w14:val="solid"/>
            <w14:miter w14:val="0"/>
          </w14:textOutline>
        </w:rPr>
        <w:t>保险缴纳的：</w:t>
      </w:r>
    </w:p>
    <w:p>
      <w:pPr>
        <w:spacing w:before="136" w:line="363" w:lineRule="auto"/>
        <w:ind w:right="21" w:firstLine="491"/>
        <w:rPr>
          <w:rFonts w:hint="eastAsia" w:ascii="仿宋" w:hAnsi="仿宋" w:eastAsia="仿宋" w:cs="仿宋"/>
          <w:color w:val="auto"/>
          <w:sz w:val="24"/>
          <w:szCs w:val="24"/>
        </w:rPr>
      </w:pPr>
      <w:r>
        <w:rPr>
          <w:rFonts w:ascii="仿宋" w:hAnsi="仿宋" w:eastAsia="仿宋" w:cs="仿宋"/>
          <w:color w:val="auto"/>
          <w:spacing w:val="-1"/>
          <w:sz w:val="24"/>
          <w:szCs w:val="24"/>
        </w:rPr>
        <w:t>1.</w:t>
      </w:r>
      <w:r>
        <w:rPr>
          <w:rFonts w:ascii="仿宋" w:hAnsi="仿宋" w:eastAsia="仿宋" w:cs="仿宋"/>
          <w:color w:val="auto"/>
          <w:spacing w:val="-1"/>
          <w:sz w:val="24"/>
          <w:szCs w:val="24"/>
          <w14:textOutline w14:w="4356" w14:cap="flat" w14:cmpd="sng" w14:algn="ctr">
            <w14:solidFill>
              <w14:srgbClr w14:val="000000"/>
            </w14:solidFill>
            <w14:prstDash w14:val="solid"/>
            <w14:miter w14:val="0"/>
          </w14:textOutline>
        </w:rPr>
        <w:t>供应商通过贵州省公共资源综合金融服务平台在线办理的电子</w:t>
      </w:r>
      <w:r>
        <w:rPr>
          <w:rFonts w:ascii="仿宋" w:hAnsi="仿宋" w:eastAsia="仿宋" w:cs="仿宋"/>
          <w:color w:val="auto"/>
          <w:sz w:val="24"/>
          <w:szCs w:val="24"/>
          <w14:textOutline w14:w="4356" w14:cap="flat" w14:cmpd="sng" w14:algn="ctr">
            <w14:solidFill>
              <w14:srgbClr w14:val="000000"/>
            </w14:solidFill>
            <w14:prstDash w14:val="solid"/>
            <w14:miter w14:val="0"/>
          </w14:textOutline>
        </w:rPr>
        <w:t>保函</w:t>
      </w:r>
      <w:r>
        <w:rPr>
          <w:rFonts w:ascii="仿宋" w:hAnsi="仿宋" w:eastAsia="仿宋" w:cs="仿宋"/>
          <w:color w:val="auto"/>
          <w:sz w:val="24"/>
          <w:szCs w:val="24"/>
        </w:rPr>
        <w:t xml:space="preserve">：包含银行保函、 </w:t>
      </w:r>
      <w:r>
        <w:rPr>
          <w:rFonts w:ascii="仿宋" w:hAnsi="仿宋" w:eastAsia="仿宋" w:cs="仿宋"/>
          <w:color w:val="auto"/>
          <w:spacing w:val="4"/>
          <w:sz w:val="24"/>
          <w:szCs w:val="24"/>
        </w:rPr>
        <w:t>保证保险、担保保函等(注：</w:t>
      </w:r>
      <w:r>
        <w:rPr>
          <w:rFonts w:ascii="仿宋" w:hAnsi="仿宋" w:eastAsia="仿宋" w:cs="仿宋"/>
          <w:color w:val="auto"/>
          <w:spacing w:val="2"/>
          <w:sz w:val="24"/>
          <w:szCs w:val="24"/>
        </w:rPr>
        <w:t>其内容应载有采购人名称、供应商名称、项目名称、项目编</w:t>
      </w:r>
      <w:r>
        <w:rPr>
          <w:rFonts w:ascii="仿宋" w:hAnsi="仿宋" w:eastAsia="仿宋" w:cs="仿宋"/>
          <w:color w:val="auto"/>
          <w:sz w:val="24"/>
          <w:szCs w:val="24"/>
        </w:rPr>
        <w:t xml:space="preserve">  </w:t>
      </w:r>
      <w:r>
        <w:rPr>
          <w:rFonts w:ascii="仿宋" w:hAnsi="仿宋" w:eastAsia="仿宋" w:cs="仿宋"/>
          <w:color w:val="auto"/>
          <w:spacing w:val="2"/>
          <w:sz w:val="24"/>
          <w:szCs w:val="24"/>
        </w:rPr>
        <w:t>号、保证金金额、有效期，且其有</w:t>
      </w:r>
      <w:r>
        <w:rPr>
          <w:rFonts w:ascii="仿宋" w:hAnsi="仿宋" w:eastAsia="仿宋" w:cs="仿宋"/>
          <w:color w:val="auto"/>
          <w:spacing w:val="1"/>
          <w:sz w:val="24"/>
          <w:szCs w:val="24"/>
        </w:rPr>
        <w:t>效期应不小于投标有效期)，可直接在交易系统中确认，</w:t>
      </w:r>
      <w:r>
        <w:rPr>
          <w:rFonts w:ascii="仿宋" w:hAnsi="仿宋" w:eastAsia="仿宋" w:cs="仿宋"/>
          <w:color w:val="auto"/>
          <w:sz w:val="24"/>
          <w:szCs w:val="24"/>
        </w:rPr>
        <w:t xml:space="preserve"> </w:t>
      </w:r>
      <w:r>
        <w:rPr>
          <w:rFonts w:ascii="仿宋" w:hAnsi="仿宋" w:eastAsia="仿宋" w:cs="仿宋"/>
          <w:color w:val="auto"/>
          <w:spacing w:val="-3"/>
          <w:sz w:val="24"/>
          <w:szCs w:val="24"/>
        </w:rPr>
        <w:t xml:space="preserve">并将下载打印的电子保函按招标文件规定密封， </w:t>
      </w:r>
      <w:r>
        <w:rPr>
          <w:rFonts w:ascii="仿宋" w:hAnsi="仿宋" w:eastAsia="仿宋" w:cs="仿宋"/>
          <w:color w:val="auto"/>
          <w:spacing w:val="-3"/>
          <w:sz w:val="24"/>
          <w:szCs w:val="24"/>
          <w14:textOutline w14:w="4356" w14:cap="flat" w14:cmpd="sng" w14:algn="ctr">
            <w14:solidFill>
              <w14:srgbClr w14:val="000000"/>
            </w14:solidFill>
            <w14:prstDash w14:val="solid"/>
            <w14:miter w14:val="0"/>
          </w14:textOutline>
        </w:rPr>
        <w:t>在递交投标文件时一并提交给采购人</w:t>
      </w:r>
      <w:r>
        <w:rPr>
          <w:rFonts w:ascii="仿宋" w:hAnsi="仿宋" w:eastAsia="仿宋" w:cs="仿宋"/>
          <w:color w:val="auto"/>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color w:val="auto"/>
          <w:sz w:val="24"/>
          <w:szCs w:val="24"/>
          <w14:textOutline w14:w="4356" w14:cap="flat" w14:cmpd="sng" w14:algn="ctr">
            <w14:solidFill>
              <w14:srgbClr w14:val="000000"/>
            </w14:solidFill>
            <w14:prstDash w14:val="solid"/>
            <w14:miter w14:val="0"/>
          </w14:textOutline>
        </w:rPr>
        <w:t>不再</w:t>
      </w:r>
      <w:r>
        <w:rPr>
          <w:rFonts w:ascii="仿宋" w:hAnsi="仿宋" w:eastAsia="仿宋" w:cs="仿宋"/>
          <w:color w:val="auto"/>
          <w:sz w:val="24"/>
          <w:szCs w:val="24"/>
        </w:rPr>
        <w:t xml:space="preserve"> </w:t>
      </w:r>
      <w:r>
        <w:rPr>
          <w:rFonts w:ascii="仿宋" w:hAnsi="仿宋" w:eastAsia="仿宋" w:cs="仿宋"/>
          <w:color w:val="auto"/>
          <w:spacing w:val="-12"/>
          <w:sz w:val="24"/>
          <w:szCs w:val="24"/>
          <w14:textOutline w14:w="4356" w14:cap="flat" w14:cmpd="sng" w14:algn="ctr">
            <w14:solidFill>
              <w14:srgbClr w14:val="000000"/>
            </w14:solidFill>
            <w14:prstDash w14:val="solid"/>
            <w14:miter w14:val="0"/>
          </w14:textOutline>
        </w:rPr>
        <w:t>验</w:t>
      </w:r>
      <w:r>
        <w:rPr>
          <w:rFonts w:ascii="仿宋" w:hAnsi="仿宋" w:eastAsia="仿宋" w:cs="仿宋"/>
          <w:color w:val="auto"/>
          <w:spacing w:val="-9"/>
          <w:sz w:val="24"/>
          <w:szCs w:val="24"/>
          <w14:textOutline w14:w="4356" w14:cap="flat" w14:cmpd="sng" w14:algn="ctr">
            <w14:solidFill>
              <w14:srgbClr w14:val="000000"/>
            </w14:solidFill>
            <w14:prstDash w14:val="solid"/>
            <w14:miter w14:val="0"/>
          </w14:textOutline>
        </w:rPr>
        <w:t>证真伪；</w:t>
      </w:r>
    </w:p>
    <w:p>
      <w:pPr>
        <w:spacing w:before="125" w:line="367" w:lineRule="auto"/>
        <w:ind w:firstLine="476"/>
        <w:rPr>
          <w:rFonts w:hint="eastAsia" w:ascii="仿宋" w:hAnsi="仿宋" w:eastAsia="仿宋" w:cs="仿宋"/>
          <w:color w:val="auto"/>
          <w:sz w:val="24"/>
          <w:szCs w:val="24"/>
        </w:rPr>
      </w:pPr>
      <w:r>
        <w:rPr>
          <w:rFonts w:ascii="仿宋" w:hAnsi="仿宋" w:eastAsia="仿宋" w:cs="仿宋"/>
          <w:color w:val="auto"/>
          <w:spacing w:val="6"/>
          <w:sz w:val="24"/>
          <w:szCs w:val="24"/>
        </w:rPr>
        <w:t>2.</w:t>
      </w:r>
      <w:r>
        <w:rPr>
          <w:rFonts w:ascii="仿宋" w:hAnsi="仿宋" w:eastAsia="仿宋" w:cs="仿宋"/>
          <w:color w:val="auto"/>
          <w:spacing w:val="6"/>
          <w:sz w:val="24"/>
          <w:szCs w:val="24"/>
          <w14:textOutline w14:w="4356" w14:cap="flat" w14:cmpd="sng" w14:algn="ctr">
            <w14:solidFill>
              <w14:srgbClr w14:val="000000"/>
            </w14:solidFill>
            <w14:prstDash w14:val="solid"/>
            <w14:miter w14:val="0"/>
          </w14:textOutline>
        </w:rPr>
        <w:t>对贵州省公共资源</w:t>
      </w:r>
      <w:r>
        <w:rPr>
          <w:rFonts w:ascii="仿宋" w:hAnsi="仿宋" w:eastAsia="仿宋" w:cs="仿宋"/>
          <w:color w:val="auto"/>
          <w:spacing w:val="3"/>
          <w:sz w:val="24"/>
          <w:szCs w:val="24"/>
          <w14:textOutline w14:w="4356" w14:cap="flat" w14:cmpd="sng" w14:algn="ctr">
            <w14:solidFill>
              <w14:srgbClr w14:val="000000"/>
            </w14:solidFill>
            <w14:prstDash w14:val="solid"/>
            <w14:miter w14:val="0"/>
          </w14:textOutline>
        </w:rPr>
        <w:t>综合金融服务平台以外办理的投标保函(含纸质保函)</w:t>
      </w:r>
      <w:r>
        <w:rPr>
          <w:rFonts w:ascii="仿宋" w:hAnsi="仿宋" w:eastAsia="仿宋" w:cs="仿宋"/>
          <w:color w:val="auto"/>
          <w:spacing w:val="3"/>
          <w:sz w:val="24"/>
          <w:szCs w:val="24"/>
        </w:rPr>
        <w:t xml:space="preserve"> ，应按招标</w:t>
      </w:r>
      <w:r>
        <w:rPr>
          <w:rFonts w:ascii="仿宋" w:hAnsi="仿宋" w:eastAsia="仿宋" w:cs="仿宋"/>
          <w:color w:val="auto"/>
          <w:sz w:val="24"/>
          <w:szCs w:val="24"/>
        </w:rPr>
        <w:t xml:space="preserve"> </w:t>
      </w:r>
      <w:r>
        <w:rPr>
          <w:rFonts w:ascii="仿宋" w:hAnsi="仿宋" w:eastAsia="仿宋" w:cs="仿宋"/>
          <w:color w:val="auto"/>
          <w:spacing w:val="-4"/>
          <w:sz w:val="24"/>
          <w:szCs w:val="24"/>
        </w:rPr>
        <w:t>文件的规定密封，并</w:t>
      </w:r>
      <w:r>
        <w:rPr>
          <w:rFonts w:ascii="仿宋" w:hAnsi="仿宋" w:eastAsia="仿宋" w:cs="仿宋"/>
          <w:color w:val="auto"/>
          <w:spacing w:val="-3"/>
          <w:sz w:val="24"/>
          <w:szCs w:val="24"/>
        </w:rPr>
        <w:t>在</w:t>
      </w:r>
      <w:r>
        <w:rPr>
          <w:rFonts w:ascii="仿宋" w:hAnsi="仿宋" w:eastAsia="仿宋" w:cs="仿宋"/>
          <w:color w:val="auto"/>
          <w:spacing w:val="-2"/>
          <w:sz w:val="24"/>
          <w:szCs w:val="24"/>
        </w:rPr>
        <w:t xml:space="preserve">递交投标文件时一并提交给采购人， </w:t>
      </w:r>
      <w:r>
        <w:rPr>
          <w:rFonts w:ascii="仿宋" w:hAnsi="仿宋" w:eastAsia="仿宋" w:cs="仿宋"/>
          <w:color w:val="auto"/>
          <w:spacing w:val="-2"/>
          <w:sz w:val="24"/>
          <w:szCs w:val="24"/>
          <w14:textOutline w14:w="4356" w14:cap="flat" w14:cmpd="sng" w14:algn="ctr">
            <w14:solidFill>
              <w14:srgbClr w14:val="000000"/>
            </w14:solidFill>
            <w14:prstDash w14:val="solid"/>
            <w14:miter w14:val="0"/>
          </w14:textOutline>
        </w:rPr>
        <w:t>采购人在开标现场对其进行真伪</w:t>
      </w:r>
      <w:r>
        <w:rPr>
          <w:rFonts w:ascii="仿宋" w:hAnsi="仿宋" w:eastAsia="仿宋" w:cs="仿宋"/>
          <w:color w:val="auto"/>
          <w:sz w:val="24"/>
          <w:szCs w:val="24"/>
        </w:rPr>
        <w:t xml:space="preserve"> </w:t>
      </w:r>
      <w:r>
        <w:rPr>
          <w:rFonts w:ascii="仿宋" w:hAnsi="仿宋" w:eastAsia="仿宋" w:cs="仿宋"/>
          <w:color w:val="auto"/>
          <w:spacing w:val="-1"/>
          <w:sz w:val="24"/>
          <w:szCs w:val="24"/>
          <w14:textOutline w14:w="4356" w14:cap="flat" w14:cmpd="sng" w14:algn="ctr">
            <w14:solidFill>
              <w14:srgbClr w14:val="000000"/>
            </w14:solidFill>
            <w14:prstDash w14:val="solid"/>
            <w14:miter w14:val="0"/>
          </w14:textOutline>
        </w:rPr>
        <w:t>验证，通过官网</w:t>
      </w:r>
      <w:r>
        <w:rPr>
          <w:rFonts w:ascii="仿宋" w:hAnsi="仿宋" w:eastAsia="仿宋" w:cs="仿宋"/>
          <w:color w:val="auto"/>
          <w:sz w:val="24"/>
          <w:szCs w:val="24"/>
          <w14:textOutline w14:w="4356" w14:cap="flat" w14:cmpd="sng" w14:algn="ctr">
            <w14:solidFill>
              <w14:srgbClr w14:val="000000"/>
            </w14:solidFill>
            <w14:prstDash w14:val="solid"/>
            <w14:miter w14:val="0"/>
          </w14:textOutline>
        </w:rPr>
        <w:t>查询验证未通过的，视为未按规定交纳投标保证金。</w:t>
      </w:r>
    </w:p>
    <w:p>
      <w:pPr>
        <w:rPr>
          <w:color w:val="auto"/>
        </w:rPr>
        <w:sectPr>
          <w:footerReference r:id="rId5" w:type="default"/>
          <w:pgSz w:w="11905" w:h="16839"/>
          <w:pgMar w:top="400" w:right="1129" w:bottom="449" w:left="1148" w:header="0" w:footer="208" w:gutter="0"/>
          <w:cols w:space="720" w:num="1"/>
        </w:sectPr>
      </w:pPr>
    </w:p>
    <w:p>
      <w:pPr>
        <w:spacing w:line="243" w:lineRule="auto"/>
        <w:rPr>
          <w:color w:val="auto"/>
        </w:rPr>
      </w:pPr>
    </w:p>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before="104" w:line="220" w:lineRule="auto"/>
        <w:ind w:left="2976"/>
        <w:outlineLvl w:val="0"/>
        <w:rPr>
          <w:rFonts w:hint="eastAsia" w:ascii="宋体" w:hAnsi="宋体" w:eastAsia="宋体" w:cs="宋体"/>
          <w:color w:val="auto"/>
          <w:sz w:val="32"/>
          <w:szCs w:val="32"/>
        </w:rPr>
      </w:pPr>
      <w:bookmarkStart w:id="19" w:name="_bookmark29"/>
      <w:bookmarkEnd w:id="19"/>
      <w:bookmarkStart w:id="20" w:name="_Toc24865"/>
      <w:r>
        <w:rPr>
          <w:rFonts w:ascii="微软雅黑" w:hAnsi="微软雅黑" w:eastAsia="微软雅黑" w:cs="微软雅黑"/>
          <w:color w:val="auto"/>
          <w:spacing w:val="12"/>
          <w:sz w:val="31"/>
          <w:szCs w:val="31"/>
        </w:rPr>
        <w:t>第四章 评标办法</w:t>
      </w:r>
      <w:bookmarkEnd w:id="20"/>
    </w:p>
    <w:p>
      <w:pPr>
        <w:rPr>
          <w:color w:val="auto"/>
        </w:rPr>
        <w:sectPr>
          <w:footerReference r:id="rId6" w:type="default"/>
          <w:pgSz w:w="11905" w:h="16839"/>
          <w:pgMar w:top="400" w:right="1785" w:bottom="449" w:left="1785" w:header="0" w:footer="208" w:gutter="0"/>
          <w:cols w:space="720" w:num="1"/>
        </w:sectPr>
      </w:pPr>
    </w:p>
    <w:p>
      <w:pPr>
        <w:spacing w:line="286" w:lineRule="auto"/>
        <w:rPr>
          <w:color w:val="auto"/>
        </w:rPr>
      </w:pPr>
    </w:p>
    <w:p>
      <w:pPr>
        <w:spacing w:line="286" w:lineRule="auto"/>
        <w:rPr>
          <w:color w:val="auto"/>
        </w:rPr>
      </w:pPr>
    </w:p>
    <w:p>
      <w:pPr>
        <w:spacing w:before="133" w:line="189" w:lineRule="auto"/>
        <w:ind w:left="3626"/>
        <w:outlineLvl w:val="1"/>
        <w:rPr>
          <w:rFonts w:hint="eastAsia" w:ascii="微软雅黑" w:hAnsi="微软雅黑" w:eastAsia="微软雅黑" w:cs="微软雅黑"/>
          <w:color w:val="auto"/>
          <w:sz w:val="31"/>
          <w:szCs w:val="31"/>
        </w:rPr>
      </w:pPr>
      <w:bookmarkStart w:id="21" w:name="_bookmark30"/>
      <w:bookmarkEnd w:id="21"/>
      <w:bookmarkStart w:id="22" w:name="_bookmark31"/>
      <w:bookmarkEnd w:id="22"/>
      <w:r>
        <w:rPr>
          <w:rFonts w:ascii="微软雅黑" w:hAnsi="微软雅黑" w:eastAsia="微软雅黑" w:cs="微软雅黑"/>
          <w:color w:val="auto"/>
          <w:spacing w:val="9"/>
          <w:sz w:val="31"/>
          <w:szCs w:val="31"/>
        </w:rPr>
        <w:t>一</w:t>
      </w:r>
      <w:r>
        <w:rPr>
          <w:rFonts w:ascii="微软雅黑" w:hAnsi="微软雅黑" w:eastAsia="微软雅黑" w:cs="微软雅黑"/>
          <w:color w:val="auto"/>
          <w:spacing w:val="5"/>
          <w:sz w:val="31"/>
          <w:szCs w:val="31"/>
        </w:rPr>
        <w:t xml:space="preserve"> 、评标办法前附表</w:t>
      </w:r>
    </w:p>
    <w:p>
      <w:pPr>
        <w:spacing w:before="90" w:line="430" w:lineRule="auto"/>
        <w:ind w:left="13"/>
        <w:rPr>
          <w:rFonts w:hint="eastAsia" w:ascii="微软雅黑" w:hAnsi="微软雅黑" w:eastAsia="微软雅黑" w:cs="微软雅黑"/>
          <w:color w:val="auto"/>
          <w:spacing w:val="1"/>
        </w:rPr>
      </w:pPr>
      <w:r>
        <w:rPr>
          <w:rFonts w:ascii="微软雅黑" w:hAnsi="微软雅黑" w:eastAsia="微软雅黑" w:cs="微软雅黑"/>
          <w:color w:val="auto"/>
          <w:spacing w:val="1"/>
        </w:rPr>
        <w:t>1 、项目基本信息</w:t>
      </w:r>
    </w:p>
    <w:p>
      <w:pPr>
        <w:spacing w:before="320" w:line="184" w:lineRule="auto"/>
        <w:ind w:left="13"/>
        <w:rPr>
          <w:rFonts w:hint="eastAsia" w:ascii="微软雅黑" w:hAnsi="微软雅黑" w:eastAsia="微软雅黑" w:cs="微软雅黑"/>
          <w:color w:val="auto"/>
        </w:rPr>
      </w:pPr>
      <w:r>
        <w:rPr>
          <w:rFonts w:ascii="微软雅黑" w:hAnsi="微软雅黑" w:eastAsia="微软雅黑" w:cs="微软雅黑"/>
          <w:color w:val="auto"/>
          <w:spacing w:val="-24"/>
        </w:rPr>
        <w:t>项</w:t>
      </w:r>
      <w:r>
        <w:rPr>
          <w:rFonts w:ascii="微软雅黑" w:hAnsi="微软雅黑" w:eastAsia="微软雅黑" w:cs="微软雅黑"/>
          <w:color w:val="auto"/>
          <w:spacing w:val="-15"/>
        </w:rPr>
        <w:t>目序列号：</w:t>
      </w:r>
      <w:r>
        <w:rPr>
          <w:rFonts w:hint="eastAsia" w:ascii="微软雅黑" w:hAnsi="微软雅黑" w:eastAsia="微软雅黑" w:cs="微软雅黑"/>
          <w:color w:val="auto"/>
          <w:spacing w:val="-15"/>
          <w:u w:val="single"/>
        </w:rPr>
        <w:t xml:space="preserve">                                                    </w:t>
      </w:r>
      <w:r>
        <w:rPr>
          <w:rFonts w:ascii="微软雅黑" w:hAnsi="微软雅黑" w:eastAsia="微软雅黑" w:cs="微软雅黑"/>
          <w:color w:val="auto"/>
          <w:u w:val="single"/>
        </w:rPr>
        <w:t xml:space="preserve"> </w:t>
      </w:r>
    </w:p>
    <w:p>
      <w:pPr>
        <w:spacing w:line="276" w:lineRule="auto"/>
        <w:rPr>
          <w:color w:val="auto"/>
        </w:rPr>
      </w:pPr>
    </w:p>
    <w:p>
      <w:pPr>
        <w:spacing w:before="90" w:line="430" w:lineRule="auto"/>
        <w:ind w:left="13"/>
        <w:rPr>
          <w:rFonts w:hint="eastAsia" w:ascii="微软雅黑" w:hAnsi="微软雅黑" w:eastAsia="微软雅黑" w:cs="微软雅黑"/>
          <w:color w:val="auto"/>
        </w:rPr>
      </w:pPr>
      <w:r>
        <w:rPr>
          <w:rFonts w:ascii="微软雅黑" w:hAnsi="微软雅黑" w:eastAsia="微软雅黑" w:cs="微软雅黑"/>
          <w:color w:val="auto"/>
          <w:spacing w:val="1"/>
        </w:rPr>
        <w:t>项目名称：</w:t>
      </w:r>
      <w:r>
        <w:rPr>
          <w:rFonts w:ascii="微软雅黑" w:hAnsi="微软雅黑" w:eastAsia="微软雅黑" w:cs="微软雅黑"/>
          <w:color w:val="auto"/>
          <w:spacing w:val="1"/>
          <w:u w:val="single"/>
        </w:rPr>
        <w:t xml:space="preserve"> </w:t>
      </w:r>
      <w:r>
        <w:rPr>
          <w:rFonts w:hint="eastAsia" w:ascii="微软雅黑" w:hAnsi="微软雅黑" w:eastAsia="微软雅黑" w:cs="微软雅黑"/>
          <w:color w:val="auto"/>
          <w:spacing w:val="1"/>
          <w:u w:val="single"/>
        </w:rPr>
        <w:t xml:space="preserve">贵州经贸职业技术学院学生宿舍建设项目工程勘察服务项目 </w:t>
      </w:r>
      <w:r>
        <w:rPr>
          <w:rFonts w:ascii="微软雅黑" w:hAnsi="微软雅黑" w:eastAsia="微软雅黑" w:cs="微软雅黑"/>
          <w:color w:val="auto"/>
          <w:u w:val="single"/>
        </w:rPr>
        <w:t xml:space="preserve"> </w:t>
      </w:r>
    </w:p>
    <w:p>
      <w:pPr>
        <w:spacing w:before="2" w:line="184" w:lineRule="auto"/>
        <w:ind w:left="8"/>
        <w:rPr>
          <w:rFonts w:hint="eastAsia" w:ascii="微软雅黑" w:hAnsi="微软雅黑" w:eastAsia="微软雅黑" w:cs="微软雅黑"/>
          <w:color w:val="auto"/>
        </w:rPr>
      </w:pPr>
      <w:r>
        <w:rPr>
          <w:rFonts w:ascii="微软雅黑" w:hAnsi="微软雅黑" w:eastAsia="微软雅黑" w:cs="微软雅黑"/>
          <w:color w:val="auto"/>
          <w:spacing w:val="6"/>
        </w:rPr>
        <w:t>采</w:t>
      </w:r>
      <w:r>
        <w:rPr>
          <w:rFonts w:ascii="微软雅黑" w:hAnsi="微软雅黑" w:eastAsia="微软雅黑" w:cs="微软雅黑"/>
          <w:color w:val="auto"/>
          <w:spacing w:val="4"/>
        </w:rPr>
        <w:t>购</w:t>
      </w:r>
      <w:r>
        <w:rPr>
          <w:rFonts w:ascii="微软雅黑" w:hAnsi="微软雅黑" w:eastAsia="微软雅黑" w:cs="微软雅黑"/>
          <w:color w:val="auto"/>
          <w:spacing w:val="3"/>
        </w:rPr>
        <w:t>方式：</w:t>
      </w:r>
      <w:r>
        <w:rPr>
          <w:rFonts w:ascii="微软雅黑" w:hAnsi="微软雅黑" w:eastAsia="微软雅黑" w:cs="微软雅黑"/>
          <w:color w:val="auto"/>
          <w:spacing w:val="3"/>
          <w:u w:val="single"/>
        </w:rPr>
        <w:t xml:space="preserve"> 公开招标</w:t>
      </w:r>
      <w:r>
        <w:rPr>
          <w:rFonts w:ascii="微软雅黑" w:hAnsi="微软雅黑" w:eastAsia="微软雅黑" w:cs="微软雅黑"/>
          <w:color w:val="auto"/>
          <w:u w:val="single"/>
        </w:rPr>
        <w:t xml:space="preserve"> </w:t>
      </w:r>
    </w:p>
    <w:p>
      <w:pPr>
        <w:spacing w:line="274" w:lineRule="auto"/>
        <w:rPr>
          <w:color w:val="auto"/>
        </w:rPr>
      </w:pPr>
    </w:p>
    <w:p>
      <w:pPr>
        <w:spacing w:before="91" w:line="430" w:lineRule="auto"/>
        <w:ind w:left="13"/>
        <w:rPr>
          <w:rFonts w:hint="eastAsia" w:ascii="微软雅黑" w:hAnsi="微软雅黑" w:eastAsia="微软雅黑" w:cs="微软雅黑"/>
          <w:color w:val="auto"/>
        </w:rPr>
      </w:pPr>
      <w:r>
        <w:rPr>
          <w:rFonts w:ascii="微软雅黑" w:hAnsi="微软雅黑" w:eastAsia="微软雅黑" w:cs="微软雅黑"/>
          <w:color w:val="auto"/>
          <w:spacing w:val="4"/>
        </w:rPr>
        <w:t>项目资</w:t>
      </w:r>
      <w:r>
        <w:rPr>
          <w:rFonts w:ascii="微软雅黑" w:hAnsi="微软雅黑" w:eastAsia="微软雅黑" w:cs="微软雅黑"/>
          <w:color w:val="auto"/>
          <w:spacing w:val="2"/>
        </w:rPr>
        <w:t>金来源：</w:t>
      </w:r>
      <w:r>
        <w:rPr>
          <w:rFonts w:ascii="微软雅黑" w:hAnsi="微软雅黑" w:eastAsia="微软雅黑" w:cs="微软雅黑"/>
          <w:color w:val="auto"/>
          <w:spacing w:val="2"/>
          <w:u w:val="single"/>
        </w:rPr>
        <w:t xml:space="preserve"> 财政资金</w:t>
      </w:r>
      <w:r>
        <w:rPr>
          <w:rFonts w:ascii="微软雅黑" w:hAnsi="微软雅黑" w:eastAsia="微软雅黑" w:cs="微软雅黑"/>
          <w:color w:val="auto"/>
          <w:u w:val="single"/>
        </w:rPr>
        <w:t xml:space="preserve"> </w:t>
      </w:r>
    </w:p>
    <w:p>
      <w:pPr>
        <w:spacing w:before="1" w:line="183" w:lineRule="auto"/>
        <w:ind w:left="6"/>
        <w:rPr>
          <w:rFonts w:hint="eastAsia" w:ascii="微软雅黑" w:hAnsi="微软雅黑" w:eastAsia="微软雅黑" w:cs="微软雅黑"/>
          <w:color w:val="auto"/>
        </w:rPr>
      </w:pPr>
      <w:r>
        <w:rPr>
          <w:rFonts w:ascii="微软雅黑" w:hAnsi="微软雅黑" w:eastAsia="微软雅黑" w:cs="微软雅黑"/>
          <w:color w:val="auto"/>
          <w:spacing w:val="-4"/>
        </w:rPr>
        <w:t>PPP</w:t>
      </w:r>
      <w:r>
        <w:rPr>
          <w:rFonts w:ascii="微软雅黑" w:hAnsi="微软雅黑" w:eastAsia="微软雅黑" w:cs="微软雅黑"/>
          <w:color w:val="auto"/>
          <w:spacing w:val="-6"/>
        </w:rPr>
        <w:t>项</w:t>
      </w:r>
      <w:r>
        <w:rPr>
          <w:rFonts w:ascii="微软雅黑" w:hAnsi="微软雅黑" w:eastAsia="微软雅黑" w:cs="微软雅黑"/>
          <w:color w:val="auto"/>
          <w:spacing w:val="-4"/>
        </w:rPr>
        <w:t>目：</w:t>
      </w:r>
      <w:r>
        <w:rPr>
          <w:rFonts w:ascii="微软雅黑" w:hAnsi="微软雅黑" w:eastAsia="微软雅黑" w:cs="微软雅黑"/>
          <w:color w:val="auto"/>
          <w:spacing w:val="-4"/>
          <w:u w:val="single"/>
        </w:rPr>
        <w:t xml:space="preserve"> 否</w:t>
      </w:r>
      <w:r>
        <w:rPr>
          <w:rFonts w:ascii="微软雅黑" w:hAnsi="微软雅黑" w:eastAsia="微软雅黑" w:cs="微软雅黑"/>
          <w:color w:val="auto"/>
          <w:u w:val="single"/>
        </w:rPr>
        <w:t xml:space="preserve"> </w:t>
      </w:r>
    </w:p>
    <w:p>
      <w:pPr>
        <w:spacing w:before="320" w:line="184" w:lineRule="auto"/>
        <w:ind w:left="13"/>
        <w:rPr>
          <w:rFonts w:hint="eastAsia" w:ascii="微软雅黑" w:hAnsi="微软雅黑" w:eastAsia="微软雅黑" w:cs="微软雅黑"/>
          <w:color w:val="auto"/>
          <w:spacing w:val="-15"/>
        </w:rPr>
      </w:pPr>
      <w:r>
        <w:rPr>
          <w:rFonts w:ascii="微软雅黑" w:hAnsi="微软雅黑" w:eastAsia="微软雅黑" w:cs="微软雅黑"/>
          <w:color w:val="auto"/>
          <w:spacing w:val="-15"/>
        </w:rPr>
        <w:t>2 、标包信息</w:t>
      </w:r>
    </w:p>
    <w:p>
      <w:pPr>
        <w:rPr>
          <w:color w:val="auto"/>
        </w:rPr>
      </w:pPr>
    </w:p>
    <w:p>
      <w:pPr>
        <w:rPr>
          <w:rFonts w:hint="eastAsia" w:ascii="微软雅黑" w:hAnsi="微软雅黑" w:eastAsia="微软雅黑" w:cs="微软雅黑"/>
          <w:color w:val="auto"/>
        </w:rPr>
      </w:pPr>
      <w:r>
        <w:rPr>
          <w:rFonts w:hint="eastAsia" w:ascii="微软雅黑" w:hAnsi="微软雅黑" w:eastAsia="微软雅黑" w:cs="微软雅黑"/>
          <w:color w:val="auto"/>
        </w:rPr>
        <w:t>【 贵州经贸职业技术学院学生宿舍建设项目工程勘察服务项目】</w:t>
      </w:r>
    </w:p>
    <w:p>
      <w:pPr>
        <w:spacing w:before="310" w:line="185" w:lineRule="auto"/>
        <w:ind w:left="3"/>
        <w:rPr>
          <w:rFonts w:hint="eastAsia" w:ascii="微软雅黑" w:hAnsi="微软雅黑" w:eastAsia="微软雅黑" w:cs="微软雅黑"/>
          <w:color w:val="auto"/>
          <w:sz w:val="24"/>
          <w:szCs w:val="24"/>
        </w:rPr>
      </w:pPr>
      <w:r>
        <w:rPr>
          <w:rFonts w:ascii="微软雅黑" w:hAnsi="微软雅黑" w:eastAsia="微软雅黑" w:cs="微软雅黑"/>
          <w:color w:val="auto"/>
          <w:spacing w:val="10"/>
          <w:sz w:val="24"/>
          <w:szCs w:val="24"/>
        </w:rPr>
        <w:t>基</w:t>
      </w:r>
      <w:r>
        <w:rPr>
          <w:rFonts w:ascii="微软雅黑" w:hAnsi="微软雅黑" w:eastAsia="微软雅黑" w:cs="微软雅黑"/>
          <w:color w:val="auto"/>
          <w:spacing w:val="8"/>
          <w:sz w:val="24"/>
          <w:szCs w:val="24"/>
        </w:rPr>
        <w:t>本信息</w:t>
      </w:r>
    </w:p>
    <w:p>
      <w:pPr>
        <w:spacing w:line="245" w:lineRule="auto"/>
        <w:rPr>
          <w:color w:val="auto"/>
        </w:rPr>
      </w:pPr>
    </w:p>
    <w:p>
      <w:pPr>
        <w:spacing w:before="91" w:line="186" w:lineRule="auto"/>
        <w:ind w:left="10"/>
        <w:rPr>
          <w:rFonts w:hint="eastAsia" w:ascii="微软雅黑" w:hAnsi="微软雅黑" w:eastAsia="微软雅黑" w:cs="微软雅黑"/>
          <w:color w:val="auto"/>
        </w:rPr>
      </w:pPr>
      <w:r>
        <w:rPr>
          <w:rFonts w:ascii="微软雅黑" w:hAnsi="微软雅黑" w:eastAsia="微软雅黑" w:cs="微软雅黑"/>
          <w:color w:val="auto"/>
          <w:spacing w:val="-21"/>
        </w:rPr>
        <w:t>标</w:t>
      </w:r>
      <w:r>
        <w:rPr>
          <w:rFonts w:ascii="微软雅黑" w:hAnsi="微软雅黑" w:eastAsia="微软雅黑" w:cs="微软雅黑"/>
          <w:color w:val="auto"/>
          <w:spacing w:val="-16"/>
        </w:rPr>
        <w:t>包编码：</w:t>
      </w:r>
      <w:r>
        <w:rPr>
          <w:rFonts w:ascii="微软雅黑" w:hAnsi="微软雅黑" w:eastAsia="微软雅黑" w:cs="微软雅黑"/>
          <w:color w:val="auto"/>
          <w:spacing w:val="-16"/>
          <w:u w:val="single"/>
        </w:rPr>
        <w:t xml:space="preserve"> </w:t>
      </w:r>
      <w:r>
        <w:rPr>
          <w:rFonts w:hint="eastAsia" w:ascii="微软雅黑" w:hAnsi="微软雅黑" w:eastAsia="微软雅黑" w:cs="微软雅黑"/>
          <w:color w:val="auto"/>
          <w:spacing w:val="-16"/>
          <w:u w:val="single"/>
        </w:rPr>
        <w:t xml:space="preserve">                         </w:t>
      </w:r>
      <w:r>
        <w:rPr>
          <w:rFonts w:ascii="微软雅黑" w:hAnsi="微软雅黑" w:eastAsia="微软雅黑" w:cs="微软雅黑"/>
          <w:color w:val="auto"/>
          <w:u w:val="single"/>
        </w:rPr>
        <w:t xml:space="preserve"> </w:t>
      </w:r>
    </w:p>
    <w:p>
      <w:pPr>
        <w:spacing w:line="273" w:lineRule="auto"/>
        <w:rPr>
          <w:color w:val="auto"/>
        </w:rPr>
      </w:pPr>
    </w:p>
    <w:p>
      <w:pPr>
        <w:spacing w:before="90" w:line="430" w:lineRule="auto"/>
        <w:ind w:left="10"/>
        <w:rPr>
          <w:rFonts w:hint="eastAsia" w:ascii="微软雅黑" w:hAnsi="微软雅黑" w:eastAsia="微软雅黑" w:cs="微软雅黑"/>
          <w:color w:val="auto"/>
        </w:rPr>
      </w:pPr>
      <w:r>
        <w:rPr>
          <w:rFonts w:ascii="微软雅黑" w:hAnsi="微软雅黑" w:eastAsia="微软雅黑" w:cs="微软雅黑"/>
          <w:color w:val="auto"/>
          <w:spacing w:val="1"/>
        </w:rPr>
        <w:t>标包名称：</w:t>
      </w:r>
      <w:r>
        <w:rPr>
          <w:rFonts w:ascii="微软雅黑" w:hAnsi="微软雅黑" w:eastAsia="微软雅黑" w:cs="微软雅黑"/>
          <w:color w:val="auto"/>
          <w:spacing w:val="1"/>
          <w:u w:val="single"/>
        </w:rPr>
        <w:t xml:space="preserve"> </w:t>
      </w:r>
      <w:r>
        <w:rPr>
          <w:rFonts w:hint="eastAsia" w:ascii="微软雅黑" w:hAnsi="微软雅黑" w:eastAsia="微软雅黑" w:cs="微软雅黑"/>
          <w:color w:val="auto"/>
          <w:spacing w:val="1"/>
          <w:u w:val="single"/>
        </w:rPr>
        <w:t xml:space="preserve"> 贵州经贸职业技术学院学生宿舍建设项目工程勘察服务项目  </w:t>
      </w:r>
    </w:p>
    <w:p>
      <w:pPr>
        <w:spacing w:before="2" w:line="184" w:lineRule="auto"/>
        <w:ind w:left="8"/>
        <w:rPr>
          <w:rFonts w:hint="eastAsia" w:ascii="微软雅黑" w:hAnsi="微软雅黑" w:eastAsia="微软雅黑" w:cs="微软雅黑"/>
          <w:color w:val="auto"/>
        </w:rPr>
      </w:pPr>
      <w:r>
        <w:rPr>
          <w:rFonts w:ascii="微软雅黑" w:hAnsi="微软雅黑" w:eastAsia="微软雅黑" w:cs="微软雅黑"/>
          <w:color w:val="auto"/>
          <w:spacing w:val="4"/>
        </w:rPr>
        <w:t>评</w:t>
      </w:r>
      <w:r>
        <w:rPr>
          <w:rFonts w:ascii="微软雅黑" w:hAnsi="微软雅黑" w:eastAsia="微软雅黑" w:cs="微软雅黑"/>
          <w:color w:val="auto"/>
          <w:spacing w:val="3"/>
        </w:rPr>
        <w:t>标办法：</w:t>
      </w:r>
      <w:r>
        <w:rPr>
          <w:rFonts w:ascii="微软雅黑" w:hAnsi="微软雅黑" w:eastAsia="微软雅黑" w:cs="微软雅黑"/>
          <w:color w:val="auto"/>
          <w:spacing w:val="3"/>
          <w:u w:val="single"/>
        </w:rPr>
        <w:t xml:space="preserve"> 综合评分法</w:t>
      </w:r>
      <w:r>
        <w:rPr>
          <w:rFonts w:ascii="微软雅黑" w:hAnsi="微软雅黑" w:eastAsia="微软雅黑" w:cs="微软雅黑"/>
          <w:color w:val="auto"/>
          <w:u w:val="single"/>
        </w:rPr>
        <w:t xml:space="preserve"> </w:t>
      </w:r>
    </w:p>
    <w:p>
      <w:pPr>
        <w:spacing w:line="275" w:lineRule="auto"/>
        <w:rPr>
          <w:color w:val="auto"/>
        </w:rPr>
      </w:pPr>
    </w:p>
    <w:p>
      <w:pPr>
        <w:spacing w:before="90" w:line="185" w:lineRule="auto"/>
        <w:ind w:left="13"/>
        <w:rPr>
          <w:rFonts w:hint="eastAsia" w:ascii="微软雅黑" w:hAnsi="微软雅黑" w:eastAsia="微软雅黑" w:cs="微软雅黑"/>
          <w:color w:val="auto"/>
        </w:rPr>
      </w:pPr>
      <w:r>
        <w:rPr>
          <w:rFonts w:ascii="微软雅黑" w:hAnsi="微软雅黑" w:eastAsia="微软雅黑" w:cs="微软雅黑"/>
          <w:color w:val="auto"/>
          <w:spacing w:val="8"/>
        </w:rPr>
        <w:t>是否考虑小</w:t>
      </w:r>
      <w:r>
        <w:rPr>
          <w:rFonts w:ascii="微软雅黑" w:hAnsi="微软雅黑" w:eastAsia="微软雅黑" w:cs="微软雅黑"/>
          <w:color w:val="auto"/>
          <w:spacing w:val="7"/>
        </w:rPr>
        <w:t>微</w:t>
      </w:r>
      <w:r>
        <w:rPr>
          <w:rFonts w:ascii="微软雅黑" w:hAnsi="微软雅黑" w:eastAsia="微软雅黑" w:cs="微软雅黑"/>
          <w:color w:val="auto"/>
          <w:spacing w:val="4"/>
        </w:rPr>
        <w:t>型企业价格扣除：</w:t>
      </w:r>
      <w:r>
        <w:rPr>
          <w:rFonts w:hint="eastAsia" w:ascii="微软雅黑" w:hAnsi="微软雅黑" w:eastAsia="微软雅黑" w:cs="微软雅黑"/>
          <w:color w:val="auto"/>
          <w:spacing w:val="4"/>
        </w:rPr>
        <w:t>否</w:t>
      </w:r>
      <w:r>
        <w:rPr>
          <w:rFonts w:ascii="微软雅黑" w:hAnsi="微软雅黑" w:eastAsia="微软雅黑" w:cs="微软雅黑"/>
          <w:color w:val="auto"/>
          <w:spacing w:val="4"/>
        </w:rPr>
        <w:t xml:space="preserve">      是否考虑政策性加分：</w:t>
      </w:r>
      <w:r>
        <w:rPr>
          <w:rFonts w:ascii="微软雅黑" w:hAnsi="微软雅黑" w:eastAsia="微软雅黑" w:cs="微软雅黑"/>
          <w:color w:val="auto"/>
          <w:spacing w:val="4"/>
          <w:u w:val="single"/>
        </w:rPr>
        <w:t xml:space="preserve"> 是</w:t>
      </w:r>
      <w:r>
        <w:rPr>
          <w:rFonts w:ascii="微软雅黑" w:hAnsi="微软雅黑" w:eastAsia="微软雅黑" w:cs="微软雅黑"/>
          <w:color w:val="auto"/>
          <w:u w:val="single"/>
        </w:rPr>
        <w:t xml:space="preserve"> </w:t>
      </w:r>
    </w:p>
    <w:p>
      <w:pPr>
        <w:spacing w:line="275" w:lineRule="auto"/>
        <w:rPr>
          <w:color w:val="auto"/>
        </w:rPr>
      </w:pPr>
    </w:p>
    <w:p>
      <w:pPr>
        <w:spacing w:before="90" w:line="185" w:lineRule="auto"/>
        <w:ind w:left="18"/>
        <w:rPr>
          <w:rFonts w:hint="eastAsia" w:ascii="微软雅黑" w:hAnsi="微软雅黑" w:eastAsia="微软雅黑" w:cs="微软雅黑"/>
          <w:color w:val="auto"/>
        </w:rPr>
      </w:pPr>
      <w:r>
        <w:rPr>
          <w:rFonts w:ascii="微软雅黑" w:hAnsi="微软雅黑" w:eastAsia="微软雅黑" w:cs="微软雅黑"/>
          <w:color w:val="auto"/>
          <w:spacing w:val="1"/>
        </w:rPr>
        <w:t>资格审</w:t>
      </w:r>
      <w:r>
        <w:rPr>
          <w:rFonts w:ascii="微软雅黑" w:hAnsi="微软雅黑" w:eastAsia="微软雅黑" w:cs="微软雅黑"/>
          <w:color w:val="auto"/>
        </w:rPr>
        <w:t>查方式：</w:t>
      </w:r>
      <w:r>
        <w:rPr>
          <w:rFonts w:ascii="微软雅黑" w:hAnsi="微软雅黑" w:eastAsia="微软雅黑" w:cs="微软雅黑"/>
          <w:color w:val="auto"/>
          <w:u w:val="single"/>
        </w:rPr>
        <w:t xml:space="preserve">  资格后审 </w:t>
      </w:r>
      <w:r>
        <w:rPr>
          <w:rFonts w:ascii="微软雅黑" w:hAnsi="微软雅黑" w:eastAsia="微软雅黑" w:cs="微软雅黑"/>
          <w:color w:val="auto"/>
        </w:rPr>
        <w:t xml:space="preserve">                    是否接受联合体：</w:t>
      </w:r>
      <w:r>
        <w:rPr>
          <w:rFonts w:ascii="微软雅黑" w:hAnsi="微软雅黑" w:eastAsia="微软雅黑" w:cs="微软雅黑"/>
          <w:color w:val="auto"/>
          <w:u w:val="single"/>
        </w:rPr>
        <w:t xml:space="preserve">  否 </w:t>
      </w:r>
    </w:p>
    <w:p>
      <w:pPr>
        <w:spacing w:line="275" w:lineRule="auto"/>
        <w:rPr>
          <w:color w:val="auto"/>
        </w:rPr>
      </w:pPr>
    </w:p>
    <w:p>
      <w:pPr>
        <w:spacing w:before="91" w:line="185" w:lineRule="auto"/>
        <w:ind w:left="13"/>
        <w:rPr>
          <w:rFonts w:hint="eastAsia" w:ascii="微软雅黑" w:hAnsi="微软雅黑" w:eastAsia="微软雅黑" w:cs="微软雅黑"/>
          <w:color w:val="auto"/>
        </w:rPr>
      </w:pPr>
      <w:r>
        <w:rPr>
          <w:rFonts w:ascii="微软雅黑" w:hAnsi="微软雅黑" w:eastAsia="微软雅黑" w:cs="微软雅黑"/>
          <w:color w:val="auto"/>
          <w:spacing w:val="2"/>
        </w:rPr>
        <w:t>是否缴纳投标保证金：</w:t>
      </w:r>
      <w:r>
        <w:rPr>
          <w:rFonts w:ascii="微软雅黑" w:hAnsi="微软雅黑" w:eastAsia="微软雅黑" w:cs="微软雅黑"/>
          <w:color w:val="auto"/>
          <w:spacing w:val="2"/>
          <w:u w:val="single"/>
        </w:rPr>
        <w:t xml:space="preserve">  </w:t>
      </w:r>
      <w:r>
        <w:rPr>
          <w:rFonts w:hint="eastAsia" w:ascii="微软雅黑" w:hAnsi="微软雅黑" w:eastAsia="微软雅黑" w:cs="微软雅黑"/>
          <w:color w:val="auto"/>
          <w:spacing w:val="2"/>
          <w:u w:val="single"/>
        </w:rPr>
        <w:t>是</w:t>
      </w:r>
      <w:r>
        <w:rPr>
          <w:rFonts w:ascii="微软雅黑" w:hAnsi="微软雅黑" w:eastAsia="微软雅黑" w:cs="微软雅黑"/>
          <w:color w:val="auto"/>
          <w:spacing w:val="2"/>
          <w:u w:val="single"/>
        </w:rPr>
        <w:t xml:space="preserve"> </w:t>
      </w:r>
      <w:r>
        <w:rPr>
          <w:rFonts w:ascii="微软雅黑" w:hAnsi="微软雅黑" w:eastAsia="微软雅黑" w:cs="微软雅黑"/>
          <w:color w:val="auto"/>
          <w:spacing w:val="2"/>
        </w:rPr>
        <w:t xml:space="preserve">          </w:t>
      </w:r>
      <w:r>
        <w:rPr>
          <w:rFonts w:ascii="微软雅黑" w:hAnsi="微软雅黑" w:eastAsia="微软雅黑" w:cs="微软雅黑"/>
          <w:color w:val="auto"/>
          <w:spacing w:val="1"/>
        </w:rPr>
        <w:t xml:space="preserve">          中标方法：</w:t>
      </w:r>
      <w:r>
        <w:rPr>
          <w:rFonts w:ascii="微软雅黑" w:hAnsi="微软雅黑" w:eastAsia="微软雅黑" w:cs="微软雅黑"/>
          <w:color w:val="auto"/>
          <w:spacing w:val="1"/>
          <w:u w:val="single"/>
        </w:rPr>
        <w:t xml:space="preserve"> 推荐中标候选人</w:t>
      </w:r>
      <w:r>
        <w:rPr>
          <w:rFonts w:ascii="微软雅黑" w:hAnsi="微软雅黑" w:eastAsia="微软雅黑" w:cs="微软雅黑"/>
          <w:color w:val="auto"/>
          <w:u w:val="single"/>
        </w:rPr>
        <w:t xml:space="preserve"> </w:t>
      </w:r>
    </w:p>
    <w:p>
      <w:pPr>
        <w:spacing w:line="275" w:lineRule="auto"/>
        <w:rPr>
          <w:color w:val="auto"/>
        </w:rPr>
      </w:pPr>
    </w:p>
    <w:p>
      <w:pPr>
        <w:spacing w:before="91" w:line="430" w:lineRule="auto"/>
        <w:ind w:left="12"/>
        <w:rPr>
          <w:rFonts w:hint="eastAsia" w:ascii="微软雅黑" w:hAnsi="微软雅黑" w:eastAsia="微软雅黑" w:cs="微软雅黑"/>
          <w:color w:val="auto"/>
        </w:rPr>
      </w:pPr>
      <w:r>
        <w:rPr>
          <w:rFonts w:ascii="微软雅黑" w:hAnsi="微软雅黑" w:eastAsia="微软雅黑" w:cs="微软雅黑"/>
          <w:color w:val="auto"/>
          <w:spacing w:val="-4"/>
        </w:rPr>
        <w:t>核</w:t>
      </w:r>
      <w:r>
        <w:rPr>
          <w:rFonts w:ascii="微软雅黑" w:hAnsi="微软雅黑" w:eastAsia="微软雅黑" w:cs="微软雅黑"/>
          <w:color w:val="auto"/>
          <w:spacing w:val="-3"/>
        </w:rPr>
        <w:t>心</w:t>
      </w:r>
      <w:r>
        <w:rPr>
          <w:rFonts w:ascii="微软雅黑" w:hAnsi="微软雅黑" w:eastAsia="微软雅黑" w:cs="微软雅黑"/>
          <w:color w:val="auto"/>
          <w:spacing w:val="-2"/>
        </w:rPr>
        <w:t>产品名称：</w:t>
      </w:r>
      <w:r>
        <w:rPr>
          <w:rFonts w:ascii="微软雅黑" w:hAnsi="微软雅黑" w:eastAsia="微软雅黑" w:cs="微软雅黑"/>
          <w:color w:val="auto"/>
          <w:u w:val="single"/>
        </w:rPr>
        <w:t xml:space="preserve">     </w:t>
      </w:r>
    </w:p>
    <w:p>
      <w:pPr>
        <w:spacing w:before="1" w:line="184" w:lineRule="auto"/>
        <w:ind w:left="8"/>
        <w:rPr>
          <w:rFonts w:hint="eastAsia" w:ascii="微软雅黑" w:hAnsi="微软雅黑" w:eastAsia="微软雅黑" w:cs="微软雅黑"/>
          <w:color w:val="auto"/>
        </w:rPr>
      </w:pPr>
      <w:r>
        <w:rPr>
          <w:rFonts w:ascii="微软雅黑" w:hAnsi="微软雅黑" w:eastAsia="微软雅黑" w:cs="微软雅黑"/>
          <w:color w:val="auto"/>
          <w:spacing w:val="5"/>
        </w:rPr>
        <w:t>报价评审：</w:t>
      </w:r>
      <w:r>
        <w:rPr>
          <w:rFonts w:ascii="微软雅黑" w:hAnsi="微软雅黑" w:eastAsia="微软雅黑" w:cs="微软雅黑"/>
          <w:color w:val="auto"/>
          <w:spacing w:val="5"/>
          <w:u w:val="single"/>
        </w:rPr>
        <w:t xml:space="preserve"> 有</w:t>
      </w:r>
      <w:r>
        <w:rPr>
          <w:rFonts w:ascii="微软雅黑" w:hAnsi="微软雅黑" w:eastAsia="微软雅黑" w:cs="微软雅黑"/>
          <w:color w:val="auto"/>
          <w:u w:val="single"/>
        </w:rPr>
        <w:t xml:space="preserve"> </w:t>
      </w:r>
    </w:p>
    <w:p>
      <w:pPr>
        <w:spacing w:line="276" w:lineRule="auto"/>
        <w:rPr>
          <w:color w:val="auto"/>
        </w:rPr>
      </w:pPr>
    </w:p>
    <w:p>
      <w:pPr>
        <w:spacing w:before="90" w:line="422" w:lineRule="auto"/>
        <w:ind w:left="11"/>
        <w:rPr>
          <w:rFonts w:hint="eastAsia" w:ascii="微软雅黑" w:hAnsi="微软雅黑" w:eastAsia="微软雅黑" w:cs="微软雅黑"/>
          <w:color w:val="auto"/>
        </w:rPr>
      </w:pPr>
      <w:r>
        <w:rPr>
          <w:rFonts w:ascii="微软雅黑" w:hAnsi="微软雅黑" w:eastAsia="微软雅黑" w:cs="微软雅黑"/>
          <w:color w:val="auto"/>
          <w:spacing w:val="-1"/>
        </w:rPr>
        <w:t>预算金额(元)</w:t>
      </w:r>
      <w:r>
        <w:rPr>
          <w:rFonts w:ascii="微软雅黑" w:hAnsi="微软雅黑" w:eastAsia="微软雅黑" w:cs="微软雅黑"/>
          <w:color w:val="auto"/>
        </w:rPr>
        <w:t>：</w:t>
      </w:r>
      <w:r>
        <w:rPr>
          <w:rFonts w:hint="eastAsia" w:ascii="微软雅黑" w:hAnsi="微软雅黑" w:eastAsia="微软雅黑" w:cs="微软雅黑"/>
          <w:color w:val="auto"/>
          <w:u w:val="single"/>
        </w:rPr>
        <w:t xml:space="preserve">  770000.00</w:t>
      </w:r>
    </w:p>
    <w:p>
      <w:pPr>
        <w:spacing w:before="2" w:line="183" w:lineRule="auto"/>
        <w:ind w:left="2"/>
        <w:rPr>
          <w:rFonts w:hint="eastAsia"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评标参</w:t>
      </w:r>
      <w:r>
        <w:rPr>
          <w:rFonts w:ascii="微软雅黑" w:hAnsi="微软雅黑" w:eastAsia="微软雅黑" w:cs="微软雅黑"/>
          <w:color w:val="auto"/>
          <w:spacing w:val="8"/>
          <w:sz w:val="24"/>
          <w:szCs w:val="24"/>
        </w:rPr>
        <w:t>数</w:t>
      </w:r>
    </w:p>
    <w:p>
      <w:pPr>
        <w:spacing w:line="248" w:lineRule="auto"/>
        <w:rPr>
          <w:color w:val="auto"/>
        </w:rPr>
      </w:pPr>
    </w:p>
    <w:p>
      <w:pPr>
        <w:spacing w:before="90" w:line="185" w:lineRule="auto"/>
        <w:rPr>
          <w:rFonts w:hint="eastAsia" w:ascii="微软雅黑" w:hAnsi="微软雅黑" w:eastAsia="微软雅黑" w:cs="微软雅黑"/>
          <w:color w:val="auto"/>
        </w:rPr>
      </w:pPr>
      <w:r>
        <w:rPr>
          <w:rFonts w:ascii="微软雅黑" w:hAnsi="微软雅黑" w:eastAsia="微软雅黑" w:cs="微软雅黑"/>
          <w:color w:val="auto"/>
          <w:spacing w:val="12"/>
        </w:rPr>
        <w:t>报</w:t>
      </w:r>
      <w:r>
        <w:rPr>
          <w:rFonts w:ascii="微软雅黑" w:hAnsi="微软雅黑" w:eastAsia="微软雅黑" w:cs="微软雅黑"/>
          <w:color w:val="auto"/>
          <w:spacing w:val="11"/>
        </w:rPr>
        <w:t>价形式说明</w:t>
      </w:r>
    </w:p>
    <w:p>
      <w:pPr>
        <w:spacing w:line="158" w:lineRule="exact"/>
        <w:rPr>
          <w:color w:val="auto"/>
        </w:rPr>
      </w:pPr>
    </w:p>
    <w:tbl>
      <w:tblPr>
        <w:tblStyle w:val="11"/>
        <w:tblW w:w="101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3564"/>
        <w:gridCol w:w="1228"/>
        <w:gridCol w:w="1513"/>
        <w:gridCol w:w="704"/>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835" w:type="dxa"/>
          </w:tcPr>
          <w:p>
            <w:pPr>
              <w:spacing w:before="219" w:line="185" w:lineRule="auto"/>
              <w:ind w:left="202"/>
              <w:rPr>
                <w:rFonts w:hint="eastAsia" w:ascii="微软雅黑" w:hAnsi="微软雅黑" w:eastAsia="微软雅黑" w:cs="微软雅黑"/>
                <w:color w:val="auto"/>
              </w:rPr>
            </w:pPr>
            <w:r>
              <w:rPr>
                <w:rFonts w:ascii="微软雅黑" w:hAnsi="微软雅黑" w:eastAsia="微软雅黑" w:cs="微软雅黑"/>
                <w:color w:val="auto"/>
                <w:spacing w:val="-5"/>
              </w:rPr>
              <w:t>序</w:t>
            </w:r>
            <w:r>
              <w:rPr>
                <w:rFonts w:ascii="微软雅黑" w:hAnsi="微软雅黑" w:eastAsia="微软雅黑" w:cs="微软雅黑"/>
                <w:color w:val="auto"/>
                <w:spacing w:val="-4"/>
              </w:rPr>
              <w:t>号</w:t>
            </w:r>
          </w:p>
        </w:tc>
        <w:tc>
          <w:tcPr>
            <w:tcW w:w="3564" w:type="dxa"/>
          </w:tcPr>
          <w:p>
            <w:pPr>
              <w:spacing w:before="218" w:line="185" w:lineRule="auto"/>
              <w:ind w:left="1351"/>
              <w:rPr>
                <w:rFonts w:hint="eastAsia" w:ascii="微软雅黑" w:hAnsi="微软雅黑" w:eastAsia="微软雅黑" w:cs="微软雅黑"/>
                <w:color w:val="auto"/>
              </w:rPr>
            </w:pPr>
            <w:r>
              <w:rPr>
                <w:rFonts w:ascii="微软雅黑" w:hAnsi="微软雅黑" w:eastAsia="微软雅黑" w:cs="微软雅黑"/>
                <w:color w:val="auto"/>
                <w:spacing w:val="-2"/>
              </w:rPr>
              <w:t>报价名称</w:t>
            </w:r>
          </w:p>
        </w:tc>
        <w:tc>
          <w:tcPr>
            <w:tcW w:w="1228" w:type="dxa"/>
          </w:tcPr>
          <w:p>
            <w:pPr>
              <w:spacing w:before="220" w:line="184" w:lineRule="auto"/>
              <w:ind w:left="187"/>
              <w:rPr>
                <w:rFonts w:hint="eastAsia" w:ascii="微软雅黑" w:hAnsi="微软雅黑" w:eastAsia="微软雅黑" w:cs="微软雅黑"/>
                <w:color w:val="auto"/>
              </w:rPr>
            </w:pPr>
            <w:r>
              <w:rPr>
                <w:rFonts w:ascii="微软雅黑" w:hAnsi="微软雅黑" w:eastAsia="微软雅黑" w:cs="微软雅黑"/>
                <w:color w:val="auto"/>
                <w:spacing w:val="-2"/>
              </w:rPr>
              <w:t>报价类型</w:t>
            </w:r>
          </w:p>
        </w:tc>
        <w:tc>
          <w:tcPr>
            <w:tcW w:w="1513" w:type="dxa"/>
          </w:tcPr>
          <w:p>
            <w:pPr>
              <w:spacing w:before="218" w:line="185" w:lineRule="auto"/>
              <w:ind w:left="336"/>
              <w:rPr>
                <w:rFonts w:hint="eastAsia" w:ascii="微软雅黑" w:hAnsi="微软雅黑" w:eastAsia="微软雅黑" w:cs="微软雅黑"/>
                <w:color w:val="auto"/>
              </w:rPr>
            </w:pPr>
            <w:r>
              <w:rPr>
                <w:rFonts w:ascii="微软雅黑" w:hAnsi="微软雅黑" w:eastAsia="微软雅黑" w:cs="微软雅黑"/>
                <w:color w:val="auto"/>
                <w:spacing w:val="-3"/>
              </w:rPr>
              <w:t>最高限价</w:t>
            </w:r>
          </w:p>
        </w:tc>
        <w:tc>
          <w:tcPr>
            <w:tcW w:w="704" w:type="dxa"/>
          </w:tcPr>
          <w:p>
            <w:pPr>
              <w:spacing w:before="219" w:line="185" w:lineRule="auto"/>
              <w:ind w:left="144"/>
              <w:rPr>
                <w:rFonts w:hint="eastAsia" w:ascii="微软雅黑" w:hAnsi="微软雅黑" w:eastAsia="微软雅黑" w:cs="微软雅黑"/>
                <w:color w:val="auto"/>
              </w:rPr>
            </w:pPr>
            <w:r>
              <w:rPr>
                <w:rFonts w:ascii="微软雅黑" w:hAnsi="微软雅黑" w:eastAsia="微软雅黑" w:cs="微软雅黑"/>
                <w:color w:val="auto"/>
                <w:spacing w:val="-6"/>
              </w:rPr>
              <w:t>单</w:t>
            </w:r>
            <w:r>
              <w:rPr>
                <w:rFonts w:ascii="微软雅黑" w:hAnsi="微软雅黑" w:eastAsia="微软雅黑" w:cs="微软雅黑"/>
                <w:color w:val="auto"/>
                <w:spacing w:val="-5"/>
              </w:rPr>
              <w:t>位</w:t>
            </w:r>
          </w:p>
        </w:tc>
        <w:tc>
          <w:tcPr>
            <w:tcW w:w="2340" w:type="dxa"/>
          </w:tcPr>
          <w:p>
            <w:pPr>
              <w:spacing w:before="218" w:line="185" w:lineRule="auto"/>
              <w:ind w:left="540"/>
              <w:rPr>
                <w:rFonts w:hint="eastAsia" w:ascii="微软雅黑" w:hAnsi="微软雅黑" w:eastAsia="微软雅黑" w:cs="微软雅黑"/>
                <w:color w:val="auto"/>
              </w:rPr>
            </w:pPr>
            <w:r>
              <w:rPr>
                <w:rFonts w:ascii="微软雅黑" w:hAnsi="微软雅黑" w:eastAsia="微软雅黑" w:cs="微软雅黑"/>
                <w:color w:val="auto"/>
                <w:spacing w:val="-2"/>
              </w:rPr>
              <w:t>报价</w:t>
            </w:r>
            <w:r>
              <w:rPr>
                <w:rFonts w:ascii="微软雅黑" w:hAnsi="微软雅黑" w:eastAsia="微软雅黑" w:cs="微软雅黑"/>
                <w:color w:val="auto"/>
                <w:spacing w:val="-1"/>
              </w:rPr>
              <w:t>形式说明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835" w:type="dxa"/>
          </w:tcPr>
          <w:p>
            <w:pPr>
              <w:spacing w:before="245" w:line="164" w:lineRule="auto"/>
              <w:ind w:left="376"/>
              <w:rPr>
                <w:rFonts w:hint="eastAsia" w:ascii="微软雅黑" w:hAnsi="微软雅黑" w:eastAsia="微软雅黑" w:cs="微软雅黑"/>
                <w:color w:val="auto"/>
              </w:rPr>
            </w:pPr>
            <w:r>
              <w:rPr>
                <w:rFonts w:ascii="微软雅黑" w:hAnsi="微软雅黑" w:eastAsia="微软雅黑" w:cs="微软雅黑"/>
                <w:color w:val="auto"/>
              </w:rPr>
              <w:t>1</w:t>
            </w:r>
          </w:p>
        </w:tc>
        <w:tc>
          <w:tcPr>
            <w:tcW w:w="3564" w:type="dxa"/>
          </w:tcPr>
          <w:p>
            <w:pPr>
              <w:spacing w:before="213" w:line="185" w:lineRule="auto"/>
              <w:ind w:left="1355"/>
              <w:rPr>
                <w:rFonts w:hint="eastAsia" w:ascii="微软雅黑" w:hAnsi="微软雅黑" w:eastAsia="微软雅黑" w:cs="微软雅黑"/>
                <w:color w:val="auto"/>
              </w:rPr>
            </w:pPr>
            <w:r>
              <w:rPr>
                <w:rFonts w:ascii="微软雅黑" w:hAnsi="微软雅黑" w:eastAsia="微软雅黑" w:cs="微软雅黑"/>
                <w:color w:val="auto"/>
                <w:spacing w:val="-3"/>
              </w:rPr>
              <w:t>投标报价</w:t>
            </w:r>
          </w:p>
        </w:tc>
        <w:tc>
          <w:tcPr>
            <w:tcW w:w="1228" w:type="dxa"/>
          </w:tcPr>
          <w:p>
            <w:pPr>
              <w:spacing w:before="214" w:line="184" w:lineRule="auto"/>
              <w:ind w:left="190"/>
              <w:rPr>
                <w:rFonts w:hint="eastAsia" w:ascii="微软雅黑" w:hAnsi="微软雅黑" w:eastAsia="微软雅黑" w:cs="微软雅黑"/>
                <w:color w:val="auto"/>
              </w:rPr>
            </w:pPr>
            <w:r>
              <w:rPr>
                <w:rFonts w:ascii="微软雅黑" w:hAnsi="微软雅黑" w:eastAsia="微软雅黑" w:cs="微软雅黑"/>
                <w:color w:val="auto"/>
                <w:spacing w:val="-4"/>
              </w:rPr>
              <w:t>金</w:t>
            </w:r>
            <w:r>
              <w:rPr>
                <w:rFonts w:ascii="微软雅黑" w:hAnsi="微软雅黑" w:eastAsia="微软雅黑" w:cs="微软雅黑"/>
                <w:color w:val="auto"/>
                <w:spacing w:val="-3"/>
              </w:rPr>
              <w:t>额</w:t>
            </w:r>
            <w:r>
              <w:rPr>
                <w:rFonts w:ascii="微软雅黑" w:hAnsi="微软雅黑" w:eastAsia="微软雅黑" w:cs="微软雅黑"/>
                <w:color w:val="auto"/>
                <w:spacing w:val="-2"/>
              </w:rPr>
              <w:t>报价</w:t>
            </w:r>
          </w:p>
        </w:tc>
        <w:tc>
          <w:tcPr>
            <w:tcW w:w="1513" w:type="dxa"/>
          </w:tcPr>
          <w:p>
            <w:pPr>
              <w:spacing w:before="245" w:line="162" w:lineRule="auto"/>
              <w:ind w:left="233"/>
              <w:rPr>
                <w:rFonts w:hint="eastAsia" w:ascii="微软雅黑" w:hAnsi="微软雅黑" w:eastAsia="微软雅黑" w:cs="微软雅黑"/>
                <w:color w:val="auto"/>
              </w:rPr>
            </w:pPr>
            <w:r>
              <w:rPr>
                <w:rFonts w:hint="eastAsia" w:ascii="微软雅黑" w:hAnsi="微软雅黑" w:eastAsia="微软雅黑" w:cs="微软雅黑"/>
                <w:color w:val="auto"/>
                <w:spacing w:val="-12"/>
              </w:rPr>
              <w:t>770000.00</w:t>
            </w:r>
          </w:p>
        </w:tc>
        <w:tc>
          <w:tcPr>
            <w:tcW w:w="704" w:type="dxa"/>
          </w:tcPr>
          <w:p>
            <w:pPr>
              <w:spacing w:before="213" w:line="186" w:lineRule="auto"/>
              <w:ind w:left="249"/>
              <w:rPr>
                <w:rFonts w:hint="eastAsia" w:ascii="微软雅黑" w:hAnsi="微软雅黑" w:eastAsia="微软雅黑" w:cs="微软雅黑"/>
                <w:color w:val="auto"/>
              </w:rPr>
            </w:pPr>
            <w:r>
              <w:rPr>
                <w:rFonts w:ascii="微软雅黑" w:hAnsi="微软雅黑" w:eastAsia="微软雅黑" w:cs="微软雅黑"/>
                <w:color w:val="auto"/>
              </w:rPr>
              <w:t>元</w:t>
            </w:r>
          </w:p>
        </w:tc>
        <w:tc>
          <w:tcPr>
            <w:tcW w:w="2340" w:type="dxa"/>
          </w:tcPr>
          <w:p>
            <w:pPr>
              <w:rPr>
                <w:color w:val="auto"/>
              </w:rPr>
            </w:pPr>
          </w:p>
        </w:tc>
      </w:tr>
    </w:tbl>
    <w:p>
      <w:pPr>
        <w:spacing w:before="210" w:line="185" w:lineRule="auto"/>
        <w:ind w:left="1"/>
        <w:rPr>
          <w:rFonts w:hint="eastAsia" w:ascii="微软雅黑" w:hAnsi="微软雅黑" w:eastAsia="微软雅黑" w:cs="微软雅黑"/>
          <w:color w:val="auto"/>
        </w:rPr>
      </w:pPr>
      <w:r>
        <w:rPr>
          <w:rFonts w:ascii="微软雅黑" w:hAnsi="微软雅黑" w:eastAsia="微软雅黑" w:cs="微软雅黑"/>
          <w:color w:val="auto"/>
          <w:spacing w:val="11"/>
        </w:rPr>
        <w:t>评标分值组成</w:t>
      </w:r>
    </w:p>
    <w:p>
      <w:pPr>
        <w:rPr>
          <w:color w:val="auto"/>
        </w:rPr>
        <w:sectPr>
          <w:footerReference r:id="rId7" w:type="default"/>
          <w:pgSz w:w="11900" w:h="16840"/>
          <w:pgMar w:top="400" w:right="860" w:bottom="448" w:left="838" w:header="0" w:footer="208" w:gutter="0"/>
          <w:cols w:space="720" w:num="1"/>
        </w:sectPr>
      </w:pPr>
    </w:p>
    <w:p>
      <w:pPr>
        <w:rPr>
          <w:color w:val="auto"/>
        </w:rPr>
      </w:pPr>
      <w:r>
        <w:rPr>
          <w:color w:val="auto"/>
        </w:rPr>
        <mc:AlternateContent>
          <mc:Choice Requires="wps">
            <w:drawing>
              <wp:anchor distT="0" distB="0" distL="114300" distR="114300" simplePos="0" relativeHeight="251671552" behindDoc="0" locked="0" layoutInCell="0" allowOverlap="1">
                <wp:simplePos x="0" y="0"/>
                <wp:positionH relativeFrom="page">
                  <wp:posOffset>658495</wp:posOffset>
                </wp:positionH>
                <wp:positionV relativeFrom="page">
                  <wp:posOffset>615315</wp:posOffset>
                </wp:positionV>
                <wp:extent cx="287020" cy="201930"/>
                <wp:effectExtent l="0" t="0" r="0" b="0"/>
                <wp:wrapNone/>
                <wp:docPr id="1187260716" name="Text Box 7"/>
                <wp:cNvGraphicFramePr/>
                <a:graphic xmlns:a="http://schemas.openxmlformats.org/drawingml/2006/main">
                  <a:graphicData uri="http://schemas.microsoft.com/office/word/2010/wordprocessingShape">
                    <wps:wsp>
                      <wps:cNvSpPr txBox="1">
                        <a:spLocks noChangeArrowheads="1"/>
                      </wps:cNvSpPr>
                      <wps:spPr bwMode="auto">
                        <a:xfrm>
                          <a:off x="0" y="0"/>
                          <a:ext cx="287020" cy="201930"/>
                        </a:xfrm>
                        <a:prstGeom prst="rect">
                          <a:avLst/>
                        </a:prstGeom>
                        <a:noFill/>
                        <a:ln>
                          <a:noFill/>
                        </a:ln>
                      </wps:spPr>
                      <wps:txbx>
                        <w:txbxContent>
                          <w:p>
                            <w:pPr>
                              <w:spacing w:before="19" w:line="185" w:lineRule="auto"/>
                              <w:ind w:left="20"/>
                              <w:rPr>
                                <w:rFonts w:hint="eastAsia" w:ascii="微软雅黑" w:hAnsi="微软雅黑" w:eastAsia="微软雅黑" w:cs="微软雅黑"/>
                              </w:rPr>
                            </w:pPr>
                            <w:r>
                              <w:rPr>
                                <w:rFonts w:ascii="微软雅黑" w:hAnsi="微软雅黑" w:eastAsia="微软雅黑" w:cs="微软雅黑"/>
                                <w:spacing w:val="-5"/>
                              </w:rPr>
                              <w:t>序</w:t>
                            </w:r>
                            <w:r>
                              <w:rPr>
                                <w:rFonts w:ascii="微软雅黑" w:hAnsi="微软雅黑" w:eastAsia="微软雅黑" w:cs="微软雅黑"/>
                                <w:spacing w:val="-4"/>
                              </w:rPr>
                              <w:t>号</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51.85pt;margin-top:48.45pt;height:15.9pt;width:22.6pt;mso-position-horizontal-relative:page;mso-position-vertical-relative:page;z-index:251671552;mso-width-relative:page;mso-height-relative:page;" filled="f" stroked="f" coordsize="21600,21600" o:allowincell="f" o:gfxdata="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fExd2AAAAAoBAAAPAAAAAAAAAAEAIAAAACIAAABkcnMv&#10;ZG93bnJldi54bWxQSwECFAAUAAAACACHTuJAqcaZiwMCAAAMBAAADgAAAAAAAAABACAAAAAnAQAA&#10;ZHJzL2Uyb0RvYy54bWxQSwUGAAAAAAYABgBZAQAAnAUAAAAA&#10;">
                <v:fill on="f" focussize="0,0"/>
                <v:stroke on="f"/>
                <v:imagedata o:title=""/>
                <o:lock v:ext="edit" aspectratio="f"/>
                <v:textbox inset="0mm,0mm,0mm,0mm">
                  <w:txbxContent>
                    <w:p>
                      <w:pPr>
                        <w:spacing w:before="19" w:line="185" w:lineRule="auto"/>
                        <w:ind w:left="20"/>
                        <w:rPr>
                          <w:rFonts w:hint="eastAsia" w:ascii="微软雅黑" w:hAnsi="微软雅黑" w:eastAsia="微软雅黑" w:cs="微软雅黑"/>
                        </w:rPr>
                      </w:pPr>
                      <w:r>
                        <w:rPr>
                          <w:rFonts w:ascii="微软雅黑" w:hAnsi="微软雅黑" w:eastAsia="微软雅黑" w:cs="微软雅黑"/>
                          <w:spacing w:val="-5"/>
                        </w:rPr>
                        <w:t>序</w:t>
                      </w:r>
                      <w:r>
                        <w:rPr>
                          <w:rFonts w:ascii="微软雅黑" w:hAnsi="微软雅黑" w:eastAsia="微软雅黑" w:cs="微软雅黑"/>
                          <w:spacing w:val="-4"/>
                        </w:rPr>
                        <w:t>号</w:t>
                      </w:r>
                    </w:p>
                  </w:txbxContent>
                </v:textbox>
              </v:shape>
            </w:pict>
          </mc:Fallback>
        </mc:AlternateContent>
      </w:r>
      <w:r>
        <w:rPr>
          <w:color w:val="auto"/>
        </w:rPr>
        <mc:AlternateContent>
          <mc:Choice Requires="wps">
            <w:drawing>
              <wp:anchor distT="0" distB="0" distL="114300" distR="114300" simplePos="0" relativeHeight="251677696" behindDoc="0" locked="0" layoutInCell="0" allowOverlap="1">
                <wp:simplePos x="0" y="0"/>
                <wp:positionH relativeFrom="page">
                  <wp:posOffset>768985</wp:posOffset>
                </wp:positionH>
                <wp:positionV relativeFrom="page">
                  <wp:posOffset>1054100</wp:posOffset>
                </wp:positionV>
                <wp:extent cx="77470" cy="182245"/>
                <wp:effectExtent l="0" t="0" r="0" b="0"/>
                <wp:wrapNone/>
                <wp:docPr id="181962330" name="Text Box 8"/>
                <wp:cNvGraphicFramePr/>
                <a:graphic xmlns:a="http://schemas.openxmlformats.org/drawingml/2006/main">
                  <a:graphicData uri="http://schemas.microsoft.com/office/word/2010/wordprocessingShape">
                    <wps:wsp>
                      <wps:cNvSpPr txBox="1">
                        <a:spLocks noChangeArrowheads="1"/>
                      </wps:cNvSpPr>
                      <wps:spPr bwMode="auto">
                        <a:xfrm>
                          <a:off x="0" y="0"/>
                          <a:ext cx="77470" cy="182245"/>
                        </a:xfrm>
                        <a:prstGeom prst="rect">
                          <a:avLst/>
                        </a:prstGeom>
                        <a:noFill/>
                        <a:ln>
                          <a:noFill/>
                        </a:ln>
                      </wps:spPr>
                      <wps:txbx>
                        <w:txbxContent>
                          <w:p>
                            <w:pPr>
                              <w:spacing w:before="20" w:line="164" w:lineRule="auto"/>
                              <w:ind w:left="20"/>
                              <w:rPr>
                                <w:rFonts w:hint="eastAsia" w:ascii="微软雅黑" w:hAnsi="微软雅黑" w:eastAsia="微软雅黑" w:cs="微软雅黑"/>
                              </w:rPr>
                            </w:pPr>
                            <w:r>
                              <w:rPr>
                                <w:rFonts w:ascii="微软雅黑" w:hAnsi="微软雅黑" w:eastAsia="微软雅黑" w:cs="微软雅黑"/>
                                <w:spacing w:val="-8"/>
                                <w:w w:val="72"/>
                              </w:rPr>
                              <w:t>1</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60.55pt;margin-top:83pt;height:14.35pt;width:6.1pt;mso-position-horizontal-relative:page;mso-position-vertical-relative:page;z-index:251677696;mso-width-relative:page;mso-height-relative:page;" filled="f" stroked="f" coordsize="21600,21600" o:allowincell="f" o:gfxdata="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PXLfvYAAAACwEAAA8AAAAAAAAAAQAgAAAAIgAAAGRycy9k&#10;b3ducmV2LnhtbFBLAQIUABQAAAAIAIdO4kCibST9AgIAAAoEAAAOAAAAAAAAAAEAIAAAACcBAABk&#10;cnMvZTJvRG9jLnhtbFBLBQYAAAAABgAGAFkBAACbBQAAAAA=&#10;">
                <v:fill on="f" focussize="0,0"/>
                <v:stroke on="f"/>
                <v:imagedata o:title=""/>
                <o:lock v:ext="edit" aspectratio="f"/>
                <v:textbox inset="0mm,0mm,0mm,0mm">
                  <w:txbxContent>
                    <w:p>
                      <w:pPr>
                        <w:spacing w:before="20" w:line="164" w:lineRule="auto"/>
                        <w:ind w:left="20"/>
                        <w:rPr>
                          <w:rFonts w:hint="eastAsia" w:ascii="微软雅黑" w:hAnsi="微软雅黑" w:eastAsia="微软雅黑" w:cs="微软雅黑"/>
                        </w:rPr>
                      </w:pPr>
                      <w:r>
                        <w:rPr>
                          <w:rFonts w:ascii="微软雅黑" w:hAnsi="微软雅黑" w:eastAsia="微软雅黑" w:cs="微软雅黑"/>
                          <w:spacing w:val="-8"/>
                          <w:w w:val="72"/>
                        </w:rPr>
                        <w:t>1</w:t>
                      </w:r>
                    </w:p>
                  </w:txbxContent>
                </v:textbox>
              </v:shape>
            </w:pict>
          </mc:Fallback>
        </mc:AlternateContent>
      </w:r>
      <w:r>
        <w:rPr>
          <w:color w:val="auto"/>
        </w:rPr>
        <mc:AlternateContent>
          <mc:Choice Requires="wps">
            <w:drawing>
              <wp:anchor distT="0" distB="0" distL="114300" distR="114300" simplePos="0" relativeHeight="251674624" behindDoc="0" locked="0" layoutInCell="0" allowOverlap="1">
                <wp:simplePos x="0" y="0"/>
                <wp:positionH relativeFrom="page">
                  <wp:posOffset>760730</wp:posOffset>
                </wp:positionH>
                <wp:positionV relativeFrom="page">
                  <wp:posOffset>1473835</wp:posOffset>
                </wp:positionV>
                <wp:extent cx="85725" cy="181610"/>
                <wp:effectExtent l="0" t="0" r="0" b="0"/>
                <wp:wrapNone/>
                <wp:docPr id="1354308400" name="Text Box 9"/>
                <wp:cNvGraphicFramePr/>
                <a:graphic xmlns:a="http://schemas.openxmlformats.org/drawingml/2006/main">
                  <a:graphicData uri="http://schemas.microsoft.com/office/word/2010/wordprocessingShape">
                    <wps:wsp>
                      <wps:cNvSpPr txBox="1">
                        <a:spLocks noChangeArrowheads="1"/>
                      </wps:cNvSpPr>
                      <wps:spPr bwMode="auto">
                        <a:xfrm>
                          <a:off x="0" y="0"/>
                          <a:ext cx="85725" cy="181610"/>
                        </a:xfrm>
                        <a:prstGeom prst="rect">
                          <a:avLst/>
                        </a:prstGeom>
                        <a:noFill/>
                        <a:ln>
                          <a:noFill/>
                        </a:ln>
                      </wps:spPr>
                      <wps:txbx>
                        <w:txbxContent>
                          <w:p>
                            <w:pPr>
                              <w:spacing w:before="20" w:line="163" w:lineRule="auto"/>
                              <w:ind w:left="20"/>
                              <w:rPr>
                                <w:rFonts w:hint="eastAsia" w:ascii="微软雅黑" w:hAnsi="微软雅黑" w:eastAsia="微软雅黑" w:cs="微软雅黑"/>
                              </w:rPr>
                            </w:pPr>
                            <w:r>
                              <w:rPr>
                                <w:rFonts w:ascii="微软雅黑" w:hAnsi="微软雅黑" w:eastAsia="微软雅黑" w:cs="微软雅黑"/>
                                <w:spacing w:val="-10"/>
                                <w:w w:val="84"/>
                              </w:rPr>
                              <w:t>2</w:t>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59.9pt;margin-top:116.05pt;height:14.3pt;width:6.75pt;mso-position-horizontal-relative:page;mso-position-vertical-relative:page;z-index:251674624;mso-width-relative:page;mso-height-relative:page;" filled="f" stroked="f" coordsize="21600,21600" o:allowincell="f" o:gfxdata="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ThIS2AAAAAsBAAAPAAAAAAAAAAEAIAAAACIAAABkcnMv&#10;ZG93bnJldi54bWxQSwECFAAUAAAACACHTuJA9uW5sQMCAAALBAAADgAAAAAAAAABACAAAAAnAQAA&#10;ZHJzL2Uyb0RvYy54bWxQSwUGAAAAAAYABgBZAQAAnAUAAAAA&#10;">
                <v:fill on="f" focussize="0,0"/>
                <v:stroke on="f"/>
                <v:imagedata o:title=""/>
                <o:lock v:ext="edit" aspectratio="f"/>
                <v:textbox inset="0mm,0mm,0mm,0mm">
                  <w:txbxContent>
                    <w:p>
                      <w:pPr>
                        <w:spacing w:before="20" w:line="163" w:lineRule="auto"/>
                        <w:ind w:left="20"/>
                        <w:rPr>
                          <w:rFonts w:hint="eastAsia" w:ascii="微软雅黑" w:hAnsi="微软雅黑" w:eastAsia="微软雅黑" w:cs="微软雅黑"/>
                        </w:rPr>
                      </w:pPr>
                      <w:r>
                        <w:rPr>
                          <w:rFonts w:ascii="微软雅黑" w:hAnsi="微软雅黑" w:eastAsia="微软雅黑" w:cs="微软雅黑"/>
                          <w:spacing w:val="-10"/>
                          <w:w w:val="84"/>
                        </w:rPr>
                        <w:t>2</w:t>
                      </w:r>
                    </w:p>
                  </w:txbxContent>
                </v:textbox>
              </v:shape>
            </w:pict>
          </mc:Fallback>
        </mc:AlternateContent>
      </w:r>
      <w:r>
        <w:rPr>
          <w:color w:val="auto"/>
        </w:rPr>
        <mc:AlternateContent>
          <mc:Choice Requires="wps">
            <w:drawing>
              <wp:anchor distT="0" distB="0" distL="114300" distR="114300" simplePos="0" relativeHeight="251675648" behindDoc="0" locked="0" layoutInCell="0" allowOverlap="1">
                <wp:simplePos x="0" y="0"/>
                <wp:positionH relativeFrom="page">
                  <wp:posOffset>761365</wp:posOffset>
                </wp:positionH>
                <wp:positionV relativeFrom="page">
                  <wp:posOffset>1892935</wp:posOffset>
                </wp:positionV>
                <wp:extent cx="84455" cy="179705"/>
                <wp:effectExtent l="0" t="0" r="0" b="0"/>
                <wp:wrapNone/>
                <wp:docPr id="1631341342" name="Text Box 10"/>
                <wp:cNvGraphicFramePr/>
                <a:graphic xmlns:a="http://schemas.openxmlformats.org/drawingml/2006/main">
                  <a:graphicData uri="http://schemas.microsoft.com/office/word/2010/wordprocessingShape">
                    <wps:wsp>
                      <wps:cNvSpPr txBox="1">
                        <a:spLocks noChangeArrowheads="1"/>
                      </wps:cNvSpPr>
                      <wps:spPr bwMode="auto">
                        <a:xfrm>
                          <a:off x="0" y="0"/>
                          <a:ext cx="84455" cy="179705"/>
                        </a:xfrm>
                        <a:prstGeom prst="rect">
                          <a:avLst/>
                        </a:prstGeom>
                        <a:noFill/>
                        <a:ln>
                          <a:noFill/>
                        </a:ln>
                      </wps:spPr>
                      <wps:txbx>
                        <w:txbxContent>
                          <w:p>
                            <w:pPr>
                              <w:spacing w:before="19" w:line="162" w:lineRule="auto"/>
                              <w:ind w:left="20"/>
                              <w:rPr>
                                <w:rFonts w:hint="eastAsia" w:ascii="微软雅黑" w:hAnsi="微软雅黑" w:eastAsia="微软雅黑" w:cs="微软雅黑"/>
                              </w:rPr>
                            </w:pPr>
                            <w:r>
                              <w:rPr>
                                <w:rFonts w:ascii="微软雅黑" w:hAnsi="微软雅黑" w:eastAsia="微软雅黑" w:cs="微软雅黑"/>
                                <w:spacing w:val="-10"/>
                                <w:w w:val="83"/>
                              </w:rPr>
                              <w:t>3</w:t>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59.95pt;margin-top:149.05pt;height:14.15pt;width:6.65pt;mso-position-horizontal-relative:page;mso-position-vertical-relative:page;z-index:251675648;mso-width-relative:page;mso-height-relative:page;" filled="f" stroked="f" coordsize="21600,21600" o:allowincell="f" o:gfxdata="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&#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FAK92QAAAAsBAAAPAAAAAAAAAAEAIAAAACIAAABk&#10;cnMvZG93bnJldi54bWxQSwECFAAUAAAACACHTuJA2iaUAgUCAAAMBAAADgAAAAAAAAABACAAAAAo&#10;AQAAZHJzL2Uyb0RvYy54bWxQSwUGAAAAAAYABgBZAQAAnwUAAAAA&#10;">
                <v:fill on="f" focussize="0,0"/>
                <v:stroke on="f"/>
                <v:imagedata o:title=""/>
                <o:lock v:ext="edit" aspectratio="f"/>
                <v:textbox inset="0mm,0mm,0mm,0mm">
                  <w:txbxContent>
                    <w:p>
                      <w:pPr>
                        <w:spacing w:before="19" w:line="162" w:lineRule="auto"/>
                        <w:ind w:left="20"/>
                        <w:rPr>
                          <w:rFonts w:hint="eastAsia" w:ascii="微软雅黑" w:hAnsi="微软雅黑" w:eastAsia="微软雅黑" w:cs="微软雅黑"/>
                        </w:rPr>
                      </w:pPr>
                      <w:r>
                        <w:rPr>
                          <w:rFonts w:ascii="微软雅黑" w:hAnsi="微软雅黑" w:eastAsia="微软雅黑" w:cs="微软雅黑"/>
                          <w:spacing w:val="-10"/>
                          <w:w w:val="83"/>
                        </w:rPr>
                        <w:t>3</w:t>
                      </w:r>
                    </w:p>
                  </w:txbxContent>
                </v:textbox>
              </v:shape>
            </w:pict>
          </mc:Fallback>
        </mc:AlternateContent>
      </w:r>
      <w:r>
        <w:rPr>
          <w:color w:val="auto"/>
        </w:rPr>
        <mc:AlternateContent>
          <mc:Choice Requires="wps">
            <w:drawing>
              <wp:anchor distT="0" distB="0" distL="114300" distR="114300" simplePos="0" relativeHeight="251672576" behindDoc="0" locked="0" layoutInCell="0" allowOverlap="1">
                <wp:simplePos x="0" y="0"/>
                <wp:positionH relativeFrom="page">
                  <wp:posOffset>758190</wp:posOffset>
                </wp:positionH>
                <wp:positionV relativeFrom="page">
                  <wp:posOffset>2312035</wp:posOffset>
                </wp:positionV>
                <wp:extent cx="87630" cy="181610"/>
                <wp:effectExtent l="0" t="0" r="0" b="0"/>
                <wp:wrapNone/>
                <wp:docPr id="39175737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87630" cy="181610"/>
                        </a:xfrm>
                        <a:prstGeom prst="rect">
                          <a:avLst/>
                        </a:prstGeom>
                        <a:noFill/>
                        <a:ln>
                          <a:noFill/>
                        </a:ln>
                      </wps:spPr>
                      <wps:txbx>
                        <w:txbxContent>
                          <w:p>
                            <w:pPr>
                              <w:spacing w:before="20" w:line="163" w:lineRule="auto"/>
                              <w:ind w:left="20"/>
                              <w:rPr>
                                <w:rFonts w:hint="eastAsia" w:ascii="微软雅黑" w:hAnsi="微软雅黑" w:eastAsia="微软雅黑" w:cs="微软雅黑"/>
                              </w:rPr>
                            </w:pPr>
                            <w:r>
                              <w:rPr>
                                <w:rFonts w:ascii="微软雅黑" w:hAnsi="微软雅黑" w:eastAsia="微软雅黑" w:cs="微软雅黑"/>
                                <w:spacing w:val="-10"/>
                                <w:w w:val="87"/>
                              </w:rPr>
                              <w:t>4</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59.7pt;margin-top:182.05pt;height:14.3pt;width:6.9pt;mso-position-horizontal-relative:page;mso-position-vertical-relative:page;z-index:251672576;mso-width-relative:page;mso-height-relative:page;" filled="f" stroked="f" coordsize="21600,21600" o:allowincell="f" o:gfxdata="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iflddkAAAALAQAADwAAAAAAAAABACAAAAAiAAAAZHJz&#10;L2Rvd25yZXYueG1sUEsBAhQAFAAAAAgAh07iQGfGvCEDAgAACwQAAA4AAAAAAAAAAQAgAAAAKAEA&#10;AGRycy9lMm9Eb2MueG1sUEsFBgAAAAAGAAYAWQEAAJ0FAAAAAA==&#10;">
                <v:fill on="f" focussize="0,0"/>
                <v:stroke on="f"/>
                <v:imagedata o:title=""/>
                <o:lock v:ext="edit" aspectratio="f"/>
                <v:textbox inset="0mm,0mm,0mm,0mm">
                  <w:txbxContent>
                    <w:p>
                      <w:pPr>
                        <w:spacing w:before="20" w:line="163" w:lineRule="auto"/>
                        <w:ind w:left="20"/>
                        <w:rPr>
                          <w:rFonts w:hint="eastAsia" w:ascii="微软雅黑" w:hAnsi="微软雅黑" w:eastAsia="微软雅黑" w:cs="微软雅黑"/>
                        </w:rPr>
                      </w:pPr>
                      <w:r>
                        <w:rPr>
                          <w:rFonts w:ascii="微软雅黑" w:hAnsi="微软雅黑" w:eastAsia="微软雅黑" w:cs="微软雅黑"/>
                          <w:spacing w:val="-10"/>
                          <w:w w:val="87"/>
                        </w:rPr>
                        <w:t>4</w:t>
                      </w:r>
                    </w:p>
                  </w:txbxContent>
                </v:textbox>
              </v:shape>
            </w:pict>
          </mc:Fallback>
        </mc:AlternateContent>
      </w:r>
      <w:r>
        <w:rPr>
          <w:color w:val="auto"/>
        </w:rPr>
        <mc:AlternateContent>
          <mc:Choice Requires="wps">
            <w:drawing>
              <wp:anchor distT="0" distB="0" distL="114300" distR="114300" simplePos="0" relativeHeight="251676672" behindDoc="0" locked="0" layoutInCell="0" allowOverlap="1">
                <wp:simplePos x="0" y="0"/>
                <wp:positionH relativeFrom="page">
                  <wp:posOffset>761365</wp:posOffset>
                </wp:positionH>
                <wp:positionV relativeFrom="page">
                  <wp:posOffset>2731770</wp:posOffset>
                </wp:positionV>
                <wp:extent cx="84455" cy="178435"/>
                <wp:effectExtent l="0" t="0" r="0" b="0"/>
                <wp:wrapNone/>
                <wp:docPr id="67508073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84455" cy="178435"/>
                        </a:xfrm>
                        <a:prstGeom prst="rect">
                          <a:avLst/>
                        </a:prstGeom>
                        <a:noFill/>
                        <a:ln>
                          <a:noFill/>
                        </a:ln>
                      </wps:spPr>
                      <wps:txbx>
                        <w:txbxContent>
                          <w:p>
                            <w:pPr>
                              <w:spacing w:before="19" w:line="161" w:lineRule="auto"/>
                              <w:ind w:left="20"/>
                              <w:rPr>
                                <w:rFonts w:hint="eastAsia" w:ascii="微软雅黑" w:hAnsi="微软雅黑" w:eastAsia="微软雅黑" w:cs="微软雅黑"/>
                              </w:rPr>
                            </w:pPr>
                            <w:r>
                              <w:rPr>
                                <w:rFonts w:ascii="微软雅黑" w:hAnsi="微软雅黑" w:eastAsia="微软雅黑" w:cs="微软雅黑"/>
                                <w:spacing w:val="-10"/>
                                <w:w w:val="83"/>
                              </w:rPr>
                              <w:t>5</w:t>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59.95pt;margin-top:215.1pt;height:14.05pt;width:6.65pt;mso-position-horizontal-relative:page;mso-position-vertical-relative:page;z-index:251676672;mso-width-relative:page;mso-height-relative:page;" filled="f" stroked="f" coordsize="21600,21600" o:allowincell="f" o:gfxdata="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&#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iEre2QAAAAsBAAAPAAAAAAAAAAEAIAAAACIAAABk&#10;cnMvZG93bnJldi54bWxQSwECFAAUAAAACACHTuJA+FQe8wUCAAALBAAADgAAAAAAAAABACAAAAAo&#10;AQAAZHJzL2Uyb0RvYy54bWxQSwUGAAAAAAYABgBZAQAAnwUAAAAA&#10;">
                <v:fill on="f" focussize="0,0"/>
                <v:stroke on="f"/>
                <v:imagedata o:title=""/>
                <o:lock v:ext="edit" aspectratio="f"/>
                <v:textbox inset="0mm,0mm,0mm,0mm">
                  <w:txbxContent>
                    <w:p>
                      <w:pPr>
                        <w:spacing w:before="19" w:line="161" w:lineRule="auto"/>
                        <w:ind w:left="20"/>
                        <w:rPr>
                          <w:rFonts w:hint="eastAsia" w:ascii="微软雅黑" w:hAnsi="微软雅黑" w:eastAsia="微软雅黑" w:cs="微软雅黑"/>
                        </w:rPr>
                      </w:pPr>
                      <w:r>
                        <w:rPr>
                          <w:rFonts w:ascii="微软雅黑" w:hAnsi="微软雅黑" w:eastAsia="微软雅黑" w:cs="微软雅黑"/>
                          <w:spacing w:val="-10"/>
                          <w:w w:val="83"/>
                        </w:rPr>
                        <w:t>5</w:t>
                      </w:r>
                    </w:p>
                  </w:txbxContent>
                </v:textbox>
              </v:shape>
            </w:pict>
          </mc:Fallback>
        </mc:AlternateContent>
      </w:r>
      <w:r>
        <w:rPr>
          <w:color w:val="auto"/>
        </w:rPr>
        <mc:AlternateContent>
          <mc:Choice Requires="wps">
            <w:drawing>
              <wp:anchor distT="0" distB="0" distL="114300" distR="114300" simplePos="0" relativeHeight="251673600" behindDoc="0" locked="0" layoutInCell="0" allowOverlap="1">
                <wp:simplePos x="0" y="0"/>
                <wp:positionH relativeFrom="page">
                  <wp:posOffset>760095</wp:posOffset>
                </wp:positionH>
                <wp:positionV relativeFrom="page">
                  <wp:posOffset>3150235</wp:posOffset>
                </wp:positionV>
                <wp:extent cx="86360" cy="179705"/>
                <wp:effectExtent l="0" t="0" r="0" b="0"/>
                <wp:wrapNone/>
                <wp:docPr id="1797705939" name="Text Box 14"/>
                <wp:cNvGraphicFramePr/>
                <a:graphic xmlns:a="http://schemas.openxmlformats.org/drawingml/2006/main">
                  <a:graphicData uri="http://schemas.microsoft.com/office/word/2010/wordprocessingShape">
                    <wps:wsp>
                      <wps:cNvSpPr txBox="1">
                        <a:spLocks noChangeArrowheads="1"/>
                      </wps:cNvSpPr>
                      <wps:spPr bwMode="auto">
                        <a:xfrm>
                          <a:off x="0" y="0"/>
                          <a:ext cx="86360" cy="179705"/>
                        </a:xfrm>
                        <a:prstGeom prst="rect">
                          <a:avLst/>
                        </a:prstGeom>
                        <a:noFill/>
                        <a:ln>
                          <a:noFill/>
                        </a:ln>
                      </wps:spPr>
                      <wps:txbx>
                        <w:txbxContent>
                          <w:p>
                            <w:pPr>
                              <w:spacing w:before="19" w:line="162" w:lineRule="auto"/>
                              <w:ind w:left="20"/>
                              <w:rPr>
                                <w:rFonts w:hint="eastAsia" w:ascii="微软雅黑" w:hAnsi="微软雅黑" w:eastAsia="微软雅黑" w:cs="微软雅黑"/>
                              </w:rPr>
                            </w:pPr>
                            <w:r>
                              <w:rPr>
                                <w:rFonts w:ascii="微软雅黑" w:hAnsi="微软雅黑" w:eastAsia="微软雅黑" w:cs="微软雅黑"/>
                                <w:spacing w:val="-10"/>
                                <w:w w:val="85"/>
                              </w:rPr>
                              <w:t>6</w:t>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59.85pt;margin-top:248.05pt;height:14.15pt;width:6.8pt;mso-position-horizontal-relative:page;mso-position-vertical-relative:page;z-index:251673600;mso-width-relative:page;mso-height-relative:page;" filled="f" stroked="f" coordsize="21600,21600" o:allowincell="f" o:gfxdata="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RKu7aAAAACwEAAA8AAAAAAAAAAQAgAAAAIgAAAGRy&#10;cy9kb3ducmV2LnhtbFBLAQIUABQAAAAIAIdO4kCn3yPIAwIAAAwEAAAOAAAAAAAAAAEAIAAAACkB&#10;AABkcnMvZTJvRG9jLnhtbFBLBQYAAAAABgAGAFkBAACeBQAAAAA=&#10;">
                <v:fill on="f" focussize="0,0"/>
                <v:stroke on="f"/>
                <v:imagedata o:title=""/>
                <o:lock v:ext="edit" aspectratio="f"/>
                <v:textbox inset="0mm,0mm,0mm,0mm">
                  <w:txbxContent>
                    <w:p>
                      <w:pPr>
                        <w:spacing w:before="19" w:line="162" w:lineRule="auto"/>
                        <w:ind w:left="20"/>
                        <w:rPr>
                          <w:rFonts w:hint="eastAsia" w:ascii="微软雅黑" w:hAnsi="微软雅黑" w:eastAsia="微软雅黑" w:cs="微软雅黑"/>
                        </w:rPr>
                      </w:pPr>
                      <w:r>
                        <w:rPr>
                          <w:rFonts w:ascii="微软雅黑" w:hAnsi="微软雅黑" w:eastAsia="微软雅黑" w:cs="微软雅黑"/>
                          <w:spacing w:val="-10"/>
                          <w:w w:val="85"/>
                        </w:rPr>
                        <w:t>6</w:t>
                      </w:r>
                    </w:p>
                  </w:txbxContent>
                </v:textbox>
              </v:shape>
            </w:pict>
          </mc:Fallback>
        </mc:AlternateContent>
      </w:r>
    </w:p>
    <w:tbl>
      <w:tblPr>
        <w:tblStyle w:val="11"/>
        <w:tblpPr w:leftFromText="180" w:rightFromText="180" w:vertAnchor="text" w:horzAnchor="page" w:tblpX="822" w:tblpY="122"/>
        <w:tblOverlap w:val="never"/>
        <w:tblW w:w="10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6111"/>
        <w:gridCol w:w="151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835" w:type="dxa"/>
          </w:tcPr>
          <w:p>
            <w:pPr>
              <w:rPr>
                <w:color w:val="auto"/>
              </w:rPr>
            </w:pPr>
          </w:p>
        </w:tc>
        <w:tc>
          <w:tcPr>
            <w:tcW w:w="6111" w:type="dxa"/>
          </w:tcPr>
          <w:p>
            <w:pPr>
              <w:rPr>
                <w:rFonts w:hint="eastAsia" w:ascii="微软雅黑" w:hAnsi="微软雅黑" w:eastAsia="微软雅黑" w:cs="微软雅黑"/>
                <w:color w:val="auto"/>
              </w:rPr>
            </w:pPr>
          </w:p>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评审步骤</w:t>
            </w:r>
          </w:p>
        </w:tc>
        <w:tc>
          <w:tcPr>
            <w:tcW w:w="1512"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是否报价评审</w:t>
            </w:r>
          </w:p>
        </w:tc>
        <w:tc>
          <w:tcPr>
            <w:tcW w:w="1726"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35" w:type="dxa"/>
          </w:tcPr>
          <w:p>
            <w:pPr>
              <w:rPr>
                <w:color w:val="auto"/>
              </w:rPr>
            </w:pPr>
          </w:p>
        </w:tc>
        <w:tc>
          <w:tcPr>
            <w:tcW w:w="6111" w:type="dxa"/>
          </w:tcPr>
          <w:p>
            <w:pPr>
              <w:rPr>
                <w:rFonts w:hint="eastAsia" w:ascii="微软雅黑" w:hAnsi="微软雅黑" w:eastAsia="微软雅黑" w:cs="微软雅黑"/>
                <w:color w:val="auto"/>
              </w:rPr>
            </w:pPr>
          </w:p>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资格性审查</w:t>
            </w:r>
          </w:p>
        </w:tc>
        <w:tc>
          <w:tcPr>
            <w:tcW w:w="1512"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否</w:t>
            </w:r>
          </w:p>
        </w:tc>
        <w:tc>
          <w:tcPr>
            <w:tcW w:w="1726"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835" w:type="dxa"/>
          </w:tcPr>
          <w:p>
            <w:pPr>
              <w:rPr>
                <w:color w:val="auto"/>
              </w:rPr>
            </w:pPr>
          </w:p>
        </w:tc>
        <w:tc>
          <w:tcPr>
            <w:tcW w:w="6111" w:type="dxa"/>
          </w:tcPr>
          <w:p>
            <w:pPr>
              <w:rPr>
                <w:rFonts w:hint="eastAsia" w:ascii="微软雅黑" w:hAnsi="微软雅黑" w:eastAsia="微软雅黑" w:cs="微软雅黑"/>
                <w:color w:val="auto"/>
              </w:rPr>
            </w:pPr>
          </w:p>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符合性审查</w:t>
            </w:r>
          </w:p>
        </w:tc>
        <w:tc>
          <w:tcPr>
            <w:tcW w:w="1512"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否</w:t>
            </w:r>
          </w:p>
        </w:tc>
        <w:tc>
          <w:tcPr>
            <w:tcW w:w="1726"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835" w:type="dxa"/>
          </w:tcPr>
          <w:p>
            <w:pPr>
              <w:rPr>
                <w:color w:val="auto"/>
              </w:rPr>
            </w:pPr>
          </w:p>
        </w:tc>
        <w:tc>
          <w:tcPr>
            <w:tcW w:w="6111" w:type="dxa"/>
          </w:tcPr>
          <w:p>
            <w:pPr>
              <w:rPr>
                <w:rFonts w:hint="eastAsia" w:ascii="微软雅黑" w:hAnsi="微软雅黑" w:eastAsia="微软雅黑" w:cs="微软雅黑"/>
                <w:color w:val="auto"/>
              </w:rPr>
            </w:pPr>
          </w:p>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商务分</w:t>
            </w:r>
          </w:p>
        </w:tc>
        <w:tc>
          <w:tcPr>
            <w:tcW w:w="1512"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否</w:t>
            </w:r>
          </w:p>
        </w:tc>
        <w:tc>
          <w:tcPr>
            <w:tcW w:w="1726"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35" w:type="dxa"/>
          </w:tcPr>
          <w:p>
            <w:pPr>
              <w:rPr>
                <w:color w:val="auto"/>
              </w:rPr>
            </w:pPr>
          </w:p>
          <w:p>
            <w:pPr>
              <w:pStyle w:val="4"/>
            </w:pPr>
          </w:p>
        </w:tc>
        <w:tc>
          <w:tcPr>
            <w:tcW w:w="6111" w:type="dxa"/>
          </w:tcPr>
          <w:p>
            <w:pPr>
              <w:rPr>
                <w:rFonts w:hint="eastAsia" w:ascii="微软雅黑" w:hAnsi="微软雅黑" w:eastAsia="微软雅黑" w:cs="微软雅黑"/>
                <w:color w:val="auto"/>
              </w:rPr>
            </w:pPr>
          </w:p>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技术分</w:t>
            </w:r>
          </w:p>
        </w:tc>
        <w:tc>
          <w:tcPr>
            <w:tcW w:w="1512"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否</w:t>
            </w:r>
          </w:p>
        </w:tc>
        <w:tc>
          <w:tcPr>
            <w:tcW w:w="1726"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35" w:type="dxa"/>
          </w:tcPr>
          <w:p>
            <w:pPr>
              <w:rPr>
                <w:color w:val="auto"/>
              </w:rPr>
            </w:pPr>
          </w:p>
        </w:tc>
        <w:tc>
          <w:tcPr>
            <w:tcW w:w="6111" w:type="dxa"/>
          </w:tcPr>
          <w:p>
            <w:pPr>
              <w:rPr>
                <w:rFonts w:hint="eastAsia" w:ascii="微软雅黑" w:hAnsi="微软雅黑" w:eastAsia="微软雅黑" w:cs="微软雅黑"/>
                <w:color w:val="auto"/>
              </w:rPr>
            </w:pPr>
          </w:p>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政策性加分评审</w:t>
            </w:r>
          </w:p>
        </w:tc>
        <w:tc>
          <w:tcPr>
            <w:tcW w:w="1512"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否</w:t>
            </w:r>
          </w:p>
        </w:tc>
        <w:tc>
          <w:tcPr>
            <w:tcW w:w="1726"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835" w:type="dxa"/>
          </w:tcPr>
          <w:p>
            <w:pPr>
              <w:rPr>
                <w:color w:val="auto"/>
              </w:rPr>
            </w:pPr>
          </w:p>
        </w:tc>
        <w:tc>
          <w:tcPr>
            <w:tcW w:w="6111"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报价分</w:t>
            </w:r>
          </w:p>
        </w:tc>
        <w:tc>
          <w:tcPr>
            <w:tcW w:w="1512"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是</w:t>
            </w:r>
          </w:p>
        </w:tc>
        <w:tc>
          <w:tcPr>
            <w:tcW w:w="1726"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10</w:t>
            </w:r>
          </w:p>
        </w:tc>
      </w:tr>
    </w:tbl>
    <w:p>
      <w:pPr>
        <w:spacing w:line="123" w:lineRule="exact"/>
        <w:rPr>
          <w:color w:val="auto"/>
        </w:rPr>
      </w:pPr>
    </w:p>
    <w:p>
      <w:pPr>
        <w:spacing w:before="209" w:line="185" w:lineRule="auto"/>
        <w:ind w:left="4"/>
        <w:rPr>
          <w:rFonts w:hint="eastAsia" w:ascii="微软雅黑" w:hAnsi="微软雅黑" w:eastAsia="微软雅黑" w:cs="微软雅黑"/>
          <w:color w:val="auto"/>
        </w:rPr>
      </w:pPr>
      <w:r>
        <w:rPr>
          <w:rFonts w:ascii="微软雅黑" w:hAnsi="微软雅黑" w:eastAsia="微软雅黑" w:cs="微软雅黑"/>
          <w:color w:val="auto"/>
          <w:spacing w:val="6"/>
        </w:rPr>
        <w:t>前附</w:t>
      </w:r>
      <w:r>
        <w:rPr>
          <w:rFonts w:ascii="微软雅黑" w:hAnsi="微软雅黑" w:eastAsia="微软雅黑" w:cs="微软雅黑"/>
          <w:color w:val="auto"/>
          <w:spacing w:val="5"/>
        </w:rPr>
        <w:t>表</w:t>
      </w:r>
    </w:p>
    <w:p>
      <w:pPr>
        <w:spacing w:line="275" w:lineRule="auto"/>
        <w:rPr>
          <w:color w:val="auto"/>
        </w:rPr>
      </w:pPr>
    </w:p>
    <w:p>
      <w:pPr>
        <w:spacing w:before="90" w:line="660" w:lineRule="exact"/>
        <w:ind w:left="9"/>
        <w:rPr>
          <w:rFonts w:hint="eastAsia" w:ascii="微软雅黑" w:hAnsi="微软雅黑" w:eastAsia="微软雅黑" w:cs="微软雅黑"/>
          <w:color w:val="auto"/>
        </w:rPr>
      </w:pPr>
      <w:r>
        <w:rPr>
          <w:rFonts w:ascii="微软雅黑" w:hAnsi="微软雅黑" w:eastAsia="微软雅黑" w:cs="微软雅黑"/>
          <w:color w:val="auto"/>
          <w:spacing w:val="9"/>
          <w:position w:val="35"/>
        </w:rPr>
        <w:t>资</w:t>
      </w:r>
      <w:r>
        <w:rPr>
          <w:rFonts w:ascii="微软雅黑" w:hAnsi="微软雅黑" w:eastAsia="微软雅黑" w:cs="微软雅黑"/>
          <w:color w:val="auto"/>
          <w:spacing w:val="8"/>
          <w:position w:val="35"/>
        </w:rPr>
        <w:t>格性审查</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3038"/>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序号</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评审因素</w:t>
            </w:r>
          </w:p>
        </w:tc>
        <w:tc>
          <w:tcPr>
            <w:tcW w:w="629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1</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1"/>
              </w:rPr>
              <w:t>具有独立承担民事责任的能力</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rPr>
              <w:t>提供法人或其他组织的营业执照等证明文件 ，或自然人身份证明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2</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1"/>
              </w:rPr>
              <w:t>具有良好的商</w:t>
            </w:r>
            <w:r>
              <w:rPr>
                <w:rFonts w:hint="eastAsia" w:ascii="微软雅黑" w:hAnsi="微软雅黑" w:eastAsia="微软雅黑" w:cs="微软雅黑"/>
                <w:color w:val="auto"/>
              </w:rPr>
              <w:t>业信誉和健全的财务会计制度</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spacing w:val="-4"/>
              </w:rPr>
              <w:t>供应商是法人的，应提供2024年度度经审计的财务报告，包括“三表一注，资产负债表、利润表、现金流量表及其附注”，或银行出具的2025年度资信证明。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3</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2"/>
              </w:rPr>
              <w:t>具有履行合同所必需的设备和专业技术能力</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spacing w:val="-1"/>
              </w:rPr>
              <w:t>提供</w:t>
            </w:r>
            <w:r>
              <w:rPr>
                <w:rFonts w:hint="eastAsia" w:ascii="微软雅黑" w:hAnsi="微软雅黑" w:eastAsia="微软雅黑" w:cs="微软雅黑"/>
                <w:color w:val="auto"/>
              </w:rPr>
              <w:t>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4</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2"/>
              </w:rPr>
              <w:t>具有依法缴纳税收和社会保障资金的良好记录</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rPr>
              <w:t>如提供依法缴纳税收和社会保障资金的有效证明材料 ，并明确时间年度要求提供2025年1月至今任意三个月依法缴纳税收和社会保障资金的有效证明材料 ，如依法可以免缴纳税收和社保的供应商须提供相关的证明材料 (复印件加盖供应商公章）；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5</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1"/>
              </w:rPr>
              <w:t>参加本次政府采购活动前三年</w:t>
            </w:r>
            <w:r>
              <w:rPr>
                <w:rFonts w:hint="eastAsia" w:ascii="微软雅黑" w:hAnsi="微软雅黑" w:eastAsia="微软雅黑" w:cs="微软雅黑"/>
                <w:color w:val="auto"/>
              </w:rPr>
              <w:t>内 ，在经营活动中没有违法违规记录</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spacing w:val="-1"/>
              </w:rPr>
              <w:t>参加本次政府采购活动前三年</w:t>
            </w:r>
            <w:r>
              <w:rPr>
                <w:rFonts w:hint="eastAsia" w:ascii="微软雅黑" w:hAnsi="微软雅黑" w:eastAsia="微软雅黑" w:cs="微软雅黑"/>
                <w:color w:val="auto"/>
              </w:rPr>
              <w:t>内 ，在经营活动中没有违法违规记录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6</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4"/>
              </w:rPr>
              <w:t>法律、行</w:t>
            </w:r>
            <w:r>
              <w:rPr>
                <w:rFonts w:hint="eastAsia" w:ascii="微软雅黑" w:hAnsi="微软雅黑" w:eastAsia="微软雅黑" w:cs="微软雅黑"/>
                <w:color w:val="auto"/>
                <w:spacing w:val="3"/>
              </w:rPr>
              <w:t>政</w:t>
            </w:r>
            <w:r>
              <w:rPr>
                <w:rFonts w:hint="eastAsia" w:ascii="微软雅黑" w:hAnsi="微软雅黑" w:eastAsia="微软雅黑" w:cs="微软雅黑"/>
                <w:color w:val="auto"/>
                <w:spacing w:val="2"/>
              </w:rPr>
              <w:t>法规规定的其他条件</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rPr>
              <w:t>a.供应商须承诺：在“信用中国”网站 (www.creditchina.gov.cn) 、中国政府采购网 (www.ccgp.gov.cn)  等 渠道查询中未被列入失信被执行人名单、重大税收违法案件当事人名单、政府采购严重违法失信行为记录名单  中 ，如被列入失信被执行人、重大税收违法案件当事人名单、政府采购严重违法失信行为记录名单中的供应商  取消其投标资格 ，并承担由此造成的一切法律责任及后果。</w:t>
            </w:r>
          </w:p>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rPr>
              <w:t>b.根据《省发展改革委省法院省公共资源交易中心关于推进全省公共资源交易领域对法院失信被执行人实施信 用联合惩戒的通知》黔发改财金 (2020) 421号文件要求 ，采购人或代理机构在递交投标文件截止时间后现场根据贵州信用联合惩戒平台反馈信息 ，查询供应商是否属于法院失信被执行人 ，如被列入取消其投标资格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7</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1"/>
              </w:rPr>
              <w:t>本项目所需特殊行业资</w:t>
            </w:r>
            <w:r>
              <w:rPr>
                <w:rFonts w:hint="eastAsia" w:ascii="微软雅黑" w:hAnsi="微软雅黑" w:eastAsia="微软雅黑" w:cs="微软雅黑"/>
                <w:color w:val="auto"/>
              </w:rPr>
              <w:t>质</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rPr>
              <w:t xml:space="preserve"> （1）供应商资格要求：须具有独立法人资格，须具有建设行政主管部门颁发的工程勘察（岩土工程）乙级（含）以上资质；（2）工程勘察负责人需具有国家注册岩土工程师执业资格。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8</w:t>
            </w:r>
          </w:p>
        </w:tc>
        <w:tc>
          <w:tcPr>
            <w:tcW w:w="3038" w:type="dxa"/>
            <w:vAlign w:val="center"/>
          </w:tcPr>
          <w:p>
            <w:pPr>
              <w:widowControl w:val="0"/>
              <w:spacing w:line="287" w:lineRule="auto"/>
              <w:jc w:val="center"/>
              <w:rPr>
                <w:rFonts w:hint="eastAsia" w:ascii="微软雅黑" w:hAnsi="微软雅黑" w:eastAsia="微软雅黑" w:cs="微软雅黑"/>
                <w:color w:val="auto"/>
                <w:spacing w:val="-1"/>
              </w:rPr>
            </w:pPr>
            <w:r>
              <w:rPr>
                <w:rFonts w:hint="eastAsia" w:ascii="微软雅黑" w:hAnsi="微软雅黑" w:eastAsia="微软雅黑" w:cs="微软雅黑"/>
                <w:color w:val="auto"/>
                <w:spacing w:val="-1"/>
              </w:rPr>
              <w:t>其他资格</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rPr>
              <w:t>招标文件规定的其他资格要求</w:t>
            </w:r>
          </w:p>
        </w:tc>
      </w:tr>
    </w:tbl>
    <w:p>
      <w:pPr>
        <w:spacing w:line="287" w:lineRule="auto"/>
        <w:rPr>
          <w:rFonts w:hint="eastAsia" w:ascii="微软雅黑" w:hAnsi="微软雅黑" w:eastAsia="微软雅黑" w:cs="微软雅黑"/>
          <w:color w:val="auto"/>
        </w:rPr>
      </w:pPr>
    </w:p>
    <w:p>
      <w:pPr>
        <w:spacing w:before="90" w:line="185" w:lineRule="auto"/>
        <w:ind w:left="2"/>
        <w:rPr>
          <w:rFonts w:hint="eastAsia" w:ascii="微软雅黑" w:hAnsi="微软雅黑" w:eastAsia="微软雅黑" w:cs="微软雅黑"/>
          <w:color w:val="auto"/>
        </w:rPr>
      </w:pPr>
      <w:r>
        <w:rPr>
          <w:rFonts w:ascii="微软雅黑" w:hAnsi="微软雅黑" w:eastAsia="微软雅黑" w:cs="微软雅黑"/>
          <w:color w:val="auto"/>
          <w:spacing w:val="10"/>
        </w:rPr>
        <w:t>符合性审</w:t>
      </w:r>
      <w:r>
        <w:rPr>
          <w:rFonts w:ascii="微软雅黑" w:hAnsi="微软雅黑" w:eastAsia="微软雅黑" w:cs="微软雅黑"/>
          <w:color w:val="auto"/>
          <w:spacing w:val="9"/>
        </w:rPr>
        <w:t>查</w:t>
      </w:r>
    </w:p>
    <w:p>
      <w:pPr>
        <w:spacing w:line="157" w:lineRule="exact"/>
        <w:rPr>
          <w:color w:val="auto"/>
        </w:rPr>
      </w:pPr>
    </w:p>
    <w:tbl>
      <w:tblPr>
        <w:tblStyle w:val="11"/>
        <w:tblW w:w="10184"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835"/>
        <w:gridCol w:w="3055"/>
        <w:gridCol w:w="6294"/>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61" w:hRule="atLeast"/>
        </w:trPr>
        <w:tc>
          <w:tcPr>
            <w:tcW w:w="835" w:type="dxa"/>
            <w:tcBorders>
              <w:top w:val="single" w:color="auto" w:sz="4" w:space="0"/>
              <w:left w:val="single" w:color="auto" w:sz="4" w:space="0"/>
              <w:bottom w:val="single" w:color="auto" w:sz="4" w:space="0"/>
              <w:right w:val="single" w:color="auto" w:sz="4" w:space="0"/>
            </w:tcBorders>
          </w:tcPr>
          <w:p>
            <w:pPr>
              <w:spacing w:before="219" w:line="185" w:lineRule="auto"/>
              <w:ind w:left="202"/>
              <w:rPr>
                <w:rFonts w:hint="eastAsia" w:ascii="微软雅黑" w:hAnsi="微软雅黑" w:eastAsia="微软雅黑" w:cs="微软雅黑"/>
                <w:color w:val="auto"/>
              </w:rPr>
            </w:pPr>
            <w:r>
              <w:rPr>
                <w:rFonts w:ascii="微软雅黑" w:hAnsi="微软雅黑" w:eastAsia="微软雅黑" w:cs="微软雅黑"/>
                <w:color w:val="auto"/>
                <w:spacing w:val="-5"/>
              </w:rPr>
              <w:t>序</w:t>
            </w:r>
            <w:r>
              <w:rPr>
                <w:rFonts w:ascii="微软雅黑" w:hAnsi="微软雅黑" w:eastAsia="微软雅黑" w:cs="微软雅黑"/>
                <w:color w:val="auto"/>
                <w:spacing w:val="-4"/>
              </w:rPr>
              <w:t>号</w:t>
            </w:r>
          </w:p>
        </w:tc>
        <w:tc>
          <w:tcPr>
            <w:tcW w:w="3055" w:type="dxa"/>
            <w:tcBorders>
              <w:top w:val="single" w:color="auto" w:sz="4" w:space="0"/>
              <w:left w:val="single" w:color="auto" w:sz="4" w:space="0"/>
              <w:bottom w:val="single" w:color="auto" w:sz="4" w:space="0"/>
              <w:right w:val="single" w:color="auto" w:sz="4" w:space="0"/>
            </w:tcBorders>
          </w:tcPr>
          <w:p>
            <w:pPr>
              <w:spacing w:before="219" w:line="186" w:lineRule="auto"/>
              <w:ind w:left="1097"/>
              <w:rPr>
                <w:rFonts w:hint="eastAsia" w:ascii="微软雅黑" w:hAnsi="微软雅黑" w:eastAsia="微软雅黑" w:cs="微软雅黑"/>
                <w:color w:val="auto"/>
              </w:rPr>
            </w:pPr>
            <w:r>
              <w:rPr>
                <w:rFonts w:ascii="微软雅黑" w:hAnsi="微软雅黑" w:eastAsia="微软雅黑" w:cs="微软雅黑"/>
                <w:color w:val="auto"/>
                <w:spacing w:val="-3"/>
              </w:rPr>
              <w:t>评</w:t>
            </w:r>
            <w:r>
              <w:rPr>
                <w:rFonts w:ascii="微软雅黑" w:hAnsi="微软雅黑" w:eastAsia="微软雅黑" w:cs="微软雅黑"/>
                <w:color w:val="auto"/>
                <w:spacing w:val="-2"/>
              </w:rPr>
              <w:t>审因素</w:t>
            </w:r>
          </w:p>
        </w:tc>
        <w:tc>
          <w:tcPr>
            <w:tcW w:w="6294" w:type="dxa"/>
            <w:tcBorders>
              <w:top w:val="single" w:color="auto" w:sz="4" w:space="0"/>
              <w:left w:val="single" w:color="auto" w:sz="4" w:space="0"/>
              <w:bottom w:val="single" w:color="auto" w:sz="4" w:space="0"/>
              <w:right w:val="single" w:color="auto" w:sz="4" w:space="0"/>
            </w:tcBorders>
          </w:tcPr>
          <w:p>
            <w:pPr>
              <w:spacing w:before="219" w:line="186" w:lineRule="auto"/>
              <w:ind w:left="2722"/>
              <w:rPr>
                <w:rFonts w:hint="eastAsia" w:ascii="微软雅黑" w:hAnsi="微软雅黑" w:eastAsia="微软雅黑" w:cs="微软雅黑"/>
                <w:color w:val="auto"/>
              </w:rPr>
            </w:pPr>
            <w:r>
              <w:rPr>
                <w:rFonts w:ascii="微软雅黑" w:hAnsi="微软雅黑" w:eastAsia="微软雅黑" w:cs="微软雅黑"/>
                <w:color w:val="auto"/>
                <w:spacing w:val="-3"/>
              </w:rPr>
              <w:t>评</w:t>
            </w:r>
            <w:r>
              <w:rPr>
                <w:rFonts w:ascii="微软雅黑" w:hAnsi="微软雅黑" w:eastAsia="微软雅黑" w:cs="微软雅黑"/>
                <w:color w:val="auto"/>
                <w:spacing w:val="-2"/>
              </w:rPr>
              <w:t>审标准</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54" w:hRule="atLeast"/>
        </w:trPr>
        <w:tc>
          <w:tcPr>
            <w:tcW w:w="835" w:type="dxa"/>
            <w:tcBorders>
              <w:top w:val="single" w:color="auto" w:sz="4" w:space="0"/>
              <w:left w:val="single" w:color="auto" w:sz="4" w:space="0"/>
              <w:bottom w:val="single" w:color="auto" w:sz="4" w:space="0"/>
              <w:right w:val="single" w:color="auto" w:sz="4" w:space="0"/>
            </w:tcBorders>
          </w:tcPr>
          <w:p>
            <w:pPr>
              <w:spacing w:before="244" w:line="164" w:lineRule="auto"/>
              <w:ind w:left="376"/>
              <w:rPr>
                <w:rFonts w:hint="eastAsia" w:ascii="微软雅黑" w:hAnsi="微软雅黑" w:eastAsia="微软雅黑" w:cs="微软雅黑"/>
                <w:color w:val="auto"/>
              </w:rPr>
            </w:pPr>
            <w:r>
              <w:rPr>
                <w:rFonts w:ascii="微软雅黑" w:hAnsi="微软雅黑" w:eastAsia="微软雅黑" w:cs="微软雅黑"/>
                <w:color w:val="auto"/>
              </w:rPr>
              <w:t>1</w:t>
            </w:r>
          </w:p>
        </w:tc>
        <w:tc>
          <w:tcPr>
            <w:tcW w:w="3055" w:type="dxa"/>
            <w:tcBorders>
              <w:top w:val="single" w:color="auto" w:sz="4" w:space="0"/>
              <w:left w:val="single" w:color="auto" w:sz="4" w:space="0"/>
              <w:bottom w:val="single" w:color="auto" w:sz="4" w:space="0"/>
              <w:right w:val="single" w:color="auto" w:sz="4" w:space="0"/>
            </w:tcBorders>
          </w:tcPr>
          <w:p>
            <w:pPr>
              <w:spacing w:before="214" w:line="184" w:lineRule="auto"/>
              <w:ind w:left="787"/>
              <w:rPr>
                <w:rFonts w:hint="eastAsia" w:ascii="微软雅黑" w:hAnsi="微软雅黑" w:eastAsia="微软雅黑" w:cs="微软雅黑"/>
                <w:color w:val="auto"/>
              </w:rPr>
            </w:pPr>
            <w:r>
              <w:rPr>
                <w:rFonts w:ascii="微软雅黑" w:hAnsi="微软雅黑" w:eastAsia="微软雅黑" w:cs="微软雅黑"/>
                <w:color w:val="auto"/>
                <w:spacing w:val="-2"/>
              </w:rPr>
              <w:t>商务性符合审查</w:t>
            </w:r>
          </w:p>
        </w:tc>
        <w:tc>
          <w:tcPr>
            <w:tcW w:w="6294" w:type="dxa"/>
            <w:tcBorders>
              <w:top w:val="single" w:color="auto" w:sz="4" w:space="0"/>
              <w:left w:val="single" w:color="auto" w:sz="4" w:space="0"/>
              <w:bottom w:val="single" w:color="auto" w:sz="4" w:space="0"/>
              <w:right w:val="single" w:color="auto" w:sz="4" w:space="0"/>
            </w:tcBorders>
          </w:tcPr>
          <w:p>
            <w:pPr>
              <w:spacing w:before="214" w:line="184" w:lineRule="auto"/>
              <w:ind w:left="32"/>
              <w:rPr>
                <w:rFonts w:hint="eastAsia" w:ascii="微软雅黑" w:hAnsi="微软雅黑" w:eastAsia="微软雅黑" w:cs="微软雅黑"/>
                <w:color w:val="auto"/>
              </w:rPr>
            </w:pPr>
            <w:r>
              <w:rPr>
                <w:rFonts w:ascii="微软雅黑" w:hAnsi="微软雅黑" w:eastAsia="微软雅黑" w:cs="微软雅黑"/>
                <w:color w:val="auto"/>
                <w:spacing w:val="-1"/>
              </w:rPr>
              <w:t>符合第</w:t>
            </w:r>
            <w:r>
              <w:rPr>
                <w:rFonts w:hint="eastAsia" w:ascii="微软雅黑" w:hAnsi="微软雅黑" w:eastAsia="微软雅黑" w:cs="微软雅黑"/>
                <w:color w:val="auto"/>
                <w:spacing w:val="-1"/>
              </w:rPr>
              <w:t>五</w:t>
            </w:r>
            <w:r>
              <w:rPr>
                <w:rFonts w:ascii="微软雅黑" w:hAnsi="微软雅黑" w:eastAsia="微软雅黑" w:cs="微软雅黑"/>
                <w:color w:val="auto"/>
                <w:spacing w:val="-1"/>
              </w:rPr>
              <w:t>章第二节的商务</w:t>
            </w:r>
            <w:r>
              <w:rPr>
                <w:rFonts w:ascii="微软雅黑" w:hAnsi="微软雅黑" w:eastAsia="微软雅黑" w:cs="微软雅黑"/>
                <w:color w:val="auto"/>
              </w:rPr>
              <w:t>要求</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57" w:hRule="atLeast"/>
        </w:trPr>
        <w:tc>
          <w:tcPr>
            <w:tcW w:w="835" w:type="dxa"/>
            <w:tcBorders>
              <w:top w:val="single" w:color="auto" w:sz="4" w:space="0"/>
              <w:left w:val="single" w:color="auto" w:sz="4" w:space="0"/>
              <w:bottom w:val="single" w:color="auto" w:sz="4" w:space="0"/>
              <w:right w:val="single" w:color="auto" w:sz="4" w:space="0"/>
            </w:tcBorders>
          </w:tcPr>
          <w:p>
            <w:pPr>
              <w:spacing w:before="246" w:line="163" w:lineRule="auto"/>
              <w:ind w:left="363"/>
              <w:rPr>
                <w:rFonts w:hint="eastAsia" w:ascii="微软雅黑" w:hAnsi="微软雅黑" w:eastAsia="微软雅黑" w:cs="微软雅黑"/>
                <w:color w:val="auto"/>
              </w:rPr>
            </w:pPr>
            <w:r>
              <w:rPr>
                <w:rFonts w:ascii="微软雅黑" w:hAnsi="微软雅黑" w:eastAsia="微软雅黑" w:cs="微软雅黑"/>
                <w:color w:val="auto"/>
              </w:rPr>
              <w:t>2</w:t>
            </w:r>
          </w:p>
        </w:tc>
        <w:tc>
          <w:tcPr>
            <w:tcW w:w="3055" w:type="dxa"/>
            <w:tcBorders>
              <w:top w:val="single" w:color="auto" w:sz="4" w:space="0"/>
              <w:left w:val="single" w:color="auto" w:sz="4" w:space="0"/>
              <w:bottom w:val="single" w:color="auto" w:sz="4" w:space="0"/>
              <w:right w:val="single" w:color="auto" w:sz="4" w:space="0"/>
            </w:tcBorders>
          </w:tcPr>
          <w:p>
            <w:pPr>
              <w:spacing w:before="213" w:line="185" w:lineRule="auto"/>
              <w:ind w:left="1096"/>
              <w:rPr>
                <w:rFonts w:hint="eastAsia" w:ascii="微软雅黑" w:hAnsi="微软雅黑" w:eastAsia="微软雅黑" w:cs="微软雅黑"/>
                <w:color w:val="auto"/>
              </w:rPr>
            </w:pPr>
            <w:r>
              <w:rPr>
                <w:rFonts w:ascii="微软雅黑" w:hAnsi="微软雅黑" w:eastAsia="微软雅黑" w:cs="微软雅黑"/>
                <w:color w:val="auto"/>
                <w:spacing w:val="-2"/>
              </w:rPr>
              <w:t>报价审查</w:t>
            </w:r>
          </w:p>
        </w:tc>
        <w:tc>
          <w:tcPr>
            <w:tcW w:w="6294" w:type="dxa"/>
            <w:tcBorders>
              <w:top w:val="single" w:color="auto" w:sz="4" w:space="0"/>
              <w:left w:val="single" w:color="auto" w:sz="4" w:space="0"/>
              <w:bottom w:val="single" w:color="auto" w:sz="4" w:space="0"/>
              <w:right w:val="single" w:color="auto" w:sz="4" w:space="0"/>
            </w:tcBorders>
          </w:tcPr>
          <w:p>
            <w:pPr>
              <w:spacing w:before="213" w:line="185" w:lineRule="auto"/>
              <w:ind w:left="33"/>
              <w:rPr>
                <w:rFonts w:hint="eastAsia" w:ascii="微软雅黑" w:hAnsi="微软雅黑" w:eastAsia="微软雅黑" w:cs="微软雅黑"/>
                <w:color w:val="auto"/>
              </w:rPr>
            </w:pPr>
            <w:r>
              <w:rPr>
                <w:rFonts w:ascii="微软雅黑" w:hAnsi="微软雅黑" w:eastAsia="微软雅黑" w:cs="微软雅黑"/>
                <w:color w:val="auto"/>
                <w:spacing w:val="-1"/>
              </w:rPr>
              <w:t>异常低价审查、没有超出投</w:t>
            </w:r>
            <w:r>
              <w:rPr>
                <w:rFonts w:ascii="微软雅黑" w:hAnsi="微软雅黑" w:eastAsia="微软雅黑" w:cs="微软雅黑"/>
                <w:color w:val="auto"/>
              </w:rPr>
              <w:t>标限价</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58" w:hRule="atLeast"/>
        </w:trPr>
        <w:tc>
          <w:tcPr>
            <w:tcW w:w="835" w:type="dxa"/>
            <w:tcBorders>
              <w:top w:val="single" w:color="auto" w:sz="4" w:space="0"/>
              <w:left w:val="single" w:color="auto" w:sz="4" w:space="0"/>
              <w:bottom w:val="single" w:color="auto" w:sz="4" w:space="0"/>
              <w:right w:val="single" w:color="auto" w:sz="4" w:space="0"/>
            </w:tcBorders>
          </w:tcPr>
          <w:p>
            <w:pPr>
              <w:spacing w:before="243" w:line="162" w:lineRule="auto"/>
              <w:ind w:left="364"/>
              <w:rPr>
                <w:rFonts w:hint="eastAsia" w:ascii="微软雅黑" w:hAnsi="微软雅黑" w:eastAsia="微软雅黑" w:cs="微软雅黑"/>
                <w:color w:val="auto"/>
              </w:rPr>
            </w:pPr>
            <w:r>
              <w:rPr>
                <w:rFonts w:ascii="微软雅黑" w:hAnsi="微软雅黑" w:eastAsia="微软雅黑" w:cs="微软雅黑"/>
                <w:color w:val="auto"/>
              </w:rPr>
              <w:t>3</w:t>
            </w:r>
          </w:p>
        </w:tc>
        <w:tc>
          <w:tcPr>
            <w:tcW w:w="3055" w:type="dxa"/>
            <w:tcBorders>
              <w:top w:val="single" w:color="auto" w:sz="4" w:space="0"/>
              <w:left w:val="single" w:color="auto" w:sz="4" w:space="0"/>
              <w:bottom w:val="single" w:color="auto" w:sz="4" w:space="0"/>
              <w:right w:val="single" w:color="auto" w:sz="4" w:space="0"/>
            </w:tcBorders>
          </w:tcPr>
          <w:p>
            <w:pPr>
              <w:spacing w:before="211" w:line="185" w:lineRule="auto"/>
              <w:ind w:left="994"/>
              <w:rPr>
                <w:rFonts w:hint="eastAsia" w:ascii="微软雅黑" w:hAnsi="微软雅黑" w:eastAsia="微软雅黑" w:cs="微软雅黑"/>
                <w:color w:val="auto"/>
              </w:rPr>
            </w:pPr>
            <w:r>
              <w:rPr>
                <w:rFonts w:ascii="微软雅黑" w:hAnsi="微软雅黑" w:eastAsia="微软雅黑" w:cs="微软雅黑"/>
                <w:color w:val="auto"/>
                <w:spacing w:val="-3"/>
              </w:rPr>
              <w:t>无</w:t>
            </w:r>
            <w:r>
              <w:rPr>
                <w:rFonts w:ascii="微软雅黑" w:hAnsi="微软雅黑" w:eastAsia="微软雅黑" w:cs="微软雅黑"/>
                <w:color w:val="auto"/>
                <w:spacing w:val="-2"/>
              </w:rPr>
              <w:t>效标审查</w:t>
            </w:r>
          </w:p>
        </w:tc>
        <w:tc>
          <w:tcPr>
            <w:tcW w:w="6294" w:type="dxa"/>
            <w:tcBorders>
              <w:top w:val="single" w:color="auto" w:sz="4" w:space="0"/>
              <w:left w:val="single" w:color="auto" w:sz="4" w:space="0"/>
              <w:bottom w:val="single" w:color="auto" w:sz="4" w:space="0"/>
              <w:right w:val="single" w:color="auto" w:sz="4" w:space="0"/>
            </w:tcBorders>
          </w:tcPr>
          <w:p>
            <w:pPr>
              <w:spacing w:before="212" w:line="184" w:lineRule="auto"/>
              <w:ind w:left="34"/>
              <w:rPr>
                <w:rFonts w:hint="eastAsia" w:ascii="微软雅黑" w:hAnsi="微软雅黑" w:eastAsia="微软雅黑" w:cs="微软雅黑"/>
                <w:color w:val="auto"/>
              </w:rPr>
            </w:pPr>
            <w:r>
              <w:rPr>
                <w:rFonts w:ascii="微软雅黑" w:hAnsi="微软雅黑" w:eastAsia="微软雅黑" w:cs="微软雅黑"/>
                <w:color w:val="auto"/>
                <w:spacing w:val="-9"/>
              </w:rPr>
              <w:t>按</w:t>
            </w:r>
            <w:r>
              <w:rPr>
                <w:rFonts w:ascii="微软雅黑" w:hAnsi="微软雅黑" w:eastAsia="微软雅黑" w:cs="微软雅黑"/>
                <w:color w:val="auto"/>
                <w:spacing w:val="-7"/>
              </w:rPr>
              <w:t>本项目竞争性磋商文件无效标条款规定 ，审查是否通过</w:t>
            </w:r>
          </w:p>
        </w:tc>
      </w:tr>
    </w:tbl>
    <w:p>
      <w:pPr>
        <w:spacing w:before="210" w:line="184" w:lineRule="auto"/>
        <w:ind w:left="4"/>
        <w:rPr>
          <w:rFonts w:hint="eastAsia" w:ascii="微软雅黑" w:hAnsi="微软雅黑" w:eastAsia="微软雅黑" w:cs="微软雅黑"/>
          <w:color w:val="auto"/>
        </w:rPr>
      </w:pPr>
      <w:r>
        <w:rPr>
          <w:rFonts w:ascii="微软雅黑" w:hAnsi="微软雅黑" w:eastAsia="微软雅黑" w:cs="微软雅黑"/>
          <w:color w:val="auto"/>
          <w:spacing w:val="6"/>
        </w:rPr>
        <w:t>商</w:t>
      </w:r>
      <w:r>
        <w:rPr>
          <w:rFonts w:ascii="微软雅黑" w:hAnsi="微软雅黑" w:eastAsia="微软雅黑" w:cs="微软雅黑"/>
          <w:color w:val="auto"/>
          <w:spacing w:val="5"/>
        </w:rPr>
        <w:t>务分</w:t>
      </w:r>
    </w:p>
    <w:p>
      <w:pPr>
        <w:spacing w:line="158" w:lineRule="exact"/>
        <w:rPr>
          <w:color w:val="auto"/>
        </w:rPr>
      </w:pPr>
    </w:p>
    <w:tbl>
      <w:tblPr>
        <w:tblStyle w:val="11"/>
        <w:tblW w:w="10184"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3055"/>
        <w:gridCol w:w="528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835" w:type="dxa"/>
          </w:tcPr>
          <w:p>
            <w:pPr>
              <w:spacing w:before="219" w:line="185" w:lineRule="auto"/>
              <w:ind w:left="202"/>
              <w:rPr>
                <w:rFonts w:hint="eastAsia" w:ascii="微软雅黑" w:hAnsi="微软雅黑" w:eastAsia="微软雅黑" w:cs="微软雅黑"/>
                <w:color w:val="auto"/>
              </w:rPr>
            </w:pPr>
            <w:r>
              <w:rPr>
                <w:rFonts w:ascii="微软雅黑" w:hAnsi="微软雅黑" w:eastAsia="微软雅黑" w:cs="微软雅黑"/>
                <w:color w:val="auto"/>
                <w:spacing w:val="-5"/>
              </w:rPr>
              <w:t>序</w:t>
            </w:r>
            <w:r>
              <w:rPr>
                <w:rFonts w:ascii="微软雅黑" w:hAnsi="微软雅黑" w:eastAsia="微软雅黑" w:cs="微软雅黑"/>
                <w:color w:val="auto"/>
                <w:spacing w:val="-4"/>
              </w:rPr>
              <w:t>号</w:t>
            </w:r>
          </w:p>
        </w:tc>
        <w:tc>
          <w:tcPr>
            <w:tcW w:w="3055" w:type="dxa"/>
          </w:tcPr>
          <w:p>
            <w:pPr>
              <w:spacing w:before="219" w:line="186" w:lineRule="auto"/>
              <w:ind w:left="1097"/>
              <w:rPr>
                <w:rFonts w:hint="eastAsia" w:ascii="微软雅黑" w:hAnsi="微软雅黑" w:eastAsia="微软雅黑" w:cs="微软雅黑"/>
                <w:color w:val="auto"/>
              </w:rPr>
            </w:pPr>
            <w:r>
              <w:rPr>
                <w:rFonts w:ascii="微软雅黑" w:hAnsi="微软雅黑" w:eastAsia="微软雅黑" w:cs="微软雅黑"/>
                <w:color w:val="auto"/>
                <w:spacing w:val="-3"/>
              </w:rPr>
              <w:t>评</w:t>
            </w:r>
            <w:r>
              <w:rPr>
                <w:rFonts w:ascii="微软雅黑" w:hAnsi="微软雅黑" w:eastAsia="微软雅黑" w:cs="微软雅黑"/>
                <w:color w:val="auto"/>
                <w:spacing w:val="-2"/>
              </w:rPr>
              <w:t>审因素</w:t>
            </w:r>
          </w:p>
        </w:tc>
        <w:tc>
          <w:tcPr>
            <w:tcW w:w="5287" w:type="dxa"/>
          </w:tcPr>
          <w:p>
            <w:pPr>
              <w:spacing w:before="219" w:line="186" w:lineRule="auto"/>
              <w:ind w:left="2219"/>
              <w:rPr>
                <w:rFonts w:hint="eastAsia" w:ascii="微软雅黑" w:hAnsi="微软雅黑" w:eastAsia="微软雅黑" w:cs="微软雅黑"/>
                <w:color w:val="auto"/>
              </w:rPr>
            </w:pPr>
            <w:r>
              <w:rPr>
                <w:rFonts w:ascii="微软雅黑" w:hAnsi="微软雅黑" w:eastAsia="微软雅黑" w:cs="微软雅黑"/>
                <w:color w:val="auto"/>
                <w:spacing w:val="-3"/>
              </w:rPr>
              <w:t>评</w:t>
            </w:r>
            <w:r>
              <w:rPr>
                <w:rFonts w:ascii="微软雅黑" w:hAnsi="微软雅黑" w:eastAsia="微软雅黑" w:cs="微软雅黑"/>
                <w:color w:val="auto"/>
                <w:spacing w:val="-2"/>
              </w:rPr>
              <w:t>审标准</w:t>
            </w:r>
          </w:p>
        </w:tc>
        <w:tc>
          <w:tcPr>
            <w:tcW w:w="1007" w:type="dxa"/>
          </w:tcPr>
          <w:p>
            <w:pPr>
              <w:spacing w:before="219" w:line="185" w:lineRule="auto"/>
              <w:ind w:left="298"/>
              <w:rPr>
                <w:rFonts w:hint="eastAsia" w:ascii="微软雅黑" w:hAnsi="微软雅黑" w:eastAsia="微软雅黑" w:cs="微软雅黑"/>
                <w:color w:val="auto"/>
              </w:rPr>
            </w:pPr>
            <w:r>
              <w:rPr>
                <w:rFonts w:ascii="微软雅黑" w:hAnsi="微软雅黑" w:eastAsia="微软雅黑" w:cs="微软雅黑"/>
                <w:color w:val="auto"/>
                <w:spacing w:val="-7"/>
              </w:rPr>
              <w:t>分</w:t>
            </w:r>
            <w:r>
              <w:rPr>
                <w:rFonts w:ascii="微软雅黑" w:hAnsi="微软雅黑" w:eastAsia="微软雅黑" w:cs="微软雅黑"/>
                <w:color w:val="auto"/>
                <w:spacing w:val="-5"/>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835" w:type="dxa"/>
            <w:vAlign w:val="center"/>
          </w:tcPr>
          <w:p>
            <w:pPr>
              <w:spacing w:before="90" w:line="164" w:lineRule="auto"/>
              <w:jc w:val="center"/>
              <w:rPr>
                <w:rFonts w:hint="eastAsia" w:ascii="微软雅黑" w:hAnsi="微软雅黑" w:eastAsia="微软雅黑" w:cs="微软雅黑"/>
                <w:color w:val="auto"/>
              </w:rPr>
            </w:pPr>
            <w:r>
              <w:rPr>
                <w:rFonts w:ascii="微软雅黑" w:hAnsi="微软雅黑" w:eastAsia="微软雅黑" w:cs="微软雅黑"/>
                <w:color w:val="auto"/>
              </w:rPr>
              <w:t>1</w:t>
            </w:r>
          </w:p>
        </w:tc>
        <w:tc>
          <w:tcPr>
            <w:tcW w:w="3055" w:type="dxa"/>
            <w:vAlign w:val="center"/>
          </w:tcPr>
          <w:p>
            <w:pPr>
              <w:spacing w:before="1" w:line="183" w:lineRule="auto"/>
              <w:ind w:left="35"/>
              <w:jc w:val="center"/>
              <w:rPr>
                <w:rFonts w:hint="eastAsia" w:ascii="微软雅黑" w:hAnsi="微软雅黑" w:eastAsia="微软雅黑" w:cs="微软雅黑"/>
                <w:color w:val="auto"/>
              </w:rPr>
            </w:pPr>
            <w:r>
              <w:rPr>
                <w:rFonts w:hint="eastAsia" w:ascii="微软雅黑" w:hAnsi="微软雅黑" w:eastAsia="微软雅黑" w:cs="微软雅黑"/>
                <w:color w:val="auto"/>
              </w:rPr>
              <w:t>类似项目业绩</w:t>
            </w:r>
          </w:p>
        </w:tc>
        <w:tc>
          <w:tcPr>
            <w:tcW w:w="5287" w:type="dxa"/>
            <w:vAlign w:val="center"/>
          </w:tcPr>
          <w:p>
            <w:pPr>
              <w:spacing w:line="380" w:lineRule="exact"/>
              <w:rPr>
                <w:rFonts w:hint="eastAsia" w:ascii="微软雅黑" w:hAnsi="微软雅黑" w:eastAsia="微软雅黑" w:cs="微软雅黑"/>
                <w:color w:val="auto"/>
              </w:rPr>
            </w:pPr>
            <w:r>
              <w:rPr>
                <w:rFonts w:hint="eastAsia" w:eastAsia="宋体"/>
                <w:bCs/>
              </w:rPr>
              <w:t>供应商</w:t>
            </w:r>
            <w:r>
              <w:rPr>
                <w:rFonts w:hint="eastAsia" w:ascii="宋体" w:hAnsi="宋体" w:eastAsia="宋体" w:cs="宋体"/>
                <w:bCs/>
              </w:rPr>
              <w:t>提供</w:t>
            </w:r>
            <w:r>
              <w:rPr>
                <w:rFonts w:hint="eastAsia"/>
                <w:bCs/>
              </w:rPr>
              <w:t>2020</w:t>
            </w:r>
            <w:r>
              <w:rPr>
                <w:rFonts w:hint="eastAsia" w:ascii="宋体" w:hAnsi="宋体" w:eastAsia="宋体" w:cs="宋体"/>
                <w:bCs/>
              </w:rPr>
              <w:t>年</w:t>
            </w:r>
            <w:r>
              <w:rPr>
                <w:rFonts w:hint="eastAsia"/>
                <w:bCs/>
              </w:rPr>
              <w:t>1</w:t>
            </w:r>
            <w:r>
              <w:rPr>
                <w:rFonts w:hint="eastAsia" w:ascii="宋体" w:hAnsi="宋体" w:eastAsia="宋体" w:cs="宋体"/>
                <w:bCs/>
              </w:rPr>
              <w:t>月</w:t>
            </w:r>
            <w:r>
              <w:rPr>
                <w:rFonts w:hint="eastAsia"/>
                <w:bCs/>
              </w:rPr>
              <w:t>1</w:t>
            </w:r>
            <w:r>
              <w:rPr>
                <w:rFonts w:hint="eastAsia" w:ascii="宋体" w:hAnsi="宋体" w:eastAsia="宋体" w:cs="宋体"/>
                <w:bCs/>
              </w:rPr>
              <w:t>日至今（以合同签订日期为准），</w:t>
            </w:r>
            <w:r>
              <w:rPr>
                <w:rFonts w:hint="eastAsia" w:eastAsia="宋体" w:cs="Times New Roman"/>
                <w:bCs/>
              </w:rPr>
              <w:t>房屋建筑类的勘察业绩</w:t>
            </w:r>
            <w:r>
              <w:rPr>
                <w:rFonts w:hint="eastAsia" w:ascii="宋体" w:hAnsi="宋体" w:eastAsia="宋体" w:cs="宋体"/>
                <w:bCs/>
              </w:rPr>
              <w:t>，提供</w:t>
            </w:r>
            <w:r>
              <w:rPr>
                <w:rFonts w:hint="eastAsia"/>
                <w:bCs/>
              </w:rPr>
              <w:t>1</w:t>
            </w:r>
            <w:r>
              <w:rPr>
                <w:rFonts w:hint="eastAsia" w:ascii="宋体" w:hAnsi="宋体" w:eastAsia="宋体" w:cs="宋体"/>
                <w:bCs/>
              </w:rPr>
              <w:t>个得</w:t>
            </w:r>
            <w:r>
              <w:rPr>
                <w:rFonts w:hint="eastAsia" w:eastAsia="宋体"/>
                <w:bCs/>
              </w:rPr>
              <w:t>5</w:t>
            </w:r>
            <w:r>
              <w:rPr>
                <w:rFonts w:hint="eastAsia" w:ascii="宋体" w:hAnsi="宋体" w:eastAsia="宋体" w:cs="宋体"/>
                <w:bCs/>
              </w:rPr>
              <w:t>分，本项满分为</w:t>
            </w:r>
            <w:r>
              <w:rPr>
                <w:rFonts w:hint="eastAsia" w:eastAsia="宋体"/>
                <w:bCs/>
              </w:rPr>
              <w:t>15</w:t>
            </w:r>
            <w:r>
              <w:rPr>
                <w:rFonts w:hint="eastAsia" w:ascii="宋体" w:hAnsi="宋体" w:eastAsia="宋体" w:cs="宋体"/>
                <w:bCs/>
              </w:rPr>
              <w:t>分。（提供项目合同关键信息页作为佐证材料，否则不得分。）</w:t>
            </w:r>
          </w:p>
        </w:tc>
        <w:tc>
          <w:tcPr>
            <w:tcW w:w="1007" w:type="dxa"/>
            <w:vAlign w:val="center"/>
          </w:tcPr>
          <w:p>
            <w:pPr>
              <w:spacing w:before="90" w:line="162"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trPr>
        <w:tc>
          <w:tcPr>
            <w:tcW w:w="835" w:type="dxa"/>
            <w:vAlign w:val="center"/>
          </w:tcPr>
          <w:p>
            <w:pPr>
              <w:spacing w:before="90" w:line="164"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2</w:t>
            </w:r>
          </w:p>
        </w:tc>
        <w:tc>
          <w:tcPr>
            <w:tcW w:w="305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供应商能力</w:t>
            </w:r>
          </w:p>
        </w:tc>
        <w:tc>
          <w:tcPr>
            <w:tcW w:w="5287" w:type="dxa"/>
            <w:vAlign w:val="center"/>
          </w:tcPr>
          <w:p>
            <w:pPr>
              <w:spacing w:line="380" w:lineRule="exact"/>
              <w:rPr>
                <w:rFonts w:hint="eastAsia" w:ascii="微软雅黑" w:hAnsi="微软雅黑" w:eastAsia="微软雅黑" w:cs="微软雅黑"/>
                <w:color w:val="auto"/>
              </w:rPr>
            </w:pPr>
            <w:r>
              <w:rPr>
                <w:rFonts w:hint="eastAsia" w:eastAsia="宋体" w:cs="Times New Roman"/>
                <w:bCs/>
              </w:rPr>
              <w:t>供应商提供有效的质量管理体系认证、环境管理体系认证、职业健康安全管理体系齐全的得6分，缺一项扣2分。</w:t>
            </w:r>
          </w:p>
        </w:tc>
        <w:tc>
          <w:tcPr>
            <w:tcW w:w="1007" w:type="dxa"/>
            <w:vAlign w:val="center"/>
          </w:tcPr>
          <w:p>
            <w:pPr>
              <w:spacing w:before="90" w:line="162"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trPr>
        <w:tc>
          <w:tcPr>
            <w:tcW w:w="835" w:type="dxa"/>
            <w:vAlign w:val="center"/>
          </w:tcPr>
          <w:p>
            <w:pPr>
              <w:spacing w:before="90" w:line="164"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3</w:t>
            </w:r>
          </w:p>
        </w:tc>
        <w:tc>
          <w:tcPr>
            <w:tcW w:w="3055" w:type="dxa"/>
            <w:vAlign w:val="center"/>
          </w:tcPr>
          <w:p>
            <w:pPr>
              <w:spacing w:before="1" w:line="183" w:lineRule="auto"/>
              <w:ind w:left="35"/>
              <w:jc w:val="center"/>
              <w:rPr>
                <w:rFonts w:hint="eastAsia" w:ascii="微软雅黑" w:hAnsi="微软雅黑" w:eastAsia="微软雅黑" w:cs="微软雅黑"/>
                <w:color w:val="auto"/>
              </w:rPr>
            </w:pPr>
            <w:r>
              <w:rPr>
                <w:rFonts w:hint="eastAsia" w:ascii="微软雅黑" w:hAnsi="微软雅黑" w:eastAsia="微软雅黑" w:cs="微软雅黑"/>
                <w:color w:val="auto"/>
              </w:rPr>
              <w:t>工程勘察管理机构评分标准</w:t>
            </w:r>
          </w:p>
        </w:tc>
        <w:tc>
          <w:tcPr>
            <w:tcW w:w="5287" w:type="dxa"/>
            <w:vAlign w:val="center"/>
          </w:tcPr>
          <w:p>
            <w:pPr>
              <w:spacing w:line="340" w:lineRule="exact"/>
              <w:rPr>
                <w:rFonts w:eastAsia="仿宋_GB2312"/>
              </w:rPr>
            </w:pPr>
            <w:r>
              <w:rPr>
                <w:rFonts w:hint="eastAsia" w:eastAsia="宋体" w:cs="Times New Roman"/>
                <w:bCs/>
              </w:rPr>
              <w:t xml:space="preserve">  1.</w:t>
            </w:r>
            <w:r>
              <w:t>工程勘察负责人</w:t>
            </w:r>
            <w:r>
              <w:rPr>
                <w:rFonts w:hint="eastAsia" w:eastAsia="宋体"/>
              </w:rPr>
              <w:t>（7分）</w:t>
            </w:r>
            <w:r>
              <w:rPr>
                <w:rFonts w:hint="eastAsia"/>
              </w:rPr>
              <w:t>：满足资格要求，同时具备工程类专业高级及以上职称</w:t>
            </w:r>
            <w:r>
              <w:rPr>
                <w:rFonts w:hint="eastAsia" w:eastAsia="宋体"/>
              </w:rPr>
              <w:t>且具有五年以</w:t>
            </w:r>
            <w:r>
              <w:rPr>
                <w:rFonts w:hint="eastAsia" w:eastAsia="宋体" w:cs="Times New Roman"/>
                <w:bCs/>
              </w:rPr>
              <w:t>上本专业工作经验（提供工作经验证明文件或承诺书）得7分，</w:t>
            </w:r>
            <w:r>
              <w:rPr>
                <w:rFonts w:hint="eastAsia"/>
              </w:rPr>
              <w:t>本项满分为7分；</w:t>
            </w:r>
          </w:p>
          <w:p>
            <w:pPr>
              <w:pStyle w:val="2"/>
              <w:ind w:leftChars="0" w:firstLine="210" w:firstLineChars="100"/>
              <w:rPr>
                <w:rFonts w:ascii="Arial" w:hAnsi="Arial" w:eastAsia="宋体" w:cs="Times New Roman"/>
                <w:bCs/>
                <w:sz w:val="21"/>
                <w:szCs w:val="21"/>
              </w:rPr>
            </w:pPr>
            <w:r>
              <w:rPr>
                <w:rFonts w:hint="eastAsia" w:ascii="Arial" w:hAnsi="Arial" w:eastAsia="宋体" w:cs="Times New Roman"/>
                <w:bCs/>
                <w:sz w:val="21"/>
                <w:szCs w:val="21"/>
              </w:rPr>
              <w:t>2.岩土工程师（3分）：具有国家注册土木工程师（岩土）职业资格证得2分，同时具备高级及以上职称加1分，本项满分为3分；</w:t>
            </w:r>
          </w:p>
          <w:p>
            <w:pPr>
              <w:pStyle w:val="2"/>
              <w:ind w:leftChars="0" w:firstLine="210" w:firstLineChars="100"/>
              <w:rPr>
                <w:rFonts w:ascii="Arial" w:hAnsi="Arial" w:eastAsia="宋体" w:cs="Times New Roman"/>
                <w:bCs/>
                <w:sz w:val="21"/>
                <w:szCs w:val="21"/>
              </w:rPr>
            </w:pPr>
            <w:r>
              <w:rPr>
                <w:rFonts w:hint="eastAsia" w:ascii="Arial" w:hAnsi="Arial" w:eastAsia="宋体" w:cs="Times New Roman"/>
                <w:bCs/>
                <w:sz w:val="21"/>
                <w:szCs w:val="21"/>
              </w:rPr>
              <w:t>3.</w:t>
            </w:r>
            <w:r>
              <w:rPr>
                <w:rFonts w:ascii="Arial" w:hAnsi="Arial" w:eastAsia="宋体" w:cs="Times New Roman"/>
                <w:bCs/>
                <w:sz w:val="21"/>
                <w:szCs w:val="21"/>
              </w:rPr>
              <w:t>地质工程师（</w:t>
            </w:r>
            <w:r>
              <w:rPr>
                <w:rFonts w:hint="eastAsia" w:ascii="Arial" w:hAnsi="Arial" w:eastAsia="宋体" w:cs="Times New Roman"/>
                <w:bCs/>
                <w:sz w:val="21"/>
                <w:szCs w:val="21"/>
              </w:rPr>
              <w:t>3</w:t>
            </w:r>
            <w:r>
              <w:rPr>
                <w:rFonts w:ascii="Arial" w:hAnsi="Arial" w:eastAsia="宋体" w:cs="Times New Roman"/>
                <w:bCs/>
                <w:sz w:val="21"/>
                <w:szCs w:val="21"/>
              </w:rPr>
              <w:t>分）：</w:t>
            </w:r>
            <w:r>
              <w:rPr>
                <w:rFonts w:hint="eastAsia" w:ascii="Arial" w:hAnsi="Arial" w:eastAsia="宋体" w:cs="Times New Roman"/>
                <w:bCs/>
                <w:sz w:val="21"/>
                <w:szCs w:val="21"/>
              </w:rPr>
              <w:t>具有地质类专业高级工程师及以上职称得3</w:t>
            </w:r>
            <w:r>
              <w:rPr>
                <w:rFonts w:ascii="Arial" w:hAnsi="Arial" w:eastAsia="宋体" w:cs="Times New Roman"/>
                <w:bCs/>
                <w:sz w:val="21"/>
                <w:szCs w:val="21"/>
              </w:rPr>
              <w:t>分，本项满分为</w:t>
            </w:r>
            <w:r>
              <w:rPr>
                <w:rFonts w:hint="eastAsia" w:ascii="Arial" w:hAnsi="Arial" w:eastAsia="宋体" w:cs="Times New Roman"/>
                <w:bCs/>
                <w:sz w:val="21"/>
                <w:szCs w:val="21"/>
              </w:rPr>
              <w:t>3</w:t>
            </w:r>
            <w:r>
              <w:rPr>
                <w:rFonts w:ascii="Arial" w:hAnsi="Arial" w:eastAsia="宋体" w:cs="Times New Roman"/>
                <w:bCs/>
                <w:sz w:val="21"/>
                <w:szCs w:val="21"/>
              </w:rPr>
              <w:t>分。</w:t>
            </w:r>
          </w:p>
          <w:p>
            <w:pPr>
              <w:pStyle w:val="2"/>
              <w:ind w:leftChars="0" w:firstLine="210" w:firstLineChars="100"/>
              <w:rPr>
                <w:rFonts w:ascii="Arial" w:hAnsi="Arial" w:eastAsia="宋体" w:cs="Times New Roman"/>
                <w:bCs/>
                <w:sz w:val="21"/>
                <w:szCs w:val="21"/>
              </w:rPr>
            </w:pPr>
            <w:r>
              <w:rPr>
                <w:rFonts w:hint="eastAsia" w:ascii="Arial" w:hAnsi="Arial" w:eastAsia="宋体" w:cs="Times New Roman"/>
                <w:bCs/>
                <w:sz w:val="21"/>
                <w:szCs w:val="21"/>
              </w:rPr>
              <w:t>4. 勘探技术人员（钻探/物探）（4分）</w:t>
            </w:r>
            <w:r>
              <w:rPr>
                <w:rFonts w:ascii="Arial" w:hAnsi="Arial" w:eastAsia="宋体" w:cs="Times New Roman"/>
                <w:bCs/>
                <w:sz w:val="21"/>
                <w:szCs w:val="21"/>
              </w:rPr>
              <w:t>：</w:t>
            </w:r>
            <w:r>
              <w:rPr>
                <w:rFonts w:hint="eastAsia" w:ascii="Arial" w:hAnsi="Arial" w:eastAsia="宋体" w:cs="Times New Roman"/>
                <w:bCs/>
                <w:sz w:val="21"/>
                <w:szCs w:val="21"/>
              </w:rPr>
              <w:t>提供钻探技术人员1名，具备地质类专业中级及以上职称，得2分，提供物探技术人员1名，具备地质类中级及以上职称得2分，本项满分为4</w:t>
            </w:r>
            <w:r>
              <w:rPr>
                <w:rFonts w:ascii="Arial" w:hAnsi="Arial" w:eastAsia="宋体" w:cs="Times New Roman"/>
                <w:bCs/>
                <w:sz w:val="21"/>
                <w:szCs w:val="21"/>
              </w:rPr>
              <w:t>分。</w:t>
            </w:r>
          </w:p>
          <w:p>
            <w:pPr>
              <w:pStyle w:val="2"/>
              <w:ind w:leftChars="0" w:firstLine="210" w:firstLineChars="100"/>
              <w:rPr>
                <w:rFonts w:ascii="Arial" w:hAnsi="Arial" w:eastAsia="宋体" w:cs="Times New Roman"/>
                <w:bCs/>
                <w:sz w:val="21"/>
                <w:szCs w:val="21"/>
              </w:rPr>
            </w:pPr>
            <w:r>
              <w:rPr>
                <w:rFonts w:hint="eastAsia" w:ascii="Arial" w:hAnsi="Arial" w:eastAsia="宋体" w:cs="Times New Roman"/>
                <w:bCs/>
                <w:sz w:val="21"/>
                <w:szCs w:val="21"/>
              </w:rPr>
              <w:t>5.测量技术人员（2分）提供1名测绘类专业中级及以上职称人员得2分，最多得2</w:t>
            </w:r>
            <w:r>
              <w:rPr>
                <w:rFonts w:ascii="Arial" w:hAnsi="Arial" w:eastAsia="宋体" w:cs="Times New Roman"/>
                <w:bCs/>
                <w:sz w:val="21"/>
                <w:szCs w:val="21"/>
              </w:rPr>
              <w:t>分。</w:t>
            </w:r>
          </w:p>
          <w:p>
            <w:pPr>
              <w:pStyle w:val="2"/>
              <w:ind w:leftChars="0" w:firstLine="0"/>
              <w:rPr>
                <w:rFonts w:ascii="Arial" w:hAnsi="Arial" w:eastAsia="宋体" w:cs="Times New Roman"/>
                <w:bCs/>
                <w:sz w:val="21"/>
                <w:szCs w:val="21"/>
              </w:rPr>
            </w:pPr>
            <w:r>
              <w:rPr>
                <w:rFonts w:hint="eastAsia" w:ascii="Arial" w:hAnsi="Arial" w:eastAsia="宋体" w:cs="Times New Roman"/>
                <w:bCs/>
                <w:sz w:val="21"/>
                <w:szCs w:val="21"/>
              </w:rPr>
              <w:t>注：以上人员需按要求提供相应的证明材料及2025年1月至今任意一个月社保证明。未提供或提供不全的，该项不得分。</w:t>
            </w:r>
          </w:p>
        </w:tc>
        <w:tc>
          <w:tcPr>
            <w:tcW w:w="1007" w:type="dxa"/>
            <w:vAlign w:val="center"/>
          </w:tcPr>
          <w:p>
            <w:pPr>
              <w:spacing w:before="90" w:line="162"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trPr>
        <w:tc>
          <w:tcPr>
            <w:tcW w:w="835" w:type="dxa"/>
            <w:vAlign w:val="center"/>
          </w:tcPr>
          <w:p>
            <w:pPr>
              <w:spacing w:before="90" w:line="164"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4</w:t>
            </w:r>
          </w:p>
        </w:tc>
        <w:tc>
          <w:tcPr>
            <w:tcW w:w="3055" w:type="dxa"/>
            <w:vAlign w:val="center"/>
          </w:tcPr>
          <w:p>
            <w:pPr>
              <w:spacing w:before="1" w:line="183" w:lineRule="auto"/>
              <w:ind w:left="35"/>
              <w:jc w:val="center"/>
              <w:rPr>
                <w:rFonts w:hint="eastAsia" w:ascii="微软雅黑" w:hAnsi="微软雅黑" w:eastAsia="微软雅黑" w:cs="微软雅黑"/>
                <w:color w:val="auto"/>
              </w:rPr>
            </w:pPr>
            <w:r>
              <w:rPr>
                <w:rFonts w:hint="eastAsia" w:ascii="微软雅黑" w:hAnsi="微软雅黑" w:eastAsia="微软雅黑" w:cs="微软雅黑"/>
                <w:color w:val="auto"/>
              </w:rPr>
              <w:t>人员承诺</w:t>
            </w:r>
          </w:p>
        </w:tc>
        <w:tc>
          <w:tcPr>
            <w:tcW w:w="5287" w:type="dxa"/>
            <w:vAlign w:val="center"/>
          </w:tcPr>
          <w:p>
            <w:pPr>
              <w:spacing w:before="1" w:line="360" w:lineRule="auto"/>
              <w:ind w:firstLine="210" w:firstLineChars="100"/>
              <w:jc w:val="both"/>
              <w:rPr>
                <w:rFonts w:hint="eastAsia" w:ascii="宋体" w:hAnsi="宋体" w:eastAsia="宋体" w:cs="宋体"/>
              </w:rPr>
            </w:pPr>
            <w:r>
              <w:rPr>
                <w:rFonts w:hint="eastAsia" w:ascii="宋体" w:hAnsi="宋体" w:eastAsia="宋体" w:cs="宋体"/>
              </w:rPr>
              <w:t>1.供应商须承诺为本项目提供的钻探机械设备及其他专业设备能满足本次采购需求的，得5分</w:t>
            </w:r>
            <w:r>
              <w:rPr>
                <w:rFonts w:ascii="宋体" w:hAnsi="宋体" w:eastAsia="宋体" w:cs="宋体"/>
              </w:rPr>
              <w:t>。</w:t>
            </w:r>
            <w:r>
              <w:rPr>
                <w:rFonts w:hint="eastAsia" w:ascii="宋体" w:hAnsi="宋体" w:eastAsia="宋体" w:cs="宋体"/>
              </w:rPr>
              <w:t>（自行承诺，格式自拟）</w:t>
            </w:r>
          </w:p>
          <w:p>
            <w:pPr>
              <w:pStyle w:val="2"/>
              <w:ind w:leftChars="0" w:firstLine="210" w:firstLineChars="100"/>
            </w:pPr>
            <w:r>
              <w:rPr>
                <w:rFonts w:hint="eastAsia" w:ascii="宋体" w:hAnsi="宋体" w:eastAsia="宋体" w:cs="宋体"/>
                <w:sz w:val="21"/>
                <w:szCs w:val="21"/>
              </w:rPr>
              <w:t>2.投标人须承诺若中标，本项目拟派的工程勘察管理机构人员不得进行随意更换，如若需要更换，必须经采购人同意并取得书面批准意见。提供承诺的得5分，不提供不得分。（自行承诺，格式自拟）</w:t>
            </w:r>
          </w:p>
        </w:tc>
        <w:tc>
          <w:tcPr>
            <w:tcW w:w="1007" w:type="dxa"/>
            <w:vAlign w:val="center"/>
          </w:tcPr>
          <w:p>
            <w:pPr>
              <w:spacing w:before="90" w:line="162"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trPr>
        <w:tc>
          <w:tcPr>
            <w:tcW w:w="835" w:type="dxa"/>
            <w:vAlign w:val="center"/>
          </w:tcPr>
          <w:p>
            <w:pPr>
              <w:spacing w:before="90" w:line="164"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5</w:t>
            </w:r>
          </w:p>
        </w:tc>
        <w:tc>
          <w:tcPr>
            <w:tcW w:w="3055" w:type="dxa"/>
            <w:vAlign w:val="center"/>
          </w:tcPr>
          <w:p>
            <w:pPr>
              <w:spacing w:before="1" w:line="183" w:lineRule="auto"/>
              <w:ind w:left="35"/>
              <w:jc w:val="center"/>
              <w:rPr>
                <w:rFonts w:hint="eastAsia" w:ascii="微软雅黑" w:hAnsi="微软雅黑" w:eastAsia="微软雅黑" w:cs="微软雅黑"/>
                <w:color w:val="auto"/>
              </w:rPr>
            </w:pPr>
            <w:r>
              <w:rPr>
                <w:rFonts w:hint="eastAsia" w:ascii="微软雅黑" w:hAnsi="微软雅黑" w:eastAsia="微软雅黑" w:cs="微软雅黑"/>
                <w:color w:val="auto"/>
              </w:rPr>
              <w:t>安全及环保承诺</w:t>
            </w:r>
          </w:p>
        </w:tc>
        <w:tc>
          <w:tcPr>
            <w:tcW w:w="5287" w:type="dxa"/>
            <w:vAlign w:val="center"/>
          </w:tcPr>
          <w:p>
            <w:pPr>
              <w:spacing w:before="1" w:line="360" w:lineRule="auto"/>
              <w:ind w:firstLine="210" w:firstLineChars="100"/>
              <w:jc w:val="both"/>
              <w:rPr>
                <w:rFonts w:hint="eastAsia" w:ascii="宋体" w:hAnsi="宋体" w:eastAsia="宋体" w:cs="宋体"/>
              </w:rPr>
            </w:pPr>
            <w:r>
              <w:rPr>
                <w:rFonts w:hint="eastAsia" w:ascii="宋体" w:hAnsi="宋体" w:eastAsia="宋体" w:cs="宋体"/>
              </w:rPr>
              <w:t>1.供应商须承诺严格执行《中华人民共和国安全生产法》《建设工程安全生产管理条例》等国家及地方相关法律法规，建立健全现场安全管理制度，现场一切安全责任和相关经济纠纷均由供应商承担的，得5分。（自行承诺，格式自拟）</w:t>
            </w:r>
          </w:p>
          <w:p>
            <w:pPr>
              <w:spacing w:before="1" w:line="360" w:lineRule="auto"/>
              <w:ind w:firstLine="210" w:firstLineChars="100"/>
              <w:jc w:val="both"/>
              <w:rPr>
                <w:rFonts w:hint="eastAsia" w:ascii="宋体" w:hAnsi="宋体" w:eastAsia="宋体" w:cs="宋体"/>
              </w:rPr>
            </w:pPr>
            <w:r>
              <w:rPr>
                <w:rFonts w:hint="eastAsia" w:ascii="宋体" w:hAnsi="宋体" w:eastAsia="宋体" w:cs="宋体"/>
              </w:rPr>
              <w:t>2.供应商须承诺严格遵守《中华人民共和国环境保护法》《建设工程环境保护管理条例》等国家及法律法规，严格控制勘察作业范围，禁止随意砍伐植被；妥善处理钻探泥浆、油污等废弃物，禁止直接排放至土壤或水体；产生的施工垃圾、废料全部清运出校园，送至合法排放地点；采取降噪措施；勘察完成后及时回填钻孔、恢复地表原貌，防止水土流失的，得5分。（自行承诺，格式自拟）</w:t>
            </w:r>
          </w:p>
        </w:tc>
        <w:tc>
          <w:tcPr>
            <w:tcW w:w="1007" w:type="dxa"/>
            <w:vAlign w:val="center"/>
          </w:tcPr>
          <w:p>
            <w:pPr>
              <w:spacing w:before="90" w:line="162"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10</w:t>
            </w:r>
          </w:p>
        </w:tc>
      </w:tr>
    </w:tbl>
    <w:p>
      <w:pPr>
        <w:rPr>
          <w:color w:val="auto"/>
        </w:rPr>
      </w:pPr>
    </w:p>
    <w:p>
      <w:pPr>
        <w:rPr>
          <w:color w:val="auto"/>
        </w:rPr>
      </w:pPr>
    </w:p>
    <w:p>
      <w:pPr>
        <w:pStyle w:val="4"/>
        <w:rPr>
          <w:rFonts w:hint="eastAsia" w:ascii="微软雅黑" w:hAnsi="微软雅黑" w:eastAsia="微软雅黑" w:cs="微软雅黑"/>
          <w:color w:val="auto"/>
        </w:rPr>
      </w:pPr>
      <w:r>
        <w:rPr>
          <w:rFonts w:hint="eastAsia" w:ascii="微软雅黑" w:hAnsi="微软雅黑" w:eastAsia="微软雅黑" w:cs="微软雅黑"/>
          <w:color w:val="auto"/>
        </w:rPr>
        <w:t>技术分</w:t>
      </w:r>
    </w:p>
    <w:p>
      <w:pPr>
        <w:pStyle w:val="4"/>
        <w:rPr>
          <w:color w:val="auto"/>
        </w:rPr>
      </w:pPr>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968"/>
        <w:gridCol w:w="516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widowControl w:val="0"/>
              <w:spacing w:before="219" w:line="185" w:lineRule="auto"/>
              <w:jc w:val="center"/>
              <w:rPr>
                <w:color w:val="auto"/>
              </w:rPr>
            </w:pPr>
            <w:r>
              <w:rPr>
                <w:rFonts w:ascii="微软雅黑" w:hAnsi="微软雅黑" w:eastAsia="微软雅黑" w:cs="微软雅黑"/>
                <w:color w:val="auto"/>
                <w:spacing w:val="-5"/>
              </w:rPr>
              <w:t>序</w:t>
            </w:r>
            <w:r>
              <w:rPr>
                <w:rFonts w:ascii="微软雅黑" w:hAnsi="微软雅黑" w:eastAsia="微软雅黑" w:cs="微软雅黑"/>
                <w:color w:val="auto"/>
                <w:spacing w:val="-4"/>
              </w:rPr>
              <w:t>号</w:t>
            </w:r>
          </w:p>
        </w:tc>
        <w:tc>
          <w:tcPr>
            <w:tcW w:w="2968" w:type="dxa"/>
            <w:vAlign w:val="center"/>
          </w:tcPr>
          <w:p>
            <w:pPr>
              <w:widowControl w:val="0"/>
              <w:spacing w:before="219" w:line="186" w:lineRule="auto"/>
              <w:jc w:val="center"/>
              <w:rPr>
                <w:color w:val="auto"/>
              </w:rPr>
            </w:pPr>
            <w:r>
              <w:rPr>
                <w:rFonts w:ascii="微软雅黑" w:hAnsi="微软雅黑" w:eastAsia="微软雅黑" w:cs="微软雅黑"/>
                <w:color w:val="auto"/>
                <w:spacing w:val="-3"/>
              </w:rPr>
              <w:t>评</w:t>
            </w:r>
            <w:r>
              <w:rPr>
                <w:rFonts w:ascii="微软雅黑" w:hAnsi="微软雅黑" w:eastAsia="微软雅黑" w:cs="微软雅黑"/>
                <w:color w:val="auto"/>
                <w:spacing w:val="-2"/>
              </w:rPr>
              <w:t>审因素</w:t>
            </w:r>
          </w:p>
        </w:tc>
        <w:tc>
          <w:tcPr>
            <w:tcW w:w="5162" w:type="dxa"/>
            <w:vAlign w:val="center"/>
          </w:tcPr>
          <w:p>
            <w:pPr>
              <w:widowControl w:val="0"/>
              <w:spacing w:before="219" w:line="186" w:lineRule="auto"/>
              <w:jc w:val="center"/>
              <w:rPr>
                <w:color w:val="auto"/>
              </w:rPr>
            </w:pPr>
            <w:r>
              <w:rPr>
                <w:rFonts w:ascii="微软雅黑" w:hAnsi="微软雅黑" w:eastAsia="微软雅黑" w:cs="微软雅黑"/>
                <w:color w:val="auto"/>
                <w:spacing w:val="-3"/>
              </w:rPr>
              <w:t>评</w:t>
            </w:r>
            <w:r>
              <w:rPr>
                <w:rFonts w:ascii="微软雅黑" w:hAnsi="微软雅黑" w:eastAsia="微软雅黑" w:cs="微软雅黑"/>
                <w:color w:val="auto"/>
                <w:spacing w:val="-2"/>
              </w:rPr>
              <w:t>审标准</w:t>
            </w:r>
          </w:p>
        </w:tc>
        <w:tc>
          <w:tcPr>
            <w:tcW w:w="1105" w:type="dxa"/>
            <w:vAlign w:val="center"/>
          </w:tcPr>
          <w:p>
            <w:pPr>
              <w:widowControl w:val="0"/>
              <w:spacing w:before="219" w:line="186" w:lineRule="auto"/>
              <w:jc w:val="center"/>
              <w:rPr>
                <w:rFonts w:hint="eastAsia" w:ascii="微软雅黑" w:hAnsi="微软雅黑" w:eastAsia="微软雅黑" w:cs="微软雅黑"/>
                <w:color w:val="auto"/>
                <w:spacing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4" w:type="dxa"/>
            <w:vAlign w:val="center"/>
          </w:tcPr>
          <w:p>
            <w:pPr>
              <w:widowControl w:val="0"/>
              <w:jc w:val="center"/>
              <w:rPr>
                <w:rFonts w:hint="eastAsia" w:ascii="微软雅黑" w:hAnsi="微软雅黑" w:eastAsia="微软雅黑" w:cs="微软雅黑"/>
                <w:color w:val="auto"/>
              </w:rPr>
            </w:pPr>
            <w:r>
              <w:rPr>
                <w:rFonts w:hint="eastAsia" w:ascii="微软雅黑" w:hAnsi="微软雅黑" w:eastAsia="微软雅黑" w:cs="微软雅黑"/>
                <w:color w:val="auto"/>
              </w:rPr>
              <w:t>1</w:t>
            </w:r>
          </w:p>
        </w:tc>
        <w:tc>
          <w:tcPr>
            <w:tcW w:w="2968" w:type="dxa"/>
            <w:vAlign w:val="center"/>
          </w:tcPr>
          <w:p>
            <w:pPr>
              <w:widowControl w:val="0"/>
              <w:jc w:val="center"/>
              <w:rPr>
                <w:rFonts w:hint="eastAsia" w:ascii="微软雅黑" w:hAnsi="微软雅黑" w:eastAsia="微软雅黑" w:cs="微软雅黑"/>
                <w:color w:val="auto"/>
              </w:rPr>
            </w:pPr>
            <w:r>
              <w:rPr>
                <w:rFonts w:ascii="微软雅黑" w:hAnsi="微软雅黑" w:eastAsia="微软雅黑" w:cs="微软雅黑"/>
                <w:color w:val="auto"/>
              </w:rPr>
              <w:t>技术参数</w:t>
            </w:r>
          </w:p>
        </w:tc>
        <w:tc>
          <w:tcPr>
            <w:tcW w:w="5162" w:type="dxa"/>
            <w:vAlign w:val="center"/>
          </w:tcPr>
          <w:p>
            <w:pPr>
              <w:widowControl w:val="0"/>
              <w:jc w:val="both"/>
              <w:rPr>
                <w:rFonts w:hint="eastAsia" w:ascii="微软雅黑" w:hAnsi="微软雅黑" w:eastAsia="微软雅黑" w:cs="微软雅黑"/>
                <w:color w:val="auto"/>
              </w:rPr>
            </w:pPr>
            <w:r>
              <w:rPr>
                <w:rFonts w:hint="eastAsia" w:ascii="宋体" w:hAnsi="宋体" w:eastAsia="宋体" w:cs="宋体"/>
              </w:rPr>
              <w:t>投标响应完全满足或优于采购文件中“采购清单及技术参数”要求的得15分，存在负偏离不得分。</w:t>
            </w:r>
          </w:p>
        </w:tc>
        <w:tc>
          <w:tcPr>
            <w:tcW w:w="1105" w:type="dxa"/>
            <w:vAlign w:val="center"/>
          </w:tcPr>
          <w:p>
            <w:pPr>
              <w:widowControl w:val="0"/>
              <w:jc w:val="center"/>
              <w:rPr>
                <w:rFonts w:hint="eastAsia" w:ascii="微软雅黑" w:hAnsi="微软雅黑" w:eastAsia="微软雅黑" w:cs="微软雅黑"/>
                <w:color w:val="auto"/>
              </w:rPr>
            </w:pPr>
            <w:r>
              <w:rPr>
                <w:rFonts w:hint="eastAsia" w:ascii="微软雅黑" w:hAnsi="微软雅黑" w:eastAsia="微软雅黑" w:cs="微软雅黑"/>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4" w:type="dxa"/>
            <w:vAlign w:val="center"/>
          </w:tcPr>
          <w:p>
            <w:pPr>
              <w:widowControl w:val="0"/>
              <w:jc w:val="center"/>
              <w:rPr>
                <w:rFonts w:hint="eastAsia" w:ascii="微软雅黑" w:hAnsi="微软雅黑" w:eastAsia="微软雅黑" w:cs="微软雅黑"/>
                <w:color w:val="auto"/>
              </w:rPr>
            </w:pPr>
            <w:r>
              <w:rPr>
                <w:rFonts w:hint="eastAsia" w:ascii="微软雅黑" w:hAnsi="微软雅黑" w:eastAsia="微软雅黑" w:cs="微软雅黑"/>
                <w:color w:val="auto"/>
              </w:rPr>
              <w:t>2</w:t>
            </w:r>
          </w:p>
        </w:tc>
        <w:tc>
          <w:tcPr>
            <w:tcW w:w="2968" w:type="dxa"/>
            <w:shd w:val="clear" w:color="auto" w:fill="auto"/>
            <w:vAlign w:val="center"/>
          </w:tcPr>
          <w:p>
            <w:pPr>
              <w:widowControl w:val="0"/>
              <w:jc w:val="center"/>
              <w:rPr>
                <w:rFonts w:hint="eastAsia" w:ascii="微软雅黑" w:hAnsi="微软雅黑" w:eastAsia="微软雅黑" w:cs="微软雅黑"/>
                <w:color w:val="auto"/>
              </w:rPr>
            </w:pPr>
            <w:r>
              <w:rPr>
                <w:rFonts w:hint="eastAsia"/>
              </w:rPr>
              <w:t>勘察服务方案</w:t>
            </w:r>
          </w:p>
        </w:tc>
        <w:tc>
          <w:tcPr>
            <w:tcW w:w="5162" w:type="dxa"/>
            <w:shd w:val="clear" w:color="auto" w:fill="auto"/>
            <w:vAlign w:val="center"/>
          </w:tcPr>
          <w:p>
            <w:pPr>
              <w:widowControl w:val="0"/>
              <w:jc w:val="both"/>
              <w:rPr>
                <w:rFonts w:ascii="宋体" w:hAnsi="宋体" w:cs="宋体"/>
              </w:rPr>
            </w:pPr>
            <w:r>
              <w:rPr>
                <w:rFonts w:hint="eastAsia" w:ascii="宋体" w:hAnsi="宋体" w:cs="宋体"/>
              </w:rPr>
              <w:t>供应商根据项目</w:t>
            </w:r>
            <w:r>
              <w:rPr>
                <w:rFonts w:hint="eastAsia" w:ascii="宋体" w:hAnsi="宋体" w:eastAsia="宋体" w:cs="宋体"/>
              </w:rPr>
              <w:t>采购需求</w:t>
            </w:r>
            <w:r>
              <w:rPr>
                <w:rFonts w:hint="eastAsia" w:ascii="宋体" w:hAnsi="宋体" w:cs="宋体"/>
              </w:rPr>
              <w:t>。</w:t>
            </w:r>
            <w:r>
              <w:rPr>
                <w:rFonts w:hint="eastAsia" w:ascii="宋体" w:hAnsi="宋体" w:eastAsia="宋体" w:cs="宋体"/>
              </w:rPr>
              <w:t>制定</w:t>
            </w:r>
            <w:r>
              <w:rPr>
                <w:rFonts w:hint="eastAsia" w:ascii="宋体" w:hAnsi="宋体" w:cs="宋体"/>
              </w:rPr>
              <w:t>项目实施方案、</w:t>
            </w:r>
            <w:r>
              <w:rPr>
                <w:rFonts w:hint="eastAsia" w:ascii="宋体" w:hAnsi="宋体" w:eastAsia="宋体" w:cs="宋体"/>
              </w:rPr>
              <w:t>主要勘察方法及具体指标</w:t>
            </w:r>
            <w:r>
              <w:rPr>
                <w:rFonts w:hint="eastAsia" w:ascii="宋体" w:hAnsi="宋体" w:cs="宋体"/>
              </w:rPr>
              <w:t>、</w:t>
            </w:r>
            <w:r>
              <w:rPr>
                <w:rFonts w:hint="eastAsia" w:ascii="宋体" w:hAnsi="宋体" w:eastAsia="宋体" w:cs="宋体"/>
              </w:rPr>
              <w:t>项目进度计划及工期保证措施、勘察质量及安全保障措施、合理化建议、拟提供分析报告的主要内容</w:t>
            </w:r>
            <w:r>
              <w:rPr>
                <w:rFonts w:hint="eastAsia" w:ascii="宋体" w:hAnsi="宋体" w:cs="宋体"/>
              </w:rPr>
              <w:t>等进行综合评审：</w:t>
            </w:r>
          </w:p>
          <w:p>
            <w:pPr>
              <w:widowControl w:val="0"/>
              <w:jc w:val="both"/>
              <w:rPr>
                <w:rFonts w:ascii="宋体" w:hAnsi="宋体" w:cs="宋体"/>
              </w:rPr>
            </w:pPr>
            <w:r>
              <w:rPr>
                <w:rFonts w:hint="eastAsia" w:ascii="宋体" w:hAnsi="宋体" w:cs="宋体"/>
              </w:rPr>
              <w:t>1</w:t>
            </w:r>
            <w:r>
              <w:rPr>
                <w:rFonts w:hint="eastAsia" w:ascii="宋体" w:hAnsi="宋体" w:eastAsia="宋体" w:cs="宋体"/>
              </w:rPr>
              <w:t>、方案内容完整，针对性强、操作性强、可行性强，得15分；</w:t>
            </w:r>
          </w:p>
          <w:p>
            <w:pPr>
              <w:widowControl w:val="0"/>
              <w:jc w:val="both"/>
              <w:rPr>
                <w:rFonts w:ascii="宋体" w:hAnsi="宋体" w:cs="宋体"/>
              </w:rPr>
            </w:pPr>
            <w:r>
              <w:rPr>
                <w:rFonts w:hint="eastAsia" w:ascii="宋体" w:hAnsi="宋体" w:cs="宋体"/>
              </w:rPr>
              <w:t>2</w:t>
            </w:r>
            <w:r>
              <w:rPr>
                <w:rFonts w:hint="eastAsia" w:ascii="宋体" w:hAnsi="宋体" w:eastAsia="宋体" w:cs="宋体"/>
              </w:rPr>
              <w:t>、方案内容完整，有针对性、有操作性、基本可行，得10分；</w:t>
            </w:r>
          </w:p>
          <w:p>
            <w:pPr>
              <w:widowControl w:val="0"/>
              <w:jc w:val="both"/>
              <w:rPr>
                <w:rFonts w:hint="eastAsia" w:ascii="宋体" w:hAnsi="宋体" w:eastAsia="宋体" w:cs="宋体"/>
              </w:rPr>
            </w:pPr>
            <w:r>
              <w:rPr>
                <w:rFonts w:hint="eastAsia" w:ascii="宋体" w:hAnsi="宋体" w:cs="宋体"/>
              </w:rPr>
              <w:t>3</w:t>
            </w:r>
            <w:r>
              <w:rPr>
                <w:rFonts w:hint="eastAsia" w:ascii="宋体" w:hAnsi="宋体" w:eastAsia="宋体" w:cs="宋体"/>
              </w:rPr>
              <w:t>、方案内容不完整，针对性不强、操作性不强、可行性不强，得5分；</w:t>
            </w:r>
          </w:p>
          <w:p>
            <w:pPr>
              <w:widowControl w:val="0"/>
              <w:jc w:val="both"/>
              <w:rPr>
                <w:rFonts w:hint="eastAsia" w:ascii="宋体" w:hAnsi="宋体" w:eastAsia="宋体" w:cs="宋体"/>
                <w:color w:val="auto"/>
              </w:rPr>
            </w:pPr>
            <w:r>
              <w:rPr>
                <w:rFonts w:hint="eastAsia" w:ascii="宋体" w:hAnsi="宋体" w:eastAsia="宋体" w:cs="宋体"/>
              </w:rPr>
              <w:t>4、</w:t>
            </w:r>
            <w:r>
              <w:rPr>
                <w:rFonts w:hint="eastAsia" w:ascii="宋体" w:hAnsi="宋体" w:cs="宋体"/>
              </w:rPr>
              <w:t>不提供不得分。</w:t>
            </w:r>
          </w:p>
        </w:tc>
        <w:tc>
          <w:tcPr>
            <w:tcW w:w="1105" w:type="dxa"/>
            <w:vAlign w:val="center"/>
          </w:tcPr>
          <w:p>
            <w:pPr>
              <w:widowControl w:val="0"/>
              <w:jc w:val="center"/>
              <w:rPr>
                <w:rFonts w:hint="eastAsia" w:ascii="微软雅黑" w:hAnsi="微软雅黑" w:eastAsia="微软雅黑" w:cs="微软雅黑"/>
                <w:color w:val="auto"/>
              </w:rPr>
            </w:pPr>
            <w:r>
              <w:rPr>
                <w:rFonts w:hint="eastAsia" w:ascii="微软雅黑" w:hAnsi="微软雅黑" w:eastAsia="微软雅黑" w:cs="微软雅黑"/>
                <w:color w:val="auto"/>
              </w:rPr>
              <w:t>15</w:t>
            </w:r>
          </w:p>
        </w:tc>
      </w:tr>
    </w:tbl>
    <w:p>
      <w:pPr>
        <w:rPr>
          <w:color w:val="auto"/>
        </w:rPr>
      </w:pPr>
    </w:p>
    <w:p>
      <w:pPr>
        <w:spacing w:before="209" w:line="185" w:lineRule="auto"/>
        <w:rPr>
          <w:rFonts w:hint="eastAsia" w:ascii="微软雅黑" w:hAnsi="微软雅黑" w:eastAsia="微软雅黑" w:cs="微软雅黑"/>
          <w:color w:val="auto"/>
        </w:rPr>
      </w:pPr>
      <w:r>
        <w:rPr>
          <w:rFonts w:ascii="微软雅黑" w:hAnsi="微软雅黑" w:eastAsia="微软雅黑" w:cs="微软雅黑"/>
          <w:color w:val="auto"/>
          <w:spacing w:val="15"/>
        </w:rPr>
        <w:t>政</w:t>
      </w:r>
      <w:r>
        <w:rPr>
          <w:rFonts w:ascii="微软雅黑" w:hAnsi="微软雅黑" w:eastAsia="微软雅黑" w:cs="微软雅黑"/>
          <w:color w:val="auto"/>
          <w:spacing w:val="11"/>
        </w:rPr>
        <w:t>策性加分评审</w:t>
      </w:r>
    </w:p>
    <w:p>
      <w:pPr>
        <w:rPr>
          <w:color w:val="auto"/>
        </w:rPr>
      </w:pPr>
    </w:p>
    <w:tbl>
      <w:tblPr>
        <w:tblStyle w:val="11"/>
        <w:tblW w:w="10184"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3055"/>
        <w:gridCol w:w="528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83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序号</w:t>
            </w:r>
          </w:p>
        </w:tc>
        <w:tc>
          <w:tcPr>
            <w:tcW w:w="305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评审因素</w:t>
            </w:r>
          </w:p>
        </w:tc>
        <w:tc>
          <w:tcPr>
            <w:tcW w:w="5287"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评审标准</w:t>
            </w:r>
          </w:p>
        </w:tc>
        <w:tc>
          <w:tcPr>
            <w:tcW w:w="1007"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83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1</w:t>
            </w:r>
          </w:p>
        </w:tc>
        <w:tc>
          <w:tcPr>
            <w:tcW w:w="3055" w:type="dxa"/>
            <w:vAlign w:val="center"/>
          </w:tcPr>
          <w:p>
            <w:pPr>
              <w:jc w:val="center"/>
              <w:rPr>
                <w:rFonts w:hint="eastAsia" w:ascii="微软雅黑" w:hAnsi="微软雅黑" w:eastAsia="微软雅黑" w:cs="微软雅黑"/>
                <w:color w:val="auto"/>
              </w:rPr>
            </w:pPr>
            <w:r>
              <w:rPr>
                <w:rFonts w:hint="eastAsia" w:ascii="宋体" w:hAnsi="宋体" w:eastAsia="宋体" w:cs="宋体"/>
                <w:color w:val="auto"/>
              </w:rPr>
              <w:t>政策性加分</w:t>
            </w:r>
          </w:p>
        </w:tc>
        <w:tc>
          <w:tcPr>
            <w:tcW w:w="5287" w:type="dxa"/>
            <w:vAlign w:val="center"/>
          </w:tcPr>
          <w:p>
            <w:pPr>
              <w:jc w:val="both"/>
              <w:rPr>
                <w:rFonts w:hint="eastAsia" w:ascii="微软雅黑" w:hAnsi="微软雅黑" w:eastAsia="微软雅黑" w:cs="微软雅黑"/>
                <w:color w:val="auto"/>
              </w:rPr>
            </w:pPr>
            <w:r>
              <w:rPr>
                <w:rFonts w:hint="eastAsia" w:ascii="宋体" w:hAnsi="宋体" w:eastAsia="宋体" w:cs="宋体"/>
                <w:color w:val="auto"/>
              </w:rPr>
              <w:t>根据《关于进一步落实政府采购有关政策的通知》黔财采〔2014〕15号及相关规定：投标产品属于最新一期“节能产品清单”或“环保产品清单”有效期内中的产品（强制采购产品除外），在总得分基础上，每一项加0.3分；投标产品同时属于“节能产品清单”和“环保产品清单”两个清单中产品的，在总得分基础上，每一项加0.5分，此项最多加分2分。（须提供相关证明文件）</w:t>
            </w:r>
          </w:p>
        </w:tc>
        <w:tc>
          <w:tcPr>
            <w:tcW w:w="1007"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83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2</w:t>
            </w:r>
          </w:p>
        </w:tc>
        <w:tc>
          <w:tcPr>
            <w:tcW w:w="3055" w:type="dxa"/>
            <w:vAlign w:val="center"/>
          </w:tcPr>
          <w:p>
            <w:pPr>
              <w:jc w:val="center"/>
              <w:rPr>
                <w:rFonts w:hint="eastAsia" w:ascii="微软雅黑" w:hAnsi="微软雅黑" w:eastAsia="微软雅黑" w:cs="微软雅黑"/>
                <w:color w:val="auto"/>
              </w:rPr>
            </w:pPr>
            <w:r>
              <w:rPr>
                <w:rFonts w:hint="eastAsia" w:ascii="宋体" w:hAnsi="宋体" w:eastAsia="宋体" w:cs="宋体"/>
                <w:color w:val="auto"/>
              </w:rPr>
              <w:t>政策性加分</w:t>
            </w:r>
          </w:p>
        </w:tc>
        <w:tc>
          <w:tcPr>
            <w:tcW w:w="5287" w:type="dxa"/>
            <w:vAlign w:val="center"/>
          </w:tcPr>
          <w:p>
            <w:pPr>
              <w:jc w:val="both"/>
              <w:rPr>
                <w:rFonts w:hint="eastAsia" w:ascii="微软雅黑" w:hAnsi="微软雅黑" w:eastAsia="微软雅黑" w:cs="微软雅黑"/>
                <w:color w:val="auto"/>
              </w:rPr>
            </w:pPr>
            <w:r>
              <w:rPr>
                <w:rFonts w:hint="eastAsia" w:ascii="宋体" w:hAnsi="宋体" w:eastAsia="宋体" w:cs="宋体"/>
                <w:color w:val="auto"/>
              </w:rPr>
              <w:t>原产地在少数民族自治区和享受少数民族自治待遇的省份的投标主产品（不含附带产品），在总得分基础上加3分。（须提供相关证明文件）</w:t>
            </w:r>
          </w:p>
        </w:tc>
        <w:tc>
          <w:tcPr>
            <w:tcW w:w="1007"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3</w:t>
            </w:r>
          </w:p>
        </w:tc>
      </w:tr>
    </w:tbl>
    <w:p>
      <w:pPr>
        <w:spacing w:line="170" w:lineRule="exact"/>
        <w:rPr>
          <w:rFonts w:hint="eastAsia" w:ascii="微软雅黑" w:hAnsi="微软雅黑" w:eastAsia="微软雅黑" w:cs="微软雅黑"/>
          <w:color w:val="auto"/>
          <w:spacing w:val="8"/>
        </w:rPr>
      </w:pPr>
    </w:p>
    <w:p>
      <w:pPr>
        <w:spacing w:line="170" w:lineRule="exact"/>
        <w:rPr>
          <w:rFonts w:hint="eastAsia" w:ascii="微软雅黑" w:hAnsi="微软雅黑" w:eastAsia="微软雅黑" w:cs="微软雅黑"/>
          <w:color w:val="auto"/>
          <w:spacing w:val="8"/>
        </w:rPr>
      </w:pPr>
    </w:p>
    <w:p>
      <w:pPr>
        <w:spacing w:line="170" w:lineRule="exact"/>
        <w:rPr>
          <w:rFonts w:hint="eastAsia" w:ascii="微软雅黑" w:hAnsi="微软雅黑" w:eastAsia="微软雅黑" w:cs="微软雅黑"/>
          <w:color w:val="auto"/>
        </w:rPr>
      </w:pPr>
    </w:p>
    <w:p>
      <w:pPr>
        <w:pStyle w:val="4"/>
        <w:rPr>
          <w:rFonts w:eastAsia="微软雅黑"/>
          <w:color w:val="auto"/>
        </w:rPr>
      </w:pPr>
      <w:r>
        <w:rPr>
          <w:rFonts w:hint="eastAsia" w:ascii="微软雅黑" w:hAnsi="微软雅黑" w:eastAsia="微软雅黑" w:cs="微软雅黑"/>
          <w:color w:val="auto"/>
          <w:sz w:val="21"/>
          <w:szCs w:val="21"/>
        </w:rPr>
        <w:t>报价分</w:t>
      </w:r>
    </w:p>
    <w:p>
      <w:pPr>
        <w:spacing w:line="158" w:lineRule="exact"/>
        <w:rPr>
          <w:color w:val="auto"/>
        </w:rPr>
      </w:pPr>
    </w:p>
    <w:tbl>
      <w:tblPr>
        <w:tblStyle w:val="11"/>
        <w:tblW w:w="1018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3055"/>
        <w:gridCol w:w="528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83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序号</w:t>
            </w:r>
          </w:p>
        </w:tc>
        <w:tc>
          <w:tcPr>
            <w:tcW w:w="305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评审因素</w:t>
            </w:r>
          </w:p>
        </w:tc>
        <w:tc>
          <w:tcPr>
            <w:tcW w:w="5287"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评审标准</w:t>
            </w:r>
          </w:p>
        </w:tc>
        <w:tc>
          <w:tcPr>
            <w:tcW w:w="1007"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835" w:type="dxa"/>
            <w:vAlign w:val="center"/>
          </w:tcPr>
          <w:p>
            <w:pPr>
              <w:jc w:val="center"/>
              <w:rPr>
                <w:rFonts w:eastAsia="宋体"/>
                <w:color w:val="auto"/>
              </w:rPr>
            </w:pPr>
          </w:p>
        </w:tc>
        <w:tc>
          <w:tcPr>
            <w:tcW w:w="305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2"/>
              </w:rPr>
              <w:t>报价得分</w:t>
            </w:r>
          </w:p>
        </w:tc>
        <w:tc>
          <w:tcPr>
            <w:tcW w:w="5287" w:type="dxa"/>
            <w:vAlign w:val="center"/>
          </w:tcPr>
          <w:p>
            <w:pPr>
              <w:numPr>
                <w:ilvl w:val="0"/>
                <w:numId w:val="4"/>
              </w:numPr>
              <w:spacing w:line="360" w:lineRule="auto"/>
              <w:ind w:left="34" w:right="102" w:firstLine="35"/>
              <w:rPr>
                <w:rFonts w:hint="eastAsia" w:ascii="微软雅黑" w:hAnsi="微软雅黑" w:eastAsia="微软雅黑" w:cs="微软雅黑"/>
                <w:color w:val="auto"/>
              </w:rPr>
            </w:pPr>
            <w:r>
              <w:rPr>
                <w:rFonts w:hint="eastAsia" w:ascii="微软雅黑" w:hAnsi="微软雅黑" w:eastAsia="微软雅黑" w:cs="微软雅黑"/>
                <w:color w:val="auto"/>
              </w:rPr>
              <w:t xml:space="preserve">报价总报价=投标报价                                 </w:t>
            </w:r>
          </w:p>
          <w:p>
            <w:pPr>
              <w:spacing w:line="360" w:lineRule="auto"/>
              <w:ind w:left="69" w:right="102"/>
              <w:rPr>
                <w:rFonts w:hint="eastAsia" w:ascii="微软雅黑" w:hAnsi="微软雅黑" w:eastAsia="微软雅黑" w:cs="微软雅黑"/>
                <w:color w:val="auto"/>
              </w:rPr>
            </w:pPr>
            <w:r>
              <w:rPr>
                <w:rFonts w:hint="eastAsia" w:ascii="微软雅黑" w:hAnsi="微软雅黑" w:eastAsia="微软雅黑" w:cs="微软雅黑"/>
                <w:color w:val="auto"/>
              </w:rPr>
              <w:t xml:space="preserve">  (2)报价得分= (最低报价总报价/各投标人的报价总报价) *10</w:t>
            </w:r>
          </w:p>
          <w:p>
            <w:pPr>
              <w:spacing w:line="360" w:lineRule="auto"/>
              <w:ind w:left="69" w:right="102"/>
              <w:rPr>
                <w:rFonts w:hint="eastAsia" w:ascii="微软雅黑" w:hAnsi="微软雅黑" w:eastAsia="微软雅黑" w:cs="微软雅黑"/>
                <w:color w:val="auto"/>
              </w:rPr>
            </w:pPr>
            <w:r>
              <w:rPr>
                <w:rFonts w:hint="eastAsia" w:ascii="微软雅黑" w:hAnsi="微软雅黑" w:eastAsia="微软雅黑" w:cs="微软雅黑"/>
                <w:color w:val="auto"/>
              </w:rPr>
              <w:t>备注：本项目专门面向中小企业采购。</w:t>
            </w:r>
          </w:p>
          <w:p>
            <w:pPr>
              <w:spacing w:line="360"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rPr>
              <w:t>报价扣除说明：</w:t>
            </w:r>
          </w:p>
          <w:p>
            <w:pPr>
              <w:pStyle w:val="4"/>
              <w:spacing w:after="0"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小型企业价格扣除率：0%；微型企业价格扣除率：0%</w:t>
            </w:r>
          </w:p>
          <w:p>
            <w:pPr>
              <w:pStyle w:val="4"/>
              <w:spacing w:after="0"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监狱、福利性企业视为：小型企业</w:t>
            </w:r>
          </w:p>
          <w:p>
            <w:pPr>
              <w:pStyle w:val="4"/>
              <w:spacing w:after="0"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扣除后的金额报价=金额报价* (1-扣除率)</w:t>
            </w:r>
          </w:p>
          <w:p>
            <w:pPr>
              <w:pStyle w:val="4"/>
              <w:spacing w:after="0"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备注：投标人或产品若同时享有以上价格扣除情况的 ， 仅对“投标报价分”进行一次价格扣除 ，并不作叠加扣除。</w:t>
            </w:r>
          </w:p>
        </w:tc>
        <w:tc>
          <w:tcPr>
            <w:tcW w:w="1007" w:type="dxa"/>
            <w:vAlign w:val="center"/>
          </w:tcPr>
          <w:p>
            <w:pPr>
              <w:jc w:val="center"/>
              <w:rPr>
                <w:rFonts w:eastAsia="宋体"/>
                <w:color w:val="auto"/>
              </w:rPr>
            </w:pPr>
            <w:r>
              <w:rPr>
                <w:rFonts w:hint="eastAsia" w:eastAsia="宋体"/>
                <w:color w:val="auto"/>
              </w:rPr>
              <w:t>10</w:t>
            </w:r>
          </w:p>
        </w:tc>
      </w:tr>
    </w:tbl>
    <w:p>
      <w:pPr>
        <w:rPr>
          <w:color w:val="auto"/>
        </w:rPr>
        <w:sectPr>
          <w:footerReference r:id="rId8" w:type="default"/>
          <w:pgSz w:w="11900" w:h="16840"/>
          <w:pgMar w:top="400" w:right="860" w:bottom="448" w:left="839" w:header="0" w:footer="207" w:gutter="0"/>
          <w:cols w:space="720" w:num="1"/>
        </w:sectPr>
      </w:pPr>
    </w:p>
    <w:p>
      <w:pPr>
        <w:spacing w:line="249" w:lineRule="auto"/>
        <w:rPr>
          <w:color w:val="auto"/>
        </w:rPr>
      </w:pPr>
    </w:p>
    <w:p>
      <w:pPr>
        <w:spacing w:line="249" w:lineRule="auto"/>
        <w:rPr>
          <w:color w:val="auto"/>
        </w:rPr>
      </w:pPr>
    </w:p>
    <w:p>
      <w:pPr>
        <w:spacing w:line="250" w:lineRule="auto"/>
        <w:rPr>
          <w:color w:val="auto"/>
        </w:rPr>
      </w:pPr>
    </w:p>
    <w:p>
      <w:pPr>
        <w:spacing w:before="104" w:line="220" w:lineRule="auto"/>
        <w:ind w:left="3302"/>
        <w:outlineLvl w:val="1"/>
        <w:rPr>
          <w:rFonts w:hint="eastAsia" w:ascii="宋体" w:hAnsi="宋体" w:eastAsia="宋体" w:cs="宋体"/>
          <w:color w:val="auto"/>
          <w:sz w:val="32"/>
          <w:szCs w:val="32"/>
        </w:rPr>
      </w:pPr>
      <w:bookmarkStart w:id="23" w:name="_bookmark34"/>
      <w:bookmarkEnd w:id="23"/>
      <w:bookmarkStart w:id="24" w:name="_bookmark33"/>
      <w:bookmarkEnd w:id="24"/>
      <w:bookmarkStart w:id="25" w:name="_bookmark32"/>
      <w:bookmarkEnd w:id="25"/>
      <w:r>
        <w:rPr>
          <w:rFonts w:ascii="宋体" w:hAnsi="宋体" w:eastAsia="宋体" w:cs="宋体"/>
          <w:color w:val="auto"/>
          <w:spacing w:val="-2"/>
          <w:sz w:val="32"/>
          <w:szCs w:val="32"/>
        </w:rPr>
        <w:t>二、评标</w:t>
      </w:r>
      <w:r>
        <w:rPr>
          <w:rFonts w:ascii="宋体" w:hAnsi="宋体" w:eastAsia="宋体" w:cs="宋体"/>
          <w:color w:val="auto"/>
          <w:spacing w:val="-1"/>
          <w:sz w:val="32"/>
          <w:szCs w:val="32"/>
        </w:rPr>
        <w:t>办法正文</w:t>
      </w:r>
    </w:p>
    <w:p>
      <w:pPr>
        <w:spacing w:line="375" w:lineRule="auto"/>
        <w:rPr>
          <w:color w:val="auto"/>
        </w:rPr>
      </w:pPr>
    </w:p>
    <w:p>
      <w:pPr>
        <w:spacing w:before="97" w:line="221" w:lineRule="auto"/>
        <w:ind w:left="3450"/>
        <w:outlineLvl w:val="2"/>
        <w:rPr>
          <w:rFonts w:hint="eastAsia" w:ascii="宋体" w:hAnsi="宋体" w:eastAsia="宋体" w:cs="宋体"/>
          <w:color w:val="auto"/>
          <w:sz w:val="30"/>
          <w:szCs w:val="30"/>
        </w:rPr>
      </w:pPr>
      <w:r>
        <w:rPr>
          <w:rFonts w:ascii="宋体" w:hAnsi="宋体" w:eastAsia="宋体" w:cs="宋体"/>
          <w:color w:val="auto"/>
          <w:spacing w:val="-1"/>
          <w:sz w:val="30"/>
          <w:szCs w:val="30"/>
        </w:rPr>
        <w:t>第一节 评标</w:t>
      </w:r>
      <w:r>
        <w:rPr>
          <w:rFonts w:ascii="宋体" w:hAnsi="宋体" w:eastAsia="宋体" w:cs="宋体"/>
          <w:color w:val="auto"/>
          <w:sz w:val="30"/>
          <w:szCs w:val="30"/>
        </w:rPr>
        <w:t>办法</w:t>
      </w:r>
    </w:p>
    <w:p>
      <w:pPr>
        <w:spacing w:line="382" w:lineRule="auto"/>
        <w:rPr>
          <w:color w:val="auto"/>
        </w:rPr>
      </w:pPr>
    </w:p>
    <w:p>
      <w:pPr>
        <w:spacing w:before="68" w:line="360" w:lineRule="auto"/>
        <w:ind w:left="415"/>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一、评标办法</w:t>
      </w:r>
    </w:p>
    <w:p>
      <w:pPr>
        <w:spacing w:line="360" w:lineRule="auto"/>
        <w:ind w:left="415"/>
        <w:outlineLvl w:val="1"/>
        <w:rPr>
          <w:rFonts w:hint="eastAsia" w:asciiTheme="minorEastAsia" w:hAnsiTheme="minorEastAsia" w:eastAsiaTheme="minorEastAsia" w:cstheme="minorEastAsia"/>
          <w:color w:val="auto"/>
          <w:spacing w:val="-21"/>
          <w:sz w:val="24"/>
          <w:szCs w:val="24"/>
        </w:rPr>
      </w:pPr>
      <w:r>
        <w:rPr>
          <w:rFonts w:hint="eastAsia" w:asciiTheme="minorEastAsia" w:hAnsiTheme="minorEastAsia" w:eastAsiaTheme="minorEastAsia" w:cstheme="minorEastAsia"/>
          <w:color w:val="auto"/>
          <w:spacing w:val="-21"/>
          <w:sz w:val="24"/>
          <w:szCs w:val="24"/>
        </w:rPr>
        <w:t>本项目采用</w:t>
      </w:r>
      <w:r>
        <w:rPr>
          <w:rFonts w:hint="eastAsia" w:asciiTheme="minorEastAsia" w:hAnsiTheme="minorEastAsia" w:eastAsiaTheme="minorEastAsia" w:cstheme="minorEastAsia"/>
          <w:color w:val="auto"/>
          <w:spacing w:val="-21"/>
          <w:sz w:val="24"/>
          <w:szCs w:val="24"/>
          <w:u w:val="single"/>
        </w:rPr>
        <w:t xml:space="preserve"> 综合评分法</w:t>
      </w:r>
      <w:r>
        <w:rPr>
          <w:rFonts w:hint="eastAsia" w:asciiTheme="minorEastAsia" w:hAnsiTheme="minorEastAsia" w:eastAsiaTheme="minorEastAsia" w:cstheme="minorEastAsia"/>
          <w:color w:val="auto"/>
          <w:spacing w:val="-21"/>
          <w:sz w:val="24"/>
          <w:szCs w:val="24"/>
        </w:rPr>
        <w:t xml:space="preserve"> 进行评审。</w:t>
      </w:r>
    </w:p>
    <w:p>
      <w:pPr>
        <w:spacing w:line="360" w:lineRule="auto"/>
        <w:ind w:left="415" w:firstLine="396" w:firstLineChars="200"/>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1"/>
          <w:sz w:val="24"/>
          <w:szCs w:val="24"/>
        </w:rPr>
        <w:t>综合评分法，是指投标文件满足采购文件全部实质性要求，且按照评审因素的量化指标 评审得分最高的投标供应商为中标候选人的评标方法。采用综合评分法的， 评标结果按评审后得分由高到低顺序排列。得分相同的，按投标报价由低到高顺序排列。得分且投标报价相同的并列。投标文件满足采购文件全部实质性要求，且按照评审因素的量化指标评审得分最高的投标供应商为排名第一的中标候选人。二</w:t>
      </w:r>
      <w:r>
        <w:rPr>
          <w:rFonts w:hint="eastAsia" w:asciiTheme="minorEastAsia" w:hAnsiTheme="minorEastAsia" w:eastAsiaTheme="minorEastAsia" w:cstheme="minorEastAsia"/>
          <w:color w:val="auto"/>
          <w:spacing w:val="-15"/>
          <w:sz w:val="24"/>
          <w:szCs w:val="24"/>
        </w:rPr>
        <w:t>、 评分因素</w:t>
      </w:r>
    </w:p>
    <w:p>
      <w:pPr>
        <w:tabs>
          <w:tab w:val="left" w:pos="148"/>
        </w:tabs>
        <w:spacing w:before="157" w:line="360" w:lineRule="auto"/>
        <w:ind w:left="36" w:right="63" w:firstLine="4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评分的主要因素</w:t>
      </w:r>
      <w:r>
        <w:rPr>
          <w:rFonts w:hint="eastAsia" w:asciiTheme="minorEastAsia" w:hAnsiTheme="minorEastAsia" w:eastAsiaTheme="minorEastAsia" w:cstheme="minorEastAsia"/>
          <w:color w:val="auto"/>
          <w:spacing w:val="2"/>
          <w:sz w:val="24"/>
          <w:szCs w:val="24"/>
        </w:rPr>
        <w:t>分为价格因素、技术因素和商务因素</w:t>
      </w:r>
      <w:r>
        <w:rPr>
          <w:rFonts w:hint="eastAsia" w:asciiTheme="minorEastAsia" w:hAnsiTheme="minorEastAsia" w:eastAsiaTheme="minorEastAsia" w:cstheme="minorEastAsia"/>
          <w:color w:val="auto"/>
          <w:spacing w:val="-7"/>
          <w:sz w:val="24"/>
          <w:szCs w:val="24"/>
        </w:rPr>
        <w:t>。评分因素详见评分表。评标分值保留至两位小数。</w:t>
      </w:r>
      <w:r>
        <w:rPr>
          <w:rFonts w:hint="eastAsia" w:asciiTheme="minorEastAsia" w:hAnsiTheme="minorEastAsia" w:eastAsiaTheme="minorEastAsia" w:cstheme="minorEastAsia"/>
          <w:color w:val="auto"/>
          <w:spacing w:val="-1"/>
          <w:sz w:val="24"/>
          <w:szCs w:val="24"/>
        </w:rPr>
        <w:t>评标时，</w:t>
      </w:r>
      <w:r>
        <w:rPr>
          <w:rFonts w:hint="eastAsia" w:asciiTheme="minorEastAsia" w:hAnsiTheme="minorEastAsia" w:eastAsiaTheme="minorEastAsia" w:cstheme="minorEastAsia"/>
          <w:color w:val="auto"/>
          <w:sz w:val="24"/>
          <w:szCs w:val="24"/>
        </w:rPr>
        <w:t>评标专家依照评分表对每个有效供应商的竞争性磋商响应文件进行独立评审、打分。</w:t>
      </w:r>
    </w:p>
    <w:p>
      <w:pPr>
        <w:spacing w:line="360" w:lineRule="auto"/>
        <w:ind w:left="411"/>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position w:val="14"/>
          <w:sz w:val="24"/>
          <w:szCs w:val="24"/>
        </w:rPr>
        <w:t>三、评</w:t>
      </w:r>
      <w:r>
        <w:rPr>
          <w:rFonts w:hint="eastAsia" w:asciiTheme="minorEastAsia" w:hAnsiTheme="minorEastAsia" w:eastAsiaTheme="minorEastAsia" w:cstheme="minorEastAsia"/>
          <w:color w:val="auto"/>
          <w:position w:val="14"/>
          <w:sz w:val="24"/>
          <w:szCs w:val="24"/>
        </w:rPr>
        <w:t>分标准</w:t>
      </w:r>
    </w:p>
    <w:p>
      <w:pPr>
        <w:spacing w:before="78" w:line="360" w:lineRule="auto"/>
        <w:ind w:firstLine="472" w:firstLineChars="200"/>
        <w:outlineLvl w:val="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1.初步审查表：详见评标办法前附表</w:t>
      </w:r>
    </w:p>
    <w:p>
      <w:pPr>
        <w:spacing w:before="78" w:line="360" w:lineRule="auto"/>
        <w:ind w:firstLine="472" w:firstLineChars="200"/>
        <w:outlineLvl w:val="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2.评分表：详见评标办法前附表</w:t>
      </w:r>
    </w:p>
    <w:p>
      <w:pPr>
        <w:spacing w:before="78" w:line="360" w:lineRule="auto"/>
        <w:ind w:firstLine="472" w:firstLineChars="200"/>
        <w:outlineLvl w:val="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3.价格分的计算</w:t>
      </w:r>
    </w:p>
    <w:p>
      <w:pPr>
        <w:spacing w:before="78" w:line="360" w:lineRule="auto"/>
        <w:ind w:firstLine="44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（1）价格分采用低价优先法计算， 即满足采购文件要求的前提下， 最低有效投</w:t>
      </w:r>
      <w:r>
        <w:rPr>
          <w:rFonts w:hint="eastAsia" w:asciiTheme="minorEastAsia" w:hAnsiTheme="minorEastAsia" w:eastAsiaTheme="minorEastAsia" w:cstheme="minorEastAsia"/>
          <w:color w:val="auto"/>
          <w:spacing w:val="-5"/>
          <w:sz w:val="24"/>
          <w:szCs w:val="24"/>
        </w:rPr>
        <w:t>标</w:t>
      </w:r>
      <w:r>
        <w:rPr>
          <w:rFonts w:hint="eastAsia" w:asciiTheme="minorEastAsia" w:hAnsiTheme="minorEastAsia" w:eastAsiaTheme="minorEastAsia" w:cstheme="minorEastAsia"/>
          <w:color w:val="auto"/>
          <w:spacing w:val="-12"/>
          <w:sz w:val="24"/>
          <w:szCs w:val="24"/>
        </w:rPr>
        <w:t>报</w:t>
      </w:r>
      <w:r>
        <w:rPr>
          <w:rFonts w:hint="eastAsia" w:asciiTheme="minorEastAsia" w:hAnsiTheme="minorEastAsia" w:eastAsiaTheme="minorEastAsia" w:cstheme="minorEastAsia"/>
          <w:color w:val="auto"/>
          <w:spacing w:val="-8"/>
          <w:sz w:val="24"/>
          <w:szCs w:val="24"/>
        </w:rPr>
        <w:t>价</w:t>
      </w:r>
      <w:r>
        <w:rPr>
          <w:rFonts w:hint="eastAsia" w:asciiTheme="minorEastAsia" w:hAnsiTheme="minorEastAsia" w:eastAsiaTheme="minorEastAsia" w:cstheme="minorEastAsia"/>
          <w:color w:val="auto"/>
          <w:spacing w:val="-6"/>
          <w:sz w:val="24"/>
          <w:szCs w:val="24"/>
        </w:rPr>
        <w:t>作为评标基准价， 其价格分为满分。其余供应商价格分统一按照下列公式计</w:t>
      </w:r>
      <w:r>
        <w:rPr>
          <w:rFonts w:hint="eastAsia" w:asciiTheme="minorEastAsia" w:hAnsiTheme="minorEastAsia" w:eastAsiaTheme="minorEastAsia" w:cstheme="minorEastAsia"/>
          <w:color w:val="auto"/>
          <w:spacing w:val="-18"/>
          <w:sz w:val="24"/>
          <w:szCs w:val="24"/>
        </w:rPr>
        <w:t>算</w:t>
      </w:r>
      <w:r>
        <w:rPr>
          <w:rFonts w:hint="eastAsia" w:asciiTheme="minorEastAsia" w:hAnsiTheme="minorEastAsia" w:eastAsiaTheme="minorEastAsia" w:cstheme="minorEastAsia"/>
          <w:color w:val="auto"/>
          <w:spacing w:val="-16"/>
          <w:sz w:val="24"/>
          <w:szCs w:val="24"/>
        </w:rPr>
        <w:t>：</w:t>
      </w:r>
    </w:p>
    <w:p>
      <w:pPr>
        <w:spacing w:before="78" w:line="360" w:lineRule="auto"/>
        <w:ind w:right="104" w:firstLine="472" w:firstLineChars="20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投标报价得分＝(评标基准价／投标报价)×价格权值× 100</w:t>
      </w:r>
    </w:p>
    <w:p>
      <w:pPr>
        <w:spacing w:line="360" w:lineRule="auto"/>
        <w:ind w:firstLine="480" w:firstLineChars="200"/>
        <w:rPr>
          <w:rFonts w:hint="eastAsia" w:asciiTheme="minorEastAsia" w:hAnsiTheme="minorEastAsia" w:eastAsiaTheme="minorEastAsia" w:cstheme="minorEastAsia"/>
          <w:color w:val="auto"/>
          <w:sz w:val="24"/>
          <w:szCs w:val="24"/>
        </w:rPr>
      </w:pPr>
    </w:p>
    <w:p>
      <w:pPr>
        <w:spacing w:before="78" w:line="360" w:lineRule="auto"/>
        <w:ind w:right="104" w:firstLine="47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综合评分法货物项目的价格分值占总分值的比重(即权值)为30％至 60</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服务项目的价格分值</w:t>
      </w:r>
      <w:r>
        <w:rPr>
          <w:rFonts w:hint="eastAsia" w:asciiTheme="minorEastAsia" w:hAnsiTheme="minorEastAsia" w:eastAsiaTheme="minorEastAsia" w:cstheme="minorEastAsia"/>
          <w:color w:val="auto"/>
          <w:spacing w:val="-5"/>
          <w:sz w:val="24"/>
          <w:szCs w:val="24"/>
        </w:rPr>
        <w:t>占</w:t>
      </w:r>
      <w:r>
        <w:rPr>
          <w:rFonts w:hint="eastAsia" w:asciiTheme="minorEastAsia" w:hAnsiTheme="minorEastAsia" w:eastAsiaTheme="minorEastAsia" w:cstheme="minorEastAsia"/>
          <w:color w:val="auto"/>
          <w:spacing w:val="-3"/>
          <w:sz w:val="24"/>
          <w:szCs w:val="24"/>
        </w:rPr>
        <w:t>总分值的比重(即权值)为 10％至 30％。采购项目中含不</w:t>
      </w:r>
      <w:r>
        <w:rPr>
          <w:rFonts w:hint="eastAsia" w:asciiTheme="minorEastAsia" w:hAnsiTheme="minorEastAsia" w:eastAsiaTheme="minorEastAsia" w:cstheme="minorEastAsia"/>
          <w:color w:val="auto"/>
          <w:spacing w:val="-2"/>
          <w:sz w:val="24"/>
          <w:szCs w:val="24"/>
        </w:rPr>
        <w:t>同采购对象的，以占项目资金</w:t>
      </w:r>
      <w:r>
        <w:rPr>
          <w:rFonts w:hint="eastAsia" w:asciiTheme="minorEastAsia" w:hAnsiTheme="minorEastAsia" w:eastAsiaTheme="minorEastAsia" w:cstheme="minorEastAsia"/>
          <w:color w:val="auto"/>
          <w:spacing w:val="-1"/>
          <w:sz w:val="24"/>
          <w:szCs w:val="24"/>
        </w:rPr>
        <w:t>比例最高的采购对象确定其项目属性。</w:t>
      </w:r>
    </w:p>
    <w:p>
      <w:pPr>
        <w:spacing w:before="78" w:line="360" w:lineRule="auto"/>
        <w:ind w:right="104" w:firstLine="456" w:firstLineChars="200"/>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（2）价格扣除政策</w:t>
      </w:r>
    </w:p>
    <w:p>
      <w:pPr>
        <w:spacing w:line="360" w:lineRule="auto"/>
        <w:rPr>
          <w:rFonts w:hint="eastAsia" w:asciiTheme="minorEastAsia" w:hAnsiTheme="minorEastAsia" w:eastAsiaTheme="minorEastAsia" w:cstheme="minorEastAsia"/>
          <w:color w:val="auto"/>
          <w:sz w:val="24"/>
          <w:szCs w:val="24"/>
        </w:rPr>
      </w:pPr>
    </w:p>
    <w:p>
      <w:pPr>
        <w:spacing w:before="78" w:line="360" w:lineRule="auto"/>
        <w:ind w:firstLine="4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根据《政府采购促进中小企业发展管理办法》(财库〔2020〕46 号)</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z w:val="24"/>
          <w:szCs w:val="24"/>
        </w:rPr>
        <w:t xml:space="preserve">关于 </w:t>
      </w:r>
      <w:r>
        <w:rPr>
          <w:rFonts w:hint="eastAsia" w:asciiTheme="minorEastAsia" w:hAnsiTheme="minorEastAsia" w:eastAsiaTheme="minorEastAsia" w:cstheme="minorEastAsia"/>
          <w:color w:val="auto"/>
          <w:spacing w:val="-4"/>
          <w:sz w:val="24"/>
          <w:szCs w:val="24"/>
        </w:rPr>
        <w:t>政</w:t>
      </w:r>
      <w:r>
        <w:rPr>
          <w:rFonts w:hint="eastAsia" w:asciiTheme="minorEastAsia" w:hAnsiTheme="minorEastAsia" w:eastAsiaTheme="minorEastAsia" w:cstheme="minorEastAsia"/>
          <w:color w:val="auto"/>
          <w:spacing w:val="-3"/>
          <w:sz w:val="24"/>
          <w:szCs w:val="24"/>
        </w:rPr>
        <w:t>府</w:t>
      </w:r>
      <w:r>
        <w:rPr>
          <w:rFonts w:hint="eastAsia" w:asciiTheme="minorEastAsia" w:hAnsiTheme="minorEastAsia" w:eastAsiaTheme="minorEastAsia" w:cstheme="minorEastAsia"/>
          <w:color w:val="auto"/>
          <w:spacing w:val="-2"/>
          <w:sz w:val="24"/>
          <w:szCs w:val="24"/>
        </w:rPr>
        <w:t>采购支持监狱企业发展有关问题的通知(财库〔2014〕68 号)、关于促进残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疾人就业政府采购政策</w:t>
      </w:r>
      <w:r>
        <w:rPr>
          <w:rFonts w:hint="eastAsia" w:asciiTheme="minorEastAsia" w:hAnsiTheme="minorEastAsia" w:eastAsiaTheme="minorEastAsia" w:cstheme="minorEastAsia"/>
          <w:color w:val="auto"/>
          <w:spacing w:val="-3"/>
          <w:sz w:val="24"/>
          <w:szCs w:val="24"/>
        </w:rPr>
        <w:t>的</w:t>
      </w:r>
      <w:r>
        <w:rPr>
          <w:rFonts w:hint="eastAsia" w:asciiTheme="minorEastAsia" w:hAnsiTheme="minorEastAsia" w:eastAsiaTheme="minorEastAsia" w:cstheme="minorEastAsia"/>
          <w:color w:val="auto"/>
          <w:spacing w:val="-2"/>
          <w:sz w:val="24"/>
          <w:szCs w:val="24"/>
        </w:rPr>
        <w:t>通知(财库〔2017〕141 号) 及相关规定， 在技术、商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务等均满足采</w:t>
      </w:r>
      <w:r>
        <w:rPr>
          <w:rFonts w:hint="eastAsia" w:asciiTheme="minorEastAsia" w:hAnsiTheme="minorEastAsia" w:eastAsiaTheme="minorEastAsia" w:cstheme="minorEastAsia"/>
          <w:color w:val="auto"/>
          <w:sz w:val="24"/>
          <w:szCs w:val="24"/>
        </w:rPr>
        <w:t>购需求的前提下，本项目对享受价格扣除政策企业的产品给予</w:t>
      </w:r>
      <w:r>
        <w:rPr>
          <w:rFonts w:hint="eastAsia" w:asciiTheme="minorEastAsia" w:hAnsiTheme="minorEastAsia" w:eastAsiaTheme="minorEastAsia" w:cstheme="minorEastAsia"/>
          <w:color w:val="auto"/>
          <w:sz w:val="24"/>
          <w:szCs w:val="24"/>
          <w:u w:val="single"/>
        </w:rPr>
        <w:t>0%</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的价格扣除，用扣除后的价格参与评审(说明： 监狱企业视同小型、微型企业，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享受预留份</w:t>
      </w:r>
      <w:r>
        <w:rPr>
          <w:rFonts w:hint="eastAsia" w:asciiTheme="minorEastAsia" w:hAnsiTheme="minorEastAsia" w:eastAsiaTheme="minorEastAsia" w:cstheme="minorEastAsia"/>
          <w:color w:val="auto"/>
          <w:spacing w:val="-1"/>
          <w:sz w:val="24"/>
          <w:szCs w:val="24"/>
        </w:rPr>
        <w:t>额、评审中价格扣除等政府采购促进中小企业发展的政府采购政策，</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8"/>
          <w:sz w:val="24"/>
          <w:szCs w:val="24"/>
        </w:rPr>
        <w:t>残疾</w:t>
      </w:r>
      <w:r>
        <w:rPr>
          <w:rFonts w:hint="eastAsia" w:asciiTheme="minorEastAsia" w:hAnsiTheme="minorEastAsia" w:eastAsiaTheme="minorEastAsia" w:cstheme="minorEastAsia"/>
          <w:color w:val="auto"/>
          <w:spacing w:val="-11"/>
          <w:sz w:val="24"/>
          <w:szCs w:val="24"/>
        </w:rPr>
        <w:t>人</w:t>
      </w:r>
      <w:r>
        <w:rPr>
          <w:rFonts w:hint="eastAsia" w:asciiTheme="minorEastAsia" w:hAnsiTheme="minorEastAsia" w:eastAsiaTheme="minorEastAsia" w:cstheme="minorEastAsia"/>
          <w:color w:val="auto"/>
          <w:spacing w:val="-9"/>
          <w:sz w:val="24"/>
          <w:szCs w:val="24"/>
        </w:rPr>
        <w:t>福利性单位属于小型、微型企业的， 不重复享受政策)。《残疾人福利性单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位声明函》</w:t>
      </w:r>
      <w:r>
        <w:rPr>
          <w:rFonts w:hint="eastAsia" w:asciiTheme="minorEastAsia" w:hAnsiTheme="minorEastAsia" w:eastAsiaTheme="minorEastAsia" w:cstheme="minorEastAsia"/>
          <w:color w:val="auto"/>
          <w:spacing w:val="-1"/>
          <w:sz w:val="24"/>
          <w:szCs w:val="24"/>
        </w:rPr>
        <w:t>和中小企业须提供《中小企业声明函》且声明函所载内容必需真实，</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8"/>
          <w:sz w:val="24"/>
          <w:szCs w:val="24"/>
        </w:rPr>
        <w:t>如</w:t>
      </w:r>
      <w:r>
        <w:rPr>
          <w:rFonts w:hint="eastAsia" w:asciiTheme="minorEastAsia" w:hAnsiTheme="minorEastAsia" w:eastAsiaTheme="minorEastAsia" w:cstheme="minorEastAsia"/>
          <w:color w:val="auto"/>
          <w:spacing w:val="-12"/>
          <w:sz w:val="24"/>
          <w:szCs w:val="24"/>
        </w:rPr>
        <w:t>有</w:t>
      </w:r>
      <w:r>
        <w:rPr>
          <w:rFonts w:hint="eastAsia" w:asciiTheme="minorEastAsia" w:hAnsiTheme="minorEastAsia" w:eastAsiaTheme="minorEastAsia" w:cstheme="minorEastAsia"/>
          <w:color w:val="auto"/>
          <w:spacing w:val="-9"/>
          <w:sz w:val="24"/>
          <w:szCs w:val="24"/>
        </w:rPr>
        <w:t>虚假， 将依法承担相应责任， 包括取消中标资格等。中小企业划分标准依照</w:t>
      </w:r>
      <w:r>
        <w:rPr>
          <w:rFonts w:hint="eastAsia" w:asciiTheme="minorEastAsia" w:hAnsiTheme="minorEastAsia" w:eastAsiaTheme="minorEastAsia" w:cstheme="minorEastAsia"/>
          <w:color w:val="auto"/>
          <w:spacing w:val="-6"/>
          <w:sz w:val="24"/>
          <w:szCs w:val="24"/>
        </w:rPr>
        <w:t>工业和</w:t>
      </w:r>
      <w:r>
        <w:rPr>
          <w:rFonts w:hint="eastAsia" w:asciiTheme="minorEastAsia" w:hAnsiTheme="minorEastAsia" w:eastAsiaTheme="minorEastAsia" w:cstheme="minorEastAsia"/>
          <w:color w:val="auto"/>
          <w:spacing w:val="-5"/>
          <w:sz w:val="24"/>
          <w:szCs w:val="24"/>
        </w:rPr>
        <w:t>信</w:t>
      </w:r>
      <w:r>
        <w:rPr>
          <w:rFonts w:hint="eastAsia" w:asciiTheme="minorEastAsia" w:hAnsiTheme="minorEastAsia" w:eastAsiaTheme="minorEastAsia" w:cstheme="minorEastAsia"/>
          <w:color w:val="auto"/>
          <w:spacing w:val="-3"/>
          <w:sz w:val="24"/>
          <w:szCs w:val="24"/>
        </w:rPr>
        <w:t>息化部、国家统计局、国家发展和改革委员会、财政部联合下发的《关</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于印发中小企业划型标准规定的通知》</w:t>
      </w:r>
      <w:r>
        <w:rPr>
          <w:rFonts w:hint="eastAsia" w:asciiTheme="minorEastAsia" w:hAnsiTheme="minorEastAsia" w:eastAsiaTheme="minorEastAsia" w:cstheme="minorEastAsia"/>
          <w:color w:val="auto"/>
          <w:sz w:val="24"/>
          <w:szCs w:val="24"/>
        </w:rPr>
        <w:t xml:space="preserve">(工信部联企业《2011》300 号)执行。 </w:t>
      </w:r>
      <w:r>
        <w:rPr>
          <w:rFonts w:hint="eastAsia" w:asciiTheme="minorEastAsia" w:hAnsiTheme="minorEastAsia" w:eastAsiaTheme="minorEastAsia" w:cstheme="minorEastAsia"/>
          <w:color w:val="auto"/>
          <w:spacing w:val="-2"/>
          <w:sz w:val="24"/>
          <w:szCs w:val="24"/>
        </w:rPr>
        <w:t>价格扣除只针对投标报价未超过财政</w:t>
      </w:r>
      <w:r>
        <w:rPr>
          <w:rFonts w:hint="eastAsia" w:asciiTheme="minorEastAsia" w:hAnsiTheme="minorEastAsia" w:eastAsiaTheme="minorEastAsia" w:cstheme="minorEastAsia"/>
          <w:color w:val="auto"/>
          <w:spacing w:val="-1"/>
          <w:sz w:val="24"/>
          <w:szCs w:val="24"/>
        </w:rPr>
        <w:t>控制值的供应商有效。</w:t>
      </w:r>
    </w:p>
    <w:p>
      <w:pPr>
        <w:ind w:firstLine="484" w:firstLineChars="202"/>
        <w:rPr>
          <w:rFonts w:hint="eastAsia" w:ascii="宋体" w:hAnsi="宋体" w:eastAsia="宋体" w:cs="宋体"/>
          <w:color w:val="auto"/>
          <w:sz w:val="24"/>
        </w:rPr>
      </w:pPr>
      <w:bookmarkStart w:id="26" w:name="_bookmark36"/>
      <w:bookmarkEnd w:id="26"/>
      <w:bookmarkStart w:id="27" w:name="_bookmark35"/>
      <w:bookmarkEnd w:id="27"/>
      <w:r>
        <w:rPr>
          <w:rFonts w:hint="eastAsia" w:ascii="宋体" w:hAnsi="宋体" w:eastAsia="宋体" w:cs="宋体"/>
          <w:color w:val="auto"/>
          <w:sz w:val="24"/>
        </w:rPr>
        <w:t>备注：本项目专门面向中小企业采购。</w:t>
      </w:r>
    </w:p>
    <w:p>
      <w:pPr>
        <w:ind w:firstLine="484" w:firstLineChars="202"/>
        <w:rPr>
          <w:rFonts w:ascii="宋体" w:hAnsi="宋体" w:cs="宋体"/>
          <w:color w:val="auto"/>
          <w:sz w:val="24"/>
        </w:rPr>
      </w:pPr>
    </w:p>
    <w:p>
      <w:pPr>
        <w:ind w:firstLine="484" w:firstLineChars="202"/>
        <w:rPr>
          <w:rFonts w:hint="eastAsia" w:ascii="宋体" w:hAnsi="宋体" w:eastAsia="宋体" w:cs="宋体"/>
          <w:color w:val="auto"/>
          <w:sz w:val="24"/>
        </w:rPr>
      </w:pPr>
      <w:r>
        <w:rPr>
          <w:rFonts w:hint="eastAsia" w:ascii="宋体" w:hAnsi="宋体" w:cs="宋体"/>
          <w:color w:val="auto"/>
          <w:sz w:val="24"/>
        </w:rPr>
        <w:t>4.评分汇总表</w:t>
      </w:r>
      <w:r>
        <w:rPr>
          <w:rFonts w:hint="eastAsia" w:ascii="宋体" w:hAnsi="宋体" w:eastAsia="宋体" w:cs="宋体"/>
          <w:color w:val="auto"/>
          <w:sz w:val="24"/>
        </w:rPr>
        <w:t>：</w:t>
      </w:r>
    </w:p>
    <w:p>
      <w:pPr>
        <w:ind w:firstLine="728" w:firstLineChars="202"/>
        <w:jc w:val="center"/>
        <w:rPr>
          <w:rFonts w:ascii="宋体" w:hAnsi="宋体" w:cs="宋体"/>
          <w:color w:val="auto"/>
          <w:sz w:val="24"/>
        </w:rPr>
      </w:pPr>
      <w:r>
        <w:rPr>
          <w:rFonts w:hint="eastAsia" w:ascii="宋体" w:hAnsi="宋体" w:cs="宋体"/>
          <w:b/>
          <w:bCs/>
          <w:color w:val="auto"/>
          <w:sz w:val="36"/>
          <w:szCs w:val="36"/>
        </w:rPr>
        <w:t>评 分 汇 总 表</w:t>
      </w:r>
    </w:p>
    <w:tbl>
      <w:tblPr>
        <w:tblStyle w:val="6"/>
        <w:tblW w:w="0" w:type="auto"/>
        <w:tblInd w:w="108" w:type="dxa"/>
        <w:tblLayout w:type="fixed"/>
        <w:tblCellMar>
          <w:top w:w="0" w:type="dxa"/>
          <w:left w:w="108" w:type="dxa"/>
          <w:bottom w:w="0" w:type="dxa"/>
          <w:right w:w="108" w:type="dxa"/>
        </w:tblCellMar>
      </w:tblPr>
      <w:tblGrid>
        <w:gridCol w:w="1207"/>
        <w:gridCol w:w="1353"/>
        <w:gridCol w:w="1653"/>
        <w:gridCol w:w="1653"/>
        <w:gridCol w:w="1456"/>
        <w:gridCol w:w="197"/>
        <w:gridCol w:w="1456"/>
      </w:tblGrid>
      <w:tr>
        <w:tblPrEx>
          <w:tblCellMar>
            <w:top w:w="0" w:type="dxa"/>
            <w:left w:w="108" w:type="dxa"/>
            <w:bottom w:w="0" w:type="dxa"/>
            <w:right w:w="108" w:type="dxa"/>
          </w:tblCellMar>
        </w:tblPrEx>
        <w:trPr>
          <w:trHeight w:val="675" w:hRule="atLeast"/>
        </w:trPr>
        <w:tc>
          <w:tcPr>
            <w:tcW w:w="1207" w:type="dxa"/>
            <w:tcBorders>
              <w:top w:val="single" w:color="auto" w:sz="4" w:space="0"/>
              <w:left w:val="single" w:color="auto" w:sz="4" w:space="0"/>
              <w:bottom w:val="nil"/>
              <w:right w:val="single" w:color="auto" w:sz="4" w:space="0"/>
            </w:tcBorders>
            <w:shd w:val="clear" w:color="000000" w:fill="FFFFFF"/>
            <w:vAlign w:val="center"/>
          </w:tcPr>
          <w:p>
            <w:pPr>
              <w:jc w:val="center"/>
              <w:rPr>
                <w:rFonts w:ascii="宋体" w:hAnsi="宋体" w:cs="宋体"/>
                <w:bCs/>
                <w:color w:val="auto"/>
                <w:sz w:val="24"/>
              </w:rPr>
            </w:pPr>
            <w:r>
              <w:rPr>
                <w:rFonts w:hint="eastAsia" w:ascii="宋体" w:hAnsi="宋体" w:cs="宋体"/>
                <w:bCs/>
                <w:color w:val="auto"/>
                <w:sz w:val="24"/>
              </w:rPr>
              <w:t>专  家</w:t>
            </w:r>
          </w:p>
        </w:tc>
        <w:tc>
          <w:tcPr>
            <w:tcW w:w="1353" w:type="dxa"/>
            <w:tcBorders>
              <w:top w:val="single" w:color="auto" w:sz="4" w:space="0"/>
              <w:left w:val="nil"/>
              <w:bottom w:val="nil"/>
              <w:right w:val="single" w:color="auto" w:sz="4" w:space="0"/>
            </w:tcBorders>
            <w:shd w:val="clear" w:color="000000" w:fill="FFFFFF"/>
            <w:vAlign w:val="center"/>
          </w:tcPr>
          <w:p>
            <w:pPr>
              <w:jc w:val="center"/>
              <w:rPr>
                <w:rFonts w:ascii="宋体" w:hAnsi="宋体" w:cs="宋体"/>
                <w:bCs/>
                <w:color w:val="auto"/>
                <w:sz w:val="24"/>
              </w:rPr>
            </w:pPr>
            <w:r>
              <w:rPr>
                <w:rFonts w:hint="eastAsia" w:ascii="宋体" w:hAnsi="宋体" w:cs="宋体"/>
                <w:bCs/>
                <w:color w:val="auto"/>
                <w:sz w:val="24"/>
              </w:rPr>
              <w:t>专家姓名</w:t>
            </w:r>
          </w:p>
        </w:tc>
        <w:tc>
          <w:tcPr>
            <w:tcW w:w="16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r>
              <w:rPr>
                <w:rFonts w:hint="eastAsia" w:ascii="宋体" w:hAnsi="宋体" w:cs="宋体"/>
                <w:color w:val="auto"/>
                <w:sz w:val="24"/>
              </w:rPr>
              <w:t>供应商1</w:t>
            </w:r>
          </w:p>
        </w:tc>
        <w:tc>
          <w:tcPr>
            <w:tcW w:w="16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r>
              <w:rPr>
                <w:rFonts w:hint="eastAsia" w:ascii="宋体" w:hAnsi="宋体" w:cs="宋体"/>
                <w:color w:val="auto"/>
                <w:sz w:val="24"/>
              </w:rPr>
              <w:t>供应商2</w:t>
            </w:r>
          </w:p>
        </w:tc>
        <w:tc>
          <w:tcPr>
            <w:tcW w:w="1653"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r>
              <w:rPr>
                <w:rFonts w:hint="eastAsia" w:ascii="宋体" w:hAnsi="宋体" w:cs="宋体"/>
                <w:color w:val="auto"/>
                <w:sz w:val="24"/>
              </w:rPr>
              <w:t>供应商3</w:t>
            </w:r>
          </w:p>
        </w:tc>
        <w:tc>
          <w:tcPr>
            <w:tcW w:w="14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r>
              <w:rPr>
                <w:rFonts w:hint="eastAsia" w:ascii="宋体" w:hAnsi="宋体" w:cs="宋体"/>
                <w:color w:val="auto"/>
                <w:sz w:val="24"/>
              </w:rPr>
              <w:t>供应商4</w:t>
            </w:r>
          </w:p>
        </w:tc>
      </w:tr>
      <w:tr>
        <w:tblPrEx>
          <w:tblCellMar>
            <w:top w:w="0" w:type="dxa"/>
            <w:left w:w="108" w:type="dxa"/>
            <w:bottom w:w="0" w:type="dxa"/>
            <w:right w:w="108" w:type="dxa"/>
          </w:tblCellMar>
        </w:tblPrEx>
        <w:trPr>
          <w:trHeight w:val="421" w:hRule="atLeast"/>
        </w:trPr>
        <w:tc>
          <w:tcPr>
            <w:tcW w:w="1207"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color w:val="auto"/>
                <w:sz w:val="24"/>
              </w:rPr>
            </w:pPr>
            <w:r>
              <w:rPr>
                <w:rFonts w:hint="eastAsia" w:ascii="宋体" w:hAnsi="宋体" w:cs="宋体"/>
                <w:color w:val="auto"/>
                <w:sz w:val="24"/>
              </w:rPr>
              <w:t>贵州省综合评标专家库专家</w:t>
            </w:r>
          </w:p>
        </w:tc>
        <w:tc>
          <w:tcPr>
            <w:tcW w:w="13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10" w:hRule="atLeast"/>
        </w:trPr>
        <w:tc>
          <w:tcPr>
            <w:tcW w:w="1207"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3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4"/>
              </w:rPr>
            </w:pPr>
          </w:p>
        </w:tc>
        <w:tc>
          <w:tcPr>
            <w:tcW w:w="16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10" w:hRule="atLeast"/>
        </w:trPr>
        <w:tc>
          <w:tcPr>
            <w:tcW w:w="1207"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3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10" w:hRule="atLeast"/>
        </w:trPr>
        <w:tc>
          <w:tcPr>
            <w:tcW w:w="1207"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3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10" w:hRule="atLeast"/>
        </w:trPr>
        <w:tc>
          <w:tcPr>
            <w:tcW w:w="1207" w:type="dxa"/>
            <w:vMerge w:val="continue"/>
            <w:tcBorders>
              <w:left w:val="single" w:color="auto" w:sz="4" w:space="0"/>
              <w:bottom w:val="nil"/>
              <w:right w:val="single" w:color="auto" w:sz="4" w:space="0"/>
            </w:tcBorders>
            <w:shd w:val="clear" w:color="auto" w:fill="auto"/>
            <w:vAlign w:val="center"/>
          </w:tcPr>
          <w:p>
            <w:pPr>
              <w:jc w:val="center"/>
              <w:rPr>
                <w:rFonts w:ascii="宋体" w:hAnsi="宋体" w:cs="宋体"/>
                <w:color w:val="auto"/>
                <w:sz w:val="24"/>
              </w:rPr>
            </w:pPr>
          </w:p>
        </w:tc>
        <w:tc>
          <w:tcPr>
            <w:tcW w:w="13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77" w:hRule="atLeast"/>
        </w:trPr>
        <w:tc>
          <w:tcPr>
            <w:tcW w:w="1207"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color w:val="auto"/>
                <w:sz w:val="24"/>
              </w:rPr>
            </w:pPr>
            <w:r>
              <w:rPr>
                <w:rFonts w:hint="eastAsia" w:ascii="宋体" w:hAnsi="宋体" w:cs="宋体"/>
                <w:color w:val="auto"/>
                <w:sz w:val="24"/>
              </w:rPr>
              <w:t>采购人</w:t>
            </w:r>
          </w:p>
          <w:p>
            <w:pPr>
              <w:jc w:val="center"/>
              <w:rPr>
                <w:rFonts w:ascii="宋体" w:hAnsi="宋体" w:cs="宋体"/>
                <w:color w:val="auto"/>
                <w:sz w:val="24"/>
              </w:rPr>
            </w:pPr>
            <w:r>
              <w:rPr>
                <w:rFonts w:hint="eastAsia" w:ascii="宋体" w:hAnsi="宋体" w:cs="宋体"/>
                <w:color w:val="auto"/>
                <w:sz w:val="24"/>
              </w:rPr>
              <w:t>代  表</w:t>
            </w:r>
          </w:p>
        </w:tc>
        <w:tc>
          <w:tcPr>
            <w:tcW w:w="13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77" w:hRule="atLeast"/>
        </w:trPr>
        <w:tc>
          <w:tcPr>
            <w:tcW w:w="1207" w:type="dxa"/>
            <w:vMerge w:val="continue"/>
            <w:tcBorders>
              <w:left w:val="single" w:color="auto" w:sz="4" w:space="0"/>
              <w:bottom w:val="nil"/>
              <w:right w:val="single" w:color="auto" w:sz="4" w:space="0"/>
            </w:tcBorders>
            <w:shd w:val="clear" w:color="000000" w:fill="FFFFFF"/>
            <w:vAlign w:val="center"/>
          </w:tcPr>
          <w:p>
            <w:pPr>
              <w:jc w:val="center"/>
              <w:rPr>
                <w:rFonts w:ascii="宋体" w:hAnsi="宋体" w:cs="宋体"/>
                <w:color w:val="auto"/>
                <w:sz w:val="24"/>
              </w:rPr>
            </w:pPr>
          </w:p>
        </w:tc>
        <w:tc>
          <w:tcPr>
            <w:tcW w:w="1353" w:type="dxa"/>
            <w:tcBorders>
              <w:top w:val="single" w:color="auto" w:sz="4" w:space="0"/>
              <w:left w:val="nil"/>
              <w:right w:val="single" w:color="auto" w:sz="4" w:space="0"/>
            </w:tcBorders>
            <w:shd w:val="clear" w:color="000000" w:fill="FFFFFF"/>
            <w:vAlign w:val="center"/>
          </w:tcPr>
          <w:p>
            <w:pPr>
              <w:jc w:val="center"/>
              <w:rPr>
                <w:rFonts w:ascii="宋体" w:hAnsi="宋体" w:cs="宋体"/>
                <w:b/>
                <w:bCs/>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10" w:hRule="atLeast"/>
        </w:trPr>
        <w:tc>
          <w:tcPr>
            <w:tcW w:w="256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auto"/>
                <w:sz w:val="24"/>
              </w:rPr>
            </w:pPr>
            <w:r>
              <w:rPr>
                <w:rFonts w:hint="eastAsia" w:ascii="宋体" w:hAnsi="宋体" w:cs="宋体"/>
                <w:b/>
                <w:bCs/>
                <w:color w:val="auto"/>
                <w:sz w:val="24"/>
              </w:rPr>
              <w:t>总  分</w:t>
            </w:r>
          </w:p>
        </w:tc>
        <w:tc>
          <w:tcPr>
            <w:tcW w:w="16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10" w:hRule="atLeast"/>
        </w:trPr>
        <w:tc>
          <w:tcPr>
            <w:tcW w:w="256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auto"/>
                <w:sz w:val="24"/>
              </w:rPr>
            </w:pPr>
            <w:r>
              <w:rPr>
                <w:rFonts w:hint="eastAsia" w:ascii="宋体" w:hAnsi="宋体" w:cs="宋体"/>
                <w:b/>
                <w:bCs/>
                <w:color w:val="auto"/>
                <w:sz w:val="24"/>
              </w:rPr>
              <w:t>平均分</w:t>
            </w: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420" w:hRule="atLeast"/>
        </w:trPr>
        <w:tc>
          <w:tcPr>
            <w:tcW w:w="256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bCs/>
                <w:color w:val="auto"/>
                <w:sz w:val="24"/>
              </w:rPr>
            </w:pPr>
            <w:r>
              <w:rPr>
                <w:rFonts w:hint="eastAsia" w:ascii="宋体" w:hAnsi="宋体" w:cs="宋体"/>
                <w:b/>
                <w:bCs/>
                <w:color w:val="auto"/>
                <w:sz w:val="24"/>
              </w:rPr>
              <w:t>排  序</w:t>
            </w: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gridAfter w:val="2"/>
          <w:wAfter w:w="1653" w:type="dxa"/>
          <w:trHeight w:val="405" w:hRule="atLeast"/>
        </w:trPr>
        <w:tc>
          <w:tcPr>
            <w:tcW w:w="2560" w:type="dxa"/>
            <w:gridSpan w:val="2"/>
            <w:tcBorders>
              <w:top w:val="nil"/>
              <w:left w:val="nil"/>
              <w:bottom w:val="nil"/>
              <w:right w:val="nil"/>
            </w:tcBorders>
            <w:shd w:val="clear" w:color="000000" w:fill="FFFFFF"/>
            <w:vAlign w:val="center"/>
          </w:tcPr>
          <w:p>
            <w:pPr>
              <w:rPr>
                <w:rFonts w:ascii="Times New Roman" w:hAnsi="Times New Roman" w:cs="Times New Roman"/>
                <w:color w:val="auto"/>
              </w:rPr>
            </w:pPr>
            <w:r>
              <w:rPr>
                <w:rFonts w:hint="eastAsia" w:ascii="宋体" w:hAnsi="宋体" w:cs="宋体"/>
                <w:color w:val="auto"/>
                <w:sz w:val="24"/>
              </w:rPr>
              <w:t>评审专家（签名）：</w:t>
            </w:r>
          </w:p>
        </w:tc>
        <w:tc>
          <w:tcPr>
            <w:tcW w:w="1653" w:type="dxa"/>
            <w:tcBorders>
              <w:top w:val="nil"/>
              <w:left w:val="nil"/>
              <w:bottom w:val="nil"/>
              <w:right w:val="nil"/>
            </w:tcBorders>
            <w:shd w:val="clear" w:color="000000" w:fill="FFFFFF"/>
            <w:vAlign w:val="center"/>
          </w:tcPr>
          <w:p>
            <w:pPr>
              <w:rPr>
                <w:rFonts w:ascii="宋体" w:hAnsi="宋体" w:cs="宋体"/>
                <w:color w:val="auto"/>
                <w:sz w:val="24"/>
              </w:rPr>
            </w:pPr>
          </w:p>
        </w:tc>
        <w:tc>
          <w:tcPr>
            <w:tcW w:w="1653" w:type="dxa"/>
            <w:tcBorders>
              <w:top w:val="nil"/>
              <w:left w:val="nil"/>
              <w:bottom w:val="nil"/>
              <w:right w:val="nil"/>
            </w:tcBorders>
            <w:shd w:val="clear" w:color="000000" w:fill="FFFFFF"/>
            <w:vAlign w:val="center"/>
          </w:tcPr>
          <w:p>
            <w:pPr>
              <w:rPr>
                <w:rFonts w:ascii="宋体" w:hAnsi="宋体" w:cs="宋体"/>
                <w:color w:val="auto"/>
                <w:sz w:val="24"/>
              </w:rPr>
            </w:pPr>
          </w:p>
        </w:tc>
        <w:tc>
          <w:tcPr>
            <w:tcW w:w="1456" w:type="dxa"/>
            <w:tcBorders>
              <w:top w:val="nil"/>
              <w:left w:val="nil"/>
              <w:bottom w:val="nil"/>
              <w:right w:val="nil"/>
            </w:tcBorders>
            <w:shd w:val="clear" w:color="000000" w:fill="FFFFFF"/>
            <w:vAlign w:val="center"/>
          </w:tcPr>
          <w:p>
            <w:pPr>
              <w:rPr>
                <w:rFonts w:ascii="宋体" w:hAnsi="宋体" w:cs="宋体"/>
                <w:color w:val="auto"/>
                <w:sz w:val="24"/>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before="98" w:line="360" w:lineRule="auto"/>
        <w:ind w:left="3066"/>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第二节 废标</w:t>
      </w:r>
      <w:r>
        <w:rPr>
          <w:rFonts w:hint="eastAsia" w:asciiTheme="minorEastAsia" w:hAnsiTheme="minorEastAsia" w:eastAsiaTheme="minorEastAsia" w:cstheme="minorEastAsia"/>
          <w:color w:val="auto"/>
          <w:sz w:val="24"/>
          <w:szCs w:val="24"/>
        </w:rPr>
        <w:t>条款</w:t>
      </w:r>
    </w:p>
    <w:p>
      <w:pPr>
        <w:spacing w:line="360" w:lineRule="auto"/>
        <w:rPr>
          <w:rFonts w:hint="eastAsia" w:asciiTheme="minorEastAsia" w:hAnsiTheme="minorEastAsia" w:eastAsiaTheme="minorEastAsia" w:cstheme="minorEastAsia"/>
          <w:color w:val="auto"/>
          <w:sz w:val="24"/>
          <w:szCs w:val="24"/>
        </w:rPr>
      </w:pPr>
    </w:p>
    <w:p>
      <w:pPr>
        <w:spacing w:before="78" w:line="360" w:lineRule="auto"/>
        <w:ind w:left="517" w:right="951" w:firstLine="2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出</w:t>
      </w:r>
      <w:r>
        <w:rPr>
          <w:rFonts w:hint="eastAsia" w:asciiTheme="minorEastAsia" w:hAnsiTheme="minorEastAsia" w:eastAsiaTheme="minorEastAsia" w:cstheme="minorEastAsia"/>
          <w:color w:val="auto"/>
          <w:spacing w:val="-3"/>
          <w:sz w:val="24"/>
          <w:szCs w:val="24"/>
        </w:rPr>
        <w:t>现下列情形之一的，本项目/品目给予废标，项目磋商终止：</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1.</w:t>
      </w:r>
      <w:r>
        <w:rPr>
          <w:rFonts w:hint="eastAsia" w:asciiTheme="minorEastAsia" w:hAnsiTheme="minorEastAsia" w:eastAsiaTheme="minorEastAsia" w:cstheme="minorEastAsia"/>
          <w:color w:val="auto"/>
          <w:spacing w:val="-3"/>
          <w:sz w:val="24"/>
          <w:szCs w:val="24"/>
        </w:rPr>
        <w:t>符</w:t>
      </w:r>
      <w:r>
        <w:rPr>
          <w:rFonts w:hint="eastAsia" w:asciiTheme="minorEastAsia" w:hAnsiTheme="minorEastAsia" w:eastAsiaTheme="minorEastAsia" w:cstheme="minorEastAsia"/>
          <w:color w:val="auto"/>
          <w:spacing w:val="-2"/>
          <w:sz w:val="24"/>
          <w:szCs w:val="24"/>
        </w:rPr>
        <w:t>合专业条件的或对采购文件作实质响应的供应商不足三家的；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2</w:t>
      </w:r>
      <w:r>
        <w:rPr>
          <w:rFonts w:hint="eastAsia" w:asciiTheme="minorEastAsia" w:hAnsiTheme="minorEastAsia" w:eastAsiaTheme="minorEastAsia" w:cstheme="minorEastAsia"/>
          <w:color w:val="auto"/>
          <w:spacing w:val="-5"/>
          <w:sz w:val="24"/>
          <w:szCs w:val="24"/>
        </w:rPr>
        <w:t>.</w:t>
      </w:r>
      <w:r>
        <w:rPr>
          <w:rFonts w:hint="eastAsia" w:asciiTheme="minorEastAsia" w:hAnsiTheme="minorEastAsia" w:eastAsiaTheme="minorEastAsia" w:cstheme="minorEastAsia"/>
          <w:color w:val="auto"/>
          <w:spacing w:val="-3"/>
          <w:sz w:val="24"/>
          <w:szCs w:val="24"/>
        </w:rPr>
        <w:t>出现影响采购公正的违法、违规行为的；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3.供应商报价</w:t>
      </w:r>
      <w:r>
        <w:rPr>
          <w:rFonts w:hint="eastAsia" w:asciiTheme="minorEastAsia" w:hAnsiTheme="minorEastAsia" w:eastAsiaTheme="minorEastAsia" w:cstheme="minorEastAsia"/>
          <w:color w:val="auto"/>
          <w:spacing w:val="-3"/>
          <w:sz w:val="24"/>
          <w:szCs w:val="24"/>
        </w:rPr>
        <w:t>均</w:t>
      </w:r>
      <w:r>
        <w:rPr>
          <w:rFonts w:hint="eastAsia" w:asciiTheme="minorEastAsia" w:hAnsiTheme="minorEastAsia" w:eastAsiaTheme="minorEastAsia" w:cstheme="minorEastAsia"/>
          <w:color w:val="auto"/>
          <w:spacing w:val="-2"/>
          <w:sz w:val="24"/>
          <w:szCs w:val="24"/>
        </w:rPr>
        <w:t>超过了采购预算，采购人不能支付的；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4.因</w:t>
      </w:r>
      <w:r>
        <w:rPr>
          <w:rFonts w:hint="eastAsia" w:asciiTheme="minorEastAsia" w:hAnsiTheme="minorEastAsia" w:eastAsiaTheme="minorEastAsia" w:cstheme="minorEastAsia"/>
          <w:color w:val="auto"/>
          <w:spacing w:val="-3"/>
          <w:sz w:val="24"/>
          <w:szCs w:val="24"/>
        </w:rPr>
        <w:t>重</w:t>
      </w:r>
      <w:r>
        <w:rPr>
          <w:rFonts w:hint="eastAsia" w:asciiTheme="minorEastAsia" w:hAnsiTheme="minorEastAsia" w:eastAsiaTheme="minorEastAsia" w:cstheme="minorEastAsia"/>
          <w:color w:val="auto"/>
          <w:spacing w:val="-2"/>
          <w:sz w:val="24"/>
          <w:szCs w:val="24"/>
        </w:rPr>
        <w:t>大变故，采购任务取消的。</w:t>
      </w:r>
    </w:p>
    <w:p>
      <w:pPr>
        <w:spacing w:before="236" w:line="360" w:lineRule="auto"/>
        <w:ind w:left="2917"/>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第三节 无效</w:t>
      </w:r>
      <w:r>
        <w:rPr>
          <w:rFonts w:hint="eastAsia" w:asciiTheme="minorEastAsia" w:hAnsiTheme="minorEastAsia" w:eastAsiaTheme="minorEastAsia" w:cstheme="minorEastAsia"/>
          <w:color w:val="auto"/>
          <w:sz w:val="24"/>
          <w:szCs w:val="24"/>
        </w:rPr>
        <w:t>标条款</w:t>
      </w:r>
    </w:p>
    <w:p>
      <w:pPr>
        <w:spacing w:line="360" w:lineRule="auto"/>
        <w:rPr>
          <w:rFonts w:hint="eastAsia" w:asciiTheme="minorEastAsia" w:hAnsiTheme="minorEastAsia" w:eastAsiaTheme="minorEastAsia" w:cstheme="minorEastAsia"/>
          <w:color w:val="auto"/>
          <w:sz w:val="24"/>
          <w:szCs w:val="24"/>
        </w:rPr>
      </w:pPr>
    </w:p>
    <w:p>
      <w:pPr>
        <w:spacing w:before="78" w:line="360" w:lineRule="auto"/>
        <w:ind w:left="50" w:right="31"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0"/>
          <w:sz w:val="24"/>
          <w:szCs w:val="24"/>
        </w:rPr>
        <w:t>出</w:t>
      </w:r>
      <w:r>
        <w:rPr>
          <w:rFonts w:hint="eastAsia" w:asciiTheme="minorEastAsia" w:hAnsiTheme="minorEastAsia" w:eastAsiaTheme="minorEastAsia" w:cstheme="minorEastAsia"/>
          <w:color w:val="auto"/>
          <w:spacing w:val="-16"/>
          <w:sz w:val="24"/>
          <w:szCs w:val="24"/>
        </w:rPr>
        <w:t>现</w:t>
      </w:r>
      <w:r>
        <w:rPr>
          <w:rFonts w:hint="eastAsia" w:asciiTheme="minorEastAsia" w:hAnsiTheme="minorEastAsia" w:eastAsiaTheme="minorEastAsia" w:cstheme="minorEastAsia"/>
          <w:color w:val="auto"/>
          <w:spacing w:val="-10"/>
          <w:sz w:val="24"/>
          <w:szCs w:val="24"/>
        </w:rPr>
        <w:t>下列情形之一的， 供应商递交的响应文件作无效投标处理， 该供应商的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7"/>
          <w:sz w:val="24"/>
          <w:szCs w:val="24"/>
        </w:rPr>
        <w:t>响应文件不参与评审：</w:t>
      </w:r>
    </w:p>
    <w:p>
      <w:pPr>
        <w:spacing w:line="360" w:lineRule="auto"/>
        <w:ind w:left="517" w:right="1191" w:firstLine="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1.递交的响应文件不完整或未按采购文件要求盖公章及签字的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2.供应商不符合</w:t>
      </w:r>
      <w:r>
        <w:rPr>
          <w:rFonts w:hint="eastAsia" w:asciiTheme="minorEastAsia" w:hAnsiTheme="minorEastAsia" w:eastAsiaTheme="minorEastAsia" w:cstheme="minorEastAsia"/>
          <w:color w:val="auto"/>
          <w:spacing w:val="-3"/>
          <w:sz w:val="24"/>
          <w:szCs w:val="24"/>
        </w:rPr>
        <w:t>国</w:t>
      </w:r>
      <w:r>
        <w:rPr>
          <w:rFonts w:hint="eastAsia" w:asciiTheme="minorEastAsia" w:hAnsiTheme="minorEastAsia" w:eastAsiaTheme="minorEastAsia" w:cstheme="minorEastAsia"/>
          <w:color w:val="auto"/>
          <w:spacing w:val="-2"/>
          <w:sz w:val="24"/>
          <w:szCs w:val="24"/>
        </w:rPr>
        <w:t>家及采购文件规定的资格条件的；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3.投</w:t>
      </w:r>
      <w:r>
        <w:rPr>
          <w:rFonts w:hint="eastAsia" w:asciiTheme="minorEastAsia" w:hAnsiTheme="minorEastAsia" w:eastAsiaTheme="minorEastAsia" w:cstheme="minorEastAsia"/>
          <w:color w:val="auto"/>
          <w:spacing w:val="-5"/>
          <w:sz w:val="24"/>
          <w:szCs w:val="24"/>
        </w:rPr>
        <w:t>标</w:t>
      </w:r>
      <w:r>
        <w:rPr>
          <w:rFonts w:hint="eastAsia" w:asciiTheme="minorEastAsia" w:hAnsiTheme="minorEastAsia" w:eastAsiaTheme="minorEastAsia" w:cstheme="minorEastAsia"/>
          <w:color w:val="auto"/>
          <w:spacing w:val="-3"/>
          <w:sz w:val="24"/>
          <w:szCs w:val="24"/>
        </w:rPr>
        <w:t>联合体未提交联合投标协议的；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4.竞标初始报价</w:t>
      </w:r>
      <w:r>
        <w:rPr>
          <w:rFonts w:hint="eastAsia" w:asciiTheme="minorEastAsia" w:hAnsiTheme="minorEastAsia" w:eastAsiaTheme="minorEastAsia" w:cstheme="minorEastAsia"/>
          <w:color w:val="auto"/>
          <w:spacing w:val="-2"/>
          <w:sz w:val="24"/>
          <w:szCs w:val="24"/>
        </w:rPr>
        <w:t>经评审委员会认定低于成本价的；</w:t>
      </w:r>
    </w:p>
    <w:p>
      <w:pPr>
        <w:spacing w:before="4" w:line="360" w:lineRule="auto"/>
        <w:ind w:left="520" w:right="1666" w:firstLine="2"/>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 xml:space="preserve">5.最终报价高于采购文件载明的财政预算控制价的；     </w:t>
      </w:r>
    </w:p>
    <w:p>
      <w:pPr>
        <w:spacing w:before="4" w:line="360" w:lineRule="auto"/>
        <w:ind w:left="520" w:right="1666" w:firstLine="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6.响应文件未</w:t>
      </w:r>
      <w:r>
        <w:rPr>
          <w:rFonts w:hint="eastAsia" w:asciiTheme="minorEastAsia" w:hAnsiTheme="minorEastAsia" w:eastAsiaTheme="minorEastAsia" w:cstheme="minorEastAsia"/>
          <w:color w:val="auto"/>
          <w:spacing w:val="-2"/>
          <w:sz w:val="24"/>
          <w:szCs w:val="24"/>
        </w:rPr>
        <w:t>对采购文件的实质性要求和条件作出响应的；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7.供应商有串通投</w:t>
      </w:r>
      <w:r>
        <w:rPr>
          <w:rFonts w:hint="eastAsia" w:asciiTheme="minorEastAsia" w:hAnsiTheme="minorEastAsia" w:eastAsiaTheme="minorEastAsia" w:cstheme="minorEastAsia"/>
          <w:color w:val="auto"/>
          <w:spacing w:val="-2"/>
          <w:sz w:val="24"/>
          <w:szCs w:val="24"/>
        </w:rPr>
        <w:t>标、弄虚作假、行贿等违法行为的；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8.有下</w:t>
      </w:r>
      <w:r>
        <w:rPr>
          <w:rFonts w:hint="eastAsia" w:asciiTheme="minorEastAsia" w:hAnsiTheme="minorEastAsia" w:eastAsiaTheme="minorEastAsia" w:cstheme="minorEastAsia"/>
          <w:color w:val="auto"/>
          <w:spacing w:val="-2"/>
          <w:sz w:val="24"/>
          <w:szCs w:val="24"/>
        </w:rPr>
        <w:t>列情形之一的，视为投标人串通投标，其投标无效：</w:t>
      </w:r>
    </w:p>
    <w:p>
      <w:pPr>
        <w:spacing w:before="183" w:line="360"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(一)</w:t>
      </w:r>
      <w:r>
        <w:rPr>
          <w:rFonts w:hint="eastAsia" w:asciiTheme="minorEastAsia" w:hAnsiTheme="minorEastAsia" w:eastAsiaTheme="minorEastAsia" w:cstheme="minorEastAsia"/>
          <w:color w:val="auto"/>
          <w:spacing w:val="7"/>
          <w:sz w:val="24"/>
          <w:szCs w:val="24"/>
        </w:rPr>
        <w:t>不</w:t>
      </w:r>
      <w:r>
        <w:rPr>
          <w:rFonts w:hint="eastAsia" w:asciiTheme="minorEastAsia" w:hAnsiTheme="minorEastAsia" w:eastAsiaTheme="minorEastAsia" w:cstheme="minorEastAsia"/>
          <w:color w:val="auto"/>
          <w:spacing w:val="5"/>
          <w:sz w:val="24"/>
          <w:szCs w:val="24"/>
        </w:rPr>
        <w:t>同投标人的竞争性磋商响应文件由同一单位或者个人编制；</w:t>
      </w:r>
    </w:p>
    <w:p>
      <w:pPr>
        <w:spacing w:before="180" w:line="360"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(二)</w:t>
      </w:r>
      <w:r>
        <w:rPr>
          <w:rFonts w:hint="eastAsia" w:asciiTheme="minorEastAsia" w:hAnsiTheme="minorEastAsia" w:eastAsiaTheme="minorEastAsia" w:cstheme="minorEastAsia"/>
          <w:color w:val="auto"/>
          <w:spacing w:val="6"/>
          <w:sz w:val="24"/>
          <w:szCs w:val="24"/>
        </w:rPr>
        <w:t>不同投标人委托同一单位或者个人办理投标事宜；</w:t>
      </w:r>
    </w:p>
    <w:p>
      <w:pPr>
        <w:spacing w:before="186" w:line="360" w:lineRule="auto"/>
        <w:ind w:left="41" w:right="31"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(三)不同投标人</w:t>
      </w:r>
      <w:r>
        <w:rPr>
          <w:rFonts w:hint="eastAsia" w:asciiTheme="minorEastAsia" w:hAnsiTheme="minorEastAsia" w:eastAsiaTheme="minorEastAsia" w:cstheme="minorEastAsia"/>
          <w:color w:val="auto"/>
          <w:spacing w:val="3"/>
          <w:sz w:val="24"/>
          <w:szCs w:val="24"/>
        </w:rPr>
        <w:t>的竞争性磋商响应文件载明的项目管理成员或者联系人员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1"/>
          <w:sz w:val="24"/>
          <w:szCs w:val="24"/>
        </w:rPr>
        <w:t>为同一人；</w:t>
      </w:r>
    </w:p>
    <w:p>
      <w:pPr>
        <w:spacing w:line="360" w:lineRule="auto"/>
        <w:ind w:left="41" w:right="31"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(四)不同投标人</w:t>
      </w:r>
      <w:r>
        <w:rPr>
          <w:rFonts w:hint="eastAsia" w:asciiTheme="minorEastAsia" w:hAnsiTheme="minorEastAsia" w:eastAsiaTheme="minorEastAsia" w:cstheme="minorEastAsia"/>
          <w:color w:val="auto"/>
          <w:spacing w:val="3"/>
          <w:sz w:val="24"/>
          <w:szCs w:val="24"/>
        </w:rPr>
        <w:t>的竞争性磋商响应文件异常一致或者投标报价呈规律性差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8"/>
          <w:sz w:val="24"/>
          <w:szCs w:val="24"/>
        </w:rPr>
        <w:t>异</w:t>
      </w:r>
      <w:r>
        <w:rPr>
          <w:rFonts w:hint="eastAsia" w:asciiTheme="minorEastAsia" w:hAnsiTheme="minorEastAsia" w:eastAsiaTheme="minorEastAsia" w:cstheme="minorEastAsia"/>
          <w:color w:val="auto"/>
          <w:spacing w:val="-17"/>
          <w:sz w:val="24"/>
          <w:szCs w:val="24"/>
        </w:rPr>
        <w:t>；</w:t>
      </w:r>
    </w:p>
    <w:p>
      <w:pPr>
        <w:spacing w:line="360" w:lineRule="auto"/>
        <w:ind w:left="41" w:right="31" w:firstLine="488"/>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(五)不同投标人的竞争性磋商响应文件相互混装；</w:t>
      </w:r>
    </w:p>
    <w:p>
      <w:pPr>
        <w:spacing w:before="179" w:line="360" w:lineRule="auto"/>
        <w:ind w:left="519" w:right="31" w:firstLine="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(六</w:t>
      </w:r>
      <w:r>
        <w:rPr>
          <w:rFonts w:hint="eastAsia" w:asciiTheme="minorEastAsia" w:hAnsiTheme="minorEastAsia" w:eastAsiaTheme="minorEastAsia" w:cstheme="minorEastAsia"/>
          <w:color w:val="auto"/>
          <w:spacing w:val="9"/>
          <w:sz w:val="24"/>
          <w:szCs w:val="24"/>
        </w:rPr>
        <w:t>)</w:t>
      </w:r>
      <w:r>
        <w:rPr>
          <w:rFonts w:hint="eastAsia" w:asciiTheme="minorEastAsia" w:hAnsiTheme="minorEastAsia" w:eastAsiaTheme="minorEastAsia" w:cstheme="minorEastAsia"/>
          <w:color w:val="auto"/>
          <w:spacing w:val="6"/>
          <w:sz w:val="24"/>
          <w:szCs w:val="24"/>
        </w:rPr>
        <w:t>不同投标人的投标保证金从同一单位或者个人的账户转出。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9.响应文件未胶装成册的(</w:t>
      </w:r>
      <w:r>
        <w:rPr>
          <w:rFonts w:hint="eastAsia" w:asciiTheme="minorEastAsia" w:hAnsiTheme="minorEastAsia" w:eastAsiaTheme="minorEastAsia" w:cstheme="minorEastAsia"/>
          <w:color w:val="auto"/>
          <w:sz w:val="24"/>
          <w:szCs w:val="24"/>
        </w:rPr>
        <w:t>采用打孔装订、活页夹等方式装订的响应文件作</w:t>
      </w:r>
      <w:r>
        <w:rPr>
          <w:rFonts w:hint="eastAsia" w:asciiTheme="minorEastAsia" w:hAnsiTheme="minorEastAsia" w:eastAsiaTheme="minorEastAsia" w:cstheme="minorEastAsia"/>
          <w:color w:val="auto"/>
          <w:spacing w:val="-5"/>
          <w:sz w:val="24"/>
          <w:szCs w:val="24"/>
        </w:rPr>
        <w:t>为</w:t>
      </w:r>
      <w:r>
        <w:rPr>
          <w:rFonts w:hint="eastAsia" w:asciiTheme="minorEastAsia" w:hAnsiTheme="minorEastAsia" w:eastAsiaTheme="minorEastAsia" w:cstheme="minorEastAsia"/>
          <w:color w:val="auto"/>
          <w:spacing w:val="-3"/>
          <w:sz w:val="24"/>
          <w:szCs w:val="24"/>
        </w:rPr>
        <w:t>无效投标处理)；</w:t>
      </w:r>
    </w:p>
    <w:p>
      <w:pPr>
        <w:spacing w:before="179" w:line="360" w:lineRule="auto"/>
        <w:ind w:left="53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position w:val="17"/>
          <w:sz w:val="24"/>
          <w:szCs w:val="24"/>
        </w:rPr>
        <w:t>10.未交纳投标保证金的</w:t>
      </w:r>
      <w:r>
        <w:rPr>
          <w:rFonts w:hint="eastAsia" w:asciiTheme="minorEastAsia" w:hAnsiTheme="minorEastAsia" w:eastAsiaTheme="minorEastAsia" w:cstheme="minorEastAsia"/>
          <w:color w:val="auto"/>
          <w:spacing w:val="-5"/>
          <w:position w:val="17"/>
          <w:sz w:val="24"/>
          <w:szCs w:val="24"/>
        </w:rPr>
        <w:t>；</w:t>
      </w:r>
    </w:p>
    <w:p>
      <w:pPr>
        <w:spacing w:before="1" w:line="360" w:lineRule="auto"/>
        <w:ind w:left="53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11.</w:t>
      </w:r>
      <w:r>
        <w:rPr>
          <w:rFonts w:hint="eastAsia" w:asciiTheme="minorEastAsia" w:hAnsiTheme="minorEastAsia" w:eastAsiaTheme="minorEastAsia" w:cstheme="minorEastAsia"/>
          <w:color w:val="auto"/>
          <w:spacing w:val="-5"/>
          <w:sz w:val="24"/>
          <w:szCs w:val="24"/>
        </w:rPr>
        <w:t>投</w:t>
      </w:r>
      <w:r>
        <w:rPr>
          <w:rFonts w:hint="eastAsia" w:asciiTheme="minorEastAsia" w:hAnsiTheme="minorEastAsia" w:eastAsiaTheme="minorEastAsia" w:cstheme="minorEastAsia"/>
          <w:color w:val="auto"/>
          <w:spacing w:val="-3"/>
          <w:sz w:val="24"/>
          <w:szCs w:val="24"/>
        </w:rPr>
        <w:t>标有效期不足的投标无效。</w:t>
      </w:r>
    </w:p>
    <w:p>
      <w:pPr>
        <w:spacing w:before="154" w:line="360" w:lineRule="auto"/>
        <w:ind w:left="40" w:right="55" w:firstLine="4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12.单位负责人为同一人或者存在直接控股、管理关系的不同</w:t>
      </w:r>
      <w:r>
        <w:rPr>
          <w:rFonts w:hint="eastAsia" w:asciiTheme="minorEastAsia" w:hAnsiTheme="minorEastAsia" w:eastAsiaTheme="minorEastAsia" w:cstheme="minorEastAsia"/>
          <w:color w:val="auto"/>
          <w:sz w:val="24"/>
          <w:szCs w:val="24"/>
        </w:rPr>
        <w:t xml:space="preserve">供应商，不得 </w:t>
      </w:r>
      <w:r>
        <w:rPr>
          <w:rFonts w:hint="eastAsia" w:asciiTheme="minorEastAsia" w:hAnsiTheme="minorEastAsia" w:eastAsiaTheme="minorEastAsia" w:cstheme="minorEastAsia"/>
          <w:color w:val="auto"/>
          <w:spacing w:val="-4"/>
          <w:sz w:val="24"/>
          <w:szCs w:val="24"/>
        </w:rPr>
        <w:t>参加同一合同</w:t>
      </w:r>
      <w:r>
        <w:rPr>
          <w:rFonts w:hint="eastAsia" w:asciiTheme="minorEastAsia" w:hAnsiTheme="minorEastAsia" w:eastAsiaTheme="minorEastAsia" w:cstheme="minorEastAsia"/>
          <w:color w:val="auto"/>
          <w:spacing w:val="-2"/>
          <w:sz w:val="24"/>
          <w:szCs w:val="24"/>
        </w:rPr>
        <w:t>项下的政府采购活动。</w:t>
      </w:r>
    </w:p>
    <w:p>
      <w:pPr>
        <w:spacing w:line="360" w:lineRule="auto"/>
        <w:ind w:left="38" w:right="50" w:firstLine="5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13.为本项目提供整体设计、规范编制或者项目管理、监理、</w:t>
      </w:r>
      <w:r>
        <w:rPr>
          <w:rFonts w:hint="eastAsia" w:asciiTheme="minorEastAsia" w:hAnsiTheme="minorEastAsia" w:eastAsiaTheme="minorEastAsia" w:cstheme="minorEastAsia"/>
          <w:color w:val="auto"/>
          <w:sz w:val="24"/>
          <w:szCs w:val="24"/>
        </w:rPr>
        <w:t xml:space="preserve">检测等服务的 </w:t>
      </w:r>
      <w:r>
        <w:rPr>
          <w:rFonts w:hint="eastAsia" w:asciiTheme="minorEastAsia" w:hAnsiTheme="minorEastAsia" w:eastAsiaTheme="minorEastAsia" w:cstheme="minorEastAsia"/>
          <w:color w:val="auto"/>
          <w:spacing w:val="-6"/>
          <w:sz w:val="24"/>
          <w:szCs w:val="24"/>
        </w:rPr>
        <w:t>供</w:t>
      </w:r>
      <w:r>
        <w:rPr>
          <w:rFonts w:hint="eastAsia" w:asciiTheme="minorEastAsia" w:hAnsiTheme="minorEastAsia" w:eastAsiaTheme="minorEastAsia" w:cstheme="minorEastAsia"/>
          <w:color w:val="auto"/>
          <w:spacing w:val="-5"/>
          <w:sz w:val="24"/>
          <w:szCs w:val="24"/>
        </w:rPr>
        <w:t>应</w:t>
      </w:r>
      <w:r>
        <w:rPr>
          <w:rFonts w:hint="eastAsia" w:asciiTheme="minorEastAsia" w:hAnsiTheme="minorEastAsia" w:eastAsiaTheme="minorEastAsia" w:cstheme="minorEastAsia"/>
          <w:color w:val="auto"/>
          <w:spacing w:val="-3"/>
          <w:sz w:val="24"/>
          <w:szCs w:val="24"/>
        </w:rPr>
        <w:t>商参加本采购项目的。</w:t>
      </w:r>
    </w:p>
    <w:p>
      <w:pPr>
        <w:spacing w:line="360" w:lineRule="auto"/>
        <w:ind w:left="41" w:right="31" w:firstLine="488"/>
        <w:rPr>
          <w:rFonts w:hint="eastAsia" w:ascii="宋体" w:hAnsi="宋体" w:eastAsia="宋体" w:cs="宋体"/>
          <w:color w:val="auto"/>
          <w:spacing w:val="3"/>
          <w:sz w:val="24"/>
          <w:szCs w:val="24"/>
        </w:rPr>
      </w:pPr>
      <w:r>
        <w:rPr>
          <w:rFonts w:hint="eastAsia" w:asciiTheme="minorEastAsia" w:hAnsiTheme="minorEastAsia" w:eastAsiaTheme="minorEastAsia" w:cstheme="minorEastAsia"/>
          <w:color w:val="auto"/>
          <w:spacing w:val="3"/>
          <w:sz w:val="24"/>
          <w:szCs w:val="24"/>
        </w:rPr>
        <w:t>14.违反政府采购法律法规,足以导致响应文件无效的情形。</w:t>
      </w:r>
    </w:p>
    <w:p>
      <w:pPr>
        <w:spacing w:line="360" w:lineRule="auto"/>
        <w:ind w:left="41" w:right="31" w:firstLine="488"/>
        <w:rPr>
          <w:rFonts w:hint="eastAsia" w:ascii="宋体" w:hAnsi="宋体" w:eastAsia="宋体" w:cs="宋体"/>
          <w:color w:val="auto"/>
          <w:spacing w:val="3"/>
          <w:sz w:val="24"/>
          <w:szCs w:val="24"/>
        </w:rPr>
        <w:sectPr>
          <w:headerReference r:id="rId9" w:type="default"/>
          <w:footerReference r:id="rId10" w:type="default"/>
          <w:pgSz w:w="11905" w:h="16839"/>
          <w:pgMar w:top="1094" w:right="1767" w:bottom="448" w:left="1771" w:header="1080" w:footer="208" w:gutter="0"/>
          <w:cols w:space="720" w:num="1"/>
        </w:sectPr>
      </w:pPr>
    </w:p>
    <w:p>
      <w:pPr>
        <w:spacing w:line="273" w:lineRule="auto"/>
        <w:rPr>
          <w:color w:val="auto"/>
        </w:rPr>
      </w:pPr>
    </w:p>
    <w:p>
      <w:pPr>
        <w:spacing w:line="273" w:lineRule="auto"/>
        <w:rPr>
          <w:color w:val="auto"/>
        </w:rPr>
      </w:pPr>
    </w:p>
    <w:p>
      <w:pPr>
        <w:spacing w:line="273" w:lineRule="auto"/>
        <w:rPr>
          <w:color w:val="auto"/>
        </w:rPr>
      </w:pPr>
    </w:p>
    <w:p>
      <w:pPr>
        <w:spacing w:line="273" w:lineRule="auto"/>
        <w:rPr>
          <w:color w:val="auto"/>
        </w:rPr>
      </w:pPr>
    </w:p>
    <w:p>
      <w:pPr>
        <w:spacing w:line="274" w:lineRule="auto"/>
        <w:rPr>
          <w:color w:val="auto"/>
        </w:rPr>
      </w:pPr>
    </w:p>
    <w:p>
      <w:pPr>
        <w:spacing w:before="78" w:line="219" w:lineRule="auto"/>
        <w:ind w:left="3217"/>
        <w:outlineLvl w:val="1"/>
        <w:rPr>
          <w:rFonts w:hint="eastAsia" w:ascii="宋体" w:hAnsi="宋体" w:eastAsia="宋体" w:cs="宋体"/>
          <w:color w:val="auto"/>
          <w:sz w:val="24"/>
          <w:szCs w:val="24"/>
        </w:rPr>
      </w:pPr>
      <w:bookmarkStart w:id="28" w:name="_bookmark37"/>
      <w:bookmarkEnd w:id="28"/>
      <w:r>
        <w:rPr>
          <w:rFonts w:ascii="宋体" w:hAnsi="宋体" w:eastAsia="宋体" w:cs="宋体"/>
          <w:color w:val="auto"/>
          <w:spacing w:val="-2"/>
          <w:sz w:val="24"/>
          <w:szCs w:val="24"/>
        </w:rPr>
        <w:t>三</w:t>
      </w:r>
      <w:r>
        <w:rPr>
          <w:rFonts w:ascii="宋体" w:hAnsi="宋体" w:eastAsia="宋体" w:cs="宋体"/>
          <w:color w:val="auto"/>
          <w:spacing w:val="-1"/>
          <w:sz w:val="24"/>
          <w:szCs w:val="24"/>
        </w:rPr>
        <w:t>、评标办法附件</w:t>
      </w:r>
    </w:p>
    <w:p>
      <w:pPr>
        <w:rPr>
          <w:color w:val="auto"/>
        </w:rPr>
        <w:sectPr>
          <w:headerReference r:id="rId11" w:type="default"/>
          <w:footerReference r:id="rId12" w:type="default"/>
          <w:pgSz w:w="11905" w:h="16839"/>
          <w:pgMar w:top="400" w:right="1785" w:bottom="448" w:left="1785" w:header="0" w:footer="208" w:gutter="0"/>
          <w:cols w:space="720" w:num="1"/>
        </w:sectPr>
      </w:pPr>
    </w:p>
    <w:p>
      <w:pPr>
        <w:spacing w:line="314" w:lineRule="auto"/>
        <w:rPr>
          <w:color w:val="auto"/>
        </w:rPr>
      </w:pPr>
    </w:p>
    <w:p>
      <w:pPr>
        <w:spacing w:before="88" w:line="225" w:lineRule="auto"/>
        <w:jc w:val="center"/>
        <w:outlineLvl w:val="0"/>
        <w:rPr>
          <w:rFonts w:hint="eastAsia" w:ascii="微软雅黑" w:hAnsi="微软雅黑" w:eastAsia="微软雅黑" w:cs="微软雅黑"/>
          <w:color w:val="auto"/>
          <w:spacing w:val="12"/>
          <w:sz w:val="31"/>
          <w:szCs w:val="31"/>
        </w:rPr>
      </w:pPr>
      <w:bookmarkStart w:id="29" w:name="_Toc826"/>
      <w:r>
        <w:rPr>
          <w:rFonts w:ascii="微软雅黑" w:hAnsi="微软雅黑" w:eastAsia="微软雅黑" w:cs="微软雅黑"/>
          <w:color w:val="auto"/>
          <w:spacing w:val="12"/>
          <w:sz w:val="31"/>
          <w:szCs w:val="31"/>
        </w:rPr>
        <w:t>第五章  采购需求</w:t>
      </w:r>
      <w:bookmarkEnd w:id="29"/>
    </w:p>
    <w:p>
      <w:pPr>
        <w:rPr>
          <w:color w:val="auto"/>
        </w:rPr>
      </w:pPr>
    </w:p>
    <w:p>
      <w:pPr>
        <w:spacing w:before="97" w:line="220" w:lineRule="auto"/>
        <w:jc w:val="center"/>
        <w:outlineLvl w:val="1"/>
        <w:rPr>
          <w:rFonts w:hint="eastAsia" w:ascii="宋体" w:hAnsi="宋体" w:eastAsia="宋体" w:cs="宋体"/>
          <w:color w:val="auto"/>
          <w:sz w:val="30"/>
          <w:szCs w:val="30"/>
        </w:rPr>
      </w:pPr>
      <w:bookmarkStart w:id="30" w:name="_Toc31358"/>
      <w:r>
        <w:rPr>
          <w:rFonts w:ascii="宋体" w:hAnsi="宋体" w:eastAsia="宋体" w:cs="宋体"/>
          <w:color w:val="auto"/>
          <w:sz w:val="30"/>
          <w:szCs w:val="30"/>
        </w:rPr>
        <w:t>第一节 采购清单及技术参数</w:t>
      </w:r>
      <w:bookmarkEnd w:id="30"/>
      <w:bookmarkStart w:id="31" w:name="_Toc17398"/>
    </w:p>
    <w:bookmarkEnd w:id="31"/>
    <w:p>
      <w:pPr>
        <w:spacing w:line="560" w:lineRule="exact"/>
        <w:ind w:firstLine="560" w:firstLineChars="200"/>
        <w:rPr>
          <w:rFonts w:ascii="Times New Roman" w:hAnsi="Times New Roman" w:eastAsia="仿宋_GB2312"/>
          <w:sz w:val="32"/>
        </w:rPr>
      </w:pPr>
      <w:bookmarkStart w:id="32" w:name="_bookmark42"/>
      <w:bookmarkEnd w:id="32"/>
      <w:bookmarkStart w:id="33" w:name="_bookmark41"/>
      <w:bookmarkEnd w:id="33"/>
      <w:r>
        <w:rPr>
          <w:rFonts w:hint="eastAsia" w:ascii="仿宋_GB2312" w:eastAsia="仿宋_GB2312"/>
          <w:sz w:val="28"/>
          <w:szCs w:val="28"/>
        </w:rPr>
        <w:t xml:space="preserve"> </w:t>
      </w:r>
    </w:p>
    <w:p>
      <w:pPr>
        <w:pStyle w:val="2"/>
        <w:widowControl w:val="0"/>
        <w:kinsoku/>
        <w:autoSpaceDE/>
        <w:autoSpaceDN/>
        <w:adjustRightInd/>
        <w:snapToGrid/>
        <w:spacing w:line="560" w:lineRule="exact"/>
        <w:ind w:left="420"/>
        <w:textAlignment w:val="auto"/>
        <w:rPr>
          <w:rFonts w:ascii="Times New Roman" w:cstheme="minorBidi"/>
          <w:kern w:val="2"/>
          <w:sz w:val="28"/>
          <w:szCs w:val="21"/>
          <w14:ligatures w14:val="standardContextual"/>
        </w:rPr>
      </w:pPr>
      <w:r>
        <w:rPr>
          <w:rFonts w:hint="eastAsia" w:ascii="Times New Roman" w:cstheme="minorBidi"/>
          <w:kern w:val="2"/>
          <w:sz w:val="28"/>
          <w:szCs w:val="21"/>
          <w14:ligatures w14:val="standardContextual"/>
        </w:rPr>
        <w:t>工程勘察服务范围及服务内容(包含但不限于）</w:t>
      </w:r>
    </w:p>
    <w:p>
      <w:pPr>
        <w:pStyle w:val="2"/>
        <w:widowControl w:val="0"/>
        <w:kinsoku/>
        <w:autoSpaceDE/>
        <w:autoSpaceDN/>
        <w:adjustRightInd/>
        <w:snapToGrid/>
        <w:spacing w:line="560" w:lineRule="exact"/>
        <w:ind w:left="420"/>
        <w:textAlignment w:val="auto"/>
        <w:rPr>
          <w:rFonts w:ascii="Times New Roman" w:cstheme="minorBidi"/>
          <w:kern w:val="2"/>
          <w:sz w:val="28"/>
          <w:szCs w:val="21"/>
          <w14:ligatures w14:val="standardContextual"/>
        </w:rPr>
      </w:pPr>
      <w:r>
        <w:rPr>
          <w:rFonts w:hint="eastAsia" w:ascii="Times New Roman" w:cstheme="minorBidi"/>
          <w:kern w:val="2"/>
          <w:sz w:val="28"/>
          <w:szCs w:val="21"/>
          <w14:ligatures w14:val="standardContextual"/>
        </w:rPr>
        <w:t>1.初勘</w:t>
      </w:r>
    </w:p>
    <w:p>
      <w:pPr>
        <w:pStyle w:val="2"/>
        <w:widowControl w:val="0"/>
        <w:kinsoku/>
        <w:autoSpaceDE/>
        <w:autoSpaceDN/>
        <w:adjustRightInd/>
        <w:snapToGrid/>
        <w:spacing w:line="560" w:lineRule="exact"/>
        <w:ind w:left="420"/>
        <w:textAlignment w:val="auto"/>
        <w:rPr>
          <w:rFonts w:ascii="Times New Roman" w:cstheme="minorBidi"/>
          <w:kern w:val="2"/>
          <w:sz w:val="28"/>
          <w:szCs w:val="21"/>
          <w14:ligatures w14:val="standardContextual"/>
        </w:rPr>
      </w:pPr>
      <w:r>
        <w:rPr>
          <w:rFonts w:hint="eastAsia" w:ascii="Times New Roman" w:cstheme="minorBidi"/>
          <w:kern w:val="2"/>
          <w:sz w:val="28"/>
          <w:szCs w:val="21"/>
          <w14:ligatures w14:val="standardContextual"/>
        </w:rPr>
        <w:t>2.详勘</w:t>
      </w:r>
    </w:p>
    <w:p>
      <w:pPr>
        <w:pStyle w:val="2"/>
        <w:widowControl w:val="0"/>
        <w:kinsoku/>
        <w:autoSpaceDE/>
        <w:autoSpaceDN/>
        <w:adjustRightInd/>
        <w:snapToGrid/>
        <w:spacing w:line="560" w:lineRule="exact"/>
        <w:ind w:left="420"/>
        <w:textAlignment w:val="auto"/>
        <w:rPr>
          <w:rFonts w:ascii="Times New Roman" w:cstheme="minorBidi"/>
          <w:kern w:val="2"/>
          <w:sz w:val="28"/>
          <w:szCs w:val="21"/>
          <w14:ligatures w14:val="standardContextual"/>
        </w:rPr>
      </w:pPr>
      <w:r>
        <w:rPr>
          <w:rFonts w:hint="eastAsia" w:ascii="Times New Roman" w:cstheme="minorBidi"/>
          <w:kern w:val="2"/>
          <w:sz w:val="28"/>
          <w:szCs w:val="21"/>
          <w14:ligatures w14:val="standardContextual"/>
        </w:rPr>
        <w:t>3.技术资料编制</w:t>
      </w:r>
    </w:p>
    <w:p>
      <w:pPr>
        <w:pStyle w:val="2"/>
        <w:widowControl w:val="0"/>
        <w:kinsoku/>
        <w:autoSpaceDE/>
        <w:autoSpaceDN/>
        <w:adjustRightInd/>
        <w:snapToGrid/>
        <w:spacing w:line="560" w:lineRule="exact"/>
        <w:ind w:left="420"/>
        <w:textAlignment w:val="auto"/>
        <w:rPr>
          <w:rFonts w:ascii="Times New Roman" w:cstheme="minorBidi"/>
          <w:kern w:val="2"/>
          <w:sz w:val="28"/>
          <w:szCs w:val="21"/>
          <w14:ligatures w14:val="standardContextual"/>
        </w:rPr>
      </w:pPr>
      <w:r>
        <w:rPr>
          <w:rFonts w:hint="eastAsia" w:ascii="Times New Roman" w:cstheme="minorBidi"/>
          <w:kern w:val="2"/>
          <w:sz w:val="28"/>
          <w:szCs w:val="21"/>
          <w14:ligatures w14:val="standardContextual"/>
        </w:rPr>
        <w:t>4.成果报审通过</w:t>
      </w:r>
    </w:p>
    <w:p>
      <w:pPr>
        <w:pStyle w:val="2"/>
        <w:widowControl w:val="0"/>
        <w:kinsoku/>
        <w:autoSpaceDE/>
        <w:autoSpaceDN/>
        <w:adjustRightInd/>
        <w:snapToGrid/>
        <w:spacing w:line="560" w:lineRule="exact"/>
        <w:ind w:left="420"/>
        <w:textAlignment w:val="auto"/>
        <w:rPr>
          <w:rFonts w:ascii="Times New Roman" w:cstheme="minorBidi"/>
          <w:kern w:val="2"/>
          <w:sz w:val="28"/>
          <w:szCs w:val="21"/>
          <w14:ligatures w14:val="standardContextual"/>
        </w:rPr>
      </w:pPr>
      <w:r>
        <w:rPr>
          <w:rFonts w:hint="eastAsia" w:ascii="Times New Roman" w:cstheme="minorBidi"/>
          <w:kern w:val="2"/>
          <w:sz w:val="28"/>
          <w:szCs w:val="21"/>
          <w14:ligatures w14:val="standardContextual"/>
        </w:rPr>
        <w:t>5.边坡勘察</w:t>
      </w:r>
    </w:p>
    <w:p>
      <w:pPr>
        <w:pStyle w:val="2"/>
        <w:widowControl w:val="0"/>
        <w:kinsoku/>
        <w:autoSpaceDE/>
        <w:autoSpaceDN/>
        <w:adjustRightInd/>
        <w:snapToGrid/>
        <w:spacing w:line="560" w:lineRule="exact"/>
        <w:ind w:left="420"/>
        <w:textAlignment w:val="auto"/>
        <w:rPr>
          <w:rFonts w:ascii="Times New Roman" w:cstheme="minorBidi"/>
          <w:kern w:val="2"/>
          <w:sz w:val="28"/>
          <w:szCs w:val="21"/>
          <w14:ligatures w14:val="standardContextual"/>
        </w:rPr>
      </w:pPr>
      <w:r>
        <w:rPr>
          <w:rFonts w:hint="eastAsia" w:ascii="Times New Roman" w:cstheme="minorBidi"/>
          <w:kern w:val="2"/>
          <w:sz w:val="28"/>
          <w:szCs w:val="21"/>
          <w14:ligatures w14:val="standardContextual"/>
        </w:rPr>
        <w:t>6.基坑及边坡支护设计</w:t>
      </w:r>
    </w:p>
    <w:p>
      <w:pPr>
        <w:pStyle w:val="2"/>
        <w:widowControl w:val="0"/>
        <w:kinsoku/>
        <w:autoSpaceDE/>
        <w:autoSpaceDN/>
        <w:adjustRightInd/>
        <w:snapToGrid/>
        <w:spacing w:line="560" w:lineRule="exact"/>
        <w:ind w:left="420"/>
        <w:textAlignment w:val="auto"/>
        <w:rPr>
          <w:rFonts w:ascii="Times New Roman" w:cstheme="minorBidi"/>
          <w:kern w:val="2"/>
          <w:sz w:val="28"/>
          <w:szCs w:val="21"/>
          <w14:ligatures w14:val="standardContextual"/>
        </w:rPr>
      </w:pPr>
      <w:r>
        <w:rPr>
          <w:rFonts w:hint="eastAsia" w:ascii="Times New Roman" w:cstheme="minorBidi"/>
          <w:kern w:val="2"/>
          <w:sz w:val="28"/>
          <w:szCs w:val="21"/>
          <w14:ligatures w14:val="standardContextual"/>
        </w:rPr>
        <w:t>7.后期服务及补勘</w:t>
      </w:r>
    </w:p>
    <w:p>
      <w:pPr>
        <w:pStyle w:val="2"/>
        <w:widowControl w:val="0"/>
        <w:kinsoku/>
        <w:autoSpaceDE/>
        <w:autoSpaceDN/>
        <w:adjustRightInd/>
        <w:snapToGrid/>
        <w:spacing w:line="560" w:lineRule="exact"/>
        <w:ind w:left="420"/>
        <w:textAlignment w:val="auto"/>
        <w:rPr>
          <w:rFonts w:ascii="Times New Roman" w:cstheme="minorBidi"/>
          <w:kern w:val="2"/>
          <w:sz w:val="28"/>
          <w:szCs w:val="21"/>
          <w14:ligatures w14:val="standardContextual"/>
        </w:rPr>
      </w:pPr>
      <w:r>
        <w:rPr>
          <w:rFonts w:hint="eastAsia" w:ascii="Times New Roman" w:cstheme="minorBidi"/>
          <w:kern w:val="2"/>
          <w:sz w:val="28"/>
          <w:szCs w:val="21"/>
          <w14:ligatures w14:val="standardContextual"/>
        </w:rPr>
        <w:t>8.在基础施工过程中如出现不良地质条件时,勘察单位提供无偿技术支持</w:t>
      </w:r>
    </w:p>
    <w:p>
      <w:pPr>
        <w:pStyle w:val="2"/>
        <w:widowControl w:val="0"/>
        <w:kinsoku/>
        <w:autoSpaceDE/>
        <w:autoSpaceDN/>
        <w:adjustRightInd/>
        <w:snapToGrid/>
        <w:spacing w:line="560" w:lineRule="exact"/>
        <w:ind w:left="420"/>
        <w:textAlignment w:val="auto"/>
        <w:rPr>
          <w:rFonts w:ascii="Times New Roman" w:cstheme="minorBidi"/>
          <w:kern w:val="2"/>
          <w:sz w:val="28"/>
          <w:szCs w:val="21"/>
          <w14:ligatures w14:val="standardContextual"/>
        </w:rPr>
      </w:pPr>
      <w:r>
        <w:rPr>
          <w:rFonts w:hint="eastAsia" w:ascii="Times New Roman" w:cstheme="minorBidi"/>
          <w:kern w:val="2"/>
          <w:sz w:val="28"/>
          <w:szCs w:val="21"/>
          <w14:ligatures w14:val="standardContextual"/>
        </w:rPr>
        <w:t>9.溶洞、岩土实验分析</w:t>
      </w:r>
    </w:p>
    <w:p>
      <w:pPr>
        <w:pStyle w:val="2"/>
        <w:widowControl w:val="0"/>
        <w:kinsoku/>
        <w:autoSpaceDE/>
        <w:autoSpaceDN/>
        <w:adjustRightInd/>
        <w:snapToGrid/>
        <w:spacing w:line="560" w:lineRule="exact"/>
        <w:ind w:left="420"/>
        <w:textAlignment w:val="auto"/>
        <w:rPr>
          <w:rFonts w:ascii="Times New Roman" w:cstheme="minorBidi"/>
          <w:kern w:val="2"/>
          <w:sz w:val="28"/>
          <w:szCs w:val="21"/>
          <w14:ligatures w14:val="standardContextual"/>
        </w:rPr>
      </w:pPr>
      <w:r>
        <w:rPr>
          <w:rFonts w:hint="eastAsia" w:ascii="Times New Roman" w:cstheme="minorBidi"/>
          <w:kern w:val="2"/>
          <w:sz w:val="28"/>
          <w:szCs w:val="21"/>
          <w14:ligatures w14:val="standardContextual"/>
        </w:rPr>
        <w:t>10.环境与安全评估</w:t>
      </w:r>
    </w:p>
    <w:p>
      <w:pPr>
        <w:spacing w:line="560" w:lineRule="exact"/>
        <w:ind w:firstLine="640" w:firstLineChars="200"/>
        <w:rPr>
          <w:rFonts w:ascii="Times New Roman" w:hAnsi="Times New Roman" w:eastAsia="仿宋_GB2312"/>
          <w:sz w:val="32"/>
        </w:rPr>
      </w:pPr>
    </w:p>
    <w:p>
      <w:pPr>
        <w:spacing w:line="560" w:lineRule="exact"/>
        <w:rPr>
          <w:rFonts w:ascii="Times New Roman" w:hAnsi="Times New Roman" w:eastAsia="仿宋_GB2312"/>
          <w:sz w:val="32"/>
        </w:rPr>
      </w:pPr>
    </w:p>
    <w:p>
      <w:pPr>
        <w:pStyle w:val="2"/>
        <w:ind w:left="420"/>
        <w:rPr>
          <w:rFonts w:ascii="Times New Roman"/>
        </w:rPr>
      </w:pPr>
    </w:p>
    <w:p>
      <w:pPr>
        <w:pStyle w:val="2"/>
        <w:ind w:left="420"/>
        <w:rPr>
          <w:rFonts w:ascii="Times New Roman"/>
        </w:rPr>
      </w:pPr>
    </w:p>
    <w:p>
      <w:pPr>
        <w:pStyle w:val="2"/>
        <w:ind w:left="420"/>
        <w:rPr>
          <w:rFonts w:ascii="Times New Roman"/>
        </w:rPr>
      </w:pPr>
    </w:p>
    <w:p/>
    <w:p/>
    <w:p/>
    <w:p/>
    <w:p>
      <w:pPr>
        <w:pStyle w:val="4"/>
      </w:pPr>
    </w:p>
    <w:p/>
    <w:p>
      <w:pPr>
        <w:spacing w:before="98" w:line="221" w:lineRule="auto"/>
        <w:ind w:firstLine="3552" w:firstLineChars="1200"/>
        <w:outlineLvl w:val="1"/>
        <w:rPr>
          <w:color w:val="auto"/>
        </w:rPr>
      </w:pPr>
      <w:r>
        <w:rPr>
          <w:rFonts w:ascii="宋体" w:hAnsi="宋体" w:eastAsia="宋体" w:cs="宋体"/>
          <w:color w:val="auto"/>
          <w:spacing w:val="-2"/>
          <w:sz w:val="30"/>
          <w:szCs w:val="30"/>
        </w:rPr>
        <w:t>第</w:t>
      </w:r>
      <w:r>
        <w:rPr>
          <w:rFonts w:ascii="宋体" w:hAnsi="宋体" w:eastAsia="宋体" w:cs="宋体"/>
          <w:color w:val="auto"/>
          <w:spacing w:val="-1"/>
          <w:sz w:val="30"/>
          <w:szCs w:val="30"/>
        </w:rPr>
        <w:t>二节商务要求</w:t>
      </w:r>
    </w:p>
    <w:p>
      <w:pPr>
        <w:spacing w:line="420" w:lineRule="exact"/>
        <w:ind w:firstLine="480" w:firstLineChars="200"/>
        <w:rPr>
          <w:rFonts w:hint="eastAsia" w:ascii="宋体" w:hAnsi="宋体" w:eastAsia="宋体" w:cs="宋体"/>
          <w:color w:val="auto"/>
          <w:sz w:val="24"/>
        </w:rPr>
      </w:pPr>
      <w:r>
        <w:rPr>
          <w:rFonts w:hint="eastAsia" w:ascii="宋体" w:hAnsi="宋体" w:cs="宋体"/>
          <w:color w:val="auto"/>
          <w:sz w:val="24"/>
        </w:rPr>
        <w:t>一、项目建设期、</w:t>
      </w:r>
      <w:r>
        <w:rPr>
          <w:rFonts w:hint="eastAsia" w:ascii="宋体" w:hAnsi="宋体" w:eastAsia="宋体" w:cs="宋体"/>
          <w:color w:val="auto"/>
          <w:sz w:val="24"/>
        </w:rPr>
        <w:t>服务期</w:t>
      </w:r>
      <w:r>
        <w:rPr>
          <w:rFonts w:hint="eastAsia" w:ascii="宋体" w:hAnsi="宋体" w:cs="宋体"/>
          <w:color w:val="auto"/>
          <w:sz w:val="24"/>
        </w:rPr>
        <w:t>、建设地点</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1.建设总工期：24个月。</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2.服务期：自该项目合同签订开始到项目竣工验收合格移交给建设单位，缺陷责任期结束为止。 </w:t>
      </w:r>
    </w:p>
    <w:p>
      <w:pPr>
        <w:spacing w:line="420" w:lineRule="exact"/>
        <w:ind w:left="479" w:leftChars="228"/>
        <w:rPr>
          <w:rFonts w:ascii="宋体" w:hAnsi="宋体" w:cs="宋体"/>
          <w:color w:val="auto"/>
          <w:sz w:val="24"/>
        </w:rPr>
      </w:pPr>
      <w:r>
        <w:rPr>
          <w:rFonts w:hint="eastAsia" w:ascii="宋体" w:hAnsi="宋体" w:eastAsia="宋体" w:cs="宋体"/>
          <w:color w:val="auto"/>
          <w:sz w:val="24"/>
        </w:rPr>
        <w:t xml:space="preserve">3.建设地点：贵阳市云岩区白云大道229号贵州经贸职业技术学院贵阳校区内。   </w:t>
      </w:r>
      <w:r>
        <w:rPr>
          <w:rFonts w:hint="eastAsia" w:ascii="宋体" w:hAnsi="宋体" w:cs="宋体"/>
          <w:color w:val="auto"/>
          <w:sz w:val="24"/>
        </w:rPr>
        <w:t>二、验收标准、规范</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达到国家现行本项目相关的规范及验收合格标准，执行国家和本项目所在地区颁发的现行法律法规、规范、规定、规程、标准、规划和要求；完成本次采购所有服务工作内容，且所有成果文件须符合国家有关法规、标准和规范的规定，并满足招标人要求，需交付完整的电子版和纸质版成果材料。</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w:t>
      </w:r>
      <w:r>
        <w:rPr>
          <w:rFonts w:hint="eastAsia" w:ascii="宋体" w:hAnsi="宋体" w:cs="宋体"/>
          <w:color w:val="auto"/>
          <w:sz w:val="24"/>
        </w:rPr>
        <w:t>、</w:t>
      </w:r>
      <w:r>
        <w:rPr>
          <w:rFonts w:hint="eastAsia" w:ascii="宋体" w:hAnsi="宋体" w:eastAsia="宋体" w:cs="宋体"/>
          <w:bCs/>
          <w:color w:val="auto"/>
          <w:sz w:val="24"/>
        </w:rPr>
        <w:t>付款方式及金额</w:t>
      </w:r>
    </w:p>
    <w:p>
      <w:pPr>
        <w:spacing w:line="420" w:lineRule="exact"/>
        <w:ind w:firstLine="480" w:firstLineChars="200"/>
        <w:rPr>
          <w:rFonts w:ascii="宋体" w:hAnsi="宋体" w:cs="宋体"/>
          <w:color w:val="auto"/>
          <w:sz w:val="24"/>
        </w:rPr>
      </w:pPr>
      <w:r>
        <w:rPr>
          <w:rFonts w:hint="eastAsia" w:ascii="宋体" w:hAnsi="宋体" w:eastAsia="宋体" w:cs="宋体"/>
          <w:color w:val="auto"/>
          <w:sz w:val="24"/>
        </w:rPr>
        <w:t>支付金额：</w:t>
      </w:r>
      <w:r>
        <w:rPr>
          <w:rFonts w:hint="eastAsia" w:ascii="宋体" w:hAnsi="宋体" w:cs="宋体"/>
          <w:color w:val="auto"/>
          <w:sz w:val="24"/>
        </w:rPr>
        <w:t>根据中标固定总价支付。</w:t>
      </w:r>
    </w:p>
    <w:p>
      <w:pPr>
        <w:spacing w:line="420" w:lineRule="exact"/>
        <w:ind w:firstLine="480" w:firstLineChars="200"/>
        <w:rPr>
          <w:rFonts w:ascii="宋体" w:hAnsi="宋体" w:cs="宋体"/>
          <w:color w:val="auto"/>
          <w:sz w:val="24"/>
        </w:rPr>
      </w:pPr>
      <w:r>
        <w:rPr>
          <w:rFonts w:hint="eastAsia" w:ascii="宋体" w:hAnsi="宋体" w:cs="宋体"/>
          <w:color w:val="auto"/>
          <w:sz w:val="24"/>
        </w:rPr>
        <w:t>支付方式：以合同约定为准。</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四</w:t>
      </w:r>
      <w:r>
        <w:rPr>
          <w:rFonts w:hint="eastAsia" w:ascii="宋体" w:hAnsi="宋体" w:cs="宋体"/>
          <w:color w:val="auto"/>
          <w:sz w:val="24"/>
        </w:rPr>
        <w:t>、</w:t>
      </w:r>
      <w:r>
        <w:rPr>
          <w:rFonts w:hint="eastAsia" w:ascii="宋体" w:hAnsi="宋体" w:eastAsia="宋体" w:cs="宋体"/>
          <w:bCs/>
          <w:color w:val="auto"/>
          <w:sz w:val="24"/>
        </w:rPr>
        <w:t>履约保证金</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无</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五</w:t>
      </w:r>
      <w:r>
        <w:rPr>
          <w:rFonts w:hint="eastAsia" w:ascii="宋体" w:hAnsi="宋体" w:cs="宋体"/>
          <w:color w:val="auto"/>
          <w:sz w:val="24"/>
        </w:rPr>
        <w:t>、</w:t>
      </w:r>
      <w:r>
        <w:rPr>
          <w:rFonts w:hint="eastAsia" w:ascii="宋体" w:hAnsi="宋体" w:eastAsia="宋体" w:cs="宋体"/>
          <w:bCs/>
          <w:color w:val="auto"/>
          <w:sz w:val="24"/>
        </w:rPr>
        <w:t>投标有效期</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bCs/>
          <w:color w:val="auto"/>
          <w:sz w:val="24"/>
        </w:rPr>
        <w:t>投标截止日结束后90日历天。</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bCs/>
          <w:color w:val="auto"/>
          <w:sz w:val="24"/>
        </w:rPr>
        <w:t>六、报价要求：不超过本项目最高限价</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七</w:t>
      </w:r>
      <w:r>
        <w:rPr>
          <w:rFonts w:hint="eastAsia" w:ascii="宋体" w:hAnsi="宋体" w:cs="宋体"/>
          <w:color w:val="auto"/>
          <w:sz w:val="24"/>
        </w:rPr>
        <w:t>、</w:t>
      </w:r>
      <w:r>
        <w:rPr>
          <w:rFonts w:hint="eastAsia" w:ascii="宋体" w:hAnsi="宋体" w:eastAsia="宋体" w:cs="宋体"/>
          <w:bCs/>
          <w:color w:val="auto"/>
          <w:sz w:val="24"/>
        </w:rPr>
        <w:t>其他要求</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1.投标人对本次招标的投标廉政承诺书，格式见“附件1”。</w:t>
      </w:r>
    </w:p>
    <w:p>
      <w:pPr>
        <w:spacing w:line="420" w:lineRule="exact"/>
        <w:ind w:right="-426" w:rightChars="-203" w:firstLine="480" w:firstLineChars="200"/>
        <w:rPr>
          <w:rFonts w:hint="eastAsia" w:ascii="宋体" w:hAnsi="宋体" w:eastAsia="宋体" w:cs="宋体"/>
          <w:color w:val="auto"/>
          <w:sz w:val="24"/>
        </w:rPr>
      </w:pPr>
      <w:r>
        <w:rPr>
          <w:rFonts w:hint="eastAsia" w:ascii="宋体" w:hAnsi="宋体" w:eastAsia="宋体" w:cs="宋体"/>
          <w:color w:val="auto"/>
          <w:sz w:val="24"/>
        </w:rPr>
        <w:t>2.投标人对本次招标的不拖欠人员（包括农民工）工资承诺书，格式见“附件2”。</w:t>
      </w:r>
    </w:p>
    <w:p>
      <w:pPr>
        <w:widowControl w:val="0"/>
        <w:tabs>
          <w:tab w:val="left" w:pos="954"/>
        </w:tabs>
        <w:kinsoku/>
        <w:autoSpaceDE/>
        <w:autoSpaceDN/>
        <w:adjustRightInd/>
        <w:spacing w:line="42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3.投标人对本次招标的不串标围标承诺书，格式见“附件3”。</w:t>
      </w:r>
    </w:p>
    <w:p>
      <w:pPr>
        <w:widowControl w:val="0"/>
        <w:tabs>
          <w:tab w:val="left" w:pos="954"/>
        </w:tabs>
        <w:kinsoku/>
        <w:autoSpaceDE/>
        <w:autoSpaceDN/>
        <w:adjustRightInd/>
        <w:spacing w:line="42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4.中标单位必须服从采购人及项目管理单位工作安排，未尽事宜在采购合同中详细约定，投标人须在签订合同时最大化满足采购人的需求。</w:t>
      </w:r>
    </w:p>
    <w:p>
      <w:pPr>
        <w:widowControl w:val="0"/>
        <w:tabs>
          <w:tab w:val="left" w:pos="954"/>
        </w:tabs>
        <w:kinsoku/>
        <w:autoSpaceDE/>
        <w:autoSpaceDN/>
        <w:adjustRightInd/>
        <w:spacing w:line="42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5.勘查过程、成果须严格按照相关勘查规范进行操作，钻探出来的岩芯使用专门的岩芯盒排序保存好，后进行统一编录，形成音像及实物资料。</w:t>
      </w:r>
    </w:p>
    <w:p>
      <w:pPr>
        <w:widowControl w:val="0"/>
        <w:tabs>
          <w:tab w:val="left" w:pos="954"/>
        </w:tabs>
        <w:kinsoku/>
        <w:autoSpaceDE/>
        <w:autoSpaceDN/>
        <w:adjustRightInd/>
        <w:spacing w:line="42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6.投标人必须在投标文件中对本章节全部条款进行承诺，承诺内容必须达到本章节要求的所有内容。</w:t>
      </w:r>
    </w:p>
    <w:p>
      <w:pPr>
        <w:spacing w:line="420" w:lineRule="exact"/>
        <w:ind w:firstLine="480" w:firstLineChars="200"/>
        <w:rPr>
          <w:color w:val="auto"/>
        </w:rPr>
      </w:pPr>
      <w:r>
        <w:rPr>
          <w:rFonts w:hint="eastAsia" w:ascii="宋体" w:hAnsi="宋体" w:eastAsia="宋体" w:cs="宋体"/>
          <w:color w:val="auto"/>
          <w:sz w:val="24"/>
        </w:rPr>
        <w:t>7</w:t>
      </w:r>
      <w:r>
        <w:rPr>
          <w:rFonts w:hint="eastAsia" w:ascii="宋体" w:hAnsi="宋体" w:cs="宋体"/>
          <w:color w:val="auto"/>
          <w:sz w:val="24"/>
        </w:rPr>
        <w:t>.</w:t>
      </w:r>
      <w:r>
        <w:rPr>
          <w:rFonts w:hint="eastAsia" w:ascii="宋体" w:hAnsi="宋体" w:eastAsia="宋体" w:cs="宋体"/>
          <w:color w:val="auto"/>
          <w:sz w:val="24"/>
        </w:rPr>
        <w:t>其他未尽事宜由供需双方在采购合同中详细约定。</w:t>
      </w:r>
    </w:p>
    <w:p>
      <w:pPr>
        <w:spacing w:before="78" w:line="218" w:lineRule="auto"/>
        <w:rPr>
          <w:rFonts w:hint="eastAsia" w:ascii="宋体" w:hAnsi="宋体" w:eastAsia="宋体" w:cs="宋体"/>
          <w:color w:val="auto"/>
          <w:spacing w:val="1"/>
          <w:sz w:val="24"/>
          <w:szCs w:val="24"/>
          <w14:textOutline w14:w="4356" w14:cap="flat" w14:cmpd="sng" w14:algn="ctr">
            <w14:solidFill>
              <w14:srgbClr w14:val="000000"/>
            </w14:solidFill>
            <w14:prstDash w14:val="solid"/>
            <w14:miter w14:val="0"/>
          </w14:textOutline>
        </w:rPr>
      </w:pPr>
      <w:bookmarkStart w:id="34" w:name="_bookmark46"/>
      <w:bookmarkEnd w:id="34"/>
      <w:bookmarkStart w:id="35" w:name="_bookmark45"/>
      <w:bookmarkEnd w:id="35"/>
      <w:bookmarkStart w:id="36" w:name="_bookmark43"/>
      <w:bookmarkEnd w:id="36"/>
      <w:bookmarkStart w:id="37" w:name="_bookmark47"/>
      <w:bookmarkEnd w:id="37"/>
      <w:bookmarkStart w:id="38" w:name="_bookmark44"/>
      <w:bookmarkEnd w:id="38"/>
    </w:p>
    <w:p>
      <w:pP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pP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特别提醒：若招标采购文件评分标准中</w:t>
      </w: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需对业绩进行评价，采购人及采购</w:t>
      </w:r>
      <w:r>
        <w:rPr>
          <w:rFonts w:ascii="宋体" w:hAnsi="宋体" w:eastAsia="宋体" w:cs="宋体"/>
          <w:color w:val="auto"/>
          <w:spacing w:val="-4"/>
          <w:sz w:val="24"/>
          <w:szCs w:val="24"/>
          <w14:textOutline w14:w="4356" w14:cap="flat" w14:cmpd="sng" w14:algn="ctr">
            <w14:solidFill>
              <w14:srgbClr w14:val="000000"/>
            </w14:solidFill>
            <w14:prstDash w14:val="solid"/>
            <w14:miter w14:val="0"/>
          </w14:textOutline>
        </w:rPr>
        <w:t>代理机构对同类或类似项目业</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绩</w:t>
      </w: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进行准确的定义，</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避免投标人误解采购人对业</w:t>
      </w:r>
      <w:r>
        <w:rPr>
          <w:rFonts w:ascii="宋体" w:hAnsi="宋体" w:eastAsia="宋体" w:cs="宋体"/>
          <w:color w:val="auto"/>
          <w:spacing w:val="-4"/>
          <w:sz w:val="24"/>
          <w:szCs w:val="24"/>
          <w14:textOutline w14:w="4356" w14:cap="flat" w14:cmpd="sng" w14:algn="ctr">
            <w14:solidFill>
              <w14:srgbClr w14:val="000000"/>
            </w14:solidFill>
            <w14:prstDash w14:val="solid"/>
            <w14:miter w14:val="0"/>
          </w14:textOutline>
        </w:rPr>
        <w:t>绩的要</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求</w:t>
      </w: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，而有损双方利益。</w:t>
      </w:r>
    </w:p>
    <w:p>
      <w:pPr>
        <w:pStyle w:val="2"/>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pPr>
    </w:p>
    <w:p>
      <w:pPr>
        <w:pStyle w:val="2"/>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pPr>
    </w:p>
    <w:p>
      <w:pPr>
        <w:spacing w:before="337" w:line="220" w:lineRule="auto"/>
        <w:ind w:left="3402"/>
        <w:outlineLvl w:val="1"/>
        <w:rPr>
          <w:rFonts w:hint="eastAsia" w:ascii="宋体" w:hAnsi="宋体" w:eastAsia="宋体" w:cs="宋体"/>
          <w:color w:val="auto"/>
          <w:sz w:val="30"/>
          <w:szCs w:val="30"/>
        </w:rPr>
      </w:pPr>
      <w:r>
        <w:rPr>
          <w:rFonts w:ascii="宋体" w:hAnsi="宋体" w:eastAsia="宋体" w:cs="宋体"/>
          <w:color w:val="auto"/>
          <w:spacing w:val="-2"/>
          <w:sz w:val="30"/>
          <w:szCs w:val="30"/>
        </w:rPr>
        <w:t>第</w:t>
      </w:r>
      <w:r>
        <w:rPr>
          <w:rFonts w:ascii="宋体" w:hAnsi="宋体" w:eastAsia="宋体" w:cs="宋体"/>
          <w:color w:val="auto"/>
          <w:spacing w:val="-1"/>
          <w:sz w:val="30"/>
          <w:szCs w:val="30"/>
        </w:rPr>
        <w:t>三节图纸附件</w:t>
      </w:r>
    </w:p>
    <w:p>
      <w:pPr>
        <w:spacing w:line="477" w:lineRule="auto"/>
        <w:rPr>
          <w:color w:val="auto"/>
        </w:rPr>
      </w:pPr>
    </w:p>
    <w:p>
      <w:pPr>
        <w:spacing w:line="475" w:lineRule="auto"/>
        <w:jc w:val="center"/>
        <w:rPr>
          <w:rFonts w:eastAsia="宋体"/>
          <w:color w:val="auto"/>
        </w:rPr>
      </w:pPr>
      <w:r>
        <w:rPr>
          <w:rFonts w:hint="eastAsia" w:ascii="宋体" w:hAnsi="宋体" w:eastAsia="宋体" w:cs="宋体"/>
          <w:color w:val="auto"/>
          <w:sz w:val="30"/>
          <w:szCs w:val="30"/>
        </w:rPr>
        <w:t>（见附件）</w:t>
      </w:r>
    </w:p>
    <w:p>
      <w:pPr>
        <w:pStyle w:val="2"/>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pPr>
      <w:bookmarkStart w:id="39" w:name="_GoBack"/>
      <w:bookmarkEnd w:id="3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18"/>
      <w:rPr>
        <w:rFonts w:hint="eastAsia"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sU1ctAgAAV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wsU1ctAgAAVw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071"/>
      <w:rPr>
        <w:rFonts w:hint="eastAsia"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DzXstAgAAW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dDzXstAgAAWQ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708"/>
      <w:rPr>
        <w:rFonts w:hint="eastAsia"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juZws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O5nCwCAABZ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071"/>
      <w:rPr>
        <w:rFonts w:hint="eastAsia"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8lcE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v8lcEtAgAAWQ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003"/>
      <w:rPr>
        <w:rFonts w:hint="eastAsia"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Q0A0s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5DQDSwCAABZ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5003"/>
      <w:rPr>
        <w:rFonts w:hint="eastAsia" w:ascii="宋体" w:hAnsi="宋体" w:eastAsia="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3P/FA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3P/FAtAgAAWQ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2"/>
      <w:rPr>
        <w:rFonts w:hint="eastAsia" w:ascii="宋体" w:hAnsi="宋体" w:eastAsia="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sfeoY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sfeoYtAgAAWQ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58"/>
      <w:rPr>
        <w:rFonts w:hint="eastAsia" w:ascii="宋体" w:hAnsi="宋体" w:eastAsia="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zP0o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3M/SiwCAABZ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sz w:val="2"/>
      </w:rPr>
    </w:pPr>
    <w:r>
      <mc:AlternateContent>
        <mc:Choice Requires="wps">
          <w:drawing>
            <wp:anchor distT="0" distB="0" distL="114300" distR="114300" simplePos="0" relativeHeight="251667456" behindDoc="0" locked="0" layoutInCell="0" allowOverlap="1">
              <wp:simplePos x="0" y="0"/>
              <wp:positionH relativeFrom="page">
                <wp:posOffset>1124585</wp:posOffset>
              </wp:positionH>
              <wp:positionV relativeFrom="page">
                <wp:posOffset>685800</wp:posOffset>
              </wp:positionV>
              <wp:extent cx="5311775" cy="9525"/>
              <wp:effectExtent l="635" t="0" r="2540" b="0"/>
              <wp:wrapNone/>
              <wp:docPr id="1629226329" name="Rectangle 9"/>
              <wp:cNvGraphicFramePr/>
              <a:graphic xmlns:a="http://schemas.openxmlformats.org/drawingml/2006/main">
                <a:graphicData uri="http://schemas.microsoft.com/office/word/2010/wordprocessingShape">
                  <wps:wsp>
                    <wps:cNvSpPr>
                      <a:spLocks noChangeArrowheads="1"/>
                    </wps:cNvSpPr>
                    <wps:spPr bwMode="auto">
                      <a:xfrm>
                        <a:off x="0" y="0"/>
                        <a:ext cx="5311775"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88.55pt;margin-top:54pt;height:0.75pt;width:418.25pt;mso-position-horizontal-relative:page;mso-position-vertical-relative:page;z-index:251667456;mso-width-relative:page;mso-height-relative:page;" fillcolor="#000000" filled="t" stroked="f" coordsize="21600,21600" o:allowincell="f" o:gfxdata="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Z5VNgAAAAMAQAADwAA&#10;AAAAAAABACAAAAAiAAAAZHJzL2Rvd25yZXYueG1sUEsBAhQAFAAAAAgAh07iQNcLamMWAgAAMAQA&#10;AA4AAAAAAAAAAQAgAAAAJwEAAGRycy9lMm9Eb2MueG1sUEsFBgAAAAAGAAYAWQEAAK8FA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43701"/>
    <w:multiLevelType w:val="singleLevel"/>
    <w:tmpl w:val="96343701"/>
    <w:lvl w:ilvl="0" w:tentative="0">
      <w:start w:val="1"/>
      <w:numFmt w:val="decimal"/>
      <w:lvlText w:val="(%1)"/>
      <w:lvlJc w:val="left"/>
      <w:pPr>
        <w:tabs>
          <w:tab w:val="left" w:pos="312"/>
        </w:tabs>
      </w:pPr>
    </w:lvl>
  </w:abstractNum>
  <w:abstractNum w:abstractNumId="1">
    <w:nsid w:val="B50915B1"/>
    <w:multiLevelType w:val="singleLevel"/>
    <w:tmpl w:val="B50915B1"/>
    <w:lvl w:ilvl="0" w:tentative="0">
      <w:start w:val="9"/>
      <w:numFmt w:val="chineseCounting"/>
      <w:suff w:val="space"/>
      <w:lvlText w:val="第%1节"/>
      <w:lvlJc w:val="left"/>
      <w:rPr>
        <w:rFonts w:hint="eastAsia"/>
      </w:rPr>
    </w:lvl>
  </w:abstractNum>
  <w:abstractNum w:abstractNumId="2">
    <w:nsid w:val="03D62ECE"/>
    <w:multiLevelType w:val="multilevel"/>
    <w:tmpl w:val="03D62ECE"/>
    <w:lvl w:ilvl="0" w:tentative="0">
      <w:start w:val="1"/>
      <w:numFmt w:val="decimal"/>
      <w:lvlText w:val="（%1）"/>
      <w:lvlJc w:val="left"/>
      <w:pPr>
        <w:ind w:left="65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248" w:hanging="529"/>
      </w:pPr>
      <w:rPr>
        <w:rFonts w:hint="default"/>
        <w:lang w:val="zh-CN" w:eastAsia="zh-CN" w:bidi="zh-CN"/>
      </w:rPr>
    </w:lvl>
    <w:lvl w:ilvl="2" w:tentative="0">
      <w:start w:val="0"/>
      <w:numFmt w:val="bullet"/>
      <w:lvlText w:val="•"/>
      <w:lvlJc w:val="left"/>
      <w:pPr>
        <w:ind w:left="1836" w:hanging="529"/>
      </w:pPr>
      <w:rPr>
        <w:rFonts w:hint="default"/>
        <w:lang w:val="zh-CN" w:eastAsia="zh-CN" w:bidi="zh-CN"/>
      </w:rPr>
    </w:lvl>
    <w:lvl w:ilvl="3" w:tentative="0">
      <w:start w:val="0"/>
      <w:numFmt w:val="bullet"/>
      <w:lvlText w:val="•"/>
      <w:lvlJc w:val="left"/>
      <w:pPr>
        <w:ind w:left="2424" w:hanging="529"/>
      </w:pPr>
      <w:rPr>
        <w:rFonts w:hint="default"/>
        <w:lang w:val="zh-CN" w:eastAsia="zh-CN" w:bidi="zh-CN"/>
      </w:rPr>
    </w:lvl>
    <w:lvl w:ilvl="4" w:tentative="0">
      <w:start w:val="0"/>
      <w:numFmt w:val="bullet"/>
      <w:lvlText w:val="•"/>
      <w:lvlJc w:val="left"/>
      <w:pPr>
        <w:ind w:left="3012" w:hanging="529"/>
      </w:pPr>
      <w:rPr>
        <w:rFonts w:hint="default"/>
        <w:lang w:val="zh-CN" w:eastAsia="zh-CN" w:bidi="zh-CN"/>
      </w:rPr>
    </w:lvl>
    <w:lvl w:ilvl="5" w:tentative="0">
      <w:start w:val="0"/>
      <w:numFmt w:val="bullet"/>
      <w:lvlText w:val="•"/>
      <w:lvlJc w:val="left"/>
      <w:pPr>
        <w:ind w:left="3600" w:hanging="529"/>
      </w:pPr>
      <w:rPr>
        <w:rFonts w:hint="default"/>
        <w:lang w:val="zh-CN" w:eastAsia="zh-CN" w:bidi="zh-CN"/>
      </w:rPr>
    </w:lvl>
    <w:lvl w:ilvl="6" w:tentative="0">
      <w:start w:val="0"/>
      <w:numFmt w:val="bullet"/>
      <w:lvlText w:val="•"/>
      <w:lvlJc w:val="left"/>
      <w:pPr>
        <w:ind w:left="4188" w:hanging="529"/>
      </w:pPr>
      <w:rPr>
        <w:rFonts w:hint="default"/>
        <w:lang w:val="zh-CN" w:eastAsia="zh-CN" w:bidi="zh-CN"/>
      </w:rPr>
    </w:lvl>
    <w:lvl w:ilvl="7" w:tentative="0">
      <w:start w:val="0"/>
      <w:numFmt w:val="bullet"/>
      <w:lvlText w:val="•"/>
      <w:lvlJc w:val="left"/>
      <w:pPr>
        <w:ind w:left="4776" w:hanging="529"/>
      </w:pPr>
      <w:rPr>
        <w:rFonts w:hint="default"/>
        <w:lang w:val="zh-CN" w:eastAsia="zh-CN" w:bidi="zh-CN"/>
      </w:rPr>
    </w:lvl>
    <w:lvl w:ilvl="8" w:tentative="0">
      <w:start w:val="0"/>
      <w:numFmt w:val="bullet"/>
      <w:lvlText w:val="•"/>
      <w:lvlJc w:val="left"/>
      <w:pPr>
        <w:ind w:left="5364" w:hanging="529"/>
      </w:pPr>
      <w:rPr>
        <w:rFonts w:hint="default"/>
        <w:lang w:val="zh-CN" w:eastAsia="zh-CN" w:bidi="zh-CN"/>
      </w:rPr>
    </w:lvl>
  </w:abstractNum>
  <w:abstractNum w:abstractNumId="3">
    <w:nsid w:val="2A8F537B"/>
    <w:multiLevelType w:val="multilevel"/>
    <w:tmpl w:val="2A8F537B"/>
    <w:lvl w:ilvl="0" w:tentative="0">
      <w:start w:val="1"/>
      <w:numFmt w:val="decimal"/>
      <w:lvlText w:val="（%1）"/>
      <w:lvlJc w:val="left"/>
      <w:pPr>
        <w:ind w:left="65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248" w:hanging="529"/>
      </w:pPr>
      <w:rPr>
        <w:rFonts w:hint="default"/>
        <w:lang w:val="zh-CN" w:eastAsia="zh-CN" w:bidi="zh-CN"/>
      </w:rPr>
    </w:lvl>
    <w:lvl w:ilvl="2" w:tentative="0">
      <w:start w:val="0"/>
      <w:numFmt w:val="bullet"/>
      <w:lvlText w:val="•"/>
      <w:lvlJc w:val="left"/>
      <w:pPr>
        <w:ind w:left="1836" w:hanging="529"/>
      </w:pPr>
      <w:rPr>
        <w:rFonts w:hint="default"/>
        <w:lang w:val="zh-CN" w:eastAsia="zh-CN" w:bidi="zh-CN"/>
      </w:rPr>
    </w:lvl>
    <w:lvl w:ilvl="3" w:tentative="0">
      <w:start w:val="0"/>
      <w:numFmt w:val="bullet"/>
      <w:lvlText w:val="•"/>
      <w:lvlJc w:val="left"/>
      <w:pPr>
        <w:ind w:left="2424" w:hanging="529"/>
      </w:pPr>
      <w:rPr>
        <w:rFonts w:hint="default"/>
        <w:lang w:val="zh-CN" w:eastAsia="zh-CN" w:bidi="zh-CN"/>
      </w:rPr>
    </w:lvl>
    <w:lvl w:ilvl="4" w:tentative="0">
      <w:start w:val="0"/>
      <w:numFmt w:val="bullet"/>
      <w:lvlText w:val="•"/>
      <w:lvlJc w:val="left"/>
      <w:pPr>
        <w:ind w:left="3012" w:hanging="529"/>
      </w:pPr>
      <w:rPr>
        <w:rFonts w:hint="default"/>
        <w:lang w:val="zh-CN" w:eastAsia="zh-CN" w:bidi="zh-CN"/>
      </w:rPr>
    </w:lvl>
    <w:lvl w:ilvl="5" w:tentative="0">
      <w:start w:val="0"/>
      <w:numFmt w:val="bullet"/>
      <w:lvlText w:val="•"/>
      <w:lvlJc w:val="left"/>
      <w:pPr>
        <w:ind w:left="3600" w:hanging="529"/>
      </w:pPr>
      <w:rPr>
        <w:rFonts w:hint="default"/>
        <w:lang w:val="zh-CN" w:eastAsia="zh-CN" w:bidi="zh-CN"/>
      </w:rPr>
    </w:lvl>
    <w:lvl w:ilvl="6" w:tentative="0">
      <w:start w:val="0"/>
      <w:numFmt w:val="bullet"/>
      <w:lvlText w:val="•"/>
      <w:lvlJc w:val="left"/>
      <w:pPr>
        <w:ind w:left="4188" w:hanging="529"/>
      </w:pPr>
      <w:rPr>
        <w:rFonts w:hint="default"/>
        <w:lang w:val="zh-CN" w:eastAsia="zh-CN" w:bidi="zh-CN"/>
      </w:rPr>
    </w:lvl>
    <w:lvl w:ilvl="7" w:tentative="0">
      <w:start w:val="0"/>
      <w:numFmt w:val="bullet"/>
      <w:lvlText w:val="•"/>
      <w:lvlJc w:val="left"/>
      <w:pPr>
        <w:ind w:left="4776" w:hanging="529"/>
      </w:pPr>
      <w:rPr>
        <w:rFonts w:hint="default"/>
        <w:lang w:val="zh-CN" w:eastAsia="zh-CN" w:bidi="zh-CN"/>
      </w:rPr>
    </w:lvl>
    <w:lvl w:ilvl="8" w:tentative="0">
      <w:start w:val="0"/>
      <w:numFmt w:val="bullet"/>
      <w:lvlText w:val="•"/>
      <w:lvlJc w:val="left"/>
      <w:pPr>
        <w:ind w:left="5364" w:hanging="529"/>
      </w:pPr>
      <w:rPr>
        <w:rFonts w:hint="default"/>
        <w:lang w:val="zh-CN" w:eastAsia="zh-CN" w:bidi="zh-C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2NmZDhkZTNjOGYwOGVkZGUzMjZiNDg0NjQ4YmIifQ=="/>
  </w:docVars>
  <w:rsids>
    <w:rsidRoot w:val="00000000"/>
    <w:rsid w:val="7BEF2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left="0" w:firstLine="420"/>
    </w:pPr>
    <w:rPr>
      <w:rFonts w:ascii="仿宋_GB2312" w:eastAsia="仿宋_GB2312" w:cs="仿宋_GB2312"/>
      <w:sz w:val="32"/>
      <w:szCs w:val="32"/>
    </w:rPr>
  </w:style>
  <w:style w:type="paragraph" w:customStyle="1" w:styleId="3">
    <w:name w:val="Body Text Indent1"/>
    <w:basedOn w:val="1"/>
    <w:qFormat/>
    <w:uiPriority w:val="0"/>
    <w:pPr>
      <w:spacing w:after="120"/>
      <w:ind w:left="420" w:leftChars="200"/>
    </w:pPr>
    <w:rPr>
      <w:rFonts w:ascii="Times New Roman" w:hAnsi="Times New Roman" w:eastAsia="宋体" w:cs="Times New Roman"/>
    </w:rPr>
  </w:style>
  <w:style w:type="paragraph" w:styleId="4">
    <w:name w:val="Body Text"/>
    <w:basedOn w:val="1"/>
    <w:link w:val="10"/>
    <w:unhideWhenUsed/>
    <w:qFormat/>
    <w:uiPriority w:val="99"/>
    <w:pPr>
      <w:spacing w:after="120"/>
    </w:pPr>
    <w:rPr>
      <w:rFonts w:ascii="Calibri" w:hAnsi="Calibri" w:eastAsia="宋体"/>
      <w:sz w:val="24"/>
      <w:szCs w:val="22"/>
    </w:rPr>
  </w:style>
  <w:style w:type="paragraph" w:styleId="5">
    <w:name w:val="footer"/>
    <w:basedOn w:val="1"/>
    <w:qFormat/>
    <w:uiPriority w:val="0"/>
    <w:pPr>
      <w:tabs>
        <w:tab w:val="center" w:pos="4153"/>
        <w:tab w:val="right" w:pos="8306"/>
      </w:tabs>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rPr>
      <w:rFonts w:ascii="宋体" w:hAnsi="宋体" w:eastAsia="宋体" w:cs="宋体"/>
      <w:lang w:val="zh-CN" w:bidi="zh-CN"/>
    </w:rPr>
  </w:style>
  <w:style w:type="character" w:customStyle="1" w:styleId="10">
    <w:name w:val="正文文本 字符"/>
    <w:link w:val="4"/>
    <w:qFormat/>
    <w:uiPriority w:val="99"/>
    <w:rPr>
      <w:rFonts w:ascii="Calibri" w:hAnsi="Calibri" w:eastAsia="宋体"/>
      <w:sz w:val="24"/>
      <w:szCs w:val="22"/>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2025-07-25T06:33:41Z</dcterms:created>
  <dc:creator>Administrator.SY-202304151755</dc:creator>
  <cp:lastModifiedBy>舒清</cp:lastModifiedBy>
  <dcterms:modified xsi:type="dcterms:W3CDTF">2025-07-25T06:34:26Z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A0FC01F4C7DB4FF280E24E8453B74C36</vt:lpwstr>
  </property>
</Properties>
</file>