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E3821B">
      <w:pPr>
        <w:jc w:val="center"/>
        <w:rPr>
          <w:rFonts w:hint="eastAsia"/>
          <w:lang w:val="en-US" w:eastAsia="zh-CN"/>
        </w:rPr>
      </w:pPr>
      <w:bookmarkStart w:id="2" w:name="_GoBack"/>
      <w:bookmarkEnd w:id="2"/>
      <w:r>
        <w:rPr>
          <w:rFonts w:hint="eastAsia"/>
          <w:lang w:val="en-US" w:eastAsia="zh-CN"/>
        </w:rPr>
        <w:t>需求公示</w:t>
      </w:r>
    </w:p>
    <w:p w14:paraId="65D92A34">
      <w:pPr>
        <w:jc w:val="both"/>
        <w:rPr>
          <w:rFonts w:hint="default"/>
          <w:lang w:val="en-US" w:eastAsia="zh-CN"/>
        </w:rPr>
      </w:pPr>
      <w:r>
        <w:rPr>
          <w:rFonts w:hint="default"/>
          <w:lang w:val="en-US" w:eastAsia="zh-CN"/>
        </w:rPr>
        <w:t>投标供应商资格要求</w:t>
      </w:r>
    </w:p>
    <w:p w14:paraId="1386A2FA">
      <w:pPr>
        <w:jc w:val="both"/>
        <w:rPr>
          <w:rFonts w:hint="default"/>
          <w:lang w:val="en-US" w:eastAsia="zh-CN"/>
        </w:rPr>
      </w:pPr>
      <w:r>
        <w:rPr>
          <w:rFonts w:hint="default"/>
          <w:lang w:val="en-US" w:eastAsia="zh-CN"/>
        </w:rPr>
        <w:t>(1)一般资格要求：</w:t>
      </w:r>
    </w:p>
    <w:p w14:paraId="7AAAA819">
      <w:pPr>
        <w:jc w:val="both"/>
        <w:rPr>
          <w:rFonts w:hint="default"/>
          <w:lang w:val="en-US" w:eastAsia="zh-CN"/>
        </w:rPr>
      </w:pPr>
      <w:r>
        <w:rPr>
          <w:rFonts w:hint="default"/>
          <w:lang w:val="en-US" w:eastAsia="zh-CN"/>
        </w:rPr>
        <w:t>符合政府采购法第二十二条规定，提供政府采购法实施条例第十七条规定资料。</w:t>
      </w:r>
    </w:p>
    <w:p w14:paraId="301FB71F">
      <w:pPr>
        <w:jc w:val="both"/>
        <w:rPr>
          <w:rFonts w:hint="default"/>
          <w:lang w:val="en-US" w:eastAsia="zh-CN"/>
        </w:rPr>
      </w:pPr>
      <w:r>
        <w:rPr>
          <w:rFonts w:hint="default"/>
          <w:lang w:val="en-US" w:eastAsia="zh-CN"/>
        </w:rPr>
        <w:t>①具有独立承担民事责任的能力：</w:t>
      </w:r>
    </w:p>
    <w:p w14:paraId="5FD693A4">
      <w:pPr>
        <w:jc w:val="both"/>
        <w:rPr>
          <w:rFonts w:hint="default"/>
          <w:lang w:val="en-US" w:eastAsia="zh-CN"/>
        </w:rPr>
      </w:pPr>
      <w:r>
        <w:rPr>
          <w:rFonts w:hint="default"/>
          <w:lang w:val="en-US" w:eastAsia="zh-CN"/>
        </w:rPr>
        <w:t>具体要求：提供法人或其他组织的营业执照等证明文件；法定代表人及授权代表身份证及法定代表人授权书（原件）等证明文件；（复印件加盖公章）；</w:t>
      </w:r>
    </w:p>
    <w:p w14:paraId="1EF5EC2A">
      <w:pPr>
        <w:jc w:val="both"/>
        <w:rPr>
          <w:rFonts w:hint="default"/>
          <w:lang w:val="en-US" w:eastAsia="zh-CN"/>
        </w:rPr>
      </w:pPr>
      <w:r>
        <w:rPr>
          <w:rFonts w:hint="default"/>
          <w:lang w:val="en-US" w:eastAsia="zh-CN"/>
        </w:rPr>
        <w:t>②具有良好的商业信誉和健全的财务会计制度：</w:t>
      </w:r>
    </w:p>
    <w:p w14:paraId="3C66B8A1">
      <w:pPr>
        <w:jc w:val="both"/>
        <w:rPr>
          <w:rFonts w:hint="default"/>
          <w:lang w:val="en-US" w:eastAsia="zh-CN"/>
        </w:rPr>
      </w:pPr>
      <w:r>
        <w:rPr>
          <w:rFonts w:hint="default"/>
          <w:lang w:val="en-US" w:eastAsia="zh-CN"/>
        </w:rPr>
        <w:t>具体要求：提供经审计的2023年度财务审计报告或基本开户银行出具投标截止时间前一个月的资信证明；(复印件加盖投标单位公章）</w:t>
      </w:r>
    </w:p>
    <w:p w14:paraId="28D81000">
      <w:pPr>
        <w:jc w:val="both"/>
        <w:rPr>
          <w:rFonts w:hint="default"/>
          <w:lang w:val="en-US" w:eastAsia="zh-CN"/>
        </w:rPr>
      </w:pPr>
      <w:r>
        <w:rPr>
          <w:rFonts w:hint="default"/>
          <w:lang w:val="en-US" w:eastAsia="zh-CN"/>
        </w:rPr>
        <w:t>③具有履行合同所必需的设备和专业技术能力：</w:t>
      </w:r>
    </w:p>
    <w:p w14:paraId="3E8A186B">
      <w:pPr>
        <w:jc w:val="both"/>
        <w:rPr>
          <w:rFonts w:hint="default"/>
          <w:lang w:val="en-US" w:eastAsia="zh-CN"/>
        </w:rPr>
      </w:pPr>
      <w:r>
        <w:rPr>
          <w:rFonts w:hint="default"/>
          <w:lang w:val="en-US" w:eastAsia="zh-CN"/>
        </w:rPr>
        <w:t>具体要求：自行承诺具备履行合同所必需的设备和专业技术能力（格式自拟加盖供应商公章）；</w:t>
      </w:r>
    </w:p>
    <w:p w14:paraId="06D32963">
      <w:pPr>
        <w:jc w:val="both"/>
        <w:rPr>
          <w:rFonts w:hint="default"/>
          <w:lang w:val="en-US" w:eastAsia="zh-CN"/>
        </w:rPr>
      </w:pPr>
      <w:r>
        <w:rPr>
          <w:rFonts w:hint="default"/>
          <w:lang w:val="en-US" w:eastAsia="zh-CN"/>
        </w:rPr>
        <w:t>④具有依法缴纳税收和社会保障资金的良好记录：</w:t>
      </w:r>
    </w:p>
    <w:p w14:paraId="4FE3C54E">
      <w:pPr>
        <w:jc w:val="both"/>
        <w:rPr>
          <w:rFonts w:hint="default"/>
          <w:lang w:val="en-US" w:eastAsia="zh-CN"/>
        </w:rPr>
      </w:pPr>
      <w:r>
        <w:rPr>
          <w:rFonts w:hint="default"/>
          <w:lang w:val="en-US" w:eastAsia="zh-CN"/>
        </w:rPr>
        <w:t>具体要求：提供2024年以来至今任意1个月依法缴纳税收和社会保障资金的相关材料；（复印件加盖供应商公章）</w:t>
      </w:r>
    </w:p>
    <w:p w14:paraId="64B7BA6D">
      <w:pPr>
        <w:jc w:val="both"/>
        <w:rPr>
          <w:rFonts w:hint="default"/>
          <w:lang w:val="en-US" w:eastAsia="zh-CN"/>
        </w:rPr>
      </w:pPr>
      <w:r>
        <w:rPr>
          <w:rFonts w:hint="default"/>
          <w:lang w:val="en-US" w:eastAsia="zh-CN"/>
        </w:rPr>
        <w:t>⑤参加本次政府采购活动前3年内，在经营活动中没有违法违规记录：</w:t>
      </w:r>
    </w:p>
    <w:p w14:paraId="28F26EB5">
      <w:pPr>
        <w:jc w:val="both"/>
        <w:rPr>
          <w:rFonts w:hint="default"/>
          <w:lang w:val="en-US" w:eastAsia="zh-CN"/>
        </w:rPr>
      </w:pPr>
      <w:r>
        <w:rPr>
          <w:rFonts w:hint="default"/>
          <w:lang w:val="en-US" w:eastAsia="zh-CN"/>
        </w:rPr>
        <w:t>具体要求：参加政府采购活动前3年内在经营活动中没有重大违法记录的书面声明（格式自拟加盖投标单位公章）；</w:t>
      </w:r>
    </w:p>
    <w:p w14:paraId="26C34584">
      <w:pPr>
        <w:jc w:val="both"/>
        <w:rPr>
          <w:rFonts w:hint="default"/>
          <w:lang w:val="en-US" w:eastAsia="zh-CN"/>
        </w:rPr>
      </w:pPr>
      <w:r>
        <w:rPr>
          <w:rFonts w:hint="default"/>
          <w:lang w:val="en-US" w:eastAsia="zh-CN"/>
        </w:rPr>
        <w:t>⑥供应商须承诺：在“信用中国 ”网站（www.creditchina.gov.cn）、中国政府招标网（www.ccgp.gov.cn）等渠道查询中未被列入失信被执行人名单、重大税收违法失信主体名单、政府采购严重违法失信行为记录名单中，如被列入失信被执行人、重大税收违法失信主体名单、政府采购严重违法失信行为记录名单中的供 应商取消其投标资格，并承担由此造成的一切法律责任及后果。</w:t>
      </w:r>
    </w:p>
    <w:p w14:paraId="04FE6B28">
      <w:pPr>
        <w:jc w:val="both"/>
        <w:rPr>
          <w:rFonts w:hint="default"/>
          <w:lang w:val="en-US" w:eastAsia="zh-CN"/>
        </w:rPr>
      </w:pPr>
      <w:r>
        <w:rPr>
          <w:rFonts w:hint="default"/>
          <w:lang w:val="en-US" w:eastAsia="zh-CN"/>
        </w:rPr>
        <w:t>⑦根据《省发展改革委、省法院、省公共资源交易中心关于推进全省公共资源 交易领域对法院失信被执行人实施信用联合惩戒的通知》黔发改财金（2020）421号文件要求，采购人或代理机构在递交响应文件截止时间后现场根据贵州信用联合惩戒平台反馈信息，查询供应商是否属于法院失信被执行人，如被列入取消其投标资格。</w:t>
      </w:r>
    </w:p>
    <w:p w14:paraId="37995210">
      <w:pPr>
        <w:jc w:val="both"/>
        <w:rPr>
          <w:rFonts w:hint="default"/>
          <w:lang w:val="en-US" w:eastAsia="zh-CN"/>
        </w:rPr>
      </w:pPr>
      <w:r>
        <w:rPr>
          <w:rFonts w:hint="default"/>
          <w:lang w:val="en-US" w:eastAsia="zh-CN"/>
        </w:rPr>
        <w:t>（2）特殊资格要求：无</w:t>
      </w:r>
    </w:p>
    <w:p w14:paraId="77758343">
      <w:pPr>
        <w:jc w:val="both"/>
        <w:rPr>
          <w:rFonts w:hint="default"/>
          <w:lang w:val="en-US" w:eastAsia="zh-CN"/>
        </w:rPr>
      </w:pPr>
      <w:r>
        <w:rPr>
          <w:rFonts w:hint="default"/>
          <w:lang w:val="en-US" w:eastAsia="zh-CN"/>
        </w:rPr>
        <w:t>（3）是否接受联合体投标：不接受联合体投标</w:t>
      </w:r>
    </w:p>
    <w:p w14:paraId="37EA4A25">
      <w:pPr>
        <w:jc w:val="center"/>
        <w:rPr>
          <w:rFonts w:hint="default"/>
          <w:lang w:val="en-US" w:eastAsia="zh-CN"/>
        </w:rPr>
      </w:pPr>
    </w:p>
    <w:p w14:paraId="330CABF2">
      <w:pPr>
        <w:jc w:val="center"/>
        <w:rPr>
          <w:rFonts w:hint="default"/>
          <w:lang w:val="en-US" w:eastAsia="zh-CN"/>
        </w:rPr>
      </w:pPr>
    </w:p>
    <w:p w14:paraId="4866C1B8">
      <w:pPr>
        <w:jc w:val="center"/>
        <w:rPr>
          <w:rFonts w:hint="default"/>
          <w:lang w:val="en-US" w:eastAsia="zh-CN"/>
        </w:rPr>
      </w:pPr>
      <w:r>
        <w:rPr>
          <w:rFonts w:hint="default"/>
          <w:lang w:val="en-US" w:eastAsia="zh-CN"/>
        </w:rPr>
        <w:t>第二节 商务要求</w:t>
      </w:r>
    </w:p>
    <w:p w14:paraId="59B82E28">
      <w:pPr>
        <w:jc w:val="both"/>
        <w:rPr>
          <w:rFonts w:hint="default"/>
          <w:lang w:val="en-US" w:eastAsia="zh-CN"/>
        </w:rPr>
      </w:pPr>
    </w:p>
    <w:p w14:paraId="18B3A1EB">
      <w:pPr>
        <w:jc w:val="both"/>
        <w:rPr>
          <w:rFonts w:hint="default"/>
          <w:lang w:val="en-US" w:eastAsia="zh-CN"/>
        </w:rPr>
      </w:pPr>
      <w:r>
        <w:rPr>
          <w:rFonts w:hint="default"/>
          <w:lang w:val="en-US" w:eastAsia="zh-CN"/>
        </w:rPr>
        <w:t>1、交货期：签订合同后 15 日历天内完成交货及安装调试达到验收条件并申请试运行。</w:t>
      </w:r>
    </w:p>
    <w:p w14:paraId="1BFF54A7">
      <w:pPr>
        <w:jc w:val="both"/>
        <w:rPr>
          <w:rFonts w:hint="default"/>
          <w:lang w:val="en-US" w:eastAsia="zh-CN"/>
        </w:rPr>
      </w:pPr>
      <w:r>
        <w:rPr>
          <w:rFonts w:hint="default"/>
          <w:lang w:val="en-US" w:eastAsia="zh-CN"/>
        </w:rPr>
        <w:t>2、交货地点: 采购人所在地指定地点。</w:t>
      </w:r>
    </w:p>
    <w:p w14:paraId="755C1F5C">
      <w:pPr>
        <w:jc w:val="both"/>
        <w:rPr>
          <w:rFonts w:hint="default"/>
          <w:lang w:val="en-US" w:eastAsia="zh-CN"/>
        </w:rPr>
      </w:pPr>
      <w:r>
        <w:rPr>
          <w:rFonts w:hint="default"/>
          <w:lang w:val="en-US" w:eastAsia="zh-CN"/>
        </w:rPr>
        <w:t>3、付款方式：本项目按项目进度分期付款：（1）成交供应商签合同之前向采购人提交合同金额的5%作为履约保证金，双方签订合同后，采购人支付合同总价40％的预付款；（2）所有产品安装调试完毕申请试运行，试运行1个月后申请验收，验收合格后，成交供应商向采购人提交售后服务承诺函，采购人支付至合同签订金额的 100%，同时退还履约保证金。</w:t>
      </w:r>
    </w:p>
    <w:p w14:paraId="7F9FAEE8">
      <w:pPr>
        <w:jc w:val="both"/>
        <w:rPr>
          <w:rFonts w:hint="default"/>
          <w:lang w:val="en-US" w:eastAsia="zh-CN"/>
        </w:rPr>
      </w:pPr>
      <w:r>
        <w:rPr>
          <w:rFonts w:hint="default"/>
          <w:lang w:val="en-US" w:eastAsia="zh-CN"/>
        </w:rPr>
        <w:t>4、质保期：（1）本项目整体质保期为三年。</w:t>
      </w:r>
    </w:p>
    <w:p w14:paraId="4A66BD5F">
      <w:pPr>
        <w:jc w:val="both"/>
        <w:rPr>
          <w:rFonts w:hint="default"/>
          <w:lang w:val="en-US" w:eastAsia="zh-CN"/>
        </w:rPr>
      </w:pPr>
      <w:r>
        <w:rPr>
          <w:rFonts w:hint="default"/>
          <w:lang w:val="en-US" w:eastAsia="zh-CN"/>
        </w:rPr>
        <w:t>（2）在质保期内，凡因正常使用出现的质量问题，供应商提供免费维修或更换。需返厂维修时，供应商支付设备或组件的包装运输费，同时承担装运风险。保修期内，所有维修服务（人为损坏的除外）均免费。</w:t>
      </w:r>
    </w:p>
    <w:p w14:paraId="27439B1C">
      <w:pPr>
        <w:jc w:val="both"/>
        <w:rPr>
          <w:rFonts w:hint="default"/>
          <w:lang w:val="en-US" w:eastAsia="zh-CN"/>
        </w:rPr>
      </w:pPr>
      <w:r>
        <w:rPr>
          <w:rFonts w:hint="default"/>
          <w:lang w:val="en-US" w:eastAsia="zh-CN"/>
        </w:rPr>
        <w:t>（3）质保期结束后，供应商仍负责对设备提供维修服务（不得收取人工费）。</w:t>
      </w:r>
    </w:p>
    <w:p w14:paraId="287D9EE4">
      <w:pPr>
        <w:jc w:val="both"/>
        <w:rPr>
          <w:rFonts w:hint="default"/>
          <w:lang w:val="en-US" w:eastAsia="zh-CN"/>
        </w:rPr>
      </w:pPr>
      <w:r>
        <w:rPr>
          <w:rFonts w:hint="default"/>
          <w:lang w:val="en-US" w:eastAsia="zh-CN"/>
        </w:rPr>
        <w:t>（4）质保期内，用户在使用过程中如出现任何对使用有疑问的情况，成交供应商必须在接到用户通报后立即给予明确答复，提供7×24小时在线或远程服务，紧急事件4小时内提供现场支持服务。因特殊原因造成的不能及时到场维保的，应及时向采购人作书面说明情况，否则，因此而造成的一切损失需由供应商负责。</w:t>
      </w:r>
    </w:p>
    <w:p w14:paraId="6554EAD1">
      <w:pPr>
        <w:jc w:val="both"/>
        <w:rPr>
          <w:rFonts w:hint="default"/>
          <w:lang w:val="en-US" w:eastAsia="zh-CN"/>
        </w:rPr>
      </w:pPr>
      <w:r>
        <w:rPr>
          <w:rFonts w:hint="default"/>
          <w:lang w:val="en-US" w:eastAsia="zh-CN"/>
        </w:rPr>
        <w:t>5、履约保证金：成交供应商签合同之前向采购人提交合同金额的5%作为履约保证金，履约保证金交纳方式：银行转账、银行保函等。签订合同后，若中标供应商不按双方签订合同规定履约，则无权要求退回履约保证金；履约保证金不足以赔偿损失的，按实际损失赔偿。履约保证金在验收合格之日起满一年后无息退还。</w:t>
      </w:r>
    </w:p>
    <w:p w14:paraId="448332ED">
      <w:pPr>
        <w:jc w:val="both"/>
        <w:rPr>
          <w:rFonts w:hint="default"/>
          <w:lang w:val="en-US" w:eastAsia="zh-CN"/>
        </w:rPr>
      </w:pPr>
      <w:r>
        <w:rPr>
          <w:rFonts w:hint="default"/>
          <w:lang w:val="en-US" w:eastAsia="zh-CN"/>
        </w:rPr>
        <w:t>6、验收：供应商将货物运送至采购人指定地点并卸货，采购人对产品名称、数量、规格型号、生产厂家、外观等基础事项确认。确认后，由供应商负责对该批货物进行安装调试，全部设备安装调试完成达到验收标准，申请试运行，试运行1个月后申请验收。经甲方试运行正常后，乙方向甲方提出验收申请，经甲方批准同意后，由甲方组织相关部门就乙方提供的设备对响应文件和合同清单进行品名、数量、质量等方面的初步验收，同时提出整改意见；乙方按照甲方要求整改合格后，向甲方提出终验申请，经甲方批准同意后，由甲方组织终验，终验合格后向乙方出具书面验收合格报告。乙方收到甲方出具的书面验收合格报告之日，视为该项目验收完成。项目验收签字不影响乙方对货物质量问题应承担的责任，如乙方所提供货物不符合产品质量标准或行业规定，甲方仍有权追究乙方责任。若供应商交付货物验收不合格的，采购人有权拒绝接受不符合验收标准的货物，并要求供应商重新提供；若供应商二次提供仍未通过验收的，采购人有权单方解除本合同并重新确定供应商。</w:t>
      </w:r>
    </w:p>
    <w:p w14:paraId="3CE6B173">
      <w:pPr>
        <w:jc w:val="both"/>
        <w:rPr>
          <w:rFonts w:hint="default"/>
          <w:lang w:val="en-US" w:eastAsia="zh-CN"/>
        </w:rPr>
      </w:pPr>
      <w:r>
        <w:rPr>
          <w:rFonts w:hint="default"/>
          <w:lang w:val="en-US" w:eastAsia="zh-CN"/>
        </w:rPr>
        <w:t>7、其他要求：（1）供应商应根据自己的判断结论及结合企业管理水平自报投标总价。投标报价包含为完成本项目需要的各项必须的辅材等，即总价包干。成交后签订合同时和项目实施过程中，供应商不得以不完全了解情况为由，提出任何形式的增加相关经费或索赔的要求。在项目实施过程中应严格按照采购文件及合同约定的工作范围履行工作职责，严禁从事其他商业行为。</w:t>
      </w:r>
    </w:p>
    <w:p w14:paraId="657BCD90">
      <w:pPr>
        <w:jc w:val="both"/>
        <w:rPr>
          <w:rFonts w:hint="default"/>
          <w:lang w:val="en-US" w:eastAsia="zh-CN"/>
        </w:rPr>
      </w:pPr>
      <w:r>
        <w:rPr>
          <w:rFonts w:hint="default"/>
          <w:lang w:val="en-US" w:eastAsia="zh-CN"/>
        </w:rPr>
        <w:t>（2）供应商须承诺后期因错算漏算所造成的损失由供应商自行承担，采购人将 不再支付任何费用。</w:t>
      </w:r>
    </w:p>
    <w:p w14:paraId="3FAD4551">
      <w:pPr>
        <w:jc w:val="both"/>
        <w:rPr>
          <w:rFonts w:hint="default"/>
          <w:lang w:val="en-US" w:eastAsia="zh-CN"/>
        </w:rPr>
      </w:pPr>
      <w:r>
        <w:rPr>
          <w:rFonts w:hint="default"/>
          <w:lang w:val="en-US" w:eastAsia="zh-CN"/>
        </w:rPr>
        <w:t>（3）质量要求：成交供应商提供的所有设备产品必须是全新、未使用过的原装 合格正品，均具有合法的知识产权；达到国家有关质量规范标准及采购人要求。交 付时成交供应商须提供详细的使用说明书、产品合格证及维护手册，产品宣传彩页，便于采购人操 作使用和维护。</w:t>
      </w:r>
    </w:p>
    <w:p w14:paraId="3B1D4800">
      <w:pPr>
        <w:jc w:val="both"/>
        <w:rPr>
          <w:rFonts w:hint="default"/>
          <w:lang w:val="en-US" w:eastAsia="zh-CN"/>
        </w:rPr>
      </w:pPr>
      <w:r>
        <w:rPr>
          <w:rFonts w:hint="default"/>
          <w:lang w:val="en-US" w:eastAsia="zh-CN"/>
        </w:rPr>
        <w:t>（4）供应商须做出投标诚信承诺，承诺所有投标资料及所投产品技术参数没有弄虚作假，采购人有权对供应商的投标资料进行核实真伪，如有弄虚作假行为、取消成交资格并报主管部门进行处理。</w:t>
      </w:r>
    </w:p>
    <w:p w14:paraId="2B7F78F1">
      <w:pPr>
        <w:jc w:val="both"/>
        <w:rPr>
          <w:rFonts w:hint="default"/>
          <w:lang w:val="en-US" w:eastAsia="zh-CN"/>
        </w:rPr>
      </w:pPr>
      <w:r>
        <w:rPr>
          <w:rFonts w:hint="default"/>
          <w:lang w:val="en-US" w:eastAsia="zh-CN"/>
        </w:rPr>
        <w:t>（5）供应商须承诺，所投设备、软件、系统未侵犯任何第三方知识产权等侵权行为如，因侵权等因素给采购人造成损失的，由供应商承担全部损失。</w:t>
      </w:r>
    </w:p>
    <w:p w14:paraId="4EC23469">
      <w:pPr>
        <w:jc w:val="both"/>
        <w:rPr>
          <w:rFonts w:hint="default"/>
          <w:lang w:val="en-US" w:eastAsia="zh-CN"/>
        </w:rPr>
      </w:pPr>
      <w:r>
        <w:rPr>
          <w:rFonts w:hint="default"/>
          <w:lang w:val="en-US" w:eastAsia="zh-CN"/>
        </w:rPr>
        <w:t>（6）所投设备、软件、系统符合国家信息安全要求，如需进行安全性测试或其他信息安全性测试的由供应商根据要求配合完成。</w:t>
      </w:r>
    </w:p>
    <w:p w14:paraId="64BD7B6E">
      <w:pPr>
        <w:jc w:val="both"/>
        <w:rPr>
          <w:rFonts w:hint="default"/>
          <w:lang w:val="en-US" w:eastAsia="zh-CN"/>
        </w:rPr>
      </w:pPr>
      <w:r>
        <w:rPr>
          <w:rFonts w:hint="default"/>
          <w:lang w:val="en-US" w:eastAsia="zh-CN"/>
        </w:rPr>
        <w:t>（7）应对安装工人进行专业培训，保证安装工人具有专业的安装知识及自我安全保障技能。如安装工人认为安装条件未达到，不能充分保障自身安全时，应主动向采购人提出，直至具备安全作业条件时，才进行作业。否则视为符合安装条件，采购人无须负任何责任。供应商在中标后设备安装调试过程中应注意自身及公共安全，如出现人员伤亡事故，不得影响采购人声誉，因伤亡人员事故产生的所有费用由中标供应商自行负责，与采购人无关。中标供应商同时须对现场环境进行相应保护，服从采购人管理。若因中标供应商原因导致现场的损坏，中标供应商应赔偿相应费用。</w:t>
      </w:r>
    </w:p>
    <w:p w14:paraId="1A8FE655">
      <w:pPr>
        <w:jc w:val="both"/>
        <w:rPr>
          <w:rFonts w:hint="default"/>
          <w:lang w:val="en-US" w:eastAsia="zh-CN"/>
        </w:rPr>
      </w:pPr>
      <w:r>
        <w:rPr>
          <w:rFonts w:hint="default"/>
          <w:lang w:val="en-US" w:eastAsia="zh-CN"/>
        </w:rPr>
        <w:t>8、验收标准：本项目执行国家现行相关规范、标准、采购文件、采购清单、供应商投标文件、合同，并且满足采购人的使用需求。</w:t>
      </w:r>
    </w:p>
    <w:p w14:paraId="4F92C6A6">
      <w:pPr>
        <w:jc w:val="both"/>
        <w:rPr>
          <w:rFonts w:hint="default"/>
          <w:lang w:val="en-US" w:eastAsia="zh-CN"/>
        </w:rPr>
      </w:pPr>
      <w:r>
        <w:rPr>
          <w:rFonts w:hint="default"/>
          <w:lang w:val="en-US" w:eastAsia="zh-CN"/>
        </w:rPr>
        <w:t>9、投标有效期：90 日历日。</w:t>
      </w:r>
    </w:p>
    <w:p w14:paraId="018FA5F2">
      <w:pPr>
        <w:jc w:val="center"/>
        <w:rPr>
          <w:rFonts w:hint="default"/>
          <w:lang w:val="en-US" w:eastAsia="zh-CN"/>
        </w:rPr>
      </w:pPr>
    </w:p>
    <w:p w14:paraId="60E1301A">
      <w:pPr>
        <w:jc w:val="center"/>
        <w:rPr>
          <w:rFonts w:hint="default"/>
          <w:lang w:val="en-US" w:eastAsia="zh-CN"/>
        </w:rPr>
      </w:pPr>
    </w:p>
    <w:p w14:paraId="5A70763E">
      <w:pPr>
        <w:jc w:val="center"/>
        <w:rPr>
          <w:rFonts w:hint="default"/>
          <w:lang w:val="en-US" w:eastAsia="zh-CN"/>
        </w:rPr>
      </w:pPr>
      <w:r>
        <w:rPr>
          <w:rFonts w:hint="default"/>
          <w:lang w:val="en-US" w:eastAsia="zh-CN"/>
        </w:rPr>
        <w:t>第三章 评标办法及评分标准</w:t>
      </w:r>
    </w:p>
    <w:p w14:paraId="20D2C44C">
      <w:pPr>
        <w:jc w:val="both"/>
        <w:rPr>
          <w:rFonts w:hint="default"/>
          <w:lang w:val="en-US" w:eastAsia="zh-CN"/>
        </w:rPr>
      </w:pPr>
    </w:p>
    <w:p w14:paraId="473218F2">
      <w:pPr>
        <w:jc w:val="center"/>
        <w:rPr>
          <w:rFonts w:hint="default"/>
          <w:lang w:val="en-US" w:eastAsia="zh-CN"/>
        </w:rPr>
      </w:pPr>
      <w:bookmarkStart w:id="0" w:name="bookmark7"/>
      <w:bookmarkEnd w:id="0"/>
      <w:r>
        <w:rPr>
          <w:rFonts w:hint="default"/>
          <w:lang w:val="en-US" w:eastAsia="zh-CN"/>
        </w:rPr>
        <w:t>第一节 评标办法</w:t>
      </w:r>
    </w:p>
    <w:p w14:paraId="1745AF15">
      <w:pPr>
        <w:jc w:val="both"/>
        <w:rPr>
          <w:rFonts w:hint="default"/>
          <w:lang w:val="en-US" w:eastAsia="zh-CN"/>
        </w:rPr>
      </w:pPr>
    </w:p>
    <w:p w14:paraId="799FF7FF">
      <w:pPr>
        <w:jc w:val="both"/>
        <w:rPr>
          <w:rFonts w:hint="default"/>
          <w:lang w:val="en-US" w:eastAsia="zh-CN"/>
        </w:rPr>
      </w:pPr>
      <w:r>
        <w:rPr>
          <w:rFonts w:hint="default"/>
          <w:lang w:val="en-US" w:eastAsia="zh-CN"/>
        </w:rPr>
        <w:t>一、评审办法</w:t>
      </w:r>
    </w:p>
    <w:p w14:paraId="41D4CC10">
      <w:pPr>
        <w:jc w:val="both"/>
        <w:rPr>
          <w:rFonts w:hint="default"/>
          <w:lang w:val="en-US" w:eastAsia="zh-CN"/>
        </w:rPr>
      </w:pPr>
      <w:r>
        <w:rPr>
          <w:rFonts w:hint="default"/>
          <w:lang w:val="en-US" w:eastAsia="zh-CN"/>
        </w:rPr>
        <w:t>本项目采用最低评标价法进行评审。</w:t>
      </w:r>
    </w:p>
    <w:p w14:paraId="6684FD81">
      <w:pPr>
        <w:jc w:val="both"/>
        <w:rPr>
          <w:rFonts w:hint="default"/>
          <w:lang w:val="en-US" w:eastAsia="zh-CN"/>
        </w:rPr>
      </w:pPr>
      <w:r>
        <w:rPr>
          <w:rFonts w:hint="default"/>
          <w:lang w:val="en-US" w:eastAsia="zh-CN"/>
        </w:rPr>
        <w:t>最低评标价法，是指以价格为主要因素确定成交候选供应商的评标方法，即在全部满足竞争性谈判采购文件实质性要求前提下，以提出最低报价的供应商作为成交候选供应商或者谈判成交供应商的评标方法。</w:t>
      </w:r>
    </w:p>
    <w:p w14:paraId="1D7ED722">
      <w:pPr>
        <w:jc w:val="center"/>
        <w:rPr>
          <w:rFonts w:hint="default"/>
          <w:lang w:val="en-US" w:eastAsia="zh-CN"/>
        </w:rPr>
      </w:pPr>
    </w:p>
    <w:p w14:paraId="61E7E213">
      <w:pPr>
        <w:jc w:val="center"/>
        <w:rPr>
          <w:rFonts w:hint="default"/>
          <w:lang w:val="en-US" w:eastAsia="zh-CN"/>
        </w:rPr>
      </w:pPr>
      <w:r>
        <w:rPr>
          <w:rFonts w:hint="default"/>
          <w:lang w:val="en-US" w:eastAsia="zh-CN"/>
        </w:rPr>
        <w:t>第二节 废标条款</w:t>
      </w:r>
    </w:p>
    <w:p w14:paraId="0F3900FB">
      <w:pPr>
        <w:jc w:val="both"/>
        <w:rPr>
          <w:rFonts w:hint="default"/>
          <w:lang w:val="en-US" w:eastAsia="zh-CN"/>
        </w:rPr>
      </w:pPr>
    </w:p>
    <w:p w14:paraId="2B8D37B1">
      <w:pPr>
        <w:jc w:val="both"/>
        <w:rPr>
          <w:rFonts w:hint="default"/>
          <w:lang w:val="en-US" w:eastAsia="zh-CN"/>
        </w:rPr>
      </w:pPr>
      <w:r>
        <w:rPr>
          <w:rFonts w:hint="default"/>
          <w:lang w:val="en-US" w:eastAsia="zh-CN"/>
        </w:rPr>
        <w:t xml:space="preserve">出现下列情形之一的，本项目/品目作废标处理,项目/品目评审终止： </w:t>
      </w:r>
    </w:p>
    <w:p w14:paraId="4229E310">
      <w:pPr>
        <w:jc w:val="both"/>
        <w:rPr>
          <w:rFonts w:hint="default"/>
          <w:lang w:val="en-US" w:eastAsia="zh-CN"/>
        </w:rPr>
      </w:pPr>
      <w:r>
        <w:rPr>
          <w:rFonts w:hint="default"/>
          <w:lang w:val="en-US" w:eastAsia="zh-CN"/>
        </w:rPr>
        <w:t>1.符合专业条件的或对采购文件作实质响应的供应商不足三家的；</w:t>
      </w:r>
    </w:p>
    <w:p w14:paraId="3E97749E">
      <w:pPr>
        <w:jc w:val="both"/>
        <w:rPr>
          <w:rFonts w:hint="default"/>
          <w:lang w:val="en-US" w:eastAsia="zh-CN"/>
        </w:rPr>
      </w:pPr>
      <w:r>
        <w:rPr>
          <w:rFonts w:hint="default"/>
          <w:lang w:val="en-US" w:eastAsia="zh-CN"/>
        </w:rPr>
        <w:t>2.出现影响采购公正的违法、违规行为的；</w:t>
      </w:r>
    </w:p>
    <w:p w14:paraId="6F4E6334">
      <w:pPr>
        <w:jc w:val="both"/>
        <w:rPr>
          <w:rFonts w:hint="default"/>
          <w:lang w:val="en-US" w:eastAsia="zh-CN"/>
        </w:rPr>
      </w:pPr>
      <w:r>
        <w:rPr>
          <w:rFonts w:hint="default"/>
          <w:lang w:val="en-US" w:eastAsia="zh-CN"/>
        </w:rPr>
        <w:t>3.供应商报价均超过了采购预算，采购人不能支付的；</w:t>
      </w:r>
    </w:p>
    <w:p w14:paraId="088E5CDA">
      <w:pPr>
        <w:jc w:val="both"/>
        <w:rPr>
          <w:rFonts w:hint="default"/>
          <w:lang w:val="en-US" w:eastAsia="zh-CN"/>
        </w:rPr>
      </w:pPr>
      <w:r>
        <w:rPr>
          <w:rFonts w:hint="default"/>
          <w:lang w:val="en-US" w:eastAsia="zh-CN"/>
        </w:rPr>
        <w:t xml:space="preserve">4.因重大变故，采购任务取消的； </w:t>
      </w:r>
    </w:p>
    <w:p w14:paraId="451DAD1C">
      <w:pPr>
        <w:jc w:val="both"/>
        <w:rPr>
          <w:rFonts w:hint="default"/>
          <w:lang w:val="en-US" w:eastAsia="zh-CN"/>
        </w:rPr>
      </w:pPr>
      <w:r>
        <w:rPr>
          <w:rFonts w:hint="default"/>
          <w:lang w:val="en-US" w:eastAsia="zh-CN"/>
        </w:rPr>
        <w:t>5.法律法规规定的其他情形。</w:t>
      </w:r>
    </w:p>
    <w:p w14:paraId="4655A5FD">
      <w:pPr>
        <w:jc w:val="both"/>
        <w:rPr>
          <w:rFonts w:hint="default"/>
          <w:lang w:val="en-US" w:eastAsia="zh-CN"/>
        </w:rPr>
      </w:pPr>
    </w:p>
    <w:p w14:paraId="19F049A4">
      <w:pPr>
        <w:jc w:val="both"/>
        <w:rPr>
          <w:rFonts w:hint="default"/>
          <w:lang w:val="en-US" w:eastAsia="zh-CN"/>
        </w:rPr>
      </w:pPr>
    </w:p>
    <w:p w14:paraId="2F4A3DE8">
      <w:pPr>
        <w:jc w:val="center"/>
        <w:rPr>
          <w:rFonts w:hint="default"/>
          <w:lang w:val="en-US" w:eastAsia="zh-CN"/>
        </w:rPr>
      </w:pPr>
      <w:bookmarkStart w:id="1" w:name="bookmark9"/>
      <w:bookmarkEnd w:id="1"/>
      <w:r>
        <w:rPr>
          <w:rFonts w:hint="default"/>
          <w:lang w:val="en-US" w:eastAsia="zh-CN"/>
        </w:rPr>
        <w:t>第三节 无效标条款</w:t>
      </w:r>
    </w:p>
    <w:p w14:paraId="697BAB73">
      <w:pPr>
        <w:jc w:val="both"/>
        <w:rPr>
          <w:rFonts w:hint="default"/>
          <w:lang w:val="en-US" w:eastAsia="zh-CN"/>
        </w:rPr>
      </w:pPr>
    </w:p>
    <w:p w14:paraId="770DCA9E">
      <w:pPr>
        <w:jc w:val="both"/>
        <w:rPr>
          <w:rFonts w:hint="default"/>
          <w:lang w:val="en-US" w:eastAsia="zh-CN"/>
        </w:rPr>
      </w:pPr>
      <w:r>
        <w:rPr>
          <w:rFonts w:hint="default"/>
          <w:lang w:val="en-US" w:eastAsia="zh-CN"/>
        </w:rPr>
        <w:t>出现下列情形之一的，供应商递交的响应文件作无效投标处理，该供应商的响应文件不参与评审，且不计算入投标供应商家数：</w:t>
      </w:r>
    </w:p>
    <w:p w14:paraId="46472A75">
      <w:pPr>
        <w:jc w:val="both"/>
        <w:rPr>
          <w:rFonts w:hint="default"/>
          <w:lang w:val="en-US" w:eastAsia="zh-CN"/>
        </w:rPr>
      </w:pPr>
      <w:r>
        <w:rPr>
          <w:rFonts w:hint="default"/>
          <w:lang w:val="en-US" w:eastAsia="zh-CN"/>
        </w:rPr>
        <w:t>（一）递交的响应文件不完整或未按采购文件要求盖公章及签字的；</w:t>
      </w:r>
    </w:p>
    <w:p w14:paraId="3B301D0A">
      <w:pPr>
        <w:jc w:val="both"/>
        <w:rPr>
          <w:rFonts w:hint="default"/>
          <w:lang w:val="en-US" w:eastAsia="zh-CN"/>
        </w:rPr>
      </w:pPr>
      <w:r>
        <w:rPr>
          <w:rFonts w:hint="default"/>
          <w:lang w:val="en-US" w:eastAsia="zh-CN"/>
        </w:rPr>
        <w:t>（二）供应商不符合国家及采购文件规定的资格条件的；</w:t>
      </w:r>
    </w:p>
    <w:p w14:paraId="58F3D5F1">
      <w:pPr>
        <w:jc w:val="both"/>
        <w:rPr>
          <w:rFonts w:hint="default"/>
          <w:lang w:val="en-US" w:eastAsia="zh-CN"/>
        </w:rPr>
      </w:pPr>
      <w:r>
        <w:rPr>
          <w:rFonts w:hint="default"/>
          <w:lang w:val="en-US" w:eastAsia="zh-CN"/>
        </w:rPr>
        <w:t>（三）项目接受联合体投标时，投标联合体未提交联合投标协议的；</w:t>
      </w:r>
    </w:p>
    <w:p w14:paraId="09FFDD92">
      <w:pPr>
        <w:jc w:val="both"/>
        <w:rPr>
          <w:rFonts w:hint="default"/>
          <w:lang w:val="en-US" w:eastAsia="zh-CN"/>
        </w:rPr>
      </w:pPr>
      <w:r>
        <w:rPr>
          <w:rFonts w:hint="default"/>
          <w:lang w:val="en-US" w:eastAsia="zh-CN"/>
        </w:rPr>
        <w:t>（四）竞标初始报价经评审委员会认定低于成本价的；</w:t>
      </w:r>
    </w:p>
    <w:p w14:paraId="2BCCDC91">
      <w:pPr>
        <w:jc w:val="both"/>
        <w:rPr>
          <w:rFonts w:hint="default"/>
          <w:lang w:val="en-US" w:eastAsia="zh-CN"/>
        </w:rPr>
      </w:pPr>
      <w:r>
        <w:rPr>
          <w:rFonts w:hint="default"/>
          <w:lang w:val="en-US" w:eastAsia="zh-CN"/>
        </w:rPr>
        <w:t>（五）最终报价高于采购文件载明的财政预算控制价的；</w:t>
      </w:r>
    </w:p>
    <w:p w14:paraId="09E15CE7">
      <w:pPr>
        <w:jc w:val="both"/>
        <w:rPr>
          <w:rFonts w:hint="default"/>
          <w:lang w:val="en-US" w:eastAsia="zh-CN"/>
        </w:rPr>
      </w:pPr>
      <w:r>
        <w:rPr>
          <w:rFonts w:hint="default"/>
          <w:lang w:val="en-US" w:eastAsia="zh-CN"/>
        </w:rPr>
        <w:t>（六）响应文件未对采购文件的实质性要求和条件作出响应的；</w:t>
      </w:r>
    </w:p>
    <w:p w14:paraId="5682E4C8">
      <w:pPr>
        <w:jc w:val="both"/>
        <w:rPr>
          <w:rFonts w:hint="default"/>
          <w:lang w:val="en-US" w:eastAsia="zh-CN"/>
        </w:rPr>
      </w:pPr>
      <w:r>
        <w:rPr>
          <w:rFonts w:hint="default"/>
          <w:lang w:val="en-US" w:eastAsia="zh-CN"/>
        </w:rPr>
        <w:t>（七）供应商有串通投标、弄虚作假、行贿等违法行为的；</w:t>
      </w:r>
    </w:p>
    <w:p w14:paraId="60430686">
      <w:pPr>
        <w:jc w:val="both"/>
        <w:rPr>
          <w:rFonts w:hint="default"/>
          <w:lang w:val="en-US" w:eastAsia="zh-CN"/>
        </w:rPr>
      </w:pPr>
      <w:r>
        <w:rPr>
          <w:rFonts w:hint="default"/>
          <w:lang w:val="en-US" w:eastAsia="zh-CN"/>
        </w:rPr>
        <w:t xml:space="preserve">（八）有下列情形之一的，视为供应商串通投标，其投标无效： </w:t>
      </w:r>
    </w:p>
    <w:p w14:paraId="333EEEFA">
      <w:pPr>
        <w:jc w:val="both"/>
        <w:rPr>
          <w:rFonts w:hint="default"/>
          <w:lang w:val="en-US" w:eastAsia="zh-CN"/>
        </w:rPr>
      </w:pPr>
      <w:r>
        <w:rPr>
          <w:rFonts w:hint="default"/>
          <w:lang w:val="en-US" w:eastAsia="zh-CN"/>
        </w:rPr>
        <w:t>1.不同供应商的响应文件由同一单位或者个人编制；</w:t>
      </w:r>
    </w:p>
    <w:p w14:paraId="23153443">
      <w:pPr>
        <w:jc w:val="both"/>
        <w:rPr>
          <w:rFonts w:hint="default"/>
          <w:lang w:val="en-US" w:eastAsia="zh-CN"/>
        </w:rPr>
      </w:pPr>
      <w:r>
        <w:rPr>
          <w:rFonts w:hint="default"/>
          <w:lang w:val="en-US" w:eastAsia="zh-CN"/>
        </w:rPr>
        <w:t>2.不同供应商委托同一单位或者个人办理投标事宜；</w:t>
      </w:r>
    </w:p>
    <w:p w14:paraId="388B3D6A">
      <w:pPr>
        <w:jc w:val="both"/>
        <w:rPr>
          <w:rFonts w:hint="default"/>
          <w:lang w:val="en-US" w:eastAsia="zh-CN"/>
        </w:rPr>
      </w:pPr>
      <w:r>
        <w:rPr>
          <w:rFonts w:hint="default"/>
          <w:lang w:val="en-US" w:eastAsia="zh-CN"/>
        </w:rPr>
        <w:t xml:space="preserve">3.不同供应商的响应文件载明的项目管理成员或者联系人员为同一人； </w:t>
      </w:r>
    </w:p>
    <w:p w14:paraId="5A129741">
      <w:pPr>
        <w:jc w:val="both"/>
        <w:rPr>
          <w:rFonts w:hint="default"/>
          <w:lang w:val="en-US" w:eastAsia="zh-CN"/>
        </w:rPr>
      </w:pPr>
      <w:r>
        <w:rPr>
          <w:rFonts w:hint="default"/>
          <w:lang w:val="en-US" w:eastAsia="zh-CN"/>
        </w:rPr>
        <w:t>4.不同供应商的响应文件异常一致或者谈判报价呈规律性差异；</w:t>
      </w:r>
    </w:p>
    <w:p w14:paraId="73831890">
      <w:pPr>
        <w:jc w:val="both"/>
        <w:rPr>
          <w:rFonts w:hint="default"/>
          <w:lang w:val="en-US" w:eastAsia="zh-CN"/>
        </w:rPr>
      </w:pPr>
      <w:r>
        <w:rPr>
          <w:rFonts w:hint="default"/>
          <w:lang w:val="en-US" w:eastAsia="zh-CN"/>
        </w:rPr>
        <w:t>5.不同供应商的响应文件相互混装；</w:t>
      </w:r>
    </w:p>
    <w:p w14:paraId="2D862A11">
      <w:pPr>
        <w:jc w:val="both"/>
        <w:rPr>
          <w:rFonts w:hint="default"/>
          <w:lang w:val="en-US" w:eastAsia="zh-CN"/>
        </w:rPr>
      </w:pPr>
      <w:r>
        <w:rPr>
          <w:rFonts w:hint="default"/>
          <w:lang w:val="en-US" w:eastAsia="zh-CN"/>
        </w:rPr>
        <w:t>6.不同供应商的投标保证金从同一单位或者个人的账户转出。</w:t>
      </w:r>
    </w:p>
    <w:p w14:paraId="7DFF4646">
      <w:pPr>
        <w:jc w:val="both"/>
        <w:rPr>
          <w:rFonts w:hint="default"/>
          <w:lang w:val="en-US" w:eastAsia="zh-CN"/>
        </w:rPr>
      </w:pPr>
      <w:r>
        <w:rPr>
          <w:rFonts w:hint="default"/>
          <w:lang w:val="en-US" w:eastAsia="zh-CN"/>
        </w:rPr>
        <w:t>（九）响应文件未胶装成册的（采用打孔装订、活页夹等方式装订的响应文件作为无效投标处理）；</w:t>
      </w:r>
    </w:p>
    <w:p w14:paraId="58A7CDD7">
      <w:pPr>
        <w:jc w:val="both"/>
        <w:rPr>
          <w:rFonts w:hint="default"/>
          <w:lang w:val="en-US" w:eastAsia="zh-CN"/>
        </w:rPr>
      </w:pPr>
      <w:r>
        <w:rPr>
          <w:rFonts w:hint="default"/>
          <w:lang w:val="en-US" w:eastAsia="zh-CN"/>
        </w:rPr>
        <w:t>（十）未交纳投标保证金的；</w:t>
      </w:r>
    </w:p>
    <w:p w14:paraId="73256412">
      <w:pPr>
        <w:jc w:val="both"/>
        <w:rPr>
          <w:rFonts w:hint="default"/>
          <w:lang w:val="en-US" w:eastAsia="zh-CN"/>
        </w:rPr>
      </w:pPr>
      <w:r>
        <w:rPr>
          <w:rFonts w:hint="default"/>
          <w:lang w:val="en-US" w:eastAsia="zh-CN"/>
        </w:rPr>
        <w:t>（十一）投标有效期不满足采购文件要求的。</w:t>
      </w:r>
    </w:p>
    <w:p w14:paraId="293FEF23">
      <w:pPr>
        <w:jc w:val="both"/>
        <w:rPr>
          <w:rFonts w:hint="default"/>
          <w:lang w:val="en-US" w:eastAsia="zh-CN"/>
        </w:rPr>
      </w:pPr>
      <w:r>
        <w:rPr>
          <w:rFonts w:hint="default"/>
          <w:lang w:val="en-US" w:eastAsia="zh-CN"/>
        </w:rPr>
        <w:t>（十二）单位负责人为同一人或者存在直接控股、管理关系的不同供应商，不得参加同一合同项下的政府采购活动。</w:t>
      </w:r>
    </w:p>
    <w:p w14:paraId="4F36346F">
      <w:pPr>
        <w:jc w:val="both"/>
        <w:rPr>
          <w:rFonts w:hint="default"/>
          <w:lang w:val="en-US" w:eastAsia="zh-CN"/>
        </w:rPr>
      </w:pPr>
      <w:r>
        <w:rPr>
          <w:rFonts w:hint="default"/>
          <w:lang w:val="en-US" w:eastAsia="zh-CN"/>
        </w:rPr>
        <w:t>（十三）为本项目提供整体设计、规范编制或者项目管理、监理、检测等服务的供应商参加本采购项目的。</w:t>
      </w:r>
    </w:p>
    <w:p w14:paraId="1B49DF02">
      <w:pPr>
        <w:jc w:val="both"/>
        <w:rPr>
          <w:rFonts w:hint="default"/>
          <w:lang w:val="en-US" w:eastAsia="zh-CN"/>
        </w:rPr>
      </w:pPr>
      <w:r>
        <w:rPr>
          <w:rFonts w:hint="default"/>
          <w:lang w:val="en-US" w:eastAsia="zh-CN"/>
        </w:rPr>
        <w:t>（十四）违反政府采购法律法规,足以导致响应文件无效的情形。</w:t>
      </w:r>
    </w:p>
    <w:sectPr>
      <w:headerReference r:id="rId3" w:type="default"/>
      <w:footerReference r:id="rId4"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17514">
    <w:pPr>
      <w:spacing w:before="35" w:line="317" w:lineRule="exact"/>
      <w:ind w:left="4668"/>
      <w:rPr>
        <w:rFonts w:ascii="Arial" w:hAnsi="Arial" w:eastAsia="Arial" w:cs="Arial"/>
        <w:sz w:val="24"/>
        <w:szCs w:val="24"/>
      </w:rPr>
    </w:pPr>
    <w:r>
      <mc:AlternateContent>
        <mc:Choice Requires="wps">
          <w:drawing>
            <wp:anchor distT="0" distB="0" distL="114300" distR="114300" simplePos="0" relativeHeight="251659264" behindDoc="0" locked="0" layoutInCell="0" allowOverlap="1">
              <wp:simplePos x="0" y="0"/>
              <wp:positionH relativeFrom="page">
                <wp:posOffset>631825</wp:posOffset>
              </wp:positionH>
              <wp:positionV relativeFrom="page">
                <wp:posOffset>10436225</wp:posOffset>
              </wp:positionV>
              <wp:extent cx="6297295"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6297295" cy="6350"/>
                      </a:xfrm>
                      <a:custGeom>
                        <a:avLst/>
                        <a:gdLst/>
                        <a:ahLst/>
                        <a:cxnLst/>
                        <a:pathLst>
                          <a:path w="9917" h="10">
                            <a:moveTo>
                              <a:pt x="5" y="5"/>
                            </a:moveTo>
                            <a:lnTo>
                              <a:pt x="9911" y="5"/>
                            </a:lnTo>
                          </a:path>
                        </a:pathLst>
                      </a:custGeom>
                      <a:noFill/>
                      <a:ln w="6350" cap="sq" cmpd="sng">
                        <a:solidFill>
                          <a:srgbClr val="000000"/>
                        </a:solidFill>
                        <a:prstDash val="solid"/>
                        <a:miter lim="1000000"/>
                        <a:headEnd type="none" w="med" len="med"/>
                        <a:tailEnd type="none" w="med" len="med"/>
                      </a:ln>
                    </wps:spPr>
                    <wps:bodyPr upright="1"/>
                  </wps:wsp>
                </a:graphicData>
              </a:graphic>
            </wp:anchor>
          </w:drawing>
        </mc:Choice>
        <mc:Fallback>
          <w:pict>
            <v:shape id="_x0000_s1026" o:spid="_x0000_s1026" o:spt="100" style="position:absolute;left:0pt;margin-left:49.75pt;margin-top:821.75pt;height:0.5pt;width:495.85pt;mso-position-horizontal-relative:page;mso-position-vertical-relative:page;z-index:251659264;mso-width-relative:page;mso-height-relative:page;" filled="f" stroked="t" coordsize="9917,10" o:allowincell="f" o:gfxdata="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CPOQozZAAAADQEAAA8AAAAAAAAAAQAgAAAAIgAA&#10;AGRycy9kb3ducmV2LnhtbFBLAQIUABQAAAAIAIdO4kAwQJJuQAIAAKIEAAAOAAAAAAAAAAEAIAAA&#10;ACgBAABkcnMvZTJvRG9jLnhtbFBLBQYAAAAABgAGAFkBAADaBQAAAAA=&#10;" path="m5,5l9911,5e">
              <v:fill on="f" focussize="0,0"/>
              <v:stroke weight="0.5pt" color="#000000" miterlimit="10" joinstyle="miter" endcap="square"/>
              <v:imagedata o:title=""/>
              <o:lock v:ext="edit" aspectratio="f"/>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43F02">
    <w:pPr>
      <w:tabs>
        <w:tab w:val="left" w:pos="7147"/>
      </w:tabs>
      <w:spacing w:before="26" w:line="167" w:lineRule="auto"/>
      <w:rPr>
        <w:rFonts w:ascii="华文宋体" w:hAnsi="华文宋体" w:eastAsia="华文宋体" w:cs="华文宋体"/>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B169E2"/>
    <w:rsid w:val="02B169E2"/>
    <w:rsid w:val="7D9F7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3614</Words>
  <Characters>3684</Characters>
  <Lines>0</Lines>
  <Paragraphs>0</Paragraphs>
  <TotalTime>1</TotalTime>
  <ScaleCrop>false</ScaleCrop>
  <LinksUpToDate>false</LinksUpToDate>
  <CharactersWithSpaces>3705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2024-11-27T08:33:00Z</dcterms:created>
  <dc:creator>橘子</dc:creator>
  <cp:lastModifiedBy>没有公主命，要有女王心。</cp:lastModifiedBy>
  <dcterms:modified xsi:type="dcterms:W3CDTF">2024-12-02T06:01:47Z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130E9838D4AB4861AB6608D8584C189E_13</vt:lpwstr>
  </property>
</Properties>
</file>