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EE6C4">
      <w:pPr>
        <w:jc w:val="center"/>
        <w:rPr>
          <w:rFonts w:hint="default"/>
          <w:sz w:val="32"/>
          <w:szCs w:val="32"/>
          <w:u w:val="single"/>
          <w:lang w:val="en-US" w:eastAsia="zh-CN"/>
        </w:rPr>
      </w:pPr>
      <w:r>
        <w:rPr>
          <w:rFonts w:hint="eastAsia"/>
          <w:sz w:val="32"/>
          <w:szCs w:val="32"/>
          <w:u w:val="single"/>
          <w:lang w:val="en-US" w:eastAsia="zh-CN"/>
        </w:rPr>
        <w:t>贵州供销冷链物流研究中心和贵州供销冷链物流大数据展示应用平台建设项目（二次）</w:t>
      </w:r>
    </w:p>
    <w:p w14:paraId="2EAE10EE">
      <w:pPr>
        <w:jc w:val="both"/>
        <w:rPr>
          <w:rFonts w:hint="eastAsia"/>
          <w:sz w:val="36"/>
          <w:szCs w:val="36"/>
          <w:lang w:val="en-US" w:eastAsia="zh-CN"/>
        </w:rPr>
      </w:pPr>
    </w:p>
    <w:p w14:paraId="5A3457B6">
      <w:pPr>
        <w:jc w:val="center"/>
        <w:rPr>
          <w:rFonts w:hint="eastAsia"/>
          <w:sz w:val="36"/>
          <w:szCs w:val="36"/>
          <w:lang w:val="en-US" w:eastAsia="zh-CN"/>
        </w:rPr>
      </w:pPr>
      <w:r>
        <w:rPr>
          <w:rFonts w:hint="eastAsia"/>
          <w:sz w:val="36"/>
          <w:szCs w:val="36"/>
          <w:lang w:val="en-US" w:eastAsia="zh-CN"/>
        </w:rPr>
        <w:t>评审情况</w:t>
      </w:r>
    </w:p>
    <w:tbl>
      <w:tblPr>
        <w:tblStyle w:val="3"/>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845"/>
        <w:gridCol w:w="1650"/>
        <w:gridCol w:w="855"/>
        <w:gridCol w:w="615"/>
        <w:gridCol w:w="1650"/>
      </w:tblGrid>
      <w:tr w14:paraId="3664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34" w:type="dxa"/>
            <w:vAlign w:val="center"/>
          </w:tcPr>
          <w:p w14:paraId="1BBDFACB">
            <w:pPr>
              <w:jc w:val="center"/>
              <w:rPr>
                <w:rFonts w:hint="default"/>
                <w:sz w:val="24"/>
                <w:szCs w:val="24"/>
                <w:vertAlign w:val="baseline"/>
                <w:lang w:val="en-US" w:eastAsia="zh-CN"/>
              </w:rPr>
            </w:pPr>
            <w:r>
              <w:rPr>
                <w:rFonts w:hint="eastAsia"/>
                <w:sz w:val="24"/>
                <w:szCs w:val="24"/>
                <w:vertAlign w:val="baseline"/>
                <w:lang w:val="en-US" w:eastAsia="zh-CN"/>
              </w:rPr>
              <w:t>供应商名称</w:t>
            </w:r>
          </w:p>
        </w:tc>
        <w:tc>
          <w:tcPr>
            <w:tcW w:w="1845" w:type="dxa"/>
            <w:vAlign w:val="center"/>
          </w:tcPr>
          <w:p w14:paraId="4A502654">
            <w:pPr>
              <w:jc w:val="center"/>
              <w:rPr>
                <w:rFonts w:hint="default"/>
                <w:sz w:val="24"/>
                <w:szCs w:val="24"/>
                <w:vertAlign w:val="baseline"/>
                <w:lang w:val="en-US" w:eastAsia="zh-CN"/>
              </w:rPr>
            </w:pPr>
            <w:r>
              <w:rPr>
                <w:rFonts w:hint="eastAsia"/>
                <w:sz w:val="24"/>
                <w:szCs w:val="24"/>
                <w:vertAlign w:val="baseline"/>
                <w:lang w:val="en-US" w:eastAsia="zh-CN"/>
              </w:rPr>
              <w:t>投标价格</w:t>
            </w:r>
          </w:p>
        </w:tc>
        <w:tc>
          <w:tcPr>
            <w:tcW w:w="1650" w:type="dxa"/>
            <w:vAlign w:val="center"/>
          </w:tcPr>
          <w:p w14:paraId="7AFAE073">
            <w:pPr>
              <w:jc w:val="center"/>
              <w:rPr>
                <w:rFonts w:hint="default"/>
                <w:sz w:val="24"/>
                <w:szCs w:val="24"/>
                <w:vertAlign w:val="baseline"/>
                <w:lang w:val="en-US" w:eastAsia="zh-CN"/>
              </w:rPr>
            </w:pPr>
            <w:r>
              <w:rPr>
                <w:rFonts w:hint="eastAsia"/>
                <w:sz w:val="24"/>
                <w:szCs w:val="24"/>
                <w:vertAlign w:val="baseline"/>
                <w:lang w:val="en-US" w:eastAsia="zh-CN"/>
              </w:rPr>
              <w:t>评审价格</w:t>
            </w:r>
          </w:p>
        </w:tc>
        <w:tc>
          <w:tcPr>
            <w:tcW w:w="855" w:type="dxa"/>
            <w:vAlign w:val="center"/>
          </w:tcPr>
          <w:p w14:paraId="69076688">
            <w:pPr>
              <w:jc w:val="center"/>
              <w:rPr>
                <w:rFonts w:hint="default"/>
                <w:sz w:val="24"/>
                <w:szCs w:val="24"/>
                <w:vertAlign w:val="baseline"/>
                <w:lang w:val="en-US" w:eastAsia="zh-CN"/>
              </w:rPr>
            </w:pPr>
            <w:r>
              <w:rPr>
                <w:rFonts w:hint="eastAsia"/>
                <w:sz w:val="24"/>
                <w:szCs w:val="24"/>
                <w:vertAlign w:val="baseline"/>
                <w:lang w:val="en-US" w:eastAsia="zh-CN"/>
              </w:rPr>
              <w:t>评审得分</w:t>
            </w:r>
          </w:p>
        </w:tc>
        <w:tc>
          <w:tcPr>
            <w:tcW w:w="615" w:type="dxa"/>
            <w:vAlign w:val="center"/>
          </w:tcPr>
          <w:p w14:paraId="0487C23C">
            <w:pPr>
              <w:jc w:val="center"/>
              <w:rPr>
                <w:rFonts w:hint="default"/>
                <w:sz w:val="24"/>
                <w:szCs w:val="24"/>
                <w:vertAlign w:val="baseline"/>
                <w:lang w:val="en-US" w:eastAsia="zh-CN"/>
              </w:rPr>
            </w:pPr>
            <w:r>
              <w:rPr>
                <w:rFonts w:hint="eastAsia"/>
                <w:sz w:val="24"/>
                <w:szCs w:val="24"/>
                <w:vertAlign w:val="baseline"/>
                <w:lang w:val="en-US" w:eastAsia="zh-CN"/>
              </w:rPr>
              <w:t>排序</w:t>
            </w:r>
          </w:p>
        </w:tc>
        <w:tc>
          <w:tcPr>
            <w:tcW w:w="1650" w:type="dxa"/>
            <w:vAlign w:val="center"/>
          </w:tcPr>
          <w:p w14:paraId="500B74C8">
            <w:pPr>
              <w:jc w:val="center"/>
              <w:rPr>
                <w:rFonts w:hint="default"/>
                <w:sz w:val="24"/>
                <w:szCs w:val="24"/>
                <w:vertAlign w:val="baseline"/>
                <w:lang w:val="en-US" w:eastAsia="zh-CN"/>
              </w:rPr>
            </w:pPr>
            <w:r>
              <w:rPr>
                <w:rFonts w:hint="eastAsia"/>
                <w:sz w:val="24"/>
                <w:szCs w:val="24"/>
                <w:vertAlign w:val="baseline"/>
                <w:lang w:val="en-US" w:eastAsia="zh-CN"/>
              </w:rPr>
              <w:t>是否为中标供应商</w:t>
            </w:r>
          </w:p>
        </w:tc>
      </w:tr>
      <w:tr w14:paraId="6C679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34" w:type="dxa"/>
            <w:vAlign w:val="center"/>
          </w:tcPr>
          <w:p w14:paraId="7F81D12C">
            <w:pPr>
              <w:jc w:val="center"/>
              <w:rPr>
                <w:rFonts w:hint="default"/>
                <w:sz w:val="24"/>
                <w:szCs w:val="24"/>
                <w:vertAlign w:val="baseline"/>
                <w:lang w:val="en-US" w:eastAsia="zh-CN"/>
              </w:rPr>
            </w:pPr>
            <w:r>
              <w:rPr>
                <w:rFonts w:hint="default"/>
                <w:sz w:val="24"/>
                <w:szCs w:val="24"/>
                <w:vertAlign w:val="baseline"/>
                <w:lang w:val="en-US" w:eastAsia="zh-CN"/>
              </w:rPr>
              <w:t>北京中物大有科技发展有限公司</w:t>
            </w:r>
          </w:p>
        </w:tc>
        <w:tc>
          <w:tcPr>
            <w:tcW w:w="1845" w:type="dxa"/>
            <w:vAlign w:val="center"/>
          </w:tcPr>
          <w:p w14:paraId="6469F4EE">
            <w:pPr>
              <w:jc w:val="center"/>
              <w:rPr>
                <w:rFonts w:hint="default"/>
                <w:sz w:val="24"/>
                <w:szCs w:val="24"/>
                <w:vertAlign w:val="baseline"/>
                <w:lang w:val="en-US" w:eastAsia="zh-CN"/>
              </w:rPr>
            </w:pPr>
            <w:r>
              <w:rPr>
                <w:rFonts w:hint="eastAsia"/>
                <w:sz w:val="24"/>
                <w:szCs w:val="24"/>
                <w:vertAlign w:val="baseline"/>
                <w:lang w:val="en-US" w:eastAsia="zh-CN"/>
              </w:rPr>
              <w:t>2980000.00元</w:t>
            </w:r>
          </w:p>
        </w:tc>
        <w:tc>
          <w:tcPr>
            <w:tcW w:w="1650" w:type="dxa"/>
            <w:vAlign w:val="center"/>
          </w:tcPr>
          <w:p w14:paraId="432B61CD">
            <w:pPr>
              <w:jc w:val="center"/>
              <w:rPr>
                <w:rFonts w:hint="default"/>
                <w:sz w:val="24"/>
                <w:szCs w:val="24"/>
                <w:vertAlign w:val="baseline"/>
                <w:lang w:val="en-US" w:eastAsia="zh-CN"/>
              </w:rPr>
            </w:pPr>
            <w:r>
              <w:rPr>
                <w:rFonts w:hint="eastAsia"/>
                <w:sz w:val="24"/>
                <w:szCs w:val="24"/>
                <w:vertAlign w:val="baseline"/>
                <w:lang w:val="en-US" w:eastAsia="zh-CN"/>
              </w:rPr>
              <w:t>2980000.00元</w:t>
            </w:r>
          </w:p>
        </w:tc>
        <w:tc>
          <w:tcPr>
            <w:tcW w:w="855" w:type="dxa"/>
            <w:vAlign w:val="center"/>
          </w:tcPr>
          <w:p w14:paraId="13709865">
            <w:pPr>
              <w:jc w:val="center"/>
              <w:rPr>
                <w:rFonts w:hint="default"/>
                <w:sz w:val="24"/>
                <w:szCs w:val="24"/>
                <w:vertAlign w:val="baseline"/>
                <w:lang w:val="en-US" w:eastAsia="zh-CN"/>
              </w:rPr>
            </w:pPr>
            <w:r>
              <w:rPr>
                <w:rFonts w:hint="eastAsia"/>
                <w:sz w:val="24"/>
                <w:szCs w:val="24"/>
                <w:vertAlign w:val="baseline"/>
                <w:lang w:val="en-US" w:eastAsia="zh-CN"/>
              </w:rPr>
              <w:t>97.05</w:t>
            </w:r>
          </w:p>
        </w:tc>
        <w:tc>
          <w:tcPr>
            <w:tcW w:w="615" w:type="dxa"/>
            <w:vAlign w:val="center"/>
          </w:tcPr>
          <w:p w14:paraId="12D314D5">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650" w:type="dxa"/>
            <w:vAlign w:val="center"/>
          </w:tcPr>
          <w:p w14:paraId="40115051">
            <w:pPr>
              <w:jc w:val="center"/>
              <w:rPr>
                <w:rFonts w:hint="default"/>
                <w:sz w:val="24"/>
                <w:szCs w:val="24"/>
                <w:vertAlign w:val="baseline"/>
                <w:lang w:val="en-US" w:eastAsia="zh-CN"/>
              </w:rPr>
            </w:pPr>
            <w:r>
              <w:rPr>
                <w:rFonts w:hint="eastAsia"/>
                <w:sz w:val="24"/>
                <w:szCs w:val="24"/>
                <w:vertAlign w:val="baseline"/>
                <w:lang w:val="en-US" w:eastAsia="zh-CN"/>
              </w:rPr>
              <w:t>是</w:t>
            </w:r>
          </w:p>
        </w:tc>
      </w:tr>
      <w:tr w14:paraId="6CC5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034" w:type="dxa"/>
            <w:vAlign w:val="center"/>
          </w:tcPr>
          <w:p w14:paraId="1AE16F1F">
            <w:pPr>
              <w:jc w:val="center"/>
              <w:rPr>
                <w:rFonts w:hint="default"/>
                <w:sz w:val="24"/>
                <w:szCs w:val="24"/>
                <w:vertAlign w:val="baseline"/>
                <w:lang w:val="en-US" w:eastAsia="zh-CN"/>
              </w:rPr>
            </w:pPr>
            <w:r>
              <w:rPr>
                <w:rFonts w:hint="default"/>
                <w:sz w:val="24"/>
                <w:szCs w:val="24"/>
                <w:vertAlign w:val="baseline"/>
                <w:lang w:val="en-US" w:eastAsia="zh-CN"/>
              </w:rPr>
              <w:t>北京初智信诚科技有限公司</w:t>
            </w:r>
          </w:p>
        </w:tc>
        <w:tc>
          <w:tcPr>
            <w:tcW w:w="1845" w:type="dxa"/>
            <w:vAlign w:val="center"/>
          </w:tcPr>
          <w:p w14:paraId="1BB9979D">
            <w:pPr>
              <w:jc w:val="center"/>
              <w:rPr>
                <w:rFonts w:hint="default"/>
                <w:sz w:val="24"/>
                <w:szCs w:val="24"/>
                <w:vertAlign w:val="baseline"/>
                <w:lang w:val="en-US" w:eastAsia="zh-CN"/>
              </w:rPr>
            </w:pPr>
            <w:r>
              <w:rPr>
                <w:rFonts w:hint="eastAsia"/>
                <w:sz w:val="24"/>
                <w:szCs w:val="24"/>
                <w:vertAlign w:val="baseline"/>
                <w:lang w:val="en-US" w:eastAsia="zh-CN"/>
              </w:rPr>
              <w:t>3022000.00元</w:t>
            </w:r>
          </w:p>
        </w:tc>
        <w:tc>
          <w:tcPr>
            <w:tcW w:w="1650" w:type="dxa"/>
            <w:vAlign w:val="center"/>
          </w:tcPr>
          <w:p w14:paraId="0DDEFA73">
            <w:pPr>
              <w:jc w:val="center"/>
              <w:rPr>
                <w:rFonts w:hint="default"/>
                <w:sz w:val="24"/>
                <w:szCs w:val="24"/>
                <w:vertAlign w:val="baseline"/>
                <w:lang w:val="en-US" w:eastAsia="zh-CN"/>
              </w:rPr>
            </w:pPr>
            <w:r>
              <w:rPr>
                <w:rFonts w:hint="default"/>
                <w:sz w:val="24"/>
                <w:szCs w:val="24"/>
                <w:vertAlign w:val="baseline"/>
                <w:lang w:val="en-US" w:eastAsia="zh-CN"/>
              </w:rPr>
              <w:t>3022000.00元</w:t>
            </w:r>
          </w:p>
        </w:tc>
        <w:tc>
          <w:tcPr>
            <w:tcW w:w="855" w:type="dxa"/>
            <w:vAlign w:val="center"/>
          </w:tcPr>
          <w:p w14:paraId="5F1933B0">
            <w:pPr>
              <w:jc w:val="center"/>
              <w:rPr>
                <w:rFonts w:hint="default"/>
                <w:sz w:val="24"/>
                <w:szCs w:val="24"/>
                <w:vertAlign w:val="baseline"/>
                <w:lang w:val="en-US" w:eastAsia="zh-CN"/>
              </w:rPr>
            </w:pPr>
            <w:r>
              <w:rPr>
                <w:rFonts w:hint="eastAsia"/>
                <w:sz w:val="24"/>
                <w:szCs w:val="24"/>
                <w:vertAlign w:val="baseline"/>
                <w:lang w:val="en-US" w:eastAsia="zh-CN"/>
              </w:rPr>
              <w:t>85.12</w:t>
            </w:r>
          </w:p>
        </w:tc>
        <w:tc>
          <w:tcPr>
            <w:tcW w:w="615" w:type="dxa"/>
            <w:vAlign w:val="center"/>
          </w:tcPr>
          <w:p w14:paraId="21B002DC">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650" w:type="dxa"/>
            <w:vAlign w:val="center"/>
          </w:tcPr>
          <w:p w14:paraId="1562456C">
            <w:pPr>
              <w:jc w:val="center"/>
              <w:rPr>
                <w:rFonts w:hint="default"/>
                <w:sz w:val="24"/>
                <w:szCs w:val="24"/>
                <w:vertAlign w:val="baseline"/>
                <w:lang w:val="en-US" w:eastAsia="zh-CN"/>
              </w:rPr>
            </w:pPr>
            <w:r>
              <w:rPr>
                <w:rFonts w:hint="eastAsia"/>
                <w:sz w:val="24"/>
                <w:szCs w:val="24"/>
                <w:vertAlign w:val="baseline"/>
                <w:lang w:val="en-US" w:eastAsia="zh-CN"/>
              </w:rPr>
              <w:t>否</w:t>
            </w:r>
          </w:p>
        </w:tc>
      </w:tr>
      <w:tr w14:paraId="0515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34" w:type="dxa"/>
            <w:vAlign w:val="center"/>
          </w:tcPr>
          <w:p w14:paraId="4956B5C1">
            <w:pPr>
              <w:jc w:val="center"/>
              <w:rPr>
                <w:rFonts w:hint="default"/>
                <w:sz w:val="24"/>
                <w:szCs w:val="24"/>
                <w:vertAlign w:val="baseline"/>
                <w:lang w:val="en-US" w:eastAsia="zh-CN"/>
              </w:rPr>
            </w:pPr>
            <w:r>
              <w:rPr>
                <w:rFonts w:hint="default"/>
                <w:sz w:val="24"/>
                <w:szCs w:val="24"/>
                <w:vertAlign w:val="baseline"/>
                <w:lang w:val="en-US" w:eastAsia="zh-CN"/>
              </w:rPr>
              <w:t>成都中睿思杰科技有限公司</w:t>
            </w:r>
          </w:p>
        </w:tc>
        <w:tc>
          <w:tcPr>
            <w:tcW w:w="1845" w:type="dxa"/>
            <w:vAlign w:val="center"/>
          </w:tcPr>
          <w:p w14:paraId="64632CA4">
            <w:pPr>
              <w:jc w:val="center"/>
              <w:rPr>
                <w:rFonts w:hint="default"/>
                <w:sz w:val="24"/>
                <w:szCs w:val="24"/>
                <w:vertAlign w:val="baseline"/>
                <w:lang w:val="en-US" w:eastAsia="zh-CN"/>
              </w:rPr>
            </w:pPr>
            <w:r>
              <w:rPr>
                <w:rFonts w:hint="eastAsia"/>
                <w:sz w:val="24"/>
                <w:szCs w:val="24"/>
                <w:vertAlign w:val="baseline"/>
                <w:lang w:val="en-US" w:eastAsia="zh-CN"/>
              </w:rPr>
              <w:t>2876000.00元</w:t>
            </w:r>
          </w:p>
        </w:tc>
        <w:tc>
          <w:tcPr>
            <w:tcW w:w="1650" w:type="dxa"/>
            <w:vAlign w:val="center"/>
          </w:tcPr>
          <w:p w14:paraId="4A41D928">
            <w:pPr>
              <w:jc w:val="center"/>
              <w:rPr>
                <w:rFonts w:hint="default"/>
                <w:sz w:val="24"/>
                <w:szCs w:val="24"/>
                <w:vertAlign w:val="baseline"/>
                <w:lang w:val="en-US" w:eastAsia="zh-CN"/>
              </w:rPr>
            </w:pPr>
            <w:r>
              <w:rPr>
                <w:rFonts w:hint="eastAsia"/>
                <w:sz w:val="24"/>
                <w:szCs w:val="24"/>
                <w:vertAlign w:val="baseline"/>
                <w:lang w:val="en-US" w:eastAsia="zh-CN"/>
              </w:rPr>
              <w:t>2876</w:t>
            </w:r>
            <w:r>
              <w:rPr>
                <w:rFonts w:hint="default"/>
                <w:sz w:val="24"/>
                <w:szCs w:val="24"/>
                <w:vertAlign w:val="baseline"/>
                <w:lang w:val="en-US" w:eastAsia="zh-CN"/>
              </w:rPr>
              <w:t>000</w:t>
            </w:r>
            <w:r>
              <w:rPr>
                <w:rFonts w:hint="eastAsia"/>
                <w:sz w:val="24"/>
                <w:szCs w:val="24"/>
                <w:vertAlign w:val="baseline"/>
                <w:lang w:val="en-US" w:eastAsia="zh-CN"/>
              </w:rPr>
              <w:t>.00元</w:t>
            </w:r>
          </w:p>
        </w:tc>
        <w:tc>
          <w:tcPr>
            <w:tcW w:w="855" w:type="dxa"/>
            <w:vAlign w:val="center"/>
          </w:tcPr>
          <w:p w14:paraId="4F371AFA">
            <w:pPr>
              <w:jc w:val="center"/>
              <w:rPr>
                <w:rFonts w:hint="default"/>
                <w:sz w:val="24"/>
                <w:szCs w:val="24"/>
                <w:vertAlign w:val="baseline"/>
                <w:lang w:val="en-US" w:eastAsia="zh-CN"/>
              </w:rPr>
            </w:pPr>
            <w:r>
              <w:rPr>
                <w:rFonts w:hint="eastAsia"/>
                <w:sz w:val="24"/>
                <w:szCs w:val="24"/>
                <w:vertAlign w:val="baseline"/>
                <w:lang w:val="en-US" w:eastAsia="zh-CN"/>
              </w:rPr>
              <w:t>69.00</w:t>
            </w:r>
          </w:p>
        </w:tc>
        <w:tc>
          <w:tcPr>
            <w:tcW w:w="615" w:type="dxa"/>
            <w:vAlign w:val="center"/>
          </w:tcPr>
          <w:p w14:paraId="0778E682">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650" w:type="dxa"/>
            <w:vAlign w:val="center"/>
          </w:tcPr>
          <w:p w14:paraId="774120B8">
            <w:pPr>
              <w:jc w:val="center"/>
              <w:rPr>
                <w:rFonts w:hint="default"/>
                <w:sz w:val="24"/>
                <w:szCs w:val="24"/>
                <w:vertAlign w:val="baseline"/>
                <w:lang w:val="en-US" w:eastAsia="zh-CN"/>
              </w:rPr>
            </w:pPr>
            <w:r>
              <w:rPr>
                <w:rFonts w:hint="eastAsia"/>
                <w:sz w:val="24"/>
                <w:szCs w:val="24"/>
                <w:vertAlign w:val="baseline"/>
                <w:lang w:val="en-US" w:eastAsia="zh-CN"/>
              </w:rPr>
              <w:t>否</w:t>
            </w:r>
          </w:p>
        </w:tc>
      </w:tr>
    </w:tbl>
    <w:p w14:paraId="00C035EC">
      <w:pPr>
        <w:jc w:val="center"/>
        <w:rPr>
          <w:rFonts w:hint="default"/>
          <w:lang w:val="en-US" w:eastAsia="zh-CN"/>
        </w:rPr>
      </w:pPr>
    </w:p>
    <w:p w14:paraId="1786C121">
      <w:pPr>
        <w:jc w:val="center"/>
        <w:rPr>
          <w:rFonts w:hint="default"/>
          <w:lang w:val="en-US" w:eastAsia="zh-CN"/>
        </w:rPr>
      </w:pPr>
    </w:p>
    <w:p w14:paraId="66817B4F">
      <w:pPr>
        <w:jc w:val="center"/>
        <w:rPr>
          <w:rFonts w:hint="default"/>
          <w:lang w:val="en-US" w:eastAsia="zh-CN"/>
        </w:rPr>
      </w:pPr>
    </w:p>
    <w:p w14:paraId="2363AEA5">
      <w:pPr>
        <w:jc w:val="center"/>
        <w:rPr>
          <w:rFonts w:hint="default"/>
          <w:lang w:val="en-US" w:eastAsia="zh-CN"/>
        </w:rPr>
      </w:pPr>
      <w:r>
        <w:rPr>
          <w:rFonts w:hint="eastAsia"/>
          <w:sz w:val="36"/>
          <w:szCs w:val="36"/>
          <w:lang w:val="en-US" w:eastAsia="zh-CN"/>
        </w:rPr>
        <w:t>未通过资格审查情况（若</w:t>
      </w:r>
      <w:bookmarkStart w:id="0" w:name="_GoBack"/>
      <w:bookmarkEnd w:id="0"/>
      <w:r>
        <w:rPr>
          <w:rFonts w:hint="eastAsia"/>
          <w:sz w:val="36"/>
          <w:szCs w:val="36"/>
          <w:lang w:val="en-US" w:eastAsia="zh-CN"/>
        </w:rPr>
        <w:t>无可不填写）</w:t>
      </w:r>
    </w:p>
    <w:tbl>
      <w:tblPr>
        <w:tblStyle w:val="3"/>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5910"/>
      </w:tblGrid>
      <w:tr w14:paraId="458C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739" w:type="dxa"/>
            <w:vAlign w:val="center"/>
          </w:tcPr>
          <w:p w14:paraId="2BE0F91D">
            <w:pPr>
              <w:jc w:val="center"/>
              <w:rPr>
                <w:rFonts w:hint="default"/>
                <w:sz w:val="24"/>
                <w:szCs w:val="24"/>
                <w:vertAlign w:val="baseline"/>
                <w:lang w:val="en-US" w:eastAsia="zh-CN"/>
              </w:rPr>
            </w:pPr>
            <w:r>
              <w:rPr>
                <w:rFonts w:hint="default"/>
                <w:sz w:val="24"/>
                <w:szCs w:val="24"/>
                <w:vertAlign w:val="baseline"/>
                <w:lang w:val="en-US" w:eastAsia="zh-CN"/>
              </w:rPr>
              <w:t>供应商名称</w:t>
            </w:r>
          </w:p>
        </w:tc>
        <w:tc>
          <w:tcPr>
            <w:tcW w:w="5910" w:type="dxa"/>
            <w:vAlign w:val="center"/>
          </w:tcPr>
          <w:p w14:paraId="36B1B431">
            <w:pPr>
              <w:jc w:val="center"/>
              <w:rPr>
                <w:rFonts w:hint="default"/>
                <w:sz w:val="24"/>
                <w:szCs w:val="24"/>
                <w:vertAlign w:val="baseline"/>
                <w:lang w:val="en-US" w:eastAsia="zh-CN"/>
              </w:rPr>
            </w:pPr>
            <w:r>
              <w:rPr>
                <w:rFonts w:hint="eastAsia"/>
                <w:sz w:val="24"/>
                <w:szCs w:val="24"/>
                <w:vertAlign w:val="baseline"/>
                <w:lang w:val="en-US" w:eastAsia="zh-CN"/>
              </w:rPr>
              <w:t>未通过资格审查原因</w:t>
            </w:r>
          </w:p>
        </w:tc>
      </w:tr>
      <w:tr w14:paraId="1BFF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39" w:type="dxa"/>
            <w:vAlign w:val="center"/>
          </w:tcPr>
          <w:p w14:paraId="55B89AC1">
            <w:pPr>
              <w:jc w:val="center"/>
              <w:rPr>
                <w:rFonts w:hint="default"/>
                <w:sz w:val="24"/>
                <w:szCs w:val="24"/>
                <w:vertAlign w:val="baseline"/>
                <w:lang w:val="en-US" w:eastAsia="zh-CN"/>
              </w:rPr>
            </w:pPr>
            <w:r>
              <w:rPr>
                <w:rFonts w:hint="eastAsia"/>
                <w:sz w:val="24"/>
                <w:szCs w:val="24"/>
                <w:vertAlign w:val="baseline"/>
                <w:lang w:val="en-US" w:eastAsia="zh-CN"/>
              </w:rPr>
              <w:t>/</w:t>
            </w:r>
          </w:p>
        </w:tc>
        <w:tc>
          <w:tcPr>
            <w:tcW w:w="5910" w:type="dxa"/>
            <w:vAlign w:val="center"/>
          </w:tcPr>
          <w:p w14:paraId="3D0353AD">
            <w:pPr>
              <w:jc w:val="center"/>
              <w:rPr>
                <w:rFonts w:hint="default"/>
                <w:sz w:val="24"/>
                <w:szCs w:val="24"/>
                <w:vertAlign w:val="baseline"/>
                <w:lang w:val="en-US" w:eastAsia="zh-CN"/>
              </w:rPr>
            </w:pPr>
            <w:r>
              <w:rPr>
                <w:rFonts w:hint="eastAsia"/>
                <w:sz w:val="24"/>
                <w:szCs w:val="24"/>
                <w:vertAlign w:val="baseline"/>
                <w:lang w:val="en-US" w:eastAsia="zh-CN"/>
              </w:rPr>
              <w:t>/</w:t>
            </w:r>
          </w:p>
        </w:tc>
      </w:tr>
    </w:tbl>
    <w:p w14:paraId="325ACE2D">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element-icon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iconfont ! importa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E7B38"/>
    <w:rsid w:val="065110EC"/>
    <w:rsid w:val="1C2A649F"/>
    <w:rsid w:val="1E8870CB"/>
    <w:rsid w:val="3EDA07F4"/>
    <w:rsid w:val="42594109"/>
    <w:rsid w:val="68F76380"/>
    <w:rsid w:val="6ECE7B38"/>
    <w:rsid w:val="747E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 w:type="character" w:styleId="6">
    <w:name w:val="FollowedHyperlink"/>
    <w:basedOn w:val="4"/>
    <w:uiPriority w:val="0"/>
    <w:rPr>
      <w:color w:val="428BCA"/>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428BCA"/>
      <w:u w:val="none"/>
    </w:rPr>
  </w:style>
  <w:style w:type="character" w:styleId="11">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2">
    <w:name w:val="HTML Cite"/>
    <w:basedOn w:val="4"/>
    <w:uiPriority w:val="0"/>
  </w:style>
  <w:style w:type="character" w:styleId="13">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4">
    <w:name w:val="HTML Sample"/>
    <w:basedOn w:val="4"/>
    <w:uiPriority w:val="0"/>
    <w:rPr>
      <w:rFonts w:hint="default" w:ascii="Consolas" w:hAnsi="Consolas" w:eastAsia="Consolas" w:cs="Consolas"/>
      <w:sz w:val="21"/>
      <w:szCs w:val="21"/>
    </w:rPr>
  </w:style>
  <w:style w:type="character" w:customStyle="1" w:styleId="15">
    <w:name w:val="after"/>
    <w:basedOn w:val="4"/>
    <w:uiPriority w:val="0"/>
  </w:style>
  <w:style w:type="character" w:customStyle="1" w:styleId="16">
    <w:name w:val="ui-icon22"/>
    <w:basedOn w:val="4"/>
    <w:uiPriority w:val="0"/>
  </w:style>
  <w:style w:type="character" w:customStyle="1" w:styleId="17">
    <w:name w:val="ellipsis-wrapper2"/>
    <w:basedOn w:val="4"/>
    <w:uiPriority w:val="0"/>
  </w:style>
  <w:style w:type="character" w:customStyle="1" w:styleId="18">
    <w:name w:val="ellipsis-wrapper3"/>
    <w:basedOn w:val="4"/>
    <w:uiPriority w:val="0"/>
  </w:style>
  <w:style w:type="character" w:customStyle="1" w:styleId="19">
    <w:name w:val="not([class*=suffix])"/>
    <w:basedOn w:val="4"/>
    <w:uiPriority w:val="0"/>
    <w:rPr>
      <w:sz w:val="19"/>
      <w:szCs w:val="19"/>
    </w:rPr>
  </w:style>
  <w:style w:type="character" w:customStyle="1" w:styleId="20">
    <w:name w:val="not([class*=suffix])1"/>
    <w:basedOn w:val="4"/>
    <w:uiPriority w:val="0"/>
  </w:style>
  <w:style w:type="character" w:customStyle="1" w:styleId="21">
    <w:name w:val="ellipsis-wrapper"/>
    <w:basedOn w:val="4"/>
    <w:uiPriority w:val="0"/>
  </w:style>
  <w:style w:type="character" w:customStyle="1" w:styleId="22">
    <w:name w:val="ellipsis-wrapper1"/>
    <w:basedOn w:val="4"/>
    <w:uiPriority w:val="0"/>
  </w:style>
  <w:style w:type="character" w:customStyle="1" w:styleId="23">
    <w:name w:val="ui-icon"/>
    <w:basedOn w:val="4"/>
    <w:uiPriority w:val="0"/>
  </w:style>
  <w:style w:type="character" w:customStyle="1" w:styleId="24">
    <w:name w:val="after2"/>
    <w:basedOn w:val="4"/>
    <w:uiPriority w:val="0"/>
  </w:style>
  <w:style w:type="character" w:customStyle="1" w:styleId="25">
    <w:name w:val="ui-icon20"/>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281</Characters>
  <Lines>0</Lines>
  <Paragraphs>0</Paragraphs>
  <TotalTime>2</TotalTime>
  <ScaleCrop>false</ScaleCrop>
  <LinksUpToDate>false</LinksUpToDate>
  <CharactersWithSpaces>281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2025-04-10T05:46:00Z</dcterms:created>
  <dc:creator>Ruilin_Z</dc:creator>
  <cp:lastModifiedBy>Administrator</cp:lastModifiedBy>
  <dcterms:modified xsi:type="dcterms:W3CDTF">2025-07-07T06:34:52Z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6367575BBD8C40FFB81755FD65204E77_13</vt:lpwstr>
  </property>
  <property fmtid="{D5CDD505-2E9C-101B-9397-08002B2CF9AE}" pid="4" name="KSOTemplateDocerSaveRecord">
    <vt:lpwstr>eyJoZGlkIjoiNzM1NTAxNDVjNDMxMzgzYWMzMzc1NGE5OGNjMWZiMzgiLCJ1c2VySWQiOiIyNjk4NjI2NjUifQ==</vt:lpwstr>
  </property>
</Properties>
</file>