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E82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 w:ascii="微软雅黑 Light" w:hAnsi="微软雅黑 Light" w:eastAsia="微软雅黑 Light" w:cs="微软雅黑 Light"/>
          <w:b/>
          <w:bCs/>
          <w:kern w:val="2"/>
          <w:sz w:val="36"/>
          <w:szCs w:val="36"/>
          <w:lang w:val="en-US" w:eastAsia="zh-CN" w:bidi="ar"/>
        </w:rPr>
        <w:t>4K超高清卫星车供电系统UPS电源</w:t>
      </w:r>
      <w:r>
        <w:rPr>
          <w:rFonts w:hint="eastAsia"/>
          <w:b/>
          <w:bCs/>
          <w:sz w:val="36"/>
          <w:szCs w:val="36"/>
        </w:rPr>
        <w:t>》项目报价单</w:t>
      </w:r>
    </w:p>
    <w:p w14:paraId="7AB1CE6D">
      <w:pPr>
        <w:jc w:val="center"/>
        <w:rPr>
          <w:b/>
          <w:bCs/>
          <w:sz w:val="36"/>
          <w:szCs w:val="36"/>
        </w:rPr>
      </w:pPr>
    </w:p>
    <w:tbl>
      <w:tblPr>
        <w:tblStyle w:val="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426"/>
        <w:gridCol w:w="567"/>
        <w:gridCol w:w="1417"/>
        <w:gridCol w:w="1418"/>
        <w:gridCol w:w="8363"/>
      </w:tblGrid>
      <w:tr w14:paraId="55BF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E692B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AF5AA0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D4C6">
            <w:pPr>
              <w:pStyle w:val="8"/>
              <w:jc w:val="center"/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品牌/型号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51764C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ACBA83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A6BF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单价（元）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5018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合计（元）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6495D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技术参数要求</w:t>
            </w:r>
          </w:p>
        </w:tc>
      </w:tr>
      <w:tr w14:paraId="0224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4643">
            <w:pPr>
              <w:pStyle w:val="8"/>
              <w:ind w:firstLine="180" w:firstLineChars="100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</w:p>
          <w:p w14:paraId="0D101B6A">
            <w:pPr>
              <w:pStyle w:val="8"/>
              <w:ind w:firstLine="180" w:firstLineChars="100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</w:p>
          <w:p w14:paraId="420AB688">
            <w:pPr>
              <w:pStyle w:val="8"/>
              <w:ind w:firstLine="180" w:firstLineChars="100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</w:p>
          <w:p w14:paraId="684DB642">
            <w:pPr>
              <w:pStyle w:val="8"/>
              <w:ind w:firstLine="180" w:firstLineChars="100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</w:p>
          <w:p w14:paraId="6617FE2C">
            <w:pPr>
              <w:pStyle w:val="8"/>
              <w:ind w:firstLine="180" w:firstLineChars="100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E8CC">
            <w:pPr>
              <w:pStyle w:val="8"/>
              <w:jc w:val="center"/>
              <w:rPr>
                <w:rFonts w:ascii="微软雅黑 Light" w:hAnsi="微软雅黑 Light" w:eastAsia="黑体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10kVA UPS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AD17">
            <w:pPr>
              <w:pStyle w:val="8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C196">
            <w:pPr>
              <w:pStyle w:val="8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1E04">
            <w:pPr>
              <w:pStyle w:val="8"/>
              <w:ind w:firstLine="180" w:firstLineChars="100"/>
              <w:jc w:val="center"/>
              <w:rPr>
                <w:rFonts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9D12">
            <w:pPr>
              <w:suppressLineNumbers/>
              <w:suppressAutoHyphens/>
              <w:spacing w:line="360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0EB0F">
            <w:pPr>
              <w:suppressLineNumbers/>
              <w:suppressAutoHyphens/>
              <w:spacing w:line="360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57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/>
              <w:suppressAutoHyphens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"/>
              </w:rPr>
              <w:t>基础功能要求：</w:t>
            </w:r>
          </w:p>
          <w:p w14:paraId="13FE6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1）</w:t>
            </w:r>
            <w:r>
              <w:rPr>
                <w:rFonts w:hint="eastAsia" w:ascii="黑体" w:hAnsi="宋体" w:eastAsia="黑体" w:cs="黑体"/>
                <w:kern w:val="2"/>
                <w:sz w:val="18"/>
                <w:szCs w:val="18"/>
                <w:lang w:val="en-US" w:eastAsia="zh-CN" w:bidi="ar"/>
              </w:rPr>
              <w:t>功率（VA/W）：10KVA/10kW；</w:t>
            </w:r>
          </w:p>
          <w:p w14:paraId="019A6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2）输入参数：</w:t>
            </w:r>
          </w:p>
          <w:p w14:paraId="78BBC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2"/>
                <w:sz w:val="18"/>
                <w:szCs w:val="18"/>
                <w:lang w:val="en-US" w:eastAsia="zh-CN" w:bidi="ar"/>
              </w:rPr>
              <w:t>电压范围：191-476VAC，频率范围：40~70Hz，功率因素：&gt;0.99，谐波(THDI) ：&lt;3%；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3）输出参数：</w:t>
            </w:r>
          </w:p>
          <w:p w14:paraId="09FD1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微软雅黑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18"/>
                <w:szCs w:val="18"/>
                <w:lang w:val="en-US" w:eastAsia="zh-CN" w:bidi="ar"/>
              </w:rPr>
              <w:t>电压：208/220/230/240VAC (缺省220VAC)，精度：±1%，频率：50Hz±0.05Hz ( 电池模式 )，功率因数：1，电压失真：&lt;1% ( 线性负载 )，过载能力：105%~125%：10分钟；125%~150%：30秒；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4）</w:t>
            </w:r>
            <w:r>
              <w:rPr>
                <w:rFonts w:hint="eastAsia" w:ascii="黑体" w:hAnsi="宋体" w:eastAsia="黑体" w:cs="微软雅黑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电池：</w:t>
            </w:r>
          </w:p>
          <w:p w14:paraId="6CB3D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18"/>
                <w:szCs w:val="18"/>
                <w:lang w:val="en-US" w:eastAsia="zh-CN" w:bidi="ar"/>
              </w:rPr>
              <w:t>类型：阀控式免维护铅酸型，电池电压：192V 缺省</w:t>
            </w:r>
          </w:p>
          <w:p w14:paraId="31472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2"/>
                <w:sz w:val="18"/>
                <w:szCs w:val="18"/>
                <w:lang w:val="en-US" w:eastAsia="zh-CN" w:bidi="ar"/>
              </w:rPr>
              <w:t>(192/204/216/228/240VDC可调)，3kw负载后备时间：&gt;10 min.；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5）整机：</w:t>
            </w:r>
          </w:p>
          <w:p w14:paraId="08FB7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效率：&gt;0.95(在线模式)/0.98 (ECO模式)，静态旁路：内置，重量(长机)kg：15，噪音(dB)：&lt;55，界面：图形化LCD+LED 指示灯，可并机：Yes，通讯：RS-232, USB, EPO, 智能扩展通讯插槽，选件机架安装导轨、扩展电池箱、PDU、SNMP/WEB卡、Modbus卡、AS/400卡、集中监控软件IPM (&gt;10节点)、并机套件(6KVA以上)；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6）电池组智能管理功能：</w:t>
            </w:r>
          </w:p>
          <w:p w14:paraId="2AE959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>可配置标准电池模块或第三方电池箱，为负载提供更多的放电时间，机型电池节数 16/17/18/19/20 可调。可根据客户需求灵活配置；机型充电电流可根据客户实际电池容量通过液晶面板灵活设置，在保证充电时间的前提下避免过大充电电流对电池寿命的影响；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>7）对母线电容、风扇、电池等关键器件提前预警功能；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>8）交流输入端满足5kA防雷和6kV防浪涌要求；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>9）机型充电电流可根据客户实际电池容量通过液晶面板灵活设置，在保证充电时间的前提下避免过大充电电流对电池寿命的影响；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10）PS须通过泰尔认证，抗震认证、CE认证、TLC认证、CQC节能认证，提供证书复印件；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18"/>
                <w:szCs w:val="18"/>
                <w:lang w:val="en-US" w:eastAsia="zh-CN" w:bidi="ar"/>
              </w:rPr>
              <w:t>11）UPS制造商须ISO9001质量管理体系认证、ISO27001信息安全管理体系认证、ISO28000供应链安全管理体系认证，须提供证书复印件。</w:t>
            </w:r>
          </w:p>
          <w:p w14:paraId="0CDA384F">
            <w:pPr>
              <w:pStyle w:val="8"/>
              <w:rPr>
                <w:rFonts w:ascii="宋体" w:hAnsi="宋体" w:cs="宋体"/>
                <w:color w:val="000000"/>
                <w:sz w:val="19"/>
                <w:szCs w:val="19"/>
                <w:lang w:eastAsia="zh-CN"/>
              </w:rPr>
            </w:pPr>
          </w:p>
        </w:tc>
      </w:tr>
      <w:tr w14:paraId="53F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8A51">
            <w:pPr>
              <w:pStyle w:val="8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总计（元）</w:t>
            </w:r>
          </w:p>
        </w:tc>
        <w:tc>
          <w:tcPr>
            <w:tcW w:w="1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52BE">
            <w:pPr>
              <w:spacing w:line="360" w:lineRule="auto"/>
              <w:ind w:firstLine="6930" w:firstLineChars="3850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（注：包含运输、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售后服务、辅材和税费等全部费用）</w:t>
            </w:r>
          </w:p>
        </w:tc>
      </w:tr>
    </w:tbl>
    <w:p w14:paraId="366733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                                                                       报价日期：</w:t>
      </w:r>
    </w:p>
    <w:p w14:paraId="6FA25EF0">
      <w:pPr>
        <w:rPr>
          <w:sz w:val="28"/>
          <w:szCs w:val="28"/>
        </w:rPr>
      </w:pPr>
    </w:p>
    <w:p w14:paraId="429723B4">
      <w:pPr>
        <w:rPr>
          <w:sz w:val="28"/>
          <w:szCs w:val="28"/>
        </w:rPr>
      </w:pPr>
      <w:r>
        <w:rPr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 xml:space="preserve">（盖章）：               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4E506"/>
    <w:multiLevelType w:val="multilevel"/>
    <w:tmpl w:val="BE34E50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DB523C"/>
    <w:rsid w:val="000127E6"/>
    <w:rsid w:val="00092F49"/>
    <w:rsid w:val="00247C74"/>
    <w:rsid w:val="004C79BD"/>
    <w:rsid w:val="0073136C"/>
    <w:rsid w:val="00931292"/>
    <w:rsid w:val="00C90255"/>
    <w:rsid w:val="00D80F6D"/>
    <w:rsid w:val="00D81C8A"/>
    <w:rsid w:val="00DB523C"/>
    <w:rsid w:val="00F07E2B"/>
    <w:rsid w:val="39C93529"/>
    <w:rsid w:val="704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basedOn w:val="1"/>
    <w:qFormat/>
    <w:uiPriority w:val="0"/>
    <w:pPr>
      <w:widowControl/>
    </w:pPr>
    <w:rPr>
      <w:rFonts w:ascii="Cambria" w:hAnsi="Cambria" w:eastAsia="宋体" w:cs="Times New Roman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1247</Characters>
  <Lines>10</Lines>
  <Paragraphs>2</Paragraphs>
  <TotalTime>38</TotalTime>
  <ScaleCrop>false</ScaleCrop>
  <LinksUpToDate>false</LinksUpToDate>
  <CharactersWithSpaces>1389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2024-09-02T08:54:00Z</dcterms:created>
  <dc:creator>曾智非</dc:creator>
  <cp:lastModifiedBy>曾智非</cp:lastModifiedBy>
  <dcterms:modified xsi:type="dcterms:W3CDTF">2025-07-15T03:06:56Z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eyJoZGlkIjoiYTVhMGYxOTIyNWUzYTllZmZjYjRiYWMzMmMxNzgxODkiLCJ1c2VySWQiOiIzMTgzMzk5MTEifQ==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8D3455030FF94EC290123F30AD9DBB87_12</vt:lpwstr>
  </property>
</Properties>
</file>