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6903">
      <w:pPr>
        <w:pStyle w:val="2"/>
        <w:numPr>
          <w:ilvl w:val="0"/>
          <w:numId w:val="0"/>
        </w:numPr>
        <w:spacing w:line="560" w:lineRule="exact"/>
        <w:ind w:firstLine="723" w:firstLineChars="200"/>
        <w:rPr>
          <w:rFonts w:hint="eastAsia" w:ascii="宋体" w:hAnsi="宋体" w:cs="宋体"/>
          <w:bCs/>
          <w:color w:val="404040"/>
          <w:kern w:val="0"/>
          <w:sz w:val="36"/>
          <w:szCs w:val="36"/>
          <w:lang w:bidi="ar"/>
        </w:rPr>
      </w:pPr>
    </w:p>
    <w:p w14:paraId="5461AFCA">
      <w:pPr>
        <w:pStyle w:val="2"/>
        <w:numPr>
          <w:ilvl w:val="0"/>
          <w:numId w:val="0"/>
        </w:numPr>
        <w:spacing w:line="560" w:lineRule="exact"/>
        <w:jc w:val="center"/>
        <w:rPr>
          <w:rFonts w:hint="eastAsia" w:ascii="宋体" w:hAnsi="宋体" w:cs="宋体"/>
          <w:bCs/>
          <w:color w:val="40404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Cs/>
          <w:color w:val="404040"/>
          <w:kern w:val="0"/>
          <w:sz w:val="36"/>
          <w:szCs w:val="36"/>
          <w:lang w:bidi="ar"/>
        </w:rPr>
        <w:t>贵州省遵义公路管理局</w:t>
      </w:r>
      <w:r>
        <w:rPr>
          <w:rFonts w:hint="eastAsia" w:ascii="宋体" w:hAnsi="宋体" w:cs="宋体"/>
          <w:bCs/>
          <w:color w:val="404040"/>
          <w:kern w:val="0"/>
          <w:sz w:val="36"/>
          <w:szCs w:val="36"/>
          <w:lang w:val="en-US" w:eastAsia="zh-CN" w:bidi="ar"/>
        </w:rPr>
        <w:t>日常养护管理及项目管理</w:t>
      </w:r>
      <w:r>
        <w:rPr>
          <w:rFonts w:hint="eastAsia" w:ascii="宋体" w:hAnsi="宋体" w:cs="宋体"/>
          <w:bCs/>
          <w:color w:val="404040"/>
          <w:kern w:val="0"/>
          <w:sz w:val="36"/>
          <w:szCs w:val="36"/>
          <w:lang w:bidi="ar"/>
        </w:rPr>
        <w:t>保障</w:t>
      </w:r>
      <w:r>
        <w:rPr>
          <w:rFonts w:hint="eastAsia" w:ascii="宋体" w:hAnsi="宋体" w:cs="宋体"/>
          <w:bCs/>
          <w:color w:val="404040"/>
          <w:kern w:val="0"/>
          <w:sz w:val="36"/>
          <w:szCs w:val="36"/>
          <w:lang w:val="en-US" w:eastAsia="zh-CN" w:bidi="ar"/>
        </w:rPr>
        <w:t>用车</w:t>
      </w:r>
    </w:p>
    <w:p w14:paraId="653DE207">
      <w:pPr>
        <w:pStyle w:val="2"/>
        <w:numPr>
          <w:ilvl w:val="0"/>
          <w:numId w:val="0"/>
        </w:numPr>
        <w:spacing w:line="560" w:lineRule="exact"/>
        <w:jc w:val="center"/>
        <w:rPr>
          <w:rFonts w:hint="eastAsia" w:ascii="宋体" w:hAnsi="宋体" w:cs="宋体"/>
          <w:bCs/>
          <w:color w:val="40404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Cs/>
          <w:color w:val="404040"/>
          <w:kern w:val="0"/>
          <w:sz w:val="36"/>
          <w:szCs w:val="36"/>
          <w:lang w:val="en-US" w:eastAsia="zh-CN" w:bidi="ar"/>
        </w:rPr>
        <w:t>租赁服务采购需求</w:t>
      </w:r>
    </w:p>
    <w:p w14:paraId="3387F0EE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cs="仿宋_GB2312"/>
          <w:b w:val="0"/>
          <w:kern w:val="2"/>
        </w:rPr>
      </w:pPr>
    </w:p>
    <w:p w14:paraId="0B11167B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cs="仿宋_GB2312"/>
          <w:b w:val="0"/>
          <w:kern w:val="2"/>
        </w:rPr>
      </w:pPr>
    </w:p>
    <w:p w14:paraId="3401BEE0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cs="仿宋_GB2312"/>
          <w:b w:val="0"/>
          <w:kern w:val="2"/>
        </w:rPr>
      </w:pPr>
      <w:r>
        <w:rPr>
          <w:rFonts w:cs="仿宋_GB2312"/>
          <w:b w:val="0"/>
          <w:kern w:val="2"/>
        </w:rPr>
        <w:t>一、项目信息</w:t>
      </w:r>
    </w:p>
    <w:p w14:paraId="371862D8">
      <w:pPr>
        <w:spacing w:line="560" w:lineRule="exact"/>
        <w:ind w:firstLine="640"/>
        <w:rPr>
          <w:rFonts w:cs="仿宋_GB2312"/>
        </w:rPr>
      </w:pPr>
      <w:r>
        <w:rPr>
          <w:rFonts w:cs="仿宋_GB2312"/>
        </w:rPr>
        <w:t>项目名称：</w:t>
      </w:r>
      <w:r>
        <w:rPr>
          <w:rFonts w:hint="eastAsia" w:ascii="仿宋" w:eastAsia="仿宋"/>
          <w:w w:val="90"/>
          <w:sz w:val="30"/>
          <w:szCs w:val="30"/>
          <w:lang w:val="en-US" w:eastAsia="zh-CN"/>
        </w:rPr>
        <w:t>日常养护管理及项目管理</w:t>
      </w:r>
      <w:r>
        <w:rPr>
          <w:rFonts w:hint="eastAsia" w:cs="仿宋_GB2312"/>
        </w:rPr>
        <w:t>保障</w:t>
      </w:r>
      <w:r>
        <w:rPr>
          <w:rFonts w:cs="仿宋_GB2312"/>
        </w:rPr>
        <w:t>用车车辆租赁服务</w:t>
      </w:r>
    </w:p>
    <w:p w14:paraId="46EE0F97">
      <w:pPr>
        <w:spacing w:line="560" w:lineRule="exact"/>
        <w:ind w:firstLine="640"/>
        <w:rPr>
          <w:rFonts w:hint="eastAsia" w:eastAsia="仿宋_GB2312" w:cs="仿宋_GB2312"/>
          <w:lang w:eastAsia="zh-CN"/>
        </w:rPr>
      </w:pPr>
      <w:r>
        <w:rPr>
          <w:rFonts w:cs="仿宋_GB2312"/>
        </w:rPr>
        <w:t>服务周期：签订合同之日起至202</w:t>
      </w:r>
      <w:r>
        <w:rPr>
          <w:rFonts w:hint="eastAsia" w:cs="仿宋_GB2312"/>
          <w:lang w:val="en-US" w:eastAsia="zh-CN"/>
        </w:rPr>
        <w:t>5</w:t>
      </w:r>
      <w:r>
        <w:rPr>
          <w:rFonts w:cs="仿宋_GB2312"/>
        </w:rPr>
        <w:t>年12月31日止</w:t>
      </w:r>
      <w:r>
        <w:rPr>
          <w:rFonts w:hint="eastAsia" w:cs="仿宋_GB2312"/>
          <w:lang w:eastAsia="zh-CN"/>
        </w:rPr>
        <w:t>。</w:t>
      </w:r>
    </w:p>
    <w:p w14:paraId="415383AB">
      <w:pPr>
        <w:spacing w:line="560" w:lineRule="exact"/>
        <w:ind w:firstLine="640"/>
        <w:rPr>
          <w:rFonts w:cs="仿宋_GB2312"/>
        </w:rPr>
      </w:pPr>
      <w:r>
        <w:rPr>
          <w:rFonts w:cs="仿宋_GB2312"/>
        </w:rPr>
        <w:t>用车范围：</w:t>
      </w:r>
      <w:r>
        <w:rPr>
          <w:rFonts w:hint="eastAsia" w:cs="仿宋_GB2312"/>
        </w:rPr>
        <w:t>贵州省内</w:t>
      </w:r>
    </w:p>
    <w:p w14:paraId="315C5265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cs="仿宋_GB2312"/>
          <w:b w:val="0"/>
          <w:kern w:val="2"/>
        </w:rPr>
      </w:pPr>
      <w:r>
        <w:rPr>
          <w:rFonts w:cs="仿宋_GB2312"/>
          <w:b w:val="0"/>
          <w:kern w:val="2"/>
        </w:rPr>
        <w:t>二、</w:t>
      </w:r>
      <w:r>
        <w:rPr>
          <w:rFonts w:hint="eastAsia" w:cs="仿宋_GB2312"/>
          <w:b w:val="0"/>
          <w:kern w:val="2"/>
        </w:rPr>
        <w:t>采购需求清单</w:t>
      </w:r>
    </w:p>
    <w:p w14:paraId="21CF8CE8">
      <w:pPr>
        <w:spacing w:line="560" w:lineRule="exact"/>
        <w:ind w:firstLine="64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采购一家车辆租赁服务供应商，提供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日常养护管理及项目管理保障用车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租赁服务。</w:t>
      </w:r>
    </w:p>
    <w:p w14:paraId="262C879D">
      <w:pPr>
        <w:spacing w:line="560" w:lineRule="exact"/>
        <w:ind w:firstLine="64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资质要求：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1.具有独立承担民事责任的能力：提供有效法人或其他组织的营业执照（复印件加盖公章）。2.参加本次采购活动前三年内，在经营活动中没有违法违规记录：提供参加采购活动前3 年内在经营活动中没有重大违法记录的书面声明。3.本项目所需特殊行业资质或要求：有效的由道路运输行业主管部门核发的《小微型客车租赁备案》证书。</w:t>
      </w:r>
    </w:p>
    <w:p w14:paraId="661CA732">
      <w:pPr>
        <w:spacing w:line="560" w:lineRule="exact"/>
        <w:ind w:firstLine="64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车辆要求：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1.轿车和SUV需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提供新能源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增程式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车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型新车，级别：中大型，车辆价格区间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13万-18万，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整备质量(kg)≥17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0，车身长宽高尺寸（mm）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≥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490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；越野（四驱）需为合资品牌汽油车，级别：中大型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，车辆新车价格区间23万-25万，整备质量(kg)≥19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排量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2.0T，车身长宽高尺寸（mm）</w:t>
      </w:r>
      <w:r>
        <w:rPr>
          <w:rFonts w:hint="eastAsia" w:hAnsi="宋体" w:cs="宋体"/>
          <w:color w:val="000000"/>
          <w:sz w:val="24"/>
          <w:szCs w:val="24"/>
          <w:lang w:val="en-US" w:eastAsia="zh-CN" w:bidi="ar-SA"/>
        </w:rPr>
        <w:t>≥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48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hint="eastAsia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，车龄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6年以内，公里数16万公里以内</w:t>
      </w:r>
      <w:r>
        <w:rPr>
          <w:rFonts w:hint="eastAsia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车辆证照齐全有效，同时第三者责任险200万及以上，驾乘意外险每座30万元及以上。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车辆外观及车厢内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部干净、整洁、安全、舒适状态，车况良好。</w:t>
      </w:r>
    </w:p>
    <w:p w14:paraId="42ED09F7">
      <w:pPr>
        <w:spacing w:line="560" w:lineRule="exact"/>
        <w:ind w:firstLine="64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F6E773">
      <w:pPr>
        <w:spacing w:line="560" w:lineRule="exact"/>
        <w:ind w:firstLine="800" w:firstLineChars="250"/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经费预算</w:t>
      </w:r>
    </w:p>
    <w:tbl>
      <w:tblPr>
        <w:tblStyle w:val="7"/>
        <w:tblpPr w:leftFromText="120" w:rightFromText="120" w:vertAnchor="text" w:horzAnchor="page" w:tblpXSpec="center" w:tblpY="221"/>
        <w:tblOverlap w:val="never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744"/>
        <w:gridCol w:w="2323"/>
      </w:tblGrid>
      <w:tr w14:paraId="5F0F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46CBF">
            <w:pPr>
              <w:spacing w:line="560" w:lineRule="exact"/>
              <w:ind w:firstLine="643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车型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DDBA9">
            <w:pPr>
              <w:spacing w:line="560" w:lineRule="exact"/>
              <w:ind w:firstLine="0" w:firstLineChars="0"/>
              <w:jc w:val="center"/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车辆</w:t>
            </w:r>
            <w:r>
              <w:rPr>
                <w:rFonts w:hint="eastAsia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时租</w:t>
            </w: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及日封顶计费</w:t>
            </w: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上限</w:t>
            </w:r>
          </w:p>
          <w:p w14:paraId="49DBCC52">
            <w:pPr>
              <w:spacing w:line="560" w:lineRule="exact"/>
              <w:ind w:firstLine="0" w:firstLineChars="0"/>
              <w:jc w:val="center"/>
              <w:rPr>
                <w:rFonts w:hint="eastAsia" w:eastAsia="仿宋_GB2312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（均不包含驾驶员）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C891F">
            <w:pPr>
              <w:spacing w:line="560" w:lineRule="exact"/>
              <w:ind w:firstLine="0" w:firstLineChars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</w:tr>
      <w:tr w14:paraId="1BBF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EC3C"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轿车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5座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A08C"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小时，</w:t>
            </w:r>
            <w:r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330元/日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72384C">
            <w:pPr>
              <w:spacing w:line="560" w:lineRule="exact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燃油费或充电费、停车费、过路费由采购人据实结算</w:t>
            </w:r>
          </w:p>
        </w:tc>
      </w:tr>
      <w:tr w14:paraId="7736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BF8A"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SUV5座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D6E7F"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小时，</w:t>
            </w:r>
            <w:r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430元/日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5559B6">
            <w:pPr>
              <w:spacing w:line="560" w:lineRule="exact"/>
              <w:ind w:firstLine="6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F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C224B"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越野（四驱）</w:t>
            </w:r>
          </w:p>
        </w:tc>
        <w:tc>
          <w:tcPr>
            <w:tcW w:w="4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AEB5A">
            <w:pPr>
              <w:spacing w:line="560" w:lineRule="exact"/>
              <w:ind w:firstLine="0" w:firstLineChars="0"/>
              <w:jc w:val="center"/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小时，</w:t>
            </w:r>
            <w:r>
              <w:rPr>
                <w:rFonts w:hint="eastAsia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480元/日</w:t>
            </w:r>
          </w:p>
        </w:tc>
        <w:tc>
          <w:tcPr>
            <w:tcW w:w="2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B17E">
            <w:pPr>
              <w:spacing w:line="560" w:lineRule="exact"/>
              <w:ind w:firstLine="6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BABFE8">
      <w:pPr>
        <w:spacing w:line="560" w:lineRule="exact"/>
        <w:ind w:firstLine="64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请服务供应商分别对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种车型的车辆租赁费进行报价（报价表见附件），报价不得高于对应车型的车辆租赁费报价上限，否则审核时视为无效。</w:t>
      </w:r>
    </w:p>
    <w:p w14:paraId="16B870DC">
      <w:pPr>
        <w:spacing w:line="560" w:lineRule="exact"/>
        <w:ind w:firstLine="800" w:firstLineChars="250"/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、竞价成交判定</w:t>
      </w:r>
    </w:p>
    <w:p w14:paraId="19A09BD5">
      <w:pPr>
        <w:spacing w:line="560" w:lineRule="exact"/>
        <w:ind w:firstLine="64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在满足采购需求的情况下，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服务供应商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分别对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三种车型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的车辆租赁费进行报价，</w:t>
      </w:r>
      <w:r>
        <w:rPr>
          <w:rFonts w:hint="eastAsia" w:ascii="黑体" w:eastAsia="黑体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种车型车辆租赁费报价平均价最低的供应商确定为成交供应商，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实际按对应车型的车辆租赁费报价进行结算。</w:t>
      </w:r>
    </w:p>
    <w:p w14:paraId="73189CF6">
      <w:pPr>
        <w:spacing w:line="560" w:lineRule="exact"/>
        <w:ind w:firstLine="800" w:firstLineChars="250"/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五、服务要求</w:t>
      </w:r>
    </w:p>
    <w:p w14:paraId="1F80D946">
      <w:pPr>
        <w:spacing w:line="560" w:lineRule="exact"/>
        <w:ind w:firstLine="640"/>
        <w:rPr>
          <w:rFonts w:hint="default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1．车辆使用费用每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结算一次。采用分时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分段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租赁模式，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每月供应商导出当月行程表及使用时长情况，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使用时长，以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小时计费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不使用不产生费用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越野（四驱）当月计费标准最高不超过6600.00元。</w:t>
      </w:r>
    </w:p>
    <w:p w14:paraId="65BE8C7B">
      <w:pPr>
        <w:spacing w:line="560" w:lineRule="exact"/>
        <w:ind w:firstLine="640"/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2.提供用车管理系统进行用车服务，满足临时紧急用车需求，提供“随叫随到”服务，按需申请，一单一批。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若因服务供应商不能在有效时间内满足临时紧急用车的，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可终止合同。</w:t>
      </w:r>
    </w:p>
    <w:p w14:paraId="392563B7">
      <w:pPr>
        <w:spacing w:line="560" w:lineRule="exact"/>
        <w:ind w:firstLine="640"/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3.承担服务周期内车辆正常使用下的日常保养、维修、保险等费用。</w:t>
      </w:r>
    </w:p>
    <w:p w14:paraId="78E32B81">
      <w:pPr>
        <w:spacing w:line="560" w:lineRule="exact"/>
        <w:ind w:firstLine="640"/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4.服务供应商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提供车辆租赁服务前需向采购人提供拟租赁车辆的保险证明材料、车龄的对应证明材料以及采购人要求提供的证明材料，若提供的车辆与采购需求不符，采购人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可终止合同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E6CAFA3">
      <w:pPr>
        <w:spacing w:line="560" w:lineRule="exact"/>
        <w:ind w:firstLine="640"/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．遇交通事故、车辆故障等突发情况，服务供应商要及时配合采购人处理，接到告知后30分钟内及时做出响应，因车辆维修导致车辆停运超48小时的，应安排同档次备用车辆以保证服务工作的正常运行，48小时内未能调派车辆的，服务供应商需承担采购人另行租车的费用。</w:t>
      </w:r>
    </w:p>
    <w:p w14:paraId="78B2D914">
      <w:pPr>
        <w:spacing w:line="560" w:lineRule="exact"/>
        <w:ind w:firstLine="800" w:firstLineChars="250"/>
        <w:rPr>
          <w:rFonts w:ascii="黑体" w:eastAsia="黑体" w:cs="仿宋_GB2312"/>
        </w:rPr>
      </w:pPr>
      <w:r>
        <w:rPr>
          <w:rFonts w:ascii="黑体" w:eastAsia="黑体" w:cs="仿宋_GB2312"/>
        </w:rPr>
        <w:t>六、</w:t>
      </w:r>
      <w:r>
        <w:rPr>
          <w:rFonts w:hint="eastAsia" w:ascii="黑体" w:eastAsia="黑体" w:cs="仿宋_GB2312"/>
        </w:rPr>
        <w:t>响应承诺</w:t>
      </w:r>
    </w:p>
    <w:p w14:paraId="35691332">
      <w:pPr>
        <w:numPr>
          <w:ilvl w:val="0"/>
          <w:numId w:val="4"/>
        </w:numPr>
        <w:spacing w:line="560" w:lineRule="exact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服务供应商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需提供承诺函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（加盖公章）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：若我公司中标，在服务期内不得单方面暂停或终止本项目的相关服务工作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。（遇不可抗力除外）</w:t>
      </w:r>
    </w:p>
    <w:p w14:paraId="793EC2AA">
      <w:pPr>
        <w:numPr>
          <w:ilvl w:val="0"/>
          <w:numId w:val="4"/>
        </w:numPr>
        <w:spacing w:line="560" w:lineRule="exact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服务供应商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提供承诺函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（加盖公章）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：若我公司中标，我单位将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指定专职管理人员配合采购人负责有关租赁车辆管理工作，专职管理人员应及时反映和协助解决租赁车辆工作期间遇到的问题。</w:t>
      </w:r>
    </w:p>
    <w:p w14:paraId="78251AB8">
      <w:pPr>
        <w:spacing w:line="560" w:lineRule="exact"/>
        <w:ind w:firstLine="639" w:firstLineChars="0"/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七、其他要求</w:t>
      </w:r>
    </w:p>
    <w:p w14:paraId="487CC65B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参与竞价的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服务供应商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必须提供营业执照、法人身份证复印件、报价表、第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项要求的承诺函,提供资料不全的审核时将视为不合格。</w:t>
      </w:r>
    </w:p>
    <w:p w14:paraId="7B408D1C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9A9F7D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DE73AE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AC84A8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E2A3BF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237652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B94C33">
      <w:pPr>
        <w:spacing w:line="560" w:lineRule="exact"/>
        <w:ind w:firstLine="639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1012E9">
      <w:pPr>
        <w:spacing w:line="560" w:lineRule="exact"/>
        <w:ind w:firstLine="0" w:firstLineChars="0"/>
        <w:jc w:val="both"/>
        <w:rPr>
          <w:rFonts w:ascii="黑体" w:eastAsia="黑体"/>
        </w:rPr>
      </w:pPr>
      <w:r>
        <w:rPr>
          <w:rFonts w:ascii="黑体" w:eastAsia="黑体"/>
        </w:rPr>
        <w:t>附件</w:t>
      </w:r>
    </w:p>
    <w:p w14:paraId="5B945E0D">
      <w:pPr>
        <w:spacing w:line="560" w:lineRule="exact"/>
        <w:ind w:left="0" w:leftChars="0"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报价表</w:t>
      </w:r>
    </w:p>
    <w:tbl>
      <w:tblPr>
        <w:tblStyle w:val="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051"/>
        <w:gridCol w:w="2310"/>
        <w:gridCol w:w="2805"/>
      </w:tblGrid>
      <w:tr w14:paraId="2D0D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177264F0"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车型</w:t>
            </w:r>
          </w:p>
        </w:tc>
        <w:tc>
          <w:tcPr>
            <w:tcW w:w="3051" w:type="dxa"/>
            <w:vAlign w:val="center"/>
          </w:tcPr>
          <w:p w14:paraId="0610AC23"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品牌型号</w:t>
            </w:r>
          </w:p>
        </w:tc>
        <w:tc>
          <w:tcPr>
            <w:tcW w:w="2310" w:type="dxa"/>
            <w:vAlign w:val="center"/>
          </w:tcPr>
          <w:p w14:paraId="63486CC6">
            <w:pPr>
              <w:spacing w:line="560" w:lineRule="exact"/>
              <w:ind w:firstLine="0" w:firstLineChars="0"/>
              <w:jc w:val="center"/>
              <w:rPr>
                <w:rFonts w:cs="黑体"/>
                <w:b/>
                <w:bCs/>
              </w:rPr>
            </w:pP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车辆</w:t>
            </w:r>
            <w:r>
              <w:rPr>
                <w:rFonts w:hint="eastAsia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时租</w:t>
            </w: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  <w:p w14:paraId="3894F550"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cs="黑体"/>
                <w:b/>
                <w:bCs/>
              </w:rPr>
              <w:t>（元/辆/</w:t>
            </w:r>
            <w:r>
              <w:rPr>
                <w:rFonts w:hint="eastAsia" w:cs="黑体"/>
                <w:b/>
                <w:bCs/>
                <w:lang w:eastAsia="zh-CN"/>
              </w:rPr>
              <w:t>小时</w:t>
            </w:r>
            <w:r>
              <w:rPr>
                <w:rFonts w:cs="黑体"/>
                <w:b/>
                <w:bCs/>
              </w:rPr>
              <w:t>）</w:t>
            </w:r>
          </w:p>
        </w:tc>
        <w:tc>
          <w:tcPr>
            <w:tcW w:w="2805" w:type="dxa"/>
            <w:vAlign w:val="center"/>
          </w:tcPr>
          <w:p w14:paraId="5FF1B050">
            <w:pPr>
              <w:spacing w:line="560" w:lineRule="exact"/>
              <w:ind w:firstLine="0" w:firstLineChars="0"/>
              <w:jc w:val="center"/>
              <w:rPr>
                <w:rFonts w:cs="黑体"/>
                <w:b/>
                <w:bCs/>
              </w:rPr>
            </w:pPr>
            <w:r>
              <w:rPr>
                <w:rFonts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车辆</w:t>
            </w:r>
            <w:r>
              <w:rPr>
                <w:rFonts w:hint="eastAsia" w:cs="黑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日封顶租赁费</w:t>
            </w:r>
          </w:p>
          <w:p w14:paraId="50CCDF42">
            <w:pPr>
              <w:spacing w:line="560" w:lineRule="exact"/>
              <w:ind w:firstLine="0" w:firstLineChars="0"/>
              <w:jc w:val="center"/>
              <w:rPr>
                <w:rFonts w:cs="黑体"/>
                <w:b/>
                <w:bCs/>
              </w:rPr>
            </w:pPr>
            <w:r>
              <w:rPr>
                <w:rFonts w:cs="黑体"/>
                <w:b/>
                <w:bCs/>
              </w:rPr>
              <w:t>（元/辆/</w:t>
            </w:r>
            <w:r>
              <w:rPr>
                <w:rFonts w:hint="eastAsia" w:cs="黑体"/>
                <w:b/>
                <w:bCs/>
                <w:lang w:eastAsia="zh-CN"/>
              </w:rPr>
              <w:t>日</w:t>
            </w:r>
            <w:r>
              <w:rPr>
                <w:rFonts w:cs="黑体"/>
                <w:b/>
                <w:bCs/>
              </w:rPr>
              <w:t>）</w:t>
            </w:r>
          </w:p>
        </w:tc>
      </w:tr>
      <w:tr w14:paraId="517D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71" w:type="dxa"/>
            <w:shd w:val="clear" w:color="auto" w:fill="auto"/>
            <w:vAlign w:val="center"/>
          </w:tcPr>
          <w:p w14:paraId="2472EE69">
            <w:pPr>
              <w:spacing w:line="560" w:lineRule="exact"/>
              <w:ind w:firstLine="0" w:firstLineChars="0"/>
              <w:jc w:val="center"/>
              <w:rPr>
                <w:rFonts w:hint="default" w:ascii="仿宋_GB2312" w:hAnsi="Times New Roman" w:eastAsia="仿宋_GB2312" w:cs="Arial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轿车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5座</w:t>
            </w:r>
          </w:p>
        </w:tc>
        <w:tc>
          <w:tcPr>
            <w:tcW w:w="3051" w:type="dxa"/>
          </w:tcPr>
          <w:p w14:paraId="39E02C1F">
            <w:pPr>
              <w:spacing w:line="560" w:lineRule="exact"/>
              <w:ind w:firstLine="0" w:firstLineChars="0"/>
            </w:pPr>
          </w:p>
        </w:tc>
        <w:tc>
          <w:tcPr>
            <w:tcW w:w="2310" w:type="dxa"/>
          </w:tcPr>
          <w:p w14:paraId="51A198B4">
            <w:pPr>
              <w:spacing w:line="560" w:lineRule="exact"/>
              <w:ind w:firstLine="0" w:firstLineChars="0"/>
            </w:pPr>
          </w:p>
        </w:tc>
        <w:tc>
          <w:tcPr>
            <w:tcW w:w="2805" w:type="dxa"/>
          </w:tcPr>
          <w:p w14:paraId="13463A10">
            <w:pPr>
              <w:spacing w:line="560" w:lineRule="exact"/>
              <w:ind w:firstLine="0" w:firstLineChars="0"/>
            </w:pPr>
          </w:p>
        </w:tc>
      </w:tr>
      <w:tr w14:paraId="3E69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71" w:type="dxa"/>
            <w:shd w:val="clear" w:color="auto" w:fill="auto"/>
            <w:vAlign w:val="center"/>
          </w:tcPr>
          <w:p w14:paraId="37661814">
            <w:pPr>
              <w:spacing w:line="560" w:lineRule="exact"/>
              <w:ind w:firstLine="0" w:firstLineChars="0"/>
              <w:jc w:val="center"/>
              <w:rPr>
                <w:rFonts w:hint="default" w:ascii="仿宋_GB2312" w:hAnsi="Times New Roman" w:eastAsia="仿宋_GB2312" w:cs="Arial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SUV5座</w:t>
            </w:r>
          </w:p>
        </w:tc>
        <w:tc>
          <w:tcPr>
            <w:tcW w:w="3051" w:type="dxa"/>
          </w:tcPr>
          <w:p w14:paraId="0AE2D056">
            <w:pPr>
              <w:spacing w:line="560" w:lineRule="exact"/>
              <w:ind w:firstLine="0" w:firstLineChars="0"/>
            </w:pPr>
          </w:p>
        </w:tc>
        <w:tc>
          <w:tcPr>
            <w:tcW w:w="2310" w:type="dxa"/>
          </w:tcPr>
          <w:p w14:paraId="3306D421">
            <w:pPr>
              <w:spacing w:line="560" w:lineRule="exact"/>
              <w:ind w:firstLine="0" w:firstLineChars="0"/>
            </w:pPr>
          </w:p>
        </w:tc>
        <w:tc>
          <w:tcPr>
            <w:tcW w:w="2805" w:type="dxa"/>
          </w:tcPr>
          <w:p w14:paraId="5A3037FA">
            <w:pPr>
              <w:spacing w:line="560" w:lineRule="exact"/>
              <w:ind w:firstLine="0" w:firstLineChars="0"/>
            </w:pPr>
          </w:p>
        </w:tc>
      </w:tr>
      <w:tr w14:paraId="27A3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71" w:type="dxa"/>
            <w:shd w:val="clear" w:color="auto" w:fill="auto"/>
            <w:vAlign w:val="center"/>
          </w:tcPr>
          <w:p w14:paraId="16E7AD3A"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越野</w:t>
            </w:r>
          </w:p>
          <w:p w14:paraId="003EAEBC">
            <w:pPr>
              <w:spacing w:line="560" w:lineRule="exact"/>
              <w:ind w:firstLine="0" w:firstLineChars="0"/>
              <w:jc w:val="center"/>
              <w:rPr>
                <w:rFonts w:hint="eastAsia" w:ascii="仿宋_GB2312" w:hAnsi="Times New Roman" w:eastAsia="仿宋_GB2312" w:cs="Arial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（四驱）</w:t>
            </w:r>
          </w:p>
        </w:tc>
        <w:tc>
          <w:tcPr>
            <w:tcW w:w="3051" w:type="dxa"/>
          </w:tcPr>
          <w:p w14:paraId="517C5FC2">
            <w:pPr>
              <w:spacing w:line="560" w:lineRule="exact"/>
              <w:ind w:firstLine="0" w:firstLineChars="0"/>
            </w:pPr>
          </w:p>
        </w:tc>
        <w:tc>
          <w:tcPr>
            <w:tcW w:w="2310" w:type="dxa"/>
          </w:tcPr>
          <w:p w14:paraId="5D60896C">
            <w:pPr>
              <w:spacing w:line="560" w:lineRule="exact"/>
              <w:ind w:firstLine="0" w:firstLineChars="0"/>
            </w:pPr>
          </w:p>
        </w:tc>
        <w:tc>
          <w:tcPr>
            <w:tcW w:w="2805" w:type="dxa"/>
          </w:tcPr>
          <w:p w14:paraId="2BB44C65">
            <w:pPr>
              <w:spacing w:line="560" w:lineRule="exact"/>
              <w:ind w:firstLine="0" w:firstLineChars="0"/>
            </w:pPr>
          </w:p>
        </w:tc>
      </w:tr>
      <w:tr w14:paraId="2308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722" w:type="dxa"/>
            <w:gridSpan w:val="2"/>
            <w:shd w:val="clear" w:color="auto" w:fill="auto"/>
            <w:vAlign w:val="center"/>
          </w:tcPr>
          <w:p w14:paraId="562580F9"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t>种车型</w:t>
            </w:r>
            <w:r>
              <w:rPr>
                <w:rFonts w:hint="eastAsia" w:cs="黑体"/>
                <w:bCs/>
                <w:lang w:val="en-US" w:eastAsia="zh-CN"/>
              </w:rPr>
              <w:t>车辆租赁费</w:t>
            </w:r>
            <w:r>
              <w:t>平均报价</w:t>
            </w:r>
          </w:p>
        </w:tc>
        <w:tc>
          <w:tcPr>
            <w:tcW w:w="2310" w:type="dxa"/>
          </w:tcPr>
          <w:p w14:paraId="38303589">
            <w:pPr>
              <w:spacing w:line="560" w:lineRule="exact"/>
              <w:ind w:firstLine="0" w:firstLineChars="0"/>
            </w:pPr>
          </w:p>
        </w:tc>
        <w:tc>
          <w:tcPr>
            <w:tcW w:w="2805" w:type="dxa"/>
          </w:tcPr>
          <w:p w14:paraId="6A536328">
            <w:pPr>
              <w:spacing w:line="560" w:lineRule="exact"/>
              <w:ind w:firstLine="0" w:firstLineChars="0"/>
            </w:pPr>
          </w:p>
        </w:tc>
      </w:tr>
    </w:tbl>
    <w:p w14:paraId="64143A36">
      <w:pPr>
        <w:spacing w:line="560" w:lineRule="exact"/>
        <w:ind w:firstLine="639" w:firstLineChars="0"/>
      </w:pPr>
    </w:p>
    <w:p w14:paraId="44938680">
      <w:pPr>
        <w:spacing w:line="560" w:lineRule="exact"/>
        <w:ind w:firstLine="639" w:firstLineChars="0"/>
      </w:pPr>
    </w:p>
    <w:p w14:paraId="169C5A31">
      <w:pPr>
        <w:spacing w:line="560" w:lineRule="exact"/>
        <w:ind w:firstLine="5747" w:firstLineChars="1796"/>
        <w:jc w:val="both"/>
      </w:pPr>
      <w:r>
        <w:t>报价单位（盖章）：</w:t>
      </w:r>
    </w:p>
    <w:p w14:paraId="17404375">
      <w:pPr>
        <w:spacing w:line="560" w:lineRule="exact"/>
        <w:ind w:firstLine="5747" w:firstLineChars="1796"/>
        <w:jc w:val="both"/>
      </w:pPr>
      <w:r>
        <w:t>联系人：</w:t>
      </w:r>
    </w:p>
    <w:p w14:paraId="7458E549">
      <w:pPr>
        <w:spacing w:line="560" w:lineRule="exact"/>
        <w:ind w:firstLine="639" w:firstLineChars="0"/>
        <w:jc w:val="center"/>
      </w:pPr>
      <w:r>
        <w:t xml:space="preserve">     </w:t>
      </w:r>
      <w:r>
        <w:rPr>
          <w:rFonts w:hint="eastAsia"/>
          <w:lang w:val="en-US" w:eastAsia="zh-CN"/>
        </w:rPr>
        <w:t xml:space="preserve">            </w:t>
      </w:r>
      <w:r>
        <w:t>报价时间：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720" w:num="1"/>
      <w:docGrid w:type="lines" w:linePitch="312" w:charSpace="-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AA91D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53E75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B4287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D4A4F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01FE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98B75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71625"/>
    <w:multiLevelType w:val="singleLevel"/>
    <w:tmpl w:val="E4471625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DB415C"/>
    <w:multiLevelType w:val="singleLevel"/>
    <w:tmpl w:val="E9DB41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386DF68"/>
    <w:multiLevelType w:val="singleLevel"/>
    <w:tmpl w:val="3386DF68"/>
    <w:lvl w:ilvl="0" w:tentative="0">
      <w:start w:val="1"/>
      <w:numFmt w:val="chineseCounting"/>
      <w:pStyle w:val="2"/>
      <w:suff w:val="nothing"/>
      <w:lvlText w:val="%1、"/>
      <w:lvlJc w:val="left"/>
      <w:pPr>
        <w:ind w:left="840" w:firstLine="420"/>
      </w:pPr>
      <w:rPr>
        <w:rFonts w:hint="eastAsia"/>
      </w:rPr>
    </w:lvl>
  </w:abstractNum>
  <w:abstractNum w:abstractNumId="3">
    <w:nsid w:val="605CA08A"/>
    <w:multiLevelType w:val="singleLevel"/>
    <w:tmpl w:val="605CA08A"/>
    <w:lvl w:ilvl="0" w:tentative="0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BmYzRkZjM3YjUyM2E0N2MyMzYzNzJlMjk2ODFiODkifQ=="/>
  </w:docVars>
  <w:rsids>
    <w:rsidRoot w:val="00E7183E"/>
    <w:rsid w:val="00097D58"/>
    <w:rsid w:val="000F3D0D"/>
    <w:rsid w:val="00167BA5"/>
    <w:rsid w:val="002433B1"/>
    <w:rsid w:val="0039077D"/>
    <w:rsid w:val="003951EB"/>
    <w:rsid w:val="003A775E"/>
    <w:rsid w:val="00401B68"/>
    <w:rsid w:val="00406A49"/>
    <w:rsid w:val="0046680A"/>
    <w:rsid w:val="004A4806"/>
    <w:rsid w:val="00924902"/>
    <w:rsid w:val="00934183"/>
    <w:rsid w:val="00A06012"/>
    <w:rsid w:val="00A51424"/>
    <w:rsid w:val="00B64164"/>
    <w:rsid w:val="00B745B6"/>
    <w:rsid w:val="00C6059B"/>
    <w:rsid w:val="00DE4DDC"/>
    <w:rsid w:val="00E7183E"/>
    <w:rsid w:val="00F57F62"/>
    <w:rsid w:val="00FC6AA7"/>
    <w:rsid w:val="041C31A0"/>
    <w:rsid w:val="0F704352"/>
    <w:rsid w:val="16CF5CC8"/>
    <w:rsid w:val="1BE077D3"/>
    <w:rsid w:val="29F32D76"/>
    <w:rsid w:val="2C94127E"/>
    <w:rsid w:val="2E4D5985"/>
    <w:rsid w:val="35CC2416"/>
    <w:rsid w:val="3ABB2B9A"/>
    <w:rsid w:val="3AF33599"/>
    <w:rsid w:val="3E652729"/>
    <w:rsid w:val="3FFDFBD0"/>
    <w:rsid w:val="42811E27"/>
    <w:rsid w:val="47B674F8"/>
    <w:rsid w:val="48C81818"/>
    <w:rsid w:val="52FBB4CC"/>
    <w:rsid w:val="5B7F7F61"/>
    <w:rsid w:val="637F16D0"/>
    <w:rsid w:val="65636BE4"/>
    <w:rsid w:val="69010AE9"/>
    <w:rsid w:val="70ED2C41"/>
    <w:rsid w:val="71EB5D2B"/>
    <w:rsid w:val="72FF2C2F"/>
    <w:rsid w:val="78DE53E7"/>
    <w:rsid w:val="7BAD0EB9"/>
    <w:rsid w:val="7BF4A00A"/>
    <w:rsid w:val="7EBDE1C9"/>
    <w:rsid w:val="7FA514D2"/>
    <w:rsid w:val="7FEFC462"/>
    <w:rsid w:val="9B7E323D"/>
    <w:rsid w:val="B779D427"/>
    <w:rsid w:val="BB7B27A1"/>
    <w:rsid w:val="BBFDCD55"/>
    <w:rsid w:val="CBFD1020"/>
    <w:rsid w:val="CDCF0CFA"/>
    <w:rsid w:val="D75F1DD2"/>
    <w:rsid w:val="DD7D354A"/>
    <w:rsid w:val="DF7D5E9A"/>
    <w:rsid w:val="EF7EC86B"/>
    <w:rsid w:val="F4EF0006"/>
    <w:rsid w:val="FD875D5B"/>
    <w:rsid w:val="FF9BD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仿宋_GB2312" w:hAnsi="Times New Roman" w:eastAsia="仿宋_GB2312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黑体" w:eastAsia="黑体"/>
      <w:b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ind w:firstLine="0" w:firstLineChars="0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3"/>
      </w:numPr>
      <w:ind w:firstLine="0" w:firstLineChars="0"/>
      <w:outlineLvl w:val="2"/>
    </w:pPr>
    <w:rPr>
      <w:rFonts w:ascii="宋体" w:eastAsia="宋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eastAsia="仿宋_GB2312" w:cs="Arial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eastAsia="仿宋_GB2312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1464</Words>
  <Characters>1554</Characters>
  <Lines>9</Lines>
  <Paragraphs>2</Paragraphs>
  <TotalTime>12</TotalTime>
  <ScaleCrop>false</ScaleCrop>
  <LinksUpToDate>false</LinksUpToDate>
  <CharactersWithSpaces>1577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2025-04-24T07:49:00Z</dcterms:created>
  <dc:creator>花溪信马</dc:creator>
  <cp:lastModifiedBy>骑士</cp:lastModifiedBy>
  <cp:lastPrinted>2025-07-23T03:16:00Z</cp:lastPrinted>
  <dcterms:modified xsi:type="dcterms:W3CDTF">2025-07-23T08:46:42Z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BC2BEEEA27AC460584508B9B99CC35A6_13</vt:lpwstr>
  </property>
  <property fmtid="{D5CDD505-2E9C-101B-9397-08002B2CF9AE}" pid="4" name="KSOTemplateDocerSaveRecord">
    <vt:lpwstr>eyJoZGlkIjoiNWJmNDQwOTE3M2JjYzkzZDg2ZmM2NWQ3MDk0ODI2OTAiLCJ1c2VySWQiOiI4NzIwMTkwNTcifQ==</vt:lpwstr>
  </property>
</Properties>
</file>