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0"/>
        </w:tabs>
        <w:snapToGrid w:val="0"/>
        <w:spacing w:line="360" w:lineRule="auto"/>
        <w:ind w:leftChars="0"/>
        <w:jc w:val="center"/>
        <w:rPr>
          <w:rFonts w:hint="default" w:ascii="宋体" w:hAnsi="Times New Roman" w:eastAsia="宋体" w:cs="宋体"/>
          <w:iCs/>
          <w:sz w:val="40"/>
          <w:szCs w:val="32"/>
          <w:lang w:val="en-US" w:eastAsia="zh-CN"/>
        </w:rPr>
      </w:pPr>
      <w:r>
        <w:rPr>
          <w:rFonts w:hint="default" w:ascii="宋体" w:hAnsi="Times New Roman" w:eastAsia="宋体" w:cs="宋体"/>
          <w:iCs/>
          <w:sz w:val="40"/>
          <w:szCs w:val="32"/>
          <w:lang w:val="en-US" w:eastAsia="zh-CN"/>
        </w:rPr>
        <w:t>采购项目技术和商务要求(采购需求)</w:t>
      </w:r>
    </w:p>
    <w:p>
      <w:pPr>
        <w:spacing w:line="480" w:lineRule="exact"/>
        <w:jc w:val="left"/>
        <w:outlineLvl w:val="0"/>
        <w:rPr>
          <w:rFonts w:hint="default" w:ascii="宋体" w:cs="宋体"/>
          <w:b/>
          <w:bCs/>
          <w:sz w:val="30"/>
          <w:szCs w:val="30"/>
          <w:lang w:val="en-US" w:eastAsia="zh-CN"/>
        </w:rPr>
      </w:pPr>
      <w:r>
        <w:rPr>
          <w:rFonts w:hint="eastAsia" w:ascii="宋体" w:cs="宋体"/>
          <w:b/>
          <w:bCs/>
          <w:sz w:val="30"/>
          <w:szCs w:val="30"/>
          <w:lang w:val="en-US" w:eastAsia="zh-CN"/>
        </w:rPr>
        <w:t>一、</w:t>
      </w:r>
      <w:r>
        <w:rPr>
          <w:rFonts w:hint="default" w:ascii="宋体" w:cs="宋体"/>
          <w:b/>
          <w:bCs/>
          <w:sz w:val="30"/>
          <w:szCs w:val="30"/>
          <w:lang w:val="en-US" w:eastAsia="zh-CN"/>
        </w:rPr>
        <w:t>项目概况</w:t>
      </w:r>
    </w:p>
    <w:p>
      <w:pPr>
        <w:spacing w:line="480" w:lineRule="exact"/>
        <w:jc w:val="left"/>
        <w:rPr>
          <w:rFonts w:hint="eastAsia" w:ascii="宋体" w:cs="宋体"/>
          <w:sz w:val="24"/>
          <w:szCs w:val="24"/>
          <w:lang w:val="en-US" w:eastAsia="zh-CN"/>
        </w:rPr>
      </w:pPr>
      <w:r>
        <w:rPr>
          <w:rFonts w:hint="eastAsia" w:ascii="宋体" w:cs="宋体"/>
          <w:sz w:val="24"/>
          <w:szCs w:val="24"/>
          <w:lang w:val="en-US" w:eastAsia="zh-CN"/>
        </w:rPr>
        <w:t>贵州省黔东南苗族侗族自治州公安局</w:t>
      </w:r>
      <w:r>
        <w:rPr>
          <w:rFonts w:hint="eastAsia" w:cs="宋体"/>
          <w:sz w:val="24"/>
          <w:szCs w:val="24"/>
          <w:lang w:val="en-US" w:eastAsia="zh-CN"/>
        </w:rPr>
        <w:t>AI机器人外呼预警</w:t>
      </w:r>
      <w:r>
        <w:rPr>
          <w:rFonts w:hint="eastAsia" w:ascii="宋体" w:cs="宋体"/>
          <w:sz w:val="24"/>
          <w:szCs w:val="24"/>
          <w:lang w:val="en-US" w:eastAsia="zh-CN"/>
        </w:rPr>
        <w:t>系统</w:t>
      </w:r>
      <w:r>
        <w:rPr>
          <w:rFonts w:hint="eastAsia" w:cs="宋体"/>
          <w:sz w:val="24"/>
          <w:szCs w:val="24"/>
          <w:lang w:val="en-US" w:eastAsia="zh-CN"/>
        </w:rPr>
        <w:t>服务</w:t>
      </w:r>
      <w:r>
        <w:rPr>
          <w:rFonts w:hint="eastAsia" w:ascii="宋体" w:cs="宋体"/>
          <w:sz w:val="24"/>
          <w:szCs w:val="24"/>
          <w:lang w:val="en-US" w:eastAsia="zh-CN"/>
        </w:rPr>
        <w:t>采购项目</w:t>
      </w:r>
    </w:p>
    <w:p>
      <w:pPr>
        <w:numPr>
          <w:ilvl w:val="0"/>
          <w:numId w:val="2"/>
        </w:numPr>
        <w:spacing w:line="480" w:lineRule="exact"/>
        <w:jc w:val="left"/>
        <w:outlineLvl w:val="0"/>
        <w:rPr>
          <w:rFonts w:hint="eastAsia" w:ascii="宋体" w:eastAsia="宋体" w:cs="宋体"/>
          <w:b/>
          <w:bCs/>
          <w:sz w:val="30"/>
          <w:szCs w:val="30"/>
          <w:lang w:val="en-US" w:eastAsia="zh-CN"/>
        </w:rPr>
      </w:pPr>
      <w:r>
        <w:rPr>
          <w:rFonts w:hint="eastAsia" w:ascii="宋体" w:eastAsia="宋体" w:cs="宋体"/>
          <w:b/>
          <w:bCs/>
          <w:sz w:val="30"/>
          <w:szCs w:val="30"/>
          <w:lang w:val="en-US" w:eastAsia="zh-CN"/>
        </w:rPr>
        <w:t>资质要求</w:t>
      </w:r>
    </w:p>
    <w:p>
      <w:pPr>
        <w:numPr>
          <w:ilvl w:val="0"/>
          <w:numId w:val="3"/>
        </w:numPr>
        <w:spacing w:line="578" w:lineRule="exact"/>
        <w:ind w:firstLine="640" w:firstLineChars="200"/>
        <w:jc w:val="left"/>
        <w:rPr>
          <w:rFonts w:hint="eastAsia" w:ascii="仿宋" w:hAnsi="仿宋" w:eastAsia="仿宋" w:cs="宋体"/>
          <w:sz w:val="32"/>
          <w:szCs w:val="32"/>
        </w:rPr>
      </w:pPr>
      <w:bookmarkStart w:id="0" w:name="OLE_LINK1"/>
      <w:r>
        <w:rPr>
          <w:rFonts w:ascii="仿宋" w:hAnsi="仿宋" w:eastAsia="仿宋" w:cs="宋体"/>
          <w:sz w:val="32"/>
          <w:szCs w:val="32"/>
        </w:rPr>
        <w:t>具有独立承担民事责任的能力</w:t>
      </w:r>
      <w:r>
        <w:rPr>
          <w:rFonts w:hint="eastAsia" w:ascii="仿宋" w:hAnsi="仿宋" w:eastAsia="仿宋" w:cs="宋体"/>
          <w:sz w:val="32"/>
          <w:szCs w:val="32"/>
        </w:rPr>
        <w:t>；</w:t>
      </w:r>
    </w:p>
    <w:p>
      <w:pPr>
        <w:numPr>
          <w:ilvl w:val="0"/>
          <w:numId w:val="0"/>
        </w:numPr>
        <w:spacing w:line="578" w:lineRule="exact"/>
        <w:ind w:firstLine="840" w:firstLineChars="300"/>
        <w:jc w:val="left"/>
        <w:rPr>
          <w:rFonts w:hint="eastAsia" w:ascii="仿宋" w:hAnsi="仿宋" w:eastAsia="仿宋" w:cs="宋体"/>
          <w:sz w:val="32"/>
          <w:szCs w:val="32"/>
          <w:lang w:eastAsia="zh-CN"/>
        </w:rPr>
      </w:pPr>
      <w:r>
        <w:rPr>
          <w:rFonts w:hint="default" w:ascii="宋体" w:hAnsi="宋体" w:eastAsia="宋体"/>
          <w:color w:val="auto"/>
          <w:sz w:val="28"/>
          <w:szCs w:val="28"/>
          <w:lang w:val="en-US" w:eastAsia="zh-CN"/>
        </w:rPr>
        <w:t>具体要求：提供法人或其他组织的营业执照等证明文件，或自然人身份证明</w:t>
      </w:r>
      <w:r>
        <w:rPr>
          <w:rFonts w:hint="eastAsia" w:ascii="宋体" w:hAnsi="宋体"/>
          <w:color w:val="auto"/>
          <w:sz w:val="28"/>
          <w:szCs w:val="28"/>
          <w:lang w:val="en-US" w:eastAsia="zh-CN"/>
        </w:rPr>
        <w:t>（复印件加盖公章）</w:t>
      </w:r>
      <w:r>
        <w:rPr>
          <w:rFonts w:hint="default" w:ascii="宋体" w:hAnsi="宋体" w:eastAsia="宋体"/>
          <w:color w:val="auto"/>
          <w:sz w:val="28"/>
          <w:szCs w:val="28"/>
          <w:lang w:val="en-US" w:eastAsia="zh-CN"/>
        </w:rPr>
        <w:t>。</w:t>
      </w:r>
    </w:p>
    <w:p>
      <w:pPr>
        <w:numPr>
          <w:ilvl w:val="0"/>
          <w:numId w:val="3"/>
        </w:numPr>
        <w:spacing w:line="578" w:lineRule="exact"/>
        <w:ind w:left="0" w:leftChars="0" w:firstLine="640" w:firstLineChars="200"/>
        <w:jc w:val="left"/>
        <w:rPr>
          <w:rFonts w:hint="eastAsia" w:ascii="仿宋" w:hAnsi="仿宋" w:eastAsia="仿宋" w:cs="宋体"/>
          <w:sz w:val="32"/>
          <w:szCs w:val="32"/>
        </w:rPr>
      </w:pPr>
      <w:r>
        <w:rPr>
          <w:rFonts w:ascii="仿宋" w:hAnsi="仿宋" w:eastAsia="仿宋" w:cs="宋体"/>
          <w:sz w:val="32"/>
          <w:szCs w:val="32"/>
        </w:rPr>
        <w:t>具有良好的商业信誉和健全的财务会计制度</w:t>
      </w:r>
      <w:r>
        <w:rPr>
          <w:rFonts w:hint="eastAsia" w:ascii="仿宋" w:hAnsi="仿宋" w:eastAsia="仿宋" w:cs="宋体"/>
          <w:sz w:val="32"/>
          <w:szCs w:val="32"/>
        </w:rPr>
        <w:t>；</w:t>
      </w:r>
    </w:p>
    <w:p>
      <w:pPr>
        <w:numPr>
          <w:ilvl w:val="0"/>
          <w:numId w:val="0"/>
        </w:numPr>
        <w:spacing w:line="578" w:lineRule="exact"/>
        <w:ind w:firstLine="840" w:firstLineChars="300"/>
        <w:jc w:val="left"/>
        <w:rPr>
          <w:rFonts w:hint="eastAsia" w:ascii="宋体" w:hAnsi="宋体" w:eastAsia="宋体"/>
          <w:color w:val="auto"/>
          <w:sz w:val="28"/>
          <w:szCs w:val="28"/>
          <w:lang w:val="en-US" w:eastAsia="zh-CN"/>
        </w:rPr>
      </w:pPr>
      <w:r>
        <w:rPr>
          <w:rFonts w:hint="default" w:ascii="宋体" w:hAnsi="宋体" w:eastAsia="宋体"/>
          <w:color w:val="auto"/>
          <w:sz w:val="28"/>
          <w:szCs w:val="28"/>
          <w:lang w:val="en-US" w:eastAsia="zh-CN"/>
        </w:rPr>
        <w:t>具体要求：供应商是法人的提供 2023年度经审计的财务报告或基本开户银行出具的资信证明。部分其他组织和自然人、新成立的公司没有经审计的财务报告，以提供银行出具的资信证明或财务报表；</w:t>
      </w:r>
    </w:p>
    <w:p>
      <w:pPr>
        <w:numPr>
          <w:ilvl w:val="0"/>
          <w:numId w:val="3"/>
        </w:numPr>
        <w:spacing w:line="578" w:lineRule="exact"/>
        <w:ind w:left="0" w:leftChars="0" w:firstLine="640" w:firstLineChars="200"/>
        <w:jc w:val="left"/>
        <w:rPr>
          <w:rFonts w:hint="eastAsia" w:ascii="仿宋" w:hAnsi="仿宋" w:eastAsia="仿宋" w:cs="宋体"/>
          <w:sz w:val="32"/>
          <w:szCs w:val="32"/>
        </w:rPr>
      </w:pPr>
      <w:r>
        <w:rPr>
          <w:rFonts w:ascii="仿宋" w:hAnsi="仿宋" w:eastAsia="仿宋" w:cs="宋体"/>
          <w:sz w:val="32"/>
          <w:szCs w:val="32"/>
        </w:rPr>
        <w:t>具有履行合同所必需的设备和专业技术能力</w:t>
      </w:r>
      <w:r>
        <w:rPr>
          <w:rFonts w:hint="eastAsia" w:ascii="仿宋" w:hAnsi="仿宋" w:eastAsia="仿宋" w:cs="宋体"/>
          <w:sz w:val="32"/>
          <w:szCs w:val="32"/>
        </w:rPr>
        <w:t>；</w:t>
      </w:r>
    </w:p>
    <w:p>
      <w:pPr>
        <w:autoSpaceDE w:val="0"/>
        <w:autoSpaceDN w:val="0"/>
        <w:adjustRightInd w:val="0"/>
        <w:spacing w:line="560" w:lineRule="exact"/>
        <w:ind w:firstLine="700" w:firstLineChars="250"/>
        <w:rPr>
          <w:rFonts w:hint="eastAsia" w:ascii="仿宋" w:hAnsi="仿宋" w:eastAsia="仿宋" w:cs="宋体"/>
          <w:sz w:val="32"/>
          <w:szCs w:val="32"/>
        </w:rPr>
      </w:pPr>
      <w:r>
        <w:rPr>
          <w:rFonts w:hint="default" w:ascii="宋体" w:hAnsi="宋体" w:eastAsia="宋体"/>
          <w:color w:val="auto"/>
          <w:sz w:val="28"/>
          <w:szCs w:val="28"/>
          <w:lang w:val="en-US" w:eastAsia="zh-CN"/>
        </w:rPr>
        <w:t>具体要求：提供具备履行合同所必需的设备和专业技术能力的承诺函（供应商自行承诺，格式自拟）；</w:t>
      </w:r>
    </w:p>
    <w:p>
      <w:pPr>
        <w:numPr>
          <w:ilvl w:val="0"/>
          <w:numId w:val="3"/>
        </w:numPr>
        <w:spacing w:line="578" w:lineRule="exact"/>
        <w:ind w:left="0" w:leftChars="0" w:firstLine="640" w:firstLineChars="200"/>
        <w:jc w:val="left"/>
        <w:rPr>
          <w:rFonts w:hint="eastAsia" w:ascii="仿宋" w:hAnsi="仿宋" w:eastAsia="仿宋" w:cs="宋体"/>
          <w:sz w:val="32"/>
          <w:szCs w:val="32"/>
        </w:rPr>
      </w:pPr>
      <w:r>
        <w:rPr>
          <w:rFonts w:ascii="仿宋" w:hAnsi="仿宋" w:eastAsia="仿宋" w:cs="宋体"/>
          <w:sz w:val="32"/>
          <w:szCs w:val="32"/>
        </w:rPr>
        <w:t>有依法缴纳税收和社会保障资金的良好记录</w:t>
      </w:r>
      <w:r>
        <w:rPr>
          <w:rFonts w:hint="eastAsia" w:ascii="仿宋" w:hAnsi="仿宋" w:eastAsia="仿宋" w:cs="宋体"/>
          <w:sz w:val="32"/>
          <w:szCs w:val="32"/>
        </w:rPr>
        <w:t>；</w:t>
      </w:r>
    </w:p>
    <w:p>
      <w:pPr>
        <w:numPr>
          <w:ilvl w:val="0"/>
          <w:numId w:val="0"/>
        </w:numPr>
        <w:spacing w:line="578" w:lineRule="exact"/>
        <w:ind w:firstLine="840" w:firstLineChars="300"/>
        <w:jc w:val="left"/>
        <w:rPr>
          <w:rFonts w:hint="eastAsia" w:ascii="宋体" w:hAnsi="宋体" w:eastAsia="宋体"/>
          <w:color w:val="auto"/>
          <w:sz w:val="28"/>
          <w:szCs w:val="28"/>
          <w:lang w:val="en-US" w:eastAsia="zh-CN"/>
        </w:rPr>
      </w:pPr>
      <w:r>
        <w:rPr>
          <w:rFonts w:hint="default" w:ascii="宋体" w:hAnsi="宋体" w:eastAsia="宋体"/>
          <w:color w:val="auto"/>
          <w:sz w:val="28"/>
          <w:szCs w:val="28"/>
          <w:lang w:val="en-US" w:eastAsia="zh-CN"/>
        </w:rPr>
        <w:t>具体要求：提供投标截止日前 6 个月内任意1个月依法缴纳税收和社会保障资金的相关材料。（如依法免税或不需要缴纳社会保障资金的，提供相应证明材料）；</w:t>
      </w:r>
    </w:p>
    <w:p>
      <w:pPr>
        <w:numPr>
          <w:ilvl w:val="0"/>
          <w:numId w:val="3"/>
        </w:numPr>
        <w:spacing w:line="578" w:lineRule="exact"/>
        <w:ind w:left="0" w:leftChars="0" w:firstLine="640" w:firstLineChars="200"/>
        <w:jc w:val="left"/>
        <w:rPr>
          <w:rFonts w:hint="eastAsia" w:ascii="仿宋" w:hAnsi="仿宋" w:eastAsia="仿宋" w:cs="宋体"/>
          <w:sz w:val="32"/>
          <w:szCs w:val="32"/>
        </w:rPr>
      </w:pPr>
      <w:r>
        <w:rPr>
          <w:rFonts w:ascii="仿宋" w:hAnsi="仿宋" w:eastAsia="仿宋" w:cs="宋体"/>
          <w:sz w:val="32"/>
          <w:szCs w:val="32"/>
        </w:rPr>
        <w:t>参加政府采购活动前三年内，在经营活动中没有重大违法记录</w:t>
      </w:r>
      <w:r>
        <w:rPr>
          <w:rFonts w:hint="eastAsia" w:ascii="仿宋" w:hAnsi="仿宋" w:eastAsia="仿宋" w:cs="宋体"/>
          <w:sz w:val="32"/>
          <w:szCs w:val="32"/>
        </w:rPr>
        <w:t>；</w:t>
      </w:r>
    </w:p>
    <w:p>
      <w:pPr>
        <w:autoSpaceDE w:val="0"/>
        <w:autoSpaceDN w:val="0"/>
        <w:adjustRightInd w:val="0"/>
        <w:spacing w:line="560" w:lineRule="exact"/>
        <w:ind w:firstLine="700" w:firstLineChars="250"/>
        <w:rPr>
          <w:rFonts w:hint="eastAsia" w:ascii="仿宋" w:hAnsi="仿宋" w:eastAsia="仿宋" w:cs="宋体"/>
          <w:sz w:val="32"/>
          <w:szCs w:val="32"/>
        </w:rPr>
      </w:pPr>
      <w:r>
        <w:rPr>
          <w:rFonts w:hint="default" w:ascii="宋体" w:hAnsi="宋体" w:eastAsia="宋体"/>
          <w:color w:val="auto"/>
          <w:sz w:val="28"/>
          <w:szCs w:val="28"/>
          <w:lang w:val="en-US" w:eastAsia="zh-CN"/>
        </w:rPr>
        <w:t>具体要求：提供参加政府采购活动前 3 年内在经营活动中没有重大违法记录的书面声明（供应商自行声明，格式自拟）；</w:t>
      </w:r>
    </w:p>
    <w:p>
      <w:pPr>
        <w:numPr>
          <w:ilvl w:val="0"/>
          <w:numId w:val="3"/>
        </w:numPr>
        <w:spacing w:line="578" w:lineRule="exact"/>
        <w:ind w:left="0" w:leftChars="0" w:firstLine="640" w:firstLineChars="200"/>
        <w:jc w:val="left"/>
        <w:rPr>
          <w:rFonts w:hint="eastAsia" w:ascii="仿宋" w:hAnsi="仿宋" w:eastAsia="仿宋" w:cs="宋体"/>
          <w:sz w:val="32"/>
          <w:szCs w:val="32"/>
        </w:rPr>
      </w:pPr>
      <w:r>
        <w:rPr>
          <w:rFonts w:hint="eastAsia" w:ascii="仿宋" w:hAnsi="仿宋" w:eastAsia="仿宋" w:cs="宋体"/>
          <w:sz w:val="32"/>
          <w:szCs w:val="32"/>
        </w:rPr>
        <w:t>法律、行政法规规定的其他条件；</w:t>
      </w:r>
    </w:p>
    <w:p>
      <w:pPr>
        <w:autoSpaceDE w:val="0"/>
        <w:autoSpaceDN w:val="0"/>
        <w:adjustRightInd w:val="0"/>
        <w:spacing w:line="560" w:lineRule="exact"/>
        <w:ind w:firstLine="700" w:firstLineChars="250"/>
        <w:rPr>
          <w:rFonts w:hint="eastAsia" w:ascii="仿宋" w:hAnsi="仿宋" w:eastAsia="仿宋" w:cs="宋体"/>
          <w:sz w:val="32"/>
          <w:szCs w:val="32"/>
        </w:rPr>
      </w:pPr>
      <w:r>
        <w:rPr>
          <w:rFonts w:hint="default" w:ascii="宋体" w:hAnsi="宋体" w:eastAsia="宋体"/>
          <w:color w:val="auto"/>
          <w:sz w:val="28"/>
          <w:szCs w:val="28"/>
          <w:lang w:val="en-US" w:eastAsia="zh-CN"/>
        </w:rPr>
        <w:t>具体要求：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ascii="宋体" w:hAnsi="宋体"/>
          <w:color w:val="auto"/>
          <w:sz w:val="28"/>
          <w:szCs w:val="28"/>
          <w:lang w:val="en-US" w:eastAsia="zh-CN"/>
        </w:rPr>
        <w:t>（提供网站截图，查询时间为公告发布后）</w:t>
      </w:r>
      <w:r>
        <w:rPr>
          <w:rFonts w:hint="default" w:ascii="宋体" w:hAnsi="宋体" w:eastAsia="宋体"/>
          <w:color w:val="auto"/>
          <w:sz w:val="28"/>
          <w:szCs w:val="28"/>
          <w:lang w:val="en-US" w:eastAsia="zh-CN"/>
        </w:rPr>
        <w:t>。</w:t>
      </w:r>
      <w:bookmarkEnd w:id="0"/>
    </w:p>
    <w:p>
      <w:pPr>
        <w:spacing w:line="578" w:lineRule="exact"/>
        <w:ind w:firstLine="640" w:firstLineChars="200"/>
        <w:jc w:val="left"/>
        <w:rPr>
          <w:rFonts w:hint="default"/>
          <w:lang w:val="en-US" w:eastAsia="zh-CN"/>
        </w:rPr>
      </w:pPr>
      <w:r>
        <w:rPr>
          <w:rFonts w:hint="eastAsia" w:ascii="仿宋" w:hAnsi="仿宋" w:eastAsia="仿宋" w:cs="宋体"/>
          <w:sz w:val="32"/>
          <w:szCs w:val="32"/>
        </w:rPr>
        <w:t>（七）报价人须注册生产、经营范围达到本次采购要求，本项目不接受联合体投标。</w:t>
      </w:r>
    </w:p>
    <w:p>
      <w:pPr>
        <w:snapToGrid w:val="0"/>
        <w:spacing w:line="360" w:lineRule="auto"/>
        <w:jc w:val="both"/>
        <w:rPr>
          <w:rFonts w:hint="eastAsia" w:ascii="仿宋" w:hAnsi="仿宋" w:eastAsia="仿宋"/>
          <w:b/>
        </w:rPr>
      </w:pP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57"/>
        <w:gridCol w:w="827"/>
        <w:gridCol w:w="496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
              <w:rPr>
                <w:rFonts w:hint="eastAsia"/>
              </w:rPr>
            </w:pP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b/>
              </w:rPr>
            </w:pPr>
            <w:r>
              <w:rPr>
                <w:rFonts w:hint="eastAsia" w:ascii="仿宋" w:hAnsi="仿宋" w:eastAsia="仿宋"/>
                <w:b/>
              </w:rPr>
              <w:t>品名</w:t>
            </w:r>
          </w:p>
        </w:tc>
        <w:tc>
          <w:tcPr>
            <w:tcW w:w="579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b/>
              </w:rPr>
            </w:pPr>
            <w:r>
              <w:rPr>
                <w:rFonts w:hint="eastAsia" w:ascii="仿宋" w:hAnsi="仿宋" w:eastAsia="仿宋"/>
                <w:b/>
              </w:rPr>
              <w:t>具体服务内容及要求</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b/>
                <w:lang w:eastAsia="zh-CN"/>
              </w:rPr>
            </w:pPr>
            <w:r>
              <w:rPr>
                <w:rFonts w:hint="eastAsia" w:ascii="仿宋" w:hAnsi="仿宋" w:eastAsia="仿宋"/>
                <w:b/>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1</w:t>
            </w:r>
          </w:p>
        </w:tc>
        <w:tc>
          <w:tcPr>
            <w:tcW w:w="105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涉网新型犯罪智能反制平台服务</w:t>
            </w: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宣传防范模块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宣传防范模块要求以宣防计划方式开展宣传防范工作，基于AI民警开展电话外呼宣传，配合短信、闪信，实现有效宣防。</w:t>
            </w:r>
          </w:p>
        </w:tc>
        <w:tc>
          <w:tcPr>
            <w:tcW w:w="1083" w:type="dxa"/>
            <w:tcBorders>
              <w:top w:val="single" w:color="auto" w:sz="4" w:space="0"/>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要求支持全部宣防计划、宣防计划名称、宣防类别、宣防方式、创建时间等条件进行筛选。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要求支持新建宣防计划，包括计划名称、宣防类别、任务优先级、宣防策略、宣防方式、启动方式、宣防时间、请选择话术、外呼号码、AI坐席等选择。</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要求宣防计划支持数据导入、启停、查看、删除、编辑、复制等基础操作。</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要求支持宣防计划筛选，可按名称、类别、方式、创建时间等字段进行筛选。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要求支持宣防计划详情查看，包括进行中和已完成的居民号单列表，可以支持将号单添加至其他宣防任务中或导出宣防号单。</w:t>
            </w:r>
          </w:p>
        </w:tc>
        <w:tc>
          <w:tcPr>
            <w:tcW w:w="1083" w:type="dxa"/>
            <w:tcBorders>
              <w:left w:val="single" w:color="auto" w:sz="4" w:space="0"/>
              <w:right w:val="single" w:color="auto" w:sz="4" w:space="0"/>
            </w:tcBorders>
            <w:vAlign w:val="center"/>
          </w:tcPr>
          <w:p>
            <w:pPr>
              <w:spacing w:line="520" w:lineRule="atLeast"/>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要求支持已完成宣防居民信息查看，包括居民详情、通话录音、录音转译、通话状态、通话时长、通话轮次、通话标签及历史联络记录等详情。</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要求支持已完成宣防居民信息筛选，可按通话时长、通话标签、通话状态、通话日期等筛选。</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预警劝阻模块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预警劝阻模块要求以预警线索方式开展预警劝阻工作，基于AI民警开展外呼劝阻，配合短信、闪信，实现有效劝阻。</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要求具备线索看板板块，包括实施概况、线索关联的外呼数、线索处置、各警等级处置情况等板块，以柱状图展示各预警类型处置情况。</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both"/>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要求具备预警线索列表，展示联系方式、预警类型、预警等级、线索导入时间、最后通话时间、最后通话时长、最后通话状态、通话标签等基本信息，同时支持预警等级配色设置、多次通话标注等。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要求预警线索列表支持导入、接收、转移、删除、导入其他外呼任务等基础操作。</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要求支持预警线索筛选，可按诈骗类型、通话标签、预警等级、通话时长、处置结论、线索来源、受理单位等字段进行筛选。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要求支持线索详情查看，包括线索详情、处置信息、通话录音、录音转译、通话状态、通话时长、通话轮次、通话标签、反馈记录等详情，并可查看关联居民信息。</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要求支持民警添加线索反馈记录，可填报处置方式、预警结果、处置结果、损失情况等。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居民管理模块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居民管理模块要求支持搭建居民信息中心，将居民相关信息集中化管理，有利于开展宣防和劝阻工作，信息溯源等。</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要求具备居民列表，展示居民信息，包括姓名、联系方式、身份证等基础信息，及宣防数、预警数等相关联络信息。</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要求支持居民信息导入、导出、转移、删除、导入宣防或预警任务等基础操作。</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要求支持居民信息筛选，可按姓名、联系方式、身份证号、受理单位等字段筛选。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要求支持居民详情查看，包括居住地、婚姻、学历、工作单位、标签等详情，并可查看历史劝阻和宣防的联络记录。</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大屏展示模块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大屏展示模块要求呈现宣传防范和预警劝阻相关数据集中展示。</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宣防大屏要求包含实时数据、历史数据、趋势数据等。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劝阻大屏要求包含实时数据、历史数据、趋势数据、区域数据等。</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业务流程自动化模块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业务流程自动化模块要求支撑平台自动判断和决策，根据模型配置，实现居民联络自动化。</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要求策略模型支持以节点方式设置，将判断逻辑、执行方式等节点自由组合。</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要求策略模型支持常用节点和自定义节点，常用节点需包括条件判断、时间条件、参数设置、外呼能力等，自定义节点可以配置第三方服务能力。</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数据报表模块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数据报表模块要求支持根据业务情况快速查询相关业务报表。</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要求具备宣防报表，支持宣防类别、宣防效果等维度报表展示及相关明细数据，支持数据报表导出；</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要求具备劝阻报表，支持诈骗类型、通话标签等维度报表展示及相关明细数据，支持数据报表导出；</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要求具备外呼报表，支持接通率、通话时长等维度报表展示及相关明细数据，支持数据报表导出。</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通话拦截模块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通话拦截模块要求支持自定义拦截规则，避免对不同数据源的同类居民信息开展多次外呼，造成居民骚扰。</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要求支持基于拨打频次、通话状态等维度进行规则自定义配置开展拦截；</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要求支持号码检测，对导入号单进行检测策略比对，输出检测结果，导出检测后合规号单；</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要求支持黑名单功能。</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接警管理模块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rPr>
            </w:pPr>
            <w:r>
              <w:rPr>
                <w:rFonts w:hint="eastAsia" w:ascii="仿宋" w:hAnsi="仿宋" w:eastAsia="仿宋" w:cs="仿宋"/>
              </w:rPr>
              <w:t>支持自动咨询问答和内容识别，具备智能语音导航、相似问题识别、多轮引导对话、关键警情识别、转人工服务等功能。</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cs="仿宋"/>
              </w:rPr>
            </w:pP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系统支持新增接警警单，直观展示接警案件列表数据，支持展示预警时间，诈骗方法、发生区域、被骗金额、受害人手机号码、接警人等。</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cs="仿宋"/>
              </w:rPr>
            </w:pP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系统支持对接警警单和警情维护情况进行导出。</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rPr>
                <w:rFonts w:hint="eastAsia" w:ascii="仿宋" w:hAnsi="仿宋" w:eastAsia="仿宋" w:cs="仿宋"/>
                <w:b w:val="0"/>
                <w:bCs w:val="0"/>
                <w:sz w:val="24"/>
                <w:szCs w:val="24"/>
              </w:rPr>
            </w:pPr>
            <w:r>
              <w:rPr>
                <w:rFonts w:hint="eastAsia" w:ascii="仿宋" w:hAnsi="仿宋" w:eastAsia="仿宋" w:cs="仿宋"/>
                <w:b w:val="0"/>
                <w:bCs w:val="0"/>
                <w:sz w:val="24"/>
                <w:szCs w:val="24"/>
              </w:rPr>
              <w:t>支持添加呼入场景，包括场景名称、呼入线路、接听坐席组。支持以列表形式展示呼入场景名称、呼入线路、接听坐席组、满意度评价、操作等。</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left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统计中心</w:t>
            </w:r>
          </w:p>
          <w:p>
            <w:pPr>
              <w:rPr>
                <w:rFonts w:hint="eastAsia" w:ascii="仿宋" w:hAnsi="仿宋" w:eastAsia="仿宋" w:cs="仿宋"/>
              </w:rPr>
            </w:pPr>
            <w:r>
              <w:rPr>
                <w:rFonts w:hint="eastAsia" w:ascii="仿宋" w:hAnsi="仿宋" w:eastAsia="仿宋" w:cs="仿宋"/>
              </w:rPr>
              <w:t>模块</w:t>
            </w: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预警统计数据大屏包含危险等级统计、反馈情况统计、预警来源统计排行、处置方式统计排行、诈骗类型统计排行。</w:t>
            </w:r>
            <w:r>
              <w:rPr>
                <w:rFonts w:hint="eastAsia" w:ascii="仿宋" w:hAnsi="仿宋" w:eastAsia="仿宋"/>
                <w:sz w:val="24"/>
                <w:szCs w:val="24"/>
              </w:rPr>
              <w:t>（软件界面截图）</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cs="仿宋"/>
              </w:rPr>
            </w:pP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以预警来源为筛选条件，统计各诈骗类型回访量、回访率、准时回访数、预警总数、劝阻数、打通数、预警成功数、被骗金额、被骗数量。</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tcBorders>
              <w:left w:val="single" w:color="auto" w:sz="4" w:space="0"/>
              <w:bottom w:val="single" w:color="auto" w:sz="4" w:space="0"/>
              <w:right w:val="single" w:color="auto" w:sz="4" w:space="0"/>
            </w:tcBorders>
            <w:vAlign w:val="center"/>
          </w:tcPr>
          <w:p>
            <w:pPr>
              <w:pStyle w:val="3"/>
              <w:numPr>
                <w:ilvl w:val="2"/>
                <w:numId w:val="0"/>
              </w:num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接口通道</w:t>
            </w:r>
          </w:p>
          <w:p>
            <w:pPr>
              <w:rPr>
                <w:rFonts w:hint="eastAsia" w:ascii="仿宋" w:hAnsi="仿宋" w:eastAsia="仿宋" w:cs="仿宋"/>
              </w:rPr>
            </w:pPr>
            <w:r>
              <w:rPr>
                <w:rFonts w:hint="eastAsia" w:ascii="仿宋" w:hAnsi="仿宋" w:eastAsia="仿宋" w:cs="仿宋"/>
              </w:rPr>
              <w:t>模块</w:t>
            </w: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支持各类接口对接，API 接口、部平台接口、短信平台，接口开放。</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tcBorders>
              <w:left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系统设置模块</w:t>
            </w:r>
          </w:p>
        </w:tc>
        <w:tc>
          <w:tcPr>
            <w:tcW w:w="4966" w:type="dxa"/>
            <w:tcBorders>
              <w:top w:val="single" w:color="auto" w:sz="4" w:space="0"/>
              <w:left w:val="single" w:color="auto" w:sz="4" w:space="0"/>
              <w:bottom w:val="single" w:color="auto" w:sz="4" w:space="0"/>
              <w:right w:val="single" w:color="auto" w:sz="4" w:space="0"/>
            </w:tcBorders>
          </w:tcPr>
          <w:p>
            <w:pPr>
              <w:pStyle w:val="3"/>
              <w:numPr>
                <w:ilvl w:val="2"/>
                <w:numId w:val="0"/>
              </w:num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支持管理平台中归类的诈骗类型，归纳统一至公安部规范的 13大类(12 大类加“其他”)，并支持进行增加，修改，删除操作。</w:t>
            </w:r>
          </w:p>
        </w:tc>
        <w:tc>
          <w:tcPr>
            <w:tcW w:w="1083" w:type="dxa"/>
            <w:tcBorders>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1"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2</w:t>
            </w:r>
          </w:p>
        </w:tc>
        <w:tc>
          <w:tcPr>
            <w:tcW w:w="105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基础智能联络中心服务</w:t>
            </w: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智能语音外呼模块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智能外呼模块作为平台基础联络能力，要求具备基础常规功能。</w:t>
            </w:r>
          </w:p>
        </w:tc>
        <w:tc>
          <w:tcPr>
            <w:tcW w:w="1083" w:type="dxa"/>
            <w:tcBorders>
              <w:top w:val="single" w:color="auto" w:sz="4" w:space="0"/>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要求支持外呼任务的手动启动、定时启动两种方式；</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要求支持防骚扰功能，外呼时可设置不拨打时段；</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要求支持可选发送挂机短信；</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要求支持弹性坐席（即动态空闲资源分配），外呼任务结束或暂停后动，AI坐席自动分配到其他任务中外呼，实现任务低负荷、满负荷、超负荷运行，实现AI资源和硬件资源最大程度的利用；</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要求支持多并发外呼（即同时多个被叫），同一线路同一时段可执行大于AI坐席数的呼出，提高AI资源利用率；</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要求支持自动重拨，可根据通话状态配置重拨次数和重拨间隔，针对每通外呼结束后，当判断通话状态是关机、占线、停机、主叫欠费、呼损、外呼失败、无法接通等情况时，可根据配置规则执行自动重拨。</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短信中心模块</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短信作为触达居民的另一种方式，要求除了可以与外呼联动之外，也可以单独应用。</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要求支持创建短信发送任务按照某一固定短信模板批量给群众发送短信，可手动启动或定时启动任务，支持批量上传号单；</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要求支持短信模板新增、查看、编辑、删除等操作，模板类型要求至少支持通知类、验证码、闪信三种；</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要求支持根据姓名、发送日期、发送状态等筛选短信发送记录。</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restart"/>
            <w:tcBorders>
              <w:top w:val="single" w:color="auto" w:sz="4" w:space="0"/>
              <w:left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AI中台</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AI中台作为平台AI能力的基础支撑，要求满足AI民警交流时所需基础能力。</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要求支持话术设计，至少包括话术流程、知识库、多轮会话、热词、问题学习、训练等配置能力；</w:t>
            </w:r>
            <w:r>
              <w:rPr>
                <w:rFonts w:hint="eastAsia" w:ascii="仿宋" w:hAnsi="仿宋" w:eastAsia="仿宋"/>
                <w:b/>
                <w:bCs/>
              </w:rPr>
              <w:t>（软件界面截图）</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要求话术支持选择使用机器合成音，可以设置合成的语速和音量，并且支持设置话术的真人录音方式；</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要求支持用户打断，可根据用户意图进行智能打断，不受其他非意图声音影响，可排除无效打断；</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要求支持触发发送短信；</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要求支持自动打标签，标签类型包括自定义标签；</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要求支持按键采集、条件判断、IVR等功能配置；</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CellMar>
            <w:top w:w="0" w:type="dxa"/>
            <w:left w:w="108" w:type="dxa"/>
            <w:bottom w:w="0" w:type="dxa"/>
            <w:right w:w="108" w:type="dxa"/>
          </w:tblCellMar>
        </w:tblPrEx>
        <w:trPr>
          <w:trHeight w:val="699"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要求支持节点单元测试，确保在单个节点上面修改后，能够进行最快速的验证；</w:t>
            </w:r>
          </w:p>
        </w:tc>
        <w:tc>
          <w:tcPr>
            <w:tcW w:w="1083" w:type="dxa"/>
            <w:tcBorders>
              <w:left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要求支持数据化运营，对于每个主流程、多轮对话的任何一个节点都有完整的数据化展现；</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51" w:type="dxa"/>
            <w:vMerge w:val="continue"/>
            <w:tcBorders>
              <w:left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right w:val="single" w:color="auto" w:sz="4" w:space="0"/>
            </w:tcBorders>
            <w:vAlign w:val="center"/>
          </w:tcPr>
          <w:p>
            <w:pPr>
              <w:rPr>
                <w:rFonts w:hint="eastAsia" w:ascii="仿宋" w:hAnsi="仿宋" w:eastAsia="仿宋"/>
              </w:rPr>
            </w:pPr>
          </w:p>
        </w:tc>
        <w:tc>
          <w:tcPr>
            <w:tcW w:w="82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要求支持话术质量监控，可实时查看话术的某个节点的各个分支的表现情况，然后对于分支的表现情况做出预判，及时提醒修改该节点的分支构建。</w:t>
            </w:r>
          </w:p>
        </w:tc>
        <w:tc>
          <w:tcPr>
            <w:tcW w:w="1083" w:type="dxa"/>
            <w:tcBorders>
              <w:left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1057"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rPr>
            </w:pPr>
          </w:p>
        </w:tc>
        <w:tc>
          <w:tcPr>
            <w:tcW w:w="8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系统设置</w:t>
            </w:r>
          </w:p>
        </w:tc>
        <w:tc>
          <w:tcPr>
            <w:tcW w:w="496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要求具备字段管理、标签管理、组织结构管理和角色权限管理等，要求支持字段自定义和标签自定义。</w:t>
            </w:r>
            <w:r>
              <w:rPr>
                <w:rFonts w:hint="eastAsia" w:ascii="仿宋" w:hAnsi="仿宋" w:eastAsia="仿宋"/>
                <w:b/>
                <w:bCs/>
              </w:rPr>
              <w:t>（软件界面截图）</w:t>
            </w:r>
          </w:p>
        </w:tc>
        <w:tc>
          <w:tcPr>
            <w:tcW w:w="1083" w:type="dxa"/>
            <w:tcBorders>
              <w:left w:val="single" w:color="auto" w:sz="4" w:space="0"/>
              <w:bottom w:val="single" w:color="auto" w:sz="4" w:space="0"/>
              <w:right w:val="single" w:color="auto" w:sz="4" w:space="0"/>
            </w:tcBorders>
            <w:vAlign w:val="center"/>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rPr>
            </w:pPr>
            <w:r>
              <w:rPr>
                <w:rFonts w:hint="eastAsia" w:ascii="仿宋" w:hAnsi="仿宋" w:eastAsia="仿宋"/>
              </w:rPr>
              <w:t>3</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AI民警服务</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AI民警是以AI中台为基础，搭建的AI智能语音机器人，基于话术与居民开展一对一的电话沟通。（要求提供3段AI民警与居民基于三个不同反诈场景沟通的真实录音</w:t>
            </w:r>
            <w:r>
              <w:rPr>
                <w:rFonts w:hint="eastAsia" w:ascii="仿宋" w:hAnsi="仿宋" w:eastAsia="仿宋"/>
                <w:lang w:eastAsia="zh-CN"/>
              </w:rPr>
              <w:t>，</w:t>
            </w:r>
            <w:r>
              <w:rPr>
                <w:rFonts w:hint="eastAsia" w:ascii="仿宋" w:hAnsi="仿宋" w:eastAsia="仿宋"/>
                <w:lang w:val="en-US" w:eastAsia="zh-CN"/>
              </w:rPr>
              <w:t>实际</w:t>
            </w:r>
            <w:bookmarkStart w:id="1" w:name="OLE_LINK2"/>
            <w:r>
              <w:rPr>
                <w:rFonts w:hint="eastAsia" w:ascii="仿宋" w:hAnsi="仿宋" w:eastAsia="仿宋"/>
                <w:lang w:val="en-US" w:eastAsia="zh-CN"/>
              </w:rPr>
              <w:t>AI机器人</w:t>
            </w:r>
            <w:bookmarkEnd w:id="1"/>
            <w:r>
              <w:rPr>
                <w:rFonts w:hint="eastAsia" w:ascii="仿宋" w:hAnsi="仿宋" w:eastAsia="仿宋"/>
                <w:lang w:val="en-US" w:eastAsia="zh-CN"/>
              </w:rPr>
              <w:t>个数不得少于6;</w:t>
            </w:r>
            <w:r>
              <w:rPr>
                <w:rFonts w:hint="eastAsia" w:ascii="仿宋" w:hAnsi="仿宋" w:eastAsia="仿宋"/>
              </w:rPr>
              <w:t>）</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hint="default" w:ascii="仿宋" w:hAnsi="仿宋" w:eastAsia="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rPr>
            </w:pPr>
            <w:r>
              <w:rPr>
                <w:rFonts w:hint="eastAsia" w:ascii="仿宋" w:hAnsi="仿宋" w:eastAsia="仿宋"/>
              </w:rPr>
              <w:t>4</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平台能力-技术适配性</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（1）投标人提供的智能语音系统，具备情绪识别能力，且情绪识别率大于80%（含），需提供</w:t>
            </w:r>
            <w:r>
              <w:rPr>
                <w:rFonts w:hint="eastAsia" w:ascii="仿宋" w:hAnsi="仿宋" w:eastAsia="仿宋"/>
                <w:b/>
                <w:bCs/>
              </w:rPr>
              <w:t>专业检验机构的检验证明</w:t>
            </w:r>
            <w:r>
              <w:rPr>
                <w:rFonts w:hint="eastAsia" w:ascii="仿宋" w:hAnsi="仿宋" w:eastAsia="仿宋"/>
              </w:rPr>
              <w:t xml:space="preserve">； </w:t>
            </w:r>
          </w:p>
          <w:p>
            <w:pPr>
              <w:rPr>
                <w:rFonts w:hint="eastAsia" w:ascii="仿宋" w:hAnsi="仿宋" w:eastAsia="仿宋"/>
              </w:rPr>
            </w:pPr>
            <w:r>
              <w:rPr>
                <w:rFonts w:hint="eastAsia" w:ascii="仿宋" w:hAnsi="仿宋" w:eastAsia="仿宋"/>
              </w:rPr>
              <w:t>（2）投标人提供的智能语音系统，中文语音识别率达到达到95%及以上，需提供</w:t>
            </w:r>
            <w:r>
              <w:rPr>
                <w:rFonts w:hint="eastAsia" w:ascii="仿宋" w:hAnsi="仿宋" w:eastAsia="仿宋"/>
                <w:b/>
                <w:bCs/>
              </w:rPr>
              <w:t>专业检验机构的检验证明</w:t>
            </w:r>
            <w:r>
              <w:rPr>
                <w:rFonts w:hint="eastAsia" w:ascii="仿宋" w:hAnsi="仿宋" w:eastAsia="仿宋"/>
              </w:rPr>
              <w:t xml:space="preserve">； </w:t>
            </w:r>
          </w:p>
          <w:p>
            <w:pPr>
              <w:rPr>
                <w:rFonts w:hint="eastAsia" w:ascii="仿宋" w:hAnsi="仿宋" w:eastAsia="仿宋"/>
              </w:rPr>
            </w:pPr>
            <w:r>
              <w:rPr>
                <w:rFonts w:hint="eastAsia" w:ascii="仿宋" w:hAnsi="仿宋" w:eastAsia="仿宋"/>
              </w:rPr>
              <w:t>（3）投标人提供的智能语音系统能对方言进行识别，需提供</w:t>
            </w:r>
            <w:r>
              <w:rPr>
                <w:rFonts w:hint="eastAsia" w:ascii="仿宋" w:hAnsi="仿宋" w:eastAsia="仿宋"/>
                <w:b/>
                <w:bCs/>
              </w:rPr>
              <w:t>专业检验机构的检验证明</w:t>
            </w:r>
            <w:r>
              <w:rPr>
                <w:rFonts w:hint="eastAsia" w:ascii="仿宋" w:hAnsi="仿宋" w:eastAsia="仿宋"/>
              </w:rPr>
              <w:t>；</w:t>
            </w:r>
          </w:p>
          <w:p>
            <w:pPr>
              <w:rPr>
                <w:rFonts w:hint="eastAsia" w:ascii="仿宋" w:hAnsi="仿宋" w:eastAsia="仿宋"/>
              </w:rPr>
            </w:pPr>
            <w:r>
              <w:rPr>
                <w:rFonts w:hint="eastAsia" w:ascii="仿宋" w:hAnsi="仿宋" w:eastAsia="仿宋"/>
              </w:rPr>
              <w:t>（4）投标人采用的系统具备</w:t>
            </w:r>
            <w:r>
              <w:rPr>
                <w:rFonts w:hint="eastAsia" w:ascii="仿宋" w:hAnsi="仿宋" w:eastAsia="仿宋"/>
                <w:lang w:val="en-US" w:eastAsia="zh-CN"/>
              </w:rPr>
              <w:t>黔东南州</w:t>
            </w:r>
            <w:r>
              <w:rPr>
                <w:rFonts w:hint="eastAsia" w:ascii="仿宋" w:hAnsi="仿宋" w:eastAsia="仿宋"/>
              </w:rPr>
              <w:t>及辖区区县两级反诈值守平台的对接能力，提供相关系统界面截图说明。</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lang w:eastAsia="zh-CN"/>
              </w:rPr>
            </w:pPr>
            <w:r>
              <w:rPr>
                <w:rFonts w:hint="eastAsia" w:ascii="仿宋" w:hAnsi="仿宋" w:eastAsia="仿宋"/>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专用场景话术模板包运维服务</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反诈专用场景包括宣防和劝阻两类，要求根据不同诈骗类别和宣防目的提供不少于20类相应的话术模板，并提供服务期限内不定期话术优化运维服务。（</w:t>
            </w:r>
            <w:bookmarkStart w:id="2" w:name="_GoBack"/>
            <w:r>
              <w:rPr>
                <w:rFonts w:hint="eastAsia" w:ascii="仿宋" w:hAnsi="仿宋" w:eastAsia="仿宋"/>
                <w:b/>
                <w:bCs/>
              </w:rPr>
              <w:t>列出20类话术模板名称并提供承诺函，同时提供其中3份不同类型话术模板设计逻辑图，</w:t>
            </w:r>
            <w:bookmarkEnd w:id="2"/>
          </w:p>
        </w:tc>
        <w:tc>
          <w:tcPr>
            <w:tcW w:w="1083"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lang w:eastAsia="zh-CN"/>
              </w:rPr>
            </w:pPr>
            <w:r>
              <w:rPr>
                <w:rFonts w:hint="eastAsia" w:ascii="仿宋" w:hAnsi="仿宋" w:eastAsia="仿宋"/>
                <w:lang w:val="en-US" w:eastAsia="zh-CN"/>
              </w:rPr>
              <w:t>7</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公安内网部署服务</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根据要求，平台需部署在公安内网，要求投标人具备公安内网部署经验及第三方数据对接能力，提供相关部署方案，工期要求合同签订后</w:t>
            </w:r>
            <w:r>
              <w:rPr>
                <w:rFonts w:hint="eastAsia" w:ascii="仿宋" w:hAnsi="仿宋" w:eastAsia="仿宋"/>
                <w:lang w:val="en-US" w:eastAsia="zh-CN"/>
              </w:rPr>
              <w:t>7</w:t>
            </w:r>
            <w:r>
              <w:rPr>
                <w:rFonts w:hint="eastAsia" w:ascii="仿宋" w:hAnsi="仿宋" w:eastAsia="仿宋"/>
              </w:rPr>
              <w:t>个工作日内</w:t>
            </w:r>
            <w:r>
              <w:rPr>
                <w:rFonts w:hint="eastAsia" w:ascii="仿宋" w:hAnsi="仿宋" w:eastAsia="仿宋" w:cs="仿宋"/>
                <w:b/>
                <w:bCs/>
              </w:rPr>
              <w:t>（提供部署服务响应承诺函）。</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2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lang w:eastAsia="zh-CN"/>
              </w:rPr>
            </w:pPr>
            <w:r>
              <w:rPr>
                <w:rFonts w:hint="eastAsia" w:ascii="仿宋" w:hAnsi="仿宋" w:eastAsia="仿宋"/>
                <w:lang w:val="en-US" w:eastAsia="zh-CN"/>
              </w:rPr>
              <w:t>8</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售后运维服务</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rPr>
            </w:pPr>
            <w:r>
              <w:rPr>
                <w:rFonts w:hint="eastAsia" w:ascii="仿宋" w:hAnsi="仿宋" w:eastAsia="仿宋"/>
              </w:rPr>
              <w:t>服务期限</w:t>
            </w:r>
            <w:r>
              <w:rPr>
                <w:rFonts w:ascii="仿宋" w:hAnsi="仿宋" w:eastAsia="仿宋"/>
              </w:rPr>
              <w:t>1</w:t>
            </w:r>
            <w:r>
              <w:rPr>
                <w:rFonts w:hint="eastAsia" w:ascii="仿宋" w:hAnsi="仿宋" w:eastAsia="仿宋"/>
              </w:rPr>
              <w:t>年，按照售后服务要求提供平台售后运维服务，包括不少于2次培训服务、2次定期系统巡检服务、7×24小时售后服务等。服务期内出现问题，要求30分钟内响应，24小时内解决问题。</w:t>
            </w:r>
            <w:r>
              <w:rPr>
                <w:rFonts w:hint="eastAsia" w:ascii="仿宋" w:hAnsi="仿宋" w:eastAsia="仿宋"/>
                <w:b/>
                <w:bCs/>
              </w:rPr>
              <w:t>（要求提供售后服务承诺书）</w:t>
            </w: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lang w:val="en-US" w:eastAsia="zh-CN"/>
              </w:rPr>
            </w:pPr>
            <w:r>
              <w:rPr>
                <w:rFonts w:hint="eastAsia" w:ascii="仿宋" w:hAnsi="仿宋" w:eastAsia="仿宋"/>
                <w:lang w:val="en-US" w:eastAsia="zh-CN"/>
              </w:rPr>
              <w:t>9</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rPr>
            </w:pPr>
            <w:r>
              <w:rPr>
                <w:rFonts w:hint="eastAsia" w:ascii="仿宋" w:hAnsi="仿宋" w:eastAsia="仿宋"/>
              </w:rPr>
              <w:t>语音中继网关</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lang w:val="en-US" w:eastAsia="zh-CN"/>
              </w:rPr>
            </w:pPr>
            <w:r>
              <w:rPr>
                <w:rFonts w:hint="eastAsia" w:ascii="仿宋" w:hAnsi="仿宋" w:eastAsia="仿宋"/>
                <w:lang w:val="en-US" w:eastAsia="zh-CN"/>
              </w:rPr>
              <w:t>要求提供</w:t>
            </w:r>
            <w:r>
              <w:rPr>
                <w:rFonts w:hint="eastAsia" w:ascii="仿宋" w:hAnsi="仿宋" w:eastAsia="仿宋"/>
              </w:rPr>
              <w:t>语音中继网关</w:t>
            </w:r>
            <w:r>
              <w:rPr>
                <w:rFonts w:hint="eastAsia" w:ascii="仿宋" w:hAnsi="仿宋" w:eastAsia="仿宋"/>
                <w:lang w:eastAsia="zh-CN"/>
              </w:rPr>
              <w:t>，</w:t>
            </w:r>
            <w:r>
              <w:rPr>
                <w:rFonts w:hint="eastAsia" w:ascii="仿宋" w:hAnsi="仿宋" w:eastAsia="仿宋"/>
                <w:lang w:val="en-US" w:eastAsia="zh-CN"/>
              </w:rPr>
              <w:t>且中继网关要求：</w:t>
            </w:r>
          </w:p>
          <w:p>
            <w:pPr>
              <w:rPr>
                <w:rFonts w:hint="eastAsia" w:ascii="仿宋" w:hAnsi="仿宋" w:eastAsia="仿宋"/>
                <w:lang w:val="en-US" w:eastAsia="zh-CN"/>
              </w:rPr>
            </w:pPr>
            <w:r>
              <w:rPr>
                <w:rFonts w:hint="eastAsia" w:ascii="仿宋" w:hAnsi="仿宋" w:eastAsia="仿宋"/>
                <w:lang w:val="en-US" w:eastAsia="zh-CN"/>
              </w:rPr>
              <w:t>1.最大支持240路并发；</w:t>
            </w:r>
          </w:p>
          <w:p>
            <w:pPr>
              <w:rPr>
                <w:rFonts w:hint="eastAsia" w:ascii="仿宋" w:hAnsi="仿宋" w:eastAsia="仿宋"/>
                <w:lang w:val="en-US" w:eastAsia="zh-CN"/>
              </w:rPr>
            </w:pPr>
            <w:r>
              <w:rPr>
                <w:rFonts w:hint="eastAsia" w:ascii="仿宋" w:hAnsi="仿宋" w:eastAsia="仿宋"/>
                <w:lang w:val="en-US" w:eastAsia="zh-CN"/>
              </w:rPr>
              <w:t>2.面向服务的架构，丰富的服务支持，能支持语音、IP传真和Modem/POS业务；</w:t>
            </w:r>
          </w:p>
          <w:p>
            <w:pPr>
              <w:rPr>
                <w:rFonts w:hint="eastAsia" w:ascii="仿宋" w:hAnsi="仿宋" w:eastAsia="仿宋"/>
                <w:lang w:val="en-US" w:eastAsia="zh-CN"/>
              </w:rPr>
            </w:pPr>
            <w:r>
              <w:rPr>
                <w:rFonts w:hint="eastAsia" w:ascii="仿宋" w:hAnsi="仿宋" w:eastAsia="仿宋"/>
                <w:lang w:val="en-US" w:eastAsia="zh-CN"/>
              </w:rPr>
              <w:t>3.灵活的拨号规则和操作，用户可以根据不同国家和地区定制拨号的规则和数量，以适应不 同的工作场景；</w:t>
            </w:r>
          </w:p>
          <w:p>
            <w:pPr>
              <w:rPr>
                <w:rFonts w:hint="eastAsia" w:ascii="仿宋" w:hAnsi="仿宋" w:eastAsia="仿宋"/>
                <w:lang w:val="en-US" w:eastAsia="zh-CN"/>
              </w:rPr>
            </w:pPr>
            <w:r>
              <w:rPr>
                <w:rFonts w:hint="eastAsia" w:ascii="仿宋" w:hAnsi="仿宋" w:eastAsia="仿宋"/>
                <w:lang w:val="en-US" w:eastAsia="zh-CN"/>
              </w:rPr>
              <w:t>4.多种编码标准: G.711A/U,G.723.1,G.729A/B, iLBC；</w:t>
            </w:r>
          </w:p>
          <w:p>
            <w:pPr>
              <w:rPr>
                <w:rFonts w:hint="eastAsia" w:ascii="仿宋" w:hAnsi="仿宋" w:eastAsia="仿宋"/>
                <w:lang w:val="en-US" w:eastAsia="zh-CN"/>
              </w:rPr>
            </w:pPr>
            <w:r>
              <w:rPr>
                <w:rFonts w:hint="eastAsia" w:ascii="仿宋" w:hAnsi="仿宋" w:eastAsia="仿宋"/>
                <w:lang w:val="en-US" w:eastAsia="zh-CN"/>
              </w:rPr>
              <w:t>5.兼容性好，支持华为 SoftX3000, 中兴, Cisco等多种软交换平台。</w:t>
            </w:r>
          </w:p>
          <w:p>
            <w:pPr>
              <w:rPr>
                <w:rFonts w:hint="eastAsia" w:ascii="仿宋" w:hAnsi="仿宋" w:eastAsia="仿宋"/>
                <w:lang w:val="en-US" w:eastAsia="zh-CN"/>
              </w:rPr>
            </w:pPr>
            <w:r>
              <w:rPr>
                <w:rFonts w:hint="eastAsia" w:ascii="仿宋" w:hAnsi="仿宋" w:eastAsia="仿宋"/>
                <w:lang w:val="en-US" w:eastAsia="zh-CN"/>
              </w:rPr>
              <w:t>6.E1/T1端口数量：4/8  E1/T1；</w:t>
            </w:r>
          </w:p>
          <w:p>
            <w:pPr>
              <w:rPr>
                <w:rFonts w:hint="eastAsia" w:ascii="仿宋" w:hAnsi="仿宋" w:eastAsia="仿宋"/>
                <w:lang w:val="en-US" w:eastAsia="zh-CN"/>
              </w:rPr>
            </w:pPr>
            <w:r>
              <w:rPr>
                <w:rFonts w:hint="eastAsia" w:ascii="仿宋" w:hAnsi="仿宋" w:eastAsia="仿宋"/>
                <w:lang w:val="en-US" w:eastAsia="zh-CN"/>
              </w:rPr>
              <w:t xml:space="preserve">       接口类型：RJ48(阻抗120）；</w:t>
            </w:r>
          </w:p>
          <w:p>
            <w:pPr>
              <w:rPr>
                <w:rFonts w:hint="eastAsia" w:ascii="仿宋" w:hAnsi="仿宋" w:eastAsia="仿宋"/>
                <w:lang w:val="en-US" w:eastAsia="zh-CN"/>
              </w:rPr>
            </w:pPr>
            <w:r>
              <w:rPr>
                <w:rFonts w:hint="eastAsia" w:ascii="仿宋" w:hAnsi="仿宋" w:eastAsia="仿宋"/>
                <w:lang w:val="en-US" w:eastAsia="zh-CN"/>
              </w:rPr>
              <w:t xml:space="preserve">       以太网接口：FE1: 10/100 Base-T 自适应以太网 、FE0: 10/100 Base-T 自适应以太网；</w:t>
            </w:r>
          </w:p>
          <w:p>
            <w:pPr>
              <w:rPr>
                <w:rFonts w:hint="eastAsia" w:ascii="仿宋" w:hAnsi="仿宋" w:eastAsia="仿宋"/>
                <w:lang w:val="en-US" w:eastAsia="zh-CN"/>
              </w:rPr>
            </w:pPr>
            <w:r>
              <w:rPr>
                <w:rFonts w:hint="eastAsia" w:ascii="仿宋" w:hAnsi="仿宋" w:eastAsia="仿宋"/>
                <w:lang w:val="en-US" w:eastAsia="zh-CN"/>
              </w:rPr>
              <w:t xml:space="preserve">       串口：1* RS232, 9600bps。</w:t>
            </w:r>
          </w:p>
          <w:p>
            <w:pPr>
              <w:rPr>
                <w:rFonts w:hint="eastAsia" w:ascii="仿宋" w:hAnsi="仿宋" w:eastAsia="仿宋"/>
                <w:lang w:val="en-US" w:eastAsia="zh-CN"/>
              </w:rPr>
            </w:pPr>
            <w:r>
              <w:rPr>
                <w:rFonts w:hint="eastAsia" w:ascii="仿宋" w:hAnsi="仿宋" w:eastAsia="仿宋"/>
                <w:lang w:val="en-US" w:eastAsia="zh-CN"/>
              </w:rPr>
              <w:t xml:space="preserve">7.PSTN </w:t>
            </w:r>
          </w:p>
          <w:p>
            <w:pPr>
              <w:rPr>
                <w:rFonts w:hint="eastAsia" w:ascii="仿宋" w:hAnsi="仿宋" w:eastAsia="仿宋"/>
                <w:lang w:val="en-US" w:eastAsia="zh-CN"/>
              </w:rPr>
            </w:pPr>
            <w:r>
              <w:rPr>
                <w:rFonts w:hint="eastAsia" w:ascii="仿宋" w:hAnsi="仿宋" w:eastAsia="仿宋"/>
                <w:lang w:val="en-US" w:eastAsia="zh-CN"/>
              </w:rPr>
              <w:t xml:space="preserve">       ISDN PRI23B+D(T1),30B+D(E1),NT或TE可配置、ITU-T Q.921, ITU-T Q.931, Q.Sig ；</w:t>
            </w:r>
          </w:p>
          <w:p>
            <w:pPr>
              <w:rPr>
                <w:rFonts w:hint="eastAsia" w:ascii="仿宋" w:hAnsi="仿宋" w:eastAsia="仿宋"/>
                <w:lang w:val="en-US" w:eastAsia="zh-CN"/>
              </w:rPr>
            </w:pPr>
            <w:r>
              <w:rPr>
                <w:rFonts w:hint="eastAsia" w:ascii="仿宋" w:hAnsi="仿宋" w:eastAsia="仿宋"/>
                <w:lang w:val="en-US" w:eastAsia="zh-CN"/>
              </w:rPr>
              <w:t xml:space="preserve">       7号信令/SS7： ITU-T, ANSI，ITU-CHINA ，MTP1/MTP2/MTP3, TUP/ISUP ；</w:t>
            </w:r>
          </w:p>
          <w:p>
            <w:pPr>
              <w:rPr>
                <w:rFonts w:hint="eastAsia" w:ascii="仿宋" w:hAnsi="仿宋" w:eastAsia="仿宋"/>
                <w:lang w:val="en-US" w:eastAsia="zh-CN"/>
              </w:rPr>
            </w:pPr>
            <w:r>
              <w:rPr>
                <w:rFonts w:hint="eastAsia" w:ascii="仿宋" w:hAnsi="仿宋" w:eastAsia="仿宋"/>
                <w:lang w:val="en-US" w:eastAsia="zh-CN"/>
              </w:rPr>
              <w:t xml:space="preserve">       E1帧格式类型：DF,CRC-4,CRC_ITU ；</w:t>
            </w:r>
          </w:p>
          <w:p>
            <w:pPr>
              <w:rPr>
                <w:rFonts w:hint="eastAsia" w:ascii="仿宋" w:hAnsi="仿宋" w:eastAsia="仿宋"/>
                <w:lang w:val="en-US" w:eastAsia="zh-CN"/>
              </w:rPr>
            </w:pPr>
            <w:r>
              <w:rPr>
                <w:rFonts w:hint="eastAsia" w:ascii="仿宋" w:hAnsi="仿宋" w:eastAsia="仿宋"/>
                <w:lang w:val="en-US" w:eastAsia="zh-CN"/>
              </w:rPr>
              <w:t xml:space="preserve">       T1帧格式类型：4-Frame Multi-frame (F4,FT),2-Frame  Multi-frame (F12, D3/4),Extended Super frame (F24, ESF) ,Remote Switch Mode (F72, SLC96) ；</w:t>
            </w:r>
          </w:p>
          <w:p>
            <w:pPr>
              <w:rPr>
                <w:rFonts w:hint="eastAsia" w:ascii="仿宋" w:hAnsi="仿宋" w:eastAsia="仿宋"/>
                <w:lang w:val="en-US" w:eastAsia="zh-CN"/>
              </w:rPr>
            </w:pPr>
            <w:r>
              <w:rPr>
                <w:rFonts w:hint="eastAsia" w:ascii="仿宋" w:hAnsi="仿宋" w:eastAsia="仿宋"/>
                <w:lang w:val="en-US" w:eastAsia="zh-CN"/>
              </w:rPr>
              <w:t xml:space="preserve">       线路编码方式 E1:NRZ,CMI,AMI,HDB3 、T1:NRZ,CMI,AMI,B8ZS ；</w:t>
            </w:r>
          </w:p>
          <w:p>
            <w:pPr>
              <w:rPr>
                <w:rFonts w:hint="eastAsia" w:ascii="仿宋" w:hAnsi="仿宋" w:eastAsia="仿宋"/>
                <w:lang w:val="en-US" w:eastAsia="zh-CN"/>
              </w:rPr>
            </w:pPr>
            <w:r>
              <w:rPr>
                <w:rFonts w:hint="eastAsia" w:ascii="仿宋" w:hAnsi="仿宋" w:eastAsia="仿宋"/>
                <w:lang w:val="en-US" w:eastAsia="zh-CN"/>
              </w:rPr>
              <w:t xml:space="preserve">       时钟源：本地/远端时钟源。</w:t>
            </w:r>
          </w:p>
          <w:p>
            <w:pPr>
              <w:rPr>
                <w:rFonts w:hint="eastAsia" w:ascii="仿宋" w:hAnsi="仿宋" w:eastAsia="仿宋"/>
                <w:lang w:val="en-US" w:eastAsia="zh-CN"/>
              </w:rPr>
            </w:pPr>
            <w:r>
              <w:rPr>
                <w:rFonts w:hint="eastAsia" w:ascii="仿宋" w:hAnsi="仿宋" w:eastAsia="仿宋"/>
                <w:lang w:val="en-US" w:eastAsia="zh-CN"/>
              </w:rPr>
              <w:t>8.VoIP协议</w:t>
            </w:r>
          </w:p>
          <w:p>
            <w:pPr>
              <w:rPr>
                <w:rFonts w:hint="eastAsia" w:ascii="仿宋" w:hAnsi="仿宋" w:eastAsia="仿宋"/>
                <w:lang w:val="en-US" w:eastAsia="zh-CN"/>
              </w:rPr>
            </w:pPr>
            <w:r>
              <w:rPr>
                <w:rFonts w:hint="eastAsia" w:ascii="仿宋" w:hAnsi="仿宋" w:eastAsia="仿宋"/>
                <w:lang w:val="en-US" w:eastAsia="zh-CN"/>
              </w:rPr>
              <w:t xml:space="preserve">       SIP v2.0 (UDP/TCP),RFC3261SDP,RTP(RFC2833), RFC3262, 3263,3264,3265,3515,2976,3311 </w:t>
            </w:r>
          </w:p>
          <w:p>
            <w:pPr>
              <w:rPr>
                <w:rFonts w:hint="eastAsia" w:ascii="仿宋" w:hAnsi="仿宋" w:eastAsia="仿宋"/>
                <w:lang w:val="en-US" w:eastAsia="zh-CN"/>
              </w:rPr>
            </w:pPr>
            <w:r>
              <w:rPr>
                <w:rFonts w:hint="eastAsia" w:ascii="仿宋" w:hAnsi="仿宋" w:eastAsia="仿宋"/>
                <w:lang w:val="en-US" w:eastAsia="zh-CN"/>
              </w:rPr>
              <w:t xml:space="preserve">       RTP/RTCP, RFC2198, 1889 </w:t>
            </w:r>
          </w:p>
          <w:p>
            <w:pPr>
              <w:rPr>
                <w:rFonts w:hint="eastAsia" w:ascii="仿宋" w:hAnsi="仿宋" w:eastAsia="仿宋"/>
                <w:lang w:val="en-US" w:eastAsia="zh-CN"/>
              </w:rPr>
            </w:pPr>
            <w:r>
              <w:rPr>
                <w:rFonts w:hint="eastAsia" w:ascii="仿宋" w:hAnsi="仿宋" w:eastAsia="仿宋"/>
                <w:lang w:val="en-US" w:eastAsia="zh-CN"/>
              </w:rPr>
              <w:t xml:space="preserve">       SIP-T,RFC3372, RFC3204, RFC3398 </w:t>
            </w:r>
          </w:p>
          <w:p>
            <w:pPr>
              <w:rPr>
                <w:rFonts w:hint="eastAsia" w:ascii="仿宋" w:hAnsi="仿宋" w:eastAsia="仿宋"/>
                <w:lang w:val="en-US" w:eastAsia="zh-CN"/>
              </w:rPr>
            </w:pPr>
            <w:r>
              <w:rPr>
                <w:rFonts w:hint="eastAsia" w:ascii="仿宋" w:hAnsi="仿宋" w:eastAsia="仿宋"/>
                <w:lang w:val="en-US" w:eastAsia="zh-CN"/>
              </w:rPr>
              <w:t xml:space="preserve">       H.323 </w:t>
            </w:r>
          </w:p>
          <w:p>
            <w:pPr>
              <w:rPr>
                <w:rFonts w:hint="eastAsia" w:ascii="仿宋" w:hAnsi="仿宋" w:eastAsia="仿宋"/>
                <w:lang w:val="en-US" w:eastAsia="zh-CN"/>
              </w:rPr>
            </w:pPr>
            <w:r>
              <w:rPr>
                <w:rFonts w:hint="eastAsia" w:ascii="仿宋" w:hAnsi="仿宋" w:eastAsia="仿宋"/>
                <w:lang w:val="en-US" w:eastAsia="zh-CN"/>
              </w:rPr>
              <w:t xml:space="preserve">       SIP中继工作模式:Peer/Access </w:t>
            </w:r>
          </w:p>
          <w:p>
            <w:pPr>
              <w:rPr>
                <w:rFonts w:hint="eastAsia" w:ascii="仿宋" w:hAnsi="仿宋" w:eastAsia="仿宋"/>
                <w:lang w:val="en-US" w:eastAsia="zh-CN"/>
              </w:rPr>
            </w:pPr>
            <w:r>
              <w:rPr>
                <w:rFonts w:hint="eastAsia" w:ascii="仿宋" w:hAnsi="仿宋" w:eastAsia="仿宋"/>
                <w:lang w:val="en-US" w:eastAsia="zh-CN"/>
              </w:rPr>
              <w:t xml:space="preserve">       SIP/IMS注册账号:最大256个 </w:t>
            </w:r>
          </w:p>
          <w:p>
            <w:pPr>
              <w:rPr>
                <w:rFonts w:hint="default"/>
                <w:lang w:val="en-US" w:eastAsia="zh-CN"/>
              </w:rPr>
            </w:pPr>
            <w:r>
              <w:rPr>
                <w:rFonts w:hint="eastAsia" w:ascii="仿宋" w:hAnsi="仿宋" w:eastAsia="仿宋"/>
                <w:lang w:val="en-US" w:eastAsia="zh-CN"/>
              </w:rPr>
              <w:t xml:space="preserve">       NAT:动态NAT, Rport</w:t>
            </w: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lang w:val="en-US" w:eastAsia="zh-CN"/>
              </w:rPr>
            </w:pPr>
            <w:r>
              <w:rPr>
                <w:rFonts w:hint="eastAsia" w:ascii="仿宋" w:hAnsi="仿宋" w:eastAsia="仿宋"/>
                <w:lang w:val="en-US" w:eastAsia="zh-CN"/>
              </w:rPr>
              <w:t>10</w:t>
            </w:r>
          </w:p>
        </w:tc>
        <w:tc>
          <w:tcPr>
            <w:tcW w:w="1057"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lang w:val="en-US" w:eastAsia="zh-CN"/>
              </w:rPr>
            </w:pPr>
            <w:r>
              <w:rPr>
                <w:rFonts w:hint="eastAsia" w:ascii="仿宋" w:hAnsi="仿宋" w:eastAsia="仿宋"/>
                <w:lang w:val="en-US" w:eastAsia="zh-CN"/>
              </w:rPr>
              <w:t>应急保障</w:t>
            </w:r>
          </w:p>
        </w:tc>
        <w:tc>
          <w:tcPr>
            <w:tcW w:w="5793" w:type="dxa"/>
            <w:gridSpan w:val="2"/>
            <w:tcBorders>
              <w:top w:val="single" w:color="auto" w:sz="4" w:space="0"/>
              <w:left w:val="single" w:color="auto" w:sz="4" w:space="0"/>
              <w:bottom w:val="single" w:color="auto" w:sz="4" w:space="0"/>
              <w:right w:val="single" w:color="auto" w:sz="4" w:space="0"/>
            </w:tcBorders>
          </w:tcPr>
          <w:p>
            <w:pPr>
              <w:rPr>
                <w:rFonts w:hint="default" w:ascii="仿宋" w:hAnsi="仿宋" w:eastAsia="仿宋"/>
                <w:lang w:val="en-US" w:eastAsia="zh-CN"/>
              </w:rPr>
            </w:pPr>
            <w:r>
              <w:rPr>
                <w:rFonts w:hint="eastAsia" w:ascii="仿宋" w:hAnsi="仿宋" w:eastAsia="仿宋"/>
                <w:lang w:val="en-US" w:eastAsia="zh-CN"/>
              </w:rPr>
              <w:t>需在满足上述要求外，另需提供4路AI机器人用于应急备用链路，供使用方在应急条件下免费使用（</w:t>
            </w:r>
            <w:r>
              <w:rPr>
                <w:rFonts w:hint="eastAsia" w:ascii="仿宋" w:hAnsi="仿宋" w:eastAsia="仿宋"/>
                <w:b/>
                <w:bCs/>
                <w:lang w:val="en-US" w:eastAsia="zh-CN"/>
              </w:rPr>
              <w:t>提供承诺函）</w:t>
            </w:r>
          </w:p>
        </w:tc>
        <w:tc>
          <w:tcPr>
            <w:tcW w:w="10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rPr>
            </w:pPr>
          </w:p>
        </w:tc>
      </w:tr>
    </w:tbl>
    <w:p>
      <w:pPr>
        <w:pStyle w:val="11"/>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A0659"/>
    <w:multiLevelType w:val="singleLevel"/>
    <w:tmpl w:val="EF3A0659"/>
    <w:lvl w:ilvl="0" w:tentative="0">
      <w:start w:val="2"/>
      <w:numFmt w:val="chineseCounting"/>
      <w:suff w:val="nothing"/>
      <w:lvlText w:val="%1、"/>
      <w:lvlJc w:val="left"/>
      <w:rPr>
        <w:rFonts w:hint="eastAsia"/>
      </w:rPr>
    </w:lvl>
  </w:abstractNum>
  <w:abstractNum w:abstractNumId="1">
    <w:nsid w:val="45C88E8E"/>
    <w:multiLevelType w:val="singleLevel"/>
    <w:tmpl w:val="45C88E8E"/>
    <w:lvl w:ilvl="0" w:tentative="0">
      <w:start w:val="1"/>
      <w:numFmt w:val="chineseCounting"/>
      <w:suff w:val="nothing"/>
      <w:lvlText w:val="（%1）"/>
      <w:lvlJc w:val="left"/>
      <w:rPr>
        <w:rFonts w:hint="eastAsia"/>
      </w:rPr>
    </w:lvl>
  </w:abstractNum>
  <w:abstractNum w:abstractNumId="2">
    <w:nsid w:val="514C966E"/>
    <w:multiLevelType w:val="multilevel"/>
    <w:tmpl w:val="514C966E"/>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3690"/>
        </w:tabs>
        <w:ind w:left="369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upperLetter"/>
      <w:pStyle w:val="2"/>
      <w:lvlText w:val="%4．"/>
      <w:lvlJc w:val="left"/>
      <w:pPr>
        <w:tabs>
          <w:tab w:val="left" w:pos="1665"/>
        </w:tabs>
        <w:ind w:left="1665" w:hanging="40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4D92362"/>
    <w:rsid w:val="00117E52"/>
    <w:rsid w:val="001838E9"/>
    <w:rsid w:val="00271F7C"/>
    <w:rsid w:val="00651EC1"/>
    <w:rsid w:val="0070205B"/>
    <w:rsid w:val="007D7E7C"/>
    <w:rsid w:val="00864626"/>
    <w:rsid w:val="008828DC"/>
    <w:rsid w:val="00C447CE"/>
    <w:rsid w:val="00CB59C9"/>
    <w:rsid w:val="00E57E90"/>
    <w:rsid w:val="029836AF"/>
    <w:rsid w:val="02DB51C2"/>
    <w:rsid w:val="04D92362"/>
    <w:rsid w:val="0A0A0409"/>
    <w:rsid w:val="13D74AAA"/>
    <w:rsid w:val="256C01BE"/>
    <w:rsid w:val="25C81436"/>
    <w:rsid w:val="3766209E"/>
    <w:rsid w:val="3E2B558B"/>
    <w:rsid w:val="3E7E0140"/>
    <w:rsid w:val="43D25379"/>
    <w:rsid w:val="44E25F8B"/>
    <w:rsid w:val="47F94ED4"/>
    <w:rsid w:val="48F56AD8"/>
    <w:rsid w:val="520F1E75"/>
    <w:rsid w:val="57736809"/>
    <w:rsid w:val="5E20500F"/>
    <w:rsid w:val="603A3343"/>
    <w:rsid w:val="65BC53C1"/>
    <w:rsid w:val="680B583D"/>
    <w:rsid w:val="682E5FE9"/>
    <w:rsid w:val="6B810D0C"/>
    <w:rsid w:val="7147125E"/>
    <w:rsid w:val="71CB776A"/>
    <w:rsid w:val="E5D79E93"/>
    <w:rsid w:val="FBEFCD80"/>
    <w:rsid w:val="FDEF5B35"/>
    <w:rsid w:val="FFFF8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widowControl w:val="0"/>
      <w:numPr>
        <w:ilvl w:val="3"/>
        <w:numId w:val="1"/>
      </w:numPr>
      <w:spacing w:line="300" w:lineRule="auto"/>
      <w:outlineLvl w:val="0"/>
    </w:pPr>
    <w:rPr>
      <w:rFonts w:ascii="Times New Roman" w:hAnsi="Times New Roman" w:eastAsia="宋体" w:cs="Times New Roman"/>
      <w:b/>
      <w:bCs/>
      <w:sz w:val="24"/>
      <w:lang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next w:val="6"/>
    <w:unhideWhenUsed/>
    <w:qFormat/>
    <w:uiPriority w:val="99"/>
    <w:pPr>
      <w:spacing w:after="120"/>
    </w:pPr>
  </w:style>
  <w:style w:type="paragraph" w:styleId="6">
    <w:name w:val="Body Text First Indent"/>
    <w:basedOn w:val="5"/>
    <w:next w:val="1"/>
    <w:qFormat/>
    <w:uiPriority w:val="0"/>
    <w:pPr>
      <w:ind w:firstLine="420" w:firstLineChars="100"/>
    </w:pPr>
    <w:rPr>
      <w:sz w:val="21"/>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customStyle="1" w:styleId="11">
    <w:name w:val="表格文字"/>
    <w:basedOn w:val="1"/>
    <w:next w:val="5"/>
    <w:qFormat/>
    <w:uiPriority w:val="0"/>
    <w:rPr>
      <w:kern w:val="21"/>
      <w:szCs w:val="21"/>
    </w:rPr>
  </w:style>
  <w:style w:type="paragraph" w:customStyle="1" w:styleId="12">
    <w:name w:val="Table Text"/>
    <w:basedOn w:val="1"/>
    <w:semiHidden/>
    <w:qFormat/>
    <w:uiPriority w:val="0"/>
    <w:rPr>
      <w:sz w:val="19"/>
      <w:szCs w:val="19"/>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0"/>
    <w:link w:val="8"/>
    <w:qFormat/>
    <w:uiPriority w:val="0"/>
    <w:rPr>
      <w:rFonts w:ascii="宋体" w:hAnsi="宋体" w:eastAsia="宋体" w:cs="宋体"/>
      <w:sz w:val="18"/>
      <w:szCs w:val="18"/>
    </w:rPr>
  </w:style>
  <w:style w:type="character" w:customStyle="1" w:styleId="15">
    <w:name w:val="页脚 字符"/>
    <w:basedOn w:val="10"/>
    <w:link w:val="7"/>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711</Words>
  <Characters>4053</Characters>
  <Lines>33</Lines>
  <Paragraphs>9</Paragraphs>
  <TotalTime>9</TotalTime>
  <ScaleCrop>false</ScaleCrop>
  <LinksUpToDate>false</LinksUpToDate>
  <CharactersWithSpaces>4755</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2023-08-22T02:49:00Z</dcterms:created>
  <dc:creator>冉登权</dc:creator>
  <cp:lastModifiedBy>岁月静好，负重前行！</cp:lastModifiedBy>
  <dcterms:modified xsi:type="dcterms:W3CDTF">2025-06-04T00:45:42Z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0E04076EAF1942559AFA41EDB75E6BED_13</vt:lpwstr>
  </property>
</Properties>
</file>