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342DD">
      <w:pPr>
        <w:spacing w:line="360" w:lineRule="auto"/>
        <w:jc w:val="center"/>
      </w:pPr>
      <w:r>
        <w:rPr>
          <w:rFonts w:hint="eastAsia" w:ascii="宋体" w:hAnsi="宋体" w:cs="宋体"/>
          <w:b/>
          <w:bCs/>
          <w:sz w:val="32"/>
          <w:szCs w:val="32"/>
          <w:lang w:val="en-US" w:eastAsia="zh-CN"/>
        </w:rPr>
        <w:t>岑巩县</w:t>
      </w:r>
      <w:r>
        <w:rPr>
          <w:rFonts w:hint="eastAsia" w:ascii="宋体" w:hAnsi="宋体" w:eastAsia="宋体" w:cs="宋体"/>
          <w:b/>
          <w:bCs/>
          <w:sz w:val="32"/>
          <w:szCs w:val="32"/>
          <w:lang w:val="en-US" w:eastAsia="zh-CN"/>
        </w:rPr>
        <w:t>人民法院全流程网上办案暨电子卷宗“单套制”归档外包服务项目</w:t>
      </w:r>
      <w:r>
        <w:rPr>
          <w:rFonts w:hint="eastAsia" w:ascii="宋体" w:hAnsi="宋体" w:cs="宋体"/>
          <w:b/>
          <w:bCs/>
          <w:sz w:val="32"/>
          <w:szCs w:val="32"/>
        </w:rPr>
        <w:t>采购需求</w:t>
      </w:r>
    </w:p>
    <w:p w14:paraId="02DE87FD">
      <w:pPr>
        <w:pStyle w:val="3"/>
        <w:spacing w:line="360" w:lineRule="auto"/>
        <w:jc w:val="both"/>
        <w:rPr>
          <w:rFonts w:ascii="宋体" w:hAnsi="宋体" w:cs="宋体"/>
          <w:sz w:val="24"/>
        </w:rPr>
      </w:pPr>
      <w:r>
        <w:rPr>
          <w:rFonts w:hint="eastAsia" w:ascii="宋体" w:hAnsi="宋体" w:cs="宋体"/>
          <w:sz w:val="24"/>
        </w:rPr>
        <w:t>第一项 供应商资格要求</w:t>
      </w:r>
    </w:p>
    <w:p w14:paraId="426D229C">
      <w:pPr>
        <w:autoSpaceDE w:val="0"/>
        <w:autoSpaceDN w:val="0"/>
        <w:adjustRightInd w:val="0"/>
        <w:jc w:val="left"/>
        <w:textAlignment w:val="baseline"/>
        <w:rPr>
          <w:rFonts w:ascii="宋体" w:hAnsi="宋体" w:cs="宋体"/>
          <w:color w:val="000000"/>
          <w:kern w:val="0"/>
          <w:sz w:val="24"/>
        </w:rPr>
      </w:pPr>
      <w:r>
        <w:rPr>
          <w:rFonts w:hint="eastAsia" w:ascii="宋体" w:hAnsi="宋体" w:cs="宋体"/>
          <w:color w:val="000000"/>
          <w:kern w:val="0"/>
          <w:sz w:val="24"/>
        </w:rPr>
        <w:t>（一）符合政府采购法第二十二条规定</w:t>
      </w:r>
    </w:p>
    <w:p w14:paraId="5A7A95C2">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1.具有独立承担民事责任的能力；</w:t>
      </w:r>
    </w:p>
    <w:p w14:paraId="450E8BB6">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1813197D">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3.具有履行合同所必须的设备和专业技术能力；</w:t>
      </w:r>
    </w:p>
    <w:p w14:paraId="05D9133C">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4.具有依法缴纳税收和社会保障资金的良好记录；</w:t>
      </w:r>
    </w:p>
    <w:p w14:paraId="7CAADDED">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5.参加本次政府采购活动前三年内，在经营活动中没有重大违法记录；</w:t>
      </w:r>
    </w:p>
    <w:p w14:paraId="53E6FCA8">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6.法律、行政法规规定的其他条件：采购人或采购代理机构根据财库[2016]125号《关于在政府采购活动中查询及使用信用记录有关问题的通知》的规定进行查询，对被列入失信被执行人、重大税收违法案件当事人名单、政府采购严重违法失信行为记录名单且还在执行期的供应商，拒绝其参与本次采购活动；（查询渠道：信用中国网站（www.creditchina.gov.cn)、中国政府采购网（www.ccgp.gov.cn)）。</w:t>
      </w:r>
    </w:p>
    <w:p w14:paraId="14FE61CE">
      <w:pPr>
        <w:autoSpaceDE w:val="0"/>
        <w:autoSpaceDN w:val="0"/>
        <w:adjustRightInd w:val="0"/>
        <w:jc w:val="left"/>
        <w:textAlignment w:val="baseline"/>
        <w:rPr>
          <w:rFonts w:ascii="宋体" w:hAnsi="宋体" w:cs="宋体"/>
          <w:kern w:val="0"/>
          <w:sz w:val="24"/>
        </w:rPr>
      </w:pPr>
      <w:r>
        <w:rPr>
          <w:rFonts w:hint="eastAsia" w:ascii="宋体" w:hAnsi="宋体" w:cs="宋体"/>
          <w:color w:val="000000"/>
          <w:kern w:val="0"/>
          <w:sz w:val="24"/>
        </w:rPr>
        <w:t>（二）</w:t>
      </w:r>
      <w:r>
        <w:rPr>
          <w:rFonts w:hint="eastAsia" w:ascii="宋体" w:hAnsi="宋体" w:cs="宋体"/>
          <w:kern w:val="0"/>
          <w:sz w:val="24"/>
        </w:rPr>
        <w:t>具有省级或以上国家保密局颁发的“国家秘密载体印制资质证书”乙级资质，资质类别必须为：涉密档案数字化加工（复印件加盖鲜章）。</w:t>
      </w:r>
    </w:p>
    <w:p w14:paraId="2DAC86C6">
      <w:pPr>
        <w:autoSpaceDE w:val="0"/>
        <w:autoSpaceDN w:val="0"/>
        <w:adjustRightInd w:val="0"/>
        <w:jc w:val="left"/>
        <w:textAlignment w:val="baseline"/>
        <w:rPr>
          <w:rFonts w:ascii="宋体" w:hAnsi="宋体" w:cs="宋体"/>
          <w:color w:val="000000"/>
          <w:kern w:val="0"/>
          <w:sz w:val="28"/>
          <w:szCs w:val="28"/>
          <w:lang w:val="zh-CN"/>
        </w:rPr>
      </w:pPr>
      <w:r>
        <w:rPr>
          <w:rFonts w:hint="eastAsia" w:ascii="宋体" w:hAnsi="宋体" w:cs="宋体"/>
          <w:color w:val="000000"/>
          <w:kern w:val="0"/>
          <w:sz w:val="24"/>
        </w:rPr>
        <w:t>（三）本项目</w:t>
      </w:r>
      <w:r>
        <w:rPr>
          <w:rFonts w:hint="eastAsia" w:ascii="宋体" w:hAnsi="宋体" w:cs="宋体"/>
          <w:color w:val="000000"/>
          <w:kern w:val="0"/>
          <w:sz w:val="24"/>
          <w:u w:val="single"/>
        </w:rPr>
        <w:t xml:space="preserve">  不接受  </w:t>
      </w:r>
      <w:r>
        <w:rPr>
          <w:rFonts w:hint="eastAsia" w:ascii="宋体" w:hAnsi="宋体" w:cs="宋体"/>
          <w:color w:val="000000"/>
          <w:kern w:val="0"/>
          <w:sz w:val="24"/>
        </w:rPr>
        <w:t>联合体投标</w:t>
      </w:r>
      <w:r>
        <w:rPr>
          <w:rFonts w:hint="eastAsia" w:ascii="宋体" w:hAnsi="宋体" w:cs="宋体"/>
          <w:color w:val="000000"/>
          <w:kern w:val="0"/>
          <w:sz w:val="24"/>
          <w:lang w:val="zh-CN"/>
        </w:rPr>
        <w:t>。</w:t>
      </w:r>
    </w:p>
    <w:p w14:paraId="04D1C097">
      <w:pPr>
        <w:pStyle w:val="3"/>
        <w:spacing w:line="240" w:lineRule="auto"/>
        <w:jc w:val="left"/>
        <w:rPr>
          <w:rFonts w:hint="eastAsia" w:ascii="宋体" w:hAnsi="宋体" w:cs="宋体"/>
          <w:sz w:val="24"/>
        </w:rPr>
      </w:pPr>
      <w:r>
        <w:rPr>
          <w:rFonts w:hint="eastAsia" w:ascii="宋体" w:hAnsi="宋体" w:cs="宋体"/>
          <w:sz w:val="24"/>
        </w:rPr>
        <w:t>第二项 采购清单及</w:t>
      </w:r>
      <w:r>
        <w:rPr>
          <w:rFonts w:hint="eastAsia" w:ascii="宋体" w:hAnsi="宋体" w:cs="宋体"/>
          <w:sz w:val="24"/>
          <w:lang w:val="en-US" w:eastAsia="zh-CN"/>
        </w:rPr>
        <w:t>扫描具体</w:t>
      </w:r>
      <w:r>
        <w:rPr>
          <w:rFonts w:hint="eastAsia" w:ascii="宋体" w:hAnsi="宋体" w:cs="宋体"/>
          <w:sz w:val="24"/>
        </w:rPr>
        <w:t>要求</w:t>
      </w:r>
    </w:p>
    <w:p w14:paraId="7E0492BC">
      <w:pPr>
        <w:pStyle w:val="3"/>
        <w:spacing w:line="240" w:lineRule="auto"/>
        <w:jc w:val="left"/>
        <w:rPr>
          <w:rFonts w:ascii="宋体" w:hAnsi="宋体" w:cs="宋体"/>
          <w:b/>
          <w:color w:val="000000"/>
          <w:sz w:val="24"/>
        </w:rPr>
      </w:pPr>
      <w:r>
        <w:rPr>
          <w:rFonts w:hint="eastAsia" w:ascii="宋体" w:hAnsi="宋体" w:cs="宋体"/>
          <w:b/>
          <w:bCs/>
          <w:color w:val="000000"/>
          <w:sz w:val="24"/>
        </w:rPr>
        <w:t>一、采购清单</w:t>
      </w:r>
    </w:p>
    <w:tbl>
      <w:tblPr>
        <w:tblStyle w:val="13"/>
        <w:tblW w:w="5923" w:type="pct"/>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3"/>
        <w:gridCol w:w="790"/>
        <w:gridCol w:w="846"/>
        <w:gridCol w:w="1331"/>
        <w:gridCol w:w="1025"/>
      </w:tblGrid>
      <w:tr w14:paraId="15C4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22" w:type="pct"/>
            <w:shd w:val="clear" w:color="auto" w:fill="auto"/>
            <w:vAlign w:val="center"/>
          </w:tcPr>
          <w:p w14:paraId="00EFD38B">
            <w:pPr>
              <w:jc w:val="center"/>
              <w:rPr>
                <w:rFonts w:ascii="宋体" w:hAnsi="宋体" w:cs="宋体"/>
                <w:b/>
                <w:bCs/>
                <w:sz w:val="24"/>
              </w:rPr>
            </w:pPr>
            <w:r>
              <w:rPr>
                <w:rFonts w:hint="eastAsia" w:ascii="宋体" w:hAnsi="宋体" w:cs="宋体"/>
                <w:b/>
                <w:bCs/>
                <w:sz w:val="24"/>
              </w:rPr>
              <w:t>服务内容</w:t>
            </w:r>
          </w:p>
        </w:tc>
        <w:tc>
          <w:tcPr>
            <w:tcW w:w="391" w:type="pct"/>
            <w:shd w:val="clear" w:color="auto" w:fill="auto"/>
            <w:vAlign w:val="center"/>
          </w:tcPr>
          <w:p w14:paraId="01B9C507">
            <w:pPr>
              <w:jc w:val="center"/>
              <w:rPr>
                <w:rFonts w:hint="eastAsia" w:ascii="宋体" w:hAnsi="宋体" w:cs="宋体"/>
                <w:b/>
                <w:bCs/>
                <w:sz w:val="24"/>
              </w:rPr>
            </w:pPr>
            <w:r>
              <w:rPr>
                <w:rFonts w:hint="eastAsia" w:asciiTheme="minorEastAsia" w:hAnsiTheme="minorEastAsia" w:cstheme="minorEastAsia"/>
                <w:b/>
                <w:bCs/>
                <w:sz w:val="22"/>
                <w:szCs w:val="28"/>
                <w:vertAlign w:val="baseline"/>
                <w:lang w:eastAsia="zh-CN"/>
              </w:rPr>
              <w:t>单位</w:t>
            </w:r>
          </w:p>
        </w:tc>
        <w:tc>
          <w:tcPr>
            <w:tcW w:w="418" w:type="pct"/>
            <w:shd w:val="clear" w:color="auto" w:fill="auto"/>
            <w:vAlign w:val="center"/>
          </w:tcPr>
          <w:p w14:paraId="3213D6DA">
            <w:pPr>
              <w:jc w:val="center"/>
              <w:rPr>
                <w:rFonts w:hint="eastAsia" w:asciiTheme="minorEastAsia" w:hAnsiTheme="minorEastAsia" w:cstheme="minorEastAsia"/>
                <w:b/>
                <w:bCs/>
                <w:sz w:val="22"/>
                <w:szCs w:val="28"/>
                <w:vertAlign w:val="baseline"/>
                <w:lang w:eastAsia="zh-CN"/>
              </w:rPr>
            </w:pPr>
            <w:r>
              <w:rPr>
                <w:rFonts w:hint="eastAsia" w:asciiTheme="minorEastAsia" w:hAnsiTheme="minorEastAsia" w:cstheme="minorEastAsia"/>
                <w:b/>
                <w:bCs/>
                <w:sz w:val="22"/>
                <w:szCs w:val="28"/>
                <w:vertAlign w:val="baseline"/>
                <w:lang w:eastAsia="zh-CN"/>
              </w:rPr>
              <w:t>数量</w:t>
            </w:r>
          </w:p>
        </w:tc>
        <w:tc>
          <w:tcPr>
            <w:tcW w:w="659" w:type="pct"/>
            <w:shd w:val="clear" w:color="auto" w:fill="auto"/>
            <w:vAlign w:val="center"/>
          </w:tcPr>
          <w:p w14:paraId="3C7EC8B4">
            <w:pPr>
              <w:jc w:val="center"/>
              <w:rPr>
                <w:rFonts w:hint="eastAsia" w:asciiTheme="minorEastAsia" w:hAnsiTheme="minorEastAsia" w:cstheme="minorEastAsia"/>
                <w:b/>
                <w:bCs/>
                <w:sz w:val="22"/>
                <w:szCs w:val="28"/>
                <w:vertAlign w:val="baseline"/>
                <w:lang w:eastAsia="zh-CN"/>
              </w:rPr>
            </w:pPr>
            <w:r>
              <w:rPr>
                <w:rFonts w:hint="eastAsia" w:ascii="宋体" w:hAnsi="宋体" w:cs="宋体"/>
                <w:b/>
                <w:bCs/>
                <w:sz w:val="24"/>
              </w:rPr>
              <w:t>预算金额</w:t>
            </w:r>
          </w:p>
        </w:tc>
        <w:tc>
          <w:tcPr>
            <w:tcW w:w="507" w:type="pct"/>
            <w:shd w:val="clear" w:color="auto" w:fill="auto"/>
            <w:vAlign w:val="center"/>
          </w:tcPr>
          <w:p w14:paraId="6C166331">
            <w:pPr>
              <w:jc w:val="center"/>
              <w:rPr>
                <w:rFonts w:hint="eastAsia" w:ascii="宋体" w:hAnsi="宋体" w:eastAsia="宋体" w:cs="宋体"/>
                <w:b/>
                <w:bCs/>
                <w:sz w:val="24"/>
                <w:lang w:val="en-US" w:eastAsia="zh-CN"/>
              </w:rPr>
            </w:pPr>
            <w:r>
              <w:rPr>
                <w:rFonts w:hint="eastAsia" w:ascii="宋体" w:hAnsi="宋体" w:cs="宋体"/>
                <w:b/>
                <w:bCs/>
                <w:sz w:val="24"/>
                <w:lang w:val="en-US" w:eastAsia="zh-CN"/>
              </w:rPr>
              <w:t>备注</w:t>
            </w:r>
          </w:p>
        </w:tc>
      </w:tr>
      <w:tr w14:paraId="067A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022" w:type="pct"/>
            <w:shd w:val="clear" w:color="auto" w:fill="auto"/>
            <w:vAlign w:val="center"/>
          </w:tcPr>
          <w:p w14:paraId="7E1454CC">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一、全流程网上办理案件：材料接收转递、卷宗扫描、立案信息回填、纸质材料保存与流转、电子卷宗技术校正、材料规范编目、纸质卷宗装订、协同归档等。</w:t>
            </w:r>
          </w:p>
          <w:p w14:paraId="10238D3E">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二、电子卷宗单套制：（1）辅助、引导当事人现场立案：现场引导当事人进行立案案件材料的整理，指导系统操作及上传数据材料。</w:t>
            </w:r>
          </w:p>
          <w:p w14:paraId="3DDC86A4">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2）网上立案材料影像核验：在审判管理系统中，对当事人网上立案提交的材料影像，按照最后的归档标准进行检测，涉密甄别，标注、分类回退、审核工作。现场立案、庭审过程中材料随案影像采集：对当事人现场提交的立案材料进行影像采集，完成先扫后立采集；对庭审过程中当事人提供材料，进行扫描数字化处理、上传。</w:t>
            </w:r>
          </w:p>
          <w:p w14:paraId="0EEFA882">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3）网上立案、现场立案、庭审过程中材料的每条目录核验、纠偏:对当事人现场提交立案材料目录进一步完善；对庭审过程中扫描图片生成的目录，根据立卷规范进行调整，对命名不正确的图片证据的条目进行修正。</w:t>
            </w:r>
          </w:p>
          <w:p w14:paraId="20E7A0FA">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4.归档复验：</w:t>
            </w:r>
          </w:p>
          <w:p w14:paraId="1B7C6E70">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（1）电子档案复验检查：在档案管理归档系统中。对电子档案影像及条目进行核验，检查影像质量，归档目录，正副卷内容，卷宗签字核查等核验工作。</w:t>
            </w:r>
          </w:p>
          <w:p w14:paraId="43E403B2">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（2）纸质附件核对整理及装订：对通过复验电子档案，完成纸质材料归档，整理装订，编页码，打封面和装订等工作。</w:t>
            </w:r>
          </w:p>
          <w:p w14:paraId="240572B0">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（3）电子档案备份：对通过复验的电子档案进行归集、索引、备份、打印。</w:t>
            </w:r>
          </w:p>
          <w:p w14:paraId="6610A261">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（4）辅助对外阅卷：辅助参与对外阅卷所需的接待、登记、刻盘、备份及其他工作。</w:t>
            </w:r>
          </w:p>
          <w:p w14:paraId="5582CC00">
            <w:pPr>
              <w:jc w:val="both"/>
              <w:rPr>
                <w:rFonts w:hint="default" w:ascii="宋体" w:hAnsi="宋体" w:eastAsia="宋体" w:cs="宋体"/>
                <w:sz w:val="24"/>
                <w:lang w:val="en-US" w:eastAsia="zh-CN"/>
              </w:rPr>
            </w:pPr>
            <w:r>
              <w:rPr>
                <w:rFonts w:hint="eastAsia" w:ascii="仿宋_GB2312" w:eastAsia="仿宋_GB2312"/>
                <w:b/>
                <w:bCs/>
                <w:sz w:val="22"/>
                <w:szCs w:val="22"/>
                <w:lang w:eastAsia="zh-CN"/>
              </w:rPr>
              <w:t>（5）归档装盒及排架索引：在库房对纸质档案进行装盒，排架索引、辅助上架。</w:t>
            </w:r>
          </w:p>
        </w:tc>
        <w:tc>
          <w:tcPr>
            <w:tcW w:w="391" w:type="pct"/>
            <w:shd w:val="clear" w:color="auto" w:fill="auto"/>
            <w:vAlign w:val="center"/>
          </w:tcPr>
          <w:p w14:paraId="5A07B00D">
            <w:pPr>
              <w:jc w:val="both"/>
              <w:rPr>
                <w:rFonts w:hint="default" w:ascii="宋体" w:hAnsi="宋体" w:cs="宋体"/>
                <w:sz w:val="24"/>
                <w:lang w:val="en-US" w:eastAsia="zh-CN"/>
              </w:rPr>
            </w:pPr>
            <w:r>
              <w:rPr>
                <w:rFonts w:hint="eastAsia" w:ascii="宋体" w:hAnsi="宋体" w:cs="宋体"/>
                <w:sz w:val="24"/>
                <w:lang w:val="en-US" w:eastAsia="zh-CN"/>
              </w:rPr>
              <w:t>年</w:t>
            </w:r>
          </w:p>
        </w:tc>
        <w:tc>
          <w:tcPr>
            <w:tcW w:w="418" w:type="pct"/>
            <w:shd w:val="clear" w:color="auto" w:fill="auto"/>
            <w:vAlign w:val="center"/>
          </w:tcPr>
          <w:p w14:paraId="5858A23D">
            <w:pPr>
              <w:jc w:val="both"/>
              <w:rPr>
                <w:rFonts w:hint="default" w:ascii="宋体" w:hAnsi="宋体" w:cs="宋体"/>
                <w:sz w:val="24"/>
                <w:lang w:val="en-US" w:eastAsia="zh-CN"/>
              </w:rPr>
            </w:pPr>
            <w:r>
              <w:rPr>
                <w:rFonts w:hint="eastAsia" w:ascii="宋体" w:hAnsi="宋体" w:cs="宋体"/>
                <w:sz w:val="24"/>
                <w:lang w:val="en-US" w:eastAsia="zh-CN"/>
              </w:rPr>
              <w:t>1</w:t>
            </w:r>
          </w:p>
        </w:tc>
        <w:tc>
          <w:tcPr>
            <w:tcW w:w="659" w:type="pct"/>
            <w:shd w:val="clear" w:color="auto" w:fill="auto"/>
            <w:vAlign w:val="center"/>
          </w:tcPr>
          <w:p w14:paraId="455BD6CC">
            <w:pPr>
              <w:jc w:val="both"/>
              <w:rPr>
                <w:rFonts w:hint="eastAsia" w:ascii="宋体" w:hAnsi="宋体" w:cs="宋体"/>
                <w:sz w:val="24"/>
                <w:lang w:val="en-US" w:eastAsia="zh-CN"/>
              </w:rPr>
            </w:pPr>
          </w:p>
        </w:tc>
        <w:tc>
          <w:tcPr>
            <w:tcW w:w="507" w:type="pct"/>
            <w:shd w:val="clear" w:color="auto" w:fill="auto"/>
            <w:vAlign w:val="center"/>
          </w:tcPr>
          <w:p w14:paraId="4ACB6A3D">
            <w:pPr>
              <w:jc w:val="both"/>
              <w:rPr>
                <w:rFonts w:hint="eastAsia" w:ascii="宋体" w:hAnsi="宋体" w:cs="宋体"/>
                <w:sz w:val="24"/>
                <w:lang w:val="en-US" w:eastAsia="zh-CN"/>
              </w:rPr>
            </w:pPr>
            <w:r>
              <w:rPr>
                <w:rFonts w:hint="eastAsia" w:asciiTheme="minorEastAsia" w:hAnsiTheme="minorEastAsia" w:cstheme="minorEastAsia"/>
                <w:b/>
                <w:bCs/>
                <w:sz w:val="22"/>
                <w:szCs w:val="28"/>
                <w:vertAlign w:val="baseline"/>
                <w:lang w:eastAsia="zh-CN"/>
              </w:rPr>
              <w:t>提供</w:t>
            </w:r>
            <w:r>
              <w:rPr>
                <w:rFonts w:hint="eastAsia" w:asciiTheme="minorEastAsia" w:hAnsiTheme="minorEastAsia" w:cstheme="minorEastAsia"/>
                <w:b/>
                <w:bCs/>
                <w:sz w:val="22"/>
                <w:szCs w:val="28"/>
                <w:vertAlign w:val="baseline"/>
                <w:lang w:val="en-US" w:eastAsia="zh-CN"/>
              </w:rPr>
              <w:t>1人，全流程服务</w:t>
            </w:r>
          </w:p>
        </w:tc>
      </w:tr>
    </w:tbl>
    <w:p w14:paraId="266623AA">
      <w:pPr>
        <w:rPr>
          <w:rFonts w:ascii="宋体" w:hAnsi="宋体" w:cs="宋体"/>
          <w:b/>
          <w:bCs/>
          <w:color w:val="000000"/>
          <w:sz w:val="24"/>
        </w:rPr>
      </w:pPr>
      <w:r>
        <w:rPr>
          <w:rFonts w:hint="eastAsia" w:ascii="宋体" w:hAnsi="宋体" w:cs="宋体"/>
          <w:b/>
          <w:bCs/>
          <w:color w:val="000000"/>
          <w:sz w:val="24"/>
          <w:lang w:val="en-US" w:eastAsia="zh-CN"/>
        </w:rPr>
        <w:t>二</w:t>
      </w:r>
      <w:r>
        <w:rPr>
          <w:rFonts w:hint="eastAsia" w:ascii="宋体" w:hAnsi="宋体" w:cs="宋体"/>
          <w:b/>
          <w:bCs/>
          <w:color w:val="000000"/>
          <w:sz w:val="24"/>
        </w:rPr>
        <w:t>、具体要求</w:t>
      </w:r>
    </w:p>
    <w:p w14:paraId="50B3955C">
      <w:pPr>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）档案扫描</w:t>
      </w:r>
    </w:p>
    <w:p w14:paraId="3A35E0FB">
      <w:pPr>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根据卷宗材料的质量和清晰程度，调整扫描仪的参数设置。扫描时应认真登记和核对页数和顺序，确保实际扫描页数与实体档案页数和顺序一致。</w:t>
      </w:r>
    </w:p>
    <w:p w14:paraId="508B5017">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扫描技术指标：分辨率不低于300dpi，对字体较小、字迹模糊的档案适当提高扫描分辨率，采用彩色模式进行扫描，存储格式采用</w:t>
      </w:r>
      <w:r>
        <w:rPr>
          <w:rFonts w:hint="eastAsia" w:ascii="宋体" w:hAnsi="宋体" w:eastAsia="宋体" w:cs="宋体"/>
          <w:sz w:val="24"/>
          <w:lang w:val="en-US" w:eastAsia="zh-CN"/>
        </w:rPr>
        <w:t>JPEG和PDF格式。</w:t>
      </w:r>
    </w:p>
    <w:p w14:paraId="6BF1AF67">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2.扫描时应认真登记和核对扫描的页数和顺序，确保实际扫描页数与实体档案整理时页数和顺序完全一致。</w:t>
      </w:r>
    </w:p>
    <w:p w14:paraId="171D0FB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3.材料破损严重、无法直接进行扫描的档案，应先进行技术修复，折皱不平影响扫描质量的原件应先进行平整处理再进行扫描。</w:t>
      </w:r>
    </w:p>
    <w:p w14:paraId="2A6AF0CA">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4.扫描工作完成后，拆除过装订物的档案应按要求装档案袋保管，且必须保持档案的排列顺序不变，做到安全、准确、无遗漏。</w:t>
      </w:r>
    </w:p>
    <w:p w14:paraId="6C390A16">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（二）图像处理</w:t>
      </w:r>
    </w:p>
    <w:p w14:paraId="35990005">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1.扫描后的图像需要进行优化处理，对图像清晰度、色调、偏斜、污渍、黑边进行调整、清除。</w:t>
      </w:r>
    </w:p>
    <w:p w14:paraId="663FC476">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2.扫描图像应清晰、完整，且图像内容与档案实体内容相符，不能丢失或任意增加信息（标识符除外），不能有明显黑边、污点等，页面端正，不能有明显倾斜、卷曲、折痕。</w:t>
      </w:r>
    </w:p>
    <w:p w14:paraId="4129E1B8">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3.对大幅面档案进行分区扫描形成的多幅图像，并进行拼接处理，合并为一个完整的图像，以保证档案数字化图像的准确性、完整性。</w:t>
      </w:r>
    </w:p>
    <w:p w14:paraId="551EC7C8">
      <w:pPr>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4、图像处理完毕后，将扫描的卷宗上传到办案系统，按照甲方工作要求，对上传的卷宗进行编目等。</w:t>
      </w:r>
    </w:p>
    <w:p w14:paraId="0F49EE69">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（三）档案装订</w:t>
      </w:r>
    </w:p>
    <w:p w14:paraId="28D3D85E">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1.档案装订要认真检查档案数量，封面与目录的完整，装订时不压字，顺序正确。</w:t>
      </w:r>
    </w:p>
    <w:p w14:paraId="0C9E4D66">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2.装订时保持档案完整，装订要结实、齐整，不掉页，不倒页，不压字，不损坏文件，不妨碍阅读。</w:t>
      </w:r>
    </w:p>
    <w:p w14:paraId="2A4D3064">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3.装订好后加贴专用封条并加盖扫描章。</w:t>
      </w:r>
    </w:p>
    <w:p w14:paraId="463BBE16">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（四）数据质检</w:t>
      </w:r>
    </w:p>
    <w:p w14:paraId="7B38E3BD">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对加工的数据（图像质量、著录质量）进行认真负责的自检，自检达到数据质量标准后，才能交付甲方使用。</w:t>
      </w:r>
    </w:p>
    <w:p w14:paraId="5D364BB4">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（五）数据要求</w:t>
      </w:r>
    </w:p>
    <w:p w14:paraId="79ADDADC">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将加工处理完成的电子卷宗数据导入到法院系统中，并完成归目、编目、标记操作。</w:t>
      </w:r>
    </w:p>
    <w:p w14:paraId="22B0459E">
      <w:pPr>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确保电子卷宗电子文件在所使用的系统中有效准确的检索和显示，确保扫描图像与卷内目录正确、有效。</w:t>
      </w:r>
    </w:p>
    <w:p w14:paraId="36EEE4FC">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（六）数据备份</w:t>
      </w:r>
    </w:p>
    <w:p w14:paraId="58ACDE63">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1.完成加工后及时向甲方移交备份数据。</w:t>
      </w:r>
    </w:p>
    <w:p w14:paraId="110F0062">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2.数据信息中严禁带有计算机病毒及黑客程序等有害信息和与档案无关的信息。</w:t>
      </w:r>
    </w:p>
    <w:p w14:paraId="6B730BC8">
      <w:pPr>
        <w:ind w:firstLine="482" w:firstLineChars="200"/>
        <w:rPr>
          <w:rFonts w:ascii="宋体" w:hAnsi="宋体" w:cs="宋体"/>
          <w:b/>
          <w:bCs/>
          <w:color w:val="000000"/>
          <w:sz w:val="24"/>
        </w:rPr>
      </w:pPr>
      <w:r>
        <w:rPr>
          <w:rFonts w:hint="eastAsia" w:ascii="宋体" w:hAnsi="宋体" w:cs="宋体"/>
          <w:b/>
          <w:bCs/>
          <w:color w:val="000000"/>
          <w:sz w:val="24"/>
          <w:lang w:val="en-US" w:eastAsia="zh-CN"/>
        </w:rPr>
        <w:t>三</w:t>
      </w:r>
      <w:r>
        <w:rPr>
          <w:rFonts w:hint="eastAsia" w:ascii="宋体" w:hAnsi="宋体" w:cs="宋体"/>
          <w:b/>
          <w:bCs/>
          <w:color w:val="000000"/>
          <w:sz w:val="24"/>
        </w:rPr>
        <w:t>、贵州省政府采购云平台-需要提交的资料</w:t>
      </w:r>
    </w:p>
    <w:tbl>
      <w:tblPr>
        <w:tblStyle w:val="13"/>
        <w:tblW w:w="9631" w:type="dxa"/>
        <w:tblInd w:w="-301" w:type="dxa"/>
        <w:tblLayout w:type="fixed"/>
        <w:tblCellMar>
          <w:top w:w="0" w:type="dxa"/>
          <w:left w:w="108" w:type="dxa"/>
          <w:bottom w:w="0" w:type="dxa"/>
          <w:right w:w="108" w:type="dxa"/>
        </w:tblCellMar>
      </w:tblPr>
      <w:tblGrid>
        <w:gridCol w:w="1106"/>
        <w:gridCol w:w="8525"/>
      </w:tblGrid>
      <w:tr w14:paraId="600FFFB6">
        <w:tblPrEx>
          <w:tblCellMar>
            <w:top w:w="0" w:type="dxa"/>
            <w:left w:w="108" w:type="dxa"/>
            <w:bottom w:w="0" w:type="dxa"/>
            <w:right w:w="108" w:type="dxa"/>
          </w:tblCellMar>
        </w:tblPrEx>
        <w:trPr>
          <w:trHeight w:val="492"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98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67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评审要求</w:t>
            </w:r>
          </w:p>
        </w:tc>
      </w:tr>
      <w:tr w14:paraId="68A1A894">
        <w:tblPrEx>
          <w:tblCellMar>
            <w:top w:w="0" w:type="dxa"/>
            <w:left w:w="108" w:type="dxa"/>
            <w:bottom w:w="0" w:type="dxa"/>
            <w:right w:w="108" w:type="dxa"/>
          </w:tblCellMar>
        </w:tblPrEx>
        <w:trPr>
          <w:trHeight w:val="57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A69C">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一</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7AA">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企业资质</w:t>
            </w:r>
          </w:p>
        </w:tc>
      </w:tr>
      <w:tr w14:paraId="2B986562">
        <w:tblPrEx>
          <w:tblCellMar>
            <w:top w:w="0" w:type="dxa"/>
            <w:left w:w="108" w:type="dxa"/>
            <w:bottom w:w="0" w:type="dxa"/>
            <w:right w:w="108" w:type="dxa"/>
          </w:tblCellMar>
        </w:tblPrEx>
        <w:trPr>
          <w:trHeight w:val="563"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B51A">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448">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具有独立承担民事责任的能力：提供有效的营业执照</w:t>
            </w:r>
            <w:r>
              <w:rPr>
                <w:rFonts w:hint="eastAsia" w:ascii="宋体" w:hAnsi="宋体" w:cs="宋体"/>
                <w:color w:val="000000"/>
                <w:kern w:val="0"/>
                <w:sz w:val="24"/>
                <w:lang w:eastAsia="zh-CN" w:bidi="ar"/>
              </w:rPr>
              <w:t>。</w:t>
            </w:r>
          </w:p>
        </w:tc>
      </w:tr>
      <w:tr w14:paraId="2D86C86E">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096">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4CC">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val="en-US" w:eastAsia="zh-CN" w:bidi="ar"/>
              </w:rPr>
              <w:t>2024年</w:t>
            </w:r>
            <w:r>
              <w:rPr>
                <w:rFonts w:hint="eastAsia" w:ascii="宋体" w:hAnsi="宋体" w:cs="宋体"/>
                <w:color w:val="000000"/>
                <w:kern w:val="0"/>
                <w:sz w:val="24"/>
                <w:highlight w:val="none"/>
                <w:lang w:bidi="ar"/>
              </w:rPr>
              <w:t>经审计的财务报告或202</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年基本开户银行出具的资信证明。</w:t>
            </w:r>
          </w:p>
        </w:tc>
      </w:tr>
      <w:tr w14:paraId="355BE9FF">
        <w:tblPrEx>
          <w:tblCellMar>
            <w:top w:w="0" w:type="dxa"/>
            <w:left w:w="108" w:type="dxa"/>
            <w:bottom w:w="0" w:type="dxa"/>
            <w:right w:w="108" w:type="dxa"/>
          </w:tblCellMar>
        </w:tblPrEx>
        <w:trPr>
          <w:trHeight w:val="531"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5EF1">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B5A">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提供202</w:t>
            </w:r>
            <w:r>
              <w:rPr>
                <w:rFonts w:hint="eastAsia" w:ascii="宋体" w:hAnsi="宋体" w:cs="宋体"/>
                <w:color w:val="000000"/>
                <w:kern w:val="0"/>
                <w:sz w:val="24"/>
                <w:highlight w:val="none"/>
                <w:lang w:val="en-US" w:eastAsia="zh-CN" w:bidi="ar"/>
              </w:rPr>
              <w:t>5</w:t>
            </w:r>
            <w:r>
              <w:rPr>
                <w:rFonts w:hint="eastAsia" w:ascii="宋体" w:hAnsi="宋体" w:cs="宋体"/>
                <w:color w:val="000000"/>
                <w:kern w:val="0"/>
                <w:sz w:val="24"/>
                <w:highlight w:val="none"/>
                <w:lang w:bidi="ar"/>
              </w:rPr>
              <w:t>年至投标截止时间前任意1个月依法缴纳税收和社会保障资金的证明材料。</w:t>
            </w:r>
          </w:p>
        </w:tc>
      </w:tr>
      <w:tr w14:paraId="1DDBE69B">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91F2">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BF8">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提供参加政府采购活动前3年内在经营活动中没有重大违法记录的书面声明。</w:t>
            </w:r>
          </w:p>
        </w:tc>
      </w:tr>
      <w:tr w14:paraId="3D5F6EC3">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080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1.5</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4BA">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黔东南州档案局备案中介</w:t>
            </w:r>
            <w:r>
              <w:rPr>
                <w:rFonts w:hint="eastAsia" w:ascii="宋体" w:hAnsi="宋体" w:cs="宋体"/>
                <w:color w:val="000000"/>
                <w:kern w:val="0"/>
                <w:sz w:val="24"/>
                <w:lang w:eastAsia="zh-CN" w:bidi="ar"/>
              </w:rPr>
              <w:t>服务机构备案证明材料（第十批次）。</w:t>
            </w:r>
          </w:p>
        </w:tc>
      </w:tr>
      <w:tr w14:paraId="33E262DD">
        <w:tblPrEx>
          <w:tblCellMar>
            <w:top w:w="0" w:type="dxa"/>
            <w:left w:w="108" w:type="dxa"/>
            <w:bottom w:w="0" w:type="dxa"/>
            <w:right w:w="108" w:type="dxa"/>
          </w:tblCellMar>
        </w:tblPrEx>
        <w:trPr>
          <w:trHeight w:val="70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261C">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1.6</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25E4">
            <w:pPr>
              <w:widowControl/>
              <w:jc w:val="left"/>
              <w:textAlignment w:val="center"/>
              <w:rPr>
                <w:rFonts w:ascii="宋体" w:hAnsi="宋体" w:cs="宋体"/>
                <w:color w:val="000000"/>
                <w:sz w:val="24"/>
              </w:rPr>
            </w:pPr>
            <w:r>
              <w:rPr>
                <w:rFonts w:hint="eastAsia" w:ascii="宋体" w:hAnsi="宋体" w:cs="宋体"/>
                <w:color w:val="000000"/>
                <w:kern w:val="0"/>
                <w:sz w:val="24"/>
                <w:lang w:bidi="ar"/>
              </w:rPr>
              <w:t>具有省级或以上国家保密局颁发的“国家秘密载体印制资质证书”乙级资质，资质类别必须为：涉密档案数字化加工。</w:t>
            </w:r>
          </w:p>
        </w:tc>
      </w:tr>
      <w:tr w14:paraId="3953F8DB">
        <w:tblPrEx>
          <w:tblCellMar>
            <w:top w:w="0" w:type="dxa"/>
            <w:left w:w="108" w:type="dxa"/>
            <w:bottom w:w="0" w:type="dxa"/>
            <w:right w:w="108" w:type="dxa"/>
          </w:tblCellMar>
        </w:tblPrEx>
        <w:trPr>
          <w:trHeight w:val="70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F3C7">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1.7</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282">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highlight w:val="none"/>
                <w:lang w:eastAsia="zh-CN" w:bidi="ar"/>
              </w:rPr>
              <w:t>为保证人员稳定，</w:t>
            </w:r>
            <w:r>
              <w:rPr>
                <w:rFonts w:hint="eastAsia" w:ascii="宋体" w:hAnsi="宋体" w:cs="宋体"/>
                <w:color w:val="000000"/>
                <w:kern w:val="0"/>
                <w:sz w:val="24"/>
                <w:highlight w:val="none"/>
                <w:lang w:bidi="ar"/>
              </w:rPr>
              <w:t>供应商</w:t>
            </w:r>
            <w:r>
              <w:rPr>
                <w:rFonts w:hint="eastAsia" w:ascii="宋体" w:hAnsi="宋体" w:cs="宋体"/>
                <w:color w:val="auto"/>
                <w:kern w:val="0"/>
                <w:sz w:val="24"/>
                <w:highlight w:val="none"/>
                <w:lang w:bidi="ar"/>
              </w:rPr>
              <w:t>项目</w:t>
            </w:r>
            <w:r>
              <w:rPr>
                <w:rFonts w:hint="eastAsia" w:ascii="宋体" w:hAnsi="宋体" w:cs="宋体"/>
                <w:color w:val="auto"/>
                <w:kern w:val="0"/>
                <w:sz w:val="24"/>
                <w:highlight w:val="none"/>
                <w:lang w:eastAsia="zh-CN" w:bidi="ar"/>
              </w:rPr>
              <w:t>实施人员应具有近</w:t>
            </w:r>
            <w:r>
              <w:rPr>
                <w:rFonts w:hint="eastAsia" w:ascii="宋体" w:hAnsi="宋体" w:cs="宋体"/>
                <w:color w:val="auto"/>
                <w:kern w:val="0"/>
                <w:sz w:val="24"/>
                <w:highlight w:val="none"/>
                <w:lang w:val="en-US" w:eastAsia="zh-CN" w:bidi="ar"/>
              </w:rPr>
              <w:t>3个月</w:t>
            </w:r>
            <w:r>
              <w:rPr>
                <w:rFonts w:hint="eastAsia" w:ascii="宋体" w:hAnsi="宋体" w:cs="宋体"/>
                <w:color w:val="auto"/>
                <w:kern w:val="0"/>
                <w:sz w:val="24"/>
                <w:highlight w:val="none"/>
                <w:lang w:eastAsia="zh-CN" w:bidi="ar"/>
              </w:rPr>
              <w:t>社保证明，且具备有较强的保密性和专业性需提供：档案相关证书“管理员”职称、“助理馆员”职称、</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eastAsia="zh-CN" w:bidi="ar"/>
              </w:rPr>
              <w:t>保密教育培训证书</w:t>
            </w:r>
            <w:r>
              <w:rPr>
                <w:rFonts w:hint="eastAsia" w:ascii="宋体" w:hAnsi="宋体" w:cs="宋体"/>
                <w:color w:val="000000"/>
                <w:kern w:val="0"/>
                <w:sz w:val="24"/>
                <w:highlight w:val="none"/>
                <w:lang w:bidi="ar"/>
              </w:rPr>
              <w:t>”、“档案</w:t>
            </w:r>
            <w:r>
              <w:rPr>
                <w:rFonts w:hint="eastAsia" w:ascii="宋体" w:hAnsi="宋体" w:cs="宋体"/>
                <w:color w:val="000000"/>
                <w:kern w:val="0"/>
                <w:sz w:val="24"/>
                <w:highlight w:val="none"/>
                <w:lang w:eastAsia="zh-CN" w:bidi="ar"/>
              </w:rPr>
              <w:t>结业证书</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eastAsia="zh-CN" w:bidi="ar"/>
              </w:rPr>
              <w:t>、档案主管部门颁发“荣誉证书”</w:t>
            </w:r>
            <w:r>
              <w:rPr>
                <w:rFonts w:hint="eastAsia" w:ascii="宋体" w:hAnsi="宋体" w:cs="宋体"/>
                <w:color w:val="000000"/>
                <w:kern w:val="0"/>
                <w:sz w:val="24"/>
                <w:highlight w:val="none"/>
                <w:lang w:bidi="ar"/>
              </w:rPr>
              <w:t>。</w:t>
            </w:r>
          </w:p>
        </w:tc>
      </w:tr>
    </w:tbl>
    <w:p w14:paraId="5A3EB848">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20E65"/>
    <w:multiLevelType w:val="multilevel"/>
    <w:tmpl w:val="A7B20E65"/>
    <w:lvl w:ilvl="0" w:tentative="0">
      <w:start w:val="1"/>
      <w:numFmt w:val="decimal"/>
      <w:pStyle w:val="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TJjYzM2MzU3Y2ZjNzI2YzA0NjVmMTVmNWJkYjIifQ=="/>
  </w:docVars>
  <w:rsids>
    <w:rsidRoot w:val="002F2B97"/>
    <w:rsid w:val="000A1C41"/>
    <w:rsid w:val="002F2B97"/>
    <w:rsid w:val="00377AF8"/>
    <w:rsid w:val="004D344D"/>
    <w:rsid w:val="004F6E29"/>
    <w:rsid w:val="00551D59"/>
    <w:rsid w:val="00622113"/>
    <w:rsid w:val="00AA4CAA"/>
    <w:rsid w:val="00BC33C3"/>
    <w:rsid w:val="00D37B80"/>
    <w:rsid w:val="00FB4916"/>
    <w:rsid w:val="02044193"/>
    <w:rsid w:val="02E903CF"/>
    <w:rsid w:val="03E730F6"/>
    <w:rsid w:val="04C3696D"/>
    <w:rsid w:val="04FF2E69"/>
    <w:rsid w:val="05F66454"/>
    <w:rsid w:val="07BF19AA"/>
    <w:rsid w:val="081A35F2"/>
    <w:rsid w:val="08DA2F68"/>
    <w:rsid w:val="0C280844"/>
    <w:rsid w:val="0CEA2971"/>
    <w:rsid w:val="0DD171A0"/>
    <w:rsid w:val="10444BA9"/>
    <w:rsid w:val="112A54B8"/>
    <w:rsid w:val="15026C96"/>
    <w:rsid w:val="150E1307"/>
    <w:rsid w:val="15490524"/>
    <w:rsid w:val="179B48F8"/>
    <w:rsid w:val="18783FCD"/>
    <w:rsid w:val="1FD969AC"/>
    <w:rsid w:val="1FE578B1"/>
    <w:rsid w:val="24417022"/>
    <w:rsid w:val="244A5705"/>
    <w:rsid w:val="24610C8C"/>
    <w:rsid w:val="26CB5C2B"/>
    <w:rsid w:val="2ACE68A5"/>
    <w:rsid w:val="2C280382"/>
    <w:rsid w:val="2D53351C"/>
    <w:rsid w:val="2EF751E4"/>
    <w:rsid w:val="30D533BF"/>
    <w:rsid w:val="31650EAE"/>
    <w:rsid w:val="322375A5"/>
    <w:rsid w:val="3288416F"/>
    <w:rsid w:val="33517B0A"/>
    <w:rsid w:val="352D6D15"/>
    <w:rsid w:val="388F27C8"/>
    <w:rsid w:val="38AC1D5F"/>
    <w:rsid w:val="38E40EF6"/>
    <w:rsid w:val="397C30AC"/>
    <w:rsid w:val="3AF9314A"/>
    <w:rsid w:val="3BFF4448"/>
    <w:rsid w:val="3E4C2A31"/>
    <w:rsid w:val="3EAC3E40"/>
    <w:rsid w:val="41642CBA"/>
    <w:rsid w:val="428E1E1E"/>
    <w:rsid w:val="42FD3804"/>
    <w:rsid w:val="464C743B"/>
    <w:rsid w:val="46BE5F2A"/>
    <w:rsid w:val="47E60083"/>
    <w:rsid w:val="489D7464"/>
    <w:rsid w:val="49A66247"/>
    <w:rsid w:val="49B97071"/>
    <w:rsid w:val="49FD1472"/>
    <w:rsid w:val="4A0D5D1E"/>
    <w:rsid w:val="4B7E669A"/>
    <w:rsid w:val="4F0D3738"/>
    <w:rsid w:val="4FBE5A46"/>
    <w:rsid w:val="50C335DB"/>
    <w:rsid w:val="518B1018"/>
    <w:rsid w:val="54C95415"/>
    <w:rsid w:val="556222E6"/>
    <w:rsid w:val="556E32E0"/>
    <w:rsid w:val="57170DD5"/>
    <w:rsid w:val="58A963DF"/>
    <w:rsid w:val="597C5E93"/>
    <w:rsid w:val="5A7D203A"/>
    <w:rsid w:val="5B2F3EBB"/>
    <w:rsid w:val="5D933278"/>
    <w:rsid w:val="5DD41463"/>
    <w:rsid w:val="5E897971"/>
    <w:rsid w:val="5FED41D0"/>
    <w:rsid w:val="60716BAF"/>
    <w:rsid w:val="608949FB"/>
    <w:rsid w:val="60F0499D"/>
    <w:rsid w:val="610429DC"/>
    <w:rsid w:val="61D70C94"/>
    <w:rsid w:val="6294734F"/>
    <w:rsid w:val="62B579BC"/>
    <w:rsid w:val="641C2A90"/>
    <w:rsid w:val="67B04BB2"/>
    <w:rsid w:val="6A3F1FD2"/>
    <w:rsid w:val="6B39651C"/>
    <w:rsid w:val="6B71389E"/>
    <w:rsid w:val="6C764382"/>
    <w:rsid w:val="6F961D1E"/>
    <w:rsid w:val="72600832"/>
    <w:rsid w:val="72904F2A"/>
    <w:rsid w:val="75536080"/>
    <w:rsid w:val="79EF1636"/>
    <w:rsid w:val="7A8A26B3"/>
    <w:rsid w:val="7B51340D"/>
    <w:rsid w:val="7F0635D3"/>
    <w:rsid w:val="7F3A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autoRedefine/>
    <w:qFormat/>
    <w:uiPriority w:val="0"/>
    <w:pPr>
      <w:keepNext/>
      <w:keepLines/>
      <w:spacing w:before="340" w:after="330" w:line="576" w:lineRule="auto"/>
      <w:jc w:val="left"/>
      <w:outlineLvl w:val="0"/>
    </w:pPr>
    <w:rPr>
      <w:rFonts w:ascii="Times New Roman" w:hAnsi="Times New Roman"/>
      <w:b/>
      <w:kern w:val="44"/>
      <w:sz w:val="32"/>
    </w:rPr>
  </w:style>
  <w:style w:type="paragraph" w:styleId="4">
    <w:name w:val="heading 2"/>
    <w:basedOn w:val="1"/>
    <w:next w:val="1"/>
    <w:autoRedefine/>
    <w:unhideWhenUsed/>
    <w:qFormat/>
    <w:uiPriority w:val="0"/>
    <w:pPr>
      <w:keepNext/>
      <w:keepLines/>
      <w:spacing w:line="440" w:lineRule="exact"/>
      <w:jc w:val="left"/>
      <w:outlineLvl w:val="1"/>
    </w:pPr>
    <w:rPr>
      <w:rFonts w:ascii="仿宋_GB2312" w:hAnsi="仿宋_GB2312"/>
      <w:sz w:val="24"/>
    </w:rPr>
  </w:style>
  <w:style w:type="paragraph" w:styleId="5">
    <w:name w:val="heading 3"/>
    <w:basedOn w:val="1"/>
    <w:next w:val="1"/>
    <w:link w:val="18"/>
    <w:autoRedefine/>
    <w:unhideWhenUsed/>
    <w:qFormat/>
    <w:uiPriority w:val="0"/>
    <w:pPr>
      <w:keepNext/>
      <w:keepLines/>
      <w:spacing w:before="260" w:after="260" w:line="413" w:lineRule="auto"/>
      <w:outlineLvl w:val="2"/>
    </w:pPr>
    <w:rPr>
      <w:rFonts w:ascii="Times New Roman" w:hAnsi="Times New Roman"/>
      <w:b/>
      <w:sz w:val="28"/>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仿宋"/>
      <w:b/>
      <w:sz w:val="24"/>
    </w:rPr>
  </w:style>
  <w:style w:type="paragraph" w:styleId="7">
    <w:name w:val="heading 5"/>
    <w:basedOn w:val="1"/>
    <w:next w:val="1"/>
    <w:autoRedefine/>
    <w:semiHidden/>
    <w:unhideWhenUsed/>
    <w:qFormat/>
    <w:uiPriority w:val="0"/>
    <w:pPr>
      <w:keepNext/>
      <w:keepLines/>
      <w:spacing w:before="280" w:after="290" w:line="376" w:lineRule="auto"/>
      <w:outlineLvl w:val="4"/>
    </w:pPr>
    <w:rPr>
      <w:rFonts w:ascii="楷体_GB2312" w:hAnsi="楷体_GB2312"/>
      <w:b/>
      <w:bCs/>
      <w:sz w:val="24"/>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r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annotation text"/>
    <w:basedOn w:val="1"/>
    <w:autoRedefine/>
    <w:unhideWhenUsed/>
    <w:qFormat/>
    <w:uiPriority w:val="99"/>
    <w:pPr>
      <w:jc w:val="left"/>
    </w:pPr>
    <w:rPr>
      <w:kern w:val="0"/>
      <w:sz w:val="20"/>
      <w:szCs w:val="20"/>
    </w:rPr>
  </w:style>
  <w:style w:type="paragraph" w:styleId="10">
    <w:name w:val="Plain Text"/>
    <w:basedOn w:val="1"/>
    <w:autoRedefine/>
    <w:qFormat/>
    <w:uiPriority w:val="99"/>
    <w:rPr>
      <w:rFonts w:ascii="宋体" w:hAnsi="Courier New"/>
      <w:szCs w:val="21"/>
    </w:rPr>
  </w:style>
  <w:style w:type="paragraph" w:styleId="11">
    <w:name w:val="Subtitle"/>
    <w:basedOn w:val="1"/>
    <w:autoRedefine/>
    <w:qFormat/>
    <w:uiPriority w:val="0"/>
    <w:pPr>
      <w:spacing w:before="240" w:after="60" w:line="312" w:lineRule="auto"/>
      <w:jc w:val="center"/>
      <w:outlineLvl w:val="1"/>
    </w:pPr>
    <w:rPr>
      <w:rFonts w:ascii="Arial" w:hAnsi="Arial"/>
      <w:b/>
      <w:kern w:val="28"/>
      <w:sz w:val="32"/>
    </w:rPr>
  </w:style>
  <w:style w:type="paragraph" w:styleId="12">
    <w:name w:val="Normal (Web)"/>
    <w:basedOn w:val="1"/>
    <w:autoRedefine/>
    <w:qFormat/>
    <w:uiPriority w:val="0"/>
    <w:pPr>
      <w:spacing w:beforeAutospacing="1" w:afterAutospacing="1"/>
      <w:jc w:val="left"/>
    </w:pPr>
    <w:rPr>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标题 1 字符"/>
    <w:link w:val="3"/>
    <w:autoRedefine/>
    <w:qFormat/>
    <w:uiPriority w:val="0"/>
    <w:rPr>
      <w:rFonts w:ascii="Times New Roman" w:hAnsi="Times New Roman" w:eastAsia="宋体"/>
      <w:b/>
      <w:kern w:val="44"/>
      <w:sz w:val="32"/>
    </w:rPr>
  </w:style>
  <w:style w:type="character" w:customStyle="1" w:styleId="18">
    <w:name w:val="标题 3 字符"/>
    <w:link w:val="5"/>
    <w:autoRedefine/>
    <w:qFormat/>
    <w:uiPriority w:val="0"/>
    <w:rPr>
      <w:rFonts w:ascii="Times New Roman" w:hAnsi="Times New Roman" w:eastAsia="宋体"/>
      <w:b/>
      <w:sz w:val="28"/>
    </w:rPr>
  </w:style>
  <w:style w:type="character" w:customStyle="1" w:styleId="19">
    <w:name w:val="font01"/>
    <w:basedOn w:val="15"/>
    <w:autoRedefine/>
    <w:qFormat/>
    <w:uiPriority w:val="0"/>
    <w:rPr>
      <w:rFonts w:hint="eastAsia" w:ascii="宋体" w:hAnsi="宋体" w:eastAsia="宋体" w:cs="宋体"/>
      <w:color w:val="000000"/>
      <w:sz w:val="20"/>
      <w:szCs w:val="20"/>
      <w:u w:val="none"/>
    </w:rPr>
  </w:style>
  <w:style w:type="paragraph" w:styleId="20">
    <w:name w:val="List Paragraph"/>
    <w:basedOn w:val="1"/>
    <w:next w:val="21"/>
    <w:autoRedefine/>
    <w:qFormat/>
    <w:uiPriority w:val="34"/>
    <w:pPr>
      <w:ind w:firstLine="420" w:firstLineChars="200"/>
    </w:pPr>
  </w:style>
  <w:style w:type="paragraph" w:customStyle="1" w:styleId="21">
    <w:name w:val="样式 样式 首行缩进:  2 字符 + 首行缩进:  2 字符"/>
    <w:basedOn w:val="1"/>
    <w:autoRedefine/>
    <w:qFormat/>
    <w:uiPriority w:val="0"/>
    <w:pPr>
      <w:numPr>
        <w:ilvl w:val="0"/>
        <w:numId w:val="1"/>
      </w:numPr>
      <w:tabs>
        <w:tab w:val="clear" w:pos="1230"/>
      </w:tabs>
      <w:spacing w:line="360" w:lineRule="auto"/>
      <w:ind w:firstLine="200" w:firstLineChars="200"/>
    </w:pPr>
    <w:rPr>
      <w:sz w:val="24"/>
    </w:rPr>
  </w:style>
  <w:style w:type="paragraph" w:customStyle="1" w:styleId="22">
    <w:name w:val="二"/>
    <w:basedOn w:val="4"/>
    <w:autoRedefine/>
    <w:qFormat/>
    <w:uiPriority w:val="0"/>
    <w:pPr>
      <w:spacing w:line="240" w:lineRule="auto"/>
    </w:pPr>
    <w:rPr>
      <w:rFonts w:ascii="方正仿宋_GBK" w:eastAsia="方正小标宋简体"/>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paragraph" w:customStyle="1" w:styleId="24">
    <w:name w:val="表格侧编号"/>
    <w:next w:val="1"/>
    <w:autoRedefine/>
    <w:qFormat/>
    <w:uiPriority w:val="0"/>
    <w:pPr>
      <w:widowControl w:val="0"/>
      <w:jc w:val="center"/>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2247</Words>
  <Characters>2351</Characters>
  <Lines>24</Lines>
  <Paragraphs>6</Paragraphs>
  <TotalTime>11</TotalTime>
  <ScaleCrop>false</ScaleCrop>
  <LinksUpToDate>false</LinksUpToDate>
  <CharactersWithSpaces>2357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小张张。</cp:lastModifiedBy>
  <dcterms:modified xsi:type="dcterms:W3CDTF">2025-07-31T07:51:37Z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197732902_btnclosed</vt:lpwstr>
  </property>
  <property fmtid="{D5CDD505-2E9C-101B-9397-08002B2CF9AE}" pid="4" name="ICV">
    <vt:lpwstr>32CA3ED52C3F49AEA633B5901226B124_13</vt:lpwstr>
  </property>
  <property fmtid="{D5CDD505-2E9C-101B-9397-08002B2CF9AE}" pid="5" name="KSOTemplateDocerSaveRecord">
    <vt:lpwstr>eyJoZGlkIjoiZTU5MDljZGYzMzI0MDBiYjk2YzYyZjUxNDc3N2VhOTciLCJ1c2VySWQiOiIzNTg5MDkxOTkifQ==</vt:lpwstr>
  </property>
</Properties>
</file>