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0" w:line="540" w:lineRule="exact"/>
        <w:ind w:firstLine="0" w:firstLineChars="0"/>
        <w:jc w:val="center"/>
        <w:rPr>
          <w:rFonts w:ascii="仿宋" w:hAnsi="仿宋" w:eastAsia="仿宋" w:cs="仿宋"/>
          <w:color w:val="000000"/>
          <w:sz w:val="44"/>
          <w:szCs w:val="44"/>
        </w:rPr>
      </w:pPr>
      <w:r>
        <w:rPr>
          <w:rFonts w:hint="eastAsia" w:ascii="仿宋" w:hAnsi="仿宋" w:eastAsia="仿宋" w:cs="仿宋"/>
          <w:color w:val="000000"/>
          <w:sz w:val="44"/>
          <w:szCs w:val="44"/>
        </w:rPr>
        <w:t>2025年玉屏侗族自治县中医院云桌面（国产）项目</w:t>
      </w:r>
      <w:bookmarkStart w:id="0" w:name="OLE_LINK3"/>
      <w:bookmarkStart w:id="1" w:name="OLE_LINK2"/>
      <w:r>
        <w:rPr>
          <w:rFonts w:hint="eastAsia" w:ascii="仿宋" w:hAnsi="仿宋" w:eastAsia="仿宋" w:cs="仿宋"/>
          <w:color w:val="000000"/>
          <w:sz w:val="44"/>
          <w:szCs w:val="44"/>
        </w:rPr>
        <w:t>采购公告</w:t>
      </w:r>
      <w:bookmarkEnd w:id="0"/>
      <w:bookmarkEnd w:id="1"/>
    </w:p>
    <w:p>
      <w:pPr>
        <w:pStyle w:val="5"/>
        <w:spacing w:after="0" w:line="540" w:lineRule="exact"/>
        <w:ind w:firstLine="0" w:firstLineChars="0"/>
        <w:jc w:val="center"/>
        <w:rPr>
          <w:rFonts w:ascii="方正小标宋简体" w:hAnsi="方正小标宋简体" w:eastAsia="方正小标宋简体" w:cs="方正小标宋简体"/>
          <w:color w:val="000000"/>
          <w:sz w:val="44"/>
          <w:szCs w:val="44"/>
        </w:rPr>
      </w:pPr>
    </w:p>
    <w:p>
      <w:pPr>
        <w:pStyle w:val="5"/>
        <w:numPr>
          <w:ilvl w:val="0"/>
          <w:numId w:val="1"/>
        </w:numPr>
        <w:spacing w:after="0" w:line="540" w:lineRule="exact"/>
        <w:ind w:firstLineChars="0"/>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项目基本情况</w:t>
      </w:r>
    </w:p>
    <w:p>
      <w:pPr>
        <w:pStyle w:val="5"/>
        <w:spacing w:after="0" w:line="540" w:lineRule="exact"/>
        <w:ind w:firstLine="0" w:firstLineChars="0"/>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项目名称：玉屏侗族自治县中医院云桌面（国产）项目</w:t>
      </w:r>
    </w:p>
    <w:p>
      <w:pPr>
        <w:pStyle w:val="5"/>
        <w:spacing w:after="0" w:line="540" w:lineRule="exact"/>
        <w:ind w:firstLine="0" w:firstLineChars="0"/>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采购方式：贵州省政府采购网电子卖场竞价</w:t>
      </w:r>
    </w:p>
    <w:p>
      <w:pPr>
        <w:pStyle w:val="5"/>
        <w:spacing w:after="0" w:line="540" w:lineRule="exact"/>
        <w:ind w:firstLine="0" w:firstLineChars="0"/>
        <w:rPr>
          <w:rFonts w:hint="eastAsia" w:ascii="微软雅黑" w:hAnsi="微软雅黑" w:eastAsia="微软雅黑" w:cs="微软雅黑"/>
          <w:color w:val="000000"/>
          <w:sz w:val="28"/>
          <w:szCs w:val="28"/>
          <w:highlight w:val="none"/>
        </w:rPr>
      </w:pPr>
      <w:r>
        <w:rPr>
          <w:rFonts w:ascii="微软雅黑" w:hAnsi="微软雅黑" w:eastAsia="微软雅黑" w:cs="微软雅黑"/>
          <w:color w:val="000000"/>
          <w:sz w:val="28"/>
          <w:szCs w:val="28"/>
          <w:highlight w:val="none"/>
        </w:rPr>
        <w:t>预算金额：240000.00元</w:t>
      </w:r>
    </w:p>
    <w:p>
      <w:pPr>
        <w:pStyle w:val="5"/>
        <w:numPr>
          <w:ilvl w:val="0"/>
          <w:numId w:val="1"/>
        </w:numPr>
        <w:spacing w:after="0" w:line="540" w:lineRule="exact"/>
        <w:ind w:firstLine="560" w:firstLineChars="0"/>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采购内容及要求</w:t>
      </w:r>
    </w:p>
    <w:tbl>
      <w:tblPr>
        <w:tblStyle w:val="8"/>
        <w:tblW w:w="5377" w:type="pct"/>
        <w:tblInd w:w="-126" w:type="dxa"/>
        <w:tblLayout w:type="fixed"/>
        <w:tblCellMar>
          <w:top w:w="0" w:type="dxa"/>
          <w:left w:w="108" w:type="dxa"/>
          <w:bottom w:w="0" w:type="dxa"/>
          <w:right w:w="108" w:type="dxa"/>
        </w:tblCellMar>
      </w:tblPr>
      <w:tblGrid>
        <w:gridCol w:w="1013"/>
        <w:gridCol w:w="1748"/>
        <w:gridCol w:w="4740"/>
        <w:gridCol w:w="825"/>
        <w:gridCol w:w="839"/>
      </w:tblGrid>
      <w:tr>
        <w:tblPrEx>
          <w:tblCellMar>
            <w:top w:w="0" w:type="dxa"/>
            <w:left w:w="108" w:type="dxa"/>
            <w:bottom w:w="0" w:type="dxa"/>
            <w:right w:w="108" w:type="dxa"/>
          </w:tblCellMar>
        </w:tblPrEx>
        <w:trPr>
          <w:trHeight w:val="350" w:hRule="atLeast"/>
        </w:trPr>
        <w:tc>
          <w:tcPr>
            <w:tcW w:w="552" w:type="pct"/>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both"/>
              <w:textAlignment w:val="center"/>
              <w:rPr>
                <w:rFonts w:ascii="宋体" w:hAnsi="宋体" w:eastAsia="宋体"/>
                <w:color w:val="000000"/>
                <w:szCs w:val="28"/>
              </w:rPr>
            </w:pPr>
            <w:r>
              <w:rPr>
                <w:rFonts w:hint="eastAsia" w:ascii="宋体" w:hAnsi="宋体" w:eastAsia="宋体"/>
                <w:color w:val="000000"/>
                <w:szCs w:val="28"/>
                <w:lang w:bidi="ar"/>
              </w:rPr>
              <w:t>序号</w:t>
            </w:r>
          </w:p>
        </w:tc>
        <w:tc>
          <w:tcPr>
            <w:tcW w:w="953" w:type="pct"/>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textAlignment w:val="center"/>
              <w:rPr>
                <w:rFonts w:ascii="宋体" w:hAnsi="宋体" w:eastAsia="宋体"/>
                <w:color w:val="000000"/>
                <w:szCs w:val="28"/>
              </w:rPr>
            </w:pPr>
            <w:r>
              <w:rPr>
                <w:rFonts w:hint="eastAsia" w:ascii="宋体" w:hAnsi="宋体" w:eastAsia="宋体"/>
                <w:color w:val="000000"/>
                <w:szCs w:val="28"/>
                <w:lang w:bidi="ar"/>
              </w:rPr>
              <w:t>设备名称</w:t>
            </w:r>
          </w:p>
        </w:tc>
        <w:tc>
          <w:tcPr>
            <w:tcW w:w="2585" w:type="pct"/>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textAlignment w:val="center"/>
              <w:rPr>
                <w:rFonts w:ascii="宋体" w:hAnsi="宋体" w:eastAsia="宋体"/>
                <w:color w:val="000000"/>
                <w:szCs w:val="28"/>
              </w:rPr>
            </w:pPr>
            <w:r>
              <w:rPr>
                <w:rFonts w:hint="eastAsia" w:ascii="宋体" w:hAnsi="宋体" w:eastAsia="宋体"/>
                <w:color w:val="000000"/>
                <w:szCs w:val="28"/>
                <w:lang w:bidi="ar"/>
              </w:rPr>
              <w:t>产品参数</w:t>
            </w:r>
          </w:p>
        </w:tc>
        <w:tc>
          <w:tcPr>
            <w:tcW w:w="450" w:type="pct"/>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textAlignment w:val="center"/>
              <w:rPr>
                <w:rFonts w:ascii="宋体" w:hAnsi="宋体" w:eastAsia="宋体"/>
                <w:color w:val="000000"/>
                <w:szCs w:val="28"/>
              </w:rPr>
            </w:pPr>
            <w:r>
              <w:rPr>
                <w:rFonts w:hint="eastAsia" w:ascii="宋体" w:hAnsi="宋体" w:eastAsia="宋体"/>
                <w:color w:val="000000"/>
                <w:szCs w:val="28"/>
                <w:lang w:bidi="ar"/>
              </w:rPr>
              <w:t>数量</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both"/>
              <w:textAlignment w:val="center"/>
              <w:rPr>
                <w:rFonts w:ascii="宋体" w:hAnsi="宋体" w:eastAsia="宋体"/>
                <w:color w:val="000000"/>
                <w:szCs w:val="28"/>
              </w:rPr>
            </w:pPr>
            <w:r>
              <w:rPr>
                <w:rFonts w:hint="eastAsia" w:ascii="宋体" w:hAnsi="宋体" w:eastAsia="宋体"/>
                <w:color w:val="000000"/>
                <w:szCs w:val="28"/>
                <w:lang w:bidi="ar"/>
              </w:rPr>
              <w:t>单位</w:t>
            </w:r>
          </w:p>
        </w:tc>
      </w:tr>
      <w:tr>
        <w:tblPrEx>
          <w:tblCellMar>
            <w:top w:w="0" w:type="dxa"/>
            <w:left w:w="108" w:type="dxa"/>
            <w:bottom w:w="0" w:type="dxa"/>
            <w:right w:w="108" w:type="dxa"/>
          </w:tblCellMar>
        </w:tblPrEx>
        <w:trPr>
          <w:trHeight w:val="2860" w:hRule="atLeast"/>
        </w:trPr>
        <w:tc>
          <w:tcPr>
            <w:tcW w:w="552" w:type="pct"/>
            <w:tcBorders>
              <w:top w:val="single" w:color="000000" w:sz="4" w:space="0"/>
              <w:left w:val="single" w:color="000000" w:sz="4" w:space="0"/>
              <w:bottom w:val="single" w:color="000000" w:sz="4" w:space="0"/>
              <w:right w:val="single" w:color="000000" w:sz="4" w:space="0"/>
            </w:tcBorders>
            <w:noWrap/>
            <w:vAlign w:val="center"/>
          </w:tcPr>
          <w:p>
            <w:pPr>
              <w:ind w:firstLine="440"/>
              <w:jc w:val="center"/>
              <w:textAlignment w:val="center"/>
              <w:rPr>
                <w:rFonts w:ascii="宋体" w:hAnsi="宋体" w:eastAsia="宋体"/>
                <w:color w:val="000000"/>
                <w:sz w:val="22"/>
              </w:rPr>
            </w:pPr>
            <w:r>
              <w:rPr>
                <w:rFonts w:hint="eastAsia" w:ascii="宋体" w:hAnsi="宋体" w:eastAsia="宋体"/>
                <w:color w:val="000000"/>
                <w:sz w:val="22"/>
                <w:lang w:bidi="ar"/>
              </w:rPr>
              <w:t>1</w:t>
            </w:r>
          </w:p>
        </w:tc>
        <w:tc>
          <w:tcPr>
            <w:tcW w:w="953" w:type="pct"/>
            <w:tcBorders>
              <w:top w:val="single" w:color="000000" w:sz="4" w:space="0"/>
              <w:left w:val="single" w:color="000000" w:sz="4" w:space="0"/>
              <w:bottom w:val="single" w:color="000000" w:sz="4" w:space="0"/>
              <w:right w:val="single" w:color="000000" w:sz="4" w:space="0"/>
            </w:tcBorders>
            <w:noWrap/>
            <w:vAlign w:val="center"/>
          </w:tcPr>
          <w:p>
            <w:pPr>
              <w:ind w:firstLine="0" w:firstLineChars="0"/>
              <w:textAlignment w:val="center"/>
              <w:rPr>
                <w:rFonts w:ascii="宋体" w:hAnsi="宋体" w:eastAsia="宋体"/>
                <w:color w:val="000000"/>
                <w:sz w:val="22"/>
              </w:rPr>
            </w:pPr>
            <w:r>
              <w:rPr>
                <w:rFonts w:hint="eastAsia" w:ascii="宋体" w:hAnsi="宋体" w:eastAsia="宋体"/>
                <w:color w:val="000000"/>
                <w:sz w:val="22"/>
                <w:lang w:bidi="ar"/>
              </w:rPr>
              <w:t>国产化桌面云一体机</w:t>
            </w:r>
          </w:p>
        </w:tc>
        <w:tc>
          <w:tcPr>
            <w:tcW w:w="2585" w:type="pct"/>
            <w:tcBorders>
              <w:top w:val="single" w:color="000000" w:sz="4" w:space="0"/>
              <w:left w:val="single" w:color="000000" w:sz="4" w:space="0"/>
              <w:bottom w:val="single" w:color="000000" w:sz="4" w:space="0"/>
              <w:right w:val="single" w:color="000000" w:sz="4" w:space="0"/>
            </w:tcBorders>
            <w:vAlign w:val="center"/>
          </w:tcPr>
          <w:p>
            <w:pPr>
              <w:ind w:firstLine="440"/>
              <w:textAlignment w:val="center"/>
              <w:rPr>
                <w:rFonts w:ascii="宋体" w:hAnsi="宋体" w:eastAsia="宋体"/>
                <w:color w:val="000000"/>
                <w:sz w:val="22"/>
                <w:lang w:bidi="ar"/>
              </w:rPr>
            </w:pPr>
            <w:r>
              <w:rPr>
                <w:rFonts w:hint="eastAsia" w:ascii="宋体" w:hAnsi="宋体" w:eastAsia="宋体"/>
                <w:color w:val="000000"/>
                <w:sz w:val="22"/>
                <w:lang w:bidi="ar"/>
              </w:rPr>
              <w:t>1、要求国产化桌面云一体机与国产化终端、国产化桌面云用户许可授权同一品牌，国产化桌面云一体机出厂时必须预装各类桌面云软件（含服务器虚拟化、存储虚拟化等），不允许提供祼机设备；</w:t>
            </w:r>
          </w:p>
          <w:p>
            <w:pPr>
              <w:ind w:firstLine="440"/>
              <w:textAlignment w:val="center"/>
              <w:rPr>
                <w:rFonts w:ascii="宋体" w:hAnsi="宋体" w:eastAsia="宋体"/>
                <w:color w:val="000000"/>
                <w:sz w:val="22"/>
                <w:lang w:bidi="ar"/>
              </w:rPr>
            </w:pPr>
            <w:r>
              <w:rPr>
                <w:rFonts w:hint="eastAsia" w:ascii="宋体" w:hAnsi="宋体" w:eastAsia="宋体"/>
                <w:color w:val="000000"/>
                <w:sz w:val="22"/>
                <w:lang w:bidi="ar"/>
              </w:rPr>
              <w:t>2、配置：CPU≥2颗Hygon 5390（16C 2.9Ghz），内存≥512G DDR4 3200，千兆网口≥4个，万兆网口≥4个【含光模块及光纤线】，冗余双电源，系统盘≥2块240G SSD，数据盘≥3块7.68TB SSD；</w:t>
            </w:r>
          </w:p>
          <w:p>
            <w:pPr>
              <w:ind w:firstLine="480"/>
              <w:textAlignment w:val="center"/>
              <w:rPr>
                <w:rFonts w:ascii="宋体" w:hAnsi="宋体" w:eastAsia="宋体"/>
                <w:color w:val="000000"/>
                <w:sz w:val="22"/>
                <w:lang w:bidi="ar"/>
              </w:rPr>
            </w:pPr>
            <w:r>
              <w:rPr>
                <w:rFonts w:hint="eastAsia" w:ascii="宋体" w:hAnsi="宋体" w:eastAsia="宋体"/>
                <w:sz w:val="24"/>
                <w:szCs w:val="24"/>
              </w:rPr>
              <w:t>▲</w:t>
            </w:r>
            <w:r>
              <w:rPr>
                <w:rFonts w:hint="eastAsia" w:ascii="宋体" w:hAnsi="宋体" w:eastAsia="宋体"/>
                <w:color w:val="000000"/>
                <w:sz w:val="22"/>
                <w:lang w:bidi="ar"/>
              </w:rPr>
              <w:t>3、采用多入口访问机制，依据账号权限配置差异化网络访问策略。在混合网络架构中，授权用户可通过公网安全通道接入数字化工作空间及虚拟化程序资源，其余用户仅限通过企业专网进行资源访问，实现网络边界的安全隔离控制；（提供第三方检测报告并加盖厂商公章）</w:t>
            </w:r>
          </w:p>
          <w:p>
            <w:pPr>
              <w:ind w:firstLine="440"/>
              <w:textAlignment w:val="center"/>
              <w:rPr>
                <w:rFonts w:ascii="宋体" w:hAnsi="宋体" w:eastAsia="宋体"/>
                <w:color w:val="000000"/>
                <w:sz w:val="22"/>
                <w:lang w:bidi="ar"/>
              </w:rPr>
            </w:pPr>
            <w:r>
              <w:rPr>
                <w:rFonts w:hint="eastAsia" w:ascii="宋体" w:hAnsi="宋体" w:eastAsia="宋体"/>
                <w:color w:val="000000"/>
                <w:sz w:val="22"/>
                <w:lang w:bidi="ar"/>
              </w:rPr>
              <w:t>4、支持服务不中断的滚动更新机制，允许在系统运行期间实施版本热切换。更新流程支持节点执行优先级自定义配置与灰度发布策略设定，具备更新任务中断续传能力，实现全量升级操作的可调度管理与时间窗口精准调控；</w:t>
            </w:r>
          </w:p>
          <w:p>
            <w:pPr>
              <w:ind w:firstLine="440"/>
              <w:textAlignment w:val="center"/>
              <w:rPr>
                <w:rFonts w:ascii="宋体" w:hAnsi="宋体" w:eastAsia="宋体"/>
                <w:color w:val="000000"/>
                <w:sz w:val="22"/>
                <w:lang w:bidi="ar"/>
              </w:rPr>
            </w:pPr>
            <w:r>
              <w:rPr>
                <w:rFonts w:hint="eastAsia" w:ascii="宋体" w:hAnsi="宋体" w:eastAsia="宋体"/>
                <w:color w:val="000000"/>
                <w:sz w:val="22"/>
                <w:lang w:bidi="ar"/>
              </w:rPr>
              <w:t>5、提供三年软件升级与硬件质保服务；</w:t>
            </w:r>
          </w:p>
          <w:p>
            <w:pPr>
              <w:ind w:firstLine="440"/>
              <w:textAlignment w:val="center"/>
              <w:rPr>
                <w:rFonts w:ascii="宋体" w:hAnsi="宋体" w:eastAsia="宋体"/>
                <w:color w:val="000000"/>
                <w:sz w:val="22"/>
              </w:rPr>
            </w:pPr>
            <w:r>
              <w:rPr>
                <w:rFonts w:hint="eastAsia" w:ascii="宋体" w:hAnsi="宋体" w:eastAsia="宋体"/>
                <w:color w:val="000000"/>
                <w:sz w:val="22"/>
                <w:lang w:bidi="ar"/>
              </w:rPr>
              <w:t>6、中标后甲方有权要求进行功能性验证，虚假应标者做废标处理。</w:t>
            </w:r>
          </w:p>
        </w:tc>
        <w:tc>
          <w:tcPr>
            <w:tcW w:w="450" w:type="pct"/>
            <w:tcBorders>
              <w:top w:val="single" w:color="000000" w:sz="4" w:space="0"/>
              <w:left w:val="single" w:color="000000" w:sz="4" w:space="0"/>
              <w:bottom w:val="single" w:color="000000" w:sz="4" w:space="0"/>
              <w:right w:val="single" w:color="000000" w:sz="4" w:space="0"/>
            </w:tcBorders>
            <w:noWrap/>
            <w:vAlign w:val="center"/>
          </w:tcPr>
          <w:p>
            <w:pPr>
              <w:ind w:firstLine="440"/>
              <w:jc w:val="center"/>
              <w:textAlignment w:val="center"/>
              <w:rPr>
                <w:rFonts w:ascii="宋体" w:hAnsi="宋体" w:eastAsia="宋体"/>
                <w:color w:val="000000"/>
                <w:sz w:val="22"/>
              </w:rPr>
            </w:pPr>
            <w:r>
              <w:rPr>
                <w:rFonts w:hint="eastAsia" w:ascii="宋体" w:hAnsi="宋体" w:eastAsia="宋体"/>
                <w:color w:val="000000"/>
                <w:sz w:val="22"/>
                <w:lang w:bidi="ar"/>
              </w:rPr>
              <w:t>1</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ind w:firstLine="440"/>
              <w:jc w:val="center"/>
              <w:textAlignment w:val="center"/>
              <w:rPr>
                <w:rFonts w:ascii="宋体" w:hAnsi="宋体" w:eastAsia="宋体"/>
                <w:color w:val="000000"/>
                <w:sz w:val="22"/>
              </w:rPr>
            </w:pPr>
            <w:r>
              <w:rPr>
                <w:rFonts w:hint="eastAsia" w:ascii="宋体" w:hAnsi="宋体" w:eastAsia="宋体"/>
                <w:color w:val="000000"/>
                <w:sz w:val="22"/>
                <w:lang w:bidi="ar"/>
              </w:rPr>
              <w:t>台</w:t>
            </w:r>
          </w:p>
        </w:tc>
      </w:tr>
      <w:tr>
        <w:tblPrEx>
          <w:tblCellMar>
            <w:top w:w="0" w:type="dxa"/>
            <w:left w:w="108" w:type="dxa"/>
            <w:bottom w:w="0" w:type="dxa"/>
            <w:right w:w="108" w:type="dxa"/>
          </w:tblCellMar>
        </w:tblPrEx>
        <w:trPr>
          <w:trHeight w:val="5600" w:hRule="atLeast"/>
        </w:trPr>
        <w:tc>
          <w:tcPr>
            <w:tcW w:w="552" w:type="pct"/>
            <w:tcBorders>
              <w:top w:val="single" w:color="000000" w:sz="4" w:space="0"/>
              <w:left w:val="single" w:color="000000" w:sz="4" w:space="0"/>
              <w:bottom w:val="single" w:color="000000" w:sz="4" w:space="0"/>
              <w:right w:val="single" w:color="000000" w:sz="4" w:space="0"/>
            </w:tcBorders>
            <w:noWrap/>
            <w:vAlign w:val="center"/>
          </w:tcPr>
          <w:p>
            <w:pPr>
              <w:ind w:firstLine="440"/>
              <w:jc w:val="center"/>
              <w:textAlignment w:val="center"/>
              <w:rPr>
                <w:rFonts w:ascii="宋体" w:hAnsi="宋体" w:eastAsia="宋体"/>
                <w:color w:val="000000"/>
                <w:sz w:val="22"/>
              </w:rPr>
            </w:pPr>
            <w:r>
              <w:rPr>
                <w:rFonts w:hint="eastAsia" w:ascii="宋体" w:hAnsi="宋体" w:eastAsia="宋体"/>
                <w:color w:val="000000"/>
                <w:sz w:val="22"/>
                <w:lang w:bidi="ar"/>
              </w:rPr>
              <w:t>2</w:t>
            </w:r>
          </w:p>
        </w:tc>
        <w:tc>
          <w:tcPr>
            <w:tcW w:w="953" w:type="pct"/>
            <w:tcBorders>
              <w:top w:val="single" w:color="000000" w:sz="4" w:space="0"/>
              <w:left w:val="single" w:color="000000" w:sz="4" w:space="0"/>
              <w:bottom w:val="single" w:color="000000" w:sz="4" w:space="0"/>
              <w:right w:val="single" w:color="000000" w:sz="4" w:space="0"/>
            </w:tcBorders>
            <w:noWrap/>
            <w:vAlign w:val="center"/>
          </w:tcPr>
          <w:p>
            <w:pPr>
              <w:ind w:firstLine="0" w:firstLineChars="0"/>
              <w:textAlignment w:val="center"/>
              <w:rPr>
                <w:rFonts w:ascii="宋体" w:hAnsi="宋体" w:eastAsia="宋体"/>
                <w:color w:val="000000"/>
                <w:sz w:val="22"/>
              </w:rPr>
            </w:pPr>
            <w:r>
              <w:rPr>
                <w:rFonts w:hint="eastAsia" w:ascii="宋体" w:hAnsi="宋体" w:eastAsia="宋体"/>
                <w:color w:val="000000"/>
                <w:sz w:val="22"/>
                <w:lang w:bidi="ar"/>
              </w:rPr>
              <w:t>国产化终端</w:t>
            </w:r>
          </w:p>
        </w:tc>
        <w:tc>
          <w:tcPr>
            <w:tcW w:w="2585" w:type="pct"/>
            <w:tcBorders>
              <w:top w:val="single" w:color="000000" w:sz="4" w:space="0"/>
              <w:left w:val="single" w:color="000000" w:sz="4" w:space="0"/>
              <w:bottom w:val="single" w:color="000000" w:sz="4" w:space="0"/>
              <w:right w:val="single" w:color="000000" w:sz="4" w:space="0"/>
            </w:tcBorders>
            <w:vAlign w:val="center"/>
          </w:tcPr>
          <w:p>
            <w:pPr>
              <w:ind w:firstLine="440"/>
              <w:textAlignment w:val="center"/>
              <w:rPr>
                <w:rFonts w:ascii="宋体" w:hAnsi="宋体" w:eastAsia="宋体"/>
                <w:color w:val="000000"/>
                <w:sz w:val="22"/>
                <w:lang w:bidi="ar"/>
              </w:rPr>
            </w:pPr>
            <w:r>
              <w:rPr>
                <w:rFonts w:hint="eastAsia" w:ascii="宋体" w:hAnsi="宋体" w:eastAsia="宋体"/>
                <w:color w:val="000000"/>
                <w:sz w:val="22"/>
                <w:lang w:bidi="ar"/>
              </w:rPr>
              <w:t>1、要求瘦终端盒子芯片及操作系统需入围中国信息安全测评中心发布的《安全可靠测评结果公告》，CPU主频≥2.0Ghz,核数≥4核、内存≥2G、硬盘容量≥8G、USB≥6个、≥1个HDMI+VGA、≥1个千兆电口；</w:t>
            </w:r>
          </w:p>
          <w:p>
            <w:pPr>
              <w:ind w:firstLine="440"/>
              <w:textAlignment w:val="center"/>
              <w:rPr>
                <w:rFonts w:ascii="宋体" w:hAnsi="宋体" w:eastAsia="宋体"/>
                <w:color w:val="000000"/>
                <w:sz w:val="22"/>
                <w:lang w:bidi="ar"/>
              </w:rPr>
            </w:pPr>
            <w:r>
              <w:rPr>
                <w:rFonts w:hint="eastAsia" w:ascii="宋体" w:hAnsi="宋体" w:eastAsia="宋体"/>
                <w:color w:val="000000"/>
                <w:sz w:val="22"/>
                <w:lang w:bidi="ar"/>
              </w:rPr>
              <w:t>2、提供用户自主式数据保护机制，当虚拟化工作环境因操作失误引发性能异常或安全风险时，可通过图形化控制面板触发存储卷状态回退功能。该服务兼容移动精简设备及桌面终端程序，支持操作审计追踪与版本基线自动校验，确保系统健康状态的快速复原；</w:t>
            </w:r>
          </w:p>
          <w:p>
            <w:pPr>
              <w:ind w:firstLine="480"/>
              <w:textAlignment w:val="center"/>
              <w:rPr>
                <w:rFonts w:ascii="宋体" w:hAnsi="宋体" w:eastAsia="宋体"/>
                <w:color w:val="000000"/>
                <w:sz w:val="22"/>
                <w:lang w:bidi="ar"/>
              </w:rPr>
            </w:pPr>
            <w:r>
              <w:rPr>
                <w:rFonts w:hint="eastAsia" w:ascii="宋体" w:hAnsi="宋体" w:eastAsia="宋体"/>
                <w:sz w:val="24"/>
                <w:szCs w:val="24"/>
              </w:rPr>
              <w:t>▲</w:t>
            </w:r>
            <w:r>
              <w:rPr>
                <w:rFonts w:hint="eastAsia" w:ascii="宋体" w:hAnsi="宋体" w:eastAsia="宋体"/>
                <w:color w:val="000000"/>
                <w:sz w:val="22"/>
                <w:lang w:bidi="ar"/>
              </w:rPr>
              <w:t>3、支持鼠标、键盘、打印机等常用外设，其中支持用户在网络打印机和桌面云虚拟机网络不通情况下，用户可以直接在虚拟机内使用终端网络上的网络打印机正常完成打印任务，终端支持windows，瘦终端、uos、麒麟（提供产品功能截图并加盖厂商公章）；</w:t>
            </w:r>
          </w:p>
          <w:p>
            <w:pPr>
              <w:ind w:firstLine="440"/>
              <w:textAlignment w:val="center"/>
              <w:rPr>
                <w:rFonts w:ascii="宋体" w:hAnsi="宋体" w:eastAsia="宋体"/>
                <w:color w:val="000000"/>
                <w:sz w:val="22"/>
                <w:lang w:bidi="ar"/>
              </w:rPr>
            </w:pPr>
            <w:r>
              <w:rPr>
                <w:rFonts w:hint="eastAsia" w:ascii="宋体" w:hAnsi="宋体" w:eastAsia="宋体"/>
                <w:color w:val="000000"/>
                <w:sz w:val="22"/>
                <w:lang w:bidi="ar"/>
              </w:rPr>
              <w:t>4、构建独立于AD域控服务及外部用户策略管理组件的自主化配置维护体系，通过本地化配置同步引擎与文件系统层级的版本锚定技术，在Windows环境非系统分区实现业务核心配置参数的固化存储。该机制采用增量式快照追踪算法与配置基线自动校验模块，确保关键数据在非受管状态下的完整性保障与自动化容灾恢复能力；</w:t>
            </w:r>
          </w:p>
          <w:p>
            <w:pPr>
              <w:ind w:firstLine="480"/>
              <w:textAlignment w:val="center"/>
              <w:rPr>
                <w:rFonts w:ascii="宋体" w:hAnsi="宋体" w:eastAsia="宋体"/>
                <w:color w:val="000000"/>
                <w:sz w:val="22"/>
                <w:lang w:bidi="ar"/>
              </w:rPr>
            </w:pPr>
            <w:r>
              <w:rPr>
                <w:rFonts w:hint="eastAsia" w:ascii="宋体" w:hAnsi="宋体" w:eastAsia="宋体"/>
                <w:sz w:val="24"/>
                <w:szCs w:val="24"/>
              </w:rPr>
              <w:t>▲</w:t>
            </w:r>
            <w:r>
              <w:rPr>
                <w:rFonts w:hint="eastAsia" w:ascii="宋体" w:hAnsi="宋体" w:eastAsia="宋体"/>
                <w:color w:val="000000"/>
                <w:sz w:val="22"/>
                <w:lang w:bidi="ar"/>
              </w:rPr>
              <w:t>5、在瘦终端的管理方面，需支持分组管理、批量移动、删除、关闭瘦终端，支持配置定时开关机计划及加电自启动功能，支持自定义开机画面、支持联动关机功能、配置自动登录和保存密码（提供第三方检测报告并加盖厂商公章）</w:t>
            </w:r>
          </w:p>
          <w:p>
            <w:pPr>
              <w:ind w:firstLine="480"/>
              <w:textAlignment w:val="center"/>
              <w:rPr>
                <w:rFonts w:ascii="宋体" w:hAnsi="宋体" w:eastAsia="宋体"/>
                <w:color w:val="000000"/>
                <w:sz w:val="22"/>
                <w:lang w:bidi="ar"/>
              </w:rPr>
            </w:pPr>
            <w:r>
              <w:rPr>
                <w:rFonts w:hint="eastAsia" w:ascii="宋体" w:hAnsi="宋体" w:eastAsia="宋体"/>
                <w:sz w:val="24"/>
                <w:szCs w:val="24"/>
              </w:rPr>
              <w:t>▲</w:t>
            </w:r>
            <w:r>
              <w:rPr>
                <w:rFonts w:hint="eastAsia" w:ascii="宋体" w:hAnsi="宋体" w:eastAsia="宋体"/>
                <w:color w:val="000000"/>
                <w:sz w:val="22"/>
                <w:lang w:bidi="ar"/>
              </w:rPr>
              <w:t>6、构建独立于第三方目录服务的用户配置容器化存储解决方案，通过虚拟化数据层实现工作文件集的全局同步与多终端适配。该机制采用分布式元数据索引引擎，在异构桌面环境中自动挂载标准化用户存储空间（包含工作台、文档库及多媒体资源目录），结合基于身份凭证的访问仲裁协议，确保用户环境在任意接入点的配置完整性与数据连续性，支持Windows、虚拟应用、统信UOS、麒麟KylinOS等操作系统。（需提供配置截图）;</w:t>
            </w:r>
          </w:p>
          <w:p>
            <w:pPr>
              <w:ind w:firstLine="440"/>
              <w:textAlignment w:val="center"/>
              <w:rPr>
                <w:rFonts w:ascii="宋体" w:hAnsi="宋体" w:eastAsia="宋体"/>
                <w:color w:val="000000"/>
                <w:sz w:val="22"/>
                <w:lang w:bidi="ar"/>
              </w:rPr>
            </w:pPr>
            <w:r>
              <w:rPr>
                <w:rFonts w:hint="eastAsia" w:ascii="宋体" w:hAnsi="宋体" w:eastAsia="宋体"/>
                <w:color w:val="000000"/>
                <w:sz w:val="22"/>
                <w:lang w:bidi="ar"/>
              </w:rPr>
              <w:t>7、设备管控系统须兼容IEEE 802.3以太网唤醒标准，支持通过管理控制台或集成第三方运维组件（如主流设备管理套件）发送加密唤醒数据包。该功能需实现基于MAC地址/IPv6无状态地址的精准唤醒定位，并与设备电源状态监测模块联动，形成包含设备唤醒日志审计、能耗统计的可视化终端生命周期管理矩阵；</w:t>
            </w:r>
          </w:p>
          <w:p>
            <w:pPr>
              <w:ind w:firstLine="440"/>
              <w:textAlignment w:val="center"/>
              <w:rPr>
                <w:rFonts w:ascii="宋体" w:hAnsi="宋体" w:eastAsia="宋体"/>
                <w:color w:val="000000"/>
                <w:sz w:val="22"/>
                <w:lang w:bidi="ar"/>
              </w:rPr>
            </w:pPr>
            <w:r>
              <w:rPr>
                <w:rFonts w:hint="eastAsia" w:ascii="宋体" w:hAnsi="宋体" w:eastAsia="宋体"/>
                <w:color w:val="000000"/>
                <w:sz w:val="22"/>
                <w:lang w:bidi="ar"/>
              </w:rPr>
              <w:t>8、提供三年硬件质保与软件升级服务；</w:t>
            </w:r>
          </w:p>
          <w:p>
            <w:pPr>
              <w:ind w:firstLine="440"/>
              <w:textAlignment w:val="center"/>
              <w:rPr>
                <w:rFonts w:ascii="宋体" w:hAnsi="宋体" w:eastAsia="宋体"/>
                <w:color w:val="000000"/>
                <w:sz w:val="22"/>
              </w:rPr>
            </w:pPr>
            <w:r>
              <w:rPr>
                <w:rFonts w:hint="eastAsia" w:ascii="宋体" w:hAnsi="宋体" w:eastAsia="宋体"/>
                <w:color w:val="000000"/>
                <w:sz w:val="22"/>
                <w:lang w:bidi="ar"/>
              </w:rPr>
              <w:t>9、中标后甲方有权要求进行功能性验证，虚假应标者做废标处理。</w:t>
            </w:r>
          </w:p>
        </w:tc>
        <w:tc>
          <w:tcPr>
            <w:tcW w:w="450" w:type="pct"/>
            <w:tcBorders>
              <w:top w:val="single" w:color="000000" w:sz="4" w:space="0"/>
              <w:left w:val="single" w:color="000000" w:sz="4" w:space="0"/>
              <w:bottom w:val="single" w:color="000000" w:sz="4" w:space="0"/>
              <w:right w:val="single" w:color="000000" w:sz="4" w:space="0"/>
            </w:tcBorders>
            <w:noWrap/>
            <w:vAlign w:val="center"/>
          </w:tcPr>
          <w:p>
            <w:pPr>
              <w:ind w:firstLine="440"/>
              <w:jc w:val="center"/>
              <w:textAlignment w:val="center"/>
              <w:rPr>
                <w:rFonts w:ascii="宋体" w:hAnsi="宋体" w:eastAsia="宋体"/>
                <w:color w:val="000000"/>
                <w:sz w:val="22"/>
              </w:rPr>
            </w:pPr>
            <w:r>
              <w:rPr>
                <w:rFonts w:hint="eastAsia" w:ascii="宋体" w:hAnsi="宋体" w:eastAsia="宋体"/>
                <w:color w:val="000000"/>
                <w:sz w:val="22"/>
                <w:lang w:bidi="ar"/>
              </w:rPr>
              <w:t>45</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ind w:firstLine="440"/>
              <w:textAlignment w:val="center"/>
              <w:rPr>
                <w:rFonts w:ascii="宋体" w:hAnsi="宋体" w:eastAsia="宋体"/>
                <w:color w:val="000000"/>
                <w:sz w:val="22"/>
              </w:rPr>
            </w:pPr>
            <w:r>
              <w:rPr>
                <w:rFonts w:hint="eastAsia" w:ascii="宋体" w:hAnsi="宋体" w:eastAsia="宋体"/>
                <w:color w:val="000000"/>
                <w:sz w:val="22"/>
                <w:lang w:bidi="ar"/>
              </w:rPr>
              <w:t>台</w:t>
            </w:r>
          </w:p>
        </w:tc>
      </w:tr>
      <w:tr>
        <w:tblPrEx>
          <w:tblCellMar>
            <w:top w:w="0" w:type="dxa"/>
            <w:left w:w="108" w:type="dxa"/>
            <w:bottom w:w="0" w:type="dxa"/>
            <w:right w:w="108" w:type="dxa"/>
          </w:tblCellMar>
        </w:tblPrEx>
        <w:trPr>
          <w:trHeight w:val="8190" w:hRule="atLeast"/>
        </w:trPr>
        <w:tc>
          <w:tcPr>
            <w:tcW w:w="552" w:type="pct"/>
            <w:tcBorders>
              <w:top w:val="single" w:color="000000" w:sz="4" w:space="0"/>
              <w:left w:val="single" w:color="000000" w:sz="4" w:space="0"/>
              <w:bottom w:val="single" w:color="000000" w:sz="4" w:space="0"/>
              <w:right w:val="single" w:color="000000" w:sz="4" w:space="0"/>
            </w:tcBorders>
            <w:noWrap/>
            <w:vAlign w:val="center"/>
          </w:tcPr>
          <w:p>
            <w:pPr>
              <w:ind w:firstLine="440"/>
              <w:jc w:val="center"/>
              <w:textAlignment w:val="center"/>
              <w:rPr>
                <w:rFonts w:ascii="宋体" w:hAnsi="宋体" w:eastAsia="宋体"/>
                <w:color w:val="000000"/>
                <w:sz w:val="22"/>
              </w:rPr>
            </w:pPr>
            <w:r>
              <w:rPr>
                <w:rFonts w:hint="eastAsia" w:ascii="宋体" w:hAnsi="宋体" w:eastAsia="宋体"/>
                <w:color w:val="000000"/>
                <w:sz w:val="22"/>
                <w:lang w:bidi="ar"/>
              </w:rPr>
              <w:t>3</w:t>
            </w:r>
          </w:p>
        </w:tc>
        <w:tc>
          <w:tcPr>
            <w:tcW w:w="953" w:type="pct"/>
            <w:tcBorders>
              <w:top w:val="single" w:color="000000" w:sz="4" w:space="0"/>
              <w:left w:val="single" w:color="000000" w:sz="4" w:space="0"/>
              <w:bottom w:val="single" w:color="000000" w:sz="4" w:space="0"/>
              <w:right w:val="single" w:color="000000" w:sz="4" w:space="0"/>
            </w:tcBorders>
            <w:vAlign w:val="center"/>
          </w:tcPr>
          <w:p>
            <w:pPr>
              <w:ind w:firstLine="0" w:firstLineChars="0"/>
              <w:textAlignment w:val="center"/>
              <w:rPr>
                <w:rFonts w:ascii="宋体" w:hAnsi="宋体" w:eastAsia="宋体"/>
                <w:color w:val="000000"/>
                <w:sz w:val="22"/>
              </w:rPr>
            </w:pPr>
            <w:r>
              <w:rPr>
                <w:rFonts w:hint="eastAsia" w:ascii="宋体" w:hAnsi="宋体" w:eastAsia="宋体"/>
                <w:color w:val="000000"/>
                <w:sz w:val="22"/>
                <w:lang w:bidi="ar"/>
              </w:rPr>
              <w:t>国产化桌面云用户许可授权</w:t>
            </w:r>
          </w:p>
        </w:tc>
        <w:tc>
          <w:tcPr>
            <w:tcW w:w="2585" w:type="pct"/>
            <w:tcBorders>
              <w:top w:val="single" w:color="000000" w:sz="4" w:space="0"/>
              <w:left w:val="single" w:color="000000" w:sz="4" w:space="0"/>
              <w:bottom w:val="single" w:color="000000" w:sz="4" w:space="0"/>
              <w:right w:val="single" w:color="000000" w:sz="4" w:space="0"/>
            </w:tcBorders>
            <w:vAlign w:val="center"/>
          </w:tcPr>
          <w:p>
            <w:pPr>
              <w:ind w:firstLine="440"/>
              <w:textAlignment w:val="center"/>
              <w:rPr>
                <w:rFonts w:ascii="宋体" w:hAnsi="宋体" w:eastAsia="宋体"/>
                <w:color w:val="000000"/>
                <w:sz w:val="22"/>
                <w:lang w:bidi="ar"/>
              </w:rPr>
            </w:pPr>
            <w:r>
              <w:rPr>
                <w:rFonts w:hint="eastAsia" w:ascii="宋体" w:hAnsi="宋体" w:eastAsia="宋体"/>
                <w:color w:val="000000"/>
                <w:sz w:val="22"/>
                <w:lang w:bidi="ar"/>
              </w:rPr>
              <w:t>1、资源调度系统需集成预测性容量规划引擎，通过多维资源拓扑建模与弹性扩展算法，对计算节点资源池的虚拟化实例承载量进行动态预判。该模块应具备实时性能指标分析、用户自定义策略参数适配及剩余资源分布图谱生成能力，实现基于负载均衡算法的虚拟实例部署方案自动生成；</w:t>
            </w:r>
          </w:p>
          <w:p>
            <w:pPr>
              <w:ind w:firstLine="480"/>
              <w:textAlignment w:val="center"/>
              <w:rPr>
                <w:rFonts w:ascii="宋体" w:hAnsi="宋体" w:eastAsia="宋体"/>
                <w:color w:val="000000"/>
                <w:sz w:val="22"/>
                <w:lang w:bidi="ar"/>
              </w:rPr>
            </w:pPr>
            <w:r>
              <w:rPr>
                <w:rFonts w:hint="eastAsia" w:ascii="宋体" w:hAnsi="宋体" w:eastAsia="宋体"/>
                <w:sz w:val="24"/>
                <w:szCs w:val="24"/>
              </w:rPr>
              <w:t>▲</w:t>
            </w:r>
            <w:r>
              <w:rPr>
                <w:rFonts w:hint="eastAsia" w:ascii="宋体" w:hAnsi="宋体" w:eastAsia="宋体"/>
                <w:color w:val="000000"/>
                <w:sz w:val="22"/>
                <w:lang w:bidi="ar"/>
              </w:rPr>
              <w:t>2、支持管控终端设备与云桌面之间的剪切板复制功能，支持控制剪切板双向拷贝、终端到云桌面的单向传输、云桌面到终端的单向传输控制等，同时支持限制传输数据的类型，如仅传输文件，仅传输文本等，并支持在研发场景下，限制剪切板的文本传输字符数量。（提供第三方检测报告并加盖厂商公章）；</w:t>
            </w:r>
          </w:p>
          <w:p>
            <w:pPr>
              <w:ind w:firstLine="440"/>
              <w:textAlignment w:val="center"/>
              <w:rPr>
                <w:rFonts w:ascii="宋体" w:hAnsi="宋体" w:eastAsia="宋体"/>
                <w:color w:val="000000"/>
                <w:sz w:val="22"/>
                <w:lang w:bidi="ar"/>
              </w:rPr>
            </w:pPr>
            <w:r>
              <w:rPr>
                <w:rFonts w:hint="eastAsia" w:ascii="宋体" w:hAnsi="宋体" w:eastAsia="宋体"/>
                <w:color w:val="000000"/>
                <w:sz w:val="22"/>
                <w:lang w:bidi="ar"/>
              </w:rPr>
              <w:t>3、构建基于非IP标识寻址的会话保持体系，采用传输层冗余链路维持技术与连接状态自愈模块。通过分布式会话控制引擎实现网络配置变更隔离机制，当底层网络组件异常或参数重置时，智能路由适配器自动切换至备用通信通道，配合应用层心跳监测与上下文同步技术，保障用户工作流在底层网络拓扑变更场景下的无损连续性，消除网络配置敏感型业务中断风险；</w:t>
            </w:r>
          </w:p>
          <w:p>
            <w:pPr>
              <w:ind w:firstLine="440"/>
              <w:textAlignment w:val="center"/>
              <w:rPr>
                <w:rFonts w:ascii="宋体" w:hAnsi="宋体" w:eastAsia="宋体"/>
                <w:color w:val="000000"/>
                <w:sz w:val="22"/>
                <w:lang w:bidi="ar"/>
              </w:rPr>
            </w:pPr>
            <w:r>
              <w:rPr>
                <w:rFonts w:hint="eastAsia" w:ascii="宋体" w:hAnsi="宋体" w:eastAsia="宋体"/>
                <w:color w:val="000000"/>
                <w:sz w:val="22"/>
                <w:lang w:bidi="ar"/>
              </w:rPr>
              <w:t>4、部署一体化安全控制平面，内置零信任策略引擎实现三维访问控制矩阵（终端标识、虚机指纹、用户凭证）。通过资源拓扑感知型微隔离模块，自动生成微分段防护规则集，支持策略热加载与网络平面无感切换。系统采用全组件容器化交付模式，提供预置安全基线的黄金镜像，实现包括网络访问控制链在内的完整功能栈的单文件静默部署，消除多组件联调依赖；</w:t>
            </w:r>
          </w:p>
          <w:p>
            <w:pPr>
              <w:ind w:firstLine="440"/>
              <w:textAlignment w:val="center"/>
              <w:rPr>
                <w:rFonts w:ascii="宋体" w:hAnsi="宋体" w:eastAsia="宋体"/>
                <w:color w:val="000000"/>
                <w:sz w:val="22"/>
                <w:lang w:bidi="ar"/>
              </w:rPr>
            </w:pPr>
            <w:r>
              <w:rPr>
                <w:rFonts w:hint="eastAsia" w:ascii="宋体" w:hAnsi="宋体" w:eastAsia="宋体"/>
                <w:color w:val="000000"/>
                <w:sz w:val="22"/>
                <w:lang w:bidi="ar"/>
              </w:rPr>
              <w:t>5、运维中枢需集成全栈式资源探针模块，实现超融合架构下物理节点与虚拟实例的多维健康度建模。监控维度应包含：进程级资源拓扑图谱（实时线程池状态/僵尸进程预警）、存储性能矩阵（IOPS热力图/延迟峰谷值追踪/智能缓存饱和度）、网络平面透视（虚拟交换矩阵带宽利用率/错包率关联分析）、虚拟机生命周期热力图（启动成功率时序分析/会话漂移异常检测）、系统需内置智能基线引擎，通过机器学习自动生成动态健康评分模型，提供包含资源瓶颈预判、故障根因定位的增强型运维决策树，并支持三维可视化资源沙盘；</w:t>
            </w:r>
          </w:p>
          <w:p>
            <w:pPr>
              <w:ind w:firstLine="480"/>
              <w:textAlignment w:val="center"/>
              <w:rPr>
                <w:rFonts w:ascii="宋体" w:hAnsi="宋体" w:eastAsia="宋体"/>
                <w:color w:val="000000"/>
                <w:sz w:val="22"/>
                <w:lang w:bidi="ar"/>
              </w:rPr>
            </w:pPr>
            <w:r>
              <w:rPr>
                <w:rFonts w:hint="eastAsia" w:ascii="宋体" w:hAnsi="宋体" w:eastAsia="宋体"/>
                <w:sz w:val="24"/>
                <w:szCs w:val="24"/>
              </w:rPr>
              <w:t>▲</w:t>
            </w:r>
            <w:r>
              <w:rPr>
                <w:rFonts w:hint="eastAsia" w:ascii="宋体" w:hAnsi="宋体" w:eastAsia="宋体"/>
                <w:color w:val="000000"/>
                <w:sz w:val="22"/>
                <w:lang w:bidi="ar"/>
              </w:rPr>
              <w:t>6、支持分布式防火墙，提供东西向微隔离能力，支持配置基于用户、用户组、虚拟机、IP地址、IP组之间的ACL访问隔离控制；同时支持联动用户的接入位置、接入设备自动实现桌面云虚拟机访问目标业务系统的南北向访问控制（提供第三方检测报告并加盖厂商公章）；</w:t>
            </w:r>
          </w:p>
          <w:p>
            <w:pPr>
              <w:ind w:firstLine="440"/>
              <w:textAlignment w:val="center"/>
              <w:rPr>
                <w:rFonts w:ascii="宋体" w:hAnsi="宋体" w:eastAsia="宋体"/>
                <w:color w:val="000000"/>
                <w:sz w:val="22"/>
                <w:lang w:bidi="ar"/>
              </w:rPr>
            </w:pPr>
            <w:r>
              <w:rPr>
                <w:rFonts w:hint="eastAsia" w:ascii="宋体" w:hAnsi="宋体" w:eastAsia="宋体"/>
                <w:color w:val="000000"/>
                <w:sz w:val="22"/>
                <w:lang w:bidi="ar"/>
              </w:rPr>
              <w:t>7、部署上下文感知型资源调度引擎，实现四维访问控制矩阵（终端特征/网络拓扑/凭证强度/设备指纹）。采用实时环境态势评估模块，动态匹配预设的桌面资源暴露策略集：（1）网络信任域分级：内网环境自动加载全量工作空间并启用SSO，外网访问触发OTP增强认证且仅暴露安全隔离区桌面；（2）终端形态适配：桌面级终端解锁完整GPU加速资源池，移动端自动启用应用流化网关并隐藏高算力实例；（3）策略决策自动化：基于ABAC模型的智能策略编排器，支持用户属性、设备健康度、网络风险评分的多因子动态决策树；</w:t>
            </w:r>
          </w:p>
          <w:p>
            <w:pPr>
              <w:ind w:firstLine="480"/>
              <w:textAlignment w:val="center"/>
              <w:rPr>
                <w:rFonts w:ascii="宋体" w:hAnsi="宋体" w:eastAsia="宋体"/>
                <w:color w:val="000000"/>
                <w:sz w:val="22"/>
                <w:lang w:bidi="ar"/>
              </w:rPr>
            </w:pPr>
            <w:r>
              <w:rPr>
                <w:rFonts w:hint="eastAsia" w:ascii="宋体" w:hAnsi="宋体" w:eastAsia="宋体"/>
                <w:sz w:val="24"/>
                <w:szCs w:val="24"/>
              </w:rPr>
              <w:t>▲</w:t>
            </w:r>
            <w:r>
              <w:rPr>
                <w:rFonts w:hint="eastAsia" w:ascii="宋体" w:hAnsi="宋体" w:eastAsia="宋体"/>
                <w:color w:val="000000"/>
                <w:sz w:val="22"/>
                <w:lang w:bidi="ar"/>
              </w:rPr>
              <w:t>8、支持客户端准入检测，可根据用户接入的终端类型、操作系统版本、接入IP和时间、软件安装、指定软件进程识别、终端硬件标识、终端文件与注册表标识等单一条件或多种条件组合设置接入访问策略，如客户端不满足安全检测要求则不允许接入，同时支持用户登录后定期检查，若检查不通过则自动注销用户会话（提供第三方检测报告并加盖厂商公章）；</w:t>
            </w:r>
          </w:p>
          <w:p>
            <w:pPr>
              <w:ind w:firstLine="440"/>
              <w:textAlignment w:val="center"/>
              <w:rPr>
                <w:rFonts w:ascii="宋体" w:hAnsi="宋体" w:eastAsia="宋体"/>
                <w:color w:val="000000"/>
                <w:sz w:val="22"/>
                <w:lang w:bidi="ar"/>
              </w:rPr>
            </w:pPr>
            <w:r>
              <w:rPr>
                <w:rFonts w:hint="eastAsia" w:ascii="宋体" w:hAnsi="宋体" w:eastAsia="宋体"/>
                <w:color w:val="000000"/>
                <w:sz w:val="22"/>
                <w:lang w:bidi="ar"/>
              </w:rPr>
              <w:t>9、至少提供45点桌面云接入授权，提供三年软件升级服务；</w:t>
            </w:r>
          </w:p>
          <w:p>
            <w:pPr>
              <w:ind w:firstLine="440"/>
              <w:textAlignment w:val="center"/>
              <w:rPr>
                <w:rFonts w:ascii="宋体" w:hAnsi="宋体" w:eastAsia="宋体"/>
                <w:color w:val="000000"/>
                <w:sz w:val="22"/>
              </w:rPr>
            </w:pPr>
            <w:r>
              <w:rPr>
                <w:rFonts w:hint="eastAsia" w:ascii="宋体" w:hAnsi="宋体" w:eastAsia="宋体"/>
                <w:color w:val="000000"/>
                <w:sz w:val="22"/>
                <w:lang w:bidi="ar"/>
              </w:rPr>
              <w:t>10、中标后甲方有权要求进行功能性验证，虚假应标者做废标处理。</w:t>
            </w:r>
          </w:p>
        </w:tc>
        <w:tc>
          <w:tcPr>
            <w:tcW w:w="450" w:type="pct"/>
            <w:tcBorders>
              <w:top w:val="single" w:color="000000" w:sz="4" w:space="0"/>
              <w:left w:val="single" w:color="000000" w:sz="4" w:space="0"/>
              <w:bottom w:val="single" w:color="000000" w:sz="4" w:space="0"/>
              <w:right w:val="single" w:color="000000" w:sz="4" w:space="0"/>
            </w:tcBorders>
            <w:noWrap/>
            <w:vAlign w:val="center"/>
          </w:tcPr>
          <w:p>
            <w:pPr>
              <w:ind w:firstLine="440"/>
              <w:jc w:val="center"/>
              <w:textAlignment w:val="center"/>
              <w:rPr>
                <w:rFonts w:ascii="宋体" w:hAnsi="宋体" w:eastAsia="宋体"/>
                <w:color w:val="000000"/>
                <w:sz w:val="22"/>
              </w:rPr>
            </w:pPr>
            <w:r>
              <w:rPr>
                <w:rFonts w:hint="eastAsia" w:ascii="宋体" w:hAnsi="宋体" w:eastAsia="宋体"/>
                <w:color w:val="000000"/>
                <w:sz w:val="22"/>
                <w:lang w:bidi="ar"/>
              </w:rPr>
              <w:t>1</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ascii="宋体" w:hAnsi="宋体" w:eastAsia="宋体"/>
                <w:color w:val="000000"/>
                <w:sz w:val="22"/>
              </w:rPr>
            </w:pPr>
            <w:r>
              <w:rPr>
                <w:rFonts w:hint="eastAsia" w:ascii="宋体" w:hAnsi="宋体" w:eastAsia="宋体"/>
                <w:color w:val="000000"/>
                <w:sz w:val="22"/>
                <w:lang w:bidi="ar"/>
              </w:rPr>
              <w:t>套</w:t>
            </w:r>
          </w:p>
        </w:tc>
      </w:tr>
    </w:tbl>
    <w:p>
      <w:pPr>
        <w:pStyle w:val="5"/>
        <w:spacing w:after="0" w:line="540" w:lineRule="exact"/>
        <w:ind w:firstLine="0" w:firstLineChars="0"/>
        <w:rPr>
          <w:rFonts w:ascii="微软雅黑" w:hAnsi="微软雅黑" w:eastAsia="微软雅黑" w:cs="微软雅黑"/>
          <w:color w:val="000000"/>
          <w:sz w:val="28"/>
          <w:szCs w:val="28"/>
        </w:rPr>
      </w:pPr>
    </w:p>
    <w:p>
      <w:pPr>
        <w:ind w:firstLine="0" w:firstLineChars="0"/>
        <w:rPr>
          <w:rFonts w:ascii="宋体" w:hAnsi="宋体" w:eastAsia="宋体"/>
          <w:b/>
        </w:rPr>
      </w:pPr>
      <w:bookmarkStart w:id="2" w:name="OLE_LINK1"/>
      <w:r>
        <w:rPr>
          <w:rFonts w:hint="eastAsia" w:ascii="宋体" w:hAnsi="宋体" w:eastAsia="宋体"/>
          <w:b/>
        </w:rPr>
        <w:t>三、服务需求</w:t>
      </w:r>
      <w:bookmarkEnd w:id="2"/>
      <w:r>
        <w:rPr>
          <w:rFonts w:hint="eastAsia" w:ascii="宋体" w:hAnsi="宋体" w:eastAsia="宋体"/>
          <w:b/>
        </w:rPr>
        <w:t>：</w:t>
      </w:r>
    </w:p>
    <w:p>
      <w:pPr>
        <w:ind w:firstLine="0" w:firstLineChars="0"/>
        <w:rPr>
          <w:rFonts w:ascii="宋体" w:hAnsi="宋体" w:eastAsia="宋体"/>
          <w:b/>
          <w:bCs/>
        </w:rPr>
      </w:pPr>
      <w:r>
        <w:rPr>
          <w:rFonts w:hint="eastAsia" w:ascii="宋体" w:hAnsi="宋体" w:eastAsia="宋体"/>
          <w:b/>
          <w:bCs/>
        </w:rPr>
        <w:t>1.参数证明要求</w:t>
      </w:r>
    </w:p>
    <w:p>
      <w:pPr>
        <w:ind w:firstLine="0" w:firstLineChars="0"/>
        <w:rPr>
          <w:rFonts w:ascii="宋体" w:hAnsi="宋体" w:eastAsia="宋体"/>
        </w:rPr>
      </w:pPr>
      <w:r>
        <w:rPr>
          <w:rFonts w:hint="eastAsia" w:ascii="宋体" w:hAnsi="宋体" w:eastAsia="宋体"/>
          <w:highlight w:val="none"/>
        </w:rPr>
        <w:t>供应商所投产品技术参数需完全满足以上参数要求，其中标注“▲”条款</w:t>
      </w:r>
      <w:r>
        <w:rPr>
          <w:rFonts w:hint="eastAsia" w:ascii="宋体" w:hAnsi="宋体" w:eastAsia="宋体"/>
        </w:rPr>
        <w:t>的重要参数需按要求提供证明材料。</w:t>
      </w:r>
    </w:p>
    <w:p>
      <w:pPr>
        <w:ind w:firstLine="0" w:firstLineChars="0"/>
        <w:rPr>
          <w:rFonts w:ascii="宋体" w:hAnsi="宋体" w:eastAsia="宋体"/>
          <w:b/>
          <w:bCs/>
        </w:rPr>
      </w:pPr>
      <w:r>
        <w:rPr>
          <w:rFonts w:hint="eastAsia" w:ascii="宋体" w:hAnsi="宋体" w:eastAsia="宋体"/>
          <w:b/>
          <w:bCs/>
        </w:rPr>
        <w:t>2.付款方式</w:t>
      </w:r>
    </w:p>
    <w:p>
      <w:pPr>
        <w:ind w:firstLine="0" w:firstLineChars="0"/>
        <w:rPr>
          <w:rFonts w:ascii="宋体" w:hAnsi="宋体" w:eastAsia="宋体"/>
        </w:rPr>
      </w:pPr>
      <w:r>
        <w:rPr>
          <w:rFonts w:hint="eastAsia" w:ascii="宋体" w:hAnsi="宋体" w:eastAsia="宋体"/>
        </w:rPr>
        <w:t>按双方合同约定付款。</w:t>
      </w:r>
    </w:p>
    <w:p>
      <w:pPr>
        <w:ind w:firstLine="0" w:firstLineChars="0"/>
        <w:rPr>
          <w:rFonts w:ascii="宋体" w:hAnsi="宋体" w:eastAsia="宋体"/>
          <w:b/>
          <w:bCs/>
        </w:rPr>
      </w:pPr>
      <w:r>
        <w:rPr>
          <w:rFonts w:hint="eastAsia" w:ascii="宋体" w:hAnsi="宋体" w:eastAsia="宋体"/>
          <w:b/>
          <w:bCs/>
        </w:rPr>
        <w:t>3.本地化服务要求</w:t>
      </w:r>
    </w:p>
    <w:p>
      <w:pPr>
        <w:ind w:firstLine="0" w:firstLineChars="0"/>
        <w:rPr>
          <w:rFonts w:ascii="宋体" w:hAnsi="宋体" w:eastAsia="宋体"/>
        </w:rPr>
      </w:pPr>
      <w:r>
        <w:rPr>
          <w:rFonts w:hint="eastAsia" w:ascii="宋体" w:hAnsi="宋体" w:eastAsia="宋体"/>
        </w:rPr>
        <w:t>供应商须在项目所在地提供本地化服务。</w:t>
      </w:r>
    </w:p>
    <w:p>
      <w:pPr>
        <w:ind w:firstLine="0" w:firstLineChars="0"/>
        <w:rPr>
          <w:rFonts w:ascii="宋体" w:hAnsi="宋体" w:eastAsia="宋体"/>
          <w:b/>
          <w:bCs/>
        </w:rPr>
      </w:pPr>
      <w:r>
        <w:rPr>
          <w:rFonts w:hint="eastAsia" w:ascii="宋体" w:hAnsi="宋体" w:eastAsia="宋体"/>
          <w:b/>
          <w:bCs/>
        </w:rPr>
        <w:t>4.产品质量要求</w:t>
      </w:r>
    </w:p>
    <w:p>
      <w:pPr>
        <w:ind w:firstLine="560"/>
        <w:rPr>
          <w:rFonts w:ascii="宋体" w:hAnsi="宋体" w:eastAsia="宋体"/>
        </w:rPr>
      </w:pPr>
      <w:r>
        <w:rPr>
          <w:rFonts w:hint="eastAsia" w:ascii="宋体" w:hAnsi="宋体" w:eastAsia="宋体"/>
        </w:rPr>
        <w:t>为保障投标产品质量，供应商需提供所投产品生产厂商授权函及售后服务承诺函，并加盖厂商公章。</w:t>
      </w:r>
    </w:p>
    <w:p>
      <w:pPr>
        <w:ind w:firstLine="0" w:firstLineChars="0"/>
        <w:rPr>
          <w:rFonts w:ascii="宋体" w:hAnsi="宋体" w:eastAsia="宋体"/>
          <w:b/>
          <w:bCs/>
        </w:rPr>
      </w:pPr>
      <w:r>
        <w:rPr>
          <w:rFonts w:hint="eastAsia" w:ascii="宋体" w:hAnsi="宋体" w:eastAsia="宋体"/>
          <w:b/>
          <w:bCs/>
        </w:rPr>
        <w:t>5.验收要求</w:t>
      </w:r>
    </w:p>
    <w:p>
      <w:pPr>
        <w:ind w:firstLine="560"/>
        <w:rPr>
          <w:rFonts w:ascii="宋体" w:hAnsi="宋体" w:eastAsia="宋体"/>
        </w:rPr>
      </w:pPr>
      <w:r>
        <w:rPr>
          <w:rFonts w:hint="eastAsia" w:ascii="宋体" w:hAnsi="宋体" w:eastAsia="宋体"/>
        </w:rPr>
        <w:t>在服务完成后。交付成果达到双方确认的要求时，由双方共同进行项目最终验收。</w:t>
      </w:r>
    </w:p>
    <w:p>
      <w:pPr>
        <w:ind w:firstLine="0" w:firstLineChars="0"/>
        <w:rPr>
          <w:rFonts w:ascii="宋体" w:hAnsi="宋体" w:eastAsia="宋体"/>
          <w:b/>
          <w:bCs/>
        </w:rPr>
      </w:pPr>
      <w:r>
        <w:rPr>
          <w:rFonts w:hint="eastAsia" w:ascii="宋体" w:hAnsi="宋体" w:eastAsia="宋体"/>
          <w:b/>
          <w:bCs/>
        </w:rPr>
        <w:t>6.售后服务要求</w:t>
      </w:r>
    </w:p>
    <w:p>
      <w:pPr>
        <w:ind w:firstLine="560"/>
        <w:rPr>
          <w:rFonts w:ascii="宋体" w:hAnsi="宋体" w:eastAsia="宋体"/>
        </w:rPr>
      </w:pPr>
      <w:r>
        <w:rPr>
          <w:rFonts w:hint="eastAsia" w:ascii="宋体" w:hAnsi="宋体" w:eastAsia="宋体"/>
        </w:rPr>
        <w:t>（1）提供7x24小时的故障服务受理，中标人承诺本地一般故障应在4小时内排除；重大故障应在12小时内响应并提出解决方案，需在24小时内解决排除。</w:t>
      </w:r>
    </w:p>
    <w:p>
      <w:pPr>
        <w:ind w:firstLine="560"/>
        <w:rPr>
          <w:rFonts w:ascii="宋体" w:hAnsi="宋体" w:eastAsia="宋体"/>
        </w:rPr>
      </w:pPr>
      <w:r>
        <w:rPr>
          <w:rFonts w:hint="eastAsia" w:ascii="宋体" w:hAnsi="宋体" w:eastAsia="宋体"/>
        </w:rPr>
        <w:t>（2）系统维护要求提供以下内容:1)定期维护计划。2)对采购人不定期维护要求的响应措施。3)对用户修改设计要求的响应措施</w:t>
      </w:r>
    </w:p>
    <w:p>
      <w:pPr>
        <w:ind w:firstLine="560"/>
        <w:rPr>
          <w:rFonts w:ascii="宋体" w:hAnsi="宋体" w:eastAsia="宋体"/>
        </w:rPr>
      </w:pPr>
      <w:r>
        <w:rPr>
          <w:rFonts w:hint="eastAsia" w:ascii="宋体" w:hAnsi="宋体" w:eastAsia="宋体"/>
        </w:rPr>
        <w:t>（3）技术支持:1)提供7x24小时的技术咨询服务。2)敏感时期、重大节假日提供技术人员值守服务。</w:t>
      </w:r>
    </w:p>
    <w:p>
      <w:pPr>
        <w:ind w:firstLine="560"/>
        <w:rPr>
          <w:rFonts w:ascii="宋体" w:hAnsi="宋体" w:eastAsia="宋体"/>
        </w:rPr>
      </w:pPr>
      <w:r>
        <w:rPr>
          <w:rFonts w:hint="eastAsia" w:ascii="宋体" w:hAnsi="宋体" w:eastAsia="宋体"/>
        </w:rPr>
        <w:t>（4）质保期:质保期为3年，质保期从验收合格后开始计算，投标人需出具售后服务承诺。如超出产品厂家正常保修范围的，中标人需向厂家购买，未在报价文件中单列其费用的，视为免费提供，如中标人未按招标要求履行合同，采购人有权终止其合同。投标文件要求相关产品质保期超过厂家提供的质保期限的，可由中标人提供延期服务。</w:t>
      </w:r>
    </w:p>
    <w:p>
      <w:pPr>
        <w:ind w:firstLine="0" w:firstLineChars="0"/>
        <w:rPr>
          <w:rFonts w:ascii="宋体" w:hAnsi="宋体" w:eastAsia="宋体"/>
          <w:b/>
          <w:bCs/>
        </w:rPr>
      </w:pPr>
      <w:r>
        <w:rPr>
          <w:rFonts w:hint="eastAsia" w:ascii="宋体" w:hAnsi="宋体" w:eastAsia="宋体"/>
          <w:b/>
          <w:bCs/>
        </w:rPr>
        <w:t>7.供货要求</w:t>
      </w:r>
    </w:p>
    <w:p>
      <w:pPr>
        <w:ind w:firstLine="560"/>
        <w:rPr>
          <w:rFonts w:ascii="宋体" w:hAnsi="宋体" w:eastAsia="宋体"/>
        </w:rPr>
      </w:pPr>
      <w:r>
        <w:rPr>
          <w:rFonts w:hint="eastAsia" w:ascii="宋体" w:hAnsi="宋体" w:eastAsia="宋体"/>
        </w:rPr>
        <w:t>中标人负责供应所需设备及安装所需的零配件、材料等。中标人负责设备及相关设施的安装和系统调试。中标人负责产品到采购人指定施工地点的全部运输，包括装卸及现场搬运等。中标人负责产品在施工地点的保管直至项目验收合格。中标人负表其派出的送货及施工人员的人身意外保险。中标人必须严格按照招标技术规范书提供满足系统要求的设备，在供货过程中，如发现有虚假或货不对板的现象，甲方保留相关的法律权利。中标人在设备安装过程中，需要对采购人设备机房免费建设并提供系统联网所需的各种配套材料，包括但不限于光纤、光连接件、系统专线对接、网线及相关端接件等。中标人在合同签订后</w:t>
      </w:r>
      <w:r>
        <w:rPr>
          <w:rFonts w:hint="eastAsia" w:ascii="宋体" w:hAnsi="宋体" w:eastAsia="宋体"/>
          <w:lang w:val="en-US" w:eastAsia="zh-CN"/>
        </w:rPr>
        <w:t>7</w:t>
      </w:r>
      <w:r>
        <w:rPr>
          <w:rFonts w:hint="eastAsia" w:ascii="宋体" w:hAnsi="宋体" w:eastAsia="宋体"/>
        </w:rPr>
        <w:t>日内将货物运送至甲方指定地点，并在3日内完成安装调试，运费及调试费用由中标人承担。</w:t>
      </w:r>
    </w:p>
    <w:p>
      <w:pPr>
        <w:ind w:firstLine="0" w:firstLineChars="0"/>
        <w:rPr>
          <w:rFonts w:ascii="宋体" w:hAnsi="宋体" w:eastAsia="宋体"/>
          <w:b/>
          <w:bCs/>
        </w:rPr>
      </w:pPr>
      <w:r>
        <w:rPr>
          <w:rFonts w:hint="eastAsia" w:ascii="宋体" w:hAnsi="宋体" w:eastAsia="宋体"/>
          <w:b/>
          <w:bCs/>
        </w:rPr>
        <w:t>四、供应商的资格要求</w:t>
      </w:r>
    </w:p>
    <w:p>
      <w:pPr>
        <w:ind w:firstLine="560"/>
        <w:rPr>
          <w:rFonts w:ascii="宋体" w:hAnsi="宋体" w:eastAsia="宋体"/>
        </w:rPr>
      </w:pPr>
      <w:r>
        <w:rPr>
          <w:rFonts w:hint="eastAsia" w:ascii="宋体" w:hAnsi="宋体" w:eastAsia="宋体"/>
        </w:rPr>
        <w:t>具有独立承担民事责任的能力，需提供法人或其他组织的营业执照等证明文件；</w:t>
      </w:r>
    </w:p>
    <w:p>
      <w:pPr>
        <w:ind w:firstLine="0" w:firstLineChars="0"/>
        <w:rPr>
          <w:rFonts w:ascii="宋体" w:hAnsi="宋体" w:eastAsia="宋体"/>
          <w:b/>
          <w:bCs/>
        </w:rPr>
      </w:pPr>
      <w:r>
        <w:rPr>
          <w:rFonts w:hint="eastAsia" w:ascii="宋体" w:hAnsi="宋体" w:eastAsia="宋体"/>
          <w:b/>
          <w:bCs/>
        </w:rPr>
        <w:t>五、制造商综合实力</w:t>
      </w:r>
    </w:p>
    <w:p>
      <w:pPr>
        <w:ind w:firstLine="560"/>
        <w:rPr>
          <w:rFonts w:ascii="宋体" w:hAnsi="宋体" w:eastAsia="宋体"/>
        </w:rPr>
      </w:pPr>
      <w:r>
        <w:rPr>
          <w:rFonts w:hint="eastAsia" w:ascii="宋体" w:hAnsi="宋体" w:eastAsia="宋体"/>
        </w:rPr>
        <w:t>为保证本项目所采购的桌面云产品安全性能，要求所投产品制造商获得云内安全最高等级CS-CMMI5认证，提供证书复印件并加盖厂商公章；</w:t>
      </w:r>
    </w:p>
    <w:p>
      <w:pPr>
        <w:ind w:firstLine="0" w:firstLineChars="0"/>
        <w:rPr>
          <w:rFonts w:ascii="宋体" w:hAnsi="宋体" w:eastAsia="宋体"/>
          <w:b/>
          <w:bCs/>
        </w:rPr>
      </w:pPr>
      <w:r>
        <w:rPr>
          <w:rFonts w:hint="eastAsia" w:ascii="宋体" w:hAnsi="宋体" w:eastAsia="宋体"/>
          <w:b/>
          <w:bCs/>
        </w:rPr>
        <w:t>五、递交材料</w:t>
      </w:r>
    </w:p>
    <w:p>
      <w:pPr>
        <w:ind w:firstLine="560"/>
        <w:rPr>
          <w:rFonts w:ascii="宋体" w:hAnsi="宋体" w:eastAsia="宋体"/>
        </w:rPr>
      </w:pPr>
      <w:r>
        <w:rPr>
          <w:rFonts w:hint="eastAsia" w:ascii="宋体" w:hAnsi="宋体" w:eastAsia="宋体"/>
        </w:rPr>
        <w:t>竞价结束后，成交供应商需在3个工作日内将</w:t>
      </w:r>
      <w:r>
        <w:rPr>
          <w:rFonts w:hint="eastAsia" w:ascii="宋体" w:hAnsi="宋体" w:eastAsia="宋体"/>
          <w:highlight w:val="none"/>
        </w:rPr>
        <w:t>本项目采购公告中</w:t>
      </w:r>
      <w:r>
        <w:rPr>
          <w:rFonts w:hint="eastAsia" w:ascii="宋体" w:hAnsi="宋体" w:eastAsia="宋体"/>
        </w:rPr>
        <w:t>要求提供的承诺函及相关证明材料按要求加盖公章后递交至采购单位。</w:t>
      </w:r>
    </w:p>
    <w:p>
      <w:pPr>
        <w:ind w:firstLine="0" w:firstLineChars="0"/>
        <w:rPr>
          <w:rFonts w:ascii="宋体" w:hAnsi="宋体" w:eastAsia="宋体"/>
          <w:b/>
          <w:bCs/>
        </w:rPr>
      </w:pPr>
      <w:r>
        <w:rPr>
          <w:rFonts w:hint="eastAsia" w:ascii="宋体" w:hAnsi="宋体" w:eastAsia="宋体"/>
          <w:b/>
        </w:rPr>
        <w:t>六、</w:t>
      </w:r>
      <w:r>
        <w:rPr>
          <w:rFonts w:hint="eastAsia" w:ascii="宋体" w:hAnsi="宋体" w:eastAsia="宋体"/>
          <w:b/>
          <w:bCs/>
        </w:rPr>
        <w:t>成交原则</w:t>
      </w:r>
    </w:p>
    <w:p>
      <w:pPr>
        <w:ind w:firstLine="560"/>
        <w:rPr>
          <w:rFonts w:ascii="宋体" w:hAnsi="宋体" w:eastAsia="宋体"/>
        </w:rPr>
      </w:pPr>
      <w:r>
        <w:rPr>
          <w:rFonts w:hint="eastAsia" w:ascii="宋体" w:hAnsi="宋体" w:eastAsia="宋体"/>
        </w:rPr>
        <w:t>1、供应商根据本项目采购需求，全部满足要求的情况下，自行在平台上进行报价，</w:t>
      </w:r>
      <w:r>
        <w:rPr>
          <w:rFonts w:hint="eastAsia" w:ascii="宋体" w:hAnsi="宋体" w:eastAsia="宋体"/>
          <w:highlight w:val="none"/>
        </w:rPr>
        <w:t>系统自动推送最低报价供应商为成交供应商，报价相同的，报价时间较早者为成交供应商</w:t>
      </w:r>
      <w:r>
        <w:rPr>
          <w:rFonts w:hint="eastAsia" w:ascii="宋体" w:hAnsi="宋体" w:eastAsia="宋体"/>
        </w:rPr>
        <w:t>。</w:t>
      </w:r>
    </w:p>
    <w:p>
      <w:pPr>
        <w:ind w:firstLine="560"/>
        <w:rPr>
          <w:rFonts w:ascii="宋体" w:hAnsi="宋体" w:eastAsia="宋体"/>
        </w:rPr>
      </w:pPr>
      <w:r>
        <w:rPr>
          <w:rFonts w:hint="eastAsia" w:ascii="宋体" w:hAnsi="宋体" w:eastAsia="宋体"/>
        </w:rPr>
        <w:t>2、如成交后供应商未按时限要求现场递交材料的，将视为自动放弃成交资格，采购人可重新选择新的成交供应商。</w:t>
      </w:r>
    </w:p>
    <w:p>
      <w:pPr>
        <w:ind w:firstLine="560"/>
        <w:rPr>
          <w:rFonts w:ascii="宋体" w:hAnsi="宋体" w:eastAsia="宋体"/>
        </w:rPr>
      </w:pPr>
      <w:r>
        <w:rPr>
          <w:rFonts w:hint="eastAsia" w:ascii="宋体" w:hAnsi="宋体" w:eastAsia="宋体"/>
        </w:rPr>
        <w:t>3、如成交供应商递交的材料不满</w:t>
      </w:r>
      <w:bookmarkStart w:id="3" w:name="_GoBack"/>
      <w:bookmarkEnd w:id="3"/>
      <w:r>
        <w:rPr>
          <w:rFonts w:hint="eastAsia" w:ascii="宋体" w:hAnsi="宋体" w:eastAsia="宋体"/>
        </w:rPr>
        <w:t>足本项目的采购要求，或提供材料不齐的，采购人有权取消其成交资格，并另行选定新的成交供应商。</w:t>
      </w:r>
    </w:p>
    <w:p>
      <w:pPr>
        <w:pStyle w:val="5"/>
        <w:spacing w:after="0" w:line="540" w:lineRule="exact"/>
        <w:ind w:firstLine="560"/>
        <w:rPr>
          <w:rFonts w:ascii="宋体" w:hAnsi="宋体" w:cs="宋体"/>
          <w:color w:val="000000"/>
          <w:sz w:val="28"/>
          <w:szCs w:val="28"/>
        </w:rPr>
      </w:pPr>
    </w:p>
    <w:p>
      <w:pPr>
        <w:pStyle w:val="5"/>
        <w:spacing w:after="0" w:line="540" w:lineRule="exact"/>
        <w:ind w:firstLine="560"/>
        <w:jc w:val="center"/>
        <w:rPr>
          <w:rFonts w:ascii="微软雅黑" w:hAnsi="微软雅黑" w:eastAsia="微软雅黑" w:cs="微软雅黑"/>
          <w:color w:val="FF0000"/>
          <w:sz w:val="28"/>
          <w:szCs w:val="28"/>
        </w:rPr>
      </w:pPr>
      <w:r>
        <w:rPr>
          <w:rFonts w:hint="eastAsia" w:ascii="宋体" w:hAnsi="宋体" w:cs="宋体"/>
          <w:color w:val="000000"/>
          <w:sz w:val="28"/>
          <w:szCs w:val="28"/>
        </w:rPr>
        <w:t xml:space="preserve">                           </w:t>
      </w:r>
      <w:r>
        <w:rPr>
          <w:rFonts w:hint="eastAsia" w:ascii="宋体" w:hAnsi="宋体" w:cs="宋体"/>
          <w:color w:val="000000"/>
          <w:sz w:val="36"/>
          <w:szCs w:val="36"/>
        </w:rPr>
        <w:t xml:space="preserve"> 玉屏侗族自治县中医院</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B0B8C80D-4824-4498-BDB2-A640B028ADCF}"/>
  </w:font>
  <w:font w:name="楷体_GB2312">
    <w:altName w:val="楷体"/>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Corbel"/>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A254C5DA-D239-4DE1-97AC-A941B1071236}"/>
  </w:font>
  <w:font w:name="微软雅黑">
    <w:panose1 w:val="020B0503020204020204"/>
    <w:charset w:val="86"/>
    <w:family w:val="swiss"/>
    <w:pitch w:val="default"/>
    <w:sig w:usb0="80000287" w:usb1="2ACF3C50" w:usb2="00000016" w:usb3="00000000" w:csb0="0004001F" w:csb1="00000000"/>
    <w:embedRegular r:id="rId3" w:fontKey="{C519E77B-76C0-4F52-8987-BDD972C44F08}"/>
  </w:font>
  <w:font w:name="楷体">
    <w:panose1 w:val="02010609060101010101"/>
    <w:charset w:val="86"/>
    <w:family w:val="auto"/>
    <w:pitch w:val="default"/>
    <w:sig w:usb0="800002BF" w:usb1="38CF7CFA" w:usb2="00000016" w:usb3="00000000" w:csb0="000400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1949431"/>
    </w:sdtPr>
    <w:sdtContent>
      <w:sdt>
        <w:sdtPr>
          <w:id w:val="1728636285"/>
        </w:sdtPr>
        <w:sdtContent>
          <w:p>
            <w:pPr>
              <w:pStyle w:val="6"/>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sdtContent>
      </w:sdt>
    </w:sdtContent>
  </w:sdt>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D6DE2"/>
    <w:multiLevelType w:val="singleLevel"/>
    <w:tmpl w:val="0A3D6DE2"/>
    <w:lvl w:ilvl="0" w:tentative="0">
      <w:start w:val="1"/>
      <w:numFmt w:val="chineseCounting"/>
      <w:suff w:val="nothing"/>
      <w:lvlText w:val="%1、"/>
      <w:lvlJc w:val="left"/>
      <w:pPr>
        <w:ind w:left="-1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0NWZlNDk1MDM1ODA4OGFjZmE2M2ViODc1YTFjODkifQ=="/>
  </w:docVars>
  <w:rsids>
    <w:rsidRoot w:val="005B227A"/>
    <w:rsid w:val="00005BEA"/>
    <w:rsid w:val="0002743E"/>
    <w:rsid w:val="00091280"/>
    <w:rsid w:val="000B0E4D"/>
    <w:rsid w:val="000C6CF9"/>
    <w:rsid w:val="000F3056"/>
    <w:rsid w:val="001019FE"/>
    <w:rsid w:val="00142657"/>
    <w:rsid w:val="0015733D"/>
    <w:rsid w:val="001B6102"/>
    <w:rsid w:val="001F26C7"/>
    <w:rsid w:val="0026632F"/>
    <w:rsid w:val="00290BD2"/>
    <w:rsid w:val="002F2548"/>
    <w:rsid w:val="002F6225"/>
    <w:rsid w:val="003032D9"/>
    <w:rsid w:val="00370B49"/>
    <w:rsid w:val="003927B0"/>
    <w:rsid w:val="00423348"/>
    <w:rsid w:val="00445610"/>
    <w:rsid w:val="004A79BA"/>
    <w:rsid w:val="004E2B72"/>
    <w:rsid w:val="0050327C"/>
    <w:rsid w:val="00514094"/>
    <w:rsid w:val="0052379E"/>
    <w:rsid w:val="00547C80"/>
    <w:rsid w:val="00560FCF"/>
    <w:rsid w:val="00572F39"/>
    <w:rsid w:val="00596842"/>
    <w:rsid w:val="005B227A"/>
    <w:rsid w:val="005F659C"/>
    <w:rsid w:val="00605415"/>
    <w:rsid w:val="0064387B"/>
    <w:rsid w:val="00643E3E"/>
    <w:rsid w:val="006461FF"/>
    <w:rsid w:val="006672FE"/>
    <w:rsid w:val="00671198"/>
    <w:rsid w:val="006719F4"/>
    <w:rsid w:val="00673B7E"/>
    <w:rsid w:val="00677872"/>
    <w:rsid w:val="006A4EC4"/>
    <w:rsid w:val="006B00BA"/>
    <w:rsid w:val="006B2B60"/>
    <w:rsid w:val="006C40A5"/>
    <w:rsid w:val="006D189F"/>
    <w:rsid w:val="006D5A0E"/>
    <w:rsid w:val="006D7060"/>
    <w:rsid w:val="006D737C"/>
    <w:rsid w:val="007A5B52"/>
    <w:rsid w:val="007C314D"/>
    <w:rsid w:val="00806DD1"/>
    <w:rsid w:val="00815D5B"/>
    <w:rsid w:val="0081796F"/>
    <w:rsid w:val="00820CE3"/>
    <w:rsid w:val="00840CB0"/>
    <w:rsid w:val="00867234"/>
    <w:rsid w:val="00867AC0"/>
    <w:rsid w:val="00886ADE"/>
    <w:rsid w:val="008A276C"/>
    <w:rsid w:val="008B2FBD"/>
    <w:rsid w:val="008C7D89"/>
    <w:rsid w:val="00903B7B"/>
    <w:rsid w:val="00925CB2"/>
    <w:rsid w:val="009451AA"/>
    <w:rsid w:val="00963AD7"/>
    <w:rsid w:val="009D12FB"/>
    <w:rsid w:val="009F06A6"/>
    <w:rsid w:val="009F31CA"/>
    <w:rsid w:val="009F50C8"/>
    <w:rsid w:val="009F6CA2"/>
    <w:rsid w:val="00A222FD"/>
    <w:rsid w:val="00A51D36"/>
    <w:rsid w:val="00A54BFB"/>
    <w:rsid w:val="00A83EE1"/>
    <w:rsid w:val="00A9133B"/>
    <w:rsid w:val="00AA0977"/>
    <w:rsid w:val="00AB524C"/>
    <w:rsid w:val="00AC5F45"/>
    <w:rsid w:val="00AF0777"/>
    <w:rsid w:val="00B12238"/>
    <w:rsid w:val="00B14B6F"/>
    <w:rsid w:val="00B15708"/>
    <w:rsid w:val="00B3491A"/>
    <w:rsid w:val="00B5266C"/>
    <w:rsid w:val="00B83914"/>
    <w:rsid w:val="00BA51E9"/>
    <w:rsid w:val="00BB426A"/>
    <w:rsid w:val="00C05CF1"/>
    <w:rsid w:val="00C1573A"/>
    <w:rsid w:val="00C7242B"/>
    <w:rsid w:val="00C73171"/>
    <w:rsid w:val="00C77A8D"/>
    <w:rsid w:val="00CD05A6"/>
    <w:rsid w:val="00D20800"/>
    <w:rsid w:val="00D22418"/>
    <w:rsid w:val="00D23167"/>
    <w:rsid w:val="00D404C5"/>
    <w:rsid w:val="00D60CD2"/>
    <w:rsid w:val="00DA60CB"/>
    <w:rsid w:val="00DC5864"/>
    <w:rsid w:val="00DF48B7"/>
    <w:rsid w:val="00E07C06"/>
    <w:rsid w:val="00E173D8"/>
    <w:rsid w:val="00E66A8C"/>
    <w:rsid w:val="00E71810"/>
    <w:rsid w:val="00EB7466"/>
    <w:rsid w:val="00ED43DC"/>
    <w:rsid w:val="00F039DA"/>
    <w:rsid w:val="00F24947"/>
    <w:rsid w:val="00F35B5D"/>
    <w:rsid w:val="00F905B6"/>
    <w:rsid w:val="00FD37E7"/>
    <w:rsid w:val="00FE3B29"/>
    <w:rsid w:val="00FE4672"/>
    <w:rsid w:val="00FF1FEB"/>
    <w:rsid w:val="00FF63CA"/>
    <w:rsid w:val="03600D99"/>
    <w:rsid w:val="06693D01"/>
    <w:rsid w:val="0894122C"/>
    <w:rsid w:val="08A72DB3"/>
    <w:rsid w:val="093E44FC"/>
    <w:rsid w:val="0AB66DA2"/>
    <w:rsid w:val="0C4C2622"/>
    <w:rsid w:val="109E3C76"/>
    <w:rsid w:val="12B1015A"/>
    <w:rsid w:val="12B82CC5"/>
    <w:rsid w:val="137E6912"/>
    <w:rsid w:val="16984B27"/>
    <w:rsid w:val="1AE66CFD"/>
    <w:rsid w:val="1C387FA6"/>
    <w:rsid w:val="1C656C23"/>
    <w:rsid w:val="1D7D242D"/>
    <w:rsid w:val="1EE75F62"/>
    <w:rsid w:val="1F792DAF"/>
    <w:rsid w:val="20897BA1"/>
    <w:rsid w:val="20D27971"/>
    <w:rsid w:val="216D7966"/>
    <w:rsid w:val="218D1EEF"/>
    <w:rsid w:val="23B475E5"/>
    <w:rsid w:val="23C25822"/>
    <w:rsid w:val="265C29B2"/>
    <w:rsid w:val="270218DC"/>
    <w:rsid w:val="276B793B"/>
    <w:rsid w:val="279B4841"/>
    <w:rsid w:val="28273DAA"/>
    <w:rsid w:val="28552DF2"/>
    <w:rsid w:val="2BA94A1C"/>
    <w:rsid w:val="2C1A493E"/>
    <w:rsid w:val="2CC70108"/>
    <w:rsid w:val="2D9858FF"/>
    <w:rsid w:val="2DAF4B69"/>
    <w:rsid w:val="2DC7118A"/>
    <w:rsid w:val="2FD95706"/>
    <w:rsid w:val="30675C28"/>
    <w:rsid w:val="30831807"/>
    <w:rsid w:val="3135329C"/>
    <w:rsid w:val="315A40C3"/>
    <w:rsid w:val="32EB7412"/>
    <w:rsid w:val="32FE615F"/>
    <w:rsid w:val="364E3013"/>
    <w:rsid w:val="366E68DA"/>
    <w:rsid w:val="37A4700D"/>
    <w:rsid w:val="38174ABC"/>
    <w:rsid w:val="3996509C"/>
    <w:rsid w:val="3AB96C3F"/>
    <w:rsid w:val="3AF24880"/>
    <w:rsid w:val="3B0D21A6"/>
    <w:rsid w:val="3B9B3AF9"/>
    <w:rsid w:val="3BFE455E"/>
    <w:rsid w:val="3C386B17"/>
    <w:rsid w:val="3C612A9D"/>
    <w:rsid w:val="3E534E5B"/>
    <w:rsid w:val="3FE11739"/>
    <w:rsid w:val="44517451"/>
    <w:rsid w:val="46606805"/>
    <w:rsid w:val="46D651B5"/>
    <w:rsid w:val="47993F84"/>
    <w:rsid w:val="47C12FC5"/>
    <w:rsid w:val="48997E24"/>
    <w:rsid w:val="4CBB1E86"/>
    <w:rsid w:val="4CC20A7E"/>
    <w:rsid w:val="4D6E0F74"/>
    <w:rsid w:val="4D761E2D"/>
    <w:rsid w:val="4E4F7C9F"/>
    <w:rsid w:val="4F455F5A"/>
    <w:rsid w:val="50A31BB8"/>
    <w:rsid w:val="51B80221"/>
    <w:rsid w:val="51DA5E85"/>
    <w:rsid w:val="51F40FF2"/>
    <w:rsid w:val="51FD1F0E"/>
    <w:rsid w:val="566D0271"/>
    <w:rsid w:val="586F4122"/>
    <w:rsid w:val="5AAD1584"/>
    <w:rsid w:val="5B14567A"/>
    <w:rsid w:val="5B2C0328"/>
    <w:rsid w:val="5D165A24"/>
    <w:rsid w:val="5E047F4B"/>
    <w:rsid w:val="604859D6"/>
    <w:rsid w:val="6175360F"/>
    <w:rsid w:val="61AB7535"/>
    <w:rsid w:val="620576C2"/>
    <w:rsid w:val="63627732"/>
    <w:rsid w:val="63731937"/>
    <w:rsid w:val="63BB1CF6"/>
    <w:rsid w:val="63D64D7F"/>
    <w:rsid w:val="63F74842"/>
    <w:rsid w:val="65115EE0"/>
    <w:rsid w:val="65F7014C"/>
    <w:rsid w:val="66320B8F"/>
    <w:rsid w:val="674D7A09"/>
    <w:rsid w:val="69087CDF"/>
    <w:rsid w:val="6AB30B4E"/>
    <w:rsid w:val="6BDF649B"/>
    <w:rsid w:val="6BEC358E"/>
    <w:rsid w:val="6CB37959"/>
    <w:rsid w:val="6DF835FD"/>
    <w:rsid w:val="6F480382"/>
    <w:rsid w:val="71D80DD7"/>
    <w:rsid w:val="7762498B"/>
    <w:rsid w:val="7A581C12"/>
    <w:rsid w:val="7C2E6448"/>
    <w:rsid w:val="7E15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auto"/>
      <w:ind w:firstLine="720" w:firstLineChars="200"/>
    </w:pPr>
    <w:rPr>
      <w:rFonts w:ascii="仿宋" w:hAnsi="仿宋" w:eastAsia="仿宋" w:cs="宋体"/>
      <w:sz w:val="28"/>
      <w:szCs w:val="22"/>
      <w:lang w:val="en-US" w:eastAsia="zh-CN" w:bidi="ar-SA"/>
    </w:rPr>
  </w:style>
  <w:style w:type="paragraph" w:styleId="3">
    <w:name w:val="heading 1"/>
    <w:basedOn w:val="1"/>
    <w:next w:val="1"/>
    <w:link w:val="1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100"/>
      <w:outlineLvl w:val="1"/>
    </w:pPr>
    <w:rPr>
      <w:rFonts w:ascii="楷体_GB2312" w:hAnsi="楷体_GB2312" w:eastAsia="楷体_GB2312" w:cs="楷体_GB2312"/>
      <w:b/>
      <w:bCs/>
      <w:sz w:val="36"/>
      <w:szCs w:val="36"/>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文档正文"/>
    <w:basedOn w:val="1"/>
    <w:autoRedefine/>
    <w:qFormat/>
    <w:uiPriority w:val="0"/>
    <w:pPr>
      <w:adjustRightInd w:val="0"/>
      <w:spacing w:after="120"/>
      <w:ind w:firstLine="480"/>
    </w:pPr>
    <w:rPr>
      <w:rFonts w:ascii="华文细黑" w:hAnsi="华文细黑" w:eastAsia="华文细黑"/>
      <w:color w:val="000000"/>
      <w:sz w:val="24"/>
      <w:szCs w:val="20"/>
    </w:rPr>
  </w:style>
  <w:style w:type="paragraph" w:styleId="5">
    <w:name w:val="Body Text"/>
    <w:basedOn w:val="1"/>
    <w:autoRedefine/>
    <w:qFormat/>
    <w:uiPriority w:val="0"/>
    <w:pPr>
      <w:widowControl w:val="0"/>
      <w:spacing w:after="120" w:line="240" w:lineRule="auto"/>
      <w:jc w:val="both"/>
    </w:pPr>
    <w:rPr>
      <w:rFonts w:ascii="Calibri" w:hAnsi="Calibri" w:eastAsia="宋体" w:cs="Times New Roman"/>
      <w:kern w:val="2"/>
      <w:sz w:val="21"/>
    </w:rPr>
  </w:style>
  <w:style w:type="paragraph" w:styleId="6">
    <w:name w:val="footer"/>
    <w:basedOn w:val="1"/>
    <w:link w:val="18"/>
    <w:qFormat/>
    <w:uiPriority w:val="99"/>
    <w:pPr>
      <w:tabs>
        <w:tab w:val="center" w:pos="4153"/>
        <w:tab w:val="right" w:pos="8306"/>
      </w:tabs>
      <w:snapToGrid w:val="0"/>
      <w:spacing w:line="240" w:lineRule="auto"/>
    </w:pPr>
    <w:rPr>
      <w:sz w:val="18"/>
      <w:szCs w:val="18"/>
    </w:rPr>
  </w:style>
  <w:style w:type="paragraph" w:styleId="7">
    <w:name w:val="header"/>
    <w:basedOn w:val="1"/>
    <w:link w:val="17"/>
    <w:autoRedefine/>
    <w:qFormat/>
    <w:uiPriority w:val="0"/>
    <w:pPr>
      <w:tabs>
        <w:tab w:val="center" w:pos="4153"/>
        <w:tab w:val="right" w:pos="8306"/>
      </w:tabs>
      <w:snapToGrid w:val="0"/>
      <w:spacing w:line="240" w:lineRule="auto"/>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Char"/>
    <w:basedOn w:val="10"/>
    <w:link w:val="3"/>
    <w:autoRedefine/>
    <w:qFormat/>
    <w:uiPriority w:val="0"/>
    <w:rPr>
      <w:rFonts w:ascii="仿宋" w:hAnsi="仿宋" w:eastAsia="仿宋" w:cs="宋体"/>
      <w:b/>
      <w:bCs/>
      <w:kern w:val="44"/>
      <w:sz w:val="44"/>
      <w:szCs w:val="44"/>
    </w:rPr>
  </w:style>
  <w:style w:type="paragraph" w:customStyle="1" w:styleId="12">
    <w:name w:val="表各正文"/>
    <w:basedOn w:val="1"/>
    <w:next w:val="13"/>
    <w:autoRedefine/>
    <w:qFormat/>
    <w:uiPriority w:val="0"/>
    <w:pPr>
      <w:spacing w:line="240" w:lineRule="auto"/>
      <w:ind w:firstLine="0" w:firstLineChars="0"/>
    </w:pPr>
    <w:rPr>
      <w:rFonts w:ascii="Times New Roman" w:hAnsi="Times New Roman"/>
      <w:sz w:val="21"/>
      <w:szCs w:val="21"/>
    </w:rPr>
  </w:style>
  <w:style w:type="paragraph" w:customStyle="1" w:styleId="13">
    <w:name w:val="表格正文"/>
    <w:basedOn w:val="1"/>
    <w:next w:val="1"/>
    <w:autoRedefine/>
    <w:qFormat/>
    <w:uiPriority w:val="10"/>
    <w:pPr>
      <w:spacing w:line="240" w:lineRule="auto"/>
      <w:ind w:firstLine="0" w:firstLineChars="0"/>
    </w:pPr>
    <w:rPr>
      <w:sz w:val="21"/>
      <w:szCs w:val="18"/>
    </w:rPr>
  </w:style>
  <w:style w:type="paragraph" w:customStyle="1" w:styleId="14">
    <w:name w:val="表格表头"/>
    <w:basedOn w:val="13"/>
    <w:next w:val="13"/>
    <w:autoRedefine/>
    <w:qFormat/>
    <w:uiPriority w:val="10"/>
    <w:pPr>
      <w:jc w:val="center"/>
    </w:pPr>
    <w:rPr>
      <w:rFonts w:cs="仿宋"/>
      <w:b/>
      <w:szCs w:val="24"/>
    </w:rPr>
  </w:style>
  <w:style w:type="paragraph" w:customStyle="1" w:styleId="15">
    <w:name w:val="样式 首行缩进:  2 字符"/>
    <w:basedOn w:val="1"/>
    <w:autoRedefine/>
    <w:qFormat/>
    <w:uiPriority w:val="0"/>
    <w:pPr>
      <w:ind w:firstLine="200"/>
    </w:pPr>
    <w:rPr>
      <w:szCs w:val="20"/>
    </w:rPr>
  </w:style>
  <w:style w:type="paragraph" w:customStyle="1" w:styleId="16">
    <w:name w:val="默认"/>
    <w:autoRedefine/>
    <w:qFormat/>
    <w:uiPriority w:val="0"/>
    <w:rPr>
      <w:rFonts w:hint="eastAsia" w:ascii="Arial Unicode MS" w:hAnsi="Arial Unicode MS" w:eastAsia="Helvetica Neue" w:cs="Arial Unicode MS"/>
      <w:color w:val="000000"/>
      <w:sz w:val="22"/>
      <w:szCs w:val="22"/>
      <w:lang w:val="en-US" w:eastAsia="zh-CN" w:bidi="ar-SA"/>
    </w:rPr>
  </w:style>
  <w:style w:type="character" w:customStyle="1" w:styleId="17">
    <w:name w:val="页眉 Char"/>
    <w:basedOn w:val="10"/>
    <w:link w:val="7"/>
    <w:autoRedefine/>
    <w:qFormat/>
    <w:uiPriority w:val="0"/>
    <w:rPr>
      <w:rFonts w:ascii="仿宋" w:hAnsi="仿宋" w:eastAsia="仿宋" w:cs="宋体"/>
      <w:sz w:val="18"/>
      <w:szCs w:val="18"/>
    </w:rPr>
  </w:style>
  <w:style w:type="character" w:customStyle="1" w:styleId="18">
    <w:name w:val="页脚 Char"/>
    <w:basedOn w:val="10"/>
    <w:link w:val="6"/>
    <w:autoRedefine/>
    <w:qFormat/>
    <w:uiPriority w:val="99"/>
    <w:rPr>
      <w:rFonts w:ascii="仿宋" w:hAnsi="仿宋" w:eastAsia="仿宋" w:cs="宋体"/>
      <w:sz w:val="18"/>
      <w:szCs w:val="18"/>
    </w:rPr>
  </w:style>
  <w:style w:type="paragraph" w:styleId="19">
    <w:name w:val="List Paragraph"/>
    <w:basedOn w:val="1"/>
    <w:autoRedefine/>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4108</Words>
  <Characters>4268</Characters>
  <Lines>31</Lines>
  <Paragraphs>8</Paragraphs>
  <TotalTime>18</TotalTime>
  <ScaleCrop>false</ScaleCrop>
  <LinksUpToDate>false</LinksUpToDate>
  <CharactersWithSpaces>4303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2024-04-24T02:23:00Z</dcterms:created>
  <dc:creator>心雨</dc:creator>
  <cp:lastModifiedBy>青梅未许</cp:lastModifiedBy>
  <cp:lastPrinted>2022-08-09T01:39:00Z</cp:lastPrinted>
  <dcterms:modified xsi:type="dcterms:W3CDTF">2025-07-02T07:04:13Z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3B19FD41AA674E78AAE7DE8915A285F1_13</vt:lpwstr>
  </property>
  <property fmtid="{D5CDD505-2E9C-101B-9397-08002B2CF9AE}" pid="4" name="KSOTemplateDocerSaveRecord">
    <vt:lpwstr>eyJoZGlkIjoiZDk0NmJhNjY0YzVmN2JhYmQyZGNlZjNhNmM1NDEzMWMiLCJ1c2VySWQiOiIyNzU4MTIzNTEifQ==</vt:lpwstr>
  </property>
</Properties>
</file>