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7916"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铜仁市第十五幼儿园沙水池及场地改造</w:t>
      </w:r>
    </w:p>
    <w:p w14:paraId="7739872F">
      <w:pPr>
        <w:pStyle w:val="4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</w:rPr>
        <w:t>资质要求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7C6C8B19">
      <w:pPr>
        <w:numPr>
          <w:ilvl w:val="0"/>
          <w:numId w:val="1"/>
        </w:numPr>
        <w:ind w:left="480" w:leftChars="20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本次改造需设计师现场查勘并提供设计图，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效果图，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无设计图，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效果图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视为无效投标；</w:t>
      </w:r>
    </w:p>
    <w:p w14:paraId="52D90C47">
      <w:pPr>
        <w:numPr>
          <w:ilvl w:val="0"/>
          <w:numId w:val="1"/>
        </w:numPr>
        <w:ind w:left="480" w:leftChars="20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具有独立承担民事责任的能力：提供法人或其他组织的营业执照等证明文件；</w:t>
      </w:r>
    </w:p>
    <w:p w14:paraId="30EAB6B4"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（3）具有履行合同所必需的设备和专业技术能力：提供具备履行本项目合同所必需的设备和专业技术能力的承诺；</w:t>
      </w:r>
    </w:p>
    <w:p w14:paraId="39081CDF"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（4） 本项目设计费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由供应商承担，30个工作日完工；</w:t>
      </w:r>
    </w:p>
    <w:p w14:paraId="259FB482">
      <w:pPr>
        <w:wordWrap w:val="0"/>
        <w:ind w:firstLine="48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法律、行政法规规定的其他条件：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、重大税收违法案件当事人名单、政府采购严重违法失信行为记录名单中的供应商取消其投标资格，并承担由此造成的一切法律责任及后果。</w:t>
      </w:r>
    </w:p>
    <w:p w14:paraId="52F02237">
      <w:pPr>
        <w:wordWrap w:val="0"/>
        <w:ind w:firstLine="48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（6）.供应商的响应资料需真实有效方能签订合同;如发现弄虚作假、恶意报价、不能提供相关要求资料，本单位将拒签合同，给予差评并投诉至管理部门。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（7）.对于不能完全满足本次采购技术、商务、服务及我方相关要求的供应商，影响我单位的使用及采购工作的，本单位不予以验收付款，并向财政投诉并追究其法律责任和经济损失。</w:t>
      </w:r>
    </w:p>
    <w:p w14:paraId="1F12D1FD">
      <w:pPr>
        <w:wordWrap w:val="0"/>
        <w:ind w:firstLine="480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注：以上资料必须清晰，若材料模糊导致关键信息无法识别，由供应商自行承担。</w:t>
      </w:r>
    </w:p>
    <w:p w14:paraId="48DC9AC5">
      <w:pPr>
        <w:ind w:left="0" w:leftChars="0" w:firstLine="0" w:firstLineChars="0"/>
        <w:rPr>
          <w:rFonts w:hint="eastAsia"/>
          <w:b/>
          <w:bCs/>
          <w:sz w:val="32"/>
          <w:szCs w:val="32"/>
        </w:rPr>
      </w:pPr>
    </w:p>
    <w:p w14:paraId="6F27A559">
      <w:pPr>
        <w:ind w:left="0" w:leftChars="0" w:firstLine="0" w:firstLine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二、项目控制价：￥</w:t>
      </w:r>
      <w:r>
        <w:rPr>
          <w:rFonts w:hint="eastAsia"/>
          <w:b/>
          <w:bCs/>
          <w:sz w:val="32"/>
          <w:szCs w:val="32"/>
          <w:lang w:val="en-US" w:eastAsia="zh-CN"/>
        </w:rPr>
        <w:t>49820</w:t>
      </w:r>
      <w:r>
        <w:rPr>
          <w:rFonts w:hint="eastAsia"/>
          <w:b/>
          <w:bCs/>
          <w:sz w:val="32"/>
          <w:szCs w:val="32"/>
        </w:rPr>
        <w:t>元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大写：肆万玖仟捌佰贰拾元</w:t>
      </w:r>
    </w:p>
    <w:p w14:paraId="28F5EA29">
      <w:pPr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三、工程清单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5FC61649"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tbl>
      <w:tblPr>
        <w:tblStyle w:val="6"/>
        <w:tblW w:w="88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00"/>
        <w:gridCol w:w="1366"/>
        <w:gridCol w:w="1100"/>
        <w:gridCol w:w="3331"/>
        <w:gridCol w:w="653"/>
      </w:tblGrid>
      <w:tr w14:paraId="5E9C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7067550</wp:posOffset>
                  </wp:positionH>
                  <wp:positionV relativeFrom="paragraph">
                    <wp:posOffset>355600</wp:posOffset>
                  </wp:positionV>
                  <wp:extent cx="1133475" cy="3175"/>
                  <wp:effectExtent l="0" t="0" r="0" b="0"/>
                  <wp:wrapNone/>
                  <wp:docPr id="17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铜仁市幼儿园沙水池及场地改造明细清单</w:t>
            </w:r>
          </w:p>
        </w:tc>
      </w:tr>
      <w:tr w14:paraId="5FD5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9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一、洗手池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14F2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CA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01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材质及施工工艺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410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478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8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洗手池地台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7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地面抬高20公分，回填，混泥土浇灌抹平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3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A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2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防腐木地板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3*5防腐木龙骨，2cm厚防腐木木板饰面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BB9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C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8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洗手池挡水墙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防腐木挡水墙0.9米,3*5防腐木龙骨，2cm厚防腐木木板饰面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FA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D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F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4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防腐木底座，轮胎加不锈钢盆接水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375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A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1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加长水龙头成品采购安装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6DA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8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3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洗手池排水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1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成品下水采购安装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7C4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4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1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F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地面开槽、“联塑”品牌PPR冷水水管、管件；“联塑”品牌PVC排水管、管件、辅料、安装（不含开挖污水井及井圈砌筑以及厨房污水往下的隔油池制作）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0C2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3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04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C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二、沙池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DB34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B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材质及施工工艺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AC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8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原沙清理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1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清理原有沙池边框，清理出的残渣清运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3BE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C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5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隔沙池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防堵处理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EA5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8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沉沙池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E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防堵处理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C8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F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F0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沉沙池盖板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块   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5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成品盖板采购安装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9AA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C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26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B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地面开槽、“联塑”品牌PPR冷水水管、管件；“联塑”品牌PVC排水管、管件、辅料、安装（不含开挖污水井及井圈砌筑以及厨房污水往下的隔油池制作）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A3A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8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F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沙池                                                    </w:t>
            </w:r>
            <w:r>
              <w:rPr>
                <w:rStyle w:val="9"/>
                <w:lang w:val="en-US" w:eastAsia="zh-CN" w:bidi="ar"/>
              </w:rPr>
              <w:t>砖砌圈梁（高20cm,宽20cm)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水泥标砖12*20，砂浆强度等级配合比:M7.5水泥砂浆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BDA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3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6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沙池</w:t>
            </w:r>
            <w:r>
              <w:rPr>
                <w:rStyle w:val="9"/>
                <w:lang w:val="en-US" w:eastAsia="zh-CN" w:bidi="ar"/>
              </w:rPr>
              <w:t>砖砌圈梁抹灰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水泥标砖12*20，砂浆强度等级配合比:M7.5水泥砂浆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479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F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3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防腐木饰面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2*3防腐木龙骨，2.5cm防腐木木板饰面，枪钉固定，刷清漆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B46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D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8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50-70目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557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6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三、水池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EE1A"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7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B8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沙池                                                    </w:t>
            </w:r>
            <w:r>
              <w:rPr>
                <w:rStyle w:val="9"/>
                <w:lang w:val="en-US" w:eastAsia="zh-CN" w:bidi="ar"/>
              </w:rPr>
              <w:t>砖砌圈梁（高20cm,宽20cm)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水泥标砖12*20，砂浆强度等级配合比:M7.5水泥砂浆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2DD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1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88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8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沙池</w:t>
            </w:r>
            <w:r>
              <w:rPr>
                <w:rStyle w:val="9"/>
                <w:lang w:val="en-US" w:eastAsia="zh-CN" w:bidi="ar"/>
              </w:rPr>
              <w:t>砖砌圈梁抹灰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水泥标砖12*20，砂浆强度等级配合比:M7.5水泥砂浆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DB6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0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E7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防腐木饰面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7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2*3防腐木龙骨，2.5cm防腐木木板饰面，枪钉固定，刷清漆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F6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5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29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4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6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旺龙卷材防水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6F7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0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9A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D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地面开槽、“联塑”品牌PPR冷水水管、管件；“联塑”品牌PVC排水管、管件、辅料、安装（不含开挖污水井及井圈砌筑以及厨房污水往下的隔油池制作）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E7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B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3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C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PPR水阀，成品订购安装。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11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A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86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9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PPR水阀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DC6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8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6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四、花池边防腐木饰面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6C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8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FC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花池边防腐木饰面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B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3*5防腐木龙骨，2cm厚防腐木木板饰面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11E9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064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87EAE"/>
    <w:multiLevelType w:val="singleLevel"/>
    <w:tmpl w:val="77E87EA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428C"/>
    <w:rsid w:val="1B3C7AF9"/>
    <w:rsid w:val="1FC40CAA"/>
    <w:rsid w:val="29893B22"/>
    <w:rsid w:val="401117CD"/>
    <w:rsid w:val="41C67651"/>
    <w:rsid w:val="43541F36"/>
    <w:rsid w:val="4A2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5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28"/>
      <w:szCs w:val="30"/>
    </w:rPr>
  </w:style>
  <w:style w:type="character" w:customStyle="1" w:styleId="8">
    <w:name w:val="font5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61"/>
    <w:basedOn w:val="7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1320</Words>
  <Characters>1470</Characters>
  <Lines>0</Lines>
  <Paragraphs>0</Paragraphs>
  <TotalTime>9</TotalTime>
  <ScaleCrop>false</ScaleCrop>
  <LinksUpToDate>false</LinksUpToDate>
  <CharactersWithSpaces>1583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Administrator.PC-201708030937</dc:creator>
  <cp:lastModifiedBy>admin</cp:lastModifiedBy>
  <dcterms:modified xsi:type="dcterms:W3CDTF">2025-08-11T08:23:47Z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eyJoZGlkIjoiMzZmYjk1YjUzOGViOTA2ZWI5NmY2ZjJmOWNiYWQyOWIiLCJ1c2VySWQiOiI0MTc0NDAzNjMifQ==</vt:lpwstr>
  </property>
  <property fmtid="{D5CDD505-2E9C-101B-9397-08002B2CF9AE}" pid="4" name="ICV">
    <vt:lpwstr>50183DAE3EA54E92A329F5047AD50315_13</vt:lpwstr>
  </property>
</Properties>
</file>