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0"/>
          <w:lang w:eastAsia="zh-CN"/>
        </w:rPr>
      </w:pPr>
      <w:r>
        <w:rPr>
          <w:rFonts w:hint="eastAsia" w:asciiTheme="majorEastAsia" w:hAnsiTheme="majorEastAsia" w:eastAsiaTheme="majorEastAsia"/>
          <w:b/>
          <w:sz w:val="40"/>
        </w:rPr>
        <w:t>安顺经济技术开发区小屯小学采购安装悬浮地板</w:t>
      </w:r>
      <w:r>
        <w:rPr>
          <w:rFonts w:hint="eastAsia" w:asciiTheme="majorEastAsia" w:hAnsiTheme="majorEastAsia" w:eastAsiaTheme="majorEastAsia"/>
          <w:b/>
          <w:sz w:val="40"/>
          <w:lang w:val="en-US" w:eastAsia="zh-CN"/>
        </w:rPr>
        <w:t>清单</w:t>
      </w:r>
      <w:bookmarkStart w:id="0" w:name="_GoBack"/>
      <w:bookmarkEnd w:id="0"/>
    </w:p>
    <w:tbl>
      <w:tblPr>
        <w:tblStyle w:val="6"/>
        <w:tblpPr w:leftFromText="180" w:rightFromText="180" w:vertAnchor="page" w:horzAnchor="margin" w:tblpXSpec="center" w:tblpY="1536"/>
        <w:tblW w:w="15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798"/>
        <w:gridCol w:w="992"/>
        <w:gridCol w:w="992"/>
        <w:gridCol w:w="1134"/>
        <w:gridCol w:w="708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名称</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数量</w:t>
            </w:r>
          </w:p>
        </w:tc>
        <w:tc>
          <w:tcPr>
            <w:tcW w:w="992"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单价（元）</w:t>
            </w:r>
          </w:p>
        </w:tc>
        <w:tc>
          <w:tcPr>
            <w:tcW w:w="1134"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总价（元）</w:t>
            </w:r>
          </w:p>
        </w:tc>
        <w:tc>
          <w:tcPr>
            <w:tcW w:w="7088"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参数</w:t>
            </w:r>
          </w:p>
        </w:tc>
        <w:tc>
          <w:tcPr>
            <w:tcW w:w="2693"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asciiTheme="majorEastAsia" w:hAnsiTheme="majorEastAsia" w:eastAsiaTheme="majorEastAsia"/>
                <w:sz w:val="24"/>
                <w:szCs w:val="24"/>
              </w:rPr>
            </w:pPr>
            <w:r>
              <w:rPr>
                <w:rFonts w:hint="eastAsia" w:ascii="宋体" w:hAnsi="宋体" w:cs="宋体"/>
                <w:sz w:val="24"/>
                <w:szCs w:val="24"/>
                <w:lang w:val="en-US" w:eastAsia="zh-CN"/>
              </w:rPr>
              <w:t>热塑性弹性体</w:t>
            </w:r>
            <w:r>
              <w:rPr>
                <w:rFonts w:hint="eastAsia" w:asciiTheme="majorEastAsia" w:hAnsiTheme="majorEastAsia" w:eastAsiaTheme="majorEastAsia"/>
                <w:sz w:val="24"/>
                <w:szCs w:val="24"/>
              </w:rPr>
              <w:t>悬浮地板</w:t>
            </w:r>
          </w:p>
          <w:p>
            <w:pPr>
              <w:ind w:firstLine="240" w:firstLineChars="100"/>
              <w:jc w:val="center"/>
              <w:rPr>
                <w:rFonts w:asciiTheme="majorEastAsia" w:hAnsiTheme="majorEastAsia" w:eastAsiaTheme="majorEastAsia"/>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平方米</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3000</w:t>
            </w:r>
          </w:p>
        </w:tc>
        <w:tc>
          <w:tcPr>
            <w:tcW w:w="992" w:type="dxa"/>
            <w:tcBorders>
              <w:left w:val="single" w:color="auto" w:sz="4" w:space="0"/>
              <w:right w:val="single" w:color="auto" w:sz="4" w:space="0"/>
            </w:tcBorders>
            <w:vAlign w:val="center"/>
          </w:tcPr>
          <w:p>
            <w:pPr>
              <w:snapToGrid w:val="0"/>
              <w:jc w:val="center"/>
              <w:rPr>
                <w:rFonts w:hint="default" w:asciiTheme="majorEastAsia" w:hAnsiTheme="majorEastAsia" w:eastAsiaTheme="majorEastAsia"/>
                <w:sz w:val="24"/>
                <w:szCs w:val="24"/>
                <w:lang w:val="en-US" w:eastAsia="zh-CN"/>
              </w:rPr>
            </w:pPr>
          </w:p>
        </w:tc>
        <w:tc>
          <w:tcPr>
            <w:tcW w:w="1134" w:type="dxa"/>
            <w:tcBorders>
              <w:left w:val="single" w:color="auto" w:sz="4" w:space="0"/>
              <w:right w:val="single" w:color="auto" w:sz="4" w:space="0"/>
            </w:tcBorders>
            <w:vAlign w:val="center"/>
          </w:tcPr>
          <w:p>
            <w:pPr>
              <w:snapToGrid w:val="0"/>
              <w:jc w:val="center"/>
              <w:rPr>
                <w:rFonts w:hint="default" w:asciiTheme="majorEastAsia" w:hAnsiTheme="majorEastAsia" w:eastAsiaTheme="majorEastAsia"/>
                <w:sz w:val="24"/>
                <w:szCs w:val="24"/>
                <w:lang w:val="en-US" w:eastAsia="zh-CN"/>
              </w:rPr>
            </w:pPr>
          </w:p>
        </w:tc>
        <w:tc>
          <w:tcPr>
            <w:tcW w:w="7088" w:type="dxa"/>
            <w:tcBorders>
              <w:left w:val="single" w:color="auto" w:sz="4" w:space="0"/>
              <w:right w:val="single" w:color="auto" w:sz="4" w:space="0"/>
            </w:tcBorders>
            <w:vAlign w:val="center"/>
          </w:tcPr>
          <w:p>
            <w:pPr>
              <w:pStyle w:val="12"/>
              <w:numPr>
                <w:ilvl w:val="0"/>
                <w:numId w:val="0"/>
              </w:numPr>
              <w:jc w:val="left"/>
              <w:rPr>
                <w:rFonts w:hint="default" w:ascii="宋体" w:hAnsi="宋体" w:eastAsia="宋体" w:cs="宋体"/>
                <w:color w:val="FF0000"/>
                <w:sz w:val="18"/>
                <w:szCs w:val="18"/>
                <w:lang w:val="en-US" w:eastAsia="zh-CN"/>
              </w:rPr>
            </w:pP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软塑Y6-440克（±10克）</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1、规格:34cm×34cm</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2、厚度:1.4</w:t>
            </w:r>
            <w:r>
              <w:rPr>
                <w:rFonts w:hint="eastAsia" w:ascii="宋体" w:hAnsi="宋体" w:eastAsia="宋体" w:cs="宋体"/>
                <w:color w:val="auto"/>
                <w:sz w:val="18"/>
                <w:szCs w:val="18"/>
                <w:lang w:val="en-US" w:eastAsia="zh-CN"/>
              </w:rPr>
              <w:t>2</w:t>
            </w:r>
            <w:r>
              <w:rPr>
                <w:rFonts w:hint="default" w:ascii="宋体" w:hAnsi="宋体" w:eastAsia="宋体" w:cs="宋体"/>
                <w:color w:val="auto"/>
                <w:sz w:val="18"/>
                <w:szCs w:val="18"/>
                <w:lang w:val="en-US" w:eastAsia="zh-CN"/>
              </w:rPr>
              <w:t>cm</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3、重量:440克（±10克）</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4、材质：热塑性弹性体</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5、地板外观：软塑地板采用类人体学表面圆弧处理，并具有多向防滑的效果，从而有效减少了运动过程中的摔倒擦伤，增强了运动安全性。新款地板的干性摩擦力可以达到 90% 以上，湿性摩擦力也可以达到 50% 。 这一性能很好地解决了传统拼装地板雨雪天气，表面湿滑问题，从而真正做到全天候24小时可用。</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6、锁扣设计：单块采用连排三向锁防开扣技术连接方式有效解决了因热胀冷缩引起的场地鼓包、开裂的问题，更具有横向缓冲功能，有效避免运动伤害，并且可以反复拆卸使用。</w:t>
            </w:r>
          </w:p>
          <w:p>
            <w:pPr>
              <w:pStyle w:val="12"/>
              <w:numPr>
                <w:ilvl w:val="0"/>
                <w:numId w:val="0"/>
              </w:num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7、底部支撑点：支撑结构为十字稳定支撑设计。（此设计达到工程力学中极佳的承载结构，使地板更加牢固和稳定。）</w:t>
            </w:r>
            <w:r>
              <w:rPr>
                <w:rFonts w:hint="default" w:ascii="宋体" w:hAnsi="宋体" w:eastAsia="宋体" w:cs="宋体"/>
                <w:color w:val="auto"/>
                <w:sz w:val="18"/>
                <w:szCs w:val="18"/>
                <w:lang w:val="en-US" w:eastAsia="zh-CN"/>
              </w:rPr>
              <w:tab/>
            </w:r>
          </w:p>
          <w:p>
            <w:pPr>
              <w:pStyle w:val="12"/>
              <w:numPr>
                <w:ilvl w:val="0"/>
                <w:numId w:val="0"/>
              </w:numPr>
              <w:jc w:val="left"/>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8、检测</w:t>
            </w:r>
            <w:r>
              <w:rPr>
                <w:rFonts w:hint="default" w:ascii="宋体" w:hAnsi="宋体" w:eastAsia="宋体" w:cs="宋体"/>
                <w:color w:val="FF0000"/>
                <w:sz w:val="18"/>
                <w:szCs w:val="18"/>
                <w:lang w:val="en-US" w:eastAsia="zh-CN"/>
              </w:rPr>
              <w:t>高温试验(70℃，72h)、低温试验(-40℃,72h)、冲击吸收、垂直变形、球反弹率、抗滑值(干测)、抗滑值(湿测)、阻燃</w:t>
            </w:r>
            <w:r>
              <w:rPr>
                <w:rFonts w:hint="eastAsia" w:ascii="宋体" w:hAnsi="宋体" w:eastAsia="宋体" w:cs="宋体"/>
                <w:color w:val="FF0000"/>
                <w:sz w:val="18"/>
                <w:szCs w:val="18"/>
                <w:lang w:val="en-US" w:eastAsia="zh-CN"/>
              </w:rPr>
              <w:t>检测合格。</w:t>
            </w:r>
            <w:r>
              <w:rPr>
                <w:rFonts w:hint="eastAsia" w:ascii="宋体" w:hAnsi="宋体" w:eastAsia="宋体" w:cs="宋体"/>
                <w:color w:val="FF0000"/>
                <w:kern w:val="2"/>
                <w:sz w:val="18"/>
                <w:szCs w:val="18"/>
                <w:lang w:val="en-US" w:eastAsia="zh-CN" w:bidi="ar-SA"/>
              </w:rPr>
              <w:t>（</w:t>
            </w:r>
            <w:r>
              <w:rPr>
                <w:rFonts w:hint="eastAsia" w:ascii="宋体" w:hAnsi="宋体" w:eastAsia="宋体" w:cs="宋体"/>
                <w:color w:val="FF0000"/>
                <w:sz w:val="18"/>
                <w:szCs w:val="18"/>
                <w:lang w:val="en-US" w:eastAsia="zh-CN"/>
              </w:rPr>
              <w:t>提供国家体育用品质量监督检验中心出具的检测报告）。参考标准</w:t>
            </w:r>
            <w:r>
              <w:rPr>
                <w:rFonts w:hint="default" w:ascii="宋体" w:hAnsi="宋体" w:eastAsia="宋体" w:cs="宋体"/>
                <w:color w:val="FF0000"/>
                <w:sz w:val="18"/>
                <w:szCs w:val="18"/>
                <w:lang w:val="en-US" w:eastAsia="zh-CN"/>
              </w:rPr>
              <w:t>DB13/T 5088-2019《悬浮式拼装运动地板技术规范》</w:t>
            </w:r>
          </w:p>
          <w:p>
            <w:pPr>
              <w:pStyle w:val="12"/>
              <w:numPr>
                <w:ilvl w:val="0"/>
                <w:numId w:val="0"/>
              </w:numPr>
              <w:jc w:val="left"/>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9、检测有害物质含量(3种邻苯二甲酸酯类化合物(DBP、BBP、DEHP)总和、3种邻苯二甲酸酯类化合物(DNOP、DINP、DIDP)总和、18种多环芳烃总和、苯并[a]芘、短链氯化石蜡(C10-C13)、4,4’-二氨基-3,3’-二氯二苯甲烷(MOCA)、游离甲苯二异氰酸酯</w:t>
            </w:r>
          </w:p>
          <w:p>
            <w:pPr>
              <w:pStyle w:val="12"/>
              <w:numPr>
                <w:ilvl w:val="0"/>
                <w:numId w:val="0"/>
              </w:numPr>
              <w:jc w:val="left"/>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TDI)和游离六亚甲基二异氰酸酯(HDI)总和、游离二苯基甲烷二异氰酸酯(MDI)、可溶性铅、可溶性镉、可溶性铬、可溶性汞)、有害物质释放量(总挥发性有机化合物(TVOC)、甲醛、苯、甲苯、二甲苯和乙苯总和、二硫化碳)、气味(等级)检测合格。</w:t>
            </w:r>
            <w:r>
              <w:rPr>
                <w:rFonts w:hint="eastAsia" w:ascii="宋体" w:hAnsi="宋体" w:eastAsia="宋体" w:cs="宋体"/>
                <w:color w:val="FF0000"/>
                <w:kern w:val="2"/>
                <w:sz w:val="18"/>
                <w:szCs w:val="18"/>
                <w:lang w:val="en-US" w:eastAsia="zh-CN" w:bidi="ar-SA"/>
              </w:rPr>
              <w:t>（</w:t>
            </w:r>
            <w:r>
              <w:rPr>
                <w:rFonts w:hint="eastAsia" w:ascii="宋体" w:hAnsi="宋体" w:eastAsia="宋体" w:cs="宋体"/>
                <w:color w:val="FF0000"/>
                <w:sz w:val="18"/>
                <w:szCs w:val="18"/>
                <w:lang w:val="en-US" w:eastAsia="zh-CN"/>
              </w:rPr>
              <w:t>提供国家体育用品质量监督检验中心出具的检测报告）.参考标准.GB36246-2018《中小学合成材料面层运动场地》</w:t>
            </w:r>
          </w:p>
          <w:p>
            <w:pPr>
              <w:snapToGrid w:val="0"/>
              <w:spacing w:line="240" w:lineRule="exact"/>
              <w:rPr>
                <w:rFonts w:asciiTheme="majorEastAsia" w:hAnsiTheme="majorEastAsia" w:eastAsiaTheme="majorEastAsia"/>
                <w:sz w:val="18"/>
                <w:szCs w:val="18"/>
              </w:rPr>
            </w:pPr>
          </w:p>
        </w:tc>
        <w:tc>
          <w:tcPr>
            <w:tcW w:w="2693" w:type="dxa"/>
            <w:tcBorders>
              <w:left w:val="single" w:color="auto" w:sz="4" w:space="0"/>
              <w:right w:val="single" w:color="auto" w:sz="4" w:space="0"/>
            </w:tcBorders>
            <w:vAlign w:val="center"/>
          </w:tcPr>
          <w:p>
            <w:pPr>
              <w:snapToGrid w:val="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drawing>
                <wp:inline distT="0" distB="0" distL="114300" distR="114300">
                  <wp:extent cx="1571625" cy="3178810"/>
                  <wp:effectExtent l="0" t="0" r="9525" b="2540"/>
                  <wp:docPr id="1" name="图片 1" descr="556f61cea4b5d0324e275c82ff7c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6f61cea4b5d0324e275c82ff7c5536"/>
                          <pic:cNvPicPr>
                            <a:picLocks noChangeAspect="1"/>
                          </pic:cNvPicPr>
                        </pic:nvPicPr>
                        <pic:blipFill>
                          <a:blip r:embed="rId4"/>
                          <a:stretch>
                            <a:fillRect/>
                          </a:stretch>
                        </pic:blipFill>
                        <pic:spPr>
                          <a:xfrm>
                            <a:off x="0" y="0"/>
                            <a:ext cx="1571625" cy="3178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rPr>
                <w:rFonts w:hint="eastAsia"/>
                <w:b w:val="0"/>
                <w:bCs w:val="0"/>
                <w:sz w:val="24"/>
                <w:szCs w:val="24"/>
                <w:lang w:val="en-US" w:eastAsia="zh-CN"/>
              </w:rPr>
            </w:pPr>
            <w:r>
              <w:rPr>
                <w:rFonts w:hint="eastAsia"/>
                <w:b w:val="0"/>
                <w:bCs w:val="0"/>
                <w:sz w:val="24"/>
                <w:szCs w:val="24"/>
                <w:lang w:val="en-US" w:eastAsia="zh-CN"/>
              </w:rPr>
              <w:t>操场地面维修及教学楼前台阶修复</w:t>
            </w:r>
          </w:p>
          <w:p>
            <w:pPr>
              <w:ind w:firstLine="240" w:firstLineChars="100"/>
              <w:jc w:val="center"/>
              <w:rPr>
                <w:rFonts w:asciiTheme="majorEastAsia" w:hAnsiTheme="majorEastAsia" w:eastAsiaTheme="majorEastAsia"/>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 w:val="24"/>
                <w:szCs w:val="24"/>
              </w:rPr>
            </w:pPr>
          </w:p>
        </w:tc>
        <w:tc>
          <w:tcPr>
            <w:tcW w:w="992" w:type="dxa"/>
            <w:tcBorders>
              <w:left w:val="single" w:color="auto" w:sz="4" w:space="0"/>
              <w:bottom w:val="single" w:color="auto" w:sz="4" w:space="0"/>
              <w:right w:val="single" w:color="auto" w:sz="4" w:space="0"/>
            </w:tcBorders>
            <w:vAlign w:val="center"/>
          </w:tcPr>
          <w:p>
            <w:pPr>
              <w:snapToGrid w:val="0"/>
              <w:jc w:val="center"/>
              <w:rPr>
                <w:rFonts w:hint="default" w:asciiTheme="majorEastAsia" w:hAnsiTheme="majorEastAsia" w:eastAsiaTheme="majorEastAsia"/>
                <w:sz w:val="24"/>
                <w:szCs w:val="24"/>
                <w:lang w:val="en-US" w:eastAsia="zh-CN"/>
              </w:rPr>
            </w:pPr>
          </w:p>
        </w:tc>
        <w:tc>
          <w:tcPr>
            <w:tcW w:w="1134" w:type="dxa"/>
            <w:tcBorders>
              <w:left w:val="single" w:color="auto" w:sz="4" w:space="0"/>
              <w:bottom w:val="single" w:color="auto" w:sz="4" w:space="0"/>
              <w:right w:val="single" w:color="auto" w:sz="4" w:space="0"/>
            </w:tcBorders>
            <w:vAlign w:val="center"/>
          </w:tcPr>
          <w:p>
            <w:pPr>
              <w:snapToGrid w:val="0"/>
              <w:jc w:val="center"/>
              <w:rPr>
                <w:rFonts w:hint="default" w:asciiTheme="majorEastAsia" w:hAnsiTheme="majorEastAsia" w:eastAsiaTheme="majorEastAsia"/>
                <w:sz w:val="24"/>
                <w:szCs w:val="24"/>
                <w:lang w:val="en-US" w:eastAsia="zh-CN"/>
              </w:rPr>
            </w:pPr>
          </w:p>
        </w:tc>
        <w:tc>
          <w:tcPr>
            <w:tcW w:w="7088" w:type="dxa"/>
            <w:tcBorders>
              <w:left w:val="single" w:color="auto" w:sz="4" w:space="0"/>
              <w:bottom w:val="single" w:color="auto" w:sz="4" w:space="0"/>
              <w:right w:val="single" w:color="auto" w:sz="4" w:space="0"/>
            </w:tcBorders>
            <w:vAlign w:val="center"/>
          </w:tcPr>
          <w:p>
            <w:pPr>
              <w:numPr>
                <w:ilvl w:val="0"/>
                <w:numId w:val="1"/>
              </w:numPr>
              <w:rPr>
                <w:rFonts w:hint="eastAsia"/>
                <w:sz w:val="24"/>
                <w:szCs w:val="24"/>
                <w:lang w:val="en-US" w:eastAsia="zh-CN"/>
              </w:rPr>
            </w:pPr>
            <w:r>
              <w:rPr>
                <w:rFonts w:hint="eastAsia"/>
                <w:sz w:val="24"/>
                <w:szCs w:val="24"/>
                <w:lang w:val="en-US" w:eastAsia="zh-CN"/>
              </w:rPr>
              <w:t xml:space="preserve">操场地面不平整的地方，用专用修复水泥修复约300平方。            2.塌陷裂缝的地方铲除清理，重新打不低于厚15公分的混凝土，用量约20立方混凝土。        </w:t>
            </w:r>
          </w:p>
          <w:p>
            <w:pPr>
              <w:numPr>
                <w:ilvl w:val="0"/>
                <w:numId w:val="0"/>
              </w:numPr>
              <w:ind w:leftChars="0"/>
              <w:rPr>
                <w:rFonts w:hint="eastAsia"/>
                <w:sz w:val="24"/>
                <w:szCs w:val="24"/>
                <w:lang w:val="en-US" w:eastAsia="zh-CN"/>
              </w:rPr>
            </w:pPr>
            <w:r>
              <w:rPr>
                <w:rFonts w:hint="eastAsia"/>
                <w:sz w:val="24"/>
                <w:szCs w:val="24"/>
                <w:lang w:val="en-US" w:eastAsia="zh-CN"/>
              </w:rPr>
              <w:t>3.教学楼门前走廊地面损坏地方混凝土修补，约100平方.</w:t>
            </w:r>
          </w:p>
          <w:p>
            <w:pPr>
              <w:numPr>
                <w:ilvl w:val="0"/>
                <w:numId w:val="0"/>
              </w:numPr>
              <w:ind w:leftChars="0"/>
              <w:rPr>
                <w:rFonts w:hint="eastAsia"/>
                <w:sz w:val="24"/>
                <w:szCs w:val="24"/>
                <w:lang w:val="en-US" w:eastAsia="zh-CN"/>
              </w:rPr>
            </w:pPr>
            <w:r>
              <w:rPr>
                <w:rFonts w:hint="eastAsia"/>
                <w:sz w:val="24"/>
                <w:szCs w:val="24"/>
                <w:lang w:val="en-US" w:eastAsia="zh-CN"/>
              </w:rPr>
              <w:t xml:space="preserve">4.教学楼前台阶用混凝土粉敷，面积长52米，高0.5米。                        </w:t>
            </w:r>
          </w:p>
          <w:p>
            <w:pPr>
              <w:numPr>
                <w:ilvl w:val="0"/>
                <w:numId w:val="0"/>
              </w:numPr>
              <w:ind w:leftChars="0"/>
              <w:rPr>
                <w:rFonts w:hint="default"/>
                <w:sz w:val="24"/>
                <w:szCs w:val="24"/>
                <w:lang w:val="en-US" w:eastAsia="zh-CN"/>
              </w:rPr>
            </w:pPr>
            <w:r>
              <w:rPr>
                <w:rFonts w:hint="eastAsia"/>
                <w:sz w:val="24"/>
                <w:szCs w:val="24"/>
                <w:lang w:val="en-US" w:eastAsia="zh-CN"/>
              </w:rPr>
              <w:t>5.清理下水沟约120米.</w:t>
            </w:r>
          </w:p>
          <w:p>
            <w:pPr>
              <w:snapToGrid w:val="0"/>
              <w:spacing w:line="240" w:lineRule="exact"/>
              <w:rPr>
                <w:rFonts w:asciiTheme="majorEastAsia" w:hAnsiTheme="majorEastAsia" w:eastAsiaTheme="majorEastAsia"/>
                <w:sz w:val="24"/>
                <w:szCs w:val="24"/>
              </w:rPr>
            </w:pPr>
          </w:p>
        </w:tc>
        <w:tc>
          <w:tcPr>
            <w:tcW w:w="2693" w:type="dxa"/>
            <w:tcBorders>
              <w:left w:val="single" w:color="auto" w:sz="4" w:space="0"/>
              <w:bottom w:val="single" w:color="auto" w:sz="4" w:space="0"/>
              <w:right w:val="single" w:color="auto" w:sz="4" w:space="0"/>
            </w:tcBorders>
            <w:vAlign w:val="center"/>
          </w:tcPr>
          <w:p>
            <w:pPr>
              <w:snapToGrid w:val="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悬浮地板报价必须包含场地维修</w:t>
            </w:r>
          </w:p>
        </w:tc>
      </w:tr>
    </w:tbl>
    <w:p>
      <w:pPr>
        <w:ind w:firstLine="480" w:firstLineChars="200"/>
        <w:rPr>
          <w:rFonts w:hint="eastAsia" w:asciiTheme="majorEastAsia" w:hAnsiTheme="majorEastAsia" w:eastAsiaTheme="majorEastAsia"/>
          <w:sz w:val="24"/>
          <w:szCs w:val="24"/>
          <w:lang w:val="en-US" w:eastAsia="zh-CN"/>
        </w:rPr>
      </w:pPr>
    </w:p>
    <w:p>
      <w:pPr>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报价单位（盖章）：</w:t>
      </w:r>
    </w:p>
    <w:p>
      <w:pPr>
        <w:pStyle w:val="2"/>
        <w:rPr>
          <w:rFonts w:hint="eastAsia" w:asciiTheme="majorEastAsia" w:hAnsiTheme="majorEastAsia" w:eastAsiaTheme="majorEastAsia"/>
          <w:sz w:val="24"/>
          <w:szCs w:val="24"/>
          <w:lang w:val="en-US" w:eastAsia="zh-CN"/>
        </w:rPr>
      </w:pPr>
    </w:p>
    <w:p>
      <w:pPr>
        <w:pStyle w:val="2"/>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联系人：</w:t>
      </w:r>
    </w:p>
    <w:p>
      <w:pPr>
        <w:pStyle w:val="2"/>
        <w:rPr>
          <w:rFonts w:hint="eastAsia" w:asciiTheme="majorEastAsia" w:hAnsiTheme="majorEastAsia" w:eastAsiaTheme="majorEastAsia"/>
          <w:sz w:val="24"/>
          <w:szCs w:val="24"/>
          <w:lang w:val="en-US" w:eastAsia="zh-CN"/>
        </w:rPr>
      </w:pPr>
    </w:p>
    <w:p>
      <w:pPr>
        <w:pStyle w:val="2"/>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联系电话：</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4D121"/>
    <w:multiLevelType w:val="singleLevel"/>
    <w:tmpl w:val="CBA4D1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RjNWNkZWUwNWI1YzZhZjQ4NzJmZmY2OWY0MDcifQ=="/>
  </w:docVars>
  <w:rsids>
    <w:rsidRoot w:val="008A1AF7"/>
    <w:rsid w:val="000559A2"/>
    <w:rsid w:val="000A770E"/>
    <w:rsid w:val="000B342F"/>
    <w:rsid w:val="000F7ECA"/>
    <w:rsid w:val="001244D8"/>
    <w:rsid w:val="00124B44"/>
    <w:rsid w:val="00167023"/>
    <w:rsid w:val="00215656"/>
    <w:rsid w:val="0025430D"/>
    <w:rsid w:val="0026362E"/>
    <w:rsid w:val="00267A42"/>
    <w:rsid w:val="00285106"/>
    <w:rsid w:val="002D6D1A"/>
    <w:rsid w:val="003020D5"/>
    <w:rsid w:val="00344895"/>
    <w:rsid w:val="00365188"/>
    <w:rsid w:val="003B27AF"/>
    <w:rsid w:val="003B3E00"/>
    <w:rsid w:val="004101C1"/>
    <w:rsid w:val="00422089"/>
    <w:rsid w:val="004D3596"/>
    <w:rsid w:val="00503953"/>
    <w:rsid w:val="00546DAD"/>
    <w:rsid w:val="00590B5B"/>
    <w:rsid w:val="005A7697"/>
    <w:rsid w:val="005E01E6"/>
    <w:rsid w:val="00614CF7"/>
    <w:rsid w:val="00635B2E"/>
    <w:rsid w:val="006B5ECE"/>
    <w:rsid w:val="006D0082"/>
    <w:rsid w:val="006D0383"/>
    <w:rsid w:val="00722EEC"/>
    <w:rsid w:val="007309F7"/>
    <w:rsid w:val="00757675"/>
    <w:rsid w:val="007754A7"/>
    <w:rsid w:val="007A7EE5"/>
    <w:rsid w:val="00805C67"/>
    <w:rsid w:val="008450DF"/>
    <w:rsid w:val="00851F36"/>
    <w:rsid w:val="008811CB"/>
    <w:rsid w:val="008A1AF7"/>
    <w:rsid w:val="008F0927"/>
    <w:rsid w:val="00906D26"/>
    <w:rsid w:val="009573C6"/>
    <w:rsid w:val="009C1B71"/>
    <w:rsid w:val="009E28E2"/>
    <w:rsid w:val="00A01F93"/>
    <w:rsid w:val="00A06F31"/>
    <w:rsid w:val="00A23A47"/>
    <w:rsid w:val="00A36D72"/>
    <w:rsid w:val="00A67E8B"/>
    <w:rsid w:val="00A90B14"/>
    <w:rsid w:val="00A978E5"/>
    <w:rsid w:val="00AD57B5"/>
    <w:rsid w:val="00AD7FA9"/>
    <w:rsid w:val="00B44DEE"/>
    <w:rsid w:val="00B67A98"/>
    <w:rsid w:val="00B77091"/>
    <w:rsid w:val="00C35851"/>
    <w:rsid w:val="00C55CAA"/>
    <w:rsid w:val="00C70639"/>
    <w:rsid w:val="00C77EDC"/>
    <w:rsid w:val="00CB638C"/>
    <w:rsid w:val="00CC27EF"/>
    <w:rsid w:val="00CC3D4C"/>
    <w:rsid w:val="00D50803"/>
    <w:rsid w:val="00D80FEF"/>
    <w:rsid w:val="00DA2E2C"/>
    <w:rsid w:val="00DE4005"/>
    <w:rsid w:val="00E671C5"/>
    <w:rsid w:val="00EA0FE9"/>
    <w:rsid w:val="00EA2D86"/>
    <w:rsid w:val="00EA347E"/>
    <w:rsid w:val="00EE717C"/>
    <w:rsid w:val="00F0357A"/>
    <w:rsid w:val="00F3257E"/>
    <w:rsid w:val="00F455A2"/>
    <w:rsid w:val="00F52DA4"/>
    <w:rsid w:val="00F8369B"/>
    <w:rsid w:val="00F975C7"/>
    <w:rsid w:val="00FC03AA"/>
    <w:rsid w:val="00FF0554"/>
    <w:rsid w:val="14295F1D"/>
    <w:rsid w:val="2F926BE2"/>
    <w:rsid w:val="31507277"/>
    <w:rsid w:val="38F04463"/>
    <w:rsid w:val="508A6DA4"/>
    <w:rsid w:val="51E1423E"/>
    <w:rsid w:val="5FFD0D3D"/>
    <w:rsid w:val="639414C0"/>
    <w:rsid w:val="644A3C2C"/>
    <w:rsid w:val="69A767EA"/>
    <w:rsid w:val="7693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sz w:val="18"/>
      <w:szCs w:val="18"/>
    </w:rPr>
  </w:style>
  <w:style w:type="paragraph" w:customStyle="1" w:styleId="12">
    <w:name w:val="BodyText1I"/>
    <w:basedOn w:val="13"/>
    <w:qFormat/>
    <w:uiPriority w:val="0"/>
    <w:pPr>
      <w:spacing w:after="0"/>
    </w:pPr>
    <w:rPr>
      <w:rFonts w:eastAsia="仿宋"/>
      <w:sz w:val="24"/>
    </w:rPr>
  </w:style>
  <w:style w:type="paragraph" w:customStyle="1" w:styleId="13">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977</Words>
  <Characters>1065</Characters>
  <Lines>7</Lines>
  <Paragraphs>2</Paragraphs>
  <TotalTime>16</TotalTime>
  <ScaleCrop>false</ScaleCrop>
  <LinksUpToDate>false</LinksUpToDate>
  <CharactersWithSpaces>1076</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2025-06-23T10:29:00Z</dcterms:created>
  <dc:creator>Administrator</dc:creator>
  <cp:lastModifiedBy>17637</cp:lastModifiedBy>
  <cp:lastPrinted>2024-04-15T12:04:00Z</cp:lastPrinted>
  <dcterms:modified xsi:type="dcterms:W3CDTF">2025-08-12T01:12:41Z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eyJoZGlkIjoiYTIyMzA0N2ZhNDNjYTZjNTcyMDVlNDBkNmE3YjFjYzEiLCJ1c2VySWQiOiIxNzE0ODg2MTMxIn0=</vt:lpwstr>
  </property>
  <property fmtid="{D5CDD505-2E9C-101B-9397-08002B2CF9AE}" pid="3" name="KSOProductBuildVer">
    <vt:lpwstr>2052-11.8.2.12287</vt:lpwstr>
  </property>
  <property fmtid="{D5CDD505-2E9C-101B-9397-08002B2CF9AE}" pid="4" name="ICV">
    <vt:lpwstr>BF779709D7324CC2BBB04EE94FEA384D</vt:lpwstr>
  </property>
</Properties>
</file>