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E267A" w14:textId="77777777" w:rsidR="003F7D47" w:rsidRDefault="003F7D47"/>
    <w:tbl>
      <w:tblPr>
        <w:tblW w:w="10958" w:type="dxa"/>
        <w:tblInd w:w="100" w:type="dxa"/>
        <w:tblLook w:val="04A0" w:firstRow="1" w:lastRow="0" w:firstColumn="1" w:lastColumn="0" w:noHBand="0" w:noVBand="1"/>
      </w:tblPr>
      <w:tblGrid>
        <w:gridCol w:w="564"/>
        <w:gridCol w:w="1356"/>
        <w:gridCol w:w="6778"/>
        <w:gridCol w:w="1130"/>
        <w:gridCol w:w="1130"/>
      </w:tblGrid>
      <w:tr w:rsidR="003F7D47" w14:paraId="11028B39" w14:textId="77777777">
        <w:trPr>
          <w:trHeight w:val="527"/>
        </w:trPr>
        <w:tc>
          <w:tcPr>
            <w:tcW w:w="56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7CEB399B" w14:textId="77777777" w:rsidR="003F7D47" w:rsidRDefault="00000000">
            <w:pPr>
              <w:widowControl/>
              <w:jc w:val="center"/>
              <w:textAlignment w:val="center"/>
              <w:rPr>
                <w:rFonts w:ascii="宋体" w:eastAsia="宋体" w:hAnsi="宋体" w:cs="宋体" w:hint="eastAsia"/>
                <w:b/>
                <w:bCs/>
                <w:color w:val="FFFFFF"/>
                <w:sz w:val="20"/>
                <w:szCs w:val="20"/>
              </w:rPr>
            </w:pPr>
            <w:r>
              <w:rPr>
                <w:rFonts w:ascii="宋体" w:eastAsia="宋体" w:hAnsi="宋体" w:cs="宋体" w:hint="eastAsia"/>
                <w:b/>
                <w:bCs/>
                <w:color w:val="FFFFFF"/>
                <w:kern w:val="0"/>
                <w:sz w:val="20"/>
                <w:szCs w:val="20"/>
                <w:lang w:bidi="ar"/>
              </w:rPr>
              <w:t>序号</w:t>
            </w:r>
          </w:p>
        </w:tc>
        <w:tc>
          <w:tcPr>
            <w:tcW w:w="1356"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7B7A0C8" w14:textId="77777777" w:rsidR="003F7D47" w:rsidRDefault="00000000">
            <w:pPr>
              <w:widowControl/>
              <w:jc w:val="center"/>
              <w:textAlignment w:val="center"/>
              <w:rPr>
                <w:rFonts w:ascii="宋体" w:eastAsia="宋体" w:hAnsi="宋体" w:cs="宋体" w:hint="eastAsia"/>
                <w:b/>
                <w:bCs/>
                <w:color w:val="FFFFFF"/>
                <w:sz w:val="20"/>
                <w:szCs w:val="20"/>
              </w:rPr>
            </w:pPr>
            <w:r>
              <w:rPr>
                <w:rFonts w:ascii="宋体" w:eastAsia="宋体" w:hAnsi="宋体" w:cs="宋体" w:hint="eastAsia"/>
                <w:b/>
                <w:bCs/>
                <w:color w:val="FFFFFF"/>
                <w:kern w:val="0"/>
                <w:sz w:val="20"/>
                <w:szCs w:val="20"/>
                <w:lang w:bidi="ar"/>
              </w:rPr>
              <w:t>产品名称</w:t>
            </w:r>
          </w:p>
        </w:tc>
        <w:tc>
          <w:tcPr>
            <w:tcW w:w="677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FDA3B40" w14:textId="77777777" w:rsidR="003F7D47" w:rsidRDefault="00000000">
            <w:pPr>
              <w:widowControl/>
              <w:jc w:val="center"/>
              <w:textAlignment w:val="center"/>
              <w:rPr>
                <w:rFonts w:ascii="宋体" w:eastAsia="宋体" w:hAnsi="宋体" w:cs="宋体" w:hint="eastAsia"/>
                <w:b/>
                <w:bCs/>
                <w:color w:val="FFFFFF"/>
                <w:sz w:val="20"/>
                <w:szCs w:val="20"/>
              </w:rPr>
            </w:pPr>
            <w:r>
              <w:rPr>
                <w:rFonts w:ascii="宋体" w:eastAsia="宋体" w:hAnsi="宋体" w:cs="宋体" w:hint="eastAsia"/>
                <w:b/>
                <w:bCs/>
                <w:color w:val="FFFFFF"/>
                <w:kern w:val="0"/>
                <w:sz w:val="20"/>
                <w:szCs w:val="20"/>
                <w:lang w:bidi="ar"/>
              </w:rPr>
              <w:t>招标参数</w:t>
            </w:r>
          </w:p>
        </w:tc>
        <w:tc>
          <w:tcPr>
            <w:tcW w:w="113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A006E51" w14:textId="77777777" w:rsidR="003F7D47" w:rsidRDefault="00000000">
            <w:pPr>
              <w:widowControl/>
              <w:jc w:val="center"/>
              <w:textAlignment w:val="center"/>
              <w:rPr>
                <w:rFonts w:ascii="宋体" w:eastAsia="宋体" w:hAnsi="宋体" w:cs="宋体" w:hint="eastAsia"/>
                <w:b/>
                <w:bCs/>
                <w:color w:val="FFFFFF"/>
                <w:sz w:val="20"/>
                <w:szCs w:val="20"/>
              </w:rPr>
            </w:pPr>
            <w:r>
              <w:rPr>
                <w:rFonts w:ascii="宋体" w:eastAsia="宋体" w:hAnsi="宋体" w:cs="宋体" w:hint="eastAsia"/>
                <w:b/>
                <w:bCs/>
                <w:color w:val="FFFFFF"/>
                <w:kern w:val="0"/>
                <w:sz w:val="20"/>
                <w:szCs w:val="20"/>
                <w:lang w:bidi="ar"/>
              </w:rPr>
              <w:t>总数量</w:t>
            </w:r>
          </w:p>
        </w:tc>
        <w:tc>
          <w:tcPr>
            <w:tcW w:w="1130"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1C007AA9" w14:textId="77777777" w:rsidR="003F7D47" w:rsidRDefault="00000000">
            <w:pPr>
              <w:widowControl/>
              <w:jc w:val="center"/>
              <w:textAlignment w:val="center"/>
              <w:rPr>
                <w:rFonts w:ascii="宋体" w:eastAsia="宋体" w:hAnsi="宋体" w:cs="宋体" w:hint="eastAsia"/>
                <w:b/>
                <w:bCs/>
                <w:color w:val="FFFFFF"/>
                <w:sz w:val="20"/>
                <w:szCs w:val="20"/>
              </w:rPr>
            </w:pPr>
            <w:r>
              <w:rPr>
                <w:rFonts w:ascii="宋体" w:eastAsia="宋体" w:hAnsi="宋体" w:cs="宋体" w:hint="eastAsia"/>
                <w:b/>
                <w:bCs/>
                <w:color w:val="FFFFFF"/>
                <w:kern w:val="0"/>
                <w:sz w:val="20"/>
                <w:szCs w:val="20"/>
                <w:lang w:bidi="ar"/>
              </w:rPr>
              <w:t>单位</w:t>
            </w:r>
          </w:p>
        </w:tc>
      </w:tr>
      <w:tr w:rsidR="003F7D47" w14:paraId="2AC42113" w14:textId="77777777">
        <w:trPr>
          <w:trHeight w:val="7650"/>
        </w:trPr>
        <w:tc>
          <w:tcPr>
            <w:tcW w:w="564" w:type="dxa"/>
            <w:tcBorders>
              <w:top w:val="single" w:sz="4" w:space="0" w:color="000000"/>
              <w:left w:val="single" w:sz="4" w:space="0" w:color="000000"/>
              <w:bottom w:val="single" w:sz="4" w:space="0" w:color="000000"/>
              <w:right w:val="single" w:sz="4" w:space="0" w:color="000000"/>
            </w:tcBorders>
            <w:vAlign w:val="center"/>
          </w:tcPr>
          <w:p w14:paraId="427541CE" w14:textId="77777777" w:rsidR="003F7D47"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356" w:type="dxa"/>
            <w:tcBorders>
              <w:top w:val="single" w:sz="4" w:space="0" w:color="000000"/>
              <w:left w:val="single" w:sz="4" w:space="0" w:color="000000"/>
              <w:bottom w:val="single" w:sz="4" w:space="0" w:color="000000"/>
              <w:right w:val="single" w:sz="4" w:space="0" w:color="000000"/>
            </w:tcBorders>
            <w:vAlign w:val="center"/>
          </w:tcPr>
          <w:p w14:paraId="7CE738D3" w14:textId="77777777" w:rsidR="003F7D47"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下一代防火墙</w:t>
            </w:r>
          </w:p>
        </w:tc>
        <w:tc>
          <w:tcPr>
            <w:tcW w:w="6778" w:type="dxa"/>
            <w:tcBorders>
              <w:top w:val="single" w:sz="4" w:space="0" w:color="000000"/>
              <w:left w:val="single" w:sz="4" w:space="0" w:color="000000"/>
              <w:bottom w:val="single" w:sz="4" w:space="0" w:color="000000"/>
              <w:right w:val="single" w:sz="4" w:space="0" w:color="000000"/>
            </w:tcBorders>
            <w:vAlign w:val="center"/>
          </w:tcPr>
          <w:p w14:paraId="2C8ED137" w14:textId="77777777" w:rsidR="003F7D47" w:rsidRDefault="00000000">
            <w:pPr>
              <w:widowControl/>
              <w:numPr>
                <w:ilvl w:val="0"/>
                <w:numId w:val="1"/>
              </w:numPr>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产品不少于6个10/100/1000M以太网电口，2个10/100/1000M SFP口，支持单电源，1U机箱。吞吐量3G，IPS吞吐量≥400M，并发连接数≥100万，新建连接数≥3万；提供3年的硬件维保、软件升级，5年特征库升级，含WEB应用防护识别库、IPS特征库、僵尸网络防护库、实时漏洞分析识别库和URL&amp;应用识别库。云端百亿级威胁情报规则库。</w:t>
            </w:r>
            <w:r>
              <w:rPr>
                <w:rFonts w:ascii="宋体" w:eastAsia="宋体" w:hAnsi="宋体" w:cs="宋体" w:hint="eastAsia"/>
                <w:color w:val="000000"/>
                <w:kern w:val="0"/>
                <w:sz w:val="20"/>
                <w:szCs w:val="20"/>
                <w:lang w:bidi="ar"/>
              </w:rPr>
              <w:br/>
              <w:t>2.产品支持路由模式、透明模式、虚拟网线模式、旁路镜像模式等多种部署方式。</w:t>
            </w:r>
            <w:r>
              <w:rPr>
                <w:rFonts w:ascii="宋体" w:eastAsia="宋体" w:hAnsi="宋体" w:cs="宋体" w:hint="eastAsia"/>
                <w:color w:val="000000"/>
                <w:kern w:val="0"/>
                <w:sz w:val="20"/>
                <w:szCs w:val="20"/>
                <w:lang w:bidi="ar"/>
              </w:rPr>
              <w:br/>
              <w:t>▲3.产品支持对不少于9000种应用的识别和控制，应用类型包括游戏、购物、图书百科、工作招聘、P2P下载、聊天工具、旅游出行、股票软件等类型应用进行检测与控制。（需提供产品功能截图证明，提供厂家盖章件）。</w:t>
            </w:r>
            <w:r>
              <w:rPr>
                <w:rFonts w:ascii="宋体" w:eastAsia="宋体" w:hAnsi="宋体" w:cs="宋体" w:hint="eastAsia"/>
                <w:color w:val="000000"/>
                <w:kern w:val="0"/>
                <w:sz w:val="20"/>
                <w:szCs w:val="20"/>
                <w:lang w:bidi="ar"/>
              </w:rPr>
              <w:br/>
              <w:t>▲4.产品应具备独立的勒索病毒防护模块，非普通防病毒功能，支持对特定的业务进行勒索风险自动化评估，并依据评估结果自动生成防护策略，支持在设备界面独立展示勒索风险板块。（需提供产品功能截图证明，提供厂家盖章件）。</w:t>
            </w:r>
            <w:r>
              <w:rPr>
                <w:rFonts w:ascii="宋体" w:eastAsia="宋体" w:hAnsi="宋体" w:cs="宋体" w:hint="eastAsia"/>
                <w:color w:val="000000"/>
                <w:kern w:val="0"/>
                <w:sz w:val="20"/>
                <w:szCs w:val="20"/>
                <w:lang w:bidi="ar"/>
              </w:rPr>
              <w:br/>
              <w:t>▲5.产品内置不低于15000种漏洞规则，同时支持在控制台界面通过漏洞ID、漏洞名称、危险等级、漏洞CVE标识、漏洞描述等条件查询漏洞特征信息，支持用户自定义IPS规则。（需提供产品功能截图证明，提供厂家盖章件）。</w:t>
            </w:r>
            <w:r>
              <w:rPr>
                <w:rFonts w:ascii="宋体" w:eastAsia="宋体" w:hAnsi="宋体" w:cs="宋体" w:hint="eastAsia"/>
                <w:color w:val="000000"/>
                <w:kern w:val="0"/>
                <w:sz w:val="20"/>
                <w:szCs w:val="20"/>
                <w:lang w:bidi="ar"/>
              </w:rPr>
              <w:br/>
              <w:t>▲6.产品支持僵尸主机检测功能，产品内置僵尸网络特征</w:t>
            </w:r>
            <w:proofErr w:type="gramStart"/>
            <w:r>
              <w:rPr>
                <w:rFonts w:ascii="宋体" w:eastAsia="宋体" w:hAnsi="宋体" w:cs="宋体" w:hint="eastAsia"/>
                <w:color w:val="000000"/>
                <w:kern w:val="0"/>
                <w:sz w:val="20"/>
                <w:szCs w:val="20"/>
                <w:lang w:bidi="ar"/>
              </w:rPr>
              <w:t>库超过</w:t>
            </w:r>
            <w:proofErr w:type="gramEnd"/>
            <w:r>
              <w:rPr>
                <w:rFonts w:ascii="宋体" w:eastAsia="宋体" w:hAnsi="宋体" w:cs="宋体" w:hint="eastAsia"/>
                <w:color w:val="000000"/>
                <w:kern w:val="0"/>
                <w:sz w:val="20"/>
                <w:szCs w:val="20"/>
                <w:lang w:bidi="ar"/>
              </w:rPr>
              <w:t>128万种，可识别主机的异常外联行为。（需提供产品功能截图证明，提供厂家盖章件）。</w:t>
            </w:r>
            <w:r>
              <w:rPr>
                <w:rFonts w:ascii="宋体" w:eastAsia="宋体" w:hAnsi="宋体" w:cs="宋体" w:hint="eastAsia"/>
                <w:color w:val="000000"/>
                <w:kern w:val="0"/>
                <w:sz w:val="20"/>
                <w:szCs w:val="20"/>
                <w:lang w:bidi="ar"/>
              </w:rPr>
              <w:br/>
              <w:t>▲7.产品支持策略生命周期管理功能，支持对安全策略修改的时间、原因、变更类型进行统一管理，便于策略的运维与管理。（需提供产品功能截图证明，提供厂家盖章件）。</w:t>
            </w:r>
            <w:r>
              <w:rPr>
                <w:rFonts w:ascii="宋体" w:eastAsia="宋体" w:hAnsi="宋体" w:cs="宋体" w:hint="eastAsia"/>
                <w:color w:val="000000"/>
                <w:kern w:val="0"/>
                <w:sz w:val="20"/>
                <w:szCs w:val="20"/>
                <w:lang w:bidi="ar"/>
              </w:rPr>
              <w:br/>
              <w:t>8.产品支持安全策略有效性分析功能，分析内容至少包括策略冗余分析、策略匹配分析、风险端口风险等内容，提供安全策略优化建议。</w:t>
            </w:r>
            <w:r>
              <w:rPr>
                <w:rFonts w:ascii="宋体" w:eastAsia="宋体" w:hAnsi="宋体" w:cs="宋体" w:hint="eastAsia"/>
                <w:color w:val="000000"/>
                <w:kern w:val="0"/>
                <w:sz w:val="20"/>
                <w:szCs w:val="20"/>
                <w:lang w:bidi="ar"/>
              </w:rPr>
              <w:br/>
              <w:t>9.产品支持对ICMP、UDP、DNS、SYN等协议进行DDOS防护。</w:t>
            </w:r>
            <w:r>
              <w:rPr>
                <w:rFonts w:ascii="宋体" w:eastAsia="宋体" w:hAnsi="宋体" w:cs="宋体" w:hint="eastAsia"/>
                <w:color w:val="000000"/>
                <w:kern w:val="0"/>
                <w:sz w:val="20"/>
                <w:szCs w:val="20"/>
                <w:lang w:bidi="ar"/>
              </w:rPr>
              <w:br/>
              <w:t>10.支持被动监测和主动扫描两种资产识别方式，可梳理离线资产、高危端口开放、冗余端口等安全风险；同时通过可视化的拓扑关系图，直观地展示资产和资产之间的访问关系、访问细节协议端口等信息；</w:t>
            </w:r>
          </w:p>
          <w:p w14:paraId="1E939856" w14:textId="37BBE6C9" w:rsidR="003F7D47"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11.支持与本地终端安全响应软件产品联动，防火墙检测发现的病毒主机可以联动终端安全响应软件产品进行微隔离与病毒文件查杀，增强整体终端安全防护能力</w:t>
            </w:r>
            <w:r w:rsidR="00F0454C">
              <w:rPr>
                <w:rFonts w:ascii="宋体" w:eastAsia="宋体" w:hAnsi="宋体" w:cs="宋体" w:hint="eastAsia"/>
                <w:color w:val="000000"/>
                <w:kern w:val="0"/>
                <w:sz w:val="20"/>
                <w:szCs w:val="20"/>
                <w:lang w:bidi="ar"/>
              </w:rPr>
              <w:t>，提供制造商承诺函。</w:t>
            </w:r>
          </w:p>
        </w:tc>
        <w:tc>
          <w:tcPr>
            <w:tcW w:w="1130" w:type="dxa"/>
            <w:tcBorders>
              <w:top w:val="single" w:sz="4" w:space="0" w:color="000000"/>
              <w:left w:val="single" w:sz="4" w:space="0" w:color="000000"/>
              <w:bottom w:val="single" w:sz="4" w:space="0" w:color="000000"/>
              <w:right w:val="single" w:sz="4" w:space="0" w:color="000000"/>
            </w:tcBorders>
            <w:vAlign w:val="center"/>
          </w:tcPr>
          <w:p w14:paraId="3E890143" w14:textId="77777777" w:rsidR="003F7D47"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130" w:type="dxa"/>
            <w:tcBorders>
              <w:top w:val="single" w:sz="4" w:space="0" w:color="000000"/>
              <w:left w:val="single" w:sz="4" w:space="0" w:color="000000"/>
              <w:bottom w:val="single" w:sz="4" w:space="0" w:color="000000"/>
              <w:right w:val="single" w:sz="4" w:space="0" w:color="000000"/>
            </w:tcBorders>
            <w:vAlign w:val="center"/>
          </w:tcPr>
          <w:p w14:paraId="276A6497" w14:textId="77777777" w:rsidR="003F7D47"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F7D47" w14:paraId="3163B58C" w14:textId="77777777">
        <w:trPr>
          <w:trHeight w:val="7650"/>
        </w:trPr>
        <w:tc>
          <w:tcPr>
            <w:tcW w:w="564" w:type="dxa"/>
            <w:tcBorders>
              <w:top w:val="single" w:sz="4" w:space="0" w:color="000000"/>
              <w:left w:val="single" w:sz="4" w:space="0" w:color="000000"/>
              <w:bottom w:val="single" w:sz="4" w:space="0" w:color="000000"/>
              <w:right w:val="single" w:sz="4" w:space="0" w:color="000000"/>
            </w:tcBorders>
            <w:vAlign w:val="center"/>
          </w:tcPr>
          <w:p w14:paraId="6311D8BB" w14:textId="77777777" w:rsidR="003F7D47"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2</w:t>
            </w:r>
          </w:p>
        </w:tc>
        <w:tc>
          <w:tcPr>
            <w:tcW w:w="1356" w:type="dxa"/>
            <w:tcBorders>
              <w:top w:val="single" w:sz="4" w:space="0" w:color="000000"/>
              <w:left w:val="single" w:sz="4" w:space="0" w:color="000000"/>
              <w:bottom w:val="single" w:sz="4" w:space="0" w:color="000000"/>
              <w:right w:val="single" w:sz="4" w:space="0" w:color="000000"/>
            </w:tcBorders>
            <w:vAlign w:val="center"/>
          </w:tcPr>
          <w:p w14:paraId="6C7A4A9B" w14:textId="77777777" w:rsidR="003F7D47"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下一代防火墙</w:t>
            </w:r>
          </w:p>
        </w:tc>
        <w:tc>
          <w:tcPr>
            <w:tcW w:w="6778" w:type="dxa"/>
            <w:tcBorders>
              <w:top w:val="single" w:sz="4" w:space="0" w:color="000000"/>
              <w:left w:val="single" w:sz="4" w:space="0" w:color="000000"/>
              <w:bottom w:val="single" w:sz="4" w:space="0" w:color="000000"/>
              <w:right w:val="single" w:sz="4" w:space="0" w:color="000000"/>
            </w:tcBorders>
            <w:vAlign w:val="center"/>
          </w:tcPr>
          <w:p w14:paraId="67FB5871" w14:textId="77777777" w:rsidR="003F7D47" w:rsidRDefault="00000000">
            <w:pPr>
              <w:widowControl/>
              <w:numPr>
                <w:ilvl w:val="0"/>
                <w:numId w:val="2"/>
              </w:numPr>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产品不少于8个10/100/1000M以太网电口，2个10/100/1000M SFP口，支持单电源，1U机箱。吞吐量≥4G，IPS吞吐量≥600M，并发连接数≥200万，新建连接数≥6万；提供3年的硬件维保、软件升级，5年特征库升级，含WEB应用防护识别库、IPS特征库、僵尸网络防护库、实时漏洞分析识别库和URL&amp;应用识别库。云端百亿级威胁情报规则库。</w:t>
            </w:r>
            <w:r>
              <w:rPr>
                <w:rFonts w:ascii="宋体" w:eastAsia="宋体" w:hAnsi="宋体" w:cs="宋体" w:hint="eastAsia"/>
                <w:color w:val="000000"/>
                <w:kern w:val="0"/>
                <w:sz w:val="20"/>
                <w:szCs w:val="20"/>
                <w:lang w:bidi="ar"/>
              </w:rPr>
              <w:br/>
              <w:t>2.产品支持路由模式、透明模式、虚拟网线模式、旁路镜像模式等多种部署方式。</w:t>
            </w:r>
            <w:r>
              <w:rPr>
                <w:rFonts w:ascii="宋体" w:eastAsia="宋体" w:hAnsi="宋体" w:cs="宋体" w:hint="eastAsia"/>
                <w:color w:val="000000"/>
                <w:kern w:val="0"/>
                <w:sz w:val="20"/>
                <w:szCs w:val="20"/>
                <w:lang w:bidi="ar"/>
              </w:rPr>
              <w:br/>
              <w:t>▲3.产品支持对不少于9000种应用的识别和控制，应用类型包括游戏、购物、图书百科、工作招聘、P2P下载、聊天工具、旅游出行、股票软件等类型应用进行检测与控制。（需提供产品功能截图证明，提供厂家盖章件）。</w:t>
            </w:r>
            <w:r>
              <w:rPr>
                <w:rFonts w:ascii="宋体" w:eastAsia="宋体" w:hAnsi="宋体" w:cs="宋体" w:hint="eastAsia"/>
                <w:color w:val="000000"/>
                <w:kern w:val="0"/>
                <w:sz w:val="20"/>
                <w:szCs w:val="20"/>
                <w:lang w:bidi="ar"/>
              </w:rPr>
              <w:br/>
              <w:t>▲4.产品应具备独立的勒索病毒防护模块，非普通防病毒功能，支持对特定的业务进行勒索风险自动化评估，并依据评估结果自动生成防护策略，支持在设备界面独立展示勒索风险板块。（需提供产品功能截图证明，提供厂家盖章件）。</w:t>
            </w:r>
            <w:r>
              <w:rPr>
                <w:rFonts w:ascii="宋体" w:eastAsia="宋体" w:hAnsi="宋体" w:cs="宋体" w:hint="eastAsia"/>
                <w:color w:val="000000"/>
                <w:kern w:val="0"/>
                <w:sz w:val="20"/>
                <w:szCs w:val="20"/>
                <w:lang w:bidi="ar"/>
              </w:rPr>
              <w:br/>
              <w:t>▲5.产品内置不低于15000种漏洞规则，同时支持在控制台界面通过漏洞ID、漏洞名称、危险等级、漏洞CVE标识、漏洞描述等条件查询漏洞特征信息，支持用户自定义IPS规则。（需提供产品功能截图证明，提供厂家盖章件）。</w:t>
            </w:r>
            <w:r>
              <w:rPr>
                <w:rFonts w:ascii="宋体" w:eastAsia="宋体" w:hAnsi="宋体" w:cs="宋体" w:hint="eastAsia"/>
                <w:color w:val="000000"/>
                <w:kern w:val="0"/>
                <w:sz w:val="20"/>
                <w:szCs w:val="20"/>
                <w:lang w:bidi="ar"/>
              </w:rPr>
              <w:br/>
              <w:t>▲6.产品支持僵尸主机检测功能，产品内置僵尸网络特征</w:t>
            </w:r>
            <w:proofErr w:type="gramStart"/>
            <w:r>
              <w:rPr>
                <w:rFonts w:ascii="宋体" w:eastAsia="宋体" w:hAnsi="宋体" w:cs="宋体" w:hint="eastAsia"/>
                <w:color w:val="000000"/>
                <w:kern w:val="0"/>
                <w:sz w:val="20"/>
                <w:szCs w:val="20"/>
                <w:lang w:bidi="ar"/>
              </w:rPr>
              <w:t>库超过</w:t>
            </w:r>
            <w:proofErr w:type="gramEnd"/>
            <w:r>
              <w:rPr>
                <w:rFonts w:ascii="宋体" w:eastAsia="宋体" w:hAnsi="宋体" w:cs="宋体" w:hint="eastAsia"/>
                <w:color w:val="000000"/>
                <w:kern w:val="0"/>
                <w:sz w:val="20"/>
                <w:szCs w:val="20"/>
                <w:lang w:bidi="ar"/>
              </w:rPr>
              <w:t>128万种，可识别主机的异常外联行为。（需提供产品功能截图证明，提供厂家盖章件）。</w:t>
            </w:r>
            <w:r>
              <w:rPr>
                <w:rFonts w:ascii="宋体" w:eastAsia="宋体" w:hAnsi="宋体" w:cs="宋体" w:hint="eastAsia"/>
                <w:color w:val="000000"/>
                <w:kern w:val="0"/>
                <w:sz w:val="20"/>
                <w:szCs w:val="20"/>
                <w:lang w:bidi="ar"/>
              </w:rPr>
              <w:br/>
              <w:t>▲7.产品支持策略生命周期管理功能，支持对安全策略修改的时间、原因、变更类型进行统一管理，便于策略的运维与管理。（需提供产品功能截图证明，提供厂家盖章件）。</w:t>
            </w:r>
            <w:r>
              <w:rPr>
                <w:rFonts w:ascii="宋体" w:eastAsia="宋体" w:hAnsi="宋体" w:cs="宋体" w:hint="eastAsia"/>
                <w:color w:val="000000"/>
                <w:kern w:val="0"/>
                <w:sz w:val="20"/>
                <w:szCs w:val="20"/>
                <w:lang w:bidi="ar"/>
              </w:rPr>
              <w:br/>
              <w:t>8.产品支持安全策略有效性分析功能，分析内容至少包括策略冗余分析、策略匹配分析、风险端口风险等内容，提供安全策略优化建议。</w:t>
            </w:r>
            <w:r>
              <w:rPr>
                <w:rFonts w:ascii="宋体" w:eastAsia="宋体" w:hAnsi="宋体" w:cs="宋体" w:hint="eastAsia"/>
                <w:color w:val="000000"/>
                <w:kern w:val="0"/>
                <w:sz w:val="20"/>
                <w:szCs w:val="20"/>
                <w:lang w:bidi="ar"/>
              </w:rPr>
              <w:br/>
              <w:t>9.产品支持对ICMP、UDP、DNS、SYN等协议进行DDOS防护。</w:t>
            </w:r>
            <w:r>
              <w:rPr>
                <w:rFonts w:ascii="宋体" w:eastAsia="宋体" w:hAnsi="宋体" w:cs="宋体" w:hint="eastAsia"/>
                <w:color w:val="000000"/>
                <w:kern w:val="0"/>
                <w:sz w:val="20"/>
                <w:szCs w:val="20"/>
                <w:lang w:bidi="ar"/>
              </w:rPr>
              <w:br/>
              <w:t>10.支持被动监测和主动扫描两种资产识别方式，可梳理离线资产、高危端口开放、冗余端口等安全风险；同时通过可视化的拓扑关系图，直观地展示资产和资产之间的访问关系、访问细节协议端口等信息；</w:t>
            </w:r>
          </w:p>
          <w:p w14:paraId="778944D0" w14:textId="43A58EF8" w:rsidR="003F7D47"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11.支持与本地终端安全响应软件产品联动，防火墙检测发现的病毒主机可以联动终端安全响应软件产品进行微隔离与病毒文件查杀，增强整体终端安全防护能力</w:t>
            </w:r>
            <w:r w:rsidR="00F0454C">
              <w:rPr>
                <w:rFonts w:ascii="宋体" w:eastAsia="宋体" w:hAnsi="宋体" w:cs="宋体" w:hint="eastAsia"/>
                <w:color w:val="000000"/>
                <w:kern w:val="0"/>
                <w:sz w:val="20"/>
                <w:szCs w:val="20"/>
                <w:lang w:bidi="ar"/>
              </w:rPr>
              <w:t>，</w:t>
            </w:r>
            <w:r w:rsidR="00F0454C">
              <w:rPr>
                <w:rFonts w:ascii="宋体" w:eastAsia="宋体" w:hAnsi="宋体" w:cs="宋体" w:hint="eastAsia"/>
                <w:color w:val="000000"/>
                <w:kern w:val="0"/>
                <w:sz w:val="20"/>
                <w:szCs w:val="20"/>
                <w:lang w:bidi="ar"/>
              </w:rPr>
              <w:t>提供制造商承诺函。</w:t>
            </w:r>
          </w:p>
        </w:tc>
        <w:tc>
          <w:tcPr>
            <w:tcW w:w="1130" w:type="dxa"/>
            <w:tcBorders>
              <w:top w:val="single" w:sz="4" w:space="0" w:color="000000"/>
              <w:left w:val="single" w:sz="4" w:space="0" w:color="000000"/>
              <w:bottom w:val="single" w:sz="4" w:space="0" w:color="000000"/>
              <w:right w:val="single" w:sz="4" w:space="0" w:color="000000"/>
            </w:tcBorders>
            <w:vAlign w:val="center"/>
          </w:tcPr>
          <w:p w14:paraId="4863EB20" w14:textId="77777777" w:rsidR="003F7D47"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130" w:type="dxa"/>
            <w:tcBorders>
              <w:top w:val="single" w:sz="4" w:space="0" w:color="000000"/>
              <w:left w:val="single" w:sz="4" w:space="0" w:color="000000"/>
              <w:bottom w:val="single" w:sz="4" w:space="0" w:color="000000"/>
              <w:right w:val="single" w:sz="4" w:space="0" w:color="000000"/>
            </w:tcBorders>
            <w:vAlign w:val="center"/>
          </w:tcPr>
          <w:p w14:paraId="701416CD" w14:textId="77777777" w:rsidR="003F7D47"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r>
      <w:tr w:rsidR="003F7D47" w14:paraId="4AB684C7" w14:textId="77777777" w:rsidTr="00031C98">
        <w:trPr>
          <w:trHeight w:val="2897"/>
        </w:trPr>
        <w:tc>
          <w:tcPr>
            <w:tcW w:w="10958" w:type="dxa"/>
            <w:gridSpan w:val="5"/>
            <w:tcBorders>
              <w:top w:val="nil"/>
              <w:left w:val="nil"/>
              <w:bottom w:val="nil"/>
              <w:right w:val="nil"/>
            </w:tcBorders>
            <w:vAlign w:val="center"/>
          </w:tcPr>
          <w:p w14:paraId="18DB1731" w14:textId="77777777" w:rsidR="003F7D47" w:rsidRDefault="00000000">
            <w:pPr>
              <w:widowControl/>
              <w:numPr>
                <w:ilvl w:val="0"/>
                <w:numId w:val="3"/>
              </w:numPr>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为保障本次所投防火墙在安全漏洞方面的整体研究水平和及时预防能力，要求本次所投制造商为国家信息安全漏洞共享平台CNVD技术组和用户组成员，要求提供CNVD国家信息安全漏洞共享</w:t>
            </w:r>
            <w:proofErr w:type="gramStart"/>
            <w:r>
              <w:rPr>
                <w:rFonts w:ascii="宋体" w:eastAsia="宋体" w:hAnsi="宋体" w:cs="宋体" w:hint="eastAsia"/>
                <w:color w:val="000000"/>
                <w:kern w:val="0"/>
                <w:sz w:val="22"/>
                <w:szCs w:val="22"/>
                <w:lang w:bidi="ar"/>
              </w:rPr>
              <w:t>平台官网界面</w:t>
            </w:r>
            <w:proofErr w:type="gramEnd"/>
            <w:r>
              <w:rPr>
                <w:rFonts w:ascii="宋体" w:eastAsia="宋体" w:hAnsi="宋体" w:cs="宋体" w:hint="eastAsia"/>
                <w:color w:val="000000"/>
                <w:kern w:val="0"/>
                <w:sz w:val="22"/>
                <w:szCs w:val="22"/>
                <w:lang w:bidi="ar"/>
              </w:rPr>
              <w:t>截图并加盖厂商公章；</w:t>
            </w:r>
            <w:r>
              <w:rPr>
                <w:rFonts w:ascii="宋体" w:eastAsia="宋体" w:hAnsi="宋体" w:cs="宋体" w:hint="eastAsia"/>
                <w:color w:val="000000"/>
                <w:kern w:val="0"/>
                <w:sz w:val="22"/>
                <w:szCs w:val="22"/>
                <w:lang w:bidi="ar"/>
              </w:rPr>
              <w:br/>
              <w:t>2、为体现本次所投防火墙产品制造厂商的软件成熟度，要求本次所投产品制造厂商需获得中国网络安全审查技术与认证中心（CCRC）颁发的软件安全开发服务资质（一级）</w:t>
            </w:r>
          </w:p>
          <w:p w14:paraId="6597462B" w14:textId="31BCF808" w:rsidR="00031C98" w:rsidRDefault="00031C98" w:rsidP="00031C98">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w:t>
            </w:r>
            <w:r w:rsidRPr="00031C98">
              <w:rPr>
                <w:rFonts w:ascii="宋体" w:eastAsia="宋体" w:hAnsi="宋体" w:cs="宋体" w:hint="eastAsia"/>
                <w:color w:val="000000"/>
                <w:kern w:val="0"/>
                <w:sz w:val="22"/>
                <w:szCs w:val="22"/>
                <w:lang w:bidi="ar"/>
              </w:rPr>
              <w:t>为应对勒索病毒、挖矿木马、僵尸网络等对业务系统进行攻击，导致数据被加密或被破坏</w:t>
            </w:r>
            <w:proofErr w:type="gramStart"/>
            <w:r w:rsidRPr="00031C98">
              <w:rPr>
                <w:rFonts w:ascii="宋体" w:eastAsia="宋体" w:hAnsi="宋体" w:cs="宋体" w:hint="eastAsia"/>
                <w:color w:val="000000"/>
                <w:kern w:val="0"/>
                <w:sz w:val="22"/>
                <w:szCs w:val="22"/>
                <w:lang w:bidi="ar"/>
              </w:rPr>
              <w:t>不</w:t>
            </w:r>
            <w:proofErr w:type="gramEnd"/>
            <w:r w:rsidRPr="00031C98">
              <w:rPr>
                <w:rFonts w:ascii="宋体" w:eastAsia="宋体" w:hAnsi="宋体" w:cs="宋体" w:hint="eastAsia"/>
                <w:color w:val="000000"/>
                <w:kern w:val="0"/>
                <w:sz w:val="22"/>
                <w:szCs w:val="22"/>
                <w:lang w:bidi="ar"/>
              </w:rPr>
              <w:t>可用，要求本次所投下一代防火墙制造厂商具备较强的安全应急服务能力，本次所投产品制造厂商需是网络安全应急服务支撑单位（甲级），要求提供有效证书复印件并加盖厂商公章，</w:t>
            </w:r>
          </w:p>
          <w:p w14:paraId="3B8F0EDF" w14:textId="1B3AFF50" w:rsidR="003F7D47" w:rsidRDefault="00031C98">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w:t>
            </w:r>
            <w:r w:rsidR="00000000">
              <w:rPr>
                <w:rFonts w:ascii="宋体" w:eastAsia="宋体" w:hAnsi="宋体" w:cs="宋体" w:hint="eastAsia"/>
                <w:color w:val="000000"/>
                <w:kern w:val="0"/>
                <w:sz w:val="22"/>
                <w:szCs w:val="22"/>
                <w:lang w:bidi="ar"/>
              </w:rPr>
              <w:t>、提供所投产品的制造商项目授权函及售后服务承诺函；</w:t>
            </w:r>
          </w:p>
        </w:tc>
      </w:tr>
    </w:tbl>
    <w:p w14:paraId="67C47BD1" w14:textId="77777777" w:rsidR="003F7D47" w:rsidRDefault="003F7D47"/>
    <w:sectPr w:rsidR="003F7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E9161" w14:textId="77777777" w:rsidR="00927A74" w:rsidRDefault="00927A74" w:rsidP="00031C98">
      <w:r>
        <w:separator/>
      </w:r>
    </w:p>
  </w:endnote>
  <w:endnote w:type="continuationSeparator" w:id="0">
    <w:p w14:paraId="2B4067DE" w14:textId="77777777" w:rsidR="00927A74" w:rsidRDefault="00927A74" w:rsidP="0003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9D51B" w14:textId="77777777" w:rsidR="00927A74" w:rsidRDefault="00927A74" w:rsidP="00031C98">
      <w:r>
        <w:separator/>
      </w:r>
    </w:p>
  </w:footnote>
  <w:footnote w:type="continuationSeparator" w:id="0">
    <w:p w14:paraId="752C6E9B" w14:textId="77777777" w:rsidR="00927A74" w:rsidRDefault="00927A74" w:rsidP="00031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D12B64C"/>
    <w:multiLevelType w:val="singleLevel"/>
    <w:tmpl w:val="ED12B64C"/>
    <w:lvl w:ilvl="0">
      <w:start w:val="1"/>
      <w:numFmt w:val="decimal"/>
      <w:lvlText w:val="%1."/>
      <w:lvlJc w:val="left"/>
      <w:pPr>
        <w:tabs>
          <w:tab w:val="left" w:pos="312"/>
        </w:tabs>
      </w:pPr>
    </w:lvl>
  </w:abstractNum>
  <w:abstractNum w:abstractNumId="1" w15:restartNumberingAfterBreak="0">
    <w:nsid w:val="48B0A398"/>
    <w:multiLevelType w:val="singleLevel"/>
    <w:tmpl w:val="48B0A398"/>
    <w:lvl w:ilvl="0">
      <w:start w:val="1"/>
      <w:numFmt w:val="decimal"/>
      <w:lvlText w:val="%1."/>
      <w:lvlJc w:val="left"/>
      <w:pPr>
        <w:tabs>
          <w:tab w:val="left" w:pos="312"/>
        </w:tabs>
      </w:pPr>
    </w:lvl>
  </w:abstractNum>
  <w:abstractNum w:abstractNumId="2" w15:restartNumberingAfterBreak="0">
    <w:nsid w:val="5748CAF4"/>
    <w:multiLevelType w:val="singleLevel"/>
    <w:tmpl w:val="5748CAF4"/>
    <w:lvl w:ilvl="0">
      <w:start w:val="1"/>
      <w:numFmt w:val="decimal"/>
      <w:suff w:val="nothing"/>
      <w:lvlText w:val="%1、"/>
      <w:lvlJc w:val="left"/>
    </w:lvl>
  </w:abstractNum>
  <w:num w:numId="1" w16cid:durableId="1197349109">
    <w:abstractNumId w:val="1"/>
  </w:num>
  <w:num w:numId="2" w16cid:durableId="1334379091">
    <w:abstractNumId w:val="0"/>
  </w:num>
  <w:num w:numId="3" w16cid:durableId="395595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0C01F85"/>
    <w:rsid w:val="00031C98"/>
    <w:rsid w:val="001411C0"/>
    <w:rsid w:val="003F7D47"/>
    <w:rsid w:val="004257F7"/>
    <w:rsid w:val="00927A74"/>
    <w:rsid w:val="00F0454C"/>
    <w:rsid w:val="2EF8259B"/>
    <w:rsid w:val="30C01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C5A19"/>
  <w15:docId w15:val="{27A10452-E2CA-45A4-9367-D668A13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1C98"/>
    <w:pPr>
      <w:tabs>
        <w:tab w:val="center" w:pos="4153"/>
        <w:tab w:val="right" w:pos="8306"/>
      </w:tabs>
      <w:snapToGrid w:val="0"/>
      <w:jc w:val="center"/>
    </w:pPr>
    <w:rPr>
      <w:sz w:val="18"/>
      <w:szCs w:val="18"/>
    </w:rPr>
  </w:style>
  <w:style w:type="character" w:customStyle="1" w:styleId="a4">
    <w:name w:val="页眉 字符"/>
    <w:basedOn w:val="a0"/>
    <w:link w:val="a3"/>
    <w:rsid w:val="00031C98"/>
    <w:rPr>
      <w:rFonts w:asciiTheme="minorHAnsi" w:eastAsiaTheme="minorEastAsia" w:hAnsiTheme="minorHAnsi" w:cstheme="minorBidi"/>
      <w:kern w:val="2"/>
      <w:sz w:val="18"/>
      <w:szCs w:val="18"/>
    </w:rPr>
  </w:style>
  <w:style w:type="paragraph" w:styleId="a5">
    <w:name w:val="footer"/>
    <w:basedOn w:val="a"/>
    <w:link w:val="a6"/>
    <w:rsid w:val="00031C98"/>
    <w:pPr>
      <w:tabs>
        <w:tab w:val="center" w:pos="4153"/>
        <w:tab w:val="right" w:pos="8306"/>
      </w:tabs>
      <w:snapToGrid w:val="0"/>
      <w:jc w:val="left"/>
    </w:pPr>
    <w:rPr>
      <w:sz w:val="18"/>
      <w:szCs w:val="18"/>
    </w:rPr>
  </w:style>
  <w:style w:type="character" w:customStyle="1" w:styleId="a6">
    <w:name w:val="页脚 字符"/>
    <w:basedOn w:val="a0"/>
    <w:link w:val="a5"/>
    <w:rsid w:val="00031C9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1105</Words>
  <Characters>1195</Characters>
  <Application>Microsoft Office Word</Application>
  <DocSecurity>0</DocSecurity>
  <Lines>49</Lines>
  <Paragraphs>20</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12466</dc:creator>
  <cp:lastModifiedBy>章艳 李</cp:lastModifiedBy>
  <cp:revision>5</cp:revision>
  <dcterms:created xsi:type="dcterms:W3CDTF">2025-08-04T09:52:00Z</dcterms:created>
  <dcterms:modified xsi:type="dcterms:W3CDTF">2025-08-04T10:03:00Z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27FF5175DB034FDA8E56D2091BA2F000_11</vt:lpwstr>
  </property>
  <property fmtid="{D5CDD505-2E9C-101B-9397-08002B2CF9AE}" pid="4" name="KSOTemplateDocerSaveRecord">
    <vt:lpwstr>eyJoZGlkIjoiMzEwNTM5NzYwMDRjMzkwZTVkZjY2ODkwMGIxNGU0OTUiLCJ1c2VySWQiOiIyNzk2NjY0MzMifQ==</vt:lpwstr>
  </property>
</Properties>
</file>