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遵义市播州区西坪镇中心学校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办公桌椅采购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办公桌采购要求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采购数量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46张。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（二）尺寸要求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1.4米长、0.7米宽、0.75米高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（三）板材要求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bookmarkStart w:id="0" w:name="OLE_LINK3"/>
      <w:r>
        <w:rPr>
          <w:rFonts w:hint="eastAsia" w:ascii="方正仿宋简体" w:hAnsi="方正仿宋简体" w:eastAsia="方正仿宋简体" w:cs="方正仿宋简体"/>
          <w:sz w:val="32"/>
          <w:szCs w:val="32"/>
        </w:rPr>
        <w:t>面板用4公分厚的免漆颗粒板</w:t>
      </w:r>
      <w:bookmarkStart w:id="1" w:name="OLE_LINK2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（不能用贴纸或贴皮板材）</w:t>
      </w:r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，单立板为4公分厚的免漆颗粒板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（不能用贴纸或贴皮板材）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，其余背板及抽屉（含抽屉立板）为2公分厚免漆颗粒板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（不能用贴纸或贴皮板材）。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桌面和抽屉正面为红橡色，其余均为入乳白色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（或白色）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（四）其他要求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左边或右边为导轨式三抽，一把锁关闭，右变或左边为移动式带轮电脑主机托架，中间为导轨式键盘托架。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办公桌需安装防滑脚钉。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3.桌子质量（俗称重量）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应≥62kg（不含电脑主机托架）。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4.符合国家质量和环保标准。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（五）</w:t>
      </w:r>
      <w:bookmarkStart w:id="2" w:name="OLE_LINK1"/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参考图片（含款式和颜色）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95250</wp:posOffset>
            </wp:positionV>
            <wp:extent cx="5262880" cy="2605405"/>
            <wp:effectExtent l="0" t="0" r="13970" b="4445"/>
            <wp:wrapNone/>
            <wp:docPr id="6" name="图片 6" descr="1ae1111a719a738377c9355b0cfb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e1111a719a738377c9355b0cfba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304800</wp:posOffset>
            </wp:positionV>
            <wp:extent cx="5264785" cy="3949065"/>
            <wp:effectExtent l="0" t="0" r="12065" b="13335"/>
            <wp:wrapNone/>
            <wp:docPr id="2" name="图片 2" descr="ae2151dbbbeac99b79867aac1d93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2151dbbbeac99b79867aac1d93b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57150</wp:posOffset>
            </wp:positionV>
            <wp:extent cx="5269865" cy="3181985"/>
            <wp:effectExtent l="0" t="0" r="6985" b="18415"/>
            <wp:wrapNone/>
            <wp:docPr id="3" name="图片 3" descr="b49f0a17f2446e3f7a06e50693ca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9f0a17f2446e3f7a06e50693ca6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二、办公椅采购需求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（一）采购数量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90把。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尺寸要求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长（不含脚踏）≥60公分；宽≥60公分；高≥130公分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（三）款式要求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办公午睡两用网布升降脚踏人体工学椅，脚踏隐藏式可收缩，升降可以调节，可躺角度≥135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，椅子脚为高强度尼龙（或金属）五爪带PU万向轮。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（四）颜色要求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雅致黑或高级黑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或黑色。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（五）其他要求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带腰枕和颈枕，腰枕为固定式，颈枕为活动式。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办公椅质量（俗称重量））应≥17kg。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3.符合国家质量和环保标准。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（六）参考图片（含款式和颜色）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28575</wp:posOffset>
            </wp:positionV>
            <wp:extent cx="3448050" cy="3221990"/>
            <wp:effectExtent l="0" t="0" r="0" b="16510"/>
            <wp:wrapNone/>
            <wp:docPr id="4" name="图片 4" descr="b0cd04fab3189e4eb8cb79e4a39a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cd04fab3189e4eb8cb79e4a39af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968375</wp:posOffset>
            </wp:positionH>
            <wp:positionV relativeFrom="paragraph">
              <wp:posOffset>348615</wp:posOffset>
            </wp:positionV>
            <wp:extent cx="3489960" cy="3726180"/>
            <wp:effectExtent l="0" t="0" r="15240" b="7620"/>
            <wp:wrapNone/>
            <wp:docPr id="5" name="图片 5" descr="7a465fa8b8d3607d2e2ea81e89b0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a465fa8b8d3607d2e2ea81e89b086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三、送货要求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中标供应商须在中标结果出来后七日内（含七日）送货。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四、售后要求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购买产品之日起五年内，对家具配件及制造方面出现的问题，提供免费（含五金、锁具、扣件等）维修维护。五年保修期后维修的按成本价收取材料费，按市场价收取人工工资费用，售后服务需在两日内上门对接处理。如果不能满足请勿报价，否则本单位将向平台投诉拉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CB50D"/>
    <w:multiLevelType w:val="singleLevel"/>
    <w:tmpl w:val="C16CB5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E679EE"/>
    <w:multiLevelType w:val="singleLevel"/>
    <w:tmpl w:val="73E679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54CCF"/>
    <w:rsid w:val="18F8742D"/>
    <w:rsid w:val="1EFB4B32"/>
    <w:rsid w:val="205914A9"/>
    <w:rsid w:val="2AA65227"/>
    <w:rsid w:val="36754CCF"/>
    <w:rsid w:val="381119E2"/>
    <w:rsid w:val="640C2745"/>
    <w:rsid w:val="71F84131"/>
    <w:rsid w:val="7E4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2025-05-12T06:56:00Z</dcterms:created>
  <dc:creator>涛声已旧</dc:creator>
  <cp:lastModifiedBy>涛声已旧</cp:lastModifiedBy>
  <cp:lastPrinted>2025-05-12T07:30:00Z</cp:lastPrinted>
  <dcterms:modified xsi:type="dcterms:W3CDTF">2025-05-12T08:10:48Z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