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2E9F3">
      <w:pPr>
        <w:widowControl/>
        <w:jc w:val="left"/>
        <w:rPr>
          <w:rFonts w:ascii="仿宋" w:hAnsi="仿宋" w:cs="宋体"/>
          <w:b/>
          <w:bCs/>
          <w:color w:val="000000"/>
          <w:kern w:val="0"/>
          <w:sz w:val="28"/>
          <w:szCs w:val="28"/>
        </w:rPr>
      </w:pPr>
    </w:p>
    <w:p w14:paraId="5595FE78">
      <w:pPr>
        <w:widowControl/>
        <w:jc w:val="left"/>
        <w:rPr>
          <w:rFonts w:ascii="仿宋" w:hAnsi="仿宋" w:cs="宋体"/>
          <w:b/>
          <w:bCs/>
          <w:color w:val="000000"/>
          <w:kern w:val="0"/>
          <w:sz w:val="28"/>
          <w:szCs w:val="28"/>
        </w:rPr>
      </w:pPr>
    </w:p>
    <w:p w14:paraId="765030B6">
      <w:pPr>
        <w:widowControl/>
        <w:jc w:val="left"/>
        <w:rPr>
          <w:rFonts w:ascii="仿宋" w:hAnsi="仿宋" w:cs="宋体"/>
          <w:b/>
          <w:bCs/>
          <w:color w:val="000000"/>
          <w:kern w:val="0"/>
          <w:sz w:val="28"/>
          <w:szCs w:val="28"/>
        </w:rPr>
      </w:pPr>
    </w:p>
    <w:p w14:paraId="7D699E44">
      <w:pPr>
        <w:widowControl/>
        <w:jc w:val="left"/>
        <w:rPr>
          <w:rFonts w:ascii="仿宋" w:hAnsi="仿宋" w:cs="宋体"/>
          <w:b/>
          <w:bCs/>
          <w:color w:val="000000"/>
          <w:kern w:val="0"/>
          <w:sz w:val="28"/>
          <w:szCs w:val="28"/>
        </w:rPr>
      </w:pPr>
    </w:p>
    <w:p w14:paraId="300EBE8A">
      <w:pPr>
        <w:widowControl/>
        <w:jc w:val="center"/>
        <w:rPr>
          <w:rFonts w:hint="eastAsia" w:ascii="仿宋" w:hAnsi="仿宋" w:cs="宋体"/>
          <w:b/>
          <w:bCs/>
          <w:color w:val="000000"/>
          <w:kern w:val="0"/>
          <w:sz w:val="44"/>
          <w:szCs w:val="44"/>
          <w:u w:val="single"/>
        </w:rPr>
      </w:pPr>
      <w:r>
        <w:rPr>
          <w:rFonts w:hint="eastAsia" w:ascii="仿宋" w:hAnsi="仿宋" w:cs="宋体"/>
          <w:b/>
          <w:bCs/>
          <w:color w:val="000000"/>
          <w:kern w:val="0"/>
          <w:sz w:val="44"/>
          <w:szCs w:val="44"/>
          <w:u w:val="single"/>
          <w:lang w:val="en-US" w:eastAsia="zh-CN"/>
        </w:rPr>
        <w:t>贵阳一中</w:t>
      </w:r>
      <w:r>
        <w:rPr>
          <w:rFonts w:hint="eastAsia" w:ascii="仿宋" w:hAnsi="仿宋" w:cs="宋体"/>
          <w:b/>
          <w:bCs/>
          <w:color w:val="000000"/>
          <w:kern w:val="0"/>
          <w:sz w:val="44"/>
          <w:szCs w:val="44"/>
          <w:u w:val="single"/>
          <w:lang w:eastAsia="zh-CN"/>
        </w:rPr>
        <w:t>“五育融合”大数据平台</w:t>
      </w:r>
      <w:r>
        <w:rPr>
          <w:rFonts w:hint="eastAsia" w:ascii="仿宋" w:hAnsi="仿宋" w:cs="宋体"/>
          <w:b/>
          <w:bCs/>
          <w:color w:val="000000"/>
          <w:kern w:val="0"/>
          <w:sz w:val="44"/>
          <w:szCs w:val="44"/>
          <w:u w:val="single"/>
          <w:lang w:val="en-US" w:eastAsia="zh-CN"/>
        </w:rPr>
        <w:t>三级</w:t>
      </w:r>
      <w:r>
        <w:rPr>
          <w:rFonts w:hint="eastAsia" w:ascii="仿宋" w:hAnsi="仿宋" w:cs="宋体"/>
          <w:b/>
          <w:bCs/>
          <w:color w:val="000000"/>
          <w:kern w:val="0"/>
          <w:sz w:val="44"/>
          <w:szCs w:val="44"/>
          <w:u w:val="single"/>
        </w:rPr>
        <w:t>等级保护测评</w:t>
      </w:r>
      <w:r>
        <w:rPr>
          <w:rFonts w:hint="eastAsia" w:ascii="仿宋" w:hAnsi="仿宋" w:cs="宋体"/>
          <w:b/>
          <w:bCs/>
          <w:color w:val="000000"/>
          <w:kern w:val="0"/>
          <w:sz w:val="44"/>
          <w:szCs w:val="44"/>
          <w:u w:val="single"/>
          <w:lang w:val="en-US" w:eastAsia="zh-CN"/>
        </w:rPr>
        <w:t>服务</w:t>
      </w:r>
      <w:r>
        <w:rPr>
          <w:rFonts w:hint="eastAsia" w:ascii="仿宋" w:hAnsi="仿宋" w:cs="宋体"/>
          <w:b/>
          <w:bCs/>
          <w:color w:val="000000"/>
          <w:kern w:val="0"/>
          <w:sz w:val="44"/>
          <w:szCs w:val="44"/>
          <w:u w:val="single"/>
        </w:rPr>
        <w:t>项目</w:t>
      </w:r>
    </w:p>
    <w:p w14:paraId="57E98320">
      <w:pPr>
        <w:widowControl/>
        <w:jc w:val="center"/>
        <w:rPr>
          <w:rFonts w:ascii="仿宋" w:hAnsi="仿宋" w:cs="宋体"/>
          <w:b/>
          <w:bCs/>
          <w:color w:val="000000"/>
          <w:kern w:val="0"/>
          <w:sz w:val="44"/>
          <w:szCs w:val="44"/>
        </w:rPr>
      </w:pPr>
      <w:r>
        <w:rPr>
          <w:rFonts w:hint="eastAsia" w:ascii="仿宋" w:hAnsi="仿宋" w:cs="宋体"/>
          <w:b/>
          <w:bCs/>
          <w:color w:val="000000"/>
          <w:kern w:val="0"/>
          <w:sz w:val="44"/>
          <w:szCs w:val="44"/>
          <w:u w:val="none"/>
          <w:lang w:val="en-US" w:eastAsia="zh-CN"/>
        </w:rPr>
        <w:t>资格要求及</w:t>
      </w:r>
      <w:r>
        <w:rPr>
          <w:rFonts w:hint="eastAsia" w:ascii="仿宋" w:hAnsi="仿宋" w:cs="宋体"/>
          <w:b/>
          <w:bCs/>
          <w:color w:val="000000"/>
          <w:kern w:val="0"/>
          <w:sz w:val="44"/>
          <w:szCs w:val="44"/>
        </w:rPr>
        <w:t>技术参数</w:t>
      </w:r>
    </w:p>
    <w:p w14:paraId="3458362C">
      <w:pPr>
        <w:widowControl/>
        <w:jc w:val="left"/>
        <w:rPr>
          <w:rFonts w:ascii="仿宋" w:hAnsi="仿宋" w:cs="宋体"/>
          <w:b/>
          <w:bCs/>
          <w:color w:val="000000"/>
          <w:kern w:val="0"/>
          <w:sz w:val="28"/>
          <w:szCs w:val="28"/>
        </w:rPr>
      </w:pPr>
    </w:p>
    <w:p w14:paraId="3722FDC4">
      <w:pPr>
        <w:widowControl/>
        <w:jc w:val="left"/>
        <w:rPr>
          <w:rFonts w:ascii="仿宋" w:hAnsi="仿宋" w:cs="宋体"/>
          <w:b/>
          <w:bCs/>
          <w:color w:val="000000"/>
          <w:kern w:val="0"/>
          <w:sz w:val="28"/>
          <w:szCs w:val="28"/>
        </w:rPr>
      </w:pPr>
    </w:p>
    <w:p w14:paraId="546E227E">
      <w:pPr>
        <w:widowControl/>
        <w:jc w:val="left"/>
        <w:rPr>
          <w:rFonts w:ascii="仿宋" w:hAnsi="仿宋" w:cs="宋体"/>
          <w:b/>
          <w:bCs/>
          <w:color w:val="000000"/>
          <w:kern w:val="0"/>
          <w:sz w:val="28"/>
          <w:szCs w:val="28"/>
        </w:rPr>
      </w:pPr>
    </w:p>
    <w:p w14:paraId="202E10E5">
      <w:pPr>
        <w:widowControl/>
        <w:jc w:val="left"/>
        <w:rPr>
          <w:rFonts w:ascii="仿宋" w:hAnsi="仿宋" w:cs="宋体"/>
          <w:b/>
          <w:bCs/>
          <w:color w:val="000000"/>
          <w:kern w:val="0"/>
          <w:sz w:val="28"/>
          <w:szCs w:val="28"/>
        </w:rPr>
      </w:pPr>
    </w:p>
    <w:p w14:paraId="224AE1DB">
      <w:pPr>
        <w:widowControl/>
        <w:jc w:val="left"/>
        <w:rPr>
          <w:rFonts w:ascii="仿宋" w:hAnsi="仿宋" w:cs="宋体"/>
          <w:b/>
          <w:bCs/>
          <w:color w:val="000000"/>
          <w:kern w:val="0"/>
          <w:sz w:val="28"/>
          <w:szCs w:val="28"/>
        </w:rPr>
      </w:pPr>
    </w:p>
    <w:p w14:paraId="2DC75F08">
      <w:pPr>
        <w:widowControl/>
        <w:jc w:val="left"/>
        <w:rPr>
          <w:rFonts w:ascii="仿宋" w:hAnsi="仿宋" w:cs="宋体"/>
          <w:b/>
          <w:bCs/>
          <w:color w:val="000000"/>
          <w:kern w:val="0"/>
          <w:sz w:val="28"/>
          <w:szCs w:val="28"/>
        </w:rPr>
      </w:pPr>
    </w:p>
    <w:p w14:paraId="549592E4">
      <w:pPr>
        <w:widowControl/>
        <w:jc w:val="left"/>
        <w:rPr>
          <w:rFonts w:ascii="仿宋" w:hAnsi="仿宋" w:cs="宋体"/>
          <w:b/>
          <w:bCs/>
          <w:color w:val="000000"/>
          <w:kern w:val="0"/>
          <w:sz w:val="28"/>
          <w:szCs w:val="28"/>
        </w:rPr>
      </w:pPr>
    </w:p>
    <w:p w14:paraId="09311EA1">
      <w:pPr>
        <w:widowControl/>
        <w:jc w:val="left"/>
        <w:rPr>
          <w:rFonts w:ascii="仿宋" w:hAnsi="仿宋" w:cs="宋体"/>
          <w:b/>
          <w:bCs/>
          <w:color w:val="000000"/>
          <w:kern w:val="0"/>
          <w:sz w:val="28"/>
          <w:szCs w:val="28"/>
        </w:rPr>
      </w:pPr>
    </w:p>
    <w:p w14:paraId="4E586AD9">
      <w:pPr>
        <w:widowControl/>
        <w:jc w:val="left"/>
        <w:rPr>
          <w:rFonts w:ascii="仿宋" w:hAnsi="仿宋" w:cs="宋体"/>
          <w:b/>
          <w:bCs/>
          <w:color w:val="000000"/>
          <w:kern w:val="0"/>
          <w:sz w:val="28"/>
          <w:szCs w:val="28"/>
        </w:rPr>
      </w:pPr>
    </w:p>
    <w:p w14:paraId="3107D821">
      <w:pPr>
        <w:widowControl/>
        <w:jc w:val="left"/>
        <w:rPr>
          <w:rFonts w:ascii="仿宋" w:hAnsi="仿宋" w:cs="宋体"/>
          <w:b/>
          <w:bCs/>
          <w:color w:val="000000"/>
          <w:kern w:val="0"/>
          <w:sz w:val="28"/>
          <w:szCs w:val="28"/>
        </w:rPr>
      </w:pPr>
      <w:r>
        <w:rPr>
          <w:rFonts w:ascii="仿宋" w:hAnsi="仿宋" w:cs="宋体"/>
          <w:b/>
          <w:bCs/>
          <w:color w:val="000000"/>
          <w:kern w:val="0"/>
          <w:sz w:val="28"/>
          <w:szCs w:val="28"/>
        </w:rPr>
        <w:br w:type="page"/>
      </w:r>
    </w:p>
    <w:p w14:paraId="14FB46E7">
      <w:pPr>
        <w:pStyle w:val="17"/>
        <w:numPr>
          <w:ilvl w:val="0"/>
          <w:numId w:val="1"/>
        </w:numPr>
        <w:spacing w:before="312" w:beforeLines="100" w:after="312" w:afterLines="100"/>
        <w:ind w:firstLineChars="0"/>
        <w:outlineLvl w:val="0"/>
        <w:rPr>
          <w:rFonts w:ascii="仿宋" w:hAnsi="仿宋" w:cs="宋体"/>
          <w:b/>
          <w:bCs/>
          <w:color w:val="000000"/>
          <w:kern w:val="0"/>
          <w:sz w:val="28"/>
          <w:szCs w:val="28"/>
        </w:rPr>
      </w:pPr>
      <w:r>
        <w:rPr>
          <w:rFonts w:hint="eastAsia" w:ascii="仿宋" w:hAnsi="仿宋" w:cs="宋体"/>
          <w:b/>
          <w:bCs/>
          <w:color w:val="000000"/>
          <w:kern w:val="0"/>
          <w:sz w:val="28"/>
          <w:szCs w:val="28"/>
        </w:rPr>
        <w:t>项目名称：</w:t>
      </w:r>
    </w:p>
    <w:p w14:paraId="06DBC864">
      <w:pPr>
        <w:widowControl/>
        <w:spacing w:line="360" w:lineRule="auto"/>
        <w:ind w:firstLine="480" w:firstLineChars="200"/>
        <w:jc w:val="left"/>
        <w:rPr>
          <w:rFonts w:ascii="仿宋_GB2312" w:hAnsi="等线" w:eastAsia="仿宋_GB2312" w:cs="宋体"/>
          <w:color w:val="000000"/>
          <w:kern w:val="0"/>
          <w:sz w:val="24"/>
          <w:u w:val="single"/>
        </w:rPr>
      </w:pPr>
      <w:r>
        <w:rPr>
          <w:rFonts w:hint="eastAsia" w:ascii="仿宋_GB2312" w:hAnsi="等线" w:eastAsia="仿宋_GB2312" w:cs="宋体"/>
          <w:color w:val="000000"/>
          <w:kern w:val="0"/>
          <w:sz w:val="24"/>
          <w:u w:val="single"/>
          <w:lang w:val="en-US" w:eastAsia="zh-CN"/>
        </w:rPr>
        <w:t>贵阳一中</w:t>
      </w:r>
      <w:r>
        <w:rPr>
          <w:rFonts w:hint="eastAsia" w:ascii="仿宋_GB2312" w:hAnsi="等线" w:eastAsia="仿宋_GB2312" w:cs="宋体"/>
          <w:color w:val="000000"/>
          <w:kern w:val="0"/>
          <w:sz w:val="24"/>
          <w:u w:val="single"/>
        </w:rPr>
        <w:t>网络安全等级保护测评项目</w:t>
      </w:r>
    </w:p>
    <w:p w14:paraId="38A347D8">
      <w:pPr>
        <w:pStyle w:val="17"/>
        <w:numPr>
          <w:ilvl w:val="0"/>
          <w:numId w:val="1"/>
        </w:numPr>
        <w:spacing w:before="312" w:beforeLines="100" w:after="312" w:afterLines="100"/>
        <w:ind w:firstLineChars="0"/>
        <w:outlineLvl w:val="0"/>
        <w:rPr>
          <w:rFonts w:ascii="仿宋" w:hAnsi="仿宋" w:cs="宋体"/>
          <w:b/>
          <w:bCs/>
          <w:color w:val="000000"/>
          <w:kern w:val="0"/>
          <w:sz w:val="28"/>
          <w:szCs w:val="28"/>
        </w:rPr>
      </w:pPr>
      <w:r>
        <w:rPr>
          <w:rFonts w:hint="eastAsia" w:ascii="仿宋" w:hAnsi="仿宋" w:cs="宋体"/>
          <w:b/>
          <w:bCs/>
          <w:color w:val="000000"/>
          <w:kern w:val="0"/>
          <w:sz w:val="28"/>
          <w:szCs w:val="28"/>
        </w:rPr>
        <w:t>投标人资格要求</w:t>
      </w:r>
    </w:p>
    <w:p w14:paraId="6B08070D">
      <w:pPr>
        <w:pStyle w:val="17"/>
        <w:widowControl/>
        <w:numPr>
          <w:ilvl w:val="1"/>
          <w:numId w:val="2"/>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在中华人民共和国境内注册的合法经营企业，提供投标人营业执照、组织机构代码证、税务登记证（或三证合一的营业执照）；</w:t>
      </w:r>
    </w:p>
    <w:p w14:paraId="5642276F">
      <w:pPr>
        <w:pStyle w:val="17"/>
        <w:widowControl/>
        <w:numPr>
          <w:ilvl w:val="1"/>
          <w:numId w:val="2"/>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未被列入“信用中国”网站（www.creditchina.gov.cn）、中国政府采购网（www.ccgp.gov.cn）违法、失信记录的投标企业，对列入失信被执行人、重大税收违法案件当事人名单、政府采购严重违法失信行为记录名单的，将会被拒绝参加此项目投标；（提供投标截止时间10日内查询页面截图；）</w:t>
      </w:r>
    </w:p>
    <w:p w14:paraId="42EFAE48">
      <w:pPr>
        <w:pStyle w:val="17"/>
        <w:widowControl/>
        <w:numPr>
          <w:ilvl w:val="1"/>
          <w:numId w:val="2"/>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投标人须在全国网络安全等级测评与检测评估机构目录中，并具备公安部第三研究所认证发放的《网络安全等级测评与检测评估机构服务认证证书》（复印件加盖公章）；</w:t>
      </w:r>
    </w:p>
    <w:p w14:paraId="586412AF">
      <w:pPr>
        <w:pStyle w:val="17"/>
        <w:numPr>
          <w:ilvl w:val="0"/>
          <w:numId w:val="1"/>
        </w:numPr>
        <w:spacing w:before="312" w:beforeLines="100" w:after="312" w:afterLines="100"/>
        <w:ind w:firstLineChars="0"/>
        <w:outlineLvl w:val="0"/>
        <w:rPr>
          <w:rFonts w:ascii="仿宋" w:hAnsi="仿宋" w:cs="宋体"/>
          <w:b/>
          <w:bCs/>
          <w:color w:val="000000"/>
          <w:kern w:val="0"/>
          <w:sz w:val="28"/>
          <w:szCs w:val="28"/>
        </w:rPr>
      </w:pPr>
      <w:r>
        <w:rPr>
          <w:rFonts w:hint="eastAsia" w:ascii="仿宋" w:hAnsi="仿宋" w:cs="宋体"/>
          <w:b/>
          <w:bCs/>
          <w:color w:val="000000"/>
          <w:kern w:val="0"/>
          <w:sz w:val="28"/>
          <w:szCs w:val="28"/>
        </w:rPr>
        <w:t>服务内容概述及要求</w:t>
      </w:r>
    </w:p>
    <w:p w14:paraId="122D9A0B">
      <w:pPr>
        <w:spacing w:before="312" w:beforeLines="100" w:after="312" w:afterLines="100"/>
        <w:outlineLvl w:val="1"/>
        <w:rPr>
          <w:rFonts w:ascii="仿宋" w:hAnsi="仿宋"/>
          <w:b/>
          <w:bCs/>
          <w:sz w:val="24"/>
          <w:szCs w:val="32"/>
        </w:rPr>
      </w:pPr>
      <w:r>
        <w:rPr>
          <w:rFonts w:ascii="仿宋" w:hAnsi="仿宋"/>
          <w:b/>
          <w:bCs/>
          <w:sz w:val="24"/>
          <w:szCs w:val="32"/>
        </w:rPr>
        <w:t>1.</w:t>
      </w:r>
      <w:r>
        <w:rPr>
          <w:rFonts w:hint="eastAsia" w:ascii="仿宋" w:hAnsi="仿宋"/>
          <w:b/>
          <w:bCs/>
          <w:sz w:val="24"/>
          <w:szCs w:val="32"/>
          <w:lang w:val="en-US" w:eastAsia="zh-CN"/>
        </w:rPr>
        <w:t>贵阳一中网络安全等级保护</w:t>
      </w:r>
      <w:r>
        <w:rPr>
          <w:rFonts w:hint="eastAsia" w:ascii="仿宋" w:hAnsi="仿宋"/>
          <w:b/>
          <w:bCs/>
          <w:sz w:val="24"/>
          <w:szCs w:val="32"/>
        </w:rPr>
        <w:t>系统情况详见下表：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1276"/>
        <w:gridCol w:w="3339"/>
      </w:tblGrid>
      <w:tr w14:paraId="5F42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7B62FF">
            <w:pPr>
              <w:spacing w:line="460" w:lineRule="exact"/>
              <w:jc w:val="center"/>
              <w:rPr>
                <w:rFonts w:ascii="仿宋" w:hAnsi="仿宋" w:cs="仿宋"/>
                <w:kern w:val="0"/>
                <w:sz w:val="24"/>
              </w:rPr>
            </w:pPr>
            <w:r>
              <w:rPr>
                <w:rFonts w:hint="eastAsia" w:ascii="仿宋" w:hAnsi="仿宋" w:cs="仿宋"/>
                <w:kern w:val="0"/>
                <w:sz w:val="24"/>
              </w:rPr>
              <w:t>序号</w:t>
            </w:r>
          </w:p>
        </w:tc>
        <w:tc>
          <w:tcPr>
            <w:tcW w:w="2835" w:type="dxa"/>
            <w:vAlign w:val="center"/>
          </w:tcPr>
          <w:p w14:paraId="6A91CA05">
            <w:pPr>
              <w:spacing w:line="460" w:lineRule="exact"/>
              <w:jc w:val="center"/>
              <w:rPr>
                <w:rFonts w:ascii="仿宋" w:hAnsi="仿宋" w:cs="仿宋"/>
                <w:kern w:val="0"/>
                <w:sz w:val="24"/>
              </w:rPr>
            </w:pPr>
            <w:r>
              <w:rPr>
                <w:rFonts w:hint="eastAsia" w:ascii="仿宋" w:hAnsi="仿宋" w:cs="仿宋"/>
                <w:kern w:val="0"/>
                <w:sz w:val="24"/>
              </w:rPr>
              <w:t>网络系统名称</w:t>
            </w:r>
          </w:p>
        </w:tc>
        <w:tc>
          <w:tcPr>
            <w:tcW w:w="1276" w:type="dxa"/>
            <w:vAlign w:val="center"/>
          </w:tcPr>
          <w:p w14:paraId="7600058B">
            <w:pPr>
              <w:spacing w:line="460" w:lineRule="exact"/>
              <w:jc w:val="center"/>
              <w:rPr>
                <w:rFonts w:ascii="仿宋" w:hAnsi="仿宋" w:cs="仿宋"/>
                <w:kern w:val="0"/>
                <w:sz w:val="24"/>
              </w:rPr>
            </w:pPr>
            <w:r>
              <w:rPr>
                <w:rFonts w:hint="eastAsia" w:ascii="仿宋" w:hAnsi="仿宋" w:cs="仿宋"/>
                <w:kern w:val="0"/>
                <w:sz w:val="24"/>
              </w:rPr>
              <w:t>级别</w:t>
            </w:r>
          </w:p>
        </w:tc>
        <w:tc>
          <w:tcPr>
            <w:tcW w:w="3339" w:type="dxa"/>
            <w:vAlign w:val="center"/>
          </w:tcPr>
          <w:p w14:paraId="79E19CA1">
            <w:pPr>
              <w:spacing w:line="460" w:lineRule="exact"/>
              <w:jc w:val="center"/>
              <w:rPr>
                <w:rFonts w:ascii="仿宋" w:hAnsi="仿宋" w:cs="仿宋"/>
                <w:kern w:val="0"/>
                <w:sz w:val="24"/>
              </w:rPr>
            </w:pPr>
            <w:r>
              <w:rPr>
                <w:rFonts w:hint="eastAsia" w:ascii="仿宋" w:hAnsi="仿宋" w:cs="仿宋"/>
                <w:kern w:val="0"/>
                <w:sz w:val="24"/>
              </w:rPr>
              <w:t>备注</w:t>
            </w:r>
          </w:p>
        </w:tc>
      </w:tr>
      <w:tr w14:paraId="0E1B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F9F8077">
            <w:pPr>
              <w:spacing w:line="460" w:lineRule="exact"/>
              <w:jc w:val="center"/>
              <w:rPr>
                <w:rFonts w:ascii="仿宋" w:hAnsi="仿宋" w:cs="仿宋"/>
                <w:kern w:val="0"/>
                <w:sz w:val="24"/>
              </w:rPr>
            </w:pPr>
            <w:r>
              <w:rPr>
                <w:rFonts w:hint="eastAsia" w:ascii="仿宋" w:hAnsi="仿宋" w:cs="仿宋"/>
                <w:kern w:val="0"/>
                <w:sz w:val="24"/>
              </w:rPr>
              <w:t>1</w:t>
            </w:r>
          </w:p>
        </w:tc>
        <w:tc>
          <w:tcPr>
            <w:tcW w:w="2835" w:type="dxa"/>
            <w:vAlign w:val="center"/>
          </w:tcPr>
          <w:p w14:paraId="45101B37">
            <w:pPr>
              <w:spacing w:line="460" w:lineRule="exact"/>
              <w:jc w:val="center"/>
              <w:rPr>
                <w:rFonts w:hint="default" w:ascii="仿宋" w:hAnsi="仿宋" w:eastAsia="仿宋" w:cs="仿宋"/>
                <w:kern w:val="0"/>
                <w:sz w:val="24"/>
                <w:lang w:val="en-US" w:eastAsia="zh-CN"/>
              </w:rPr>
            </w:pPr>
            <w:r>
              <w:rPr>
                <w:rFonts w:hint="eastAsia" w:ascii="仿宋" w:hAnsi="仿宋" w:cs="仿宋"/>
                <w:kern w:val="0"/>
                <w:sz w:val="24"/>
                <w:lang w:eastAsia="zh-CN"/>
              </w:rPr>
              <w:t>“</w:t>
            </w:r>
            <w:r>
              <w:rPr>
                <w:rFonts w:hint="eastAsia" w:ascii="仿宋" w:hAnsi="仿宋" w:cs="仿宋"/>
                <w:kern w:val="0"/>
                <w:sz w:val="24"/>
                <w:lang w:val="en-US" w:eastAsia="zh-CN"/>
              </w:rPr>
              <w:t>五育融合</w:t>
            </w:r>
            <w:r>
              <w:rPr>
                <w:rFonts w:hint="eastAsia" w:ascii="仿宋" w:hAnsi="仿宋" w:cs="仿宋"/>
                <w:kern w:val="0"/>
                <w:sz w:val="24"/>
                <w:lang w:eastAsia="zh-CN"/>
              </w:rPr>
              <w:t>”</w:t>
            </w:r>
            <w:r>
              <w:rPr>
                <w:rFonts w:hint="eastAsia" w:ascii="仿宋" w:hAnsi="仿宋" w:cs="仿宋"/>
                <w:kern w:val="0"/>
                <w:sz w:val="24"/>
                <w:lang w:val="en-US" w:eastAsia="zh-CN"/>
              </w:rPr>
              <w:t>大数据平台</w:t>
            </w:r>
          </w:p>
        </w:tc>
        <w:tc>
          <w:tcPr>
            <w:tcW w:w="1276" w:type="dxa"/>
            <w:vAlign w:val="center"/>
          </w:tcPr>
          <w:p w14:paraId="15F0D97C">
            <w:pPr>
              <w:spacing w:line="460" w:lineRule="exact"/>
              <w:jc w:val="center"/>
              <w:rPr>
                <w:rFonts w:ascii="仿宋" w:hAnsi="仿宋" w:cs="仿宋"/>
                <w:kern w:val="0"/>
                <w:sz w:val="24"/>
              </w:rPr>
            </w:pPr>
            <w:r>
              <w:rPr>
                <w:rFonts w:hint="eastAsia" w:ascii="仿宋" w:hAnsi="仿宋" w:cs="仿宋"/>
                <w:kern w:val="0"/>
                <w:sz w:val="20"/>
              </w:rPr>
              <w:t>三级</w:t>
            </w:r>
          </w:p>
        </w:tc>
        <w:tc>
          <w:tcPr>
            <w:tcW w:w="3339" w:type="dxa"/>
            <w:vAlign w:val="center"/>
          </w:tcPr>
          <w:p w14:paraId="53D42EFB">
            <w:pPr>
              <w:spacing w:line="460" w:lineRule="exact"/>
              <w:jc w:val="center"/>
              <w:rPr>
                <w:rFonts w:ascii="仿宋" w:hAnsi="仿宋" w:cs="宋体"/>
                <w:kern w:val="0"/>
                <w:sz w:val="24"/>
              </w:rPr>
            </w:pPr>
          </w:p>
        </w:tc>
      </w:tr>
      <w:tr w14:paraId="5807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43C099C">
            <w:pPr>
              <w:spacing w:line="460" w:lineRule="exact"/>
              <w:jc w:val="center"/>
              <w:rPr>
                <w:rFonts w:ascii="仿宋" w:hAnsi="仿宋" w:cs="仿宋"/>
                <w:kern w:val="0"/>
                <w:sz w:val="24"/>
              </w:rPr>
            </w:pPr>
          </w:p>
        </w:tc>
        <w:tc>
          <w:tcPr>
            <w:tcW w:w="2835" w:type="dxa"/>
            <w:vAlign w:val="center"/>
          </w:tcPr>
          <w:p w14:paraId="4E497E76">
            <w:pPr>
              <w:spacing w:line="460" w:lineRule="exact"/>
              <w:jc w:val="center"/>
              <w:rPr>
                <w:rFonts w:ascii="仿宋" w:hAnsi="仿宋" w:cs="仿宋"/>
                <w:kern w:val="0"/>
                <w:sz w:val="24"/>
              </w:rPr>
            </w:pPr>
          </w:p>
        </w:tc>
        <w:tc>
          <w:tcPr>
            <w:tcW w:w="1276" w:type="dxa"/>
            <w:vAlign w:val="center"/>
          </w:tcPr>
          <w:p w14:paraId="74855812">
            <w:pPr>
              <w:spacing w:line="460" w:lineRule="exact"/>
              <w:jc w:val="center"/>
              <w:rPr>
                <w:rFonts w:ascii="仿宋" w:hAnsi="仿宋" w:cs="仿宋"/>
                <w:kern w:val="0"/>
                <w:sz w:val="20"/>
              </w:rPr>
            </w:pPr>
          </w:p>
        </w:tc>
        <w:tc>
          <w:tcPr>
            <w:tcW w:w="3339" w:type="dxa"/>
            <w:vAlign w:val="center"/>
          </w:tcPr>
          <w:p w14:paraId="3A909743">
            <w:pPr>
              <w:spacing w:line="460" w:lineRule="exact"/>
              <w:jc w:val="center"/>
              <w:rPr>
                <w:rFonts w:ascii="仿宋" w:hAnsi="仿宋" w:cs="宋体"/>
                <w:kern w:val="0"/>
                <w:sz w:val="24"/>
              </w:rPr>
            </w:pPr>
          </w:p>
        </w:tc>
      </w:tr>
      <w:tr w14:paraId="37C3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39BA365A">
            <w:pPr>
              <w:spacing w:line="460" w:lineRule="exact"/>
              <w:jc w:val="center"/>
              <w:rPr>
                <w:rFonts w:ascii="仿宋" w:hAnsi="仿宋" w:cs="宋体"/>
                <w:kern w:val="0"/>
                <w:sz w:val="24"/>
              </w:rPr>
            </w:pPr>
            <w:r>
              <w:rPr>
                <w:rFonts w:hint="eastAsia" w:ascii="仿宋" w:hAnsi="仿宋" w:cs="宋体"/>
                <w:kern w:val="0"/>
                <w:sz w:val="24"/>
              </w:rPr>
              <w:t>具体系统名称以备案回执或备案证上的系统名称为准</w:t>
            </w:r>
          </w:p>
        </w:tc>
      </w:tr>
    </w:tbl>
    <w:p w14:paraId="73D3BA13">
      <w:pPr>
        <w:spacing w:before="312" w:beforeLines="100" w:after="312" w:afterLines="100"/>
        <w:outlineLvl w:val="1"/>
        <w:rPr>
          <w:rFonts w:ascii="仿宋" w:hAnsi="仿宋"/>
          <w:b/>
          <w:bCs/>
          <w:sz w:val="24"/>
          <w:szCs w:val="32"/>
        </w:rPr>
      </w:pPr>
      <w:r>
        <w:rPr>
          <w:rFonts w:hint="eastAsia" w:ascii="仿宋" w:hAnsi="仿宋"/>
          <w:b/>
          <w:bCs/>
          <w:sz w:val="24"/>
          <w:szCs w:val="32"/>
        </w:rPr>
        <w:t>2</w:t>
      </w:r>
      <w:r>
        <w:rPr>
          <w:rFonts w:ascii="仿宋" w:hAnsi="仿宋"/>
          <w:b/>
          <w:bCs/>
          <w:sz w:val="24"/>
          <w:szCs w:val="32"/>
        </w:rPr>
        <w:t>.</w:t>
      </w:r>
      <w:r>
        <w:rPr>
          <w:rFonts w:hint="eastAsia" w:ascii="仿宋" w:hAnsi="仿宋"/>
          <w:b/>
          <w:bCs/>
          <w:sz w:val="24"/>
          <w:szCs w:val="32"/>
        </w:rPr>
        <w:t>服务期限要求：</w:t>
      </w:r>
    </w:p>
    <w:p w14:paraId="1C96729A">
      <w:pPr>
        <w:widowControl/>
        <w:spacing w:line="360" w:lineRule="auto"/>
        <w:ind w:left="48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被测评系统满足测评条件后</w:t>
      </w:r>
      <w:r>
        <w:rPr>
          <w:rFonts w:ascii="仿宋_GB2312" w:hAnsi="等线" w:eastAsia="仿宋_GB2312" w:cs="宋体"/>
          <w:color w:val="000000"/>
          <w:kern w:val="0"/>
          <w:sz w:val="24"/>
          <w:u w:val="single"/>
        </w:rPr>
        <w:t>60</w:t>
      </w:r>
      <w:r>
        <w:rPr>
          <w:rFonts w:hint="eastAsia" w:ascii="仿宋_GB2312" w:hAnsi="等线" w:eastAsia="仿宋_GB2312" w:cs="宋体"/>
          <w:color w:val="000000"/>
          <w:kern w:val="0"/>
          <w:sz w:val="24"/>
        </w:rPr>
        <w:t>工作日内完成等级保护测评工作。</w:t>
      </w:r>
    </w:p>
    <w:p w14:paraId="52B72F9F">
      <w:pPr>
        <w:spacing w:before="312" w:beforeLines="100" w:after="312" w:afterLines="100"/>
        <w:outlineLvl w:val="1"/>
        <w:rPr>
          <w:rFonts w:ascii="仿宋" w:hAnsi="仿宋"/>
          <w:b/>
          <w:bCs/>
          <w:sz w:val="24"/>
          <w:szCs w:val="32"/>
        </w:rPr>
      </w:pPr>
      <w:r>
        <w:rPr>
          <w:rFonts w:hint="eastAsia" w:ascii="仿宋" w:hAnsi="仿宋"/>
          <w:b/>
          <w:bCs/>
          <w:sz w:val="24"/>
          <w:szCs w:val="32"/>
        </w:rPr>
        <w:t>3</w:t>
      </w:r>
      <w:r>
        <w:rPr>
          <w:rFonts w:ascii="仿宋" w:hAnsi="仿宋"/>
          <w:b/>
          <w:bCs/>
          <w:sz w:val="24"/>
          <w:szCs w:val="32"/>
        </w:rPr>
        <w:t>.</w:t>
      </w:r>
      <w:r>
        <w:rPr>
          <w:rFonts w:hint="eastAsia" w:ascii="仿宋" w:hAnsi="仿宋"/>
          <w:b/>
          <w:bCs/>
          <w:sz w:val="24"/>
          <w:szCs w:val="32"/>
        </w:rPr>
        <w:t>服务地点：</w:t>
      </w:r>
    </w:p>
    <w:p w14:paraId="58AAD102">
      <w:pPr>
        <w:widowControl/>
        <w:spacing w:line="360" w:lineRule="auto"/>
        <w:ind w:left="480"/>
        <w:jc w:val="left"/>
        <w:rPr>
          <w:rFonts w:ascii="仿宋_GB2312" w:hAnsi="等线" w:eastAsia="仿宋_GB2312" w:cs="宋体"/>
          <w:color w:val="000000"/>
          <w:kern w:val="0"/>
          <w:sz w:val="24"/>
          <w:u w:val="single"/>
        </w:rPr>
      </w:pPr>
      <w:r>
        <w:rPr>
          <w:rFonts w:hint="eastAsia" w:ascii="仿宋_GB2312" w:hAnsi="等线" w:eastAsia="仿宋_GB2312" w:cs="宋体"/>
          <w:color w:val="000000"/>
          <w:kern w:val="0"/>
          <w:sz w:val="24"/>
          <w:u w:val="single"/>
        </w:rPr>
        <w:t xml:space="preserve"> </w:t>
      </w:r>
      <w:r>
        <w:rPr>
          <w:rFonts w:hint="eastAsia" w:ascii="仿宋_GB2312" w:hAnsi="等线" w:eastAsia="仿宋_GB2312" w:cs="宋体"/>
          <w:color w:val="000000"/>
          <w:kern w:val="0"/>
          <w:sz w:val="24"/>
          <w:u w:val="single"/>
          <w:lang w:val="en-US" w:eastAsia="zh-CN"/>
        </w:rPr>
        <w:t>贵阳一中校内</w:t>
      </w:r>
      <w:r>
        <w:rPr>
          <w:rFonts w:ascii="仿宋_GB2312" w:hAnsi="等线" w:eastAsia="仿宋_GB2312" w:cs="宋体"/>
          <w:color w:val="000000"/>
          <w:kern w:val="0"/>
          <w:sz w:val="24"/>
          <w:u w:val="single"/>
        </w:rPr>
        <w:t xml:space="preserve">       </w:t>
      </w:r>
      <w:r>
        <w:rPr>
          <w:rFonts w:hint="eastAsia" w:ascii="仿宋_GB2312" w:hAnsi="等线" w:eastAsia="仿宋_GB2312" w:cs="宋体"/>
          <w:color w:val="000000"/>
          <w:kern w:val="0"/>
          <w:sz w:val="24"/>
          <w:u w:val="single"/>
        </w:rPr>
        <w:t>。</w:t>
      </w:r>
    </w:p>
    <w:p w14:paraId="2C21294C">
      <w:pPr>
        <w:spacing w:before="312" w:beforeLines="100" w:after="312" w:afterLines="100"/>
        <w:outlineLvl w:val="1"/>
        <w:rPr>
          <w:rFonts w:ascii="仿宋" w:hAnsi="仿宋"/>
          <w:b/>
          <w:bCs/>
          <w:sz w:val="24"/>
          <w:szCs w:val="32"/>
        </w:rPr>
      </w:pPr>
      <w:r>
        <w:rPr>
          <w:rFonts w:hint="eastAsia" w:ascii="仿宋" w:hAnsi="仿宋"/>
          <w:b/>
          <w:bCs/>
          <w:sz w:val="24"/>
          <w:szCs w:val="32"/>
        </w:rPr>
        <w:t>4</w:t>
      </w:r>
      <w:r>
        <w:rPr>
          <w:rFonts w:ascii="仿宋" w:hAnsi="仿宋"/>
          <w:b/>
          <w:bCs/>
          <w:sz w:val="24"/>
          <w:szCs w:val="32"/>
        </w:rPr>
        <w:t>.</w:t>
      </w:r>
      <w:r>
        <w:rPr>
          <w:rFonts w:hint="eastAsia" w:ascii="仿宋" w:hAnsi="仿宋"/>
          <w:b/>
          <w:bCs/>
          <w:sz w:val="24"/>
          <w:szCs w:val="32"/>
        </w:rPr>
        <w:t>服务人员要求：</w:t>
      </w:r>
    </w:p>
    <w:p w14:paraId="0F3A0DD9">
      <w:pPr>
        <w:pStyle w:val="17"/>
        <w:widowControl/>
        <w:numPr>
          <w:ilvl w:val="0"/>
          <w:numId w:val="3"/>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派遣有经验的人员完成本项目服务工作，进入现场实施人员从事本行业工作不少于2年，具有等级保护测评</w:t>
      </w:r>
      <w:r>
        <w:rPr>
          <w:rFonts w:hint="eastAsia" w:ascii="仿宋_GB2312" w:hAnsi="等线" w:eastAsia="仿宋_GB2312" w:cs="宋体"/>
          <w:color w:val="000000"/>
          <w:kern w:val="0"/>
          <w:sz w:val="24"/>
          <w:lang w:val="en-US" w:eastAsia="zh-CN"/>
        </w:rPr>
        <w:t>中级及以上</w:t>
      </w:r>
      <w:r>
        <w:rPr>
          <w:rFonts w:hint="eastAsia" w:ascii="仿宋_GB2312" w:hAnsi="等线" w:eastAsia="仿宋_GB2312" w:cs="宋体"/>
          <w:color w:val="000000"/>
          <w:kern w:val="0"/>
          <w:sz w:val="24"/>
        </w:rPr>
        <w:t>经验。</w:t>
      </w:r>
    </w:p>
    <w:p w14:paraId="3311C03C">
      <w:pPr>
        <w:pStyle w:val="17"/>
        <w:widowControl/>
        <w:numPr>
          <w:ilvl w:val="0"/>
          <w:numId w:val="3"/>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投标人拟派专业的服务团队，服务团队成员不少于</w:t>
      </w: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人，其中项目负责人1人。</w:t>
      </w:r>
    </w:p>
    <w:p w14:paraId="4B089816">
      <w:pPr>
        <w:pStyle w:val="17"/>
        <w:widowControl/>
        <w:numPr>
          <w:ilvl w:val="0"/>
          <w:numId w:val="3"/>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为了保障测评过程中被测系统网络正常运行，项目组需要具备一定的安全保障能力，并具有网络安全应急处置机制及安全应急人员，同时根据《网络安全等级保护测评过程指南》要求，现场测评工作需要进行渗透测试，该项目需要具备专业渗透测试人员。</w:t>
      </w:r>
    </w:p>
    <w:p w14:paraId="37C5922E">
      <w:pPr>
        <w:widowControl/>
        <w:jc w:val="left"/>
        <w:rPr>
          <w:rFonts w:ascii="仿宋" w:hAnsi="仿宋"/>
          <w:b/>
          <w:bCs/>
          <w:sz w:val="24"/>
          <w:szCs w:val="32"/>
        </w:rPr>
      </w:pPr>
      <w:r>
        <w:rPr>
          <w:rFonts w:hint="eastAsia" w:ascii="仿宋" w:hAnsi="仿宋"/>
          <w:b/>
          <w:bCs/>
          <w:sz w:val="24"/>
          <w:szCs w:val="32"/>
        </w:rPr>
        <w:t>5</w:t>
      </w:r>
      <w:r>
        <w:rPr>
          <w:rFonts w:ascii="仿宋" w:hAnsi="仿宋"/>
          <w:b/>
          <w:bCs/>
          <w:sz w:val="24"/>
          <w:szCs w:val="32"/>
        </w:rPr>
        <w:t>.</w:t>
      </w:r>
      <w:r>
        <w:rPr>
          <w:rFonts w:hint="eastAsia" w:ascii="仿宋" w:hAnsi="仿宋"/>
          <w:b/>
          <w:bCs/>
          <w:sz w:val="24"/>
          <w:szCs w:val="32"/>
        </w:rPr>
        <w:t>服务技术要求：</w:t>
      </w:r>
    </w:p>
    <w:p w14:paraId="0CFFBC24">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当前，随着大数据、物联网、云计算的快速发展，信息化建设的不断推进，国内外安全风险威胁急剧上升，愈演愈烈的网络攻击已经成为国家安全的新挑战，国家关键信息基础设施可能时刻受到来自网络攻击的威胁。网络安全的态势之严峻，迫切需要我们在网络安全领域具备更强的防护能力，我国充分认识到信息系统在各行业各层面的重要性，把信息安全上升到事关国家安全的地位。为了充分保护我国基础信息网络和重要信息系统，推出信息安全等级保护制度，并作为国家信息安全保障工作的基本制度，“等保测评”应运而生。</w:t>
      </w:r>
    </w:p>
    <w:p w14:paraId="65969BDF">
      <w:pPr>
        <w:widowControl/>
        <w:spacing w:line="360" w:lineRule="auto"/>
        <w:ind w:firstLine="480" w:firstLineChars="200"/>
        <w:jc w:val="left"/>
        <w:rPr>
          <w:rFonts w:ascii="仿宋_GB2312" w:hAnsi="等线" w:eastAsia="仿宋_GB2312" w:cs="宋体"/>
          <w:color w:val="000000"/>
          <w:kern w:val="0"/>
          <w:sz w:val="24"/>
        </w:rPr>
      </w:pPr>
      <w:bookmarkStart w:id="0" w:name="_GoBack"/>
      <w:bookmarkEnd w:id="0"/>
      <w:r>
        <w:rPr>
          <w:rFonts w:hint="eastAsia" w:ascii="仿宋_GB2312" w:hAnsi="等线" w:eastAsia="仿宋_GB2312" w:cs="宋体"/>
          <w:color w:val="000000"/>
          <w:kern w:val="0"/>
          <w:sz w:val="24"/>
        </w:rPr>
        <w:t>通过本次等级测评，可以掌握</w:t>
      </w:r>
      <w:r>
        <w:rPr>
          <w:rFonts w:hint="eastAsia" w:ascii="仿宋_GB2312" w:hAnsi="等线" w:eastAsia="仿宋_GB2312" w:cs="宋体"/>
          <w:color w:val="000000"/>
          <w:kern w:val="0"/>
          <w:sz w:val="24"/>
          <w:u w:val="single"/>
        </w:rPr>
        <w:t>“五育融合”大数据平台</w:t>
      </w:r>
      <w:r>
        <w:rPr>
          <w:rFonts w:hint="eastAsia" w:ascii="仿宋_GB2312" w:hAnsi="等线" w:eastAsia="仿宋_GB2312" w:cs="宋体"/>
          <w:color w:val="000000"/>
          <w:kern w:val="0"/>
          <w:sz w:val="24"/>
        </w:rPr>
        <w:t>的安全保护能力，排查系统安全隐患和薄弱环节、明确</w:t>
      </w:r>
      <w:r>
        <w:rPr>
          <w:rFonts w:hint="eastAsia" w:ascii="仿宋_GB2312" w:hAnsi="等线" w:eastAsia="仿宋_GB2312" w:cs="宋体"/>
          <w:color w:val="000000"/>
          <w:kern w:val="0"/>
          <w:sz w:val="24"/>
          <w:u w:val="single"/>
        </w:rPr>
        <w:t>“五育融合”大数据平台</w:t>
      </w:r>
      <w:r>
        <w:rPr>
          <w:rFonts w:hint="eastAsia" w:ascii="仿宋_GB2312" w:hAnsi="等线" w:eastAsia="仿宋_GB2312" w:cs="宋体"/>
          <w:color w:val="000000"/>
          <w:kern w:val="0"/>
          <w:sz w:val="24"/>
        </w:rPr>
        <w:t>安全建设整改的需求。并衡量</w:t>
      </w:r>
      <w:r>
        <w:rPr>
          <w:rFonts w:hint="eastAsia" w:ascii="仿宋_GB2312" w:hAnsi="等线" w:eastAsia="仿宋_GB2312" w:cs="宋体"/>
          <w:color w:val="000000"/>
          <w:kern w:val="0"/>
          <w:sz w:val="24"/>
          <w:u w:val="single"/>
        </w:rPr>
        <w:t>“五育融合”大数据平台</w:t>
      </w:r>
      <w:r>
        <w:rPr>
          <w:rFonts w:hint="eastAsia" w:ascii="仿宋_GB2312" w:hAnsi="等线" w:eastAsia="仿宋_GB2312" w:cs="宋体"/>
          <w:color w:val="000000"/>
          <w:kern w:val="0"/>
          <w:sz w:val="24"/>
        </w:rPr>
        <w:t>的安全保护管理措施和技术措施是否符合信息系统安全等级保护基本要求，是否具备了相应的安全保护能力。同时等级测评结果作为公安机关等安全监管部门进行监督、检查、指导的参照，可以更加有效的督促、检查、指导</w:t>
      </w:r>
      <w:r>
        <w:rPr>
          <w:rFonts w:hint="eastAsia" w:ascii="仿宋_GB2312" w:hAnsi="等线" w:eastAsia="仿宋_GB2312" w:cs="宋体"/>
          <w:color w:val="000000"/>
          <w:kern w:val="0"/>
          <w:sz w:val="24"/>
          <w:u w:val="single"/>
        </w:rPr>
        <w:t>“五育融合”大数据平台</w:t>
      </w:r>
      <w:r>
        <w:rPr>
          <w:rFonts w:hint="eastAsia" w:ascii="仿宋_GB2312" w:hAnsi="等线" w:eastAsia="仿宋_GB2312" w:cs="宋体"/>
          <w:color w:val="000000"/>
          <w:kern w:val="0"/>
          <w:sz w:val="24"/>
        </w:rPr>
        <w:t>的安全建设整改工作。</w:t>
      </w:r>
    </w:p>
    <w:p w14:paraId="5DE698B8">
      <w:pPr>
        <w:pStyle w:val="3"/>
      </w:pPr>
      <w:r>
        <w:rPr>
          <w:rFonts w:hint="eastAsia" w:ascii="仿宋" w:hAnsi="仿宋"/>
          <w:sz w:val="24"/>
        </w:rPr>
        <w:t>5.1.法律及相关规定：</w:t>
      </w:r>
    </w:p>
    <w:p w14:paraId="727DBB75">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根据《中华人民共和国计算机信息系统安全保护条例》（国务院[1994]147 号令）要求，信息系统实行等级保护制度。随后有多部法规、国家标准对信息安全进行了规定。</w:t>
      </w:r>
    </w:p>
    <w:p w14:paraId="5C8D77EE">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《中华人民共和国网络安全法》</w:t>
      </w:r>
    </w:p>
    <w:p w14:paraId="3A3ECC30">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中华人民共和国公安部，公网安〔2020〕1960号《贯彻落实网络安全等级保护制度和关键信息基础设施安全保护制度的指导意见》</w:t>
      </w:r>
    </w:p>
    <w:p w14:paraId="162C2867">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《信息安全等级保护管理办法》（公通字[2007]43号）</w:t>
      </w:r>
    </w:p>
    <w:p w14:paraId="3716BE87">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《中华人民共和国计算机信息系统安全保护条例》</w:t>
      </w:r>
    </w:p>
    <w:p w14:paraId="7E9802FA">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GB∕T 22239-2019 信息安全技术 网络安全等级保护基本要求</w:t>
      </w:r>
    </w:p>
    <w:p w14:paraId="28B72B08">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GB∕T 22240-2020 信息安全技术 网络安全等级保护定级指南</w:t>
      </w:r>
    </w:p>
    <w:p w14:paraId="15FA8F47">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GB∕T 25058-2019 信息安全技术 网络安全等级保护实施指南</w:t>
      </w:r>
    </w:p>
    <w:p w14:paraId="48574134">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GB∕T 28448-2019 信息安全技术 网络安全等级保护测评要求</w:t>
      </w:r>
    </w:p>
    <w:p w14:paraId="566D3A63">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GB∕T 28449-2018 信息安全技术 网络安全等级保护测评过程指南</w:t>
      </w:r>
    </w:p>
    <w:p w14:paraId="3765C148">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GB∕T 36627-2018 信息安全技术 网络安全等级保护测试评估技术指南</w:t>
      </w:r>
    </w:p>
    <w:p w14:paraId="55B4AE69">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GB∕T25070-2019 信息安全技术 网络安全等级保护安全设计技术要求</w:t>
      </w:r>
    </w:p>
    <w:p w14:paraId="0F93E862">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GB17859-1999 计算机信息系统 安全保护等级划分准则</w:t>
      </w:r>
    </w:p>
    <w:p w14:paraId="3846C334">
      <w:pPr>
        <w:pStyle w:val="17"/>
        <w:widowControl/>
        <w:numPr>
          <w:ilvl w:val="0"/>
          <w:numId w:val="4"/>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网络安全等级保护测评高风险判定指引（2020定稿）</w:t>
      </w:r>
    </w:p>
    <w:p w14:paraId="0DBB864C">
      <w:pPr>
        <w:widowControl/>
        <w:spacing w:line="360" w:lineRule="auto"/>
        <w:ind w:firstLine="480" w:firstLineChars="200"/>
        <w:jc w:val="left"/>
        <w:rPr>
          <w:rFonts w:ascii="仿宋_GB2312" w:hAnsi="等线" w:eastAsia="仿宋_GB2312" w:cs="宋体"/>
          <w:color w:val="000000"/>
          <w:kern w:val="0"/>
          <w:sz w:val="24"/>
        </w:rPr>
      </w:pPr>
    </w:p>
    <w:p w14:paraId="6E1BD45E">
      <w:pPr>
        <w:pStyle w:val="3"/>
        <w:rPr>
          <w:rFonts w:ascii="仿宋" w:hAnsi="仿宋"/>
          <w:sz w:val="24"/>
        </w:rPr>
      </w:pPr>
      <w:r>
        <w:rPr>
          <w:rFonts w:hint="eastAsia" w:ascii="仿宋" w:hAnsi="仿宋"/>
          <w:sz w:val="24"/>
        </w:rPr>
        <w:t>5.2.测评内容简述：</w:t>
      </w:r>
    </w:p>
    <w:p w14:paraId="3CAF1448">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依据《中华人民共和国网络安全法》等国家相关法律、标准要求，</w:t>
      </w:r>
      <w:r>
        <w:rPr>
          <w:rFonts w:hint="eastAsia" w:ascii="仿宋_GB2312" w:hAnsi="等线" w:eastAsia="仿宋_GB2312" w:cs="宋体"/>
          <w:color w:val="000000" w:themeColor="text1"/>
          <w:kern w:val="0"/>
          <w:sz w:val="24"/>
          <w14:textFill>
            <w14:solidFill>
              <w14:schemeClr w14:val="tx1"/>
            </w14:solidFill>
          </w14:textFill>
        </w:rPr>
        <w:t>对以上</w:t>
      </w:r>
      <w:r>
        <w:rPr>
          <w:rFonts w:hint="eastAsia" w:ascii="仿宋_GB2312" w:hAnsi="等线" w:eastAsia="仿宋_GB2312" w:cs="宋体"/>
          <w:color w:val="000000" w:themeColor="text1"/>
          <w:kern w:val="0"/>
          <w:sz w:val="24"/>
          <w:lang w:val="en-US" w:eastAsia="zh-CN"/>
          <w14:textFill>
            <w14:solidFill>
              <w14:schemeClr w14:val="tx1"/>
            </w14:solidFill>
          </w14:textFill>
        </w:rPr>
        <w:t>1</w:t>
      </w:r>
      <w:r>
        <w:rPr>
          <w:rFonts w:hint="eastAsia" w:ascii="仿宋_GB2312" w:hAnsi="等线" w:eastAsia="仿宋_GB2312" w:cs="宋体"/>
          <w:color w:val="000000"/>
          <w:kern w:val="0"/>
          <w:sz w:val="24"/>
        </w:rPr>
        <w:t>个三级，并出具《等级测评报告》。若首次测评后被测信息系统需要进行整改，在约定的整改期限内提供复测服务。</w:t>
      </w:r>
    </w:p>
    <w:p w14:paraId="23A9EAFF">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服务方式：现场和远程</w:t>
      </w:r>
    </w:p>
    <w:p w14:paraId="48A8EE23">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交付成果：测评报告。</w:t>
      </w:r>
    </w:p>
    <w:p w14:paraId="13C482B8">
      <w:pPr>
        <w:pStyle w:val="3"/>
        <w:rPr>
          <w:rFonts w:ascii="仿宋" w:hAnsi="仿宋"/>
          <w:sz w:val="24"/>
        </w:rPr>
      </w:pPr>
      <w:r>
        <w:rPr>
          <w:rFonts w:hint="eastAsia" w:ascii="仿宋" w:hAnsi="仿宋"/>
          <w:sz w:val="24"/>
        </w:rPr>
        <w:t>5.3.测评内容和方法：</w:t>
      </w:r>
    </w:p>
    <w:p w14:paraId="74D783B0">
      <w:pPr>
        <w:pStyle w:val="17"/>
        <w:widowControl/>
        <w:numPr>
          <w:ilvl w:val="0"/>
          <w:numId w:val="5"/>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定级备案</w:t>
      </w:r>
    </w:p>
    <w:p w14:paraId="0AE3F5A5">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协助采购人对测评范围内未定级、未备案的系统形成定级、备案相关材料，组织开展专家评审会，完成定级备案等相关服务工作。</w:t>
      </w:r>
    </w:p>
    <w:p w14:paraId="66537469">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服务时间：7*24小时</w:t>
      </w:r>
    </w:p>
    <w:p w14:paraId="2AA5C633">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服务方式：现场</w:t>
      </w:r>
    </w:p>
    <w:p w14:paraId="34B15524">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交付成果：备案证明。</w:t>
      </w:r>
    </w:p>
    <w:p w14:paraId="121C0BEA">
      <w:pPr>
        <w:pStyle w:val="17"/>
        <w:widowControl/>
        <w:numPr>
          <w:ilvl w:val="0"/>
          <w:numId w:val="5"/>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测评服务范围</w:t>
      </w:r>
    </w:p>
    <w:p w14:paraId="5901CE92">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等级测评的现场实施过程由单元测评和整体测评两部分组成。</w:t>
      </w:r>
    </w:p>
    <w:p w14:paraId="355EAA94">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对应《信息安全技术网络安全等级保护基本要求》各安全控制点的测评称为单元测评，具体可分为安全物理环境、安全通信网络、安全区域边界、安全计算环境、安全管理中心、安全管理制度、安全管理机构、安全管理人员、安全建设管理和安全运维管理10个测评任务。同时由于业务目标的不同、使用技术的不同、应用场景的不同等因素，不同的等级保护对象会以不同的形态出现，表现形式可能称之为基础信息网络、信息系统(包含采用移动互联等技术的系统)、云计算平台/系统、大数据平台/系统、物联网、工业控制系统等。为了便于实现对不同级别的和不同形态的等级保护对象的共性化和个性化保护，等级保护要求需要增加安全扩展要求：云计算安全扩展要求、移动互联安全扩展要求、物联网安全扩展要求、工业控制系统安全扩展要求。</w:t>
      </w:r>
    </w:p>
    <w:p w14:paraId="0BC2CD0E">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整体测评是在单元测评的基础上，通过进一步分析信息系统安全保护功能的整体相关性，对信息系统实施的综合安全测评。</w:t>
      </w:r>
    </w:p>
    <w:p w14:paraId="4B414B08">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依据《信息安全技术 网络安全等级保护基本要求》，测评内容包括但不限于：安全物理环境、安全通信网络、安全区域边界、安全计算环境、安全管理中心、安全管理制度、安全管理机构、安全人员管理、安全建设管理、安全运维管理等十个层面开展测评工作。</w:t>
      </w:r>
    </w:p>
    <w:p w14:paraId="22E84D8C">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（1）安全物理环境测评内容：</w:t>
      </w:r>
    </w:p>
    <w:p w14:paraId="44F3ACF4">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物理位置的选择、物理访问控制、防盗窃和防破坏、防雷击、防火、防水和防潮、防静电、温湿度控制、电力供应、电磁防护。</w:t>
      </w:r>
    </w:p>
    <w:p w14:paraId="533EF637">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（2）安全通信网络测评内容：</w:t>
      </w:r>
    </w:p>
    <w:p w14:paraId="31787333">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网络架构、通信传输、可信验证。</w:t>
      </w:r>
    </w:p>
    <w:p w14:paraId="74E82F7C">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）安全区域边界测评内容：</w:t>
      </w:r>
    </w:p>
    <w:p w14:paraId="0A729E96">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边界防护、访问控制、入侵防范、恶意代码和垃圾邮件防范、安全审计、可信验证。</w:t>
      </w:r>
    </w:p>
    <w:p w14:paraId="6A3AA1C1">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）安全计算环境测评内容：</w:t>
      </w:r>
    </w:p>
    <w:p w14:paraId="665C4AF8">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身份鉴别、访问控制、安全审计、入侵防范、恶意代码防范、可信验证、数据完整性、数据保密性、数据备份恢复、剩余信息保护、个人信息保护。</w:t>
      </w:r>
    </w:p>
    <w:p w14:paraId="7DB4EE79">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5</w:t>
      </w:r>
      <w:r>
        <w:rPr>
          <w:rFonts w:hint="eastAsia" w:ascii="仿宋_GB2312" w:hAnsi="等线" w:eastAsia="仿宋_GB2312" w:cs="宋体"/>
          <w:color w:val="000000"/>
          <w:kern w:val="0"/>
          <w:sz w:val="24"/>
        </w:rPr>
        <w:t>）安全管理中心测评内容：</w:t>
      </w:r>
    </w:p>
    <w:p w14:paraId="212D84C1">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系统管理、审计管理、安全管理、集中管控。</w:t>
      </w:r>
    </w:p>
    <w:p w14:paraId="6A4AB00F">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）安全管理制度测评内容：</w:t>
      </w:r>
    </w:p>
    <w:p w14:paraId="4E512862">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安全策略、管理制度、制定和发布、评审和修订。</w:t>
      </w:r>
    </w:p>
    <w:p w14:paraId="1A8717E3">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7</w:t>
      </w:r>
      <w:r>
        <w:rPr>
          <w:rFonts w:hint="eastAsia" w:ascii="仿宋_GB2312" w:hAnsi="等线" w:eastAsia="仿宋_GB2312" w:cs="宋体"/>
          <w:color w:val="000000"/>
          <w:kern w:val="0"/>
          <w:sz w:val="24"/>
        </w:rPr>
        <w:t>）安全管理机构测评内容：</w:t>
      </w:r>
    </w:p>
    <w:p w14:paraId="4BAC229A">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岗位设置、人员配备、授权和审批、沟通和合作、审核和检查。</w:t>
      </w:r>
    </w:p>
    <w:p w14:paraId="25B83E32">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）安全管理人员测评内容：</w:t>
      </w:r>
    </w:p>
    <w:p w14:paraId="2836CC3F">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人员录用、人员离岗、安全意识教育和培训、外部人员访问管理。</w:t>
      </w:r>
    </w:p>
    <w:p w14:paraId="59465CAF">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9</w:t>
      </w:r>
      <w:r>
        <w:rPr>
          <w:rFonts w:hint="eastAsia" w:ascii="仿宋_GB2312" w:hAnsi="等线" w:eastAsia="仿宋_GB2312" w:cs="宋体"/>
          <w:color w:val="000000"/>
          <w:kern w:val="0"/>
          <w:sz w:val="24"/>
        </w:rPr>
        <w:t>）安全建设管理测评内容：</w:t>
      </w:r>
    </w:p>
    <w:p w14:paraId="7B5E9092">
      <w:pPr>
        <w:widowControl/>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定级和备案、安全方案设计、产品采购和使用、自行软件开发、外包软件开发、工程实施、测试验收、系统交付、等级测评、服务供应商选择。</w:t>
      </w:r>
    </w:p>
    <w:p w14:paraId="3E2A9223">
      <w:pPr>
        <w:widowControl/>
        <w:numPr>
          <w:ilvl w:val="0"/>
          <w:numId w:val="6"/>
        </w:numPr>
        <w:spacing w:line="360" w:lineRule="auto"/>
        <w:ind w:firstLine="480" w:firstLineChars="20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安全运维管理测评内容：环境管理、资产管理、介质管理、设备维护管理、漏洞和风险管理、网络和系统安全管理、恶意代码防范管理、配置管理、密码管理、变更管理、备份与恢复管理、安全事件处置、应急预案管理、外包运维管理。</w:t>
      </w:r>
    </w:p>
    <w:p w14:paraId="0235270E">
      <w:pPr>
        <w:pStyle w:val="3"/>
        <w:rPr>
          <w:rFonts w:ascii="仿宋" w:hAnsi="仿宋"/>
          <w:sz w:val="24"/>
        </w:rPr>
      </w:pPr>
      <w:r>
        <w:rPr>
          <w:rFonts w:hint="eastAsia" w:ascii="仿宋" w:hAnsi="仿宋"/>
          <w:sz w:val="24"/>
        </w:rPr>
        <w:t>5.4.测评工作过程：</w:t>
      </w:r>
    </w:p>
    <w:p w14:paraId="4C27EB7F">
      <w:pPr>
        <w:pStyle w:val="17"/>
        <w:widowControl/>
        <w:numPr>
          <w:ilvl w:val="0"/>
          <w:numId w:val="7"/>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测评准备服务</w:t>
      </w:r>
    </w:p>
    <w:p w14:paraId="328255CF">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信息收集、工具准备、工具接入作业指导书编制、编制测评计划书、调查问卷收集等；</w:t>
      </w:r>
    </w:p>
    <w:p w14:paraId="4D22BB8B">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资产调研：对信息系统运营使用单位所有网络设备、安全设备、服务器、存储阵列、机房设施等进行资产调研。</w:t>
      </w:r>
    </w:p>
    <w:p w14:paraId="48819910">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管理现状调研：对信息系统运营使用单位的管理制度进行系统调研。</w:t>
      </w:r>
    </w:p>
    <w:p w14:paraId="2ED9E549">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技术现状调研：对信息系统运营使用单位的网络拓扑、业务数据流拓扑、安全防护现状等进行系统调研。</w:t>
      </w:r>
    </w:p>
    <w:p w14:paraId="783DFFA0">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应用系统调研：对信息系统运营使用单位的业务细信息系统进行系统调研。本预算以单个信息系统为参考进行估算。</w:t>
      </w:r>
    </w:p>
    <w:p w14:paraId="7D84A2B8">
      <w:pPr>
        <w:pStyle w:val="17"/>
        <w:widowControl/>
        <w:numPr>
          <w:ilvl w:val="0"/>
          <w:numId w:val="7"/>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测评方案编制</w:t>
      </w:r>
    </w:p>
    <w:p w14:paraId="646367F3">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测评方案编制、测评对象确认、测评指标确认、测评内容确认、整体测评方法确认、风险分析方法确认、开发指导书、编制结果记录表等；</w:t>
      </w:r>
    </w:p>
    <w:p w14:paraId="5497BFE6">
      <w:pPr>
        <w:pStyle w:val="17"/>
        <w:widowControl/>
        <w:numPr>
          <w:ilvl w:val="0"/>
          <w:numId w:val="7"/>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现场测评</w:t>
      </w:r>
    </w:p>
    <w:p w14:paraId="5CA9C69A">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 xml:space="preserve">现场根据测评指导书对运营使用单位的信息系统进行现场测评并进行结果证据收集确认；通过访谈、检查、测试、分析等方法。 </w:t>
      </w:r>
    </w:p>
    <w:p w14:paraId="7834D8EF">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漏洞扫描及验证：通过漏扫工具接入测试验证，检查网络层面漏洞、主机层面漏洞等，针对漏扫结果进行验证威胁性，验证其安全防御体系的有效性。</w:t>
      </w:r>
    </w:p>
    <w:p w14:paraId="1E73449C">
      <w:pPr>
        <w:pStyle w:val="17"/>
        <w:widowControl/>
        <w:numPr>
          <w:ilvl w:val="0"/>
          <w:numId w:val="8"/>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等保渗透测试：依据等保标准，对应用安全的各项指标进行渗透测试及验证漏洞扫描工具发现的漏洞威胁情况，包括信息收集、渗透测试、报告编制。</w:t>
      </w:r>
    </w:p>
    <w:p w14:paraId="471BCAD8">
      <w:pPr>
        <w:pStyle w:val="17"/>
        <w:widowControl/>
        <w:numPr>
          <w:ilvl w:val="0"/>
          <w:numId w:val="7"/>
        </w:numPr>
        <w:spacing w:line="360" w:lineRule="auto"/>
        <w:ind w:firstLineChars="0"/>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报告编制与评审</w:t>
      </w:r>
    </w:p>
    <w:p w14:paraId="41055A74">
      <w:pPr>
        <w:pStyle w:val="17"/>
        <w:widowControl/>
        <w:numPr>
          <w:ilvl w:val="0"/>
          <w:numId w:val="8"/>
        </w:numPr>
        <w:spacing w:line="360" w:lineRule="auto"/>
        <w:ind w:firstLineChars="0"/>
        <w:jc w:val="left"/>
      </w:pPr>
      <w:r>
        <w:rPr>
          <w:rFonts w:hint="eastAsia" w:ascii="仿宋_GB2312" w:hAnsi="等线" w:eastAsia="仿宋_GB2312" w:cs="宋体"/>
          <w:color w:val="000000"/>
          <w:kern w:val="0"/>
          <w:sz w:val="24"/>
        </w:rPr>
        <w:t>依据单元测评结果汇总进行整体测评分析、风险分析、结果汇总、结论形成、结果判定、整改建议等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7647"/>
    <w:multiLevelType w:val="singleLevel"/>
    <w:tmpl w:val="84247647"/>
    <w:lvl w:ilvl="0" w:tentative="0">
      <w:start w:val="10"/>
      <w:numFmt w:val="decimal"/>
      <w:suff w:val="nothing"/>
      <w:lvlText w:val="（%1）"/>
      <w:lvlJc w:val="left"/>
    </w:lvl>
  </w:abstractNum>
  <w:abstractNum w:abstractNumId="1">
    <w:nsid w:val="0E90662E"/>
    <w:multiLevelType w:val="multilevel"/>
    <w:tmpl w:val="0E90662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19364DB"/>
    <w:multiLevelType w:val="multilevel"/>
    <w:tmpl w:val="419364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F1F2DA0"/>
    <w:multiLevelType w:val="multilevel"/>
    <w:tmpl w:val="4F1F2DA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1514F9D"/>
    <w:multiLevelType w:val="multilevel"/>
    <w:tmpl w:val="51514F9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6741767A"/>
    <w:multiLevelType w:val="multilevel"/>
    <w:tmpl w:val="6741767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6C1F65"/>
    <w:multiLevelType w:val="multilevel"/>
    <w:tmpl w:val="7B6C1F6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C8D03D1"/>
    <w:multiLevelType w:val="multilevel"/>
    <w:tmpl w:val="7C8D03D1"/>
    <w:lvl w:ilvl="0" w:tentative="0">
      <w:start w:val="1"/>
      <w:numFmt w:val="decimal"/>
      <w:lvlText w:val="%1）"/>
      <w:lvlJc w:val="left"/>
      <w:pPr>
        <w:ind w:left="90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1"/>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mY2NkMzdkMWExNThmYWM4YmMzM2Y3NTY2Y2VkYTAifQ=="/>
  </w:docVars>
  <w:rsids>
    <w:rsidRoot w:val="00703B01"/>
    <w:rsid w:val="00000666"/>
    <w:rsid w:val="00036127"/>
    <w:rsid w:val="00044B2B"/>
    <w:rsid w:val="00045198"/>
    <w:rsid w:val="00046116"/>
    <w:rsid w:val="00070919"/>
    <w:rsid w:val="00092492"/>
    <w:rsid w:val="000E2D23"/>
    <w:rsid w:val="000E507D"/>
    <w:rsid w:val="0010186A"/>
    <w:rsid w:val="00107FF2"/>
    <w:rsid w:val="0011348C"/>
    <w:rsid w:val="0012501E"/>
    <w:rsid w:val="00177112"/>
    <w:rsid w:val="001A2168"/>
    <w:rsid w:val="00204A86"/>
    <w:rsid w:val="0020670A"/>
    <w:rsid w:val="002149A2"/>
    <w:rsid w:val="00242463"/>
    <w:rsid w:val="00275207"/>
    <w:rsid w:val="00283679"/>
    <w:rsid w:val="002A6AC6"/>
    <w:rsid w:val="002C11D9"/>
    <w:rsid w:val="002E2DA9"/>
    <w:rsid w:val="0030005A"/>
    <w:rsid w:val="0030227C"/>
    <w:rsid w:val="00306C77"/>
    <w:rsid w:val="00314D53"/>
    <w:rsid w:val="0034258D"/>
    <w:rsid w:val="00345642"/>
    <w:rsid w:val="00353983"/>
    <w:rsid w:val="0035640D"/>
    <w:rsid w:val="003A0B74"/>
    <w:rsid w:val="003A741F"/>
    <w:rsid w:val="003C6B2D"/>
    <w:rsid w:val="00402D64"/>
    <w:rsid w:val="004111D7"/>
    <w:rsid w:val="004179AE"/>
    <w:rsid w:val="004508EB"/>
    <w:rsid w:val="004B51EB"/>
    <w:rsid w:val="004C6925"/>
    <w:rsid w:val="004D1B4D"/>
    <w:rsid w:val="0050487E"/>
    <w:rsid w:val="00507FCA"/>
    <w:rsid w:val="00526F0D"/>
    <w:rsid w:val="005459EA"/>
    <w:rsid w:val="00551007"/>
    <w:rsid w:val="005569B7"/>
    <w:rsid w:val="00563025"/>
    <w:rsid w:val="005A21F5"/>
    <w:rsid w:val="005D3CFE"/>
    <w:rsid w:val="005F62B9"/>
    <w:rsid w:val="00604F02"/>
    <w:rsid w:val="00617F15"/>
    <w:rsid w:val="006278AE"/>
    <w:rsid w:val="0063140B"/>
    <w:rsid w:val="00660468"/>
    <w:rsid w:val="006A07E7"/>
    <w:rsid w:val="006A26BA"/>
    <w:rsid w:val="006A552E"/>
    <w:rsid w:val="006B16DD"/>
    <w:rsid w:val="006D03A8"/>
    <w:rsid w:val="006E6A26"/>
    <w:rsid w:val="00701616"/>
    <w:rsid w:val="00703B01"/>
    <w:rsid w:val="00711EFA"/>
    <w:rsid w:val="007309C2"/>
    <w:rsid w:val="00767DE9"/>
    <w:rsid w:val="00796863"/>
    <w:rsid w:val="007A3340"/>
    <w:rsid w:val="007A3627"/>
    <w:rsid w:val="007C09F1"/>
    <w:rsid w:val="007E67C9"/>
    <w:rsid w:val="007F5D73"/>
    <w:rsid w:val="00802C84"/>
    <w:rsid w:val="00803B4D"/>
    <w:rsid w:val="00807D7E"/>
    <w:rsid w:val="00872FB2"/>
    <w:rsid w:val="00873682"/>
    <w:rsid w:val="00874C25"/>
    <w:rsid w:val="008A0E10"/>
    <w:rsid w:val="008A25D7"/>
    <w:rsid w:val="008A41FE"/>
    <w:rsid w:val="008A7502"/>
    <w:rsid w:val="008C619B"/>
    <w:rsid w:val="008F0E75"/>
    <w:rsid w:val="008F0F6E"/>
    <w:rsid w:val="00913E2E"/>
    <w:rsid w:val="009268DF"/>
    <w:rsid w:val="009531BD"/>
    <w:rsid w:val="00977698"/>
    <w:rsid w:val="00992A45"/>
    <w:rsid w:val="009937DC"/>
    <w:rsid w:val="00997BEA"/>
    <w:rsid w:val="009F6DB4"/>
    <w:rsid w:val="00A14296"/>
    <w:rsid w:val="00A23346"/>
    <w:rsid w:val="00A4137D"/>
    <w:rsid w:val="00A559EF"/>
    <w:rsid w:val="00A80AD5"/>
    <w:rsid w:val="00A92F86"/>
    <w:rsid w:val="00AA27F0"/>
    <w:rsid w:val="00AA2E12"/>
    <w:rsid w:val="00AB4929"/>
    <w:rsid w:val="00AC7D8D"/>
    <w:rsid w:val="00AD4D9C"/>
    <w:rsid w:val="00AD6323"/>
    <w:rsid w:val="00B04E3A"/>
    <w:rsid w:val="00B14673"/>
    <w:rsid w:val="00B21E25"/>
    <w:rsid w:val="00B35F63"/>
    <w:rsid w:val="00B530AB"/>
    <w:rsid w:val="00B56E53"/>
    <w:rsid w:val="00B6199C"/>
    <w:rsid w:val="00B7253A"/>
    <w:rsid w:val="00B753AB"/>
    <w:rsid w:val="00B818EE"/>
    <w:rsid w:val="00B951E4"/>
    <w:rsid w:val="00BB7AB7"/>
    <w:rsid w:val="00BD6784"/>
    <w:rsid w:val="00BE161A"/>
    <w:rsid w:val="00C23892"/>
    <w:rsid w:val="00C34B17"/>
    <w:rsid w:val="00C46B17"/>
    <w:rsid w:val="00C477D0"/>
    <w:rsid w:val="00C95663"/>
    <w:rsid w:val="00CC362C"/>
    <w:rsid w:val="00CC4F24"/>
    <w:rsid w:val="00CD5834"/>
    <w:rsid w:val="00D02111"/>
    <w:rsid w:val="00D1650C"/>
    <w:rsid w:val="00D253D2"/>
    <w:rsid w:val="00D3181D"/>
    <w:rsid w:val="00D5001E"/>
    <w:rsid w:val="00D55FDC"/>
    <w:rsid w:val="00D64728"/>
    <w:rsid w:val="00D650D9"/>
    <w:rsid w:val="00D66568"/>
    <w:rsid w:val="00D7486E"/>
    <w:rsid w:val="00DB38CB"/>
    <w:rsid w:val="00DB5EC6"/>
    <w:rsid w:val="00DD295B"/>
    <w:rsid w:val="00DF4130"/>
    <w:rsid w:val="00E25EA7"/>
    <w:rsid w:val="00E347B6"/>
    <w:rsid w:val="00E452BB"/>
    <w:rsid w:val="00E67766"/>
    <w:rsid w:val="00E72613"/>
    <w:rsid w:val="00E93459"/>
    <w:rsid w:val="00EB2044"/>
    <w:rsid w:val="00EB5B50"/>
    <w:rsid w:val="00EC14D2"/>
    <w:rsid w:val="00EC51DD"/>
    <w:rsid w:val="00ED29DB"/>
    <w:rsid w:val="00F100A3"/>
    <w:rsid w:val="00F1688E"/>
    <w:rsid w:val="00F550EC"/>
    <w:rsid w:val="00F55894"/>
    <w:rsid w:val="00FB3985"/>
    <w:rsid w:val="00FD0D9D"/>
    <w:rsid w:val="00FD7EEE"/>
    <w:rsid w:val="00FF5193"/>
    <w:rsid w:val="11162CD7"/>
    <w:rsid w:val="1B2F598F"/>
    <w:rsid w:val="362951A4"/>
    <w:rsid w:val="37D06210"/>
    <w:rsid w:val="3E250A33"/>
    <w:rsid w:val="42EE4796"/>
    <w:rsid w:val="5A8A32A0"/>
    <w:rsid w:val="5BD1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2"/>
    <w:basedOn w:val="1"/>
    <w:next w:val="1"/>
    <w:link w:val="15"/>
    <w:qFormat/>
    <w:uiPriority w:val="0"/>
    <w:pPr>
      <w:keepNext/>
      <w:keepLines/>
      <w:spacing w:before="140" w:after="140" w:line="413" w:lineRule="auto"/>
      <w:jc w:val="center"/>
      <w:outlineLvl w:val="1"/>
    </w:pPr>
    <w:rPr>
      <w:rFonts w:ascii="Arial" w:hAnsi="Arial"/>
      <w:b/>
      <w:sz w:val="28"/>
    </w:rPr>
  </w:style>
  <w:style w:type="paragraph" w:styleId="3">
    <w:name w:val="heading 3"/>
    <w:basedOn w:val="1"/>
    <w:next w:val="1"/>
    <w:link w:val="16"/>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Date"/>
    <w:basedOn w:val="1"/>
    <w:next w:val="1"/>
    <w:link w:val="21"/>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table" w:styleId="10">
    <w:name w:val="Table Grid"/>
    <w:basedOn w:val="9"/>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2 字符"/>
    <w:basedOn w:val="11"/>
    <w:link w:val="2"/>
    <w:autoRedefine/>
    <w:qFormat/>
    <w:uiPriority w:val="0"/>
    <w:rPr>
      <w:rFonts w:ascii="Arial" w:hAnsi="Arial" w:eastAsia="仿宋" w:cs="Times New Roman"/>
      <w:b/>
      <w:sz w:val="28"/>
      <w:szCs w:val="24"/>
    </w:rPr>
  </w:style>
  <w:style w:type="character" w:customStyle="1" w:styleId="16">
    <w:name w:val="标题 3 字符"/>
    <w:basedOn w:val="11"/>
    <w:link w:val="3"/>
    <w:qFormat/>
    <w:uiPriority w:val="9"/>
    <w:rPr>
      <w:rFonts w:ascii="Times New Roman" w:hAnsi="Times New Roman" w:eastAsia="仿宋" w:cs="Times New Roman"/>
      <w:b/>
      <w:bCs/>
      <w:sz w:val="32"/>
      <w:szCs w:val="32"/>
    </w:rPr>
  </w:style>
  <w:style w:type="paragraph" w:styleId="17">
    <w:name w:val="List Paragraph"/>
    <w:basedOn w:val="1"/>
    <w:qFormat/>
    <w:uiPriority w:val="34"/>
    <w:pPr>
      <w:ind w:firstLine="420" w:firstLineChars="200"/>
    </w:pPr>
  </w:style>
  <w:style w:type="paragraph" w:customStyle="1" w:styleId="18">
    <w:name w:val="修订1"/>
    <w:hidden/>
    <w:semiHidden/>
    <w:qFormat/>
    <w:uiPriority w:val="99"/>
    <w:rPr>
      <w:rFonts w:ascii="Times New Roman" w:hAnsi="Times New Roman" w:eastAsia="仿宋" w:cs="Times New Roman"/>
      <w:kern w:val="2"/>
      <w:sz w:val="21"/>
      <w:szCs w:val="24"/>
      <w:lang w:val="en-US" w:eastAsia="zh-CN" w:bidi="ar-SA"/>
    </w:rPr>
  </w:style>
  <w:style w:type="character" w:customStyle="1" w:styleId="19">
    <w:name w:val="批注文字 字符"/>
    <w:basedOn w:val="11"/>
    <w:link w:val="4"/>
    <w:autoRedefine/>
    <w:qFormat/>
    <w:uiPriority w:val="99"/>
    <w:rPr>
      <w:rFonts w:ascii="Times New Roman" w:hAnsi="Times New Roman" w:eastAsia="仿宋" w:cs="Times New Roman"/>
      <w:szCs w:val="24"/>
    </w:rPr>
  </w:style>
  <w:style w:type="character" w:customStyle="1" w:styleId="20">
    <w:name w:val="批注主题 字符"/>
    <w:basedOn w:val="19"/>
    <w:link w:val="8"/>
    <w:semiHidden/>
    <w:qFormat/>
    <w:uiPriority w:val="99"/>
    <w:rPr>
      <w:rFonts w:ascii="Times New Roman" w:hAnsi="Times New Roman" w:eastAsia="仿宋" w:cs="Times New Roman"/>
      <w:b/>
      <w:bCs/>
      <w:szCs w:val="24"/>
    </w:rPr>
  </w:style>
  <w:style w:type="character" w:customStyle="1" w:styleId="21">
    <w:name w:val="日期 字符"/>
    <w:basedOn w:val="11"/>
    <w:link w:val="5"/>
    <w:semiHidden/>
    <w:qFormat/>
    <w:uiPriority w:val="99"/>
    <w:rPr>
      <w:rFonts w:ascii="Times New Roman" w:hAnsi="Times New Roman" w:eastAsia="仿宋"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234C-23C1-43D8-A5AD-156CAD437726}">
  <ds:schemaRefs/>
</ds:datastoreItem>
</file>

<file path=docProps/app.xml><?xml version="1.0" encoding="utf-8"?>
<Properties xmlns="http://schemas.openxmlformats.org/officeDocument/2006/extended-properties" xmlns:vt="http://schemas.openxmlformats.org/officeDocument/2006/docPropsVTypes">
  <Template>Normal</Template>
  <Pages>7</Pages>
  <Words>3357</Words>
  <Characters>3534</Characters>
  <Lines>51</Lines>
  <Paragraphs>14</Paragraphs>
  <TotalTime>416</TotalTime>
  <ScaleCrop>false</ScaleCrop>
  <LinksUpToDate>false</LinksUpToDate>
  <CharactersWithSpaces>3567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2022-10-12T03:37:00Z</dcterms:created>
  <dc:creator>XW</dc:creator>
  <cp:lastModifiedBy>sun</cp:lastModifiedBy>
  <dcterms:modified xsi:type="dcterms:W3CDTF">2025-07-10T08:44:29Z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F090EFABDA7D4EC983C461BBB562D297_13</vt:lpwstr>
  </property>
  <property fmtid="{D5CDD505-2E9C-101B-9397-08002B2CF9AE}" pid="4" name="KSOTemplateDocerSaveRecord">
    <vt:lpwstr>eyJoZGlkIjoiYzBiMDAxNGQwZWZkNWUwMmRhYjZhZDVkYWFiYzk5NjAiLCJ1c2VySWQiOiI0NDQ4NzgxNTMifQ==</vt:lpwstr>
  </property>
</Properties>
</file>