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56384">
      <w:pPr>
        <w:numPr>
          <w:ilvl w:val="0"/>
          <w:numId w:val="2"/>
        </w:numPr>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货物技术参数要求</w:t>
      </w:r>
    </w:p>
    <w:p w14:paraId="579A71CE">
      <w:pPr>
        <w:pStyle w:val="2"/>
        <w:numPr>
          <w:ilvl w:val="0"/>
          <w:numId w:val="3"/>
        </w:numPr>
        <w:spacing w:before="0" w:after="0" w:line="400" w:lineRule="exact"/>
        <w:ind w:hanging="5"/>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医保刷脸终端软件功能要求</w:t>
      </w:r>
    </w:p>
    <w:p w14:paraId="0E860DC9">
      <w:pPr>
        <w:numPr>
          <w:ilvl w:val="0"/>
          <w:numId w:val="4"/>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医保电子凭证激活</w:t>
      </w:r>
      <w:r>
        <w:rPr>
          <w:rFonts w:hint="eastAsia" w:ascii="Times New Roman" w:hAnsi="Times New Roman" w:eastAsia="仿宋"/>
          <w:color w:val="auto"/>
          <w:sz w:val="24"/>
          <w:szCs w:val="24"/>
          <w:highlight w:val="none"/>
          <w:lang w:eastAsia="zh-CN"/>
        </w:rPr>
        <w:t>：患者通过识别身份证或人脸识别可完成医保电子凭证的激活。</w:t>
      </w:r>
    </w:p>
    <w:p w14:paraId="68C57C10">
      <w:pPr>
        <w:numPr>
          <w:ilvl w:val="0"/>
          <w:numId w:val="4"/>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核实参保身份</w:t>
      </w:r>
      <w:r>
        <w:rPr>
          <w:rFonts w:hint="eastAsia" w:ascii="Times New Roman" w:hAnsi="Times New Roman" w:eastAsia="仿宋"/>
          <w:color w:val="auto"/>
          <w:sz w:val="24"/>
          <w:szCs w:val="24"/>
          <w:highlight w:val="none"/>
          <w:lang w:eastAsia="zh-CN"/>
        </w:rPr>
        <w:t>：患者可通过展示医保电子凭证码或刷脸完成参保身份的核实。</w:t>
      </w:r>
    </w:p>
    <w:p w14:paraId="13F4146E">
      <w:pPr>
        <w:numPr>
          <w:ilvl w:val="0"/>
          <w:numId w:val="4"/>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医保结算支付</w:t>
      </w:r>
      <w:r>
        <w:rPr>
          <w:rFonts w:hint="eastAsia" w:ascii="Times New Roman" w:hAnsi="Times New Roman" w:eastAsia="仿宋"/>
          <w:color w:val="auto"/>
          <w:sz w:val="24"/>
          <w:szCs w:val="24"/>
          <w:highlight w:val="none"/>
          <w:lang w:eastAsia="zh-CN"/>
        </w:rPr>
        <w:t>：患者核实身份后通过与医保系统和院内系统数据的交互完成医保部分的结算。</w:t>
      </w:r>
    </w:p>
    <w:p w14:paraId="365B491E">
      <w:pPr>
        <w:numPr>
          <w:ilvl w:val="0"/>
          <w:numId w:val="4"/>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自费结算支付</w:t>
      </w:r>
      <w:r>
        <w:rPr>
          <w:rFonts w:hint="eastAsia" w:ascii="Times New Roman" w:hAnsi="Times New Roman" w:eastAsia="仿宋"/>
          <w:color w:val="auto"/>
          <w:sz w:val="24"/>
          <w:szCs w:val="24"/>
          <w:highlight w:val="none"/>
          <w:lang w:eastAsia="zh-CN"/>
        </w:rPr>
        <w:t>：患者的自费部分可通过扫描微信和支付宝的移动支付来完成结算。</w:t>
      </w:r>
    </w:p>
    <w:p w14:paraId="61384689">
      <w:pPr>
        <w:numPr>
          <w:ilvl w:val="0"/>
          <w:numId w:val="4"/>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支付结果展示</w:t>
      </w:r>
      <w:r>
        <w:rPr>
          <w:rFonts w:hint="eastAsia" w:ascii="Times New Roman" w:hAnsi="Times New Roman" w:eastAsia="仿宋"/>
          <w:color w:val="auto"/>
          <w:sz w:val="24"/>
          <w:szCs w:val="24"/>
          <w:highlight w:val="none"/>
          <w:lang w:eastAsia="zh-CN"/>
        </w:rPr>
        <w:t>：患者完成结算后，可通过医保终端的界面看到支付结果。</w:t>
      </w:r>
    </w:p>
    <w:p w14:paraId="7C5BB5EF">
      <w:pPr>
        <w:pStyle w:val="2"/>
        <w:numPr>
          <w:ilvl w:val="0"/>
          <w:numId w:val="3"/>
        </w:numPr>
        <w:spacing w:before="0" w:after="0" w:line="400" w:lineRule="exact"/>
        <w:ind w:hanging="5"/>
        <w:rPr>
          <w:rFonts w:hint="eastAsia" w:ascii="Times New Roman" w:hAnsi="Times New Roman" w:eastAsia="仿宋" w:cs="Times New Roman"/>
          <w:b/>
          <w:bCs/>
          <w:color w:val="auto"/>
          <w:sz w:val="24"/>
          <w:szCs w:val="24"/>
          <w:highlight w:val="none"/>
        </w:rPr>
      </w:pPr>
      <w:r>
        <w:rPr>
          <w:rFonts w:hint="eastAsia" w:ascii="Times New Roman" w:hAnsi="Times New Roman" w:eastAsia="仿宋" w:cs="Times New Roman"/>
          <w:b/>
          <w:bCs/>
          <w:color w:val="auto"/>
          <w:sz w:val="24"/>
          <w:szCs w:val="24"/>
          <w:highlight w:val="none"/>
        </w:rPr>
        <w:t>医保业务综合服务终端参数</w:t>
      </w:r>
    </w:p>
    <w:p w14:paraId="342B1725">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要求支持医保电子凭证扫码应用、刷脸应用和医保支付、身份识别及核验。</w:t>
      </w:r>
    </w:p>
    <w:p w14:paraId="4894C4A0">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显示器</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rPr>
        <w:t>尺寸：8寸竖屏，分辨率：800*1280，电容式触控屏。</w:t>
      </w:r>
    </w:p>
    <w:p w14:paraId="6C99BEEE">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处理器</w:t>
      </w:r>
      <w:r>
        <w:rPr>
          <w:rFonts w:hint="eastAsia" w:ascii="Times New Roman" w:hAnsi="Times New Roman" w:eastAsia="仿宋"/>
          <w:color w:val="auto"/>
          <w:sz w:val="24"/>
          <w:szCs w:val="24"/>
          <w:highlight w:val="none"/>
          <w:lang w:eastAsia="zh-CN"/>
        </w:rPr>
        <w:t>：8核 2.0GHz。</w:t>
      </w:r>
    </w:p>
    <w:p w14:paraId="00B54925">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存储器</w:t>
      </w:r>
      <w:r>
        <w:rPr>
          <w:rFonts w:hint="eastAsia" w:ascii="Times New Roman" w:hAnsi="Times New Roman" w:eastAsia="仿宋"/>
          <w:color w:val="auto"/>
          <w:sz w:val="24"/>
          <w:szCs w:val="24"/>
          <w:highlight w:val="none"/>
          <w:lang w:eastAsia="zh-CN"/>
        </w:rPr>
        <w:t>：4GB+64GB。</w:t>
      </w:r>
    </w:p>
    <w:p w14:paraId="078DE870">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网络</w:t>
      </w:r>
      <w:r>
        <w:rPr>
          <w:rFonts w:hint="eastAsia" w:ascii="Times New Roman" w:hAnsi="Times New Roman" w:eastAsia="仿宋"/>
          <w:color w:val="auto"/>
          <w:sz w:val="24"/>
          <w:szCs w:val="24"/>
          <w:highlight w:val="none"/>
          <w:lang w:eastAsia="zh-CN"/>
        </w:rPr>
        <w:t>：WIFI：2.4G/5G双频，通过3G/4G网络专线或GRE方式接入医保业务区网络。</w:t>
      </w:r>
    </w:p>
    <w:p w14:paraId="20275786">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人脸识别</w:t>
      </w:r>
      <w:r>
        <w:rPr>
          <w:rFonts w:hint="eastAsia" w:ascii="Times New Roman" w:hAnsi="Times New Roman" w:eastAsia="仿宋"/>
          <w:color w:val="auto"/>
          <w:sz w:val="24"/>
          <w:szCs w:val="24"/>
          <w:highlight w:val="none"/>
          <w:lang w:eastAsia="zh-CN"/>
        </w:rPr>
        <w:t>：基于3D 结构光摄像头。具备人脸识别功能并能通过人脸识别确认用户身份。</w:t>
      </w:r>
    </w:p>
    <w:p w14:paraId="34A12D20">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蓝牙</w:t>
      </w:r>
      <w:r>
        <w:rPr>
          <w:rFonts w:hint="eastAsia" w:ascii="Times New Roman" w:hAnsi="Times New Roman" w:eastAsia="仿宋"/>
          <w:color w:val="auto"/>
          <w:sz w:val="24"/>
          <w:szCs w:val="24"/>
          <w:highlight w:val="none"/>
          <w:lang w:eastAsia="zh-CN"/>
        </w:rPr>
        <w:t>：4.2频率范围：2400-2483.5MHz；发射功率：≤20dBm（EIRP）。</w:t>
      </w:r>
    </w:p>
    <w:p w14:paraId="58408DBD">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二维码识读</w:t>
      </w:r>
      <w:r>
        <w:rPr>
          <w:rFonts w:hint="eastAsia" w:ascii="Times New Roman" w:hAnsi="Times New Roman" w:eastAsia="仿宋"/>
          <w:color w:val="auto"/>
          <w:sz w:val="24"/>
          <w:szCs w:val="24"/>
          <w:highlight w:val="none"/>
          <w:lang w:eastAsia="zh-CN"/>
        </w:rPr>
        <w:t>：传感器；支持码制：符合国际、国内通用二维码标准识读精度：一维码≥5mil；二维码≥7.5mil。</w:t>
      </w:r>
    </w:p>
    <w:p w14:paraId="2BA76C17">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物理按键</w:t>
      </w:r>
      <w:r>
        <w:rPr>
          <w:rFonts w:hint="eastAsia" w:ascii="Times New Roman" w:hAnsi="Times New Roman" w:eastAsia="仿宋"/>
          <w:color w:val="auto"/>
          <w:sz w:val="24"/>
          <w:szCs w:val="24"/>
          <w:highlight w:val="none"/>
          <w:lang w:eastAsia="zh-CN"/>
        </w:rPr>
        <w:t>：电源键（锁屏键）、音量加/减键。</w:t>
      </w:r>
    </w:p>
    <w:p w14:paraId="13E043E6">
      <w:pPr>
        <w:numPr>
          <w:ilvl w:val="0"/>
          <w:numId w:val="5"/>
        </w:numPr>
        <w:adjustRightInd w:val="0"/>
        <w:snapToGrid w:val="0"/>
        <w:spacing w:line="400" w:lineRule="exact"/>
        <w:ind w:firstLine="415"/>
        <w:outlineLvl w:val="2"/>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加密安全</w:t>
      </w:r>
      <w:r>
        <w:rPr>
          <w:rFonts w:hint="eastAsia" w:ascii="Times New Roman" w:hAnsi="Times New Roman" w:eastAsia="仿宋"/>
          <w:color w:val="auto"/>
          <w:sz w:val="24"/>
          <w:szCs w:val="24"/>
          <w:highlight w:val="none"/>
          <w:lang w:eastAsia="zh-CN"/>
        </w:rPr>
        <w:t>：内置国家密码管理部门核准硬件密码技术加固安全模块，终端部件防拆。</w:t>
      </w:r>
    </w:p>
    <w:p w14:paraId="1B211E6D">
      <w:pPr>
        <w:numPr>
          <w:ilvl w:val="0"/>
          <w:numId w:val="5"/>
        </w:numPr>
        <w:adjustRightInd w:val="0"/>
        <w:snapToGrid w:val="0"/>
        <w:spacing w:line="400" w:lineRule="exact"/>
        <w:ind w:firstLine="415"/>
        <w:outlineLvl w:val="2"/>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电源适配器</w:t>
      </w:r>
      <w:r>
        <w:rPr>
          <w:rFonts w:hint="eastAsia" w:ascii="Times New Roman" w:hAnsi="Times New Roman" w:eastAsia="仿宋" w:cs="Times New Roman"/>
          <w:color w:val="auto"/>
          <w:sz w:val="24"/>
          <w:szCs w:val="24"/>
          <w:highlight w:val="none"/>
          <w:lang w:eastAsia="zh-CN"/>
        </w:rPr>
        <w:t>：12V 3A，工作电压范围：AC110V～220V；工作频率 50~60Hz。</w:t>
      </w:r>
    </w:p>
    <w:p w14:paraId="1B5D7D2A">
      <w:pPr>
        <w:numPr>
          <w:ilvl w:val="0"/>
          <w:numId w:val="5"/>
        </w:numPr>
        <w:adjustRightInd w:val="0"/>
        <w:snapToGrid w:val="0"/>
        <w:spacing w:line="400" w:lineRule="exact"/>
        <w:ind w:firstLine="415"/>
        <w:outlineLvl w:val="2"/>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GPS上送</w:t>
      </w:r>
      <w:r>
        <w:rPr>
          <w:rFonts w:hint="eastAsia" w:ascii="Times New Roman" w:hAnsi="Times New Roman" w:eastAsia="仿宋" w:cs="Times New Roman"/>
          <w:color w:val="auto"/>
          <w:sz w:val="24"/>
          <w:szCs w:val="24"/>
          <w:highlight w:val="none"/>
          <w:lang w:eastAsia="zh-CN"/>
        </w:rPr>
        <w:t>：具备地理位置信息获取和上送能力，应对地理位置信息进行有效保护，防止被篡改。</w:t>
      </w:r>
    </w:p>
    <w:p w14:paraId="0A6B4781">
      <w:pPr>
        <w:numPr>
          <w:ilvl w:val="0"/>
          <w:numId w:val="5"/>
        </w:numPr>
        <w:adjustRightInd w:val="0"/>
        <w:snapToGrid w:val="0"/>
        <w:spacing w:line="400" w:lineRule="exact"/>
        <w:ind w:firstLine="415"/>
        <w:outlineLvl w:val="2"/>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扩展接口</w:t>
      </w:r>
      <w:r>
        <w:rPr>
          <w:rFonts w:hint="eastAsia" w:ascii="Times New Roman" w:hAnsi="Times New Roman" w:eastAsia="仿宋" w:cs="Times New Roman"/>
          <w:color w:val="auto"/>
          <w:sz w:val="24"/>
          <w:szCs w:val="24"/>
          <w:highlight w:val="none"/>
          <w:lang w:eastAsia="zh-CN"/>
        </w:rPr>
        <w:t>：支持USB*2、以太网、RS232。</w:t>
      </w:r>
    </w:p>
    <w:p w14:paraId="7C53FC46">
      <w:pPr>
        <w:numPr>
          <w:ilvl w:val="0"/>
          <w:numId w:val="5"/>
        </w:numPr>
        <w:adjustRightInd w:val="0"/>
        <w:snapToGrid w:val="0"/>
        <w:spacing w:line="400" w:lineRule="exact"/>
        <w:ind w:firstLine="415"/>
        <w:outlineLvl w:val="2"/>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防盗设计</w:t>
      </w:r>
      <w:r>
        <w:rPr>
          <w:rFonts w:hint="eastAsia" w:ascii="Times New Roman" w:hAnsi="Times New Roman" w:eastAsia="仿宋" w:cs="Times New Roman"/>
          <w:color w:val="auto"/>
          <w:sz w:val="24"/>
          <w:szCs w:val="24"/>
          <w:highlight w:val="none"/>
          <w:lang w:eastAsia="zh-CN"/>
        </w:rPr>
        <w:t>：须具备防盗锁孔设计，保障设备安全性。</w:t>
      </w:r>
    </w:p>
    <w:p w14:paraId="2C75A02B">
      <w:pPr>
        <w:numPr>
          <w:ilvl w:val="0"/>
          <w:numId w:val="5"/>
        </w:numPr>
        <w:adjustRightInd w:val="0"/>
        <w:snapToGrid w:val="0"/>
        <w:spacing w:line="400" w:lineRule="exact"/>
        <w:ind w:firstLine="415"/>
        <w:outlineLvl w:val="2"/>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具备产品认证证书</w:t>
      </w:r>
      <w:r>
        <w:rPr>
          <w:rFonts w:hint="eastAsia" w:ascii="Times New Roman" w:hAnsi="Times New Roman" w:eastAsia="仿宋" w:cs="Times New Roman"/>
          <w:color w:val="auto"/>
          <w:sz w:val="24"/>
          <w:szCs w:val="24"/>
          <w:highlight w:val="none"/>
          <w:lang w:eastAsia="zh-CN"/>
        </w:rPr>
        <w:t>：</w:t>
      </w:r>
    </w:p>
    <w:p w14:paraId="65E98A1B">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符合国家医保局《医保业务综合服务终端（Ⅲ类）技术规范》的相关要求。</w:t>
      </w:r>
    </w:p>
    <w:p w14:paraId="72916CF5">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产品须是国家医保局指定检测机构《国家医保业务综合服务终端(Ⅲ类)》检测认证通过检测的产品。</w:t>
      </w:r>
    </w:p>
    <w:p w14:paraId="547AF732">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Times New Roman" w:hAnsi="Times New Roman" w:eastAsia="仿宋" w:cs="Times New Roman"/>
          <w:color w:val="auto"/>
          <w:sz w:val="24"/>
          <w:szCs w:val="24"/>
          <w:highlight w:val="none"/>
          <w:u w:val="none"/>
          <w:lang w:val="en-US" w:eastAsia="zh-CN"/>
        </w:rPr>
        <w:t>提供CCC认证证书，认证制造商、型号须与投标产品制造商、型号一致。</w:t>
      </w:r>
    </w:p>
    <w:p w14:paraId="5685B47B">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u w:val="none"/>
          <w:lang w:val="en-US" w:eastAsia="zh-CN"/>
        </w:rPr>
      </w:pPr>
      <w:r>
        <w:rPr>
          <w:rFonts w:hint="eastAsia" w:eastAsia="仿宋" w:cs="Times New Roman"/>
          <w:color w:val="auto"/>
          <w:sz w:val="24"/>
          <w:szCs w:val="24"/>
          <w:highlight w:val="none"/>
          <w:u w:val="none"/>
          <w:lang w:val="en-US" w:eastAsia="zh-CN"/>
        </w:rPr>
        <w:t>4、</w:t>
      </w:r>
      <w:r>
        <w:rPr>
          <w:rFonts w:hint="eastAsia" w:ascii="Times New Roman" w:hAnsi="Times New Roman" w:eastAsia="仿宋" w:cs="Times New Roman"/>
          <w:color w:val="auto"/>
          <w:sz w:val="24"/>
          <w:szCs w:val="24"/>
          <w:highlight w:val="none"/>
          <w:u w:val="none"/>
          <w:lang w:val="en-US" w:eastAsia="zh-CN"/>
        </w:rPr>
        <w:t>提供触摸屏抗菌标准符合:GB21551.2-2010的检测报告，其中大肠杆菌抗菌率≥99.99%，金黄色葡萄球菌抗菌率≥99.99%，白色念珠菌抗菌率≥99.99%。(提供检测CNAS/CMA认证检测机构出具的检测报告，未提供做未响应处理)</w:t>
      </w:r>
      <w:bookmarkStart w:id="0" w:name="_GoBack"/>
      <w:bookmarkEnd w:id="0"/>
    </w:p>
    <w:p w14:paraId="60C81B6F">
      <w:pPr>
        <w:numPr>
          <w:ilvl w:val="-1"/>
          <w:numId w:val="0"/>
        </w:numPr>
        <w:adjustRightInd w:val="0"/>
        <w:snapToGrid w:val="0"/>
        <w:spacing w:line="400" w:lineRule="exact"/>
        <w:ind w:left="840" w:firstLine="0"/>
        <w:outlineLvl w:val="2"/>
        <w:rPr>
          <w:rFonts w:hint="default" w:ascii="Times New Roman" w:hAnsi="Times New Roman" w:eastAsia="仿宋" w:cs="Times New Roman"/>
          <w:color w:val="auto"/>
          <w:sz w:val="24"/>
          <w:szCs w:val="24"/>
          <w:highlight w:val="none"/>
          <w:u w:val="none"/>
          <w:lang w:val="en-US" w:eastAsia="zh-CN"/>
        </w:rPr>
      </w:pPr>
      <w:r>
        <w:rPr>
          <w:rFonts w:hint="eastAsia" w:eastAsia="仿宋" w:cs="Times New Roman"/>
          <w:color w:val="auto"/>
          <w:sz w:val="24"/>
          <w:szCs w:val="24"/>
          <w:highlight w:val="none"/>
          <w:u w:val="none"/>
          <w:lang w:val="en-US" w:eastAsia="zh-CN"/>
        </w:rPr>
        <w:t>5、</w:t>
      </w:r>
      <w:r>
        <w:rPr>
          <w:rFonts w:hint="eastAsia" w:ascii="Times New Roman" w:hAnsi="Times New Roman" w:eastAsia="仿宋" w:cs="Times New Roman"/>
          <w:color w:val="auto"/>
          <w:sz w:val="24"/>
          <w:szCs w:val="24"/>
          <w:highlight w:val="none"/>
          <w:u w:val="none"/>
          <w:lang w:val="en-US" w:eastAsia="zh-CN"/>
        </w:rPr>
        <w:t>提供外壳阻燃检测报告，符合GB4943.1-2011信息技术设备中的安全部分通用要求。(提供检测CNAS/CMA认证检测机构出具的检测报告，未提供做未响应处理)</w:t>
      </w:r>
    </w:p>
    <w:p w14:paraId="0E720AA0">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u w:val="none"/>
          <w:lang w:val="en-US" w:eastAsia="zh-CN"/>
        </w:rPr>
      </w:pPr>
      <w:r>
        <w:rPr>
          <w:rFonts w:hint="eastAsia" w:eastAsia="仿宋" w:cs="Times New Roman"/>
          <w:color w:val="auto"/>
          <w:sz w:val="24"/>
          <w:szCs w:val="24"/>
          <w:highlight w:val="none"/>
          <w:lang w:val="en-US" w:eastAsia="zh-CN"/>
        </w:rPr>
        <w:t>6</w:t>
      </w:r>
      <w:r>
        <w:rPr>
          <w:rFonts w:hint="eastAsia"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u w:val="none"/>
          <w:lang w:val="en-US" w:eastAsia="zh-CN"/>
        </w:rPr>
        <w:t>提供</w:t>
      </w:r>
      <w:r>
        <w:rPr>
          <w:rFonts w:hint="eastAsia" w:ascii="Times New Roman" w:hAnsi="Times New Roman" w:eastAsia="仿宋" w:cs="Times New Roman"/>
          <w:color w:val="auto"/>
          <w:sz w:val="24"/>
          <w:szCs w:val="24"/>
          <w:highlight w:val="none"/>
          <w:lang w:val="en-US" w:eastAsia="zh-CN"/>
        </w:rPr>
        <w:t>电信设备进网许可证，</w:t>
      </w:r>
      <w:r>
        <w:rPr>
          <w:rFonts w:hint="eastAsia" w:ascii="Times New Roman" w:hAnsi="Times New Roman" w:eastAsia="仿宋" w:cs="Times New Roman"/>
          <w:color w:val="auto"/>
          <w:sz w:val="24"/>
          <w:szCs w:val="24"/>
          <w:highlight w:val="none"/>
          <w:u w:val="none"/>
          <w:lang w:val="en-US" w:eastAsia="zh-CN"/>
        </w:rPr>
        <w:t>认证制造商、型号须与投标产品制造商、型号一致。</w:t>
      </w:r>
    </w:p>
    <w:p w14:paraId="3FFC50AA">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lang w:val="en-US" w:eastAsia="zh-CN"/>
        </w:rPr>
        <w:t>7、</w:t>
      </w:r>
      <w:r>
        <w:rPr>
          <w:rFonts w:hint="eastAsia" w:ascii="Times New Roman" w:hAnsi="Times New Roman" w:eastAsia="仿宋" w:cs="Times New Roman"/>
          <w:color w:val="auto"/>
          <w:sz w:val="24"/>
          <w:szCs w:val="24"/>
          <w:highlight w:val="none"/>
          <w:u w:val="none"/>
          <w:lang w:val="en-US" w:eastAsia="zh-CN"/>
        </w:rPr>
        <w:t>提供产品无线电发射设备型号核准证证书</w:t>
      </w:r>
      <w:r>
        <w:rPr>
          <w:rFonts w:hint="eastAsia"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u w:val="none"/>
          <w:lang w:val="en-US" w:eastAsia="zh-CN"/>
        </w:rPr>
        <w:t>认证制造商、型号须与投标产品制造商、型号一致。</w:t>
      </w:r>
    </w:p>
    <w:p w14:paraId="09C7C7BD">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u w:val="none"/>
          <w:lang w:val="en-US" w:eastAsia="zh-CN"/>
        </w:rPr>
      </w:pPr>
      <w:r>
        <w:rPr>
          <w:rFonts w:hint="eastAsia" w:eastAsia="仿宋" w:cs="Times New Roman"/>
          <w:color w:val="auto"/>
          <w:sz w:val="24"/>
          <w:szCs w:val="24"/>
          <w:highlight w:val="none"/>
          <w:lang w:val="en-US" w:eastAsia="zh-CN"/>
        </w:rPr>
        <w:t>8</w:t>
      </w:r>
      <w:r>
        <w:rPr>
          <w:rFonts w:hint="eastAsia"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u w:val="none"/>
          <w:lang w:val="en-US" w:eastAsia="zh-CN"/>
        </w:rPr>
        <w:t>提供</w:t>
      </w:r>
      <w:r>
        <w:rPr>
          <w:rFonts w:hint="eastAsia" w:ascii="Times New Roman" w:hAnsi="Times New Roman" w:eastAsia="仿宋" w:cs="Times New Roman"/>
          <w:color w:val="auto"/>
          <w:sz w:val="24"/>
          <w:szCs w:val="24"/>
          <w:highlight w:val="none"/>
          <w:lang w:val="en-US" w:eastAsia="zh-CN"/>
        </w:rPr>
        <w:t>社保卡读写器检测报告，</w:t>
      </w:r>
      <w:r>
        <w:rPr>
          <w:rFonts w:hint="eastAsia" w:ascii="Times New Roman" w:hAnsi="Times New Roman" w:eastAsia="仿宋" w:cs="Times New Roman"/>
          <w:color w:val="auto"/>
          <w:sz w:val="24"/>
          <w:szCs w:val="24"/>
          <w:highlight w:val="none"/>
          <w:u w:val="none"/>
          <w:lang w:val="en-US" w:eastAsia="zh-CN"/>
        </w:rPr>
        <w:t>符合《社会保障卡读写终端规范》，认证制造商、型号须与投标产品制造商、型号一致。（读写器为本机一体配件，非外设设备检测报告）</w:t>
      </w:r>
    </w:p>
    <w:p w14:paraId="413443B6">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u w:val="none"/>
          <w:lang w:val="en-US" w:eastAsia="zh-CN"/>
        </w:rPr>
      </w:pPr>
      <w:r>
        <w:rPr>
          <w:rFonts w:hint="eastAsia"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u w:val="none"/>
          <w:lang w:val="en-US" w:eastAsia="zh-CN"/>
        </w:rPr>
        <w:t>提供</w:t>
      </w:r>
      <w:r>
        <w:rPr>
          <w:rFonts w:hint="eastAsia" w:ascii="Times New Roman" w:hAnsi="Times New Roman" w:eastAsia="仿宋" w:cs="Times New Roman"/>
          <w:color w:val="auto"/>
          <w:sz w:val="24"/>
          <w:szCs w:val="24"/>
          <w:highlight w:val="none"/>
          <w:lang w:val="en-US" w:eastAsia="zh-CN"/>
        </w:rPr>
        <w:t>人脸识别技术检测报告，</w:t>
      </w:r>
      <w:r>
        <w:rPr>
          <w:rFonts w:hint="eastAsia" w:ascii="Times New Roman" w:hAnsi="Times New Roman" w:eastAsia="仿宋" w:cs="Times New Roman"/>
          <w:color w:val="auto"/>
          <w:sz w:val="24"/>
          <w:szCs w:val="24"/>
          <w:highlight w:val="none"/>
          <w:u w:val="none"/>
          <w:lang w:val="en-US" w:eastAsia="zh-CN"/>
        </w:rPr>
        <w:t>符合《人脸识别线下支付安全应用技术规范（试行）》，认证制造商、型号须与投标产品制造商、型号一致。（读写器为本机一体配件，非外设设备检测报告）</w:t>
      </w:r>
    </w:p>
    <w:p w14:paraId="5D3501CA">
      <w:pPr>
        <w:numPr>
          <w:ilvl w:val="-1"/>
          <w:numId w:val="0"/>
        </w:numPr>
        <w:adjustRightInd w:val="0"/>
        <w:snapToGrid w:val="0"/>
        <w:spacing w:line="400" w:lineRule="exact"/>
        <w:ind w:left="840" w:firstLine="0"/>
        <w:outlineLvl w:val="2"/>
        <w:rPr>
          <w:rFonts w:hint="eastAsia" w:ascii="Times New Roman" w:hAnsi="Times New Roman" w:eastAsia="仿宋" w:cs="Times New Roman"/>
          <w:color w:val="auto"/>
          <w:sz w:val="24"/>
          <w:szCs w:val="24"/>
          <w:highlight w:val="none"/>
          <w:u w:val="none"/>
          <w:lang w:val="en-US" w:eastAsia="zh-CN"/>
        </w:rPr>
      </w:pPr>
    </w:p>
    <w:p w14:paraId="78E70C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9A004"/>
    <w:multiLevelType w:val="singleLevel"/>
    <w:tmpl w:val="CD09A004"/>
    <w:lvl w:ilvl="0" w:tentative="0">
      <w:start w:val="1"/>
      <w:numFmt w:val="decimal"/>
      <w:lvlText w:val="%1."/>
      <w:lvlJc w:val="left"/>
      <w:pPr>
        <w:ind w:left="425" w:hanging="425"/>
      </w:pPr>
      <w:rPr>
        <w:rFonts w:hint="default"/>
      </w:rPr>
    </w:lvl>
  </w:abstractNum>
  <w:abstractNum w:abstractNumId="1">
    <w:nsid w:val="239BBAAA"/>
    <w:multiLevelType w:val="singleLevel"/>
    <w:tmpl w:val="239BBAAA"/>
    <w:lvl w:ilvl="0" w:tentative="0">
      <w:start w:val="1"/>
      <w:numFmt w:val="decimal"/>
      <w:lvlText w:val="(%1)"/>
      <w:lvlJc w:val="left"/>
      <w:pPr>
        <w:ind w:left="425" w:hanging="425"/>
      </w:pPr>
      <w:rPr>
        <w:rFonts w:hint="default"/>
        <w:b w:val="0"/>
        <w:bCs w:val="0"/>
      </w:rPr>
    </w:lvl>
  </w:abstractNum>
  <w:abstractNum w:abstractNumId="2">
    <w:nsid w:val="3CB023B1"/>
    <w:multiLevelType w:val="singleLevel"/>
    <w:tmpl w:val="3CB023B1"/>
    <w:lvl w:ilvl="0" w:tentative="0">
      <w:start w:val="1"/>
      <w:numFmt w:val="chineseCounting"/>
      <w:suff w:val="nothing"/>
      <w:lvlText w:val="（%1）"/>
      <w:lvlJc w:val="left"/>
      <w:pPr>
        <w:ind w:left="0" w:firstLine="420"/>
      </w:pPr>
      <w:rPr>
        <w:rFonts w:hint="eastAsia"/>
        <w:b/>
        <w:bCs/>
      </w:rPr>
    </w:lvl>
  </w:abstractNum>
  <w:abstractNum w:abstractNumId="3">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E3F3763"/>
    <w:multiLevelType w:val="singleLevel"/>
    <w:tmpl w:val="4E3F3763"/>
    <w:lvl w:ilvl="0" w:tentative="0">
      <w:start w:val="1"/>
      <w:numFmt w:val="decimal"/>
      <w:lvlText w:val="(%1)"/>
      <w:lvlJc w:val="left"/>
      <w:pPr>
        <w:ind w:left="425" w:hanging="425"/>
      </w:pPr>
      <w:rPr>
        <w:rFonts w:hint="default"/>
        <w:b w:val="0"/>
        <w:bCs w:val="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7793A"/>
    <w:rsid w:val="7227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2025-07-21T03:50:00Z</dcterms:created>
  <dc:creator>编制</dc:creator>
  <cp:lastModifiedBy>编制</cp:lastModifiedBy>
  <dcterms:modified xsi:type="dcterms:W3CDTF">2025-07-21T04:01:12Z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B9C00618B1434935A46C21118FBBD8F4_11</vt:lpwstr>
  </property>
  <property fmtid="{D5CDD505-2E9C-101B-9397-08002B2CF9AE}" pid="4" name="KSOTemplateDocerSaveRecord">
    <vt:lpwstr>eyJoZGlkIjoiN2M1MGJiZTUzOTA2YmJmY2IwYTkxNDYxYTYxODM5YTQiLCJ1c2VySWQiOiIxMDQyMzIwOTY5In0=</vt:lpwstr>
  </property>
</Properties>
</file>