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3F6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</w:t>
      </w:r>
    </w:p>
    <w:p w14:paraId="55BFE0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内部管理情况</w:t>
      </w:r>
    </w:p>
    <w:p w14:paraId="524C9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检查是否建立并严格执行内部控制制度，包括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资金管理制度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sz w:val="24"/>
          <w:szCs w:val="24"/>
          <w:lang w:val="zh-CN" w:eastAsia="zh-CN"/>
        </w:rPr>
        <w:t>项目管理制度</w:t>
      </w:r>
      <w:r>
        <w:rPr>
          <w:rFonts w:hint="eastAsia" w:ascii="宋体" w:hAnsi="宋体" w:cs="宋体"/>
          <w:sz w:val="24"/>
          <w:szCs w:val="24"/>
          <w:lang w:val="zh-CN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受益对象确认制度、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采购制度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信息公开制度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、重大事项决策制度。重点评价其制度的可操作性，是否能有效防范风险。</w:t>
      </w:r>
    </w:p>
    <w:p w14:paraId="4BAC5A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 w:eastAsia="zh-CN"/>
        </w:rPr>
        <w:t>慈善财产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管理情况</w:t>
      </w:r>
    </w:p>
    <w:p w14:paraId="679D664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会计核算情况。重点检查是否按相关会计法规的规定设置账簿并办理会计核算、编制会计报表。</w:t>
      </w:r>
    </w:p>
    <w:p w14:paraId="0BC75D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2020年至今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2025年4月30日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收支整体情况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。重点检查是否存在账外资金、虚列支出、入账依据不充分情形。</w:t>
      </w:r>
    </w:p>
    <w:p w14:paraId="6086AE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资产保值、增值管理情况。重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点检查2020年以来是否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定期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执行财产清查制度</w:t>
      </w:r>
      <w:r>
        <w:rPr>
          <w:rFonts w:hint="eastAsia" w:ascii="宋体" w:hAnsi="宋体" w:cs="宋体"/>
          <w:sz w:val="24"/>
          <w:szCs w:val="24"/>
          <w:lang w:val="zh-CN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是否建立投资、理财管理制度，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是否存在保值增值投资理财行为，投资理财决策程序是否合规，理财单位是否具备相应资质，投资理财是否产生效益。 </w:t>
      </w:r>
    </w:p>
    <w:p w14:paraId="7554F1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公益资金使用合理性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情况。重点检查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是否存在项目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预算制度，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程序是否合规，采购物资、服务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虚高，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是否取得合法、合规的票据。</w:t>
      </w:r>
    </w:p>
    <w:p w14:paraId="2C3BEB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项目资金审批合规性问题。重点检查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项目执行、复核、审批等不相容职务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是否严格遵循制衡性原则，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是否建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资金管理制度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并严格执行审批程序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463CB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项目管理情况</w:t>
      </w:r>
    </w:p>
    <w:p w14:paraId="3D3EB1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慈善募集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活动是否规范。重点检查募集程序是否合法、合规；是否存在虚假募集情况；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募集实物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符合安全、卫生、环保等标准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；是否按规定开具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捐赠票据。</w:t>
      </w:r>
    </w:p>
    <w:p w14:paraId="08F09E1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慈善捐赠、慈善信托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活动是否规范。重点检查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慈善捐赠、慈善信托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程序是否规范；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受益对象确认是否规范；是否存在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指定或者变相指定其利害关系人作为受益人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情形；抽查捐赠行为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是否真实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1A7B31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采购管理情况。重点检查是否建立采购管理制度，采购方式是否合规，是否存在违标情形，是否存在低质高价采购情形等。</w:t>
      </w:r>
    </w:p>
    <w:p w14:paraId="380459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公益项目实施情况。重点检查项目执行单位是否公开遴选、有效评估；是否实现闭环管理，是否执行立项、招标、督导、评估、验收等项目程序。</w:t>
      </w:r>
    </w:p>
    <w:p w14:paraId="5D46DA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关联交易管理情况。重点检查是否存在关联交易行为，关联交易是否合法合规，是否按规定批露关联方交易。</w:t>
      </w:r>
    </w:p>
    <w:p w14:paraId="1003D7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 w:eastAsia="zh-CN"/>
        </w:rPr>
        <w:t>信息公开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管理</w:t>
      </w:r>
    </w:p>
    <w:p w14:paraId="5D0C0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zh-CN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检查是否按照《慈善法》等的规定履行信息公开义务。重点检查是否</w:t>
      </w:r>
      <w:r>
        <w:rPr>
          <w:rFonts w:hint="eastAsia" w:ascii="宋体" w:hAnsi="宋体" w:cs="宋体"/>
          <w:sz w:val="24"/>
          <w:szCs w:val="24"/>
          <w:lang w:val="zh-CN" w:eastAsia="zh-CN"/>
        </w:rPr>
        <w:t>向社会公开组织章程和决策、执行、监督机构成员信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息</w:t>
      </w:r>
      <w:r>
        <w:rPr>
          <w:rFonts w:hint="eastAsia" w:ascii="宋体" w:hAnsi="宋体" w:cs="宋体"/>
          <w:sz w:val="24"/>
          <w:szCs w:val="24"/>
          <w:lang w:val="zh-CN" w:eastAsia="zh-CN"/>
        </w:rPr>
        <w:t>以及国务院民政部门要求公开的其他信息。</w:t>
      </w:r>
    </w:p>
    <w:p w14:paraId="12DB4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zh-CN" w:eastAsia="zh-CN"/>
        </w:rPr>
      </w:pPr>
    </w:p>
    <w:p w14:paraId="3C009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zh-CN" w:eastAsia="zh-CN"/>
        </w:rPr>
      </w:pPr>
    </w:p>
    <w:p w14:paraId="1EAB7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56497"/>
    <w:multiLevelType w:val="singleLevel"/>
    <w:tmpl w:val="ABD564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063343A"/>
    <w:multiLevelType w:val="singleLevel"/>
    <w:tmpl w:val="B06334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2824DE8"/>
    <w:multiLevelType w:val="singleLevel"/>
    <w:tmpl w:val="B2824D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6C1D"/>
    <w:rsid w:val="06F7108B"/>
    <w:rsid w:val="3940562A"/>
    <w:rsid w:val="3EF78667"/>
    <w:rsid w:val="3F5FD980"/>
    <w:rsid w:val="41736020"/>
    <w:rsid w:val="48302C80"/>
    <w:rsid w:val="4EE257D6"/>
    <w:rsid w:val="7A8437E6"/>
    <w:rsid w:val="7ECF17E8"/>
    <w:rsid w:val="7FEF6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ny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835</Characters>
  <Lines>0</Lines>
  <Paragraphs>0</Paragraphs>
  <TotalTime>61</TotalTime>
  <ScaleCrop>false</ScaleCrop>
  <LinksUpToDate>false</LinksUpToDate>
  <CharactersWithSpaces>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2025-05-21T23:31:00Z</dcterms:created>
  <dc:creator>奋斗的蜗牛</dc:creator>
  <cp:lastModifiedBy>龚发达</cp:lastModifiedBy>
  <cp:lastPrinted>2025-05-21T09:20:00Z</cp:lastPrinted>
  <dcterms:modified xsi:type="dcterms:W3CDTF">2025-06-25T12:43:40Z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E44A4107703143FD84D3F340293103A1_13</vt:lpwstr>
  </property>
  <property fmtid="{D5CDD505-2E9C-101B-9397-08002B2CF9AE}" pid="4" name="KSOTemplateDocerSaveRecord">
    <vt:lpwstr>eyJoZGlkIjoiZjdmNDJmYmRjMWVkNjI5MWJhMGQ5ZjA2YmM0YzM0NWUiLCJ1c2VySWQiOiIxNDg0NzIxMDc5In0=</vt:lpwstr>
  </property>
</Properties>
</file>