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53B16">
      <w:pPr>
        <w:pStyle w:val="2"/>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资格要求</w:t>
      </w:r>
    </w:p>
    <w:p w14:paraId="0F76C339">
      <w:pPr>
        <w:pStyle w:val="2"/>
        <w:jc w:val="center"/>
        <w:rPr>
          <w:rFonts w:hint="eastAsia" w:ascii="宋体" w:hAnsi="宋体" w:eastAsia="宋体" w:cs="宋体"/>
          <w:b/>
          <w:bCs/>
          <w:color w:val="auto"/>
          <w:sz w:val="32"/>
          <w:szCs w:val="32"/>
          <w:lang w:val="en-US" w:eastAsia="zh-CN"/>
        </w:rPr>
      </w:pPr>
    </w:p>
    <w:p w14:paraId="50DB4615">
      <w:pPr>
        <w:keepNext w:val="0"/>
        <w:keepLines w:val="0"/>
        <w:pageBreakBefore w:val="0"/>
        <w:kinsoku/>
        <w:wordWrap/>
        <w:overflowPunct/>
        <w:topLinePunct w:val="0"/>
        <w:autoSpaceDE/>
        <w:autoSpaceDN/>
        <w:bidi w:val="0"/>
        <w:adjustRightInd w:val="0"/>
        <w:snapToGrid w:val="0"/>
        <w:spacing w:after="95" w:afterLines="30" w:line="288" w:lineRule="auto"/>
        <w:jc w:val="left"/>
        <w:textAlignment w:val="auto"/>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（一）</w:t>
      </w:r>
      <w:r>
        <w:rPr>
          <w:rFonts w:hint="eastAsia" w:ascii="宋体" w:hAnsi="宋体" w:eastAsia="宋体" w:cs="宋体"/>
          <w:color w:val="auto"/>
          <w:kern w:val="0"/>
          <w:sz w:val="32"/>
          <w:szCs w:val="32"/>
        </w:rPr>
        <w:t>满足《政府采购法》第二十二条所规定的条件</w:t>
      </w:r>
      <w:r>
        <w:rPr>
          <w:rFonts w:hint="eastAsia" w:ascii="宋体" w:hAnsi="宋体" w:eastAsia="宋体" w:cs="宋体"/>
          <w:color w:val="auto"/>
          <w:kern w:val="0"/>
          <w:sz w:val="32"/>
          <w:szCs w:val="32"/>
          <w:lang w:val="en-US" w:eastAsia="zh-CN"/>
        </w:rPr>
        <w:t>;</w:t>
      </w:r>
    </w:p>
    <w:p w14:paraId="08D5FA13">
      <w:pPr>
        <w:keepNext w:val="0"/>
        <w:keepLines w:val="0"/>
        <w:pageBreakBefore w:val="0"/>
        <w:widowControl/>
        <w:suppressLineNumbers w:val="0"/>
        <w:kinsoku/>
        <w:wordWrap/>
        <w:overflowPunct/>
        <w:topLinePunct w:val="0"/>
        <w:autoSpaceDE/>
        <w:autoSpaceDN/>
        <w:bidi w:val="0"/>
        <w:adjustRightInd w:val="0"/>
        <w:snapToGrid w:val="0"/>
        <w:spacing w:after="95" w:afterLines="30" w:line="288" w:lineRule="auto"/>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①具有独立承担民事责任的能力：</w:t>
      </w:r>
      <w:r>
        <w:rPr>
          <w:rFonts w:hint="eastAsia" w:ascii="宋体" w:hAnsi="宋体" w:eastAsia="宋体" w:cs="宋体"/>
          <w:color w:val="auto"/>
          <w:kern w:val="0"/>
          <w:sz w:val="32"/>
          <w:szCs w:val="32"/>
          <w:lang w:val="en-US" w:eastAsia="zh-CN" w:bidi="ar"/>
        </w:rPr>
        <w:t>提供法人或其他组织的营业执照等证明文件；</w:t>
      </w:r>
    </w:p>
    <w:p w14:paraId="6BBB9682">
      <w:pPr>
        <w:keepNext w:val="0"/>
        <w:keepLines w:val="0"/>
        <w:pageBreakBefore w:val="0"/>
        <w:kinsoku/>
        <w:wordWrap/>
        <w:overflowPunct/>
        <w:topLinePunct w:val="0"/>
        <w:autoSpaceDE/>
        <w:autoSpaceDN/>
        <w:bidi w:val="0"/>
        <w:adjustRightInd w:val="0"/>
        <w:snapToGrid w:val="0"/>
        <w:spacing w:after="95" w:afterLines="30" w:line="288" w:lineRule="auto"/>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②具有良好的商业信誉和健全的财务会计制度：</w:t>
      </w:r>
      <w:r>
        <w:rPr>
          <w:rFonts w:hint="eastAsia" w:ascii="宋体" w:hAnsi="宋体" w:eastAsia="宋体" w:cs="宋体"/>
          <w:color w:val="auto"/>
          <w:kern w:val="0"/>
          <w:sz w:val="32"/>
          <w:szCs w:val="32"/>
          <w:highlight w:val="none"/>
        </w:rPr>
        <w:t>提供</w:t>
      </w:r>
      <w:r>
        <w:rPr>
          <w:rFonts w:hint="eastAsia" w:ascii="宋体" w:hAnsi="宋体" w:eastAsia="宋体" w:cs="宋体"/>
          <w:color w:val="auto"/>
          <w:kern w:val="0"/>
          <w:sz w:val="32"/>
          <w:szCs w:val="32"/>
          <w:highlight w:val="none"/>
          <w:lang w:eastAsia="zh-CN"/>
        </w:rPr>
        <w:t>经审计的</w:t>
      </w:r>
      <w:r>
        <w:rPr>
          <w:rFonts w:hint="eastAsia" w:ascii="宋体" w:hAnsi="宋体" w:eastAsia="宋体" w:cs="宋体"/>
          <w:color w:val="auto"/>
          <w:kern w:val="0"/>
          <w:sz w:val="32"/>
          <w:szCs w:val="32"/>
          <w:highlight w:val="none"/>
        </w:rPr>
        <w:t>2024年度财务审计报告</w:t>
      </w:r>
      <w:r>
        <w:rPr>
          <w:rFonts w:hint="eastAsia" w:ascii="宋体" w:hAnsi="宋体" w:eastAsia="宋体" w:cs="宋体"/>
          <w:color w:val="auto"/>
          <w:kern w:val="0"/>
          <w:sz w:val="32"/>
          <w:szCs w:val="32"/>
          <w:lang w:eastAsia="zh-CN"/>
        </w:rPr>
        <w:t>（含四表一附注）</w:t>
      </w:r>
      <w:r>
        <w:rPr>
          <w:rFonts w:hint="eastAsia" w:ascii="宋体" w:hAnsi="宋体" w:eastAsia="宋体" w:cs="宋体"/>
          <w:color w:val="auto"/>
          <w:kern w:val="0"/>
          <w:sz w:val="32"/>
          <w:szCs w:val="32"/>
          <w:highlight w:val="none"/>
          <w:lang w:eastAsia="zh-CN"/>
        </w:rPr>
        <w:t>或</w:t>
      </w:r>
      <w:r>
        <w:rPr>
          <w:rFonts w:hint="eastAsia" w:ascii="宋体" w:hAnsi="宋体" w:eastAsia="宋体" w:cs="宋体"/>
          <w:color w:val="auto"/>
          <w:kern w:val="0"/>
          <w:sz w:val="32"/>
          <w:szCs w:val="32"/>
        </w:rPr>
        <w:t>公司基本账户银行出具的资信证明材料(证明出具日期:投标截止日前</w:t>
      </w:r>
      <w:r>
        <w:rPr>
          <w:rFonts w:hint="eastAsia" w:ascii="宋体" w:hAnsi="宋体" w:eastAsia="宋体" w:cs="宋体"/>
          <w:color w:val="auto"/>
          <w:kern w:val="0"/>
          <w:sz w:val="32"/>
          <w:szCs w:val="32"/>
          <w:lang w:val="en-US" w:eastAsia="zh-CN"/>
        </w:rPr>
        <w:t>15</w:t>
      </w:r>
      <w:r>
        <w:rPr>
          <w:rFonts w:hint="eastAsia" w:ascii="宋体" w:hAnsi="宋体" w:eastAsia="宋体" w:cs="宋体"/>
          <w:color w:val="auto"/>
          <w:kern w:val="0"/>
          <w:sz w:val="32"/>
          <w:szCs w:val="32"/>
        </w:rPr>
        <w:t>天内有效)；</w:t>
      </w:r>
    </w:p>
    <w:p w14:paraId="771B234D">
      <w:pPr>
        <w:keepNext w:val="0"/>
        <w:keepLines w:val="0"/>
        <w:pageBreakBefore w:val="0"/>
        <w:kinsoku/>
        <w:wordWrap/>
        <w:overflowPunct/>
        <w:topLinePunct w:val="0"/>
        <w:autoSpaceDE/>
        <w:autoSpaceDN/>
        <w:bidi w:val="0"/>
        <w:adjustRightInd w:val="0"/>
        <w:snapToGrid w:val="0"/>
        <w:spacing w:after="95" w:afterLines="30" w:line="288" w:lineRule="auto"/>
        <w:jc w:val="lef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③具有履行合同所必需的设备和专业技术能力：提供具有履行合同所必需的设备和专业技术能力的证明材料或承诺函（格式自拟）；</w:t>
      </w:r>
    </w:p>
    <w:p w14:paraId="5571FCD6">
      <w:pPr>
        <w:keepNext w:val="0"/>
        <w:keepLines w:val="0"/>
        <w:pageBreakBefore w:val="0"/>
        <w:widowControl/>
        <w:kinsoku/>
        <w:wordWrap/>
        <w:overflowPunct/>
        <w:topLinePunct w:val="0"/>
        <w:autoSpaceDE/>
        <w:autoSpaceDN/>
        <w:bidi w:val="0"/>
        <w:adjustRightInd w:val="0"/>
        <w:snapToGrid w:val="0"/>
        <w:spacing w:after="95" w:afterLines="30" w:line="288" w:lineRule="auto"/>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④有依法缴纳税收和社会保障资金的良好记录：提供2025年以来</w:t>
      </w:r>
      <w:r>
        <w:rPr>
          <w:rFonts w:hint="eastAsia" w:ascii="宋体" w:hAnsi="宋体" w:eastAsia="宋体" w:cs="宋体"/>
          <w:color w:val="auto"/>
          <w:kern w:val="0"/>
          <w:sz w:val="32"/>
          <w:szCs w:val="32"/>
          <w:lang w:eastAsia="zh-CN"/>
        </w:rPr>
        <w:t>连续</w:t>
      </w:r>
      <w:r>
        <w:rPr>
          <w:rFonts w:hint="eastAsia" w:ascii="宋体" w:hAnsi="宋体" w:eastAsia="宋体" w:cs="宋体"/>
          <w:color w:val="auto"/>
          <w:kern w:val="0"/>
          <w:sz w:val="32"/>
          <w:szCs w:val="32"/>
          <w:lang w:val="en-US" w:eastAsia="zh-CN"/>
        </w:rPr>
        <w:t>6个</w:t>
      </w:r>
      <w:r>
        <w:rPr>
          <w:rFonts w:hint="eastAsia" w:ascii="宋体" w:hAnsi="宋体" w:eastAsia="宋体" w:cs="宋体"/>
          <w:color w:val="auto"/>
          <w:kern w:val="0"/>
          <w:sz w:val="32"/>
          <w:szCs w:val="32"/>
        </w:rPr>
        <w:t>月依法缴纳税收和社会保障资金的有效证明材料；或者无拖欠税收、免税等证明、免缴纳社保证明等；</w:t>
      </w:r>
    </w:p>
    <w:p w14:paraId="33886D1D">
      <w:pPr>
        <w:keepNext w:val="0"/>
        <w:keepLines w:val="0"/>
        <w:pageBreakBefore w:val="0"/>
        <w:widowControl/>
        <w:kinsoku/>
        <w:wordWrap/>
        <w:overflowPunct/>
        <w:topLinePunct w:val="0"/>
        <w:autoSpaceDE/>
        <w:autoSpaceDN/>
        <w:bidi w:val="0"/>
        <w:adjustRightInd w:val="0"/>
        <w:snapToGrid w:val="0"/>
        <w:spacing w:after="95" w:afterLines="30" w:line="288" w:lineRule="auto"/>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⑤参加政府采购活动前三年内，在经营活动中没有重大违法记录：提供参加政府采活动前三年内，在经营活动中没有重大违法犯罪记录的书面声明；</w:t>
      </w:r>
    </w:p>
    <w:p w14:paraId="105A49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eastAsia="zh-CN"/>
        </w:rPr>
        <w:t>（二）</w:t>
      </w:r>
      <w:r>
        <w:rPr>
          <w:rFonts w:hint="eastAsia" w:ascii="宋体" w:hAnsi="宋体" w:eastAsia="宋体" w:cs="宋体"/>
          <w:color w:val="auto"/>
          <w:sz w:val="32"/>
          <w:szCs w:val="32"/>
          <w:highlight w:val="none"/>
          <w:u w:val="none"/>
        </w:rPr>
        <w:t>落实政府采购政策需满足的资格要求：</w:t>
      </w:r>
      <w:r>
        <w:rPr>
          <w:rFonts w:hint="eastAsia" w:ascii="宋体" w:hAnsi="宋体" w:eastAsia="宋体" w:cs="宋体"/>
          <w:color w:val="auto"/>
          <w:sz w:val="32"/>
          <w:szCs w:val="32"/>
          <w:highlight w:val="none"/>
          <w:u w:val="none"/>
          <w:lang w:val="en-US" w:eastAsia="zh-CN"/>
        </w:rPr>
        <w:t>按财库〔2022〕19号、财库〔2020〕46号、财库〔2017〕141号、财库〔2014〕68号执行。</w:t>
      </w:r>
    </w:p>
    <w:p w14:paraId="0C969C7D">
      <w:pPr>
        <w:keepNext w:val="0"/>
        <w:keepLines w:val="0"/>
        <w:pageBreakBefore w:val="0"/>
        <w:widowControl w:val="0"/>
        <w:shd w:val="clear" w:color="auto" w:fill="auto"/>
        <w:kinsoku/>
        <w:wordWrap/>
        <w:overflowPunct/>
        <w:topLinePunct w:val="0"/>
        <w:autoSpaceDE/>
        <w:autoSpaceDN/>
        <w:bidi w:val="0"/>
        <w:adjustRightInd w:val="0"/>
        <w:snapToGrid w:val="0"/>
        <w:spacing w:after="0" w:line="408" w:lineRule="auto"/>
        <w:jc w:val="both"/>
        <w:textAlignment w:val="auto"/>
        <w:rPr>
          <w:rFonts w:hint="eastAsia" w:ascii="宋体" w:hAnsi="宋体" w:eastAsia="宋体" w:cs="宋体"/>
          <w:b w:val="0"/>
          <w:bCs w:val="0"/>
          <w:color w:val="auto"/>
          <w:kern w:val="2"/>
          <w:sz w:val="32"/>
          <w:szCs w:val="32"/>
          <w:highlight w:val="none"/>
          <w:u w:val="none"/>
          <w:lang w:val="en-US" w:eastAsia="zh-CN" w:bidi="ar-SA"/>
        </w:rPr>
      </w:pPr>
      <w:r>
        <w:rPr>
          <w:rFonts w:hint="eastAsia" w:ascii="宋体" w:hAnsi="宋体" w:eastAsia="宋体" w:cs="宋体"/>
          <w:b w:val="0"/>
          <w:bCs w:val="0"/>
          <w:color w:val="auto"/>
          <w:kern w:val="2"/>
          <w:sz w:val="32"/>
          <w:szCs w:val="32"/>
          <w:highlight w:val="none"/>
          <w:u w:val="none"/>
          <w:lang w:val="en-US" w:eastAsia="zh-CN" w:bidi="ar-SA"/>
        </w:rPr>
        <w:t>（三）本项目的特定资格要求：</w:t>
      </w:r>
      <w:r>
        <w:rPr>
          <w:rFonts w:hint="eastAsia" w:ascii="宋体" w:hAnsi="宋体" w:eastAsia="宋体" w:cs="宋体"/>
          <w:b w:val="0"/>
          <w:bCs w:val="0"/>
          <w:color w:val="auto"/>
          <w:kern w:val="2"/>
          <w:sz w:val="32"/>
          <w:szCs w:val="32"/>
          <w:highlight w:val="none"/>
          <w:u w:val="none"/>
          <w:lang w:val="en-US" w:eastAsia="zh-CN" w:bidi="ar-SA"/>
        </w:rPr>
        <w:t>本项目</w:t>
      </w:r>
      <w:r>
        <w:rPr>
          <w:rFonts w:hint="eastAsia" w:ascii="宋体" w:hAnsi="宋体" w:eastAsia="宋体" w:cs="宋体"/>
          <w:color w:val="auto"/>
          <w:sz w:val="32"/>
          <w:szCs w:val="32"/>
          <w:highlight w:val="none"/>
          <w:u w:val="none"/>
        </w:rPr>
        <w:t>（否）</w:t>
      </w:r>
      <w:r>
        <w:rPr>
          <w:rFonts w:hint="eastAsia" w:ascii="宋体" w:hAnsi="宋体" w:eastAsia="宋体" w:cs="宋体"/>
          <w:color w:val="auto"/>
          <w:sz w:val="32"/>
          <w:szCs w:val="32"/>
          <w:highlight w:val="none"/>
          <w:u w:val="none"/>
          <w:lang w:eastAsia="zh-CN"/>
        </w:rPr>
        <w:t>专</w:t>
      </w:r>
      <w:r>
        <w:rPr>
          <w:rFonts w:hint="eastAsia" w:ascii="宋体" w:hAnsi="宋体" w:eastAsia="宋体" w:cs="宋体"/>
          <w:b w:val="0"/>
          <w:bCs w:val="0"/>
          <w:color w:val="auto"/>
          <w:kern w:val="2"/>
          <w:sz w:val="32"/>
          <w:szCs w:val="32"/>
          <w:highlight w:val="none"/>
          <w:u w:val="none"/>
          <w:lang w:val="en-US" w:eastAsia="zh-CN" w:bidi="ar-SA"/>
        </w:rPr>
        <w:t>门面向中小企业采购</w:t>
      </w:r>
      <w:r>
        <w:rPr>
          <w:rFonts w:hint="eastAsia" w:ascii="宋体" w:hAnsi="宋体" w:eastAsia="宋体" w:cs="宋体"/>
          <w:b w:val="0"/>
          <w:bCs w:val="0"/>
          <w:color w:val="auto"/>
          <w:kern w:val="2"/>
          <w:sz w:val="32"/>
          <w:szCs w:val="32"/>
          <w:highlight w:val="none"/>
          <w:u w:val="none"/>
          <w:lang w:val="en-US" w:eastAsia="zh-CN" w:bidi="ar-SA"/>
        </w:rPr>
        <w:t>。本项目所属行</w:t>
      </w:r>
      <w:r>
        <w:rPr>
          <w:rFonts w:hint="eastAsia" w:ascii="宋体" w:hAnsi="宋体" w:eastAsia="宋体" w:cs="宋体"/>
          <w:b w:val="0"/>
          <w:bCs w:val="0"/>
          <w:color w:val="auto"/>
          <w:kern w:val="2"/>
          <w:sz w:val="32"/>
          <w:szCs w:val="32"/>
          <w:highlight w:val="none"/>
          <w:u w:val="none"/>
          <w:lang w:val="en-US" w:eastAsia="zh-CN" w:bidi="ar-SA"/>
        </w:rPr>
        <w:t>业为</w:t>
      </w:r>
      <w:r>
        <w:rPr>
          <w:rFonts w:hint="eastAsia" w:ascii="宋体" w:hAnsi="宋体" w:eastAsia="宋体" w:cs="宋体"/>
          <w:b w:val="0"/>
          <w:bCs w:val="0"/>
          <w:color w:val="auto"/>
          <w:kern w:val="2"/>
          <w:sz w:val="32"/>
          <w:szCs w:val="32"/>
          <w:highlight w:val="none"/>
          <w:u w:val="single"/>
          <w:lang w:val="en-US" w:eastAsia="zh-CN" w:bidi="ar-SA"/>
        </w:rPr>
        <w:t xml:space="preserve"> 工业 </w:t>
      </w:r>
      <w:r>
        <w:rPr>
          <w:rFonts w:hint="eastAsia" w:ascii="宋体" w:hAnsi="宋体" w:eastAsia="宋体" w:cs="宋体"/>
          <w:b w:val="0"/>
          <w:bCs w:val="0"/>
          <w:color w:val="auto"/>
          <w:kern w:val="2"/>
          <w:sz w:val="32"/>
          <w:szCs w:val="32"/>
          <w:highlight w:val="none"/>
          <w:u w:val="none"/>
          <w:lang w:val="en-US" w:eastAsia="zh-CN" w:bidi="ar-SA"/>
        </w:rPr>
        <w:t>行业。</w:t>
      </w:r>
    </w:p>
    <w:p w14:paraId="38D73CEC">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155387E0">
      <w:pPr>
        <w:keepNext w:val="0"/>
        <w:keepLines w:val="0"/>
        <w:pageBreakBefore w:val="0"/>
        <w:widowControl w:val="0"/>
        <w:shd w:val="clear" w:color="auto" w:fill="auto"/>
        <w:kinsoku/>
        <w:wordWrap/>
        <w:overflowPunct/>
        <w:topLinePunct w:val="0"/>
        <w:autoSpaceDE/>
        <w:autoSpaceDN/>
        <w:bidi w:val="0"/>
        <w:adjustRightInd w:val="0"/>
        <w:snapToGrid w:val="0"/>
        <w:spacing w:after="0" w:line="408" w:lineRule="auto"/>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采购需求</w:t>
      </w:r>
    </w:p>
    <w:tbl>
      <w:tblPr>
        <w:tblStyle w:val="4"/>
        <w:tblW w:w="8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938"/>
        <w:gridCol w:w="4537"/>
        <w:gridCol w:w="800"/>
        <w:gridCol w:w="677"/>
        <w:gridCol w:w="1298"/>
      </w:tblGrid>
      <w:tr w14:paraId="7AD1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14:paraId="7E8D559A">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789C56A">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内容</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14:paraId="447F8E9C">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参数</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E70C061">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数量</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8AF2966">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F2595D6">
            <w:pPr>
              <w:keepNext w:val="0"/>
              <w:keepLines w:val="0"/>
              <w:widowControl/>
              <w:suppressLineNumbers w:val="0"/>
              <w:jc w:val="center"/>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i w:val="0"/>
                <w:iCs w:val="0"/>
                <w:color w:val="auto"/>
                <w:kern w:val="0"/>
                <w:sz w:val="32"/>
                <w:szCs w:val="32"/>
                <w:u w:val="none"/>
                <w:lang w:val="en-US" w:eastAsia="zh-CN" w:bidi="ar"/>
              </w:rPr>
              <w:t>最高限价</w:t>
            </w:r>
          </w:p>
          <w:p w14:paraId="6D0A24B4">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（单价/辆）</w:t>
            </w:r>
          </w:p>
        </w:tc>
      </w:tr>
      <w:tr w14:paraId="5AC9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14:paraId="760B34AE">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79C69A6">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消防机具车</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14:paraId="4A419E87">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1.合资或国产；</w:t>
            </w:r>
          </w:p>
          <w:p w14:paraId="24534EB5">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2.统一喷涂“森林消防”字样及消防专用车身颜色，加装警报、警灯；</w:t>
            </w:r>
          </w:p>
          <w:p w14:paraId="12B3D443">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3.车型：皮卡</w:t>
            </w:r>
          </w:p>
          <w:p w14:paraId="7375FACA">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4.车身结构：4门5座双排皮卡</w:t>
            </w:r>
          </w:p>
          <w:p w14:paraId="5D9012CC">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5.驱动形式：前置四驱</w:t>
            </w:r>
          </w:p>
          <w:p w14:paraId="569AE17C">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6.变速箱：手自一体</w:t>
            </w:r>
          </w:p>
          <w:p w14:paraId="2B04A0CB">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7.最大功率：≥140kW</w:t>
            </w:r>
          </w:p>
          <w:p w14:paraId="54F4E5A0">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8.最大马力：≥190PS</w:t>
            </w:r>
          </w:p>
          <w:p w14:paraId="31F2AF65">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9.最大扭矩：≥360N·m</w:t>
            </w:r>
          </w:p>
          <w:p w14:paraId="0AEA1FEE">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10.涡轮增压</w:t>
            </w:r>
          </w:p>
          <w:p w14:paraId="54E10EB9">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11.汽缸数≥4个</w:t>
            </w:r>
          </w:p>
          <w:p w14:paraId="7B5805AE">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12.能源类型：汽油或柴油</w:t>
            </w:r>
          </w:p>
          <w:p w14:paraId="4B751D28">
            <w:pPr>
              <w:keepNext w:val="0"/>
              <w:keepLines w:val="0"/>
              <w:widowControl/>
              <w:suppressLineNumbers w:val="0"/>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13.驾驶安全及辅助系统：配备自动驻车、定速巡航、上坡辅助、倒车影像等功能；ABS防抱死、</w:t>
            </w:r>
            <w:r>
              <w:rPr>
                <w:rFonts w:hint="eastAsia" w:ascii="宋体" w:hAnsi="宋体" w:eastAsia="宋体" w:cs="宋体"/>
                <w:i w:val="0"/>
                <w:iCs w:val="0"/>
                <w:color w:val="auto"/>
                <w:kern w:val="0"/>
                <w:sz w:val="32"/>
                <w:szCs w:val="32"/>
                <w:u w:val="none"/>
                <w:lang w:val="en-US" w:eastAsia="zh-CN" w:bidi="ar"/>
              </w:rPr>
              <w:t>制动力分配</w:t>
            </w:r>
            <w:r>
              <w:rPr>
                <w:rFonts w:hint="eastAsia" w:ascii="宋体" w:hAnsi="宋体" w:eastAsia="宋体" w:cs="宋体"/>
                <w:i w:val="0"/>
                <w:iCs w:val="0"/>
                <w:color w:val="auto"/>
                <w:kern w:val="0"/>
                <w:sz w:val="32"/>
                <w:szCs w:val="32"/>
                <w:u w:val="none"/>
                <w:lang w:val="en-US" w:eastAsia="zh-CN" w:bidi="ar"/>
              </w:rPr>
              <w:t>、</w:t>
            </w:r>
            <w:r>
              <w:rPr>
                <w:rFonts w:hint="eastAsia" w:ascii="宋体" w:hAnsi="宋体" w:eastAsia="宋体" w:cs="宋体"/>
                <w:i w:val="0"/>
                <w:iCs w:val="0"/>
                <w:color w:val="auto"/>
                <w:kern w:val="0"/>
                <w:sz w:val="32"/>
                <w:szCs w:val="32"/>
                <w:u w:val="none"/>
                <w:lang w:val="en-US" w:eastAsia="zh-CN" w:bidi="ar"/>
              </w:rPr>
              <w:t>制动辅助</w:t>
            </w:r>
            <w:r>
              <w:rPr>
                <w:rFonts w:hint="eastAsia" w:ascii="宋体" w:hAnsi="宋体" w:eastAsia="宋体" w:cs="宋体"/>
                <w:i w:val="0"/>
                <w:iCs w:val="0"/>
                <w:color w:val="auto"/>
                <w:kern w:val="0"/>
                <w:sz w:val="32"/>
                <w:szCs w:val="32"/>
                <w:u w:val="none"/>
                <w:lang w:val="en-US" w:eastAsia="zh-CN" w:bidi="ar"/>
              </w:rPr>
              <w:t>、</w:t>
            </w:r>
            <w:r>
              <w:rPr>
                <w:rFonts w:hint="eastAsia" w:ascii="宋体" w:hAnsi="宋体" w:eastAsia="宋体" w:cs="宋体"/>
                <w:i w:val="0"/>
                <w:iCs w:val="0"/>
                <w:color w:val="auto"/>
                <w:kern w:val="0"/>
                <w:sz w:val="32"/>
                <w:szCs w:val="32"/>
                <w:u w:val="none"/>
                <w:lang w:val="en-US" w:eastAsia="zh-CN" w:bidi="ar"/>
              </w:rPr>
              <w:t>牵引力控制</w:t>
            </w:r>
            <w:r>
              <w:rPr>
                <w:rFonts w:hint="eastAsia" w:ascii="宋体" w:hAnsi="宋体" w:eastAsia="宋体" w:cs="宋体"/>
                <w:i w:val="0"/>
                <w:iCs w:val="0"/>
                <w:color w:val="auto"/>
                <w:kern w:val="0"/>
                <w:sz w:val="32"/>
                <w:szCs w:val="32"/>
                <w:u w:val="none"/>
                <w:lang w:val="en-US" w:eastAsia="zh-CN" w:bidi="ar"/>
              </w:rPr>
              <w:t>、</w:t>
            </w:r>
            <w:r>
              <w:rPr>
                <w:rFonts w:hint="eastAsia" w:ascii="宋体" w:hAnsi="宋体" w:eastAsia="宋体" w:cs="宋体"/>
                <w:i w:val="0"/>
                <w:iCs w:val="0"/>
                <w:color w:val="auto"/>
                <w:kern w:val="0"/>
                <w:sz w:val="32"/>
                <w:szCs w:val="32"/>
                <w:u w:val="none"/>
                <w:lang w:val="en-US" w:eastAsia="zh-CN" w:bidi="ar"/>
              </w:rPr>
              <w:t>车身稳定控制</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55E527B">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F6A38B3">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辆</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ACC7FC8">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180000元</w:t>
            </w:r>
          </w:p>
        </w:tc>
      </w:tr>
      <w:tr w14:paraId="5EAD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14:paraId="2D9DD6D7">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AAEC20B">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消防摩托车</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14:paraId="6661F4D9">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1.外型尺寸：≤2500×1000×1400mm</w:t>
            </w:r>
          </w:p>
          <w:p w14:paraId="1B1B2B0D">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2.最高车速：≥75km/h</w:t>
            </w:r>
          </w:p>
          <w:p w14:paraId="668DDB40">
            <w:pPr>
              <w:keepNext w:val="0"/>
              <w:keepLines w:val="0"/>
              <w:widowControl/>
              <w:suppressLineNumbers w:val="0"/>
              <w:jc w:val="left"/>
              <w:textAlignment w:val="center"/>
              <w:rPr>
                <w:rFonts w:hint="eastAsia" w:ascii="宋体" w:hAnsi="宋体" w:eastAsia="宋体" w:cs="宋体"/>
                <w:i w:val="0"/>
                <w:iCs w:val="0"/>
                <w:color w:val="auto"/>
                <w:kern w:val="0"/>
                <w:sz w:val="32"/>
                <w:szCs w:val="32"/>
                <w:u w:val="none"/>
                <w:lang w:val="en-US" w:eastAsia="zh-CN" w:bidi="ar"/>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3.制动距离：≤7.0m</w:t>
            </w:r>
          </w:p>
          <w:p w14:paraId="2E6736B6">
            <w:pPr>
              <w:keepNext w:val="0"/>
              <w:keepLines w:val="0"/>
              <w:widowControl/>
              <w:suppressLineNumbers w:val="0"/>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sz w:val="32"/>
                <w:szCs w:val="32"/>
              </w:rPr>
              <w:t>★</w:t>
            </w:r>
            <w:r>
              <w:rPr>
                <w:rFonts w:hint="eastAsia" w:ascii="宋体" w:hAnsi="宋体" w:eastAsia="宋体" w:cs="宋体"/>
                <w:i w:val="0"/>
                <w:iCs w:val="0"/>
                <w:color w:val="auto"/>
                <w:kern w:val="0"/>
                <w:sz w:val="32"/>
                <w:szCs w:val="32"/>
                <w:u w:val="none"/>
                <w:lang w:val="en-US" w:eastAsia="zh-CN" w:bidi="ar"/>
              </w:rPr>
              <w:t>4.传动方式：链条驱动、两轮驱动</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ABF5348">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12</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F1C8D5A">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辆</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5208941">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8000元</w:t>
            </w:r>
          </w:p>
        </w:tc>
      </w:tr>
    </w:tbl>
    <w:p w14:paraId="39231172">
      <w:pPr>
        <w:pStyle w:val="2"/>
        <w:rPr>
          <w:rFonts w:hint="eastAsia" w:ascii="宋体" w:hAnsi="宋体" w:eastAsia="宋体" w:cs="宋体"/>
          <w:b w:val="0"/>
          <w:bCs/>
          <w:color w:val="auto"/>
          <w:sz w:val="32"/>
          <w:szCs w:val="32"/>
          <w:highlight w:val="none"/>
          <w:lang w:eastAsia="zh-CN"/>
        </w:rPr>
      </w:pPr>
      <w:r>
        <w:rPr>
          <w:rFonts w:hint="eastAsia" w:ascii="宋体" w:hAnsi="宋体" w:eastAsia="宋体" w:cs="宋体"/>
          <w:color w:val="auto"/>
          <w:sz w:val="32"/>
          <w:szCs w:val="32"/>
        </w:rPr>
        <w:t>★</w:t>
      </w:r>
      <w:r>
        <w:rPr>
          <w:rFonts w:hint="eastAsia" w:ascii="宋体" w:hAnsi="宋体" w:eastAsia="宋体" w:cs="宋体"/>
          <w:b w:val="0"/>
          <w:bCs/>
          <w:color w:val="auto"/>
          <w:sz w:val="32"/>
          <w:szCs w:val="32"/>
          <w:highlight w:val="none"/>
          <w:lang w:val="en-US" w:eastAsia="zh-CN"/>
        </w:rPr>
        <w:t>1.</w:t>
      </w:r>
      <w:r>
        <w:rPr>
          <w:rFonts w:hint="eastAsia" w:ascii="宋体" w:hAnsi="宋体" w:eastAsia="宋体" w:cs="宋体"/>
          <w:b w:val="0"/>
          <w:bCs/>
          <w:color w:val="auto"/>
          <w:sz w:val="32"/>
          <w:szCs w:val="32"/>
          <w:highlight w:val="none"/>
          <w:lang w:eastAsia="zh-CN"/>
        </w:rPr>
        <w:t>随车资料配备的使用说明书及操作光盘、保养说明书、清单、合格证等相关资料完整。</w:t>
      </w:r>
    </w:p>
    <w:p w14:paraId="31B5EDDB">
      <w:pPr>
        <w:pStyle w:val="2"/>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2.</w:t>
      </w:r>
      <w:r>
        <w:rPr>
          <w:rFonts w:hint="eastAsia" w:ascii="宋体" w:hAnsi="宋体" w:eastAsia="宋体" w:cs="宋体"/>
          <w:b w:val="0"/>
          <w:bCs/>
          <w:color w:val="auto"/>
          <w:sz w:val="32"/>
          <w:szCs w:val="32"/>
          <w:highlight w:val="none"/>
          <w:lang w:eastAsia="zh-CN"/>
        </w:rPr>
        <w:t>质量要求：符合国家对车辆安全标准的规定及相关要求。</w:t>
      </w:r>
    </w:p>
    <w:p w14:paraId="4959AAEB">
      <w:pPr>
        <w:pStyle w:val="2"/>
        <w:rPr>
          <w:rFonts w:hint="eastAsia" w:ascii="宋体" w:hAnsi="宋体" w:eastAsia="宋体" w:cs="宋体"/>
          <w:b/>
          <w:color w:val="auto"/>
          <w:sz w:val="32"/>
          <w:szCs w:val="32"/>
          <w:highlight w:val="none"/>
          <w:lang w:val="en-US" w:eastAsia="zh-CN"/>
        </w:rPr>
      </w:pP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3.统一喷涂“森林消防”字样及消防专用车身颜色根据采购人要求喷涂。</w:t>
      </w:r>
    </w:p>
    <w:p w14:paraId="7B34C422">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05BC26AD">
      <w:pPr>
        <w:keepNext w:val="0"/>
        <w:keepLines w:val="0"/>
        <w:pageBreakBefore w:val="0"/>
        <w:widowControl w:val="0"/>
        <w:shd w:val="clear" w:color="auto" w:fill="auto"/>
        <w:kinsoku/>
        <w:wordWrap/>
        <w:overflowPunct/>
        <w:topLinePunct w:val="0"/>
        <w:autoSpaceDE/>
        <w:autoSpaceDN/>
        <w:bidi w:val="0"/>
        <w:adjustRightInd w:val="0"/>
        <w:snapToGrid w:val="0"/>
        <w:spacing w:after="0" w:line="408"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评分办法</w:t>
      </w:r>
    </w:p>
    <w:p w14:paraId="14F334ED">
      <w:pPr>
        <w:keepNext w:val="0"/>
        <w:keepLines w:val="0"/>
        <w:pageBreakBefore w:val="0"/>
        <w:widowControl w:val="0"/>
        <w:shd w:val="clear" w:color="auto" w:fill="auto"/>
        <w:kinsoku/>
        <w:wordWrap/>
        <w:overflowPunct/>
        <w:topLinePunct w:val="0"/>
        <w:autoSpaceDE/>
        <w:autoSpaceDN/>
        <w:bidi w:val="0"/>
        <w:adjustRightInd w:val="0"/>
        <w:snapToGrid w:val="0"/>
        <w:spacing w:after="0" w:line="408" w:lineRule="auto"/>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本次评标采用综合评分法。</w:t>
      </w:r>
    </w:p>
    <w:tbl>
      <w:tblPr>
        <w:tblStyle w:val="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286"/>
        <w:gridCol w:w="714"/>
        <w:gridCol w:w="766"/>
        <w:gridCol w:w="5955"/>
      </w:tblGrid>
      <w:tr w14:paraId="5553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9" w:hRule="atLeast"/>
          <w:jc w:val="center"/>
        </w:trPr>
        <w:tc>
          <w:tcPr>
            <w:tcW w:w="1286" w:type="dxa"/>
            <w:noWrap w:val="0"/>
            <w:vAlign w:val="center"/>
          </w:tcPr>
          <w:p w14:paraId="1494FA42">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评分项</w:t>
            </w:r>
          </w:p>
        </w:tc>
        <w:tc>
          <w:tcPr>
            <w:tcW w:w="714" w:type="dxa"/>
            <w:noWrap w:val="0"/>
            <w:vAlign w:val="center"/>
          </w:tcPr>
          <w:p w14:paraId="1CBF9D2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评分点名称</w:t>
            </w:r>
          </w:p>
        </w:tc>
        <w:tc>
          <w:tcPr>
            <w:tcW w:w="766" w:type="dxa"/>
            <w:noWrap w:val="0"/>
            <w:vAlign w:val="center"/>
          </w:tcPr>
          <w:p w14:paraId="7D1A62B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分值</w:t>
            </w:r>
          </w:p>
        </w:tc>
        <w:tc>
          <w:tcPr>
            <w:tcW w:w="5955" w:type="dxa"/>
            <w:noWrap w:val="0"/>
            <w:vAlign w:val="center"/>
          </w:tcPr>
          <w:p w14:paraId="5BB87566">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评审标准</w:t>
            </w:r>
          </w:p>
        </w:tc>
      </w:tr>
      <w:tr w14:paraId="02E7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72" w:hRule="atLeast"/>
          <w:jc w:val="center"/>
        </w:trPr>
        <w:tc>
          <w:tcPr>
            <w:tcW w:w="1286" w:type="dxa"/>
            <w:noWrap w:val="0"/>
            <w:vAlign w:val="center"/>
          </w:tcPr>
          <w:p w14:paraId="26E1C609">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价格分</w:t>
            </w:r>
          </w:p>
          <w:p w14:paraId="36965AAA">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分）</w:t>
            </w:r>
          </w:p>
        </w:tc>
        <w:tc>
          <w:tcPr>
            <w:tcW w:w="714" w:type="dxa"/>
            <w:noWrap w:val="0"/>
            <w:vAlign w:val="center"/>
          </w:tcPr>
          <w:p w14:paraId="1947112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766" w:type="dxa"/>
            <w:noWrap w:val="0"/>
            <w:vAlign w:val="center"/>
          </w:tcPr>
          <w:p w14:paraId="506B2276">
            <w:pPr>
              <w:pStyle w:val="2"/>
              <w:keepNext w:val="0"/>
              <w:keepLines w:val="0"/>
              <w:pageBreakBefore w:val="0"/>
              <w:widowControl w:val="0"/>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30分</w:t>
            </w:r>
          </w:p>
        </w:tc>
        <w:tc>
          <w:tcPr>
            <w:tcW w:w="5955" w:type="dxa"/>
            <w:noWrap w:val="0"/>
            <w:vAlign w:val="center"/>
          </w:tcPr>
          <w:p w14:paraId="72C0BF4E">
            <w:pPr>
              <w:pStyle w:val="2"/>
              <w:keepNext w:val="0"/>
              <w:keepLines w:val="0"/>
              <w:pageBreakBefore w:val="0"/>
              <w:widowControl w:val="0"/>
              <w:kinsoku/>
              <w:wordWrap/>
              <w:overflowPunct/>
              <w:topLinePunct w:val="0"/>
              <w:autoSpaceDE/>
              <w:autoSpaceDN/>
              <w:bidi w:val="0"/>
              <w:adjustRightInd w:val="0"/>
              <w:snapToGrid w:val="0"/>
              <w:spacing w:before="63" w:beforeLines="20" w:line="312" w:lineRule="auto"/>
              <w:ind w:left="0" w:leftChars="0" w:firstLine="0" w:firstLine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rPr>
              <w:t>报价</w:t>
            </w:r>
            <w:r>
              <w:rPr>
                <w:rFonts w:hint="eastAsia" w:ascii="宋体" w:hAnsi="宋体" w:eastAsia="宋体" w:cs="宋体"/>
                <w:b/>
                <w:bCs/>
                <w:color w:val="auto"/>
                <w:sz w:val="28"/>
                <w:szCs w:val="28"/>
                <w:highlight w:val="none"/>
              </w:rPr>
              <w:t>得分=（评标基准价/</w:t>
            </w:r>
            <w:r>
              <w:rPr>
                <w:rFonts w:hint="eastAsia" w:ascii="宋体" w:hAnsi="宋体" w:eastAsia="宋体" w:cs="宋体"/>
                <w:b/>
                <w:bCs/>
                <w:color w:val="auto"/>
                <w:sz w:val="28"/>
                <w:szCs w:val="28"/>
                <w:highlight w:val="none"/>
                <w:lang w:eastAsia="zh-CN"/>
              </w:rPr>
              <w:t>投标</w:t>
            </w:r>
            <w:r>
              <w:rPr>
                <w:rFonts w:hint="eastAsia" w:ascii="宋体" w:hAnsi="宋体" w:eastAsia="宋体" w:cs="宋体"/>
                <w:b/>
                <w:bCs/>
                <w:color w:val="auto"/>
                <w:sz w:val="28"/>
                <w:szCs w:val="28"/>
                <w:highlight w:val="none"/>
              </w:rPr>
              <w:t>报价）×价格权值×100</w:t>
            </w:r>
          </w:p>
          <w:p w14:paraId="36AB78A9">
            <w:pPr>
              <w:keepNext w:val="0"/>
              <w:keepLines w:val="0"/>
              <w:pageBreakBefore w:val="0"/>
              <w:widowControl w:val="0"/>
              <w:kinsoku/>
              <w:wordWrap/>
              <w:overflowPunct/>
              <w:topLinePunct w:val="0"/>
              <w:autoSpaceDE/>
              <w:autoSpaceDN/>
              <w:bidi w:val="0"/>
              <w:adjustRightInd w:val="0"/>
              <w:snapToGrid w:val="0"/>
              <w:spacing w:before="63" w:beforeLines="2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备注：</w:t>
            </w:r>
            <w:r>
              <w:rPr>
                <w:rFonts w:hint="eastAsia" w:ascii="宋体" w:hAnsi="宋体" w:eastAsia="宋体" w:cs="宋体"/>
                <w:color w:val="auto"/>
                <w:sz w:val="28"/>
                <w:szCs w:val="28"/>
                <w:highlight w:val="none"/>
              </w:rPr>
              <w:t>最低</w:t>
            </w:r>
            <w:r>
              <w:rPr>
                <w:rFonts w:hint="eastAsia" w:ascii="宋体" w:hAnsi="宋体" w:eastAsia="宋体" w:cs="宋体"/>
                <w:color w:val="auto"/>
                <w:sz w:val="28"/>
                <w:szCs w:val="28"/>
                <w:highlight w:val="none"/>
                <w:lang w:eastAsia="zh-CN"/>
              </w:rPr>
              <w:t>有效</w:t>
            </w:r>
            <w:r>
              <w:rPr>
                <w:rFonts w:hint="eastAsia" w:ascii="宋体" w:hAnsi="宋体" w:eastAsia="宋体" w:cs="宋体"/>
                <w:color w:val="auto"/>
                <w:sz w:val="28"/>
                <w:szCs w:val="28"/>
                <w:highlight w:val="none"/>
              </w:rPr>
              <w:t>报价为评标基准价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报价分数保留两位有效小数。</w:t>
            </w:r>
          </w:p>
          <w:p w14:paraId="405EF3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highlight w:val="none"/>
              </w:rPr>
              <w:t>评标委员会认为投标人的报价明显低于其他通过符合性审查投标人的报价，有可能影响产品质量或者不能诚信履约的，要</w:t>
            </w:r>
            <w:bookmarkStart w:id="0" w:name="_GoBack"/>
            <w:bookmarkEnd w:id="0"/>
            <w:r>
              <w:rPr>
                <w:rFonts w:hint="eastAsia" w:ascii="宋体" w:hAnsi="宋体" w:eastAsia="宋体" w:cs="宋体"/>
                <w:b/>
                <w:bCs/>
                <w:color w:val="auto"/>
                <w:sz w:val="28"/>
                <w:szCs w:val="28"/>
                <w:highlight w:val="none"/>
              </w:rPr>
              <w:t>求其在评标现场</w:t>
            </w:r>
            <w:r>
              <w:rPr>
                <w:rFonts w:hint="eastAsia" w:ascii="宋体" w:hAnsi="宋体" w:eastAsia="宋体" w:cs="宋体"/>
                <w:b/>
                <w:bCs/>
                <w:color w:val="auto"/>
                <w:sz w:val="28"/>
                <w:szCs w:val="28"/>
                <w:highlight w:val="none"/>
                <w:lang w:val="en-US" w:eastAsia="zh-CN"/>
              </w:rPr>
              <w:t>1小</w:t>
            </w:r>
            <w:r>
              <w:rPr>
                <w:rFonts w:hint="eastAsia" w:ascii="宋体" w:hAnsi="宋体" w:eastAsia="宋体" w:cs="宋体"/>
                <w:b/>
                <w:bCs/>
                <w:color w:val="auto"/>
                <w:sz w:val="28"/>
                <w:szCs w:val="28"/>
                <w:highlight w:val="none"/>
              </w:rPr>
              <w:t>时内提供</w:t>
            </w:r>
            <w:r>
              <w:rPr>
                <w:rFonts w:hint="eastAsia" w:ascii="宋体" w:hAnsi="宋体" w:eastAsia="宋体" w:cs="宋体"/>
                <w:b/>
                <w:bCs/>
                <w:color w:val="auto"/>
                <w:sz w:val="28"/>
                <w:szCs w:val="28"/>
                <w:highlight w:val="none"/>
                <w:lang w:eastAsia="zh-CN"/>
              </w:rPr>
              <w:t>详细的成本佐证材料</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提交给评标委员会，未按时间提交或不能提交的投标人视为不响应采购文件。</w:t>
            </w:r>
            <w:r>
              <w:rPr>
                <w:rFonts w:hint="eastAsia" w:ascii="宋体" w:hAnsi="宋体" w:eastAsia="宋体" w:cs="宋体"/>
                <w:b/>
                <w:bCs/>
                <w:color w:val="auto"/>
                <w:sz w:val="28"/>
                <w:szCs w:val="28"/>
                <w:highlight w:val="none"/>
              </w:rPr>
              <w:t>提交相关</w:t>
            </w:r>
            <w:r>
              <w:rPr>
                <w:rFonts w:hint="eastAsia" w:ascii="宋体" w:hAnsi="宋体" w:eastAsia="宋体" w:cs="宋体"/>
                <w:b/>
                <w:bCs/>
                <w:color w:val="auto"/>
                <w:sz w:val="28"/>
                <w:szCs w:val="28"/>
                <w:highlight w:val="none"/>
                <w:lang w:eastAsia="zh-CN"/>
              </w:rPr>
              <w:t>成本佐证</w:t>
            </w:r>
            <w:r>
              <w:rPr>
                <w:rFonts w:hint="eastAsia" w:ascii="宋体" w:hAnsi="宋体" w:eastAsia="宋体" w:cs="宋体"/>
                <w:b/>
                <w:bCs/>
                <w:color w:val="auto"/>
                <w:sz w:val="28"/>
                <w:szCs w:val="28"/>
                <w:highlight w:val="none"/>
              </w:rPr>
              <w:t>证明材料</w:t>
            </w:r>
            <w:r>
              <w:rPr>
                <w:rFonts w:hint="eastAsia" w:ascii="宋体" w:hAnsi="宋体" w:eastAsia="宋体" w:cs="宋体"/>
                <w:b/>
                <w:bCs/>
                <w:color w:val="auto"/>
                <w:sz w:val="28"/>
                <w:szCs w:val="28"/>
                <w:highlight w:val="none"/>
                <w:lang w:eastAsia="zh-CN"/>
              </w:rPr>
              <w:t>不完整，</w:t>
            </w:r>
            <w:r>
              <w:rPr>
                <w:rFonts w:hint="eastAsia" w:ascii="宋体" w:hAnsi="宋体" w:eastAsia="宋体" w:cs="宋体"/>
                <w:b/>
                <w:bCs/>
                <w:color w:val="auto"/>
                <w:sz w:val="28"/>
                <w:szCs w:val="28"/>
                <w:highlight w:val="none"/>
              </w:rPr>
              <w:t>投标人不能证明其报价合理性的，评标委员会应当将其作为无效投标处理。</w:t>
            </w:r>
          </w:p>
        </w:tc>
      </w:tr>
      <w:tr w14:paraId="3B6E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1286" w:type="dxa"/>
            <w:vMerge w:val="restart"/>
            <w:noWrap w:val="0"/>
            <w:vAlign w:val="center"/>
          </w:tcPr>
          <w:p w14:paraId="66B5B29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技术部分</w:t>
            </w:r>
          </w:p>
          <w:p w14:paraId="4A6AC69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40</w:t>
            </w:r>
            <w:r>
              <w:rPr>
                <w:rFonts w:hint="eastAsia" w:ascii="宋体" w:hAnsi="宋体" w:eastAsia="宋体" w:cs="宋体"/>
                <w:color w:val="auto"/>
                <w:sz w:val="28"/>
                <w:szCs w:val="28"/>
                <w:highlight w:val="none"/>
              </w:rPr>
              <w:t>分）</w:t>
            </w:r>
          </w:p>
        </w:tc>
        <w:tc>
          <w:tcPr>
            <w:tcW w:w="714" w:type="dxa"/>
            <w:noWrap w:val="0"/>
            <w:vAlign w:val="center"/>
          </w:tcPr>
          <w:p w14:paraId="58097DE1">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rPr>
              <w:t>产品技术参数指标</w:t>
            </w:r>
          </w:p>
        </w:tc>
        <w:tc>
          <w:tcPr>
            <w:tcW w:w="766" w:type="dxa"/>
            <w:noWrap w:val="0"/>
            <w:vAlign w:val="center"/>
          </w:tcPr>
          <w:p w14:paraId="315364BC">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分</w:t>
            </w:r>
          </w:p>
        </w:tc>
        <w:tc>
          <w:tcPr>
            <w:tcW w:w="5955" w:type="dxa"/>
            <w:noWrap w:val="0"/>
            <w:vAlign w:val="center"/>
          </w:tcPr>
          <w:p w14:paraId="6A91C523">
            <w:pPr>
              <w:keepNext w:val="0"/>
              <w:keepLines w:val="0"/>
              <w:pageBreakBefore w:val="0"/>
              <w:widowControl w:val="0"/>
              <w:kinsoku/>
              <w:wordWrap/>
              <w:overflowPunct/>
              <w:topLinePunct w:val="0"/>
              <w:autoSpaceDE/>
              <w:autoSpaceDN/>
              <w:bidi w:val="0"/>
              <w:adjustRightInd w:val="0"/>
              <w:snapToGrid w:val="0"/>
              <w:spacing w:before="63" w:beforeLines="20" w:line="312"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评标专家根据投标人提供的技术参数进行评</w:t>
            </w:r>
            <w:r>
              <w:rPr>
                <w:rFonts w:hint="eastAsia" w:ascii="宋体" w:hAnsi="宋体" w:eastAsia="宋体" w:cs="宋体"/>
                <w:color w:val="auto"/>
                <w:sz w:val="28"/>
                <w:szCs w:val="28"/>
                <w:highlight w:val="none"/>
                <w:lang w:eastAsia="zh-CN"/>
              </w:rPr>
              <w:t>审。</w:t>
            </w:r>
          </w:p>
          <w:p w14:paraId="3F70D038">
            <w:pPr>
              <w:keepNext w:val="0"/>
              <w:keepLines w:val="0"/>
              <w:pageBreakBefore w:val="0"/>
              <w:widowControl w:val="0"/>
              <w:kinsoku/>
              <w:wordWrap/>
              <w:overflowPunct/>
              <w:topLinePunct w:val="0"/>
              <w:autoSpaceDE/>
              <w:autoSpaceDN/>
              <w:bidi w:val="0"/>
              <w:adjustRightInd w:val="0"/>
              <w:snapToGrid w:val="0"/>
              <w:spacing w:before="63" w:beforeLines="20" w:line="312" w:lineRule="auto"/>
              <w:jc w:val="both"/>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投标响应完全满足或优于采购文件“第</w:t>
            </w:r>
            <w:r>
              <w:rPr>
                <w:rFonts w:hint="eastAsia" w:ascii="宋体" w:hAnsi="宋体" w:eastAsia="宋体" w:cs="宋体"/>
                <w:bCs/>
                <w:color w:val="auto"/>
                <w:sz w:val="28"/>
                <w:szCs w:val="28"/>
                <w:lang w:eastAsia="zh-CN"/>
              </w:rPr>
              <w:t>三</w:t>
            </w:r>
            <w:r>
              <w:rPr>
                <w:rFonts w:hint="eastAsia" w:ascii="宋体" w:hAnsi="宋体" w:eastAsia="宋体" w:cs="宋体"/>
                <w:bCs/>
                <w:color w:val="auto"/>
                <w:sz w:val="28"/>
                <w:szCs w:val="28"/>
              </w:rPr>
              <w:t>章采购需求”中“技术参数”得分</w:t>
            </w:r>
            <w:r>
              <w:rPr>
                <w:rFonts w:hint="eastAsia" w:ascii="宋体" w:hAnsi="宋体" w:eastAsia="宋体" w:cs="宋体"/>
                <w:bCs/>
                <w:color w:val="auto"/>
                <w:sz w:val="28"/>
                <w:szCs w:val="28"/>
                <w:lang w:val="en-US" w:eastAsia="zh-CN"/>
              </w:rPr>
              <w:t>15</w:t>
            </w:r>
            <w:r>
              <w:rPr>
                <w:rFonts w:hint="eastAsia" w:ascii="宋体" w:hAnsi="宋体" w:eastAsia="宋体" w:cs="宋体"/>
                <w:bCs/>
                <w:color w:val="auto"/>
                <w:sz w:val="28"/>
                <w:szCs w:val="28"/>
              </w:rPr>
              <w:t>分。</w:t>
            </w:r>
          </w:p>
          <w:p w14:paraId="7AF8413F">
            <w:pPr>
              <w:keepNext w:val="0"/>
              <w:keepLines w:val="0"/>
              <w:pageBreakBefore w:val="0"/>
              <w:widowControl w:val="0"/>
              <w:kinsoku/>
              <w:wordWrap/>
              <w:overflowPunct/>
              <w:topLinePunct w:val="0"/>
              <w:autoSpaceDE/>
              <w:autoSpaceDN/>
              <w:bidi w:val="0"/>
              <w:adjustRightInd w:val="0"/>
              <w:snapToGrid w:val="0"/>
              <w:spacing w:before="63" w:beforeLines="20" w:line="312" w:lineRule="auto"/>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rPr>
              <w:t>任意一项★条款存在负偏离，</w:t>
            </w:r>
            <w:r>
              <w:rPr>
                <w:rFonts w:hint="eastAsia" w:ascii="宋体" w:hAnsi="宋体" w:eastAsia="宋体" w:cs="宋体"/>
                <w:color w:val="auto"/>
                <w:sz w:val="28"/>
                <w:szCs w:val="28"/>
                <w:highlight w:val="none"/>
                <w:lang w:eastAsia="zh-CN"/>
              </w:rPr>
              <w:t>则投标（响应）无效；</w:t>
            </w:r>
          </w:p>
          <w:p w14:paraId="2F6E4AA4">
            <w:pPr>
              <w:keepNext w:val="0"/>
              <w:keepLines w:val="0"/>
              <w:pageBreakBefore w:val="0"/>
              <w:widowControl w:val="0"/>
              <w:kinsoku/>
              <w:wordWrap/>
              <w:overflowPunct/>
              <w:topLinePunct w:val="0"/>
              <w:autoSpaceDE/>
              <w:autoSpaceDN/>
              <w:bidi w:val="0"/>
              <w:adjustRightInd w:val="0"/>
              <w:snapToGrid w:val="0"/>
              <w:spacing w:before="63" w:beforeLines="2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rPr>
              <w:t>注：①投标供应商应列出投标货物与招标货物相对应的实际参数，应对招标货物的每项参数进行真实、客观的响应，</w:t>
            </w:r>
            <w:r>
              <w:rPr>
                <w:rFonts w:hint="eastAsia" w:ascii="宋体" w:hAnsi="宋体" w:eastAsia="宋体" w:cs="宋体"/>
                <w:color w:val="auto"/>
                <w:sz w:val="28"/>
                <w:szCs w:val="28"/>
                <w:highlight w:val="none"/>
              </w:rPr>
              <w:t>并对其真实性负责。</w:t>
            </w:r>
          </w:p>
          <w:p w14:paraId="3DC057A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t>注：采购人在中标后对</w:t>
            </w:r>
            <w:r>
              <w:rPr>
                <w:rFonts w:hint="eastAsia" w:ascii="宋体" w:hAnsi="宋体" w:eastAsia="宋体" w:cs="宋体"/>
                <w:color w:val="auto"/>
                <w:sz w:val="28"/>
                <w:szCs w:val="28"/>
                <w:highlight w:val="none"/>
                <w:lang w:eastAsia="zh-CN"/>
              </w:rPr>
              <w:t>中标供应商</w:t>
            </w:r>
            <w:r>
              <w:rPr>
                <w:rFonts w:hint="eastAsia" w:ascii="宋体" w:hAnsi="宋体" w:eastAsia="宋体" w:cs="宋体"/>
                <w:color w:val="auto"/>
                <w:sz w:val="28"/>
                <w:szCs w:val="28"/>
                <w:highlight w:val="none"/>
              </w:rPr>
              <w:t>提供的证明材料原件进行验核，如有虚假将被取消中标资格，上报监管部门进行行政处罚。</w:t>
            </w:r>
          </w:p>
        </w:tc>
      </w:tr>
      <w:tr w14:paraId="4E53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1286" w:type="dxa"/>
            <w:vMerge w:val="continue"/>
            <w:noWrap w:val="0"/>
            <w:vAlign w:val="center"/>
          </w:tcPr>
          <w:p w14:paraId="3566ECDA">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p>
        </w:tc>
        <w:tc>
          <w:tcPr>
            <w:tcW w:w="714" w:type="dxa"/>
            <w:noWrap w:val="0"/>
            <w:vAlign w:val="center"/>
          </w:tcPr>
          <w:p w14:paraId="314FDC5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产品功能优化</w:t>
            </w:r>
          </w:p>
        </w:tc>
        <w:tc>
          <w:tcPr>
            <w:tcW w:w="766" w:type="dxa"/>
            <w:noWrap w:val="0"/>
            <w:vAlign w:val="center"/>
          </w:tcPr>
          <w:p w14:paraId="1A6C1412">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15分</w:t>
            </w:r>
          </w:p>
        </w:tc>
        <w:tc>
          <w:tcPr>
            <w:tcW w:w="5955" w:type="dxa"/>
            <w:noWrap w:val="0"/>
            <w:vAlign w:val="center"/>
          </w:tcPr>
          <w:p w14:paraId="5C03909B">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（一）消防机具车（皮卡车）能源类型根据其油耗特点，</w:t>
            </w:r>
            <w:r>
              <w:rPr>
                <w:rFonts w:hint="eastAsia" w:ascii="宋体" w:hAnsi="宋体" w:eastAsia="宋体" w:cs="宋体"/>
                <w:color w:val="auto"/>
                <w:sz w:val="28"/>
                <w:szCs w:val="28"/>
              </w:rPr>
              <w:t>进行综合评价</w:t>
            </w:r>
            <w:r>
              <w:rPr>
                <w:rFonts w:hint="eastAsia" w:ascii="宋体" w:hAnsi="宋体" w:eastAsia="宋体" w:cs="宋体"/>
                <w:color w:val="auto"/>
                <w:sz w:val="28"/>
                <w:szCs w:val="28"/>
                <w:lang w:eastAsia="zh-CN"/>
              </w:rPr>
              <w:t>：</w:t>
            </w:r>
          </w:p>
          <w:p w14:paraId="0B4C8DC5">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1.供应商投标车辆使用能源为汽油的得5分；</w:t>
            </w:r>
          </w:p>
          <w:p w14:paraId="277A3C3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2.供应商投标车辆使用能源为柴油的得10分.</w:t>
            </w:r>
          </w:p>
          <w:p w14:paraId="24F2353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（二）消防机具车（皮卡车）后悬架类型：原车标准配备为钢板，供应商升级为配备5连杆或多连杆悬架的，得5分。（提供相关的证明材料）</w:t>
            </w:r>
          </w:p>
        </w:tc>
      </w:tr>
      <w:tr w14:paraId="1D9B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6" w:hRule="atLeast"/>
          <w:jc w:val="center"/>
        </w:trPr>
        <w:tc>
          <w:tcPr>
            <w:tcW w:w="1286" w:type="dxa"/>
            <w:vMerge w:val="continue"/>
            <w:noWrap w:val="0"/>
            <w:vAlign w:val="center"/>
          </w:tcPr>
          <w:p w14:paraId="18F127E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p>
        </w:tc>
        <w:tc>
          <w:tcPr>
            <w:tcW w:w="714" w:type="dxa"/>
            <w:noWrap w:val="0"/>
            <w:vAlign w:val="center"/>
          </w:tcPr>
          <w:p w14:paraId="339BC55E">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实施方案</w:t>
            </w:r>
          </w:p>
        </w:tc>
        <w:tc>
          <w:tcPr>
            <w:tcW w:w="766" w:type="dxa"/>
            <w:noWrap w:val="0"/>
            <w:vAlign w:val="center"/>
          </w:tcPr>
          <w:p w14:paraId="4546329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tc>
        <w:tc>
          <w:tcPr>
            <w:tcW w:w="5955" w:type="dxa"/>
            <w:noWrap w:val="0"/>
            <w:vAlign w:val="center"/>
          </w:tcPr>
          <w:p w14:paraId="0095A6FC">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整体服务实施方案：评标委员会根据各供应商提供的包含不限于：采购、包装、运输、交货、验收方案等综合评价。</w:t>
            </w:r>
          </w:p>
          <w:p w14:paraId="7F127284">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1．实施方案完全满足项目要求，服务方案完整、思路清晰、可扩展性强、建议合理，具有针对性应对措施得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5分；</w:t>
            </w:r>
          </w:p>
          <w:p w14:paraId="2D2D2B74">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2．实施方案较能满足项目要求，服务方案较完整、思路较清晰、可扩展性较强、建议较合理，较具有针对性应对措施得</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分；</w:t>
            </w:r>
          </w:p>
          <w:p w14:paraId="58656F1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3．实施方案基本满足项目要求，服务方案基本完整得</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1分；</w:t>
            </w:r>
          </w:p>
          <w:p w14:paraId="6FC5EB2E">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4．实施方案不完整，或者没有提供实施方案不得分。</w:t>
            </w:r>
          </w:p>
        </w:tc>
      </w:tr>
      <w:tr w14:paraId="0C6F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6" w:hRule="atLeast"/>
          <w:jc w:val="center"/>
        </w:trPr>
        <w:tc>
          <w:tcPr>
            <w:tcW w:w="1286" w:type="dxa"/>
            <w:vMerge w:val="continue"/>
            <w:noWrap w:val="0"/>
            <w:vAlign w:val="center"/>
          </w:tcPr>
          <w:p w14:paraId="38FE9D7C">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p>
        </w:tc>
        <w:tc>
          <w:tcPr>
            <w:tcW w:w="714" w:type="dxa"/>
            <w:noWrap w:val="0"/>
            <w:vAlign w:val="center"/>
          </w:tcPr>
          <w:p w14:paraId="3067632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售后服务方案</w:t>
            </w:r>
          </w:p>
        </w:tc>
        <w:tc>
          <w:tcPr>
            <w:tcW w:w="766" w:type="dxa"/>
            <w:noWrap w:val="0"/>
            <w:vAlign w:val="center"/>
          </w:tcPr>
          <w:p w14:paraId="65215A95">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tc>
        <w:tc>
          <w:tcPr>
            <w:tcW w:w="5955" w:type="dxa"/>
            <w:noWrap w:val="0"/>
            <w:vAlign w:val="center"/>
          </w:tcPr>
          <w:p w14:paraId="2FAEF22B">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综合比较各供应商针对本项目提供的售后服务方案（包含但不限于响应时间及响应方案），进行综合评价。</w:t>
            </w:r>
          </w:p>
          <w:p w14:paraId="0941948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1.售后方案安排具体、合理、可行得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5分；</w:t>
            </w:r>
          </w:p>
          <w:p w14:paraId="37677B72">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2.售后方案安排较为具体、合理、可行得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3分；</w:t>
            </w:r>
          </w:p>
          <w:p w14:paraId="4E5748BC">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3.售后方案安排粗略、可行性存疑、较难满足项目需求得</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1分；</w:t>
            </w:r>
          </w:p>
          <w:p w14:paraId="1FF7DBD9">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288"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4.未提供售后方案不得分。</w:t>
            </w:r>
          </w:p>
        </w:tc>
      </w:tr>
      <w:tr w14:paraId="1B1F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5" w:hRule="atLeast"/>
          <w:jc w:val="center"/>
        </w:trPr>
        <w:tc>
          <w:tcPr>
            <w:tcW w:w="1286" w:type="dxa"/>
            <w:vMerge w:val="restart"/>
            <w:noWrap w:val="0"/>
            <w:vAlign w:val="center"/>
          </w:tcPr>
          <w:p w14:paraId="0252DC8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商务部分</w:t>
            </w:r>
          </w:p>
          <w:p w14:paraId="6210FE96">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分）</w:t>
            </w:r>
          </w:p>
        </w:tc>
        <w:tc>
          <w:tcPr>
            <w:tcW w:w="714" w:type="dxa"/>
            <w:noWrap w:val="0"/>
            <w:vAlign w:val="center"/>
          </w:tcPr>
          <w:p w14:paraId="2A522D1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履约承诺</w:t>
            </w:r>
          </w:p>
        </w:tc>
        <w:tc>
          <w:tcPr>
            <w:tcW w:w="766" w:type="dxa"/>
            <w:noWrap w:val="0"/>
            <w:vAlign w:val="center"/>
          </w:tcPr>
          <w:p w14:paraId="6CBA90AE">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p>
        </w:tc>
        <w:tc>
          <w:tcPr>
            <w:tcW w:w="5955" w:type="dxa"/>
            <w:noWrap w:val="0"/>
            <w:vAlign w:val="center"/>
          </w:tcPr>
          <w:p w14:paraId="783AF6B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供应商承诺：如果中标，</w:t>
            </w:r>
            <w:r>
              <w:rPr>
                <w:rFonts w:hint="eastAsia" w:ascii="宋体" w:hAnsi="宋体" w:eastAsia="宋体" w:cs="宋体"/>
                <w:color w:val="auto"/>
                <w:sz w:val="28"/>
                <w:szCs w:val="28"/>
              </w:rPr>
              <w:t>如未按采购文件要求按时缴纳履约保函或未在规定限期内签订合同，无论何种原因甲方有权取消其中标资格、撤销其中标通知书，甲方有权另选乙方或重新招标。</w:t>
            </w:r>
            <w:r>
              <w:rPr>
                <w:rFonts w:hint="eastAsia" w:ascii="宋体" w:hAnsi="宋体" w:eastAsia="宋体" w:cs="宋体"/>
                <w:color w:val="auto"/>
                <w:sz w:val="28"/>
                <w:szCs w:val="28"/>
                <w:lang w:eastAsia="zh-CN"/>
              </w:rPr>
              <w:t>供应商按要求承诺得</w:t>
            </w:r>
            <w:r>
              <w:rPr>
                <w:rFonts w:hint="eastAsia" w:ascii="宋体" w:hAnsi="宋体" w:eastAsia="宋体" w:cs="宋体"/>
                <w:color w:val="auto"/>
                <w:sz w:val="28"/>
                <w:szCs w:val="28"/>
                <w:lang w:val="en-US" w:eastAsia="zh-CN"/>
              </w:rPr>
              <w:t>4分，</w:t>
            </w:r>
            <w:r>
              <w:rPr>
                <w:rFonts w:hint="eastAsia" w:ascii="宋体" w:hAnsi="宋体" w:eastAsia="宋体" w:cs="宋体"/>
                <w:color w:val="auto"/>
                <w:sz w:val="28"/>
                <w:szCs w:val="28"/>
                <w:lang w:eastAsia="zh-CN"/>
              </w:rPr>
              <w:t>不按要求承诺不得分。</w:t>
            </w:r>
          </w:p>
        </w:tc>
      </w:tr>
      <w:tr w14:paraId="14B4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5" w:hRule="atLeast"/>
          <w:jc w:val="center"/>
        </w:trPr>
        <w:tc>
          <w:tcPr>
            <w:tcW w:w="1286" w:type="dxa"/>
            <w:vMerge w:val="continue"/>
            <w:noWrap w:val="0"/>
            <w:vAlign w:val="center"/>
          </w:tcPr>
          <w:p w14:paraId="0A508DB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p>
        </w:tc>
        <w:tc>
          <w:tcPr>
            <w:tcW w:w="714" w:type="dxa"/>
            <w:noWrap w:val="0"/>
            <w:vAlign w:val="center"/>
          </w:tcPr>
          <w:p w14:paraId="11F45976">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质保期承诺</w:t>
            </w:r>
          </w:p>
        </w:tc>
        <w:tc>
          <w:tcPr>
            <w:tcW w:w="766" w:type="dxa"/>
            <w:noWrap w:val="0"/>
            <w:vAlign w:val="center"/>
          </w:tcPr>
          <w:p w14:paraId="15467BA4">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lang w:val="en-US" w:eastAsia="zh-CN"/>
              </w:rPr>
              <w:t>4分</w:t>
            </w:r>
          </w:p>
        </w:tc>
        <w:tc>
          <w:tcPr>
            <w:tcW w:w="5955" w:type="dxa"/>
            <w:noWrap w:val="0"/>
            <w:vAlign w:val="center"/>
          </w:tcPr>
          <w:p w14:paraId="7C548A9E">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评标委员会根据投标人对所投车辆质保期进行评价：供应商所投车辆在满足采购文件质保期的基础上，每增加1年得</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分，最多得</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分。（不足一年的不得分）</w:t>
            </w:r>
          </w:p>
          <w:p w14:paraId="6E195F89">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bCs/>
                <w:color w:val="auto"/>
                <w:sz w:val="28"/>
                <w:szCs w:val="28"/>
              </w:rPr>
              <w:t>注：提供相关承诺书加盖投标单位公章</w:t>
            </w:r>
          </w:p>
        </w:tc>
      </w:tr>
      <w:tr w14:paraId="2F36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5" w:hRule="atLeast"/>
          <w:jc w:val="center"/>
        </w:trPr>
        <w:tc>
          <w:tcPr>
            <w:tcW w:w="1286" w:type="dxa"/>
            <w:vMerge w:val="continue"/>
            <w:noWrap w:val="0"/>
            <w:vAlign w:val="center"/>
          </w:tcPr>
          <w:p w14:paraId="47FB33C5">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p>
        </w:tc>
        <w:tc>
          <w:tcPr>
            <w:tcW w:w="714" w:type="dxa"/>
            <w:noWrap w:val="0"/>
            <w:vAlign w:val="center"/>
          </w:tcPr>
          <w:p w14:paraId="5FCFF6D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企业实力</w:t>
            </w:r>
          </w:p>
        </w:tc>
        <w:tc>
          <w:tcPr>
            <w:tcW w:w="766" w:type="dxa"/>
            <w:noWrap w:val="0"/>
            <w:vAlign w:val="center"/>
          </w:tcPr>
          <w:p w14:paraId="73F7FC2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p>
        </w:tc>
        <w:tc>
          <w:tcPr>
            <w:tcW w:w="5955" w:type="dxa"/>
            <w:noWrap w:val="0"/>
            <w:vAlign w:val="center"/>
          </w:tcPr>
          <w:p w14:paraId="061A9B5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供应商具有固定的车辆销售经营场所，提供经营场所的照片、</w:t>
            </w:r>
            <w:r>
              <w:rPr>
                <w:rFonts w:hint="eastAsia" w:ascii="宋体" w:hAnsi="宋体" w:eastAsia="宋体" w:cs="宋体"/>
                <w:color w:val="auto"/>
                <w:sz w:val="28"/>
                <w:szCs w:val="28"/>
                <w:highlight w:val="none"/>
                <w:lang w:val="en-US" w:eastAsia="zh-CN"/>
              </w:rPr>
              <w:t>及产权证明或租赁合同。提供复印件或扫描件得4分，没有或未提供不得分</w:t>
            </w:r>
            <w:r>
              <w:rPr>
                <w:rFonts w:hint="eastAsia" w:ascii="宋体" w:hAnsi="宋体" w:eastAsia="宋体" w:cs="宋体"/>
                <w:color w:val="auto"/>
                <w:sz w:val="28"/>
                <w:szCs w:val="28"/>
                <w:lang w:val="en-US" w:eastAsia="zh-CN"/>
              </w:rPr>
              <w:t>。</w:t>
            </w:r>
          </w:p>
        </w:tc>
      </w:tr>
      <w:tr w14:paraId="511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5" w:hRule="atLeast"/>
          <w:jc w:val="center"/>
        </w:trPr>
        <w:tc>
          <w:tcPr>
            <w:tcW w:w="1286" w:type="dxa"/>
            <w:vMerge w:val="continue"/>
            <w:noWrap w:val="0"/>
            <w:vAlign w:val="center"/>
          </w:tcPr>
          <w:p w14:paraId="0ECC74A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highlight w:val="none"/>
              </w:rPr>
            </w:pPr>
          </w:p>
        </w:tc>
        <w:tc>
          <w:tcPr>
            <w:tcW w:w="714" w:type="dxa"/>
            <w:noWrap w:val="0"/>
            <w:vAlign w:val="center"/>
          </w:tcPr>
          <w:p w14:paraId="012191CC">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本地化服务能力</w:t>
            </w:r>
          </w:p>
        </w:tc>
        <w:tc>
          <w:tcPr>
            <w:tcW w:w="766" w:type="dxa"/>
            <w:noWrap w:val="0"/>
            <w:vAlign w:val="center"/>
          </w:tcPr>
          <w:p w14:paraId="466C2B6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lang w:val="en-US" w:eastAsia="zh-CN"/>
              </w:rPr>
              <w:t>4分</w:t>
            </w:r>
          </w:p>
        </w:tc>
        <w:tc>
          <w:tcPr>
            <w:tcW w:w="5955" w:type="dxa"/>
            <w:noWrap w:val="0"/>
            <w:vAlign w:val="center"/>
          </w:tcPr>
          <w:p w14:paraId="3893390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具有固定的车辆售后维修服务场所，提供场所的照片、营业执照，有效的维修资质证书。如果维修服务场所为合作方式授权的，还需提供合作单位的相关合作协议。供应商按要求提供证明复印件或扫描件，满足以下其中一项可得4分，满足不得分。</w:t>
            </w:r>
          </w:p>
          <w:p w14:paraId="5C7F0EA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1.售后维修服务场所在铜仁市的；</w:t>
            </w:r>
          </w:p>
          <w:p w14:paraId="0A7E545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2.售后维修服务场所不在铜仁市的，投标人提供承诺中标后1个月内在铜仁市建立服务网点。</w:t>
            </w:r>
          </w:p>
        </w:tc>
      </w:tr>
      <w:tr w14:paraId="4419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1" w:hRule="atLeast"/>
          <w:jc w:val="center"/>
        </w:trPr>
        <w:tc>
          <w:tcPr>
            <w:tcW w:w="1286" w:type="dxa"/>
            <w:vMerge w:val="continue"/>
            <w:noWrap w:val="0"/>
            <w:vAlign w:val="center"/>
          </w:tcPr>
          <w:p w14:paraId="434779BD">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p>
        </w:tc>
        <w:tc>
          <w:tcPr>
            <w:tcW w:w="714" w:type="dxa"/>
            <w:noWrap w:val="0"/>
            <w:vAlign w:val="center"/>
          </w:tcPr>
          <w:p w14:paraId="23565D09">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维修响应时间</w:t>
            </w:r>
          </w:p>
        </w:tc>
        <w:tc>
          <w:tcPr>
            <w:tcW w:w="766" w:type="dxa"/>
            <w:noWrap w:val="0"/>
            <w:vAlign w:val="center"/>
          </w:tcPr>
          <w:p w14:paraId="44DDC0C3">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4分</w:t>
            </w:r>
          </w:p>
        </w:tc>
        <w:tc>
          <w:tcPr>
            <w:tcW w:w="5955" w:type="dxa"/>
            <w:noWrap w:val="0"/>
            <w:vAlign w:val="center"/>
          </w:tcPr>
          <w:p w14:paraId="57A5AC27">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供应商针对本项目提供</w:t>
            </w:r>
            <w:r>
              <w:rPr>
                <w:rFonts w:hint="eastAsia" w:ascii="宋体" w:hAnsi="宋体" w:eastAsia="宋体" w:cs="宋体"/>
                <w:color w:val="auto"/>
                <w:sz w:val="28"/>
                <w:szCs w:val="28"/>
                <w:lang w:eastAsia="zh-CN"/>
              </w:rPr>
              <w:t>维修</w:t>
            </w:r>
            <w:r>
              <w:rPr>
                <w:rFonts w:hint="eastAsia" w:ascii="宋体" w:hAnsi="宋体" w:eastAsia="宋体" w:cs="宋体"/>
                <w:color w:val="auto"/>
                <w:sz w:val="28"/>
                <w:szCs w:val="28"/>
              </w:rPr>
              <w:t>响应时间</w:t>
            </w:r>
            <w:r>
              <w:rPr>
                <w:rFonts w:hint="eastAsia" w:ascii="宋体" w:hAnsi="宋体" w:eastAsia="宋体" w:cs="宋体"/>
                <w:color w:val="auto"/>
                <w:sz w:val="28"/>
                <w:szCs w:val="28"/>
                <w:lang w:eastAsia="zh-CN"/>
              </w:rPr>
              <w:t>的承诺：</w:t>
            </w:r>
          </w:p>
          <w:p w14:paraId="74101D2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供应商承诺接到采购人通知后，维修人员</w:t>
            </w:r>
            <w:r>
              <w:rPr>
                <w:rFonts w:hint="eastAsia" w:ascii="宋体" w:hAnsi="宋体" w:eastAsia="宋体" w:cs="宋体"/>
                <w:color w:val="auto"/>
                <w:sz w:val="28"/>
                <w:szCs w:val="28"/>
                <w:lang w:val="en-US" w:eastAsia="zh-CN"/>
              </w:rPr>
              <w:t>1.5小时内到达铜仁市内现场，各县按开车路程实际所需时间增加1.5小时到达</w:t>
            </w:r>
            <w:r>
              <w:rPr>
                <w:rFonts w:hint="eastAsia" w:ascii="宋体" w:hAnsi="宋体" w:eastAsia="宋体" w:cs="宋体"/>
                <w:color w:val="auto"/>
                <w:sz w:val="28"/>
                <w:szCs w:val="28"/>
              </w:rPr>
              <w:t>得</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p>
          <w:p w14:paraId="7646CD3D">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供应商承诺接到采购人通知后，维修人员</w:t>
            </w:r>
            <w:r>
              <w:rPr>
                <w:rFonts w:hint="eastAsia" w:ascii="宋体" w:hAnsi="宋体" w:eastAsia="宋体" w:cs="宋体"/>
                <w:color w:val="auto"/>
                <w:sz w:val="28"/>
                <w:szCs w:val="28"/>
                <w:lang w:val="en-US" w:eastAsia="zh-CN"/>
              </w:rPr>
              <w:t>1.5-2.5小时内到达铜仁市内现场，各县按开车路程实际所需时间增加1.5小时到达现场</w:t>
            </w:r>
            <w:r>
              <w:rPr>
                <w:rFonts w:hint="eastAsia" w:ascii="宋体" w:hAnsi="宋体" w:eastAsia="宋体" w:cs="宋体"/>
                <w:color w:val="auto"/>
                <w:sz w:val="28"/>
                <w:szCs w:val="28"/>
              </w:rPr>
              <w:t>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p w14:paraId="4CEB0E6A">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供应商承诺接到采购人通知后，维修人员</w:t>
            </w:r>
            <w:r>
              <w:rPr>
                <w:rFonts w:hint="eastAsia" w:ascii="宋体" w:hAnsi="宋体" w:eastAsia="宋体" w:cs="宋体"/>
                <w:color w:val="auto"/>
                <w:sz w:val="28"/>
                <w:szCs w:val="28"/>
                <w:lang w:val="en-US" w:eastAsia="zh-CN"/>
              </w:rPr>
              <w:t>2.5-3.5小时内到达铜仁市内现场，各县按开车路程实际所需时间增加1.5小时到达现场</w:t>
            </w:r>
            <w:r>
              <w:rPr>
                <w:rFonts w:hint="eastAsia" w:ascii="宋体" w:hAnsi="宋体" w:eastAsia="宋体" w:cs="宋体"/>
                <w:color w:val="auto"/>
                <w:sz w:val="28"/>
                <w:szCs w:val="28"/>
              </w:rPr>
              <w:t>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p>
          <w:p w14:paraId="68D1767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bCs/>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其他情况或不承诺</w:t>
            </w:r>
            <w:r>
              <w:rPr>
                <w:rFonts w:hint="eastAsia" w:ascii="宋体" w:hAnsi="宋体" w:eastAsia="宋体" w:cs="宋体"/>
                <w:color w:val="auto"/>
                <w:sz w:val="28"/>
                <w:szCs w:val="28"/>
              </w:rPr>
              <w:t>不得分。</w:t>
            </w:r>
          </w:p>
        </w:tc>
      </w:tr>
      <w:tr w14:paraId="2EBB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1" w:hRule="atLeast"/>
          <w:jc w:val="center"/>
        </w:trPr>
        <w:tc>
          <w:tcPr>
            <w:tcW w:w="1286" w:type="dxa"/>
            <w:noWrap w:val="0"/>
            <w:vAlign w:val="center"/>
          </w:tcPr>
          <w:p w14:paraId="2C79203F">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p>
        </w:tc>
        <w:tc>
          <w:tcPr>
            <w:tcW w:w="714" w:type="dxa"/>
            <w:noWrap w:val="0"/>
            <w:vAlign w:val="center"/>
          </w:tcPr>
          <w:p w14:paraId="4C67B5B8">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服务团队</w:t>
            </w:r>
          </w:p>
        </w:tc>
        <w:tc>
          <w:tcPr>
            <w:tcW w:w="766" w:type="dxa"/>
            <w:noWrap w:val="0"/>
            <w:vAlign w:val="center"/>
          </w:tcPr>
          <w:p w14:paraId="2B604B9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bCs/>
                <w:color w:val="auto"/>
                <w:sz w:val="28"/>
                <w:szCs w:val="28"/>
                <w:lang w:val="en-US" w:eastAsia="zh-CN"/>
              </w:rPr>
            </w:pPr>
            <w:r>
              <w:rPr>
                <w:rFonts w:hint="eastAsia" w:ascii="宋体" w:hAnsi="宋体" w:eastAsia="宋体" w:cs="宋体"/>
                <w:color w:val="auto"/>
                <w:sz w:val="28"/>
                <w:szCs w:val="28"/>
                <w:lang w:val="en-US" w:eastAsia="zh-CN"/>
              </w:rPr>
              <w:t>10分</w:t>
            </w:r>
          </w:p>
        </w:tc>
        <w:tc>
          <w:tcPr>
            <w:tcW w:w="5955" w:type="dxa"/>
            <w:noWrap w:val="0"/>
            <w:vAlign w:val="center"/>
          </w:tcPr>
          <w:p w14:paraId="257F4AF5">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销售服务团队成员：供应商拟配备应不少于</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人（含</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人），满足要求且证明材料提供齐全的得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分，否则不得分。</w:t>
            </w:r>
          </w:p>
          <w:p w14:paraId="65FE20D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售后维修人员：供应商拟配备的成员应不少于</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人（含</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人），具有相应的维修证书，满足要求且证明材料提供齐全的得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分，否则不得分。</w:t>
            </w:r>
          </w:p>
          <w:p w14:paraId="43389230">
            <w:pPr>
              <w:pStyle w:val="3"/>
              <w:keepNext w:val="0"/>
              <w:keepLines w:val="0"/>
              <w:pageBreakBefore w:val="0"/>
              <w:widowControl w:val="0"/>
              <w:kinsoku/>
              <w:wordWrap/>
              <w:overflowPunct/>
              <w:topLinePunct w:val="0"/>
              <w:autoSpaceDE/>
              <w:autoSpaceDN/>
              <w:bidi w:val="0"/>
              <w:adjustRightInd w:val="0"/>
              <w:snapToGrid w:val="0"/>
              <w:spacing w:before="63" w:beforeLines="20" w:after="0" w:afterLines="0" w:line="312"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注：提供以上服务团队成员姓名、身份证号、在服务团队内担任的岗位、联系方式、身份证、202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年至今任意</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个月缴纳的的社保证明，提供复印件或扫描件为证明材料。</w:t>
            </w:r>
          </w:p>
        </w:tc>
      </w:tr>
    </w:tbl>
    <w:p w14:paraId="41CC94C4">
      <w:pPr>
        <w:keepNext w:val="0"/>
        <w:keepLines w:val="0"/>
        <w:pageBreakBefore w:val="0"/>
        <w:widowControl w:val="0"/>
        <w:shd w:val="clear" w:color="auto" w:fill="auto"/>
        <w:kinsoku/>
        <w:wordWrap/>
        <w:overflowPunct/>
        <w:topLinePunct w:val="0"/>
        <w:autoSpaceDE/>
        <w:autoSpaceDN/>
        <w:bidi w:val="0"/>
        <w:adjustRightInd w:val="0"/>
        <w:snapToGrid w:val="0"/>
        <w:spacing w:after="0" w:line="408" w:lineRule="auto"/>
        <w:jc w:val="both"/>
        <w:textAlignment w:val="auto"/>
        <w:rPr>
          <w:rFonts w:hint="eastAsia" w:ascii="宋体" w:hAnsi="宋体" w:eastAsia="宋体" w:cs="宋体"/>
          <w:color w:val="auto"/>
          <w:sz w:val="32"/>
          <w:szCs w:val="32"/>
          <w:highlight w:val="none"/>
          <w:lang w:val="en-US" w:eastAsia="zh-CN"/>
        </w:rPr>
      </w:pPr>
    </w:p>
    <w:p w14:paraId="422F4340">
      <w:pPr>
        <w:rPr>
          <w:rFonts w:hint="eastAsia" w:ascii="宋体" w:hAnsi="宋体" w:eastAsia="宋体" w:cs="宋体"/>
          <w:color w:val="auto"/>
          <w:kern w:val="0"/>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348B4"/>
    <w:rsid w:val="541B1A21"/>
    <w:rsid w:val="6CE66A13"/>
    <w:rsid w:val="70CD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3">
    <w:name w:val="Body Text"/>
    <w:basedOn w:val="1"/>
    <w:qFormat/>
    <w:uiPriority w:val="0"/>
    <w:pPr>
      <w:spacing w:after="120" w:afterLines="0"/>
    </w:pPr>
    <w:rPr>
      <w:rFonts w:ascii="Tahoma" w:hAnsi="Tahom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2025-08-04T00:44:01Z</dcterms:created>
  <dc:creator>Administrator</dc:creator>
  <cp:lastModifiedBy>a 妮妮</cp:lastModifiedBy>
  <dcterms:modified xsi:type="dcterms:W3CDTF">2025-08-04T00:55:29Z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eyJoZGlkIjoiZmJmMTkwMzUyNmQxZjAxN2ExYjgzNmUyYjE5YTVjZWUiLCJ1c2VySWQiOiI0MjE5OTU0MDkifQ==</vt:lpwstr>
  </property>
  <property fmtid="{D5CDD505-2E9C-101B-9397-08002B2CF9AE}" pid="4" name="ICV">
    <vt:lpwstr>AEC5D8240427475D9BE7D8EA68229691_12</vt:lpwstr>
  </property>
</Properties>
</file>