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53F0">
      <w:pPr>
        <w:pStyle w:val="2"/>
        <w:numPr>
          <w:ilvl w:val="0"/>
          <w:numId w:val="1"/>
        </w:numPr>
        <w:bidi w:val="0"/>
        <w:rPr>
          <w:rFonts w:hint="eastAsia"/>
          <w:lang w:val="en-US" w:eastAsia="zh-CN"/>
        </w:rPr>
      </w:pPr>
      <w:r>
        <w:rPr>
          <w:rFonts w:hint="eastAsia"/>
          <w:lang w:val="en-US" w:eastAsia="zh-CN"/>
        </w:rPr>
        <w:t>资格条件</w:t>
      </w:r>
    </w:p>
    <w:p w14:paraId="2D6E2D9D">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1.具有独立承担民事责任的能力：提供法人或者其他组 织的营业执照等证明文件，或自然人身份证明；</w:t>
      </w:r>
    </w:p>
    <w:p w14:paraId="577ED02F">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2.具有良好的商业信誉和健全的财务会计制度：供应商 是法人的，提供2023年度经审计的财务报告(包括资产负债表、现金流量表、利润表、财务报表附注成财务状况说明书、会计师事务所的营业执照及执业资格证要)或成立未满一年的投标供应商提供2024年5月至今银行出具的有效资信证明；部分其他组织和自然人参与投标没有经审计的财务报告可以提供银行出具的有效资信证明；(复印件(扫描件)加盖公章)</w:t>
      </w:r>
    </w:p>
    <w:p w14:paraId="36149020">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3.具有履行合同所必需的设备和专业技术能力：提供具 有履行合同所必需的设备和专业技术能力的证明材料复印 件加盖公章或自行承诺具有履行合同所必需的设备和专业 技术能力。【格式自拟】</w:t>
      </w:r>
    </w:p>
    <w:p w14:paraId="57EA5BB1">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4.具有依法缴纳税收和社会保障资金的良好记录：提供 2024年1月至今任意三个月依法缴纳税收和社会保险的有效 证明材料(成立未满三个月的投标供应商提供自成立以来依 法缴纳税收和社会保险的有效证明材料),依法不缴纳社保 及免税的投标供应商提供由社保部门及税务机关出具的有 效证明材料；(不需缴纳税收的应提供相关证明材料)</w:t>
      </w:r>
    </w:p>
    <w:p w14:paraId="6F9268FD">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5.参加本次政府采购活动前三年内，在经营活动中没有 违法违规记录：提供参加政府采购活动前3年内在经营活动 中没有重大违法记录的书面声明(格式文件详见相关文件范 本)。</w:t>
      </w:r>
    </w:p>
    <w:p w14:paraId="136FDCF5">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6.法律、行政法规和国家有关规定的其他条件：</w:t>
      </w:r>
    </w:p>
    <w:p w14:paraId="21B1D8D1">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(1)供应商须承诺：在“信用中国”网站(ww.creditchina.gov.cn)、中国政府级购网(ww.cCBp.gov.cn)等渠道查询中未被列入失信被执行人名 单、重大税收违法案件当事人名单、政府采妁严重违法失信 行为记录名单中，如被列入失信被执行人、重大税收违法案 件当事人名单、政府采购严重违法失信行为记录名单中的供 应商取消其投标资格，并承担由此造成的一切法律责任及后 果。 (格式文件详见相关文件范本)</w:t>
      </w:r>
    </w:p>
    <w:p w14:paraId="7EC0C761">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(2)根据《省发展改革委省法院省公共资源交易中心关于 推进全省公共资源交易领域对法院失信被执行人实施信用联 合惩戒的通知》黔发改财金【2020】421号文件要求，交易系 统会自行对失信供应商实施信用联合惩戒。。</w:t>
      </w:r>
    </w:p>
    <w:p w14:paraId="010A04D0">
      <w:pPr>
        <w:rPr>
          <w:rFonts w:hint="default"/>
          <w:lang w:val="en-US" w:eastAsia="zh-CN"/>
        </w:rPr>
      </w:pPr>
      <w:r>
        <w:rPr>
          <w:rFonts w:hint="eastAsia"/>
          <w:lang w:val="en-US" w:eastAsia="zh-CN"/>
        </w:rPr>
        <w:br w:type="page"/>
      </w:r>
    </w:p>
    <w:p w14:paraId="13062CC4">
      <w:pPr>
        <w:pStyle w:val="2"/>
        <w:numPr>
          <w:ilvl w:val="0"/>
          <w:numId w:val="1"/>
        </w:numPr>
        <w:bidi w:val="0"/>
        <w:rPr>
          <w:rFonts w:hint="default"/>
          <w:lang w:val="en-US" w:eastAsia="zh-CN"/>
        </w:rPr>
      </w:pPr>
      <w:r>
        <w:rPr>
          <w:rFonts w:hint="eastAsia"/>
          <w:lang w:val="en-US" w:eastAsia="zh-CN"/>
        </w:rPr>
        <w:t>技术要求</w:t>
      </w:r>
    </w:p>
    <w:p w14:paraId="623BDD26">
      <w:pPr>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sz w:val="32"/>
          <w:szCs w:val="32"/>
        </w:rPr>
        <w:t>贵阳市妇女儿童活动中心项目概况</w:t>
      </w:r>
    </w:p>
    <w:p w14:paraId="7EEF1214">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贵阳市妇女儿童活动中心（以下简称活动中心）是贵阳市委、市政府坚持贯彻落实男女平等的基本国策及儿童优先原则，推进妇女儿童事业健康发展的重要基地；是贵阳市妇联组织实施儿童教育培训，为妇女儿童办实事，提高妇女素质，促进儿童健康成长的重要平台。</w:t>
      </w:r>
    </w:p>
    <w:p w14:paraId="79FA329C">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活动中心由妇女就业创业实训基地、儿童教育研究中心（450名儿童办学规模的幼儿园）、妇女儿童活动营地（含可同时容纳220余人的多功能厅、2700余平米的活动广场、标准网球场及羽毛球场）等功能区组成，是一个集学习培训、就业指导、餐饮住宿、运动健康为一体的多功能综合服务中心。</w:t>
      </w:r>
    </w:p>
    <w:p w14:paraId="29582FF2">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活动中心地处观山湖文化山，东南为商业，娱乐区，北面为体育公园和居民小区，西邻教育科研区，中心有办公楼、妇女就业创业实训基地、妇女儿童活动营地，儿童教育研究中心以及道路、广场、停车场、网球场、羽毛球场等，中心共有3个出入口（其中：车行出口2个，人行出口1个），占地面积共23833 m2，建筑面积13444.4㎡（含地下室），绿化面积为15219m2，其中，儿童教育研究中心底层面积1259.03,总面积3629㎡（已委托贵阳市国资公司进行经营管理），创业实训基地底层面积957.42㎡。总面积5494㎡（已委托贵阳市国资公司进行经营管理），妇儿活动营地（多功能厅）2198.1m2(底层面积732.70㎡)，办公楼616.71㎡，地下室部分面积1506.59㎡，地下室部分为人防设施及设备用房。</w:t>
      </w:r>
    </w:p>
    <w:p w14:paraId="0EE1F53D">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活动中心主要设备设施包括630KVA变压器两台、输出为两组的高低压配电控制系统、200KVA应急发电机机组一套、中央空调系统制热制冷机组各一套、冷却塔一套、给排水系统、消防系统、监控系统、弱电网络系统、通风系统、照明系统、紧急照明系统、道阐系统、排污系统。共有热水锅炉2台(燃气)空调制冷机组一套,含电机15KW、22KW、5.5KW各一台。消防系统电机30KW2台、18.5KW2台、给水系统电机4KW2台、2.2KW2台、排水系统电机3.5KW9台。多功能厅配有活动座椅、影视播放，舞台灯光系统一套。</w:t>
      </w:r>
    </w:p>
    <w:p w14:paraId="61853A1E">
      <w:pPr>
        <w:pStyle w:val="12"/>
        <w:shd w:val="clear" w:color="auto" w:fill="FCFCFC"/>
        <w:snapToGrid w:val="0"/>
        <w:spacing w:before="0" w:beforeAutospacing="0" w:after="0" w:afterAutospacing="0" w:line="360" w:lineRule="auto"/>
        <w:ind w:firstLine="640" w:firstLineChars="200"/>
        <w:jc w:val="both"/>
        <w:rPr>
          <w:rFonts w:hint="eastAsia" w:ascii="仿宋" w:hAnsi="仿宋" w:eastAsia="仿宋" w:cs="仿宋"/>
          <w:b/>
          <w:color w:val="000000"/>
          <w:sz w:val="32"/>
          <w:szCs w:val="32"/>
        </w:rPr>
      </w:pPr>
      <w:r>
        <w:rPr>
          <w:rFonts w:hint="eastAsia" w:ascii="仿宋" w:hAnsi="仿宋" w:eastAsia="仿宋" w:cs="仿宋"/>
          <w:color w:val="000000"/>
          <w:sz w:val="32"/>
          <w:szCs w:val="32"/>
        </w:rPr>
        <w:t>二、贵阳市妇女儿童活动中心的物业管理模式</w:t>
      </w:r>
    </w:p>
    <w:p w14:paraId="79C39ACF">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拟将贵阳市妇女儿童活动中心物业共用设施、设备管理分为三个层次进行，即：以保证共用设施、设备处于受控状态，维持正常运行为目的的日常管理及维修；以消除各种运行隐患，保证设施设备性能得以充分发挥为目的的定期维修养护（大、中修所需费用报财政单独列支）；以提升设备性能、增强设备自我保护功能从而满足中心不断增长的服务需求为目的的改良型维护（改造）。</w:t>
      </w:r>
    </w:p>
    <w:p w14:paraId="050D88D7">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333333"/>
          <w:spacing w:val="4"/>
          <w:sz w:val="32"/>
          <w:szCs w:val="32"/>
        </w:rPr>
      </w:pPr>
      <w:r>
        <w:rPr>
          <w:rFonts w:hint="eastAsia" w:ascii="仿宋" w:hAnsi="仿宋" w:eastAsia="仿宋" w:cs="仿宋"/>
          <w:color w:val="000000"/>
          <w:kern w:val="2"/>
          <w:sz w:val="32"/>
          <w:szCs w:val="32"/>
          <w:highlight w:val="white"/>
          <w:lang w:val="en-US" w:eastAsia="zh-CN" w:bidi="ar-SA"/>
        </w:rPr>
        <w:t>在贵阳市妇女儿童活动中心物业共用设施设备的管理维护上，充分运用计算机技术，对水、电、车辆、消防、闭路监控、防盗报警等系统实行集中综合控制和管理，利用计算机和网络技术，利用中央控制计算机的图形显示、冬天适时数据刷新功能，实时监控设备的运行状态、运行参数一目了然；运用特有的报警功能，准确及时了解设备是否正常，并能迅速做出反应，及时排除故障；实现各控制系统自动检测、自动调节、自动诊断、自动报警等功能，保证设备在最安全的状态下运行，降低设备运行成本，减少设备运维人员，将人为不安定因素降低到最小。</w:t>
      </w:r>
    </w:p>
    <w:p w14:paraId="1CD4A59E">
      <w:pPr>
        <w:spacing w:line="360" w:lineRule="auto"/>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三、管理目标</w:t>
      </w:r>
    </w:p>
    <w:p w14:paraId="77D05B36">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根据以上的总体设想，贵阳市妇女儿童活动中心物业管理目标可以确定为：</w:t>
      </w:r>
    </w:p>
    <w:p w14:paraId="5CD08947">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⑴ 满意率平均达到95%。</w:t>
      </w:r>
    </w:p>
    <w:p w14:paraId="2ECF33F0">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⑵ 火灾责任事故为零。</w:t>
      </w:r>
    </w:p>
    <w:p w14:paraId="113E62AA">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⑶ 刑事案件发案率不超过0.2%。</w:t>
      </w:r>
    </w:p>
    <w:p w14:paraId="3455045E">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⑷ 环境卫生清洁率99%。</w:t>
      </w:r>
    </w:p>
    <w:p w14:paraId="182D7CDE">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⑸ 消防设备设施完好率100%。</w:t>
      </w:r>
    </w:p>
    <w:p w14:paraId="57451996">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⑹ 房屋完好率98%。</w:t>
      </w:r>
    </w:p>
    <w:p w14:paraId="6F5EFAFA">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⑺ 设备完好率100%。</w:t>
      </w:r>
    </w:p>
    <w:p w14:paraId="6F8444BB">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⑻ 智能化系统运行正常率98%。</w:t>
      </w:r>
    </w:p>
    <w:p w14:paraId="4334ED0B">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⑼ 零修急修及时率100%，返修率小于1%。</w:t>
      </w:r>
    </w:p>
    <w:p w14:paraId="61676E10">
      <w:pPr>
        <w:pStyle w:val="11"/>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⑽ 服务有效投诉率不超过1%，处理率100%。</w:t>
      </w:r>
    </w:p>
    <w:p w14:paraId="57E43A99">
      <w:pPr>
        <w:spacing w:line="360" w:lineRule="auto"/>
        <w:rPr>
          <w:rFonts w:hint="eastAsia" w:ascii="仿宋" w:hAnsi="仿宋" w:eastAsia="仿宋" w:cs="仿宋"/>
          <w:b/>
          <w:sz w:val="32"/>
          <w:szCs w:val="32"/>
        </w:rPr>
      </w:pPr>
      <w:r>
        <w:rPr>
          <w:rFonts w:hint="eastAsia" w:ascii="仿宋" w:hAnsi="仿宋" w:eastAsia="仿宋" w:cs="仿宋"/>
          <w:b/>
          <w:sz w:val="32"/>
          <w:szCs w:val="32"/>
        </w:rPr>
        <w:t>各项目标分解</w:t>
      </w:r>
    </w:p>
    <w:tbl>
      <w:tblPr>
        <w:tblStyle w:val="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42"/>
        <w:gridCol w:w="1077"/>
        <w:gridCol w:w="1010"/>
        <w:gridCol w:w="4166"/>
      </w:tblGrid>
      <w:tr w14:paraId="7469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017DB9C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序</w:t>
            </w:r>
          </w:p>
          <w:p w14:paraId="5D7F5C1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号</w:t>
            </w:r>
          </w:p>
        </w:tc>
        <w:tc>
          <w:tcPr>
            <w:tcW w:w="2442" w:type="dxa"/>
            <w:tcBorders>
              <w:top w:val="single" w:color="auto" w:sz="4" w:space="0"/>
              <w:left w:val="single" w:color="auto" w:sz="4" w:space="0"/>
              <w:bottom w:val="single" w:color="auto" w:sz="4" w:space="0"/>
              <w:right w:val="single" w:color="auto" w:sz="4" w:space="0"/>
            </w:tcBorders>
            <w:noWrap/>
            <w:vAlign w:val="center"/>
          </w:tcPr>
          <w:p w14:paraId="1B8182B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管理项目</w:t>
            </w:r>
          </w:p>
        </w:tc>
        <w:tc>
          <w:tcPr>
            <w:tcW w:w="1077" w:type="dxa"/>
            <w:tcBorders>
              <w:top w:val="single" w:color="auto" w:sz="4" w:space="0"/>
              <w:left w:val="single" w:color="auto" w:sz="4" w:space="0"/>
              <w:bottom w:val="single" w:color="auto" w:sz="4" w:space="0"/>
              <w:right w:val="single" w:color="auto" w:sz="4" w:space="0"/>
            </w:tcBorders>
            <w:noWrap/>
            <w:vAlign w:val="center"/>
          </w:tcPr>
          <w:p w14:paraId="4E0B13B0">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国家示范标准</w:t>
            </w:r>
          </w:p>
        </w:tc>
        <w:tc>
          <w:tcPr>
            <w:tcW w:w="1010" w:type="dxa"/>
            <w:tcBorders>
              <w:top w:val="single" w:color="auto" w:sz="4" w:space="0"/>
              <w:left w:val="single" w:color="auto" w:sz="4" w:space="0"/>
              <w:bottom w:val="single" w:color="auto" w:sz="4" w:space="0"/>
              <w:right w:val="single" w:color="auto" w:sz="4" w:space="0"/>
            </w:tcBorders>
            <w:noWrap/>
            <w:vAlign w:val="center"/>
          </w:tcPr>
          <w:p w14:paraId="7DD5541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承诺</w:t>
            </w:r>
          </w:p>
          <w:p w14:paraId="76A6A05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标准</w:t>
            </w:r>
          </w:p>
        </w:tc>
        <w:tc>
          <w:tcPr>
            <w:tcW w:w="4166" w:type="dxa"/>
            <w:tcBorders>
              <w:top w:val="single" w:color="auto" w:sz="4" w:space="0"/>
              <w:left w:val="single" w:color="auto" w:sz="4" w:space="0"/>
              <w:bottom w:val="single" w:color="auto" w:sz="4" w:space="0"/>
              <w:right w:val="single" w:color="auto" w:sz="4" w:space="0"/>
            </w:tcBorders>
            <w:noWrap/>
            <w:vAlign w:val="center"/>
          </w:tcPr>
          <w:p w14:paraId="6310E02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测定依据</w:t>
            </w:r>
          </w:p>
        </w:tc>
      </w:tr>
      <w:tr w14:paraId="158F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47BF02EE">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w:t>
            </w:r>
          </w:p>
        </w:tc>
        <w:tc>
          <w:tcPr>
            <w:tcW w:w="2442" w:type="dxa"/>
            <w:tcBorders>
              <w:top w:val="single" w:color="auto" w:sz="4" w:space="0"/>
              <w:left w:val="single" w:color="auto" w:sz="4" w:space="0"/>
              <w:bottom w:val="single" w:color="auto" w:sz="4" w:space="0"/>
              <w:right w:val="single" w:color="auto" w:sz="4" w:space="0"/>
            </w:tcBorders>
            <w:noWrap/>
            <w:vAlign w:val="center"/>
          </w:tcPr>
          <w:p w14:paraId="19853B98">
            <w:pPr>
              <w:spacing w:line="360" w:lineRule="auto"/>
              <w:rPr>
                <w:rFonts w:hint="eastAsia" w:ascii="仿宋" w:hAnsi="仿宋" w:eastAsia="仿宋" w:cs="仿宋"/>
                <w:sz w:val="32"/>
                <w:szCs w:val="32"/>
              </w:rPr>
            </w:pPr>
            <w:r>
              <w:rPr>
                <w:rFonts w:hint="eastAsia" w:ascii="仿宋" w:hAnsi="仿宋" w:eastAsia="仿宋" w:cs="仿宋"/>
                <w:sz w:val="32"/>
                <w:szCs w:val="32"/>
              </w:rPr>
              <w:t>火灾责任事故发生率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7C9E05C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0</w:t>
            </w:r>
          </w:p>
        </w:tc>
        <w:tc>
          <w:tcPr>
            <w:tcW w:w="1010" w:type="dxa"/>
            <w:tcBorders>
              <w:top w:val="single" w:color="auto" w:sz="4" w:space="0"/>
              <w:left w:val="single" w:color="auto" w:sz="4" w:space="0"/>
              <w:bottom w:val="single" w:color="auto" w:sz="4" w:space="0"/>
              <w:right w:val="single" w:color="auto" w:sz="4" w:space="0"/>
            </w:tcBorders>
            <w:noWrap/>
            <w:vAlign w:val="center"/>
          </w:tcPr>
          <w:p w14:paraId="7A344D5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0</w:t>
            </w:r>
          </w:p>
        </w:tc>
        <w:tc>
          <w:tcPr>
            <w:tcW w:w="4166" w:type="dxa"/>
            <w:tcBorders>
              <w:top w:val="single" w:color="auto" w:sz="4" w:space="0"/>
              <w:left w:val="single" w:color="auto" w:sz="4" w:space="0"/>
              <w:bottom w:val="single" w:color="auto" w:sz="4" w:space="0"/>
              <w:right w:val="single" w:color="auto" w:sz="4" w:space="0"/>
            </w:tcBorders>
            <w:noWrap/>
            <w:vAlign w:val="center"/>
          </w:tcPr>
          <w:p w14:paraId="61E85A5F">
            <w:pPr>
              <w:spacing w:line="360" w:lineRule="auto"/>
              <w:jc w:val="center"/>
              <w:rPr>
                <w:rFonts w:hint="eastAsia" w:ascii="仿宋" w:hAnsi="仿宋" w:eastAsia="仿宋" w:cs="仿宋"/>
                <w:sz w:val="32"/>
                <w:szCs w:val="32"/>
              </w:rPr>
            </w:pPr>
          </w:p>
        </w:tc>
      </w:tr>
      <w:tr w14:paraId="55BC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7A4FEF4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2</w:t>
            </w:r>
          </w:p>
        </w:tc>
        <w:tc>
          <w:tcPr>
            <w:tcW w:w="2442" w:type="dxa"/>
            <w:tcBorders>
              <w:top w:val="single" w:color="auto" w:sz="4" w:space="0"/>
              <w:left w:val="single" w:color="auto" w:sz="4" w:space="0"/>
              <w:bottom w:val="single" w:color="auto" w:sz="4" w:space="0"/>
              <w:right w:val="single" w:color="auto" w:sz="4" w:space="0"/>
            </w:tcBorders>
            <w:noWrap/>
            <w:vAlign w:val="center"/>
          </w:tcPr>
          <w:p w14:paraId="61D34BB1">
            <w:pPr>
              <w:spacing w:line="360" w:lineRule="auto"/>
              <w:rPr>
                <w:rFonts w:hint="eastAsia" w:ascii="仿宋" w:hAnsi="仿宋" w:eastAsia="仿宋" w:cs="仿宋"/>
                <w:sz w:val="32"/>
                <w:szCs w:val="32"/>
              </w:rPr>
            </w:pPr>
            <w:r>
              <w:rPr>
                <w:rFonts w:hint="eastAsia" w:ascii="仿宋" w:hAnsi="仿宋" w:eastAsia="仿宋" w:cs="仿宋"/>
                <w:sz w:val="32"/>
                <w:szCs w:val="32"/>
              </w:rPr>
              <w:t>治安案件</w:t>
            </w:r>
          </w:p>
        </w:tc>
        <w:tc>
          <w:tcPr>
            <w:tcW w:w="1077" w:type="dxa"/>
            <w:tcBorders>
              <w:top w:val="single" w:color="auto" w:sz="4" w:space="0"/>
              <w:left w:val="single" w:color="auto" w:sz="4" w:space="0"/>
              <w:bottom w:val="single" w:color="auto" w:sz="4" w:space="0"/>
              <w:right w:val="single" w:color="auto" w:sz="4" w:space="0"/>
            </w:tcBorders>
            <w:noWrap/>
            <w:vAlign w:val="center"/>
          </w:tcPr>
          <w:p w14:paraId="0D8EBC1C">
            <w:pPr>
              <w:spacing w:line="360" w:lineRule="auto"/>
              <w:jc w:val="center"/>
              <w:rPr>
                <w:rFonts w:hint="eastAsia" w:ascii="仿宋" w:hAnsi="仿宋" w:eastAsia="仿宋" w:cs="仿宋"/>
                <w:sz w:val="32"/>
                <w:szCs w:val="32"/>
              </w:rPr>
            </w:pPr>
            <w:r>
              <w:rPr>
                <w:rFonts w:hint="eastAsia" w:ascii="仿宋" w:hAnsi="仿宋" w:eastAsia="仿宋" w:cs="仿宋"/>
                <w:sz w:val="32"/>
                <w:szCs w:val="32"/>
              </w:rPr>
              <w:t>2%</w:t>
            </w:r>
          </w:p>
        </w:tc>
        <w:tc>
          <w:tcPr>
            <w:tcW w:w="1010" w:type="dxa"/>
            <w:tcBorders>
              <w:top w:val="single" w:color="auto" w:sz="4" w:space="0"/>
              <w:left w:val="single" w:color="auto" w:sz="4" w:space="0"/>
              <w:bottom w:val="single" w:color="auto" w:sz="4" w:space="0"/>
              <w:right w:val="single" w:color="auto" w:sz="4" w:space="0"/>
            </w:tcBorders>
            <w:noWrap/>
            <w:vAlign w:val="center"/>
          </w:tcPr>
          <w:p w14:paraId="7336EFB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w:t>
            </w:r>
          </w:p>
        </w:tc>
        <w:tc>
          <w:tcPr>
            <w:tcW w:w="4166" w:type="dxa"/>
            <w:tcBorders>
              <w:top w:val="single" w:color="auto" w:sz="4" w:space="0"/>
              <w:left w:val="single" w:color="auto" w:sz="4" w:space="0"/>
              <w:bottom w:val="single" w:color="auto" w:sz="4" w:space="0"/>
              <w:right w:val="single" w:color="auto" w:sz="4" w:space="0"/>
            </w:tcBorders>
            <w:noWrap/>
            <w:vAlign w:val="center"/>
          </w:tcPr>
          <w:p w14:paraId="5A5428C3">
            <w:pPr>
              <w:spacing w:line="360" w:lineRule="auto"/>
              <w:rPr>
                <w:rFonts w:hint="eastAsia" w:ascii="仿宋" w:hAnsi="仿宋" w:eastAsia="仿宋" w:cs="仿宋"/>
                <w:sz w:val="32"/>
                <w:szCs w:val="32"/>
              </w:rPr>
            </w:pPr>
            <w:r>
              <w:rPr>
                <w:rFonts w:hint="eastAsia" w:ascii="仿宋" w:hAnsi="仿宋" w:eastAsia="仿宋" w:cs="仿宋"/>
                <w:sz w:val="32"/>
                <w:szCs w:val="32"/>
              </w:rPr>
              <w:t>以公安部门记录为依据</w:t>
            </w:r>
          </w:p>
        </w:tc>
      </w:tr>
      <w:tr w14:paraId="2BD1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14:paraId="63788BB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3</w:t>
            </w:r>
          </w:p>
        </w:tc>
        <w:tc>
          <w:tcPr>
            <w:tcW w:w="2442" w:type="dxa"/>
            <w:tcBorders>
              <w:top w:val="single" w:color="auto" w:sz="4" w:space="0"/>
              <w:left w:val="single" w:color="auto" w:sz="4" w:space="0"/>
              <w:bottom w:val="single" w:color="auto" w:sz="4" w:space="0"/>
              <w:right w:val="single" w:color="auto" w:sz="4" w:space="0"/>
            </w:tcBorders>
            <w:noWrap/>
            <w:vAlign w:val="center"/>
          </w:tcPr>
          <w:p w14:paraId="4A0E0CF3">
            <w:pPr>
              <w:spacing w:line="360" w:lineRule="auto"/>
              <w:rPr>
                <w:rFonts w:hint="eastAsia" w:ascii="仿宋" w:hAnsi="仿宋" w:eastAsia="仿宋" w:cs="仿宋"/>
                <w:sz w:val="32"/>
                <w:szCs w:val="32"/>
              </w:rPr>
            </w:pPr>
            <w:r>
              <w:rPr>
                <w:rFonts w:hint="eastAsia" w:ascii="仿宋" w:hAnsi="仿宋" w:eastAsia="仿宋" w:cs="仿宋"/>
                <w:sz w:val="32"/>
                <w:szCs w:val="32"/>
              </w:rPr>
              <w:t>环境卫生</w:t>
            </w:r>
          </w:p>
        </w:tc>
        <w:tc>
          <w:tcPr>
            <w:tcW w:w="1077" w:type="dxa"/>
            <w:vMerge w:val="restart"/>
            <w:tcBorders>
              <w:top w:val="single" w:color="auto" w:sz="4" w:space="0"/>
              <w:left w:val="single" w:color="auto" w:sz="4" w:space="0"/>
              <w:bottom w:val="single" w:color="auto" w:sz="4" w:space="0"/>
              <w:right w:val="single" w:color="auto" w:sz="4" w:space="0"/>
            </w:tcBorders>
            <w:noWrap/>
            <w:vAlign w:val="center"/>
          </w:tcPr>
          <w:p w14:paraId="1FA6D0F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1010" w:type="dxa"/>
            <w:vMerge w:val="restart"/>
            <w:tcBorders>
              <w:top w:val="single" w:color="auto" w:sz="4" w:space="0"/>
              <w:left w:val="single" w:color="auto" w:sz="4" w:space="0"/>
              <w:bottom w:val="single" w:color="auto" w:sz="4" w:space="0"/>
              <w:right w:val="single" w:color="auto" w:sz="4" w:space="0"/>
            </w:tcBorders>
            <w:noWrap/>
            <w:vAlign w:val="center"/>
          </w:tcPr>
          <w:p w14:paraId="37AC55A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99%</w:t>
            </w:r>
          </w:p>
        </w:tc>
        <w:tc>
          <w:tcPr>
            <w:tcW w:w="4166" w:type="dxa"/>
            <w:vMerge w:val="restart"/>
            <w:tcBorders>
              <w:top w:val="single" w:color="auto" w:sz="4" w:space="0"/>
              <w:left w:val="single" w:color="auto" w:sz="4" w:space="0"/>
              <w:bottom w:val="single" w:color="auto" w:sz="4" w:space="0"/>
              <w:right w:val="single" w:color="auto" w:sz="4" w:space="0"/>
            </w:tcBorders>
            <w:noWrap/>
            <w:vAlign w:val="center"/>
          </w:tcPr>
          <w:p w14:paraId="25E98010">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以工作记录及监督抽查合格率及纠正合格记录为依据</w:t>
            </w:r>
          </w:p>
        </w:tc>
      </w:tr>
      <w:tr w14:paraId="7051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59C0202A">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18E4C005">
            <w:pPr>
              <w:spacing w:line="360" w:lineRule="auto"/>
              <w:rPr>
                <w:rFonts w:hint="eastAsia" w:ascii="仿宋" w:hAnsi="仿宋" w:eastAsia="仿宋" w:cs="仿宋"/>
                <w:sz w:val="32"/>
                <w:szCs w:val="32"/>
              </w:rPr>
            </w:pPr>
            <w:r>
              <w:rPr>
                <w:rFonts w:hint="eastAsia" w:ascii="仿宋" w:hAnsi="仿宋" w:eastAsia="仿宋" w:cs="仿宋"/>
                <w:sz w:val="32"/>
                <w:szCs w:val="32"/>
              </w:rPr>
              <w:t>清洁率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3136E9D5">
            <w:pPr>
              <w:spacing w:line="360" w:lineRule="auto"/>
              <w:rPr>
                <w:rFonts w:hint="eastAsia" w:ascii="仿宋" w:hAnsi="仿宋" w:eastAsia="仿宋" w:cs="仿宋"/>
                <w:sz w:val="32"/>
                <w:szCs w:val="32"/>
              </w:rPr>
            </w:pPr>
          </w:p>
        </w:tc>
        <w:tc>
          <w:tcPr>
            <w:tcW w:w="1010" w:type="dxa"/>
            <w:vMerge w:val="continue"/>
            <w:tcBorders>
              <w:top w:val="single" w:color="auto" w:sz="4" w:space="0"/>
              <w:left w:val="single" w:color="auto" w:sz="4" w:space="0"/>
              <w:bottom w:val="single" w:color="auto" w:sz="4" w:space="0"/>
              <w:right w:val="single" w:color="auto" w:sz="4" w:space="0"/>
            </w:tcBorders>
            <w:noWrap/>
            <w:vAlign w:val="center"/>
          </w:tcPr>
          <w:p w14:paraId="726D3D80">
            <w:pPr>
              <w:spacing w:line="360" w:lineRule="auto"/>
              <w:rPr>
                <w:rFonts w:hint="eastAsia" w:ascii="仿宋" w:hAnsi="仿宋" w:eastAsia="仿宋" w:cs="仿宋"/>
                <w:sz w:val="32"/>
                <w:szCs w:val="32"/>
              </w:rPr>
            </w:pP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78426D8A">
            <w:pPr>
              <w:spacing w:line="360" w:lineRule="auto"/>
              <w:rPr>
                <w:rFonts w:hint="eastAsia" w:ascii="仿宋" w:hAnsi="仿宋" w:eastAsia="仿宋" w:cs="仿宋"/>
                <w:sz w:val="32"/>
                <w:szCs w:val="32"/>
              </w:rPr>
            </w:pPr>
          </w:p>
        </w:tc>
      </w:tr>
      <w:tr w14:paraId="2CF1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4A82F63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4</w:t>
            </w:r>
          </w:p>
        </w:tc>
        <w:tc>
          <w:tcPr>
            <w:tcW w:w="2442" w:type="dxa"/>
            <w:tcBorders>
              <w:top w:val="single" w:color="auto" w:sz="4" w:space="0"/>
              <w:left w:val="single" w:color="auto" w:sz="4" w:space="0"/>
              <w:bottom w:val="single" w:color="auto" w:sz="4" w:space="0"/>
              <w:right w:val="single" w:color="auto" w:sz="4" w:space="0"/>
            </w:tcBorders>
            <w:noWrap/>
            <w:vAlign w:val="center"/>
          </w:tcPr>
          <w:p w14:paraId="6577531D">
            <w:pPr>
              <w:spacing w:line="360" w:lineRule="auto"/>
              <w:rPr>
                <w:rFonts w:hint="eastAsia" w:ascii="仿宋" w:hAnsi="仿宋" w:eastAsia="仿宋" w:cs="仿宋"/>
                <w:sz w:val="32"/>
                <w:szCs w:val="32"/>
              </w:rPr>
            </w:pPr>
            <w:r>
              <w:rPr>
                <w:rFonts w:hint="eastAsia" w:ascii="仿宋" w:hAnsi="仿宋" w:eastAsia="仿宋" w:cs="仿宋"/>
                <w:sz w:val="32"/>
                <w:szCs w:val="32"/>
              </w:rPr>
              <w:t>消防设施完好率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5508F7B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1010" w:type="dxa"/>
            <w:tcBorders>
              <w:top w:val="single" w:color="auto" w:sz="4" w:space="0"/>
              <w:left w:val="single" w:color="auto" w:sz="4" w:space="0"/>
              <w:bottom w:val="single" w:color="auto" w:sz="4" w:space="0"/>
              <w:right w:val="single" w:color="auto" w:sz="4" w:space="0"/>
            </w:tcBorders>
            <w:noWrap/>
            <w:vAlign w:val="center"/>
          </w:tcPr>
          <w:p w14:paraId="323015A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tcBorders>
              <w:top w:val="single" w:color="auto" w:sz="4" w:space="0"/>
              <w:left w:val="single" w:color="auto" w:sz="4" w:space="0"/>
              <w:bottom w:val="single" w:color="auto" w:sz="4" w:space="0"/>
              <w:right w:val="single" w:color="auto" w:sz="4" w:space="0"/>
            </w:tcBorders>
            <w:noWrap/>
            <w:vAlign w:val="center"/>
          </w:tcPr>
          <w:p w14:paraId="502F99D4">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所有消防设备使用时处于完好状态</w:t>
            </w:r>
          </w:p>
        </w:tc>
      </w:tr>
      <w:tr w14:paraId="640A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3C1D91C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5</w:t>
            </w:r>
          </w:p>
        </w:tc>
        <w:tc>
          <w:tcPr>
            <w:tcW w:w="2442" w:type="dxa"/>
            <w:tcBorders>
              <w:top w:val="single" w:color="auto" w:sz="4" w:space="0"/>
              <w:left w:val="single" w:color="auto" w:sz="4" w:space="0"/>
              <w:bottom w:val="single" w:color="auto" w:sz="4" w:space="0"/>
              <w:right w:val="single" w:color="auto" w:sz="4" w:space="0"/>
            </w:tcBorders>
            <w:noWrap/>
            <w:vAlign w:val="center"/>
          </w:tcPr>
          <w:p w14:paraId="6D56F75D">
            <w:pPr>
              <w:spacing w:line="360" w:lineRule="auto"/>
              <w:rPr>
                <w:rFonts w:hint="eastAsia" w:ascii="仿宋" w:hAnsi="仿宋" w:eastAsia="仿宋" w:cs="仿宋"/>
                <w:sz w:val="32"/>
                <w:szCs w:val="32"/>
              </w:rPr>
            </w:pPr>
            <w:r>
              <w:rPr>
                <w:rFonts w:hint="eastAsia" w:ascii="仿宋" w:hAnsi="仿宋" w:eastAsia="仿宋" w:cs="仿宋"/>
                <w:sz w:val="32"/>
                <w:szCs w:val="32"/>
              </w:rPr>
              <w:t>房屋及配套设施完好率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13AF0513">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1010" w:type="dxa"/>
            <w:tcBorders>
              <w:top w:val="single" w:color="auto" w:sz="4" w:space="0"/>
              <w:left w:val="single" w:color="auto" w:sz="4" w:space="0"/>
              <w:bottom w:val="single" w:color="auto" w:sz="4" w:space="0"/>
              <w:right w:val="single" w:color="auto" w:sz="4" w:space="0"/>
            </w:tcBorders>
            <w:noWrap/>
            <w:vAlign w:val="center"/>
          </w:tcPr>
          <w:p w14:paraId="66FD561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4166" w:type="dxa"/>
            <w:tcBorders>
              <w:top w:val="single" w:color="auto" w:sz="4" w:space="0"/>
              <w:left w:val="single" w:color="auto" w:sz="4" w:space="0"/>
              <w:bottom w:val="single" w:color="auto" w:sz="4" w:space="0"/>
              <w:right w:val="single" w:color="auto" w:sz="4" w:space="0"/>
            </w:tcBorders>
            <w:noWrap/>
            <w:vAlign w:val="center"/>
          </w:tcPr>
          <w:p w14:paraId="1497BAD4">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完好、基本完好房面积/ 建筑物面积×100%</w:t>
            </w:r>
          </w:p>
        </w:tc>
      </w:tr>
      <w:tr w14:paraId="09DD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22EF2E83">
            <w:pPr>
              <w:spacing w:line="360" w:lineRule="auto"/>
              <w:jc w:val="center"/>
              <w:rPr>
                <w:rFonts w:hint="eastAsia" w:ascii="仿宋" w:hAnsi="仿宋" w:eastAsia="仿宋" w:cs="仿宋"/>
                <w:sz w:val="32"/>
                <w:szCs w:val="32"/>
              </w:rPr>
            </w:pPr>
            <w:r>
              <w:rPr>
                <w:rFonts w:hint="eastAsia" w:ascii="仿宋" w:hAnsi="仿宋" w:eastAsia="仿宋" w:cs="仿宋"/>
                <w:sz w:val="32"/>
                <w:szCs w:val="32"/>
              </w:rPr>
              <w:t>6</w:t>
            </w:r>
          </w:p>
        </w:tc>
        <w:tc>
          <w:tcPr>
            <w:tcW w:w="2442" w:type="dxa"/>
            <w:tcBorders>
              <w:top w:val="single" w:color="auto" w:sz="4" w:space="0"/>
              <w:left w:val="single" w:color="auto" w:sz="4" w:space="0"/>
              <w:bottom w:val="single" w:color="auto" w:sz="4" w:space="0"/>
              <w:right w:val="single" w:color="auto" w:sz="4" w:space="0"/>
            </w:tcBorders>
            <w:noWrap/>
            <w:vAlign w:val="center"/>
          </w:tcPr>
          <w:p w14:paraId="2E346B2C">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设备完好率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64CDDEA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1010" w:type="dxa"/>
            <w:tcBorders>
              <w:top w:val="single" w:color="auto" w:sz="4" w:space="0"/>
              <w:left w:val="single" w:color="auto" w:sz="4" w:space="0"/>
              <w:bottom w:val="single" w:color="auto" w:sz="4" w:space="0"/>
              <w:right w:val="single" w:color="auto" w:sz="4" w:space="0"/>
            </w:tcBorders>
            <w:noWrap/>
            <w:vAlign w:val="center"/>
          </w:tcPr>
          <w:p w14:paraId="42574B5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tcBorders>
              <w:top w:val="single" w:color="auto" w:sz="4" w:space="0"/>
              <w:left w:val="single" w:color="auto" w:sz="4" w:space="0"/>
              <w:bottom w:val="single" w:color="auto" w:sz="4" w:space="0"/>
              <w:right w:val="single" w:color="auto" w:sz="4" w:space="0"/>
            </w:tcBorders>
            <w:noWrap/>
            <w:vAlign w:val="center"/>
          </w:tcPr>
          <w:p w14:paraId="600665DA">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所有设备使用时处于完好状态</w:t>
            </w:r>
          </w:p>
        </w:tc>
      </w:tr>
      <w:tr w14:paraId="3BAD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736DE1B9">
            <w:pPr>
              <w:spacing w:line="360" w:lineRule="auto"/>
              <w:jc w:val="center"/>
              <w:rPr>
                <w:rFonts w:hint="eastAsia" w:ascii="仿宋" w:hAnsi="仿宋" w:eastAsia="仿宋" w:cs="仿宋"/>
                <w:sz w:val="32"/>
                <w:szCs w:val="32"/>
              </w:rPr>
            </w:pPr>
            <w:r>
              <w:rPr>
                <w:rFonts w:hint="eastAsia" w:ascii="仿宋" w:hAnsi="仿宋" w:eastAsia="仿宋" w:cs="仿宋"/>
                <w:sz w:val="32"/>
                <w:szCs w:val="32"/>
              </w:rPr>
              <w:t>7</w:t>
            </w:r>
          </w:p>
        </w:tc>
        <w:tc>
          <w:tcPr>
            <w:tcW w:w="2442" w:type="dxa"/>
            <w:tcBorders>
              <w:top w:val="single" w:color="auto" w:sz="4" w:space="0"/>
              <w:left w:val="single" w:color="auto" w:sz="4" w:space="0"/>
              <w:bottom w:val="single" w:color="auto" w:sz="4" w:space="0"/>
              <w:right w:val="single" w:color="auto" w:sz="4" w:space="0"/>
            </w:tcBorders>
            <w:noWrap/>
            <w:vAlign w:val="center"/>
          </w:tcPr>
          <w:p w14:paraId="4C552DD8">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智能化系统运行正常率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2BBBB63E">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1010" w:type="dxa"/>
            <w:tcBorders>
              <w:top w:val="single" w:color="auto" w:sz="4" w:space="0"/>
              <w:left w:val="single" w:color="auto" w:sz="4" w:space="0"/>
              <w:bottom w:val="single" w:color="auto" w:sz="4" w:space="0"/>
              <w:right w:val="single" w:color="auto" w:sz="4" w:space="0"/>
            </w:tcBorders>
            <w:noWrap/>
            <w:vAlign w:val="center"/>
          </w:tcPr>
          <w:p w14:paraId="2A833B7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4166" w:type="dxa"/>
            <w:tcBorders>
              <w:top w:val="single" w:color="auto" w:sz="4" w:space="0"/>
              <w:left w:val="single" w:color="auto" w:sz="4" w:space="0"/>
              <w:bottom w:val="single" w:color="auto" w:sz="4" w:space="0"/>
              <w:right w:val="single" w:color="auto" w:sz="4" w:space="0"/>
            </w:tcBorders>
            <w:noWrap/>
            <w:vAlign w:val="center"/>
          </w:tcPr>
          <w:p w14:paraId="727A2653">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故障时间占整个使用时间的比例</w:t>
            </w:r>
          </w:p>
        </w:tc>
      </w:tr>
      <w:tr w14:paraId="4B0F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14:paraId="6B10418C">
            <w:pPr>
              <w:spacing w:line="360" w:lineRule="auto"/>
              <w:jc w:val="center"/>
              <w:rPr>
                <w:rFonts w:hint="eastAsia" w:ascii="仿宋" w:hAnsi="仿宋" w:eastAsia="仿宋" w:cs="仿宋"/>
                <w:sz w:val="32"/>
                <w:szCs w:val="32"/>
              </w:rPr>
            </w:pPr>
            <w:r>
              <w:rPr>
                <w:rFonts w:hint="eastAsia" w:ascii="仿宋" w:hAnsi="仿宋" w:eastAsia="仿宋" w:cs="仿宋"/>
                <w:sz w:val="32"/>
                <w:szCs w:val="32"/>
              </w:rPr>
              <w:t>8</w:t>
            </w:r>
          </w:p>
        </w:tc>
        <w:tc>
          <w:tcPr>
            <w:tcW w:w="2442" w:type="dxa"/>
            <w:tcBorders>
              <w:top w:val="single" w:color="auto" w:sz="4" w:space="0"/>
              <w:left w:val="single" w:color="auto" w:sz="4" w:space="0"/>
              <w:bottom w:val="single" w:color="auto" w:sz="4" w:space="0"/>
              <w:right w:val="single" w:color="auto" w:sz="4" w:space="0"/>
            </w:tcBorders>
            <w:noWrap/>
            <w:vAlign w:val="center"/>
          </w:tcPr>
          <w:p w14:paraId="3076A9D4">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零修急修</w:t>
            </w:r>
          </w:p>
        </w:tc>
        <w:tc>
          <w:tcPr>
            <w:tcW w:w="1077" w:type="dxa"/>
            <w:tcBorders>
              <w:top w:val="single" w:color="auto" w:sz="4" w:space="0"/>
              <w:left w:val="single" w:color="auto" w:sz="4" w:space="0"/>
              <w:bottom w:val="single" w:color="auto" w:sz="4" w:space="0"/>
              <w:right w:val="single" w:color="auto" w:sz="4" w:space="0"/>
            </w:tcBorders>
            <w:noWrap/>
            <w:vAlign w:val="center"/>
          </w:tcPr>
          <w:p w14:paraId="4DE26162">
            <w:pPr>
              <w:spacing w:line="360" w:lineRule="auto"/>
              <w:jc w:val="center"/>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4A31B534">
            <w:pPr>
              <w:spacing w:line="360" w:lineRule="auto"/>
              <w:jc w:val="center"/>
              <w:rPr>
                <w:rFonts w:hint="eastAsia" w:ascii="仿宋" w:hAnsi="仿宋" w:eastAsia="仿宋" w:cs="仿宋"/>
                <w:sz w:val="32"/>
                <w:szCs w:val="32"/>
              </w:rPr>
            </w:pPr>
          </w:p>
        </w:tc>
        <w:tc>
          <w:tcPr>
            <w:tcW w:w="4166" w:type="dxa"/>
            <w:tcBorders>
              <w:top w:val="single" w:color="auto" w:sz="4" w:space="0"/>
              <w:left w:val="single" w:color="auto" w:sz="4" w:space="0"/>
              <w:bottom w:val="single" w:color="auto" w:sz="4" w:space="0"/>
              <w:right w:val="single" w:color="auto" w:sz="4" w:space="0"/>
            </w:tcBorders>
            <w:noWrap/>
            <w:vAlign w:val="center"/>
          </w:tcPr>
          <w:p w14:paraId="01C3030A">
            <w:pPr>
              <w:spacing w:line="360" w:lineRule="auto"/>
              <w:rPr>
                <w:rFonts w:hint="eastAsia" w:ascii="仿宋" w:hAnsi="仿宋" w:eastAsia="仿宋" w:cs="仿宋"/>
                <w:sz w:val="32"/>
                <w:szCs w:val="32"/>
              </w:rPr>
            </w:pPr>
            <w:r>
              <w:rPr>
                <w:rFonts w:hint="eastAsia" w:ascii="仿宋" w:hAnsi="仿宋" w:eastAsia="仿宋" w:cs="仿宋"/>
                <w:sz w:val="32"/>
                <w:szCs w:val="32"/>
              </w:rPr>
              <w:t>及时维修次数/应计报维修计划次数</w:t>
            </w:r>
            <w:r>
              <w:rPr>
                <w:rFonts w:hint="eastAsia" w:ascii="仿宋" w:hAnsi="仿宋" w:eastAsia="仿宋" w:cs="仿宋"/>
                <w:color w:val="333333"/>
                <w:sz w:val="32"/>
                <w:szCs w:val="32"/>
              </w:rPr>
              <w:t>×100%</w:t>
            </w:r>
          </w:p>
        </w:tc>
      </w:tr>
      <w:tr w14:paraId="2C8A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2B0A9F5D">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00A52701">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及时率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5AD71DFC">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1010" w:type="dxa"/>
            <w:tcBorders>
              <w:top w:val="single" w:color="auto" w:sz="4" w:space="0"/>
              <w:left w:val="single" w:color="auto" w:sz="4" w:space="0"/>
              <w:bottom w:val="single" w:color="auto" w:sz="4" w:space="0"/>
              <w:right w:val="single" w:color="auto" w:sz="4" w:space="0"/>
            </w:tcBorders>
            <w:noWrap/>
            <w:vAlign w:val="center"/>
          </w:tcPr>
          <w:p w14:paraId="36B7B5C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tcBorders>
              <w:top w:val="single" w:color="auto" w:sz="4" w:space="0"/>
              <w:left w:val="single" w:color="auto" w:sz="4" w:space="0"/>
              <w:bottom w:val="single" w:color="auto" w:sz="4" w:space="0"/>
              <w:right w:val="single" w:color="auto" w:sz="4" w:space="0"/>
            </w:tcBorders>
            <w:noWrap/>
            <w:vAlign w:val="center"/>
          </w:tcPr>
          <w:p w14:paraId="16D5F962">
            <w:pPr>
              <w:spacing w:line="360" w:lineRule="auto"/>
              <w:rPr>
                <w:rFonts w:hint="eastAsia" w:ascii="仿宋" w:hAnsi="仿宋" w:eastAsia="仿宋" w:cs="仿宋"/>
                <w:sz w:val="32"/>
                <w:szCs w:val="32"/>
              </w:rPr>
            </w:pPr>
            <w:r>
              <w:rPr>
                <w:rFonts w:hint="eastAsia" w:ascii="仿宋" w:hAnsi="仿宋" w:eastAsia="仿宋" w:cs="仿宋"/>
                <w:sz w:val="32"/>
                <w:szCs w:val="32"/>
              </w:rPr>
              <w:t>返修次数/维修次数</w:t>
            </w:r>
            <w:r>
              <w:rPr>
                <w:rFonts w:hint="eastAsia" w:ascii="仿宋" w:hAnsi="仿宋" w:eastAsia="仿宋" w:cs="仿宋"/>
                <w:color w:val="333333"/>
                <w:sz w:val="32"/>
                <w:szCs w:val="32"/>
              </w:rPr>
              <w:t>×100%</w:t>
            </w:r>
          </w:p>
        </w:tc>
      </w:tr>
      <w:tr w14:paraId="25D0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59DB353B">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04169984">
            <w:pPr>
              <w:spacing w:line="360" w:lineRule="auto"/>
              <w:rPr>
                <w:rFonts w:hint="eastAsia" w:ascii="仿宋" w:hAnsi="仿宋" w:eastAsia="仿宋" w:cs="仿宋"/>
                <w:sz w:val="32"/>
                <w:szCs w:val="32"/>
              </w:rPr>
            </w:pPr>
            <w:r>
              <w:rPr>
                <w:rFonts w:hint="eastAsia" w:ascii="仿宋" w:hAnsi="仿宋" w:eastAsia="仿宋" w:cs="仿宋"/>
                <w:sz w:val="32"/>
                <w:szCs w:val="32"/>
              </w:rPr>
              <w:t>返修率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0F7373FD">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不超过1%</w:t>
            </w:r>
          </w:p>
        </w:tc>
        <w:tc>
          <w:tcPr>
            <w:tcW w:w="1010" w:type="dxa"/>
            <w:tcBorders>
              <w:top w:val="single" w:color="auto" w:sz="4" w:space="0"/>
              <w:left w:val="single" w:color="auto" w:sz="4" w:space="0"/>
              <w:bottom w:val="single" w:color="auto" w:sz="4" w:space="0"/>
              <w:right w:val="single" w:color="auto" w:sz="4" w:space="0"/>
            </w:tcBorders>
            <w:noWrap/>
            <w:vAlign w:val="center"/>
          </w:tcPr>
          <w:p w14:paraId="10047B8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不超过1%</w:t>
            </w:r>
          </w:p>
        </w:tc>
        <w:tc>
          <w:tcPr>
            <w:tcW w:w="4166" w:type="dxa"/>
            <w:tcBorders>
              <w:top w:val="single" w:color="auto" w:sz="4" w:space="0"/>
              <w:left w:val="single" w:color="auto" w:sz="4" w:space="0"/>
              <w:bottom w:val="single" w:color="auto" w:sz="4" w:space="0"/>
              <w:right w:val="single" w:color="auto" w:sz="4" w:space="0"/>
            </w:tcBorders>
            <w:noWrap/>
            <w:vAlign w:val="center"/>
          </w:tcPr>
          <w:p w14:paraId="0050740B">
            <w:pPr>
              <w:spacing w:line="360" w:lineRule="auto"/>
              <w:rPr>
                <w:rFonts w:hint="eastAsia" w:ascii="仿宋" w:hAnsi="仿宋" w:eastAsia="仿宋" w:cs="仿宋"/>
                <w:sz w:val="32"/>
                <w:szCs w:val="32"/>
              </w:rPr>
            </w:pPr>
          </w:p>
        </w:tc>
      </w:tr>
      <w:tr w14:paraId="17B4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14:paraId="0F940DA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w:t>
            </w:r>
          </w:p>
        </w:tc>
        <w:tc>
          <w:tcPr>
            <w:tcW w:w="2442" w:type="dxa"/>
            <w:tcBorders>
              <w:top w:val="single" w:color="auto" w:sz="4" w:space="0"/>
              <w:left w:val="single" w:color="auto" w:sz="4" w:space="0"/>
              <w:bottom w:val="single" w:color="auto" w:sz="4" w:space="0"/>
              <w:right w:val="single" w:color="auto" w:sz="4" w:space="0"/>
            </w:tcBorders>
            <w:noWrap/>
            <w:vAlign w:val="center"/>
          </w:tcPr>
          <w:p w14:paraId="03F7DCB9">
            <w:pPr>
              <w:spacing w:line="360" w:lineRule="auto"/>
              <w:rPr>
                <w:rFonts w:hint="eastAsia" w:ascii="仿宋" w:hAnsi="仿宋" w:eastAsia="仿宋" w:cs="仿宋"/>
                <w:sz w:val="32"/>
                <w:szCs w:val="32"/>
              </w:rPr>
            </w:pPr>
            <w:r>
              <w:rPr>
                <w:rFonts w:hint="eastAsia" w:ascii="仿宋" w:hAnsi="仿宋" w:eastAsia="仿宋" w:cs="仿宋"/>
                <w:sz w:val="32"/>
                <w:szCs w:val="32"/>
              </w:rPr>
              <w:t>业主有效</w:t>
            </w:r>
          </w:p>
        </w:tc>
        <w:tc>
          <w:tcPr>
            <w:tcW w:w="1077" w:type="dxa"/>
            <w:vMerge w:val="restart"/>
            <w:tcBorders>
              <w:top w:val="single" w:color="auto" w:sz="4" w:space="0"/>
              <w:left w:val="single" w:color="auto" w:sz="4" w:space="0"/>
              <w:bottom w:val="single" w:color="auto" w:sz="4" w:space="0"/>
              <w:right w:val="single" w:color="auto" w:sz="4" w:space="0"/>
            </w:tcBorders>
            <w:noWrap/>
            <w:vAlign w:val="center"/>
          </w:tcPr>
          <w:p w14:paraId="13F0658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不超过1%</w:t>
            </w:r>
          </w:p>
        </w:tc>
        <w:tc>
          <w:tcPr>
            <w:tcW w:w="1010" w:type="dxa"/>
            <w:tcBorders>
              <w:top w:val="single" w:color="auto" w:sz="4" w:space="0"/>
              <w:left w:val="single" w:color="auto" w:sz="4" w:space="0"/>
              <w:bottom w:val="single" w:color="auto" w:sz="4" w:space="0"/>
              <w:right w:val="single" w:color="auto" w:sz="4" w:space="0"/>
            </w:tcBorders>
            <w:noWrap/>
            <w:vAlign w:val="center"/>
          </w:tcPr>
          <w:p w14:paraId="53A96522">
            <w:pPr>
              <w:spacing w:line="360" w:lineRule="auto"/>
              <w:jc w:val="center"/>
              <w:rPr>
                <w:rFonts w:hint="eastAsia" w:ascii="仿宋" w:hAnsi="仿宋" w:eastAsia="仿宋" w:cs="仿宋"/>
                <w:sz w:val="32"/>
                <w:szCs w:val="32"/>
              </w:rPr>
            </w:pPr>
          </w:p>
        </w:tc>
        <w:tc>
          <w:tcPr>
            <w:tcW w:w="4166" w:type="dxa"/>
            <w:vMerge w:val="restart"/>
            <w:tcBorders>
              <w:top w:val="single" w:color="auto" w:sz="4" w:space="0"/>
              <w:left w:val="single" w:color="auto" w:sz="4" w:space="0"/>
              <w:bottom w:val="single" w:color="auto" w:sz="4" w:space="0"/>
              <w:right w:val="single" w:color="auto" w:sz="4" w:space="0"/>
            </w:tcBorders>
            <w:noWrap/>
            <w:vAlign w:val="center"/>
          </w:tcPr>
          <w:p w14:paraId="05895E2F">
            <w:pPr>
              <w:spacing w:line="360" w:lineRule="auto"/>
              <w:rPr>
                <w:rFonts w:hint="eastAsia" w:ascii="仿宋" w:hAnsi="仿宋" w:eastAsia="仿宋" w:cs="仿宋"/>
                <w:sz w:val="32"/>
                <w:szCs w:val="32"/>
              </w:rPr>
            </w:pPr>
            <w:r>
              <w:rPr>
                <w:rFonts w:hint="eastAsia" w:ascii="仿宋" w:hAnsi="仿宋" w:eastAsia="仿宋" w:cs="仿宋"/>
                <w:sz w:val="32"/>
                <w:szCs w:val="32"/>
              </w:rPr>
              <w:t>有效投诉次数/总人数</w:t>
            </w:r>
            <w:r>
              <w:rPr>
                <w:rFonts w:hint="eastAsia" w:ascii="仿宋" w:hAnsi="仿宋" w:eastAsia="仿宋" w:cs="仿宋"/>
                <w:color w:val="333333"/>
                <w:sz w:val="32"/>
                <w:szCs w:val="32"/>
              </w:rPr>
              <w:t>×100%</w:t>
            </w:r>
          </w:p>
        </w:tc>
      </w:tr>
      <w:tr w14:paraId="7559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045AEECC">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3852153D">
            <w:pPr>
              <w:spacing w:line="360" w:lineRule="auto"/>
              <w:rPr>
                <w:rFonts w:hint="eastAsia" w:ascii="仿宋" w:hAnsi="仿宋" w:eastAsia="仿宋" w:cs="仿宋"/>
                <w:sz w:val="32"/>
                <w:szCs w:val="32"/>
              </w:rPr>
            </w:pPr>
            <w:r>
              <w:rPr>
                <w:rFonts w:hint="eastAsia" w:ascii="仿宋" w:hAnsi="仿宋" w:eastAsia="仿宋" w:cs="仿宋"/>
                <w:sz w:val="32"/>
                <w:szCs w:val="32"/>
              </w:rPr>
              <w:t>投诉率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3BD5DAD5">
            <w:pPr>
              <w:spacing w:line="360" w:lineRule="auto"/>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74F7C5B5">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小于1%</w:t>
            </w: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0FC404BA">
            <w:pPr>
              <w:spacing w:line="360" w:lineRule="auto"/>
              <w:rPr>
                <w:rFonts w:hint="eastAsia" w:ascii="仿宋" w:hAnsi="仿宋" w:eastAsia="仿宋" w:cs="仿宋"/>
                <w:sz w:val="32"/>
                <w:szCs w:val="32"/>
              </w:rPr>
            </w:pPr>
          </w:p>
        </w:tc>
      </w:tr>
      <w:tr w14:paraId="6C64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077DD34C">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05B838F9">
            <w:pPr>
              <w:spacing w:line="360" w:lineRule="auto"/>
              <w:rPr>
                <w:rFonts w:hint="eastAsia" w:ascii="仿宋" w:hAnsi="仿宋" w:eastAsia="仿宋" w:cs="仿宋"/>
                <w:sz w:val="32"/>
                <w:szCs w:val="32"/>
              </w:rPr>
            </w:pPr>
            <w:r>
              <w:rPr>
                <w:rFonts w:hint="eastAsia" w:ascii="仿宋" w:hAnsi="仿宋" w:eastAsia="仿宋" w:cs="仿宋"/>
                <w:sz w:val="32"/>
                <w:szCs w:val="32"/>
              </w:rPr>
              <w:t>办结率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36504082">
            <w:pPr>
              <w:spacing w:line="360" w:lineRule="auto"/>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5F6E5F2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41EC32FF">
            <w:pPr>
              <w:spacing w:line="360" w:lineRule="auto"/>
              <w:rPr>
                <w:rFonts w:hint="eastAsia" w:ascii="仿宋" w:hAnsi="仿宋" w:eastAsia="仿宋" w:cs="仿宋"/>
                <w:sz w:val="32"/>
                <w:szCs w:val="32"/>
              </w:rPr>
            </w:pPr>
          </w:p>
        </w:tc>
      </w:tr>
      <w:tr w14:paraId="0EC5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6337314E">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3CC9454E">
            <w:pPr>
              <w:spacing w:line="360" w:lineRule="auto"/>
              <w:rPr>
                <w:rFonts w:hint="eastAsia" w:ascii="仿宋" w:hAnsi="仿宋" w:eastAsia="仿宋" w:cs="仿宋"/>
                <w:sz w:val="32"/>
                <w:szCs w:val="32"/>
              </w:rPr>
            </w:pPr>
            <w:r>
              <w:rPr>
                <w:rFonts w:hint="eastAsia" w:ascii="仿宋" w:hAnsi="仿宋" w:eastAsia="仿宋" w:cs="仿宋"/>
                <w:sz w:val="32"/>
                <w:szCs w:val="32"/>
              </w:rPr>
              <w:t>回访率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2AC269CC">
            <w:pPr>
              <w:spacing w:line="360" w:lineRule="auto"/>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22D6CB95">
            <w:pPr>
              <w:spacing w:line="360" w:lineRule="auto"/>
              <w:jc w:val="center"/>
              <w:rPr>
                <w:rFonts w:hint="eastAsia" w:ascii="仿宋" w:hAnsi="仿宋" w:eastAsia="仿宋" w:cs="仿宋"/>
                <w:sz w:val="32"/>
                <w:szCs w:val="32"/>
              </w:rPr>
            </w:pPr>
            <w:r>
              <w:rPr>
                <w:rFonts w:hint="eastAsia" w:ascii="仿宋" w:hAnsi="仿宋" w:eastAsia="仿宋" w:cs="仿宋"/>
                <w:sz w:val="32"/>
                <w:szCs w:val="32"/>
              </w:rPr>
              <w:t>80%</w:t>
            </w: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1303A2E9">
            <w:pPr>
              <w:spacing w:line="360" w:lineRule="auto"/>
              <w:rPr>
                <w:rFonts w:hint="eastAsia" w:ascii="仿宋" w:hAnsi="仿宋" w:eastAsia="仿宋" w:cs="仿宋"/>
                <w:sz w:val="32"/>
                <w:szCs w:val="32"/>
              </w:rPr>
            </w:pPr>
          </w:p>
        </w:tc>
      </w:tr>
      <w:tr w14:paraId="395C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0402586D">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w:t>
            </w:r>
          </w:p>
        </w:tc>
        <w:tc>
          <w:tcPr>
            <w:tcW w:w="2442" w:type="dxa"/>
            <w:tcBorders>
              <w:top w:val="single" w:color="auto" w:sz="4" w:space="0"/>
              <w:left w:val="single" w:color="auto" w:sz="4" w:space="0"/>
              <w:bottom w:val="single" w:color="auto" w:sz="4" w:space="0"/>
              <w:right w:val="single" w:color="auto" w:sz="4" w:space="0"/>
            </w:tcBorders>
            <w:noWrap/>
            <w:vAlign w:val="center"/>
          </w:tcPr>
          <w:p w14:paraId="670E7AF1">
            <w:pPr>
              <w:spacing w:line="360" w:lineRule="auto"/>
              <w:rPr>
                <w:rFonts w:hint="eastAsia" w:ascii="仿宋" w:hAnsi="仿宋" w:eastAsia="仿宋" w:cs="仿宋"/>
                <w:sz w:val="32"/>
                <w:szCs w:val="32"/>
              </w:rPr>
            </w:pPr>
            <w:r>
              <w:rPr>
                <w:rFonts w:hint="eastAsia" w:ascii="仿宋" w:hAnsi="仿宋" w:eastAsia="仿宋" w:cs="仿宋"/>
                <w:sz w:val="32"/>
                <w:szCs w:val="32"/>
              </w:rPr>
              <w:t>业主对物业满意率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45B72869">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95%</w:t>
            </w:r>
          </w:p>
        </w:tc>
        <w:tc>
          <w:tcPr>
            <w:tcW w:w="1010" w:type="dxa"/>
            <w:tcBorders>
              <w:top w:val="single" w:color="auto" w:sz="4" w:space="0"/>
              <w:left w:val="single" w:color="auto" w:sz="4" w:space="0"/>
              <w:bottom w:val="single" w:color="auto" w:sz="4" w:space="0"/>
              <w:right w:val="single" w:color="auto" w:sz="4" w:space="0"/>
            </w:tcBorders>
            <w:noWrap/>
            <w:vAlign w:val="center"/>
          </w:tcPr>
          <w:p w14:paraId="527085B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96—98%</w:t>
            </w:r>
          </w:p>
        </w:tc>
        <w:tc>
          <w:tcPr>
            <w:tcW w:w="4166" w:type="dxa"/>
            <w:tcBorders>
              <w:top w:val="single" w:color="auto" w:sz="4" w:space="0"/>
              <w:left w:val="single" w:color="auto" w:sz="4" w:space="0"/>
              <w:bottom w:val="single" w:color="auto" w:sz="4" w:space="0"/>
              <w:right w:val="single" w:color="auto" w:sz="4" w:space="0"/>
            </w:tcBorders>
            <w:noWrap/>
            <w:vAlign w:val="center"/>
          </w:tcPr>
          <w:p w14:paraId="4F72F6AE">
            <w:pPr>
              <w:spacing w:line="360" w:lineRule="auto"/>
              <w:rPr>
                <w:rFonts w:hint="eastAsia" w:ascii="仿宋" w:hAnsi="仿宋" w:eastAsia="仿宋" w:cs="仿宋"/>
                <w:sz w:val="32"/>
                <w:szCs w:val="32"/>
              </w:rPr>
            </w:pPr>
            <w:r>
              <w:rPr>
                <w:rFonts w:hint="eastAsia" w:ascii="仿宋" w:hAnsi="仿宋" w:eastAsia="仿宋" w:cs="仿宋"/>
                <w:sz w:val="32"/>
                <w:szCs w:val="32"/>
              </w:rPr>
              <w:t>对管理满意户数+基本满意户数/参加业主评议户数</w:t>
            </w:r>
            <w:r>
              <w:rPr>
                <w:rFonts w:hint="eastAsia" w:ascii="仿宋" w:hAnsi="仿宋" w:eastAsia="仿宋" w:cs="仿宋"/>
                <w:color w:val="333333"/>
                <w:sz w:val="32"/>
                <w:szCs w:val="32"/>
              </w:rPr>
              <w:t>×100%</w:t>
            </w:r>
          </w:p>
        </w:tc>
      </w:tr>
    </w:tbl>
    <w:p w14:paraId="4EFA8E2F">
      <w:pPr>
        <w:jc w:val="center"/>
        <w:rPr>
          <w:rFonts w:hint="eastAsia" w:ascii="仿宋_GB2312" w:eastAsia="仿宋_GB2312"/>
          <w:sz w:val="44"/>
          <w:szCs w:val="44"/>
          <w:lang w:val="en-US" w:eastAsia="zh-CN"/>
        </w:rPr>
      </w:pPr>
    </w:p>
    <w:p w14:paraId="3F565293">
      <w:pPr>
        <w:jc w:val="center"/>
        <w:rPr>
          <w:rFonts w:hint="eastAsia" w:ascii="仿宋_GB2312" w:eastAsia="仿宋_GB2312"/>
          <w:b/>
          <w:bCs/>
          <w:sz w:val="44"/>
          <w:szCs w:val="44"/>
        </w:rPr>
      </w:pPr>
      <w:r>
        <w:rPr>
          <w:rFonts w:hint="eastAsia" w:ascii="仿宋_GB2312" w:eastAsia="仿宋_GB2312"/>
          <w:b/>
          <w:bCs/>
          <w:sz w:val="44"/>
          <w:szCs w:val="44"/>
          <w:lang w:val="en-US" w:eastAsia="zh-CN"/>
        </w:rPr>
        <w:t>贵阳市妇女儿童活动中心</w:t>
      </w:r>
      <w:r>
        <w:rPr>
          <w:rFonts w:hint="eastAsia" w:ascii="仿宋_GB2312" w:eastAsia="仿宋_GB2312"/>
          <w:b/>
          <w:bCs/>
          <w:sz w:val="44"/>
          <w:szCs w:val="44"/>
        </w:rPr>
        <w:t>考核制度</w:t>
      </w:r>
    </w:p>
    <w:p w14:paraId="5DA169E6">
      <w:pPr>
        <w:ind w:firstLine="640" w:firstLineChars="200"/>
        <w:jc w:val="both"/>
        <w:rPr>
          <w:rFonts w:hint="eastAsia" w:ascii="仿宋_GB2312" w:eastAsia="仿宋_GB2312"/>
          <w:sz w:val="32"/>
          <w:szCs w:val="32"/>
        </w:rPr>
      </w:pPr>
      <w:r>
        <w:rPr>
          <w:rFonts w:hint="eastAsia" w:ascii="仿宋_GB2312" w:eastAsia="仿宋_GB2312"/>
          <w:sz w:val="32"/>
          <w:szCs w:val="32"/>
        </w:rPr>
        <w:t>为规范物业管理服务工作，体现奖罚分明，激励物业管理公司提高物业服务工作质量，保障</w:t>
      </w:r>
      <w:r>
        <w:rPr>
          <w:rFonts w:hint="eastAsia" w:ascii="仿宋_GB2312" w:eastAsia="仿宋_GB2312"/>
          <w:sz w:val="32"/>
          <w:szCs w:val="32"/>
          <w:lang w:eastAsia="zh-CN"/>
        </w:rPr>
        <w:t>中心对</w:t>
      </w:r>
      <w:r>
        <w:rPr>
          <w:rFonts w:hint="eastAsia" w:ascii="仿宋_GB2312" w:eastAsia="仿宋_GB2312"/>
          <w:sz w:val="32"/>
          <w:szCs w:val="32"/>
        </w:rPr>
        <w:t>物业服务工作正常运转</w:t>
      </w:r>
      <w:r>
        <w:rPr>
          <w:rFonts w:hint="eastAsia" w:ascii="仿宋_GB2312" w:eastAsia="仿宋_GB2312"/>
          <w:sz w:val="32"/>
          <w:szCs w:val="32"/>
          <w:lang w:eastAsia="zh-CN"/>
        </w:rPr>
        <w:t>和监管</w:t>
      </w:r>
      <w:r>
        <w:rPr>
          <w:rFonts w:hint="eastAsia" w:ascii="仿宋_GB2312" w:eastAsia="仿宋_GB2312"/>
          <w:sz w:val="32"/>
          <w:szCs w:val="32"/>
        </w:rPr>
        <w:t>，特制订本方案。</w:t>
      </w:r>
    </w:p>
    <w:p w14:paraId="3250C08B">
      <w:pPr>
        <w:ind w:firstLine="640" w:firstLineChars="200"/>
        <w:jc w:val="both"/>
        <w:rPr>
          <w:rFonts w:hint="eastAsia" w:ascii="仿宋_GB2312" w:eastAsia="仿宋_GB2312"/>
          <w:sz w:val="32"/>
          <w:szCs w:val="32"/>
        </w:rPr>
      </w:pPr>
      <w:r>
        <w:rPr>
          <w:rFonts w:hint="eastAsia" w:ascii="仿宋_GB2312" w:eastAsia="仿宋_GB2312"/>
          <w:sz w:val="32"/>
          <w:szCs w:val="32"/>
        </w:rPr>
        <w:t>一、考核时间</w:t>
      </w:r>
    </w:p>
    <w:p w14:paraId="5043AB47">
      <w:pPr>
        <w:ind w:firstLine="640" w:firstLineChars="200"/>
        <w:jc w:val="both"/>
        <w:rPr>
          <w:rFonts w:hint="eastAsia" w:ascii="仿宋_GB2312" w:eastAsia="仿宋_GB2312"/>
          <w:sz w:val="32"/>
          <w:szCs w:val="32"/>
        </w:rPr>
      </w:pPr>
      <w:r>
        <w:rPr>
          <w:rFonts w:hint="eastAsia" w:ascii="仿宋_GB2312" w:eastAsia="仿宋_GB2312"/>
          <w:sz w:val="32"/>
          <w:szCs w:val="32"/>
        </w:rPr>
        <w:t>每</w:t>
      </w:r>
      <w:r>
        <w:rPr>
          <w:rFonts w:hint="eastAsia" w:ascii="仿宋_GB2312" w:eastAsia="仿宋_GB2312"/>
          <w:sz w:val="32"/>
          <w:szCs w:val="32"/>
          <w:lang w:eastAsia="zh-CN"/>
        </w:rPr>
        <w:t>季度</w:t>
      </w:r>
      <w:r>
        <w:rPr>
          <w:rFonts w:hint="eastAsia" w:ascii="仿宋_GB2312" w:eastAsia="仿宋_GB2312"/>
          <w:sz w:val="32"/>
          <w:szCs w:val="32"/>
        </w:rPr>
        <w:t>考核一次，具体时间根据实际工作情况调整。</w:t>
      </w:r>
    </w:p>
    <w:p w14:paraId="2E5211AD">
      <w:pPr>
        <w:ind w:firstLine="640" w:firstLineChars="200"/>
        <w:jc w:val="both"/>
        <w:rPr>
          <w:rFonts w:hint="eastAsia" w:ascii="仿宋_GB2312" w:eastAsia="仿宋_GB2312"/>
          <w:sz w:val="32"/>
          <w:szCs w:val="32"/>
        </w:rPr>
      </w:pPr>
      <w:r>
        <w:rPr>
          <w:rFonts w:hint="eastAsia" w:ascii="仿宋_GB2312" w:eastAsia="仿宋_GB2312"/>
          <w:sz w:val="32"/>
          <w:szCs w:val="32"/>
        </w:rPr>
        <w:t>二、考核工作的组织</w:t>
      </w:r>
    </w:p>
    <w:p w14:paraId="0B66F18D">
      <w:pPr>
        <w:ind w:firstLine="640" w:firstLineChars="200"/>
        <w:jc w:val="both"/>
        <w:rPr>
          <w:rFonts w:hint="eastAsia" w:ascii="仿宋_GB2312" w:eastAsia="仿宋_GB2312"/>
          <w:sz w:val="32"/>
          <w:szCs w:val="32"/>
        </w:rPr>
      </w:pPr>
      <w:r>
        <w:rPr>
          <w:rFonts w:hint="eastAsia" w:ascii="仿宋_GB2312" w:eastAsia="仿宋_GB2312"/>
          <w:sz w:val="32"/>
          <w:szCs w:val="32"/>
        </w:rPr>
        <w:t>由</w:t>
      </w:r>
      <w:r>
        <w:rPr>
          <w:rFonts w:hint="eastAsia" w:ascii="仿宋_GB2312" w:eastAsia="仿宋_GB2312"/>
          <w:sz w:val="32"/>
          <w:szCs w:val="32"/>
          <w:lang w:eastAsia="zh-CN"/>
        </w:rPr>
        <w:t>中心自行成立</w:t>
      </w:r>
      <w:r>
        <w:rPr>
          <w:rFonts w:hint="eastAsia" w:ascii="仿宋_GB2312" w:eastAsia="仿宋_GB2312"/>
          <w:sz w:val="32"/>
          <w:szCs w:val="32"/>
        </w:rPr>
        <w:t>考核检查工作组</w:t>
      </w:r>
      <w:r>
        <w:rPr>
          <w:rFonts w:hint="eastAsia" w:ascii="仿宋_GB2312" w:eastAsia="仿宋_GB2312"/>
          <w:sz w:val="32"/>
          <w:szCs w:val="32"/>
          <w:lang w:eastAsia="zh-CN"/>
        </w:rPr>
        <w:t>，依据合同考核内容及考核标准验收满足项并</w:t>
      </w:r>
      <w:r>
        <w:rPr>
          <w:rFonts w:hint="eastAsia" w:ascii="仿宋_GB2312" w:eastAsia="仿宋_GB2312"/>
          <w:sz w:val="32"/>
          <w:szCs w:val="32"/>
        </w:rPr>
        <w:t>计算奖惩金额。</w:t>
      </w:r>
    </w:p>
    <w:p w14:paraId="6A184627">
      <w:pPr>
        <w:ind w:firstLine="640" w:firstLineChars="200"/>
        <w:jc w:val="both"/>
        <w:rPr>
          <w:rFonts w:hint="eastAsia" w:ascii="仿宋_GB2312" w:eastAsia="仿宋_GB2312"/>
          <w:sz w:val="32"/>
          <w:szCs w:val="32"/>
        </w:rPr>
      </w:pPr>
      <w:r>
        <w:rPr>
          <w:rFonts w:hint="eastAsia" w:ascii="仿宋_GB2312" w:eastAsia="仿宋_GB2312"/>
          <w:sz w:val="32"/>
          <w:szCs w:val="32"/>
        </w:rPr>
        <w:t>三、考核范围</w:t>
      </w:r>
    </w:p>
    <w:p w14:paraId="1DACFFB5">
      <w:pPr>
        <w:ind w:firstLine="640" w:firstLineChars="200"/>
        <w:jc w:val="both"/>
        <w:rPr>
          <w:rFonts w:hint="eastAsia" w:ascii="仿宋_GB2312" w:eastAsia="仿宋_GB2312"/>
          <w:sz w:val="32"/>
          <w:szCs w:val="32"/>
        </w:rPr>
      </w:pPr>
      <w:r>
        <w:rPr>
          <w:rFonts w:hint="eastAsia" w:ascii="仿宋_GB2312" w:eastAsia="仿宋_GB2312"/>
          <w:sz w:val="32"/>
          <w:szCs w:val="32"/>
        </w:rPr>
        <w:t>服务合同内约定的各项物业服务工作。</w:t>
      </w:r>
    </w:p>
    <w:p w14:paraId="4EAE1B1E">
      <w:pPr>
        <w:ind w:firstLine="640" w:firstLineChars="200"/>
        <w:jc w:val="both"/>
        <w:rPr>
          <w:rFonts w:hint="eastAsia" w:ascii="仿宋_GB2312" w:eastAsia="仿宋_GB2312"/>
          <w:sz w:val="32"/>
          <w:szCs w:val="32"/>
        </w:rPr>
      </w:pPr>
      <w:r>
        <w:rPr>
          <w:rFonts w:hint="eastAsia" w:ascii="仿宋_GB2312" w:eastAsia="仿宋_GB2312"/>
          <w:sz w:val="32"/>
          <w:szCs w:val="32"/>
        </w:rPr>
        <w:t>四、具体考核标准</w:t>
      </w:r>
    </w:p>
    <w:p w14:paraId="76384557">
      <w:pPr>
        <w:ind w:firstLine="640" w:firstLineChars="200"/>
        <w:jc w:val="both"/>
        <w:rPr>
          <w:rFonts w:hint="eastAsia" w:ascii="仿宋_GB2312" w:eastAsia="仿宋_GB2312"/>
          <w:sz w:val="32"/>
          <w:szCs w:val="32"/>
        </w:rPr>
      </w:pPr>
      <w:r>
        <w:rPr>
          <w:rFonts w:hint="eastAsia" w:ascii="仿宋_GB2312" w:eastAsia="仿宋_GB2312"/>
          <w:sz w:val="32"/>
          <w:szCs w:val="32"/>
        </w:rPr>
        <w:t>1、奖励考评采取100分制，从各项工作的运行情况对应相应分值进行考评。（详见附件考核评定表）</w:t>
      </w:r>
    </w:p>
    <w:p w14:paraId="1A8E12B6">
      <w:pPr>
        <w:ind w:firstLine="640" w:firstLineChars="200"/>
        <w:jc w:val="both"/>
        <w:rPr>
          <w:rFonts w:hint="eastAsia" w:ascii="仿宋_GB2312" w:eastAsia="仿宋_GB2312"/>
          <w:sz w:val="32"/>
          <w:szCs w:val="32"/>
        </w:rPr>
      </w:pPr>
      <w:r>
        <w:rPr>
          <w:rFonts w:hint="eastAsia" w:ascii="仿宋_GB2312" w:eastAsia="仿宋_GB2312"/>
          <w:sz w:val="32"/>
          <w:szCs w:val="32"/>
        </w:rPr>
        <w:t>2、考核分在80分（含80分）以上不处罚，全额支付当季物业费。</w:t>
      </w:r>
    </w:p>
    <w:p w14:paraId="1A2C71FF">
      <w:pPr>
        <w:ind w:firstLine="640" w:firstLineChars="200"/>
        <w:jc w:val="both"/>
        <w:rPr>
          <w:rFonts w:hint="eastAsia" w:ascii="仿宋_GB2312" w:eastAsia="仿宋_GB2312"/>
          <w:sz w:val="32"/>
          <w:szCs w:val="32"/>
        </w:rPr>
      </w:pPr>
      <w:r>
        <w:rPr>
          <w:rFonts w:hint="eastAsia" w:ascii="仿宋_GB2312" w:eastAsia="仿宋_GB2312"/>
          <w:sz w:val="32"/>
          <w:szCs w:val="32"/>
        </w:rPr>
        <w:t>3、考核分低于80分，按每分200元进行扣款。</w:t>
      </w:r>
    </w:p>
    <w:p w14:paraId="5273E8EC">
      <w:pPr>
        <w:ind w:firstLine="640" w:firstLineChars="200"/>
        <w:jc w:val="both"/>
        <w:rPr>
          <w:rFonts w:hint="eastAsia" w:ascii="仿宋_GB2312" w:eastAsia="仿宋_GB2312"/>
          <w:sz w:val="32"/>
          <w:szCs w:val="32"/>
        </w:rPr>
      </w:pPr>
      <w:r>
        <w:rPr>
          <w:rFonts w:hint="eastAsia" w:ascii="仿宋_GB2312" w:eastAsia="仿宋_GB2312"/>
          <w:sz w:val="32"/>
          <w:szCs w:val="32"/>
        </w:rPr>
        <w:t>4、连续三次80分以下，考核部门应以书面形式报告物业服务中心，由考核组对供方进行重新评估。</w:t>
      </w:r>
    </w:p>
    <w:p w14:paraId="13423DB2">
      <w:pPr>
        <w:jc w:val="both"/>
        <w:rPr>
          <w:rFonts w:hint="eastAsia" w:ascii="仿宋_GB2312" w:eastAsia="仿宋_GB2312"/>
          <w:sz w:val="32"/>
          <w:szCs w:val="32"/>
        </w:rPr>
      </w:pPr>
    </w:p>
    <w:p w14:paraId="557496E0">
      <w:pPr>
        <w:jc w:val="both"/>
        <w:rPr>
          <w:rFonts w:hint="eastAsia" w:ascii="仿宋_GB2312" w:eastAsia="仿宋_GB2312"/>
          <w:sz w:val="32"/>
          <w:szCs w:val="32"/>
        </w:rPr>
      </w:pPr>
    </w:p>
    <w:p w14:paraId="51644F8B">
      <w:pPr>
        <w:keepNext w:val="0"/>
        <w:keepLines w:val="0"/>
        <w:pageBreakBefore w:val="0"/>
        <w:widowControl/>
        <w:kinsoku w:val="0"/>
        <w:wordWrap/>
        <w:overflowPunct/>
        <w:topLinePunct w:val="0"/>
        <w:autoSpaceDE w:val="0"/>
        <w:autoSpaceDN w:val="0"/>
        <w:bidi w:val="0"/>
        <w:adjustRightInd w:val="0"/>
        <w:snapToGrid w:val="0"/>
        <w:spacing w:before="79" w:line="360" w:lineRule="auto"/>
        <w:ind w:left="99" w:firstLine="1104" w:firstLineChars="300"/>
        <w:textAlignment w:val="baseline"/>
        <w:rPr>
          <w:rFonts w:hint="default" w:ascii="黑体" w:hAnsi="黑体" w:eastAsia="黑体" w:cs="黑体"/>
          <w:sz w:val="33"/>
          <w:szCs w:val="33"/>
          <w:lang w:val="en-US" w:eastAsia="zh-CN"/>
        </w:rPr>
      </w:pPr>
      <w:r>
        <w:rPr>
          <w:rFonts w:ascii="黑体" w:hAnsi="黑体" w:eastAsia="黑体" w:cs="黑体"/>
          <w:spacing w:val="19"/>
          <w:position w:val="-5"/>
          <w:sz w:val="33"/>
          <w:szCs w:val="33"/>
        </w:rPr>
        <w:t xml:space="preserve"> </w:t>
      </w:r>
      <w:r>
        <w:rPr>
          <w:rFonts w:ascii="黑体" w:hAnsi="黑体" w:eastAsia="黑体" w:cs="黑体"/>
          <w:b/>
          <w:bCs/>
          <w:spacing w:val="-19"/>
          <w:sz w:val="33"/>
          <w:szCs w:val="33"/>
        </w:rPr>
        <w:t>贵阳市妇女儿童活动中心物业管理</w:t>
      </w:r>
      <w:r>
        <w:rPr>
          <w:rFonts w:hint="eastAsia" w:ascii="黑体" w:hAnsi="黑体" w:eastAsia="黑体" w:cs="黑体"/>
          <w:b/>
          <w:bCs/>
          <w:spacing w:val="-19"/>
          <w:sz w:val="33"/>
          <w:szCs w:val="33"/>
          <w:lang w:eastAsia="zh-CN"/>
        </w:rPr>
        <w:t>季度</w:t>
      </w:r>
      <w:r>
        <w:rPr>
          <w:rFonts w:ascii="黑体" w:hAnsi="黑体" w:eastAsia="黑体" w:cs="黑体"/>
          <w:b/>
          <w:bCs/>
          <w:spacing w:val="-19"/>
          <w:sz w:val="33"/>
          <w:szCs w:val="33"/>
        </w:rPr>
        <w:t>考核</w:t>
      </w:r>
      <w:r>
        <w:rPr>
          <w:rFonts w:hint="eastAsia" w:ascii="黑体" w:hAnsi="黑体" w:eastAsia="黑体" w:cs="黑体"/>
          <w:b/>
          <w:bCs/>
          <w:spacing w:val="-20"/>
          <w:sz w:val="33"/>
          <w:szCs w:val="33"/>
          <w:lang w:eastAsia="zh-CN"/>
        </w:rPr>
        <w:t>表</w:t>
      </w:r>
    </w:p>
    <w:tbl>
      <w:tblPr>
        <w:tblStyle w:val="13"/>
        <w:tblW w:w="9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121"/>
        <w:gridCol w:w="4931"/>
        <w:gridCol w:w="1362"/>
        <w:gridCol w:w="1812"/>
      </w:tblGrid>
      <w:tr w14:paraId="67FA5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9982" w:type="dxa"/>
            <w:gridSpan w:val="5"/>
            <w:vAlign w:val="center"/>
          </w:tcPr>
          <w:p w14:paraId="0DAA2D94">
            <w:pPr>
              <w:keepNext w:val="0"/>
              <w:keepLines w:val="0"/>
              <w:pageBreakBefore w:val="0"/>
              <w:widowControl/>
              <w:kinsoku w:val="0"/>
              <w:wordWrap/>
              <w:overflowPunct/>
              <w:topLinePunct w:val="0"/>
              <w:autoSpaceDE w:val="0"/>
              <w:autoSpaceDN w:val="0"/>
              <w:bidi w:val="0"/>
              <w:adjustRightInd w:val="0"/>
              <w:snapToGrid w:val="0"/>
              <w:spacing w:before="141" w:line="360" w:lineRule="auto"/>
              <w:ind w:left="3328"/>
              <w:jc w:val="left"/>
              <w:textAlignment w:val="baseline"/>
              <w:rPr>
                <w:rFonts w:hint="eastAsia" w:ascii="仿宋" w:hAnsi="仿宋" w:eastAsia="仿宋" w:cs="仿宋"/>
                <w:b/>
                <w:bCs/>
                <w:spacing w:val="-3"/>
                <w:sz w:val="22"/>
                <w:szCs w:val="22"/>
              </w:rPr>
            </w:pPr>
            <w:bookmarkStart w:id="0" w:name="_GoBack"/>
            <w:r>
              <w:rPr>
                <w:rFonts w:hint="eastAsia" w:ascii="仿宋" w:hAnsi="仿宋" w:eastAsia="仿宋" w:cs="仿宋"/>
                <w:b/>
                <w:bCs/>
                <w:spacing w:val="-3"/>
                <w:sz w:val="22"/>
                <w:szCs w:val="22"/>
                <w:lang w:eastAsia="zh-CN"/>
              </w:rPr>
              <w:t>（一）</w:t>
            </w:r>
            <w:r>
              <w:rPr>
                <w:rFonts w:hint="eastAsia" w:ascii="仿宋" w:hAnsi="仿宋" w:eastAsia="仿宋" w:cs="仿宋"/>
                <w:b/>
                <w:bCs/>
                <w:spacing w:val="-3"/>
                <w:sz w:val="22"/>
                <w:szCs w:val="22"/>
              </w:rPr>
              <w:t>环境保洁综合量化考核标准</w:t>
            </w:r>
          </w:p>
        </w:tc>
      </w:tr>
      <w:tr w14:paraId="70189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56" w:type="dxa"/>
            <w:vAlign w:val="center"/>
          </w:tcPr>
          <w:p w14:paraId="72F7B72C">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both"/>
              <w:textAlignment w:val="baseline"/>
              <w:rPr>
                <w:rFonts w:hint="eastAsia" w:ascii="仿宋" w:hAnsi="仿宋" w:eastAsia="仿宋" w:cs="仿宋"/>
                <w:sz w:val="22"/>
                <w:szCs w:val="22"/>
              </w:rPr>
            </w:pPr>
            <w:r>
              <w:rPr>
                <w:rFonts w:hint="eastAsia" w:ascii="仿宋" w:hAnsi="仿宋" w:eastAsia="仿宋" w:cs="仿宋"/>
                <w:spacing w:val="7"/>
                <w:sz w:val="22"/>
                <w:szCs w:val="22"/>
              </w:rPr>
              <w:t>序号</w:t>
            </w:r>
          </w:p>
        </w:tc>
        <w:tc>
          <w:tcPr>
            <w:tcW w:w="6052" w:type="dxa"/>
            <w:gridSpan w:val="2"/>
            <w:vAlign w:val="center"/>
          </w:tcPr>
          <w:p w14:paraId="4E0374AB">
            <w:pPr>
              <w:keepNext w:val="0"/>
              <w:keepLines w:val="0"/>
              <w:pageBreakBefore w:val="0"/>
              <w:widowControl/>
              <w:kinsoku w:val="0"/>
              <w:wordWrap/>
              <w:overflowPunct/>
              <w:topLinePunct w:val="0"/>
              <w:autoSpaceDE w:val="0"/>
              <w:autoSpaceDN w:val="0"/>
              <w:bidi w:val="0"/>
              <w:adjustRightInd w:val="0"/>
              <w:snapToGrid w:val="0"/>
              <w:spacing w:before="189" w:line="360" w:lineRule="auto"/>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考核内容</w:t>
            </w:r>
          </w:p>
        </w:tc>
        <w:tc>
          <w:tcPr>
            <w:tcW w:w="1362" w:type="dxa"/>
            <w:vAlign w:val="center"/>
          </w:tcPr>
          <w:p w14:paraId="2A30C57E">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考核分数</w:t>
            </w:r>
          </w:p>
        </w:tc>
        <w:tc>
          <w:tcPr>
            <w:tcW w:w="1812" w:type="dxa"/>
            <w:vAlign w:val="center"/>
          </w:tcPr>
          <w:p w14:paraId="6EEC35DE">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中心分项评分</w:t>
            </w:r>
          </w:p>
        </w:tc>
      </w:tr>
      <w:tr w14:paraId="32625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756" w:type="dxa"/>
            <w:vAlign w:val="center"/>
          </w:tcPr>
          <w:p w14:paraId="397E15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1FB719A8">
            <w:pPr>
              <w:keepNext w:val="0"/>
              <w:keepLines w:val="0"/>
              <w:pageBreakBefore w:val="0"/>
              <w:widowControl/>
              <w:kinsoku w:val="0"/>
              <w:wordWrap/>
              <w:overflowPunct/>
              <w:topLinePunct w:val="0"/>
              <w:autoSpaceDE w:val="0"/>
              <w:autoSpaceDN w:val="0"/>
              <w:bidi w:val="0"/>
              <w:adjustRightInd w:val="0"/>
              <w:snapToGrid w:val="0"/>
              <w:spacing w:before="75"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121" w:type="dxa"/>
            <w:vMerge w:val="restart"/>
            <w:textDirection w:val="tbRlV"/>
            <w:vAlign w:val="center"/>
          </w:tcPr>
          <w:p w14:paraId="0634D512">
            <w:pPr>
              <w:keepNext w:val="0"/>
              <w:keepLines w:val="0"/>
              <w:pageBreakBefore w:val="0"/>
              <w:widowControl/>
              <w:kinsoku w:val="0"/>
              <w:wordWrap/>
              <w:overflowPunct/>
              <w:topLinePunct w:val="0"/>
              <w:autoSpaceDE w:val="0"/>
              <w:autoSpaceDN w:val="0"/>
              <w:bidi w:val="0"/>
              <w:adjustRightInd w:val="0"/>
              <w:snapToGrid w:val="0"/>
              <w:spacing w:before="319" w:line="360" w:lineRule="auto"/>
              <w:ind w:left="5589"/>
              <w:jc w:val="center"/>
              <w:textAlignment w:val="baseline"/>
              <w:rPr>
                <w:rFonts w:hint="eastAsia" w:ascii="仿宋" w:hAnsi="仿宋" w:eastAsia="仿宋" w:cs="仿宋"/>
                <w:sz w:val="22"/>
                <w:szCs w:val="22"/>
              </w:rPr>
            </w:pPr>
            <w:r>
              <w:rPr>
                <w:rFonts w:hint="eastAsia" w:ascii="仿宋" w:hAnsi="仿宋" w:eastAsia="仿宋" w:cs="仿宋"/>
                <w:spacing w:val="69"/>
                <w:w w:val="157"/>
                <w:sz w:val="22"/>
                <w:szCs w:val="22"/>
              </w:rPr>
              <w:t>每日</w:t>
            </w:r>
          </w:p>
        </w:tc>
        <w:tc>
          <w:tcPr>
            <w:tcW w:w="4931" w:type="dxa"/>
            <w:vAlign w:val="center"/>
          </w:tcPr>
          <w:p w14:paraId="18A45373">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lang w:val="en-US" w:eastAsia="zh-CN"/>
              </w:rPr>
            </w:pPr>
            <w:r>
              <w:rPr>
                <w:rFonts w:hint="eastAsia" w:ascii="仿宋" w:hAnsi="仿宋" w:eastAsia="仿宋" w:cs="仿宋"/>
                <w:spacing w:val="6"/>
                <w:sz w:val="22"/>
                <w:szCs w:val="22"/>
                <w:lang w:val="en-US" w:eastAsia="zh-CN"/>
              </w:rPr>
              <w:t>保洁人员形象，行为规范，礼仪礼节。</w:t>
            </w:r>
          </w:p>
        </w:tc>
        <w:tc>
          <w:tcPr>
            <w:tcW w:w="1362" w:type="dxa"/>
            <w:vAlign w:val="center"/>
          </w:tcPr>
          <w:p w14:paraId="45315F46">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1C854DF0">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r>
      <w:tr w14:paraId="6BF51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56" w:type="dxa"/>
            <w:vAlign w:val="center"/>
          </w:tcPr>
          <w:p w14:paraId="309CEF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4206C68C">
            <w:pPr>
              <w:keepNext w:val="0"/>
              <w:keepLines w:val="0"/>
              <w:pageBreakBefore w:val="0"/>
              <w:widowControl/>
              <w:kinsoku w:val="0"/>
              <w:wordWrap/>
              <w:overflowPunct/>
              <w:topLinePunct w:val="0"/>
              <w:autoSpaceDE w:val="0"/>
              <w:autoSpaceDN w:val="0"/>
              <w:bidi w:val="0"/>
              <w:adjustRightInd w:val="0"/>
              <w:snapToGrid w:val="0"/>
              <w:spacing w:before="74"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1121" w:type="dxa"/>
            <w:vMerge w:val="continue"/>
            <w:textDirection w:val="tbRlV"/>
            <w:vAlign w:val="center"/>
          </w:tcPr>
          <w:p w14:paraId="1969B2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4F552917">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rPr>
            </w:pPr>
            <w:r>
              <w:rPr>
                <w:rFonts w:hint="eastAsia" w:ascii="仿宋" w:hAnsi="仿宋" w:eastAsia="仿宋" w:cs="仿宋"/>
                <w:spacing w:val="7"/>
                <w:sz w:val="22"/>
                <w:szCs w:val="22"/>
                <w:lang w:val="en-US" w:eastAsia="zh-CN"/>
              </w:rPr>
              <w:t>遇到接待及日常公益课是否服从安排，服从管理</w:t>
            </w:r>
            <w:r>
              <w:rPr>
                <w:rFonts w:hint="eastAsia" w:ascii="仿宋" w:hAnsi="仿宋" w:eastAsia="仿宋" w:cs="仿宋"/>
                <w:spacing w:val="7"/>
                <w:sz w:val="22"/>
                <w:szCs w:val="22"/>
              </w:rPr>
              <w:t>。</w:t>
            </w:r>
          </w:p>
        </w:tc>
        <w:tc>
          <w:tcPr>
            <w:tcW w:w="1362" w:type="dxa"/>
            <w:vAlign w:val="center"/>
          </w:tcPr>
          <w:p w14:paraId="6AF027D4">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4BC85E49">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059F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56" w:type="dxa"/>
            <w:vAlign w:val="center"/>
          </w:tcPr>
          <w:p w14:paraId="5E0378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65EFA68A">
            <w:pPr>
              <w:keepNext w:val="0"/>
              <w:keepLines w:val="0"/>
              <w:pageBreakBefore w:val="0"/>
              <w:widowControl/>
              <w:kinsoku w:val="0"/>
              <w:wordWrap/>
              <w:overflowPunct/>
              <w:topLinePunct w:val="0"/>
              <w:autoSpaceDE w:val="0"/>
              <w:autoSpaceDN w:val="0"/>
              <w:bidi w:val="0"/>
              <w:adjustRightInd w:val="0"/>
              <w:snapToGrid w:val="0"/>
              <w:spacing w:before="75"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1121" w:type="dxa"/>
            <w:vMerge w:val="continue"/>
            <w:textDirection w:val="tbRlV"/>
            <w:vAlign w:val="center"/>
          </w:tcPr>
          <w:p w14:paraId="1EE09B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56A52182">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rPr>
            </w:pPr>
            <w:r>
              <w:rPr>
                <w:rFonts w:hint="eastAsia" w:ascii="仿宋" w:hAnsi="仿宋" w:eastAsia="仿宋" w:cs="仿宋"/>
                <w:spacing w:val="5"/>
                <w:sz w:val="22"/>
                <w:szCs w:val="22"/>
                <w:lang w:val="en-US" w:eastAsia="zh-CN"/>
              </w:rPr>
              <w:t>对公区卫生是否做到每日清洁，是否保持干净清洁。</w:t>
            </w:r>
          </w:p>
        </w:tc>
        <w:tc>
          <w:tcPr>
            <w:tcW w:w="1362" w:type="dxa"/>
            <w:vAlign w:val="center"/>
          </w:tcPr>
          <w:p w14:paraId="112AB5AD">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67EB8A69">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253EA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56" w:type="dxa"/>
            <w:vAlign w:val="center"/>
          </w:tcPr>
          <w:p w14:paraId="60CEA4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1EFAA0E2">
            <w:pPr>
              <w:keepNext w:val="0"/>
              <w:keepLines w:val="0"/>
              <w:pageBreakBefore w:val="0"/>
              <w:widowControl/>
              <w:kinsoku w:val="0"/>
              <w:wordWrap/>
              <w:overflowPunct/>
              <w:topLinePunct w:val="0"/>
              <w:autoSpaceDE w:val="0"/>
              <w:autoSpaceDN w:val="0"/>
              <w:bidi w:val="0"/>
              <w:adjustRightInd w:val="0"/>
              <w:snapToGrid w:val="0"/>
              <w:spacing w:before="74"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1121" w:type="dxa"/>
            <w:vMerge w:val="continue"/>
            <w:textDirection w:val="tbRlV"/>
            <w:vAlign w:val="center"/>
          </w:tcPr>
          <w:p w14:paraId="2E1A53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27CCBC40">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lang w:val="en-US" w:eastAsia="zh-CN"/>
              </w:rPr>
            </w:pPr>
            <w:r>
              <w:rPr>
                <w:rFonts w:hint="eastAsia" w:ascii="仿宋" w:hAnsi="仿宋" w:eastAsia="仿宋" w:cs="仿宋"/>
                <w:spacing w:val="5"/>
                <w:sz w:val="22"/>
                <w:szCs w:val="22"/>
                <w:lang w:val="en-US" w:eastAsia="zh-CN"/>
              </w:rPr>
              <w:t>对办公楼，卫生间、垃圾桶等重要位置做到日常清洁，部分区域做到定期清理。</w:t>
            </w:r>
          </w:p>
        </w:tc>
        <w:tc>
          <w:tcPr>
            <w:tcW w:w="1362" w:type="dxa"/>
            <w:vAlign w:val="center"/>
          </w:tcPr>
          <w:p w14:paraId="7F8D040F">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10</w:t>
            </w:r>
          </w:p>
        </w:tc>
        <w:tc>
          <w:tcPr>
            <w:tcW w:w="1812" w:type="dxa"/>
            <w:vAlign w:val="center"/>
          </w:tcPr>
          <w:p w14:paraId="4EAD5DA8">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9</w:t>
            </w:r>
          </w:p>
        </w:tc>
      </w:tr>
      <w:tr w14:paraId="77FCB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jc w:val="center"/>
        </w:trPr>
        <w:tc>
          <w:tcPr>
            <w:tcW w:w="756" w:type="dxa"/>
            <w:vAlign w:val="center"/>
          </w:tcPr>
          <w:p w14:paraId="50D90F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121" w:type="dxa"/>
            <w:vMerge w:val="continue"/>
            <w:vAlign w:val="center"/>
          </w:tcPr>
          <w:p w14:paraId="11EA53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69F7C30B">
            <w:pPr>
              <w:keepNext w:val="0"/>
              <w:keepLines w:val="0"/>
              <w:pageBreakBefore w:val="0"/>
              <w:widowControl/>
              <w:kinsoku w:val="0"/>
              <w:wordWrap/>
              <w:overflowPunct/>
              <w:topLinePunct w:val="0"/>
              <w:autoSpaceDE w:val="0"/>
              <w:autoSpaceDN w:val="0"/>
              <w:bidi w:val="0"/>
              <w:adjustRightInd w:val="0"/>
              <w:snapToGrid w:val="0"/>
              <w:spacing w:before="203" w:line="360" w:lineRule="auto"/>
              <w:ind w:left="92"/>
              <w:jc w:val="left"/>
              <w:textAlignment w:val="baseline"/>
              <w:rPr>
                <w:rFonts w:hint="eastAsia" w:ascii="仿宋" w:hAnsi="仿宋" w:eastAsia="仿宋" w:cs="仿宋"/>
                <w:sz w:val="22"/>
                <w:szCs w:val="22"/>
              </w:rPr>
            </w:pPr>
            <w:r>
              <w:rPr>
                <w:rFonts w:hint="eastAsia" w:ascii="仿宋" w:hAnsi="仿宋" w:eastAsia="仿宋" w:cs="仿宋"/>
                <w:position w:val="22"/>
                <w:sz w:val="22"/>
                <w:szCs w:val="22"/>
              </w:rPr>
              <w:t>如实进行巡查记录，记录真实完整，如有弄</w:t>
            </w:r>
          </w:p>
          <w:p w14:paraId="665E0DF6">
            <w:pPr>
              <w:keepNext w:val="0"/>
              <w:keepLines w:val="0"/>
              <w:pageBreakBefore w:val="0"/>
              <w:widowControl/>
              <w:kinsoku w:val="0"/>
              <w:wordWrap/>
              <w:overflowPunct/>
              <w:topLinePunct w:val="0"/>
              <w:autoSpaceDE w:val="0"/>
              <w:autoSpaceDN w:val="0"/>
              <w:bidi w:val="0"/>
              <w:adjustRightInd w:val="0"/>
              <w:snapToGrid w:val="0"/>
              <w:spacing w:line="360" w:lineRule="auto"/>
              <w:ind w:left="92"/>
              <w:jc w:val="left"/>
              <w:textAlignment w:val="baseline"/>
              <w:rPr>
                <w:rFonts w:hint="eastAsia" w:ascii="仿宋" w:hAnsi="仿宋" w:eastAsia="仿宋" w:cs="仿宋"/>
                <w:sz w:val="22"/>
                <w:szCs w:val="22"/>
              </w:rPr>
            </w:pPr>
            <w:r>
              <w:rPr>
                <w:rFonts w:hint="eastAsia" w:ascii="仿宋" w:hAnsi="仿宋" w:eastAsia="仿宋" w:cs="仿宋"/>
                <w:spacing w:val="2"/>
                <w:sz w:val="22"/>
                <w:szCs w:val="22"/>
              </w:rPr>
              <w:t>虚作假、未巡查的</w:t>
            </w:r>
          </w:p>
        </w:tc>
        <w:tc>
          <w:tcPr>
            <w:tcW w:w="1362" w:type="dxa"/>
            <w:vAlign w:val="center"/>
          </w:tcPr>
          <w:p w14:paraId="5DE38351">
            <w:pPr>
              <w:keepNext w:val="0"/>
              <w:keepLines w:val="0"/>
              <w:pageBreakBefore w:val="0"/>
              <w:widowControl/>
              <w:kinsoku w:val="0"/>
              <w:wordWrap/>
              <w:overflowPunct/>
              <w:topLinePunct w:val="0"/>
              <w:autoSpaceDE w:val="0"/>
              <w:autoSpaceDN w:val="0"/>
              <w:bidi w:val="0"/>
              <w:adjustRightInd w:val="0"/>
              <w:snapToGrid w:val="0"/>
              <w:spacing w:before="78"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28E9046D">
            <w:pPr>
              <w:keepNext w:val="0"/>
              <w:keepLines w:val="0"/>
              <w:pageBreakBefore w:val="0"/>
              <w:widowControl/>
              <w:kinsoku w:val="0"/>
              <w:wordWrap/>
              <w:overflowPunct/>
              <w:topLinePunct w:val="0"/>
              <w:autoSpaceDE w:val="0"/>
              <w:autoSpaceDN w:val="0"/>
              <w:bidi w:val="0"/>
              <w:adjustRightInd w:val="0"/>
              <w:snapToGrid w:val="0"/>
              <w:spacing w:before="78"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r>
      <w:tr w14:paraId="31EA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82" w:type="dxa"/>
            <w:gridSpan w:val="5"/>
            <w:vAlign w:val="center"/>
          </w:tcPr>
          <w:p w14:paraId="5AF906CB">
            <w:pPr>
              <w:keepNext w:val="0"/>
              <w:keepLines w:val="0"/>
              <w:pageBreakBefore w:val="0"/>
              <w:widowControl/>
              <w:kinsoku w:val="0"/>
              <w:wordWrap/>
              <w:overflowPunct/>
              <w:topLinePunct w:val="0"/>
              <w:autoSpaceDE w:val="0"/>
              <w:autoSpaceDN w:val="0"/>
              <w:bidi w:val="0"/>
              <w:adjustRightInd w:val="0"/>
              <w:snapToGrid w:val="0"/>
              <w:spacing w:before="78" w:line="360" w:lineRule="auto"/>
              <w:ind w:left="2918"/>
              <w:jc w:val="left"/>
              <w:textAlignment w:val="baseline"/>
              <w:rPr>
                <w:rFonts w:hint="eastAsia" w:ascii="仿宋" w:hAnsi="仿宋" w:eastAsia="仿宋" w:cs="仿宋"/>
                <w:b/>
                <w:bCs/>
                <w:spacing w:val="-3"/>
                <w:sz w:val="22"/>
                <w:szCs w:val="22"/>
              </w:rPr>
            </w:pPr>
            <w:r>
              <w:rPr>
                <w:rFonts w:hint="eastAsia" w:ascii="仿宋" w:hAnsi="仿宋" w:eastAsia="仿宋" w:cs="仿宋"/>
                <w:b/>
                <w:bCs/>
                <w:spacing w:val="-3"/>
                <w:sz w:val="22"/>
                <w:szCs w:val="22"/>
                <w:lang w:eastAsia="zh-CN"/>
              </w:rPr>
              <w:t>（二）</w:t>
            </w:r>
            <w:r>
              <w:rPr>
                <w:rFonts w:hint="eastAsia" w:ascii="仿宋" w:hAnsi="仿宋" w:eastAsia="仿宋" w:cs="仿宋"/>
                <w:b/>
                <w:bCs/>
                <w:spacing w:val="-3"/>
                <w:sz w:val="22"/>
                <w:szCs w:val="22"/>
              </w:rPr>
              <w:t>秩序维护服务工作检查考核评分表</w:t>
            </w:r>
          </w:p>
        </w:tc>
      </w:tr>
      <w:tr w14:paraId="721CC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56" w:type="dxa"/>
            <w:vAlign w:val="center"/>
          </w:tcPr>
          <w:p w14:paraId="0F2AA90A">
            <w:pPr>
              <w:keepNext w:val="0"/>
              <w:keepLines w:val="0"/>
              <w:pageBreakBefore w:val="0"/>
              <w:widowControl/>
              <w:kinsoku w:val="0"/>
              <w:wordWrap/>
              <w:overflowPunct/>
              <w:topLinePunct w:val="0"/>
              <w:autoSpaceDE w:val="0"/>
              <w:autoSpaceDN w:val="0"/>
              <w:bidi w:val="0"/>
              <w:adjustRightInd w:val="0"/>
              <w:snapToGrid w:val="0"/>
              <w:spacing w:before="180" w:line="360" w:lineRule="auto"/>
              <w:ind w:left="125"/>
              <w:jc w:val="both"/>
              <w:textAlignment w:val="baseline"/>
              <w:rPr>
                <w:rFonts w:hint="eastAsia" w:ascii="仿宋" w:hAnsi="仿宋" w:eastAsia="仿宋" w:cs="仿宋"/>
                <w:sz w:val="22"/>
                <w:szCs w:val="22"/>
              </w:rPr>
            </w:pPr>
            <w:r>
              <w:rPr>
                <w:rFonts w:hint="eastAsia" w:ascii="仿宋" w:hAnsi="仿宋" w:eastAsia="仿宋" w:cs="仿宋"/>
                <w:spacing w:val="7"/>
                <w:sz w:val="22"/>
                <w:szCs w:val="22"/>
              </w:rPr>
              <w:t>序号</w:t>
            </w:r>
          </w:p>
        </w:tc>
        <w:tc>
          <w:tcPr>
            <w:tcW w:w="1121" w:type="dxa"/>
            <w:vAlign w:val="center"/>
          </w:tcPr>
          <w:p w14:paraId="6DCF88F6">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21"/>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事项</w:t>
            </w:r>
          </w:p>
        </w:tc>
        <w:tc>
          <w:tcPr>
            <w:tcW w:w="4931" w:type="dxa"/>
            <w:vAlign w:val="center"/>
          </w:tcPr>
          <w:p w14:paraId="76E0F506">
            <w:pPr>
              <w:keepNext w:val="0"/>
              <w:keepLines w:val="0"/>
              <w:pageBreakBefore w:val="0"/>
              <w:widowControl/>
              <w:kinsoku w:val="0"/>
              <w:wordWrap/>
              <w:overflowPunct/>
              <w:topLinePunct w:val="0"/>
              <w:autoSpaceDE w:val="0"/>
              <w:autoSpaceDN w:val="0"/>
              <w:bidi w:val="0"/>
              <w:adjustRightInd w:val="0"/>
              <w:snapToGrid w:val="0"/>
              <w:spacing w:before="199" w:line="360" w:lineRule="auto"/>
              <w:ind w:left="1732"/>
              <w:jc w:val="both"/>
              <w:textAlignment w:val="baseline"/>
              <w:rPr>
                <w:rFonts w:hint="eastAsia" w:ascii="仿宋" w:hAnsi="仿宋" w:eastAsia="仿宋" w:cs="仿宋"/>
                <w:sz w:val="22"/>
                <w:szCs w:val="22"/>
              </w:rPr>
            </w:pPr>
            <w:r>
              <w:rPr>
                <w:rFonts w:hint="eastAsia" w:ascii="仿宋" w:hAnsi="仿宋" w:eastAsia="仿宋" w:cs="仿宋"/>
                <w:spacing w:val="3"/>
                <w:sz w:val="22"/>
                <w:szCs w:val="22"/>
              </w:rPr>
              <w:t>考核内容</w:t>
            </w:r>
          </w:p>
        </w:tc>
        <w:tc>
          <w:tcPr>
            <w:tcW w:w="1362" w:type="dxa"/>
            <w:vAlign w:val="center"/>
          </w:tcPr>
          <w:p w14:paraId="57F2AE2B">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考核分数</w:t>
            </w:r>
          </w:p>
        </w:tc>
        <w:tc>
          <w:tcPr>
            <w:tcW w:w="1812" w:type="dxa"/>
            <w:vAlign w:val="center"/>
          </w:tcPr>
          <w:p w14:paraId="74EEDFA5">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中心分项评分</w:t>
            </w:r>
          </w:p>
        </w:tc>
      </w:tr>
      <w:tr w14:paraId="70107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756" w:type="dxa"/>
            <w:vAlign w:val="center"/>
          </w:tcPr>
          <w:p w14:paraId="6C919B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2F93A7ED">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121" w:type="dxa"/>
            <w:vAlign w:val="center"/>
          </w:tcPr>
          <w:p w14:paraId="5CD7133B">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综合</w:t>
            </w:r>
          </w:p>
          <w:p w14:paraId="01CE0E99">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rPr>
            </w:pPr>
            <w:r>
              <w:rPr>
                <w:rFonts w:hint="eastAsia" w:ascii="仿宋" w:hAnsi="仿宋" w:eastAsia="仿宋" w:cs="仿宋"/>
                <w:sz w:val="22"/>
                <w:szCs w:val="22"/>
                <w:lang w:val="en-US" w:eastAsia="zh-CN"/>
              </w:rPr>
              <w:t>管理</w:t>
            </w:r>
          </w:p>
        </w:tc>
        <w:tc>
          <w:tcPr>
            <w:tcW w:w="4931" w:type="dxa"/>
            <w:vAlign w:val="center"/>
          </w:tcPr>
          <w:p w14:paraId="5A0225F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3"/>
                <w:sz w:val="22"/>
                <w:szCs w:val="22"/>
                <w:lang w:val="en-US" w:eastAsia="zh-CN"/>
              </w:rPr>
            </w:pPr>
            <w:r>
              <w:rPr>
                <w:rFonts w:hint="eastAsia" w:ascii="仿宋" w:hAnsi="仿宋" w:eastAsia="仿宋" w:cs="仿宋"/>
                <w:spacing w:val="3"/>
                <w:sz w:val="22"/>
                <w:szCs w:val="22"/>
                <w:lang w:val="en-US" w:eastAsia="zh-CN"/>
              </w:rPr>
              <w:t>服从安排，听从指挥，确保安排的事情，</w:t>
            </w:r>
          </w:p>
          <w:p w14:paraId="7E98CD9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2"/>
                <w:szCs w:val="22"/>
              </w:rPr>
            </w:pPr>
            <w:r>
              <w:rPr>
                <w:rFonts w:hint="eastAsia" w:ascii="仿宋" w:hAnsi="仿宋" w:eastAsia="仿宋" w:cs="仿宋"/>
                <w:spacing w:val="3"/>
                <w:sz w:val="22"/>
                <w:szCs w:val="22"/>
                <w:lang w:val="en-US" w:eastAsia="zh-CN"/>
              </w:rPr>
              <w:t>得到有效落实，保障中心安全，做到时时巡查并做好有效记录。</w:t>
            </w:r>
          </w:p>
        </w:tc>
        <w:tc>
          <w:tcPr>
            <w:tcW w:w="1362" w:type="dxa"/>
            <w:vAlign w:val="center"/>
          </w:tcPr>
          <w:p w14:paraId="32FC34FE">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288C9B7E">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5DB61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756" w:type="dxa"/>
            <w:vAlign w:val="center"/>
          </w:tcPr>
          <w:p w14:paraId="54EF3F94">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121" w:type="dxa"/>
            <w:vAlign w:val="center"/>
          </w:tcPr>
          <w:p w14:paraId="29611C50">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出入</w:t>
            </w:r>
          </w:p>
          <w:p w14:paraId="7BFD8911">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0E6D533B">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left"/>
              <w:textAlignment w:val="baseline"/>
              <w:rPr>
                <w:rFonts w:hint="eastAsia" w:ascii="仿宋" w:hAnsi="仿宋" w:eastAsia="仿宋" w:cs="仿宋"/>
                <w:spacing w:val="20"/>
                <w:sz w:val="22"/>
                <w:szCs w:val="22"/>
                <w:lang w:val="en-US" w:eastAsia="zh-CN"/>
              </w:rPr>
            </w:pPr>
            <w:r>
              <w:rPr>
                <w:rFonts w:hint="eastAsia" w:ascii="仿宋" w:hAnsi="仿宋" w:eastAsia="仿宋" w:cs="仿宋"/>
                <w:spacing w:val="7"/>
                <w:sz w:val="22"/>
                <w:szCs w:val="22"/>
                <w:lang w:val="en-US" w:eastAsia="zh-CN"/>
              </w:rPr>
              <w:t>是否</w:t>
            </w:r>
            <w:r>
              <w:rPr>
                <w:rFonts w:hint="eastAsia" w:ascii="仿宋" w:hAnsi="仿宋" w:eastAsia="仿宋" w:cs="仿宋"/>
                <w:spacing w:val="7"/>
                <w:sz w:val="22"/>
                <w:szCs w:val="22"/>
              </w:rPr>
              <w:t>尊重甲方领导，</w:t>
            </w:r>
            <w:r>
              <w:rPr>
                <w:rFonts w:hint="eastAsia" w:ascii="仿宋" w:hAnsi="仿宋" w:eastAsia="仿宋" w:cs="仿宋"/>
                <w:spacing w:val="7"/>
                <w:sz w:val="22"/>
                <w:szCs w:val="22"/>
                <w:lang w:val="en-US" w:eastAsia="zh-CN"/>
              </w:rPr>
              <w:t>礼貌问好，在门岗内是否按规范进行出入登记，酒店、幼儿园除外。</w:t>
            </w:r>
          </w:p>
        </w:tc>
        <w:tc>
          <w:tcPr>
            <w:tcW w:w="1362" w:type="dxa"/>
            <w:vAlign w:val="center"/>
          </w:tcPr>
          <w:p w14:paraId="37018D90">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0A3B37AD">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r>
      <w:tr w14:paraId="047D0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jc w:val="center"/>
        </w:trPr>
        <w:tc>
          <w:tcPr>
            <w:tcW w:w="756" w:type="dxa"/>
            <w:vAlign w:val="center"/>
          </w:tcPr>
          <w:p w14:paraId="0B2CAC03">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121" w:type="dxa"/>
            <w:vAlign w:val="center"/>
          </w:tcPr>
          <w:p w14:paraId="2630D7C5">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消防</w:t>
            </w:r>
          </w:p>
          <w:p w14:paraId="3AEBF772">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4182DAE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3"/>
                <w:sz w:val="22"/>
                <w:szCs w:val="22"/>
                <w:lang w:val="en-US" w:eastAsia="zh-CN"/>
              </w:rPr>
            </w:pPr>
            <w:r>
              <w:rPr>
                <w:rFonts w:hint="eastAsia" w:ascii="仿宋" w:hAnsi="仿宋" w:eastAsia="仿宋" w:cs="仿宋"/>
                <w:spacing w:val="3"/>
                <w:sz w:val="22"/>
                <w:szCs w:val="22"/>
                <w:lang w:val="en-US" w:eastAsia="zh-CN"/>
              </w:rPr>
              <w:t>熟练使用常见的灭火器材，懂得一般性</w:t>
            </w:r>
          </w:p>
          <w:p w14:paraId="1149108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3"/>
                <w:sz w:val="22"/>
                <w:szCs w:val="22"/>
                <w:lang w:val="en-US" w:eastAsia="zh-CN"/>
              </w:rPr>
              <w:t>的检查和保养，熟悉集中区域消防等设施，发现火情及时处理性及及时向上级汇报</w:t>
            </w:r>
          </w:p>
        </w:tc>
        <w:tc>
          <w:tcPr>
            <w:tcW w:w="1362" w:type="dxa"/>
            <w:vAlign w:val="center"/>
          </w:tcPr>
          <w:p w14:paraId="7A56B61E">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5B6085D6">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457B0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6" w:type="dxa"/>
            <w:vAlign w:val="center"/>
          </w:tcPr>
          <w:p w14:paraId="182B9B38">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1121" w:type="dxa"/>
            <w:vAlign w:val="center"/>
          </w:tcPr>
          <w:p w14:paraId="64ECAE2F">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突发</w:t>
            </w:r>
          </w:p>
          <w:p w14:paraId="5C806F6F">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事件</w:t>
            </w:r>
          </w:p>
        </w:tc>
        <w:tc>
          <w:tcPr>
            <w:tcW w:w="4931" w:type="dxa"/>
            <w:vAlign w:val="center"/>
          </w:tcPr>
          <w:p w14:paraId="0EC2FA52">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熟悉各类应急电话，是否熟练操作应急流程。</w:t>
            </w:r>
          </w:p>
        </w:tc>
        <w:tc>
          <w:tcPr>
            <w:tcW w:w="1362" w:type="dxa"/>
            <w:vAlign w:val="center"/>
          </w:tcPr>
          <w:p w14:paraId="3C3422AD">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50CD879A">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3CBE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756" w:type="dxa"/>
            <w:vAlign w:val="center"/>
          </w:tcPr>
          <w:p w14:paraId="66A7D4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121" w:type="dxa"/>
            <w:vAlign w:val="center"/>
          </w:tcPr>
          <w:p w14:paraId="6D7A2434">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日常</w:t>
            </w:r>
          </w:p>
          <w:p w14:paraId="2D9788B6">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2521918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17"/>
                <w:sz w:val="22"/>
                <w:szCs w:val="22"/>
                <w:lang w:val="en-US" w:eastAsia="zh-CN"/>
              </w:rPr>
            </w:pPr>
            <w:r>
              <w:rPr>
                <w:rFonts w:hint="eastAsia" w:ascii="仿宋" w:hAnsi="仿宋" w:eastAsia="仿宋" w:cs="仿宋"/>
                <w:spacing w:val="3"/>
                <w:sz w:val="22"/>
                <w:szCs w:val="22"/>
                <w:lang w:val="en-US" w:eastAsia="zh-CN"/>
              </w:rPr>
              <w:t>仪容仪表，礼仪礼节，不弄虚作假，服从管理，每日对办公区域做好巡查，发现问题及时上报，并做好日常巡查记录。</w:t>
            </w:r>
          </w:p>
        </w:tc>
        <w:tc>
          <w:tcPr>
            <w:tcW w:w="1362" w:type="dxa"/>
            <w:vAlign w:val="center"/>
          </w:tcPr>
          <w:p w14:paraId="2014B219">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36886F27">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6A54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756" w:type="dxa"/>
            <w:vAlign w:val="center"/>
          </w:tcPr>
          <w:p w14:paraId="5F861230">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w:t>
            </w:r>
          </w:p>
        </w:tc>
        <w:tc>
          <w:tcPr>
            <w:tcW w:w="1121" w:type="dxa"/>
            <w:vAlign w:val="center"/>
          </w:tcPr>
          <w:p w14:paraId="7265476A">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车辆</w:t>
            </w:r>
          </w:p>
          <w:p w14:paraId="4F20C8A0">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013E5BB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17"/>
                <w:sz w:val="22"/>
                <w:szCs w:val="22"/>
                <w:lang w:val="en-US" w:eastAsia="zh-CN"/>
              </w:rPr>
            </w:pPr>
            <w:r>
              <w:rPr>
                <w:rFonts w:hint="eastAsia" w:ascii="仿宋" w:hAnsi="仿宋" w:eastAsia="仿宋" w:cs="仿宋"/>
                <w:spacing w:val="17"/>
                <w:sz w:val="22"/>
                <w:szCs w:val="22"/>
                <w:lang w:val="en-US" w:eastAsia="zh-CN"/>
              </w:rPr>
              <w:t>进入车辆进行询问，并礼貌指引停车秩序。</w:t>
            </w:r>
          </w:p>
        </w:tc>
        <w:tc>
          <w:tcPr>
            <w:tcW w:w="1362" w:type="dxa"/>
            <w:vAlign w:val="center"/>
          </w:tcPr>
          <w:p w14:paraId="6D61188A">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4EE29467">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bookmarkEnd w:id="0"/>
    </w:tbl>
    <w:tbl>
      <w:tblPr>
        <w:tblStyle w:val="13"/>
        <w:tblpPr w:leftFromText="180" w:rightFromText="180" w:vertAnchor="text" w:horzAnchor="page" w:tblpX="1102" w:tblpY="406"/>
        <w:tblOverlap w:val="never"/>
        <w:tblW w:w="9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121"/>
        <w:gridCol w:w="4931"/>
        <w:gridCol w:w="1362"/>
        <w:gridCol w:w="1812"/>
      </w:tblGrid>
      <w:tr w14:paraId="38F04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984" w:type="dxa"/>
            <w:gridSpan w:val="5"/>
            <w:vAlign w:val="top"/>
          </w:tcPr>
          <w:p w14:paraId="782142C2">
            <w:pPr>
              <w:keepNext w:val="0"/>
              <w:keepLines w:val="0"/>
              <w:pageBreakBefore w:val="0"/>
              <w:widowControl/>
              <w:kinsoku w:val="0"/>
              <w:wordWrap/>
              <w:overflowPunct/>
              <w:topLinePunct w:val="0"/>
              <w:autoSpaceDE w:val="0"/>
              <w:autoSpaceDN w:val="0"/>
              <w:bidi w:val="0"/>
              <w:adjustRightInd w:val="0"/>
              <w:snapToGrid w:val="0"/>
              <w:spacing w:before="131" w:line="360" w:lineRule="auto"/>
              <w:ind w:left="3148"/>
              <w:textAlignment w:val="baseline"/>
              <w:rPr>
                <w:rFonts w:ascii="宋体" w:hAnsi="宋体" w:eastAsia="宋体" w:cs="宋体"/>
                <w:b/>
                <w:bCs/>
                <w:spacing w:val="-3"/>
                <w:sz w:val="22"/>
                <w:szCs w:val="22"/>
              </w:rPr>
            </w:pPr>
            <w:r>
              <w:rPr>
                <w:rFonts w:ascii="宋体" w:hAnsi="宋体" w:eastAsia="宋体" w:cs="宋体"/>
                <w:b/>
                <w:bCs/>
                <w:spacing w:val="-3"/>
                <w:sz w:val="22"/>
                <w:szCs w:val="22"/>
              </w:rPr>
              <w:t>(三)工程维护工作检查考核评分表</w:t>
            </w:r>
          </w:p>
        </w:tc>
      </w:tr>
      <w:tr w14:paraId="2FB95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758" w:type="dxa"/>
            <w:vAlign w:val="center"/>
          </w:tcPr>
          <w:p w14:paraId="35B0C3F4">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both"/>
              <w:textAlignment w:val="baseline"/>
              <w:rPr>
                <w:rFonts w:ascii="宋体" w:hAnsi="宋体" w:eastAsia="宋体" w:cs="宋体"/>
                <w:spacing w:val="7"/>
                <w:sz w:val="22"/>
                <w:szCs w:val="22"/>
              </w:rPr>
            </w:pPr>
            <w:r>
              <w:rPr>
                <w:rFonts w:ascii="宋体" w:hAnsi="宋体" w:eastAsia="宋体" w:cs="宋体"/>
                <w:spacing w:val="7"/>
                <w:sz w:val="22"/>
                <w:szCs w:val="22"/>
              </w:rPr>
              <w:t>序号</w:t>
            </w:r>
          </w:p>
        </w:tc>
        <w:tc>
          <w:tcPr>
            <w:tcW w:w="1121" w:type="dxa"/>
            <w:vAlign w:val="center"/>
          </w:tcPr>
          <w:p w14:paraId="52903B09">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default"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事项</w:t>
            </w:r>
          </w:p>
        </w:tc>
        <w:tc>
          <w:tcPr>
            <w:tcW w:w="4931" w:type="dxa"/>
            <w:vAlign w:val="center"/>
          </w:tcPr>
          <w:p w14:paraId="4859639C">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ascii="宋体" w:hAnsi="宋体" w:eastAsia="宋体" w:cs="宋体"/>
                <w:spacing w:val="7"/>
                <w:sz w:val="22"/>
                <w:szCs w:val="22"/>
              </w:rPr>
            </w:pPr>
            <w:r>
              <w:rPr>
                <w:rFonts w:ascii="宋体" w:hAnsi="宋体" w:eastAsia="宋体" w:cs="宋体"/>
                <w:spacing w:val="7"/>
                <w:sz w:val="22"/>
                <w:szCs w:val="22"/>
              </w:rPr>
              <w:t>考核内容</w:t>
            </w:r>
          </w:p>
        </w:tc>
        <w:tc>
          <w:tcPr>
            <w:tcW w:w="1362" w:type="dxa"/>
            <w:vAlign w:val="center"/>
          </w:tcPr>
          <w:p w14:paraId="31E2EA0D">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default"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考核分数</w:t>
            </w:r>
          </w:p>
        </w:tc>
        <w:tc>
          <w:tcPr>
            <w:tcW w:w="1812" w:type="dxa"/>
            <w:vAlign w:val="center"/>
          </w:tcPr>
          <w:p w14:paraId="00D8B47B">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default" w:ascii="宋体" w:hAnsi="宋体" w:eastAsia="宋体" w:cs="宋体"/>
                <w:spacing w:val="7"/>
                <w:sz w:val="22"/>
                <w:szCs w:val="22"/>
                <w:lang w:val="en-US" w:eastAsia="zh-CN"/>
              </w:rPr>
            </w:pPr>
            <w:r>
              <w:rPr>
                <w:rFonts w:hint="eastAsia" w:ascii="宋体" w:hAnsi="宋体" w:cs="宋体"/>
                <w:spacing w:val="7"/>
                <w:sz w:val="22"/>
                <w:szCs w:val="22"/>
                <w:lang w:val="en-US" w:eastAsia="zh-CN"/>
              </w:rPr>
              <w:t>分项考核得分</w:t>
            </w:r>
          </w:p>
        </w:tc>
      </w:tr>
      <w:tr w14:paraId="63450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58" w:type="dxa"/>
            <w:vAlign w:val="center"/>
          </w:tcPr>
          <w:p w14:paraId="2757B98C">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ascii="宋体" w:hAnsi="宋体" w:eastAsia="宋体" w:cs="宋体"/>
                <w:sz w:val="22"/>
                <w:szCs w:val="22"/>
              </w:rPr>
            </w:pPr>
            <w:r>
              <w:rPr>
                <w:rFonts w:ascii="宋体" w:hAnsi="宋体" w:eastAsia="宋体" w:cs="宋体"/>
                <w:sz w:val="22"/>
                <w:szCs w:val="22"/>
              </w:rPr>
              <w:t>1</w:t>
            </w:r>
          </w:p>
        </w:tc>
        <w:tc>
          <w:tcPr>
            <w:tcW w:w="1121" w:type="dxa"/>
            <w:vAlign w:val="center"/>
          </w:tcPr>
          <w:p w14:paraId="27E164D7">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日常</w:t>
            </w:r>
          </w:p>
          <w:p w14:paraId="48087E81">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管理</w:t>
            </w:r>
          </w:p>
        </w:tc>
        <w:tc>
          <w:tcPr>
            <w:tcW w:w="4931" w:type="dxa"/>
            <w:vAlign w:val="center"/>
          </w:tcPr>
          <w:p w14:paraId="2D66C9C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napToGrid w:val="0"/>
                <w:color w:val="000000"/>
                <w:spacing w:val="17"/>
                <w:kern w:val="0"/>
                <w:sz w:val="22"/>
                <w:szCs w:val="22"/>
                <w:lang w:val="en-US" w:eastAsia="zh-CN"/>
              </w:rPr>
            </w:pPr>
            <w:r>
              <w:rPr>
                <w:rFonts w:hint="eastAsia" w:ascii="宋体" w:hAnsi="宋体" w:eastAsia="宋体" w:cs="宋体"/>
                <w:spacing w:val="3"/>
                <w:sz w:val="22"/>
                <w:szCs w:val="22"/>
                <w:lang w:val="en-US" w:eastAsia="zh-CN"/>
              </w:rPr>
              <w:t>仪容仪表，礼仪礼节，不弄虚作假，服从管理，按中心要求完成日常工作。</w:t>
            </w:r>
          </w:p>
        </w:tc>
        <w:tc>
          <w:tcPr>
            <w:tcW w:w="1362" w:type="dxa"/>
            <w:vAlign w:val="center"/>
          </w:tcPr>
          <w:p w14:paraId="7D419E23">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6F6DC2CE">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r>
      <w:tr w14:paraId="3ED9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758" w:type="dxa"/>
            <w:vAlign w:val="center"/>
          </w:tcPr>
          <w:p w14:paraId="453237BB">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121" w:type="dxa"/>
            <w:vAlign w:val="center"/>
          </w:tcPr>
          <w:p w14:paraId="4FBAEDB6">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巡查</w:t>
            </w:r>
          </w:p>
        </w:tc>
        <w:tc>
          <w:tcPr>
            <w:tcW w:w="4931" w:type="dxa"/>
            <w:vAlign w:val="center"/>
          </w:tcPr>
          <w:p w14:paraId="0A49FBC9">
            <w:pPr>
              <w:keepNext w:val="0"/>
              <w:keepLines w:val="0"/>
              <w:pageBreakBefore w:val="0"/>
              <w:widowControl/>
              <w:kinsoku w:val="0"/>
              <w:wordWrap/>
              <w:overflowPunct/>
              <w:topLinePunct w:val="0"/>
              <w:autoSpaceDE w:val="0"/>
              <w:autoSpaceDN w:val="0"/>
              <w:bidi w:val="0"/>
              <w:adjustRightInd w:val="0"/>
              <w:snapToGrid w:val="0"/>
              <w:spacing w:before="181" w:line="360" w:lineRule="auto"/>
              <w:ind w:left="111" w:right="104"/>
              <w:jc w:val="left"/>
              <w:textAlignment w:val="baseline"/>
              <w:rPr>
                <w:rFonts w:ascii="宋体" w:hAnsi="宋体" w:eastAsia="宋体" w:cs="宋体"/>
                <w:sz w:val="22"/>
                <w:szCs w:val="22"/>
              </w:rPr>
            </w:pPr>
            <w:r>
              <w:rPr>
                <w:rFonts w:hint="eastAsia" w:ascii="宋体" w:hAnsi="宋体" w:eastAsia="宋体" w:cs="宋体"/>
                <w:spacing w:val="3"/>
                <w:sz w:val="22"/>
                <w:szCs w:val="22"/>
                <w:lang w:val="en-US" w:eastAsia="zh-CN"/>
              </w:rPr>
              <w:t>设备运行记录、交接班记录、巡查记录、维护和 保养记录务必及时、准确、清晰、完整。记录需有责任人和审核人签字。</w:t>
            </w:r>
          </w:p>
        </w:tc>
        <w:tc>
          <w:tcPr>
            <w:tcW w:w="1362" w:type="dxa"/>
            <w:vAlign w:val="center"/>
          </w:tcPr>
          <w:p w14:paraId="776D5B99">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812" w:type="dxa"/>
            <w:vAlign w:val="center"/>
          </w:tcPr>
          <w:p w14:paraId="5A16C1BD">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9</w:t>
            </w:r>
          </w:p>
        </w:tc>
      </w:tr>
      <w:tr w14:paraId="215C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58" w:type="dxa"/>
            <w:vAlign w:val="top"/>
          </w:tcPr>
          <w:p w14:paraId="17C37B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1479DE89">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1121" w:type="dxa"/>
            <w:vAlign w:val="center"/>
          </w:tcPr>
          <w:p w14:paraId="3E4E1E55">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报修</w:t>
            </w:r>
          </w:p>
        </w:tc>
        <w:tc>
          <w:tcPr>
            <w:tcW w:w="4931" w:type="dxa"/>
            <w:vAlign w:val="top"/>
          </w:tcPr>
          <w:p w14:paraId="4DCAB139">
            <w:pPr>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ascii="宋体" w:hAnsi="宋体" w:eastAsia="宋体" w:cs="宋体"/>
                <w:spacing w:val="3"/>
                <w:sz w:val="22"/>
                <w:szCs w:val="22"/>
                <w:lang w:val="en-US" w:eastAsia="zh-CN"/>
              </w:rPr>
            </w:pPr>
            <w:r>
              <w:rPr>
                <w:rFonts w:hint="eastAsia" w:ascii="宋体" w:hAnsi="宋体" w:eastAsia="宋体" w:cs="宋体"/>
                <w:spacing w:val="3"/>
                <w:sz w:val="22"/>
                <w:szCs w:val="22"/>
                <w:lang w:val="en-US" w:eastAsia="zh-CN"/>
              </w:rPr>
              <w:t>紧急报修，维修人员必须在5分钟内赶到现场；</w:t>
            </w:r>
          </w:p>
          <w:p w14:paraId="33BEF044">
            <w:pPr>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ascii="宋体" w:hAnsi="宋体" w:eastAsia="宋体" w:cs="宋体"/>
                <w:sz w:val="22"/>
                <w:szCs w:val="22"/>
              </w:rPr>
            </w:pPr>
            <w:r>
              <w:rPr>
                <w:rFonts w:hint="eastAsia" w:ascii="宋体" w:hAnsi="宋体" w:eastAsia="宋体" w:cs="宋体"/>
                <w:spacing w:val="3"/>
                <w:sz w:val="22"/>
                <w:szCs w:val="22"/>
                <w:lang w:val="en-US" w:eastAsia="zh-CN"/>
              </w:rPr>
              <w:t>一般报修，维修人员必须在10分钟内赶到现场。</w:t>
            </w:r>
          </w:p>
        </w:tc>
        <w:tc>
          <w:tcPr>
            <w:tcW w:w="1362" w:type="dxa"/>
            <w:vAlign w:val="center"/>
          </w:tcPr>
          <w:p w14:paraId="25E33C03">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21616B5A">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r>
      <w:tr w14:paraId="1DEE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758" w:type="dxa"/>
            <w:vAlign w:val="center"/>
          </w:tcPr>
          <w:p w14:paraId="7FF398EC">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c>
          <w:tcPr>
            <w:tcW w:w="1121" w:type="dxa"/>
            <w:vAlign w:val="center"/>
          </w:tcPr>
          <w:p w14:paraId="0FBB822A">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设施</w:t>
            </w:r>
          </w:p>
          <w:p w14:paraId="626AACAF">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设备</w:t>
            </w:r>
          </w:p>
        </w:tc>
        <w:tc>
          <w:tcPr>
            <w:tcW w:w="4931" w:type="dxa"/>
            <w:vAlign w:val="top"/>
          </w:tcPr>
          <w:p w14:paraId="1279E16B">
            <w:pPr>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熟悉中心内每个设施设备，建筑物构筑物，做好日常巡查维护工作。</w:t>
            </w:r>
          </w:p>
        </w:tc>
        <w:tc>
          <w:tcPr>
            <w:tcW w:w="1362" w:type="dxa"/>
            <w:vAlign w:val="center"/>
          </w:tcPr>
          <w:p w14:paraId="71708D7F">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1812BAD3">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r>
      <w:tr w14:paraId="3410B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58" w:type="dxa"/>
            <w:vAlign w:val="center"/>
          </w:tcPr>
          <w:p w14:paraId="355FC870">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p>
        </w:tc>
        <w:tc>
          <w:tcPr>
            <w:tcW w:w="1121" w:type="dxa"/>
            <w:vAlign w:val="center"/>
          </w:tcPr>
          <w:p w14:paraId="2364B88F">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重要</w:t>
            </w:r>
          </w:p>
          <w:p w14:paraId="0604333D">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接到</w:t>
            </w:r>
          </w:p>
        </w:tc>
        <w:tc>
          <w:tcPr>
            <w:tcW w:w="4931" w:type="dxa"/>
            <w:vAlign w:val="top"/>
          </w:tcPr>
          <w:p w14:paraId="4DA305AA">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left"/>
              <w:textAlignment w:val="baseline"/>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除日常公益课，是否每周展开安全巡查工作，发现隐患及时上报，服从上级领导指挥，遇突发事件是否按应急预案完成。</w:t>
            </w:r>
          </w:p>
        </w:tc>
        <w:tc>
          <w:tcPr>
            <w:tcW w:w="1362" w:type="dxa"/>
            <w:vAlign w:val="center"/>
          </w:tcPr>
          <w:p w14:paraId="3103652C">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31BA15B8">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r>
      <w:tr w14:paraId="5A83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984" w:type="dxa"/>
            <w:gridSpan w:val="5"/>
            <w:vAlign w:val="center"/>
          </w:tcPr>
          <w:p w14:paraId="45FC139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2"/>
                <w:szCs w:val="22"/>
              </w:rPr>
            </w:pPr>
            <w:r>
              <w:rPr>
                <w:rFonts w:ascii="宋体" w:hAnsi="宋体" w:eastAsia="宋体" w:cs="宋体"/>
                <w:b/>
                <w:bCs/>
                <w:spacing w:val="-3"/>
                <w:sz w:val="22"/>
                <w:szCs w:val="22"/>
              </w:rPr>
              <w:t>(</w:t>
            </w:r>
            <w:r>
              <w:rPr>
                <w:rFonts w:hint="eastAsia" w:ascii="宋体" w:hAnsi="宋体" w:eastAsia="宋体" w:cs="宋体"/>
                <w:b/>
                <w:bCs/>
                <w:spacing w:val="-3"/>
                <w:sz w:val="22"/>
                <w:szCs w:val="22"/>
                <w:lang w:val="en-US" w:eastAsia="zh-CN"/>
              </w:rPr>
              <w:t>四</w:t>
            </w:r>
            <w:r>
              <w:rPr>
                <w:rFonts w:ascii="宋体" w:hAnsi="宋体" w:eastAsia="宋体" w:cs="宋体"/>
                <w:b/>
                <w:bCs/>
                <w:spacing w:val="-3"/>
                <w:sz w:val="22"/>
                <w:szCs w:val="22"/>
              </w:rPr>
              <w:t>)</w:t>
            </w:r>
            <w:r>
              <w:rPr>
                <w:rFonts w:hint="eastAsia" w:ascii="宋体" w:hAnsi="宋体" w:eastAsia="宋体" w:cs="宋体"/>
                <w:b/>
                <w:bCs/>
                <w:spacing w:val="-3"/>
                <w:sz w:val="22"/>
                <w:szCs w:val="22"/>
                <w:lang w:val="en-US" w:eastAsia="zh-CN"/>
              </w:rPr>
              <w:t>物业服务中心</w:t>
            </w:r>
            <w:r>
              <w:rPr>
                <w:rFonts w:ascii="宋体" w:hAnsi="宋体" w:eastAsia="宋体" w:cs="宋体"/>
                <w:b/>
                <w:bCs/>
                <w:spacing w:val="-3"/>
                <w:sz w:val="22"/>
                <w:szCs w:val="22"/>
              </w:rPr>
              <w:t>工作检查考核评分表</w:t>
            </w:r>
            <w:r>
              <w:rPr>
                <w:rFonts w:hint="eastAsia" w:ascii="宋体" w:hAnsi="宋体" w:eastAsia="宋体" w:cs="宋体"/>
                <w:b/>
                <w:bCs/>
                <w:spacing w:val="-3"/>
                <w:sz w:val="22"/>
                <w:szCs w:val="22"/>
                <w:lang w:val="en-US" w:eastAsia="zh-CN"/>
              </w:rPr>
              <w:t>加分项</w:t>
            </w:r>
          </w:p>
        </w:tc>
      </w:tr>
      <w:tr w14:paraId="12100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58" w:type="dxa"/>
            <w:vAlign w:val="center"/>
          </w:tcPr>
          <w:p w14:paraId="4CE7624F">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ascii="宋体" w:hAnsi="宋体" w:eastAsia="宋体" w:cs="宋体"/>
                <w:spacing w:val="7"/>
                <w:sz w:val="22"/>
                <w:szCs w:val="22"/>
              </w:rPr>
              <w:t>序号</w:t>
            </w:r>
          </w:p>
        </w:tc>
        <w:tc>
          <w:tcPr>
            <w:tcW w:w="1121" w:type="dxa"/>
            <w:vAlign w:val="center"/>
          </w:tcPr>
          <w:p w14:paraId="74302C1F">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事项</w:t>
            </w:r>
          </w:p>
        </w:tc>
        <w:tc>
          <w:tcPr>
            <w:tcW w:w="4931" w:type="dxa"/>
            <w:vAlign w:val="center"/>
          </w:tcPr>
          <w:p w14:paraId="2258B0FB">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ascii="宋体" w:hAnsi="宋体" w:eastAsia="宋体" w:cs="宋体"/>
                <w:spacing w:val="7"/>
                <w:sz w:val="22"/>
                <w:szCs w:val="22"/>
              </w:rPr>
              <w:t>考核内容</w:t>
            </w:r>
          </w:p>
        </w:tc>
        <w:tc>
          <w:tcPr>
            <w:tcW w:w="1362" w:type="dxa"/>
            <w:vAlign w:val="center"/>
          </w:tcPr>
          <w:p w14:paraId="13C57788">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考核分数</w:t>
            </w:r>
          </w:p>
        </w:tc>
        <w:tc>
          <w:tcPr>
            <w:tcW w:w="1812" w:type="dxa"/>
            <w:vAlign w:val="center"/>
          </w:tcPr>
          <w:p w14:paraId="5E4D32E2">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hint="eastAsia" w:ascii="宋体" w:hAnsi="宋体" w:cs="宋体"/>
                <w:spacing w:val="7"/>
                <w:sz w:val="22"/>
                <w:szCs w:val="22"/>
                <w:lang w:val="en-US" w:eastAsia="zh-CN"/>
              </w:rPr>
              <w:t>分项考核得分</w:t>
            </w:r>
          </w:p>
        </w:tc>
      </w:tr>
      <w:tr w14:paraId="552E5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58" w:type="dxa"/>
            <w:vAlign w:val="center"/>
          </w:tcPr>
          <w:p w14:paraId="546BF4FD">
            <w:pPr>
              <w:keepNext w:val="0"/>
              <w:keepLines w:val="0"/>
              <w:pageBreakBefore w:val="0"/>
              <w:widowControl/>
              <w:kinsoku w:val="0"/>
              <w:wordWrap/>
              <w:overflowPunct/>
              <w:topLinePunct w:val="0"/>
              <w:autoSpaceDE w:val="0"/>
              <w:autoSpaceDN w:val="0"/>
              <w:bidi w:val="0"/>
              <w:adjustRightInd w:val="0"/>
              <w:snapToGrid w:val="0"/>
              <w:spacing w:before="298" w:line="360" w:lineRule="auto"/>
              <w:ind w:left="245" w:leftChars="0"/>
              <w:jc w:val="both"/>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w:t>
            </w:r>
          </w:p>
        </w:tc>
        <w:tc>
          <w:tcPr>
            <w:tcW w:w="1121" w:type="dxa"/>
            <w:vAlign w:val="top"/>
          </w:tcPr>
          <w:p w14:paraId="709130EA">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综合</w:t>
            </w:r>
          </w:p>
          <w:p w14:paraId="7E668381">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napToGrid w:val="0"/>
                <w:color w:val="000000"/>
                <w:spacing w:val="7"/>
                <w:kern w:val="0"/>
                <w:sz w:val="22"/>
                <w:szCs w:val="22"/>
                <w:lang w:val="en-US" w:eastAsia="zh-CN"/>
              </w:rPr>
            </w:pPr>
            <w:r>
              <w:rPr>
                <w:rFonts w:hint="eastAsia" w:ascii="宋体" w:hAnsi="宋体" w:eastAsia="宋体" w:cs="宋体"/>
                <w:sz w:val="22"/>
                <w:szCs w:val="22"/>
                <w:lang w:val="en-US" w:eastAsia="zh-CN"/>
              </w:rPr>
              <w:t>管理</w:t>
            </w:r>
          </w:p>
        </w:tc>
        <w:tc>
          <w:tcPr>
            <w:tcW w:w="4931" w:type="dxa"/>
            <w:vAlign w:val="top"/>
          </w:tcPr>
          <w:p w14:paraId="0B5EE6F5">
            <w:pPr>
              <w:keepNext w:val="0"/>
              <w:keepLines w:val="0"/>
              <w:pageBreakBefore w:val="0"/>
              <w:widowControl/>
              <w:kinsoku w:val="0"/>
              <w:wordWrap/>
              <w:overflowPunct/>
              <w:topLinePunct w:val="0"/>
              <w:autoSpaceDE w:val="0"/>
              <w:autoSpaceDN w:val="0"/>
              <w:bidi w:val="0"/>
              <w:adjustRightInd w:val="0"/>
              <w:snapToGrid w:val="0"/>
              <w:spacing w:before="147" w:line="360" w:lineRule="auto"/>
              <w:ind w:left="111" w:leftChars="0"/>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是否做好中心服务，态度端正，综合素质高，沟通顺畅，办事效率高。</w:t>
            </w:r>
          </w:p>
        </w:tc>
        <w:tc>
          <w:tcPr>
            <w:tcW w:w="1362" w:type="dxa"/>
            <w:vAlign w:val="center"/>
          </w:tcPr>
          <w:p w14:paraId="250D5DCC">
            <w:pPr>
              <w:keepNext w:val="0"/>
              <w:keepLines w:val="0"/>
              <w:pageBreakBefore w:val="0"/>
              <w:widowControl/>
              <w:kinsoku w:val="0"/>
              <w:wordWrap/>
              <w:overflowPunct/>
              <w:topLinePunct w:val="0"/>
              <w:autoSpaceDE w:val="0"/>
              <w:autoSpaceDN w:val="0"/>
              <w:bidi w:val="0"/>
              <w:adjustRightInd w:val="0"/>
              <w:snapToGrid w:val="0"/>
              <w:spacing w:before="226" w:line="360" w:lineRule="auto"/>
              <w:ind w:left="116" w:leftChars="0"/>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10</w:t>
            </w:r>
          </w:p>
        </w:tc>
        <w:tc>
          <w:tcPr>
            <w:tcW w:w="1812" w:type="dxa"/>
            <w:vAlign w:val="center"/>
          </w:tcPr>
          <w:p w14:paraId="04BD9B15">
            <w:pPr>
              <w:keepNext w:val="0"/>
              <w:keepLines w:val="0"/>
              <w:pageBreakBefore w:val="0"/>
              <w:widowControl/>
              <w:kinsoku w:val="0"/>
              <w:wordWrap/>
              <w:overflowPunct/>
              <w:topLinePunct w:val="0"/>
              <w:autoSpaceDE w:val="0"/>
              <w:autoSpaceDN w:val="0"/>
              <w:bidi w:val="0"/>
              <w:adjustRightInd w:val="0"/>
              <w:snapToGrid w:val="0"/>
              <w:spacing w:before="226" w:line="360" w:lineRule="auto"/>
              <w:ind w:left="116" w:leftChars="0"/>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7</w:t>
            </w:r>
          </w:p>
        </w:tc>
      </w:tr>
      <w:tr w14:paraId="64D35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810" w:type="dxa"/>
            <w:gridSpan w:val="3"/>
            <w:vAlign w:val="center"/>
          </w:tcPr>
          <w:p w14:paraId="739009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3"/>
                <w:sz w:val="22"/>
                <w:szCs w:val="22"/>
                <w:lang w:val="en-US" w:eastAsia="zh-CN"/>
              </w:rPr>
            </w:pPr>
            <w:r>
              <w:rPr>
                <w:rFonts w:hint="eastAsia" w:ascii="宋体" w:hAnsi="宋体" w:eastAsia="宋体" w:cs="宋体"/>
                <w:b/>
                <w:bCs/>
                <w:spacing w:val="-3"/>
                <w:sz w:val="22"/>
                <w:szCs w:val="22"/>
                <w:lang w:val="en-US" w:eastAsia="zh-CN"/>
              </w:rPr>
              <w:t>（五）中心综合总评分</w:t>
            </w:r>
          </w:p>
        </w:tc>
        <w:tc>
          <w:tcPr>
            <w:tcW w:w="1362" w:type="dxa"/>
            <w:vAlign w:val="center"/>
          </w:tcPr>
          <w:p w14:paraId="7A7BA0E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b/>
                <w:bCs/>
                <w:spacing w:val="-3"/>
                <w:sz w:val="22"/>
                <w:szCs w:val="22"/>
                <w:lang w:val="en-US" w:eastAsia="zh-CN"/>
              </w:rPr>
            </w:pPr>
            <w:r>
              <w:rPr>
                <w:rFonts w:hint="eastAsia" w:ascii="宋体" w:hAnsi="宋体" w:eastAsia="宋体" w:cs="宋体"/>
                <w:sz w:val="22"/>
                <w:szCs w:val="22"/>
                <w:lang w:val="en-US" w:eastAsia="zh-CN"/>
              </w:rPr>
              <w:t>100</w:t>
            </w:r>
          </w:p>
        </w:tc>
        <w:tc>
          <w:tcPr>
            <w:tcW w:w="1812" w:type="dxa"/>
            <w:vAlign w:val="center"/>
          </w:tcPr>
          <w:p w14:paraId="3F8CDA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b/>
                <w:bCs/>
                <w:spacing w:val="-3"/>
                <w:sz w:val="22"/>
                <w:szCs w:val="22"/>
                <w:lang w:val="en-US" w:eastAsia="zh-CN"/>
              </w:rPr>
            </w:pPr>
            <w:r>
              <w:rPr>
                <w:rFonts w:hint="eastAsia" w:ascii="宋体" w:hAnsi="宋体" w:cs="宋体"/>
                <w:b/>
                <w:bCs/>
                <w:spacing w:val="-3"/>
                <w:sz w:val="22"/>
                <w:szCs w:val="22"/>
                <w:lang w:val="en-US" w:eastAsia="zh-CN"/>
              </w:rPr>
              <w:t xml:space="preserve">87                                                                 </w:t>
            </w:r>
          </w:p>
        </w:tc>
      </w:tr>
      <w:tr w14:paraId="2C43C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810" w:type="dxa"/>
            <w:gridSpan w:val="3"/>
            <w:vAlign w:val="center"/>
          </w:tcPr>
          <w:p w14:paraId="73DB6BEF">
            <w:pPr>
              <w:keepNext w:val="0"/>
              <w:keepLines w:val="0"/>
              <w:pageBreakBefore w:val="0"/>
              <w:widowControl/>
              <w:kinsoku w:val="0"/>
              <w:wordWrap/>
              <w:overflowPunct/>
              <w:topLinePunct w:val="0"/>
              <w:autoSpaceDE w:val="0"/>
              <w:autoSpaceDN w:val="0"/>
              <w:bidi w:val="0"/>
              <w:adjustRightInd w:val="0"/>
              <w:snapToGrid w:val="0"/>
              <w:spacing w:before="147" w:line="360" w:lineRule="auto"/>
              <w:ind w:left="111" w:leftChars="0"/>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物业经理签字确认</w:t>
            </w:r>
          </w:p>
        </w:tc>
        <w:tc>
          <w:tcPr>
            <w:tcW w:w="3174" w:type="dxa"/>
            <w:gridSpan w:val="2"/>
            <w:vAlign w:val="center"/>
          </w:tcPr>
          <w:p w14:paraId="0D3EF28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3"/>
                <w:sz w:val="22"/>
                <w:szCs w:val="22"/>
                <w:lang w:val="en-US" w:eastAsia="zh-CN"/>
              </w:rPr>
            </w:pPr>
          </w:p>
        </w:tc>
      </w:tr>
      <w:tr w14:paraId="728A3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810" w:type="dxa"/>
            <w:gridSpan w:val="3"/>
            <w:vAlign w:val="center"/>
          </w:tcPr>
          <w:p w14:paraId="3449AD93">
            <w:pPr>
              <w:keepNext w:val="0"/>
              <w:keepLines w:val="0"/>
              <w:pageBreakBefore w:val="0"/>
              <w:widowControl/>
              <w:kinsoku w:val="0"/>
              <w:wordWrap/>
              <w:overflowPunct/>
              <w:topLinePunct w:val="0"/>
              <w:autoSpaceDE w:val="0"/>
              <w:autoSpaceDN w:val="0"/>
              <w:bidi w:val="0"/>
              <w:adjustRightInd w:val="0"/>
              <w:snapToGrid w:val="0"/>
              <w:spacing w:before="147" w:line="360" w:lineRule="auto"/>
              <w:ind w:left="111" w:leftChars="0"/>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妇女儿童活动中心主管领导签字</w:t>
            </w:r>
          </w:p>
        </w:tc>
        <w:tc>
          <w:tcPr>
            <w:tcW w:w="3174" w:type="dxa"/>
            <w:gridSpan w:val="2"/>
            <w:vAlign w:val="center"/>
          </w:tcPr>
          <w:p w14:paraId="679EAE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3"/>
                <w:sz w:val="22"/>
                <w:szCs w:val="22"/>
                <w:lang w:val="en-US" w:eastAsia="zh-CN"/>
              </w:rPr>
            </w:pPr>
          </w:p>
        </w:tc>
      </w:tr>
    </w:tbl>
    <w:p w14:paraId="04A3615E">
      <w:pPr>
        <w:jc w:val="both"/>
        <w:rPr>
          <w:rFonts w:hint="eastAsia" w:eastAsia="仿宋_GB2312"/>
          <w:lang w:val="en-US" w:eastAsia="zh-CN"/>
        </w:rPr>
      </w:pPr>
    </w:p>
    <w:p w14:paraId="5DB55E12">
      <w:pPr>
        <w:rPr>
          <w:rFonts w:hint="eastAsia" w:ascii="仿宋" w:hAnsi="仿宋" w:eastAsia="仿宋" w:cs="仿宋"/>
          <w:sz w:val="32"/>
          <w:szCs w:val="32"/>
        </w:rPr>
      </w:pPr>
      <w:r>
        <w:rPr>
          <w:rFonts w:hint="eastAsia" w:ascii="仿宋" w:hAnsi="仿宋" w:eastAsia="仿宋" w:cs="仿宋"/>
          <w:sz w:val="32"/>
          <w:szCs w:val="32"/>
        </w:rPr>
        <w:br w:type="page"/>
      </w:r>
    </w:p>
    <w:p w14:paraId="08AE0B21">
      <w:pPr>
        <w:pStyle w:val="2"/>
        <w:numPr>
          <w:ilvl w:val="0"/>
          <w:numId w:val="1"/>
        </w:numPr>
        <w:bidi w:val="0"/>
        <w:rPr>
          <w:rFonts w:hint="default"/>
          <w:lang w:val="en-US" w:eastAsia="zh-CN"/>
        </w:rPr>
      </w:pPr>
      <w:r>
        <w:t>商务要求</w:t>
      </w:r>
    </w:p>
    <w:p w14:paraId="15665667">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一、服务期及服务地点</w:t>
      </w:r>
    </w:p>
    <w:p w14:paraId="68FEEFC1">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服务期：2025年至2026年（壹年）</w:t>
      </w:r>
      <w:r>
        <w:rPr>
          <w:rFonts w:hint="eastAsia" w:ascii="仿宋" w:hAnsi="仿宋" w:eastAsia="仿宋" w:cs="仿宋"/>
          <w:bCs/>
          <w:snapToGrid/>
          <w:color w:val="auto"/>
          <w:kern w:val="2"/>
          <w:sz w:val="32"/>
          <w:szCs w:val="32"/>
          <w:highlight w:val="none"/>
          <w:lang w:val="en-US" w:eastAsia="zh-CN" w:bidi="ar-SA"/>
        </w:rPr>
        <w:t>。</w:t>
      </w:r>
    </w:p>
    <w:p w14:paraId="3D04899B">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服务地点：采购人指定地点。</w:t>
      </w:r>
    </w:p>
    <w:p w14:paraId="2DD7516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二、验收标准、规范</w:t>
      </w:r>
    </w:p>
    <w:p w14:paraId="74F7A782">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按照采购文件要求及国家、行业相关规范执行。</w:t>
      </w:r>
    </w:p>
    <w:p w14:paraId="550469F1">
      <w:pPr>
        <w:widowControl w:val="0"/>
        <w:numPr>
          <w:ilvl w:val="0"/>
          <w:numId w:val="0"/>
        </w:numPr>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三、付款方式</w:t>
      </w:r>
    </w:p>
    <w:p w14:paraId="0B29C028">
      <w:pPr>
        <w:widowControl w:val="0"/>
        <w:numPr>
          <w:ilvl w:val="0"/>
          <w:numId w:val="0"/>
        </w:numPr>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1.本项目无预付款，按月结算，每月款项于次月结算支付，具体支付时间合同中约定，支付前采购人对该月度服务质量、满意率进行综合考核，根据考核结果支付相应服务费用。</w:t>
      </w:r>
    </w:p>
    <w:p w14:paraId="4DC98380">
      <w:pPr>
        <w:widowControl w:val="0"/>
        <w:numPr>
          <w:ilvl w:val="0"/>
          <w:numId w:val="0"/>
        </w:numPr>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2.按优秀、良好、合格、不合格进行考核。考核结果为优秀，采购人全额支付成交人当月服务费用；考核结果为良好，采购人全额支付当月费用的80%成交人服务费用；考核结果为合格，采购人全额支付当月费用的70%成交人服务费用；考核结果为不合格，采购人扣除当月服务费用；</w:t>
      </w:r>
    </w:p>
    <w:p w14:paraId="406738BE">
      <w:pPr>
        <w:widowControl w:val="0"/>
        <w:numPr>
          <w:ilvl w:val="0"/>
          <w:numId w:val="0"/>
        </w:numPr>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3.当年累计2个月考核为不合格的，采购人有权解除合同。</w:t>
      </w:r>
    </w:p>
    <w:p w14:paraId="01B4A331">
      <w:pPr>
        <w:widowControl w:val="0"/>
        <w:numPr>
          <w:ilvl w:val="0"/>
          <w:numId w:val="0"/>
        </w:numPr>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4.考核内容具体详见考核表。</w:t>
      </w:r>
    </w:p>
    <w:p w14:paraId="20A0BE70">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四、投标有效期：</w:t>
      </w:r>
      <w:r>
        <w:rPr>
          <w:rFonts w:hint="eastAsia" w:ascii="仿宋" w:hAnsi="仿宋" w:eastAsia="仿宋" w:cs="仿宋"/>
          <w:snapToGrid/>
          <w:color w:val="auto"/>
          <w:kern w:val="2"/>
          <w:sz w:val="32"/>
          <w:szCs w:val="32"/>
          <w:highlight w:val="none"/>
          <w:lang w:val="en-US" w:eastAsia="zh-CN" w:bidi="ar-SA"/>
        </w:rPr>
        <w:t>90日历天</w:t>
      </w:r>
    </w:p>
    <w:p w14:paraId="0BE5BAE6">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五、履约保证金：不要求</w:t>
      </w:r>
    </w:p>
    <w:p w14:paraId="2DECFEA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六、其他要求</w:t>
      </w:r>
    </w:p>
    <w:p w14:paraId="3E393495">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1.服务人员在岗履行工作职责期间，发生自身的人身伤害、伤亡及造成第三方的侵权责任、伤害均由供应商负责处理并承担经济和法律上的责任，招标人不承担任何责任。（提交承诺函（格式自拟），承诺函必须由法定代表人亲笔签字（或盖法定代表人印章）并加盖投标人法人章（公章）。</w:t>
      </w:r>
    </w:p>
    <w:p w14:paraId="634F5FB6">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2供应商违反国家相关法规，与聘用人员发生纠纷，均由供应商负责调解与处理，招标人不承担责任。（提交承诺函（格式自拟），承诺函必须由法定代表人亲笔签字（或盖法定代表人印章）并加盖投标人法人章（公章）。</w:t>
      </w:r>
    </w:p>
    <w:p w14:paraId="66B1488F">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3.供应商的本次投标报价包含但不限于服务人员的薪金、福利、休假日补贴、医疗费用、服务人员服装、社保、企业税金、利润等一切费用。</w:t>
      </w:r>
    </w:p>
    <w:p w14:paraId="68B205E9">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4.开标后，采购人有权核实投标人提交的各项资料，供应商必须无条件响应招标人该要求，如不响应该要求或发现有弄虚作假，采购人将报财政主管部门取消其中标资格。</w:t>
      </w:r>
    </w:p>
    <w:p w14:paraId="5BA3761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5.其他未尽事宜，待中标签约时双方再议。</w:t>
      </w:r>
    </w:p>
    <w:p w14:paraId="6E1A911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2BEB320">
      <w:pPr>
        <w:pStyle w:val="2"/>
        <w:numPr>
          <w:ilvl w:val="0"/>
          <w:numId w:val="1"/>
        </w:numPr>
        <w:bidi w:val="0"/>
        <w:rPr>
          <w:rFonts w:hint="eastAsia"/>
          <w:lang w:val="en-US" w:eastAsia="zh-CN"/>
        </w:rPr>
      </w:pPr>
      <w:r>
        <w:rPr>
          <w:rFonts w:hint="eastAsia"/>
          <w:lang w:val="en-US" w:eastAsia="zh-CN"/>
        </w:rPr>
        <w:t>评分办法</w:t>
      </w:r>
    </w:p>
    <w:p w14:paraId="1C6597FA">
      <w:pPr>
        <w:pStyle w:val="5"/>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1、评标办法：本项目采用综合评分办法进行评审。</w:t>
      </w:r>
    </w:p>
    <w:p w14:paraId="33C9DA11">
      <w:pPr>
        <w:pStyle w:val="5"/>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2、评分的主要因素分为价格因素、主观因素、客观因素、信用因素。具体内容详见评分表。评标分值保留至两位小数。评标时，评标专家依照评分表对每个有效供应商的响应文件进行独立评审、打分。</w:t>
      </w:r>
    </w:p>
    <w:p w14:paraId="02B7A2FF">
      <w:pPr>
        <w:pStyle w:val="5"/>
        <w:spacing w:line="360" w:lineRule="auto"/>
        <w:rPr>
          <w:rFonts w:hint="default" w:ascii="仿宋" w:hAnsi="仿宋" w:eastAsia="仿宋" w:cs="仿宋"/>
          <w:kern w:val="1"/>
          <w:sz w:val="32"/>
          <w:szCs w:val="32"/>
          <w:lang w:val="en-US" w:eastAsia="zh-CN"/>
        </w:rPr>
      </w:pPr>
      <w:r>
        <w:rPr>
          <w:rFonts w:hint="default" w:ascii="仿宋" w:hAnsi="仿宋" w:eastAsia="仿宋" w:cs="仿宋"/>
          <w:kern w:val="1"/>
          <w:sz w:val="32"/>
          <w:szCs w:val="32"/>
          <w:lang w:val="en-US" w:eastAsia="zh-CN"/>
        </w:rPr>
        <w:t>3、评分权重</w:t>
      </w:r>
      <w:r>
        <w:rPr>
          <w:rFonts w:hint="eastAsia" w:ascii="仿宋" w:hAnsi="仿宋" w:eastAsia="仿宋" w:cs="仿宋"/>
          <w:kern w:val="1"/>
          <w:sz w:val="32"/>
          <w:szCs w:val="32"/>
          <w:lang w:val="en-US" w:eastAsia="zh-CN"/>
        </w:rPr>
        <w:t>：</w:t>
      </w:r>
      <w:r>
        <w:rPr>
          <w:rFonts w:hint="default" w:ascii="仿宋" w:hAnsi="仿宋" w:eastAsia="仿宋" w:cs="仿宋"/>
          <w:kern w:val="1"/>
          <w:sz w:val="32"/>
          <w:szCs w:val="32"/>
          <w:lang w:val="en-US" w:eastAsia="zh-CN"/>
        </w:rPr>
        <w:t>价格分(</w:t>
      </w:r>
      <w:r>
        <w:rPr>
          <w:rFonts w:hint="eastAsia" w:ascii="仿宋" w:hAnsi="仿宋" w:eastAsia="仿宋" w:cs="仿宋"/>
          <w:kern w:val="1"/>
          <w:sz w:val="32"/>
          <w:szCs w:val="32"/>
          <w:lang w:val="en-US" w:eastAsia="zh-CN"/>
        </w:rPr>
        <w:t>10</w:t>
      </w:r>
      <w:r>
        <w:rPr>
          <w:rFonts w:hint="default" w:ascii="仿宋" w:hAnsi="仿宋" w:eastAsia="仿宋" w:cs="仿宋"/>
          <w:kern w:val="1"/>
          <w:sz w:val="32"/>
          <w:szCs w:val="32"/>
          <w:lang w:val="en-US" w:eastAsia="zh-CN"/>
        </w:rPr>
        <w:t>分)，技术分(</w:t>
      </w:r>
      <w:r>
        <w:rPr>
          <w:rFonts w:hint="eastAsia" w:ascii="仿宋" w:hAnsi="仿宋" w:eastAsia="仿宋" w:cs="仿宋"/>
          <w:kern w:val="1"/>
          <w:sz w:val="32"/>
          <w:szCs w:val="32"/>
          <w:lang w:val="en-US" w:eastAsia="zh-CN"/>
        </w:rPr>
        <w:t>15</w:t>
      </w:r>
      <w:r>
        <w:rPr>
          <w:rFonts w:hint="default" w:ascii="仿宋" w:hAnsi="仿宋" w:eastAsia="仿宋" w:cs="仿宋"/>
          <w:kern w:val="1"/>
          <w:sz w:val="32"/>
          <w:szCs w:val="32"/>
          <w:lang w:val="en-US" w:eastAsia="zh-CN"/>
        </w:rPr>
        <w:t>分)，商务分(</w:t>
      </w:r>
      <w:r>
        <w:rPr>
          <w:rFonts w:hint="eastAsia" w:ascii="仿宋" w:hAnsi="仿宋" w:eastAsia="仿宋" w:cs="仿宋"/>
          <w:kern w:val="1"/>
          <w:sz w:val="32"/>
          <w:szCs w:val="32"/>
          <w:lang w:val="en-US" w:eastAsia="zh-CN"/>
        </w:rPr>
        <w:t>75</w:t>
      </w:r>
      <w:r>
        <w:rPr>
          <w:rFonts w:hint="default" w:ascii="仿宋" w:hAnsi="仿宋" w:eastAsia="仿宋" w:cs="仿宋"/>
          <w:kern w:val="1"/>
          <w:sz w:val="32"/>
          <w:szCs w:val="32"/>
          <w:lang w:val="en-US" w:eastAsia="zh-CN"/>
        </w:rPr>
        <w:t>分)，政策性加分(</w:t>
      </w:r>
      <w:r>
        <w:rPr>
          <w:rFonts w:hint="eastAsia" w:ascii="仿宋" w:hAnsi="仿宋" w:eastAsia="仿宋" w:cs="仿宋"/>
          <w:kern w:val="1"/>
          <w:sz w:val="32"/>
          <w:szCs w:val="32"/>
          <w:lang w:val="en-US" w:eastAsia="zh-CN"/>
        </w:rPr>
        <w:t>0</w:t>
      </w:r>
      <w:r>
        <w:rPr>
          <w:rFonts w:hint="default" w:ascii="仿宋" w:hAnsi="仿宋" w:eastAsia="仿宋" w:cs="仿宋"/>
          <w:kern w:val="1"/>
          <w:sz w:val="32"/>
          <w:szCs w:val="32"/>
          <w:lang w:val="en-US" w:eastAsia="zh-CN"/>
        </w:rPr>
        <w:t>分)</w:t>
      </w:r>
    </w:p>
    <w:p w14:paraId="5CEB629B">
      <w:pPr>
        <w:numPr>
          <w:ilvl w:val="0"/>
          <w:numId w:val="0"/>
        </w:numPr>
        <w:spacing w:line="360" w:lineRule="auto"/>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3449E"/>
    <w:multiLevelType w:val="singleLevel"/>
    <w:tmpl w:val="72F34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C4738"/>
    <w:rsid w:val="00F14C49"/>
    <w:rsid w:val="067E5223"/>
    <w:rsid w:val="3C6A3D54"/>
    <w:rsid w:val="3E45102F"/>
    <w:rsid w:val="4AC779BE"/>
    <w:rsid w:val="5A5F6B40"/>
    <w:rsid w:val="5A9D28FB"/>
    <w:rsid w:val="668F2AC3"/>
    <w:rsid w:val="70E53128"/>
    <w:rsid w:val="787C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rFonts w:ascii="Times New Roman" w:hAnsi="Times New Roman" w:eastAsia="宋体" w:cs="Times New Roman"/>
      <w:b/>
      <w:kern w:val="44"/>
      <w:sz w:val="44"/>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ind w:firstLine="0" w:firstLineChars="0"/>
      <w:jc w:val="center"/>
      <w:outlineLvl w:val="1"/>
    </w:pPr>
    <w:rPr>
      <w:rFonts w:ascii="Arial" w:hAnsi="Arial" w:eastAsia="宋体" w:cs="Times New Roman"/>
      <w:b/>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ind w:firstLine="0" w:firstLineChars="0"/>
      <w:jc w:val="left"/>
      <w:outlineLvl w:val="2"/>
    </w:pPr>
    <w:rPr>
      <w:rFonts w:ascii="Times New Roman" w:hAnsi="Times New Roman" w:eastAsia="宋体" w:cs="Times New Roman"/>
      <w:b/>
      <w:sz w:val="32"/>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sz w:val="28"/>
    </w:rPr>
  </w:style>
  <w:style w:type="paragraph" w:styleId="6">
    <w:name w:val="Body Text"/>
    <w:basedOn w:val="1"/>
    <w:unhideWhenUsed/>
    <w:qFormat/>
    <w:uiPriority w:val="99"/>
    <w:pPr>
      <w:spacing w:after="120"/>
    </w:pPr>
    <w:rPr>
      <w:rFonts w:ascii="Calibri" w:hAnsi="Calibri"/>
      <w:szCs w:val="22"/>
    </w:rPr>
  </w:style>
  <w:style w:type="character" w:styleId="9">
    <w:name w:val="Strong"/>
    <w:qFormat/>
    <w:uiPriority w:val="22"/>
    <w:rPr>
      <w:rFonts w:eastAsia="黑体"/>
      <w:bCs/>
    </w:rPr>
  </w:style>
  <w:style w:type="paragraph" w:customStyle="1" w:styleId="10">
    <w:name w:val="正文1"/>
    <w:basedOn w:val="1"/>
    <w:qFormat/>
    <w:uiPriority w:val="0"/>
    <w:pPr>
      <w:ind w:firstLine="600"/>
    </w:pPr>
  </w:style>
  <w:style w:type="paragraph" w:customStyle="1" w:styleId="11">
    <w:name w:val="reader-word-layer reader-word-s10-4"/>
    <w:basedOn w:val="1"/>
    <w:qFormat/>
    <w:uiPriority w:val="0"/>
    <w:pPr>
      <w:widowControl/>
      <w:spacing w:before="100" w:beforeAutospacing="1" w:after="100" w:afterAutospacing="1"/>
      <w:jc w:val="left"/>
    </w:pPr>
    <w:rPr>
      <w:rFonts w:ascii="宋体" w:cs="宋体"/>
      <w:kern w:val="0"/>
      <w:sz w:val="24"/>
    </w:rPr>
  </w:style>
  <w:style w:type="paragraph" w:customStyle="1" w:styleId="12">
    <w:name w:val="reader-word-layer reader-word-s6-5"/>
    <w:basedOn w:val="1"/>
    <w:qFormat/>
    <w:uiPriority w:val="0"/>
    <w:pPr>
      <w:widowControl/>
      <w:spacing w:before="100" w:beforeAutospacing="1" w:after="100" w:afterAutospacing="1"/>
      <w:jc w:val="left"/>
    </w:pPr>
    <w:rPr>
      <w:rFonts w:ascii="宋体" w:cs="宋体"/>
      <w:kern w:val="0"/>
      <w:sz w:val="24"/>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4906</Words>
  <Characters>5416</Characters>
  <Lines>0</Lines>
  <Paragraphs>0</Paragraphs>
  <TotalTime>0</TotalTime>
  <ScaleCrop>false</ScaleCrop>
  <LinksUpToDate>false</LinksUpToDate>
  <CharactersWithSpaces>5421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2025-07-11T03:21:00Z</dcterms:created>
  <dc:creator>Administrator</dc:creator>
  <cp:lastModifiedBy>Administrator</cp:lastModifiedBy>
  <dcterms:modified xsi:type="dcterms:W3CDTF">2025-07-15T05:20:11Z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E623A78292C34B689D4CD3489C92C9C3_13</vt:lpwstr>
  </property>
  <property fmtid="{D5CDD505-2E9C-101B-9397-08002B2CF9AE}" pid="4" name="KSOTemplateDocerSaveRecord">
    <vt:lpwstr>eyJoZGlkIjoiYzE1ODI1NDBhMjViNTY4MTRiMTdmZWI0ZjdhN2MyNGUiLCJ1c2VySWQiOiI3MDQ4MDU1NTgifQ==</vt:lpwstr>
  </property>
</Properties>
</file>