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53F0">
      <w:pPr>
        <w:pStyle w:val="2"/>
        <w:numPr>
          <w:ilvl w:val="0"/>
          <w:numId w:val="1"/>
        </w:numPr>
        <w:bidi w:val="0"/>
        <w:rPr>
          <w:rFonts w:hint="eastAsia"/>
          <w:lang w:val="en-US" w:eastAsia="zh-CN"/>
        </w:rPr>
      </w:pPr>
      <w:r>
        <w:rPr>
          <w:rFonts w:hint="eastAsia"/>
          <w:lang w:val="en-US" w:eastAsia="zh-CN"/>
        </w:rPr>
        <w:t>资格条件</w:t>
      </w:r>
    </w:p>
    <w:p w14:paraId="2D6E2D9D">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1.具有独立承担民事责任的能力：提供法人或者其他组 织的营业执照等证明文件，或自然人身份证明；</w:t>
      </w:r>
    </w:p>
    <w:p w14:paraId="577ED02F">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2.具有良好的商业信誉和健全的财务会计制度：供应商 是法人的，提供2023年度经审计的财务报告(包括资产负债表、现金流量表、利润表、财务报表附注成财务状况说明书、会计师事务所的营业执照及执业资格证要)或成立未满一年的投标供应商提供2024年5月至今银行出具的有效资信证明；部分其他组织和自然人参与投标没有经审计的财务报告可以提供银行出具的有效资信证明；(复印件(扫描件)加盖公章)</w:t>
      </w:r>
    </w:p>
    <w:p w14:paraId="36149020">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3.具有履行合同所必需的设备和专业技术能力：提供具有履行合同所必需的设备和专业技术能力的证明材料复印件加盖公章或自行承诺具有履行合同所必需的设备和专业技术能力。【格式自拟】</w:t>
      </w:r>
    </w:p>
    <w:p w14:paraId="57EA5BB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4.具有依法缴纳税收和社会保障资金的良好记录：提供2024年1月至今任意三个月依法缴纳税收和社会保险的有效证明材料(成立未满三个月的投标供应商提供自成立以来依法缴纳税收和社会保险的有效证明材料),依法不缴纳社保及免税的投标供应商提供由社保部门及税务机关出具的有效证明材料；(不需缴纳税收的应提供相关证明材料)</w:t>
      </w:r>
    </w:p>
    <w:p w14:paraId="6F9268FD">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5.参加本次政府采购活动前三年内，在经营活动中没有违法违规记录：提供参加政府采购活动前3年内在经营活动中没有重大违法记录的书面声明(格式文件详见相关文件范本)。</w:t>
      </w:r>
    </w:p>
    <w:p w14:paraId="136FDCF5">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6.法律、行政法规和国家有关规定的其他条件：</w:t>
      </w:r>
    </w:p>
    <w:p w14:paraId="21B1D8D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(1)供应商须承诺：在“信用中国”网站(ww.creditchina.gov.cn)、中国政府级购网(ww.cCBp.gov.cn)等渠道查询中未被列入失信被执行人名单、重大税收违法案件当事人名单、政府采妁严重违法失信行为记录名单中，如被列入失信被执行人、重大税收违法案件当事人名单、政府采购严重违法失信行为记录名单中的供应商取消其投标资格，并承担由此造成的一切法律责任及后果。(格式文件详见相关文件范本)</w:t>
      </w:r>
    </w:p>
    <w:p w14:paraId="7EC0C761">
      <w:pPr>
        <w:numPr>
          <w:ilvl w:val="0"/>
          <w:numId w:val="0"/>
        </w:numPr>
        <w:spacing w:line="360" w:lineRule="auto"/>
        <w:ind w:firstLine="640" w:firstLineChars="200"/>
        <w:rPr>
          <w:rFonts w:hint="eastAsia" w:ascii="仿宋" w:hAnsi="仿宋" w:eastAsia="仿宋" w:cs="仿宋"/>
          <w:color w:val="0000FF"/>
          <w:kern w:val="2"/>
          <w:sz w:val="32"/>
          <w:szCs w:val="32"/>
          <w:highlight w:val="none"/>
          <w:lang w:val="en-US" w:eastAsia="zh-CN" w:bidi="ar-SA"/>
        </w:rPr>
      </w:pPr>
      <w:r>
        <w:rPr>
          <w:rFonts w:hint="eastAsia" w:ascii="仿宋" w:hAnsi="仿宋" w:eastAsia="仿宋" w:cs="仿宋"/>
          <w:color w:val="0000FF"/>
          <w:kern w:val="2"/>
          <w:sz w:val="32"/>
          <w:szCs w:val="32"/>
          <w:highlight w:val="none"/>
          <w:lang w:val="en-US" w:eastAsia="zh-CN" w:bidi="ar-SA"/>
        </w:rPr>
        <w:t>(2)根据《省发展改革委省法院省公共资源交易中心关于推进全省公共资源交易领域对法院失信被执行人实施信用联合惩戒的通知》黔发改财金【2020】421号文件要求，交易系统会自行对失信供应商实施信用联合惩戒。</w:t>
      </w:r>
    </w:p>
    <w:p w14:paraId="010A04D0">
      <w:pPr>
        <w:rPr>
          <w:rFonts w:hint="default"/>
          <w:lang w:val="en-US" w:eastAsia="zh-CN"/>
        </w:rPr>
      </w:pPr>
      <w:r>
        <w:rPr>
          <w:rFonts w:hint="eastAsia"/>
          <w:lang w:val="en-US" w:eastAsia="zh-CN"/>
        </w:rPr>
        <w:br w:type="page"/>
      </w:r>
    </w:p>
    <w:p w14:paraId="13062CC4">
      <w:pPr>
        <w:pStyle w:val="2"/>
        <w:numPr>
          <w:ilvl w:val="0"/>
          <w:numId w:val="1"/>
        </w:numPr>
        <w:bidi w:val="0"/>
        <w:rPr>
          <w:rFonts w:hint="default"/>
          <w:lang w:val="en-US" w:eastAsia="zh-CN"/>
        </w:rPr>
      </w:pPr>
      <w:r>
        <w:rPr>
          <w:rFonts w:hint="eastAsia"/>
          <w:lang w:val="en-US" w:eastAsia="zh-CN"/>
        </w:rPr>
        <w:t>技术要求</w:t>
      </w:r>
    </w:p>
    <w:p w14:paraId="623BDD26">
      <w:pPr>
        <w:spacing w:line="360" w:lineRule="auto"/>
        <w:ind w:firstLine="630" w:firstLineChars="196"/>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sz w:val="32"/>
          <w:szCs w:val="32"/>
        </w:rPr>
        <w:t>贵阳市妇女儿童活动中心项目概况</w:t>
      </w:r>
    </w:p>
    <w:p w14:paraId="7EEF1214">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贵阳市妇女儿童活动中心（以下简称活动中心）是贵阳市委、市政府坚持贯彻落实男女平等的基本国策及儿童优先原则，推进妇女儿童事业健康发展的重要基地；是贵阳市妇联组织实施儿童教育培训，为妇女儿童办实事，提高妇女素质，促进儿童健康成长的重要平台。</w:t>
      </w:r>
    </w:p>
    <w:p w14:paraId="29582FF2">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活动中心地处观山湖文化山，东南为商业，娱乐区，北面为体育公园和居民小区，西邻教育科研区，中心有办公楼、妇女就业创业实训基地、妇女儿童活动营地，儿童教育研究中心以及道路、广场、停车场、网球场、羽毛球场等，中心共有3个出入口（其中：车行出口2个，人行出口1个），占地面积共23833 m2，建筑面积13444.4㎡（含地下室），绿化面积为15219m2，其中，儿童教育研究中心底层面积1259.03,总面积3629㎡（已委托贵阳市国资公司进行经营管理），创业实训基地底层面积957.42㎡。总面积5494㎡（已委托贵阳市国资公司进行经营管理），妇儿活动营地（多功能厅）2198.1m2(底层面积732.70㎡)，办公楼616.71㎡，地下室部分面积1506.59㎡，地下室部分为人防设施及设备用房。</w:t>
      </w:r>
    </w:p>
    <w:p w14:paraId="0EE1F53D">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活动中心主要设备设施包括630KVA变压器两台、输出为两组的高低压配电控制系统、200KVA应急发电机机组一套、中央空调系统制热制冷机组各一套、冷却塔一套、给排水系统、消防系统、监控系统、弱电网络系统、通风系统、照明系统、紧急照明系统、道阐系统、排污系统。共有热水锅炉2台(燃气)空调制冷机组一套,含电机15KW、22KW、5.5KW各一台。消防系统电机30KW2台、18.5KW2台、给水系统电机4KW2台、2.2KW2台、排水系统电机3.5KW9台。多功能厅配有活动座椅、影视播放，舞台灯光系统一套。</w:t>
      </w:r>
    </w:p>
    <w:p w14:paraId="61853A1E">
      <w:pPr>
        <w:pStyle w:val="13"/>
        <w:shd w:val="clear" w:color="auto" w:fill="FCFCFC"/>
        <w:snapToGrid w:val="0"/>
        <w:spacing w:before="0" w:beforeAutospacing="0" w:after="0" w:afterAutospacing="0" w:line="360" w:lineRule="auto"/>
        <w:ind w:firstLine="640" w:firstLineChars="200"/>
        <w:jc w:val="both"/>
        <w:rPr>
          <w:rFonts w:hint="eastAsia" w:ascii="仿宋" w:hAnsi="仿宋" w:eastAsia="仿宋" w:cs="仿宋"/>
          <w:b/>
          <w:color w:val="000000"/>
          <w:sz w:val="32"/>
          <w:szCs w:val="32"/>
        </w:rPr>
      </w:pPr>
      <w:r>
        <w:rPr>
          <w:rFonts w:hint="eastAsia" w:ascii="仿宋" w:hAnsi="仿宋" w:eastAsia="仿宋" w:cs="仿宋"/>
          <w:color w:val="000000"/>
          <w:sz w:val="32"/>
          <w:szCs w:val="32"/>
        </w:rPr>
        <w:t>二、贵阳市妇女儿童活动中心的物业管理模式</w:t>
      </w:r>
    </w:p>
    <w:p w14:paraId="79C39ACF">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拟将贵阳市妇女儿童活动中心物业共用设施、设备管理分为三个层次进行，即：以保证共用设施、设备处于受控状态，维持正常运行为目的的日常管理及维修；以消除各种运行隐患，保证设施设备性能得以充分发挥为目的的定期维修养护（大、中修所需费用报财政单独列支）；以提升设备性能、增强设备自我保护功能从而满足中心不断增长的服务需求为目的的改良型维护。</w:t>
      </w:r>
    </w:p>
    <w:p w14:paraId="050D88D7">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在贵阳市妇女儿童活动中心物业共用设施设备的管理维护上，充分运用计算机技术，对水、电、车辆、消防、闭路监控、防盗报警等系统实行集中综合控制和管理，利用计算机和网络技术，利用中央控制计算机的图形显示、冬天适时数据刷新功能，实时监控设备的运行状态、运行参数一目了然；运用特有的报警功能，准确及时了解设备是否正常，并能迅速做出反应，及时排除故障；实现各控制系统自动检测、自动调节、自动诊断、自动报警等功能，保证设备在最安全的状态下运行，降低设备运行成本，减少设备运维人员，将人为不安定因素降低到最小。</w:t>
      </w:r>
    </w:p>
    <w:p w14:paraId="5229E80E">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贵阳市妇女儿童活动中心办公楼、妇女儿童活动营地以及道路、广场、停车场、网球场、羽毛球场、出入口等清洁卫生、绿化养护、治安秩序、设施设备维 修维护、辖区物业设施、楼宇的日常巡查、管理和业主方团体活动接待服务等。</w:t>
      </w:r>
    </w:p>
    <w:p w14:paraId="1CD4A59E">
      <w:pPr>
        <w:spacing w:line="360" w:lineRule="auto"/>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三、管理目标</w:t>
      </w:r>
    </w:p>
    <w:p w14:paraId="77D05B36">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根据以上的总体设想，贵阳市妇女儿童活动中心物业管理目标可以确定为：</w:t>
      </w:r>
    </w:p>
    <w:p w14:paraId="5CD08947">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⑴满意率平均达到95%。</w:t>
      </w:r>
    </w:p>
    <w:p w14:paraId="2ECF33F0">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⑵火灾责任事故为零。</w:t>
      </w:r>
    </w:p>
    <w:p w14:paraId="113E62AA">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⑶刑事案件发案率不超过0.2%。</w:t>
      </w:r>
    </w:p>
    <w:p w14:paraId="3455045E">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⑷环境卫生清洁率99%。</w:t>
      </w:r>
    </w:p>
    <w:p w14:paraId="182D7CDE">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⑸消防设备设施完好率100%。</w:t>
      </w:r>
    </w:p>
    <w:p w14:paraId="57451996">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⑹房屋完好率98%。</w:t>
      </w:r>
    </w:p>
    <w:p w14:paraId="6F5EFAFA">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⑺设备完好率100%。</w:t>
      </w:r>
    </w:p>
    <w:p w14:paraId="6F8444BB">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⑻智能化系统运行正常率98%。</w:t>
      </w:r>
    </w:p>
    <w:p w14:paraId="4334ED0B">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⑼零修急修及时率100%，返修率小于1%。</w:t>
      </w:r>
    </w:p>
    <w:p w14:paraId="61676E10">
      <w:pPr>
        <w:pStyle w:val="12"/>
        <w:shd w:val="clear" w:color="auto" w:fill="FCFCFC"/>
        <w:spacing w:before="0" w:beforeAutospacing="0" w:after="0" w:afterAutospacing="0" w:line="360" w:lineRule="auto"/>
        <w:ind w:firstLine="640" w:firstLineChars="200"/>
        <w:jc w:val="both"/>
        <w:rPr>
          <w:rFonts w:hint="eastAsia" w:ascii="仿宋" w:hAnsi="仿宋" w:eastAsia="仿宋" w:cs="仿宋"/>
          <w:color w:val="000000"/>
          <w:kern w:val="2"/>
          <w:sz w:val="32"/>
          <w:szCs w:val="32"/>
          <w:highlight w:val="white"/>
          <w:lang w:val="en-US" w:eastAsia="zh-CN" w:bidi="ar-SA"/>
        </w:rPr>
      </w:pPr>
      <w:r>
        <w:rPr>
          <w:rFonts w:hint="eastAsia" w:ascii="仿宋" w:hAnsi="仿宋" w:eastAsia="仿宋" w:cs="仿宋"/>
          <w:color w:val="000000"/>
          <w:kern w:val="2"/>
          <w:sz w:val="32"/>
          <w:szCs w:val="32"/>
          <w:highlight w:val="white"/>
          <w:lang w:val="en-US" w:eastAsia="zh-CN" w:bidi="ar-SA"/>
        </w:rPr>
        <w:t>⑽服务有效投诉率不超过1%，处理率100%。</w:t>
      </w:r>
    </w:p>
    <w:p w14:paraId="0E83AEAC">
      <w:pPr>
        <w:rPr>
          <w:rFonts w:hint="eastAsia" w:ascii="仿宋" w:hAnsi="仿宋" w:eastAsia="仿宋" w:cs="仿宋"/>
          <w:b/>
          <w:sz w:val="32"/>
          <w:szCs w:val="32"/>
        </w:rPr>
      </w:pPr>
      <w:r>
        <w:rPr>
          <w:rFonts w:hint="eastAsia" w:ascii="仿宋" w:hAnsi="仿宋" w:eastAsia="仿宋" w:cs="仿宋"/>
          <w:b/>
          <w:sz w:val="32"/>
          <w:szCs w:val="32"/>
        </w:rPr>
        <w:br w:type="page"/>
      </w:r>
    </w:p>
    <w:p w14:paraId="57E43A9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各项目标分解</w:t>
      </w:r>
    </w:p>
    <w:tbl>
      <w:tblPr>
        <w:tblStyle w:val="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42"/>
        <w:gridCol w:w="1077"/>
        <w:gridCol w:w="1010"/>
        <w:gridCol w:w="4166"/>
      </w:tblGrid>
      <w:tr w14:paraId="7469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017DB9C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序</w:t>
            </w:r>
          </w:p>
          <w:p w14:paraId="5D7F5C1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号</w:t>
            </w:r>
          </w:p>
        </w:tc>
        <w:tc>
          <w:tcPr>
            <w:tcW w:w="2442" w:type="dxa"/>
            <w:tcBorders>
              <w:top w:val="single" w:color="auto" w:sz="4" w:space="0"/>
              <w:left w:val="single" w:color="auto" w:sz="4" w:space="0"/>
              <w:bottom w:val="single" w:color="auto" w:sz="4" w:space="0"/>
              <w:right w:val="single" w:color="auto" w:sz="4" w:space="0"/>
            </w:tcBorders>
            <w:noWrap/>
            <w:vAlign w:val="center"/>
          </w:tcPr>
          <w:p w14:paraId="1B8182B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管理项目</w:t>
            </w:r>
          </w:p>
        </w:tc>
        <w:tc>
          <w:tcPr>
            <w:tcW w:w="1077" w:type="dxa"/>
            <w:tcBorders>
              <w:top w:val="single" w:color="auto" w:sz="4" w:space="0"/>
              <w:left w:val="single" w:color="auto" w:sz="4" w:space="0"/>
              <w:bottom w:val="single" w:color="auto" w:sz="4" w:space="0"/>
              <w:right w:val="single" w:color="auto" w:sz="4" w:space="0"/>
            </w:tcBorders>
            <w:noWrap/>
            <w:vAlign w:val="center"/>
          </w:tcPr>
          <w:p w14:paraId="4E0B13B0">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国家示范标准</w:t>
            </w:r>
          </w:p>
        </w:tc>
        <w:tc>
          <w:tcPr>
            <w:tcW w:w="1010" w:type="dxa"/>
            <w:tcBorders>
              <w:top w:val="single" w:color="auto" w:sz="4" w:space="0"/>
              <w:left w:val="single" w:color="auto" w:sz="4" w:space="0"/>
              <w:bottom w:val="single" w:color="auto" w:sz="4" w:space="0"/>
              <w:right w:val="single" w:color="auto" w:sz="4" w:space="0"/>
            </w:tcBorders>
            <w:noWrap/>
            <w:vAlign w:val="center"/>
          </w:tcPr>
          <w:p w14:paraId="7DD5541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承诺</w:t>
            </w:r>
          </w:p>
          <w:p w14:paraId="76A6A054">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标准</w:t>
            </w:r>
          </w:p>
        </w:tc>
        <w:tc>
          <w:tcPr>
            <w:tcW w:w="4166" w:type="dxa"/>
            <w:tcBorders>
              <w:top w:val="single" w:color="auto" w:sz="4" w:space="0"/>
              <w:left w:val="single" w:color="auto" w:sz="4" w:space="0"/>
              <w:bottom w:val="single" w:color="auto" w:sz="4" w:space="0"/>
              <w:right w:val="single" w:color="auto" w:sz="4" w:space="0"/>
            </w:tcBorders>
            <w:noWrap/>
            <w:vAlign w:val="center"/>
          </w:tcPr>
          <w:p w14:paraId="6310E02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测定依据</w:t>
            </w:r>
          </w:p>
        </w:tc>
      </w:tr>
      <w:tr w14:paraId="158F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47BF02E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w:t>
            </w:r>
          </w:p>
        </w:tc>
        <w:tc>
          <w:tcPr>
            <w:tcW w:w="2442" w:type="dxa"/>
            <w:tcBorders>
              <w:top w:val="single" w:color="auto" w:sz="4" w:space="0"/>
              <w:left w:val="single" w:color="auto" w:sz="4" w:space="0"/>
              <w:bottom w:val="single" w:color="auto" w:sz="4" w:space="0"/>
              <w:right w:val="single" w:color="auto" w:sz="4" w:space="0"/>
            </w:tcBorders>
            <w:noWrap/>
            <w:vAlign w:val="center"/>
          </w:tcPr>
          <w:p w14:paraId="19853B98">
            <w:pPr>
              <w:spacing w:line="360" w:lineRule="auto"/>
              <w:rPr>
                <w:rFonts w:hint="eastAsia" w:ascii="仿宋" w:hAnsi="仿宋" w:eastAsia="仿宋" w:cs="仿宋"/>
                <w:sz w:val="32"/>
                <w:szCs w:val="32"/>
              </w:rPr>
            </w:pPr>
            <w:r>
              <w:rPr>
                <w:rFonts w:hint="eastAsia" w:ascii="仿宋" w:hAnsi="仿宋" w:eastAsia="仿宋" w:cs="仿宋"/>
                <w:sz w:val="32"/>
                <w:szCs w:val="32"/>
              </w:rPr>
              <w:t>火灾责任事故发生率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7C9E05C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0</w:t>
            </w:r>
          </w:p>
        </w:tc>
        <w:tc>
          <w:tcPr>
            <w:tcW w:w="1010" w:type="dxa"/>
            <w:tcBorders>
              <w:top w:val="single" w:color="auto" w:sz="4" w:space="0"/>
              <w:left w:val="single" w:color="auto" w:sz="4" w:space="0"/>
              <w:bottom w:val="single" w:color="auto" w:sz="4" w:space="0"/>
              <w:right w:val="single" w:color="auto" w:sz="4" w:space="0"/>
            </w:tcBorders>
            <w:noWrap/>
            <w:vAlign w:val="center"/>
          </w:tcPr>
          <w:p w14:paraId="7A344D5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0</w:t>
            </w:r>
          </w:p>
        </w:tc>
        <w:tc>
          <w:tcPr>
            <w:tcW w:w="4166" w:type="dxa"/>
            <w:tcBorders>
              <w:top w:val="single" w:color="auto" w:sz="4" w:space="0"/>
              <w:left w:val="single" w:color="auto" w:sz="4" w:space="0"/>
              <w:bottom w:val="single" w:color="auto" w:sz="4" w:space="0"/>
              <w:right w:val="single" w:color="auto" w:sz="4" w:space="0"/>
            </w:tcBorders>
            <w:noWrap/>
            <w:vAlign w:val="center"/>
          </w:tcPr>
          <w:p w14:paraId="61E85A5F">
            <w:pPr>
              <w:spacing w:line="360" w:lineRule="auto"/>
              <w:jc w:val="center"/>
              <w:rPr>
                <w:rFonts w:hint="eastAsia" w:ascii="仿宋" w:hAnsi="仿宋" w:eastAsia="仿宋" w:cs="仿宋"/>
                <w:sz w:val="32"/>
                <w:szCs w:val="32"/>
              </w:rPr>
            </w:pPr>
          </w:p>
        </w:tc>
      </w:tr>
      <w:tr w14:paraId="55BC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A4FEF4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2</w:t>
            </w:r>
          </w:p>
        </w:tc>
        <w:tc>
          <w:tcPr>
            <w:tcW w:w="2442" w:type="dxa"/>
            <w:tcBorders>
              <w:top w:val="single" w:color="auto" w:sz="4" w:space="0"/>
              <w:left w:val="single" w:color="auto" w:sz="4" w:space="0"/>
              <w:bottom w:val="single" w:color="auto" w:sz="4" w:space="0"/>
              <w:right w:val="single" w:color="auto" w:sz="4" w:space="0"/>
            </w:tcBorders>
            <w:noWrap/>
            <w:vAlign w:val="center"/>
          </w:tcPr>
          <w:p w14:paraId="61D34BB1">
            <w:pPr>
              <w:spacing w:line="360" w:lineRule="auto"/>
              <w:rPr>
                <w:rFonts w:hint="eastAsia" w:ascii="仿宋" w:hAnsi="仿宋" w:eastAsia="仿宋" w:cs="仿宋"/>
                <w:sz w:val="32"/>
                <w:szCs w:val="32"/>
              </w:rPr>
            </w:pPr>
            <w:r>
              <w:rPr>
                <w:rFonts w:hint="eastAsia" w:ascii="仿宋" w:hAnsi="仿宋" w:eastAsia="仿宋" w:cs="仿宋"/>
                <w:sz w:val="32"/>
                <w:szCs w:val="32"/>
              </w:rPr>
              <w:t>治安案件</w:t>
            </w:r>
          </w:p>
        </w:tc>
        <w:tc>
          <w:tcPr>
            <w:tcW w:w="1077" w:type="dxa"/>
            <w:tcBorders>
              <w:top w:val="single" w:color="auto" w:sz="4" w:space="0"/>
              <w:left w:val="single" w:color="auto" w:sz="4" w:space="0"/>
              <w:bottom w:val="single" w:color="auto" w:sz="4" w:space="0"/>
              <w:right w:val="single" w:color="auto" w:sz="4" w:space="0"/>
            </w:tcBorders>
            <w:noWrap/>
            <w:vAlign w:val="center"/>
          </w:tcPr>
          <w:p w14:paraId="0D8EBC1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2%</w:t>
            </w:r>
          </w:p>
        </w:tc>
        <w:tc>
          <w:tcPr>
            <w:tcW w:w="1010" w:type="dxa"/>
            <w:tcBorders>
              <w:top w:val="single" w:color="auto" w:sz="4" w:space="0"/>
              <w:left w:val="single" w:color="auto" w:sz="4" w:space="0"/>
              <w:bottom w:val="single" w:color="auto" w:sz="4" w:space="0"/>
              <w:right w:val="single" w:color="auto" w:sz="4" w:space="0"/>
            </w:tcBorders>
            <w:noWrap/>
            <w:vAlign w:val="center"/>
          </w:tcPr>
          <w:p w14:paraId="7336EFB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w:t>
            </w:r>
          </w:p>
        </w:tc>
        <w:tc>
          <w:tcPr>
            <w:tcW w:w="4166" w:type="dxa"/>
            <w:tcBorders>
              <w:top w:val="single" w:color="auto" w:sz="4" w:space="0"/>
              <w:left w:val="single" w:color="auto" w:sz="4" w:space="0"/>
              <w:bottom w:val="single" w:color="auto" w:sz="4" w:space="0"/>
              <w:right w:val="single" w:color="auto" w:sz="4" w:space="0"/>
            </w:tcBorders>
            <w:noWrap/>
            <w:vAlign w:val="center"/>
          </w:tcPr>
          <w:p w14:paraId="5A5428C3">
            <w:pPr>
              <w:spacing w:line="360" w:lineRule="auto"/>
              <w:rPr>
                <w:rFonts w:hint="eastAsia" w:ascii="仿宋" w:hAnsi="仿宋" w:eastAsia="仿宋" w:cs="仿宋"/>
                <w:sz w:val="32"/>
                <w:szCs w:val="32"/>
              </w:rPr>
            </w:pPr>
            <w:r>
              <w:rPr>
                <w:rFonts w:hint="eastAsia" w:ascii="仿宋" w:hAnsi="仿宋" w:eastAsia="仿宋" w:cs="仿宋"/>
                <w:sz w:val="32"/>
                <w:szCs w:val="32"/>
              </w:rPr>
              <w:t>以公安部门记录为依据</w:t>
            </w:r>
          </w:p>
        </w:tc>
      </w:tr>
      <w:tr w14:paraId="2BD1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63788BB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3</w:t>
            </w:r>
          </w:p>
        </w:tc>
        <w:tc>
          <w:tcPr>
            <w:tcW w:w="2442" w:type="dxa"/>
            <w:tcBorders>
              <w:top w:val="single" w:color="auto" w:sz="4" w:space="0"/>
              <w:left w:val="single" w:color="auto" w:sz="4" w:space="0"/>
              <w:bottom w:val="single" w:color="auto" w:sz="4" w:space="0"/>
              <w:right w:val="single" w:color="auto" w:sz="4" w:space="0"/>
            </w:tcBorders>
            <w:noWrap/>
            <w:vAlign w:val="center"/>
          </w:tcPr>
          <w:p w14:paraId="4A0E0CF3">
            <w:pPr>
              <w:spacing w:line="360" w:lineRule="auto"/>
              <w:rPr>
                <w:rFonts w:hint="eastAsia" w:ascii="仿宋" w:hAnsi="仿宋" w:eastAsia="仿宋" w:cs="仿宋"/>
                <w:sz w:val="32"/>
                <w:szCs w:val="32"/>
              </w:rPr>
            </w:pPr>
            <w:r>
              <w:rPr>
                <w:rFonts w:hint="eastAsia" w:ascii="仿宋" w:hAnsi="仿宋" w:eastAsia="仿宋" w:cs="仿宋"/>
                <w:sz w:val="32"/>
                <w:szCs w:val="32"/>
              </w:rPr>
              <w:t>环境卫生</w:t>
            </w:r>
          </w:p>
        </w:tc>
        <w:tc>
          <w:tcPr>
            <w:tcW w:w="1077" w:type="dxa"/>
            <w:vMerge w:val="restart"/>
            <w:tcBorders>
              <w:top w:val="single" w:color="auto" w:sz="4" w:space="0"/>
              <w:left w:val="single" w:color="auto" w:sz="4" w:space="0"/>
              <w:bottom w:val="single" w:color="auto" w:sz="4" w:space="0"/>
              <w:right w:val="single" w:color="auto" w:sz="4" w:space="0"/>
            </w:tcBorders>
            <w:noWrap/>
            <w:vAlign w:val="center"/>
          </w:tcPr>
          <w:p w14:paraId="1FA6D0F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vMerge w:val="restart"/>
            <w:tcBorders>
              <w:top w:val="single" w:color="auto" w:sz="4" w:space="0"/>
              <w:left w:val="single" w:color="auto" w:sz="4" w:space="0"/>
              <w:bottom w:val="single" w:color="auto" w:sz="4" w:space="0"/>
              <w:right w:val="single" w:color="auto" w:sz="4" w:space="0"/>
            </w:tcBorders>
            <w:noWrap/>
            <w:vAlign w:val="center"/>
          </w:tcPr>
          <w:p w14:paraId="37AC55AA">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99%</w:t>
            </w:r>
          </w:p>
        </w:tc>
        <w:tc>
          <w:tcPr>
            <w:tcW w:w="4166" w:type="dxa"/>
            <w:vMerge w:val="restart"/>
            <w:tcBorders>
              <w:top w:val="single" w:color="auto" w:sz="4" w:space="0"/>
              <w:left w:val="single" w:color="auto" w:sz="4" w:space="0"/>
              <w:bottom w:val="single" w:color="auto" w:sz="4" w:space="0"/>
              <w:right w:val="single" w:color="auto" w:sz="4" w:space="0"/>
            </w:tcBorders>
            <w:noWrap/>
            <w:vAlign w:val="center"/>
          </w:tcPr>
          <w:p w14:paraId="25E98010">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以工作记录及监督抽查合格率及纠正合格记录为依据</w:t>
            </w:r>
          </w:p>
        </w:tc>
      </w:tr>
      <w:tr w14:paraId="705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59C0202A">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18E4C005">
            <w:pPr>
              <w:spacing w:line="360" w:lineRule="auto"/>
              <w:rPr>
                <w:rFonts w:hint="eastAsia" w:ascii="仿宋" w:hAnsi="仿宋" w:eastAsia="仿宋" w:cs="仿宋"/>
                <w:sz w:val="32"/>
                <w:szCs w:val="32"/>
              </w:rPr>
            </w:pPr>
            <w:r>
              <w:rPr>
                <w:rFonts w:hint="eastAsia" w:ascii="仿宋" w:hAnsi="仿宋" w:eastAsia="仿宋" w:cs="仿宋"/>
                <w:sz w:val="32"/>
                <w:szCs w:val="32"/>
              </w:rPr>
              <w:t>清洁率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136E9D5">
            <w:pPr>
              <w:spacing w:line="360" w:lineRule="auto"/>
              <w:rPr>
                <w:rFonts w:hint="eastAsia" w:ascii="仿宋" w:hAnsi="仿宋" w:eastAsia="仿宋" w:cs="仿宋"/>
                <w:sz w:val="32"/>
                <w:szCs w:val="32"/>
              </w:rPr>
            </w:pPr>
          </w:p>
        </w:tc>
        <w:tc>
          <w:tcPr>
            <w:tcW w:w="1010" w:type="dxa"/>
            <w:vMerge w:val="continue"/>
            <w:tcBorders>
              <w:top w:val="single" w:color="auto" w:sz="4" w:space="0"/>
              <w:left w:val="single" w:color="auto" w:sz="4" w:space="0"/>
              <w:bottom w:val="single" w:color="auto" w:sz="4" w:space="0"/>
              <w:right w:val="single" w:color="auto" w:sz="4" w:space="0"/>
            </w:tcBorders>
            <w:noWrap/>
            <w:vAlign w:val="center"/>
          </w:tcPr>
          <w:p w14:paraId="726D3D80">
            <w:pPr>
              <w:spacing w:line="360" w:lineRule="auto"/>
              <w:rPr>
                <w:rFonts w:hint="eastAsia" w:ascii="仿宋" w:hAnsi="仿宋" w:eastAsia="仿宋" w:cs="仿宋"/>
                <w:sz w:val="32"/>
                <w:szCs w:val="32"/>
              </w:rPr>
            </w:pP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78426D8A">
            <w:pPr>
              <w:spacing w:line="360" w:lineRule="auto"/>
              <w:rPr>
                <w:rFonts w:hint="eastAsia" w:ascii="仿宋" w:hAnsi="仿宋" w:eastAsia="仿宋" w:cs="仿宋"/>
                <w:sz w:val="32"/>
                <w:szCs w:val="32"/>
              </w:rPr>
            </w:pPr>
          </w:p>
        </w:tc>
      </w:tr>
      <w:tr w14:paraId="2CF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4A82F63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4</w:t>
            </w:r>
          </w:p>
        </w:tc>
        <w:tc>
          <w:tcPr>
            <w:tcW w:w="2442" w:type="dxa"/>
            <w:tcBorders>
              <w:top w:val="single" w:color="auto" w:sz="4" w:space="0"/>
              <w:left w:val="single" w:color="auto" w:sz="4" w:space="0"/>
              <w:bottom w:val="single" w:color="auto" w:sz="4" w:space="0"/>
              <w:right w:val="single" w:color="auto" w:sz="4" w:space="0"/>
            </w:tcBorders>
            <w:noWrap/>
            <w:vAlign w:val="center"/>
          </w:tcPr>
          <w:p w14:paraId="6577531D">
            <w:pPr>
              <w:spacing w:line="360" w:lineRule="auto"/>
              <w:rPr>
                <w:rFonts w:hint="eastAsia" w:ascii="仿宋" w:hAnsi="仿宋" w:eastAsia="仿宋" w:cs="仿宋"/>
                <w:sz w:val="32"/>
                <w:szCs w:val="32"/>
              </w:rPr>
            </w:pPr>
            <w:r>
              <w:rPr>
                <w:rFonts w:hint="eastAsia" w:ascii="仿宋" w:hAnsi="仿宋" w:eastAsia="仿宋" w:cs="仿宋"/>
                <w:sz w:val="32"/>
                <w:szCs w:val="32"/>
              </w:rPr>
              <w:t>消防设施完好率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5508F7B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323015A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502F99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所有消防设备使用时处于完好状态</w:t>
            </w:r>
          </w:p>
        </w:tc>
      </w:tr>
      <w:tr w14:paraId="640A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3C1D91C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5</w:t>
            </w:r>
          </w:p>
        </w:tc>
        <w:tc>
          <w:tcPr>
            <w:tcW w:w="2442" w:type="dxa"/>
            <w:tcBorders>
              <w:top w:val="single" w:color="auto" w:sz="4" w:space="0"/>
              <w:left w:val="single" w:color="auto" w:sz="4" w:space="0"/>
              <w:bottom w:val="single" w:color="auto" w:sz="4" w:space="0"/>
              <w:right w:val="single" w:color="auto" w:sz="4" w:space="0"/>
            </w:tcBorders>
            <w:noWrap/>
            <w:vAlign w:val="center"/>
          </w:tcPr>
          <w:p w14:paraId="6D56F75D">
            <w:pPr>
              <w:spacing w:line="360" w:lineRule="auto"/>
              <w:rPr>
                <w:rFonts w:hint="eastAsia" w:ascii="仿宋" w:hAnsi="仿宋" w:eastAsia="仿宋" w:cs="仿宋"/>
                <w:sz w:val="32"/>
                <w:szCs w:val="32"/>
              </w:rPr>
            </w:pPr>
            <w:r>
              <w:rPr>
                <w:rFonts w:hint="eastAsia" w:ascii="仿宋" w:hAnsi="仿宋" w:eastAsia="仿宋" w:cs="仿宋"/>
                <w:sz w:val="32"/>
                <w:szCs w:val="32"/>
              </w:rPr>
              <w:t>房屋及配套设施完好率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13AF051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tcBorders>
              <w:top w:val="single" w:color="auto" w:sz="4" w:space="0"/>
              <w:left w:val="single" w:color="auto" w:sz="4" w:space="0"/>
              <w:bottom w:val="single" w:color="auto" w:sz="4" w:space="0"/>
              <w:right w:val="single" w:color="auto" w:sz="4" w:space="0"/>
            </w:tcBorders>
            <w:noWrap/>
            <w:vAlign w:val="center"/>
          </w:tcPr>
          <w:p w14:paraId="66FD561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4166" w:type="dxa"/>
            <w:tcBorders>
              <w:top w:val="single" w:color="auto" w:sz="4" w:space="0"/>
              <w:left w:val="single" w:color="auto" w:sz="4" w:space="0"/>
              <w:bottom w:val="single" w:color="auto" w:sz="4" w:space="0"/>
              <w:right w:val="single" w:color="auto" w:sz="4" w:space="0"/>
            </w:tcBorders>
            <w:noWrap/>
            <w:vAlign w:val="center"/>
          </w:tcPr>
          <w:p w14:paraId="1497BA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完好、基本完好房面积/ 建筑物面积×100%</w:t>
            </w:r>
          </w:p>
        </w:tc>
      </w:tr>
      <w:tr w14:paraId="09DD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22EF2E83">
            <w:pPr>
              <w:spacing w:line="360" w:lineRule="auto"/>
              <w:jc w:val="center"/>
              <w:rPr>
                <w:rFonts w:hint="eastAsia" w:ascii="仿宋" w:hAnsi="仿宋" w:eastAsia="仿宋" w:cs="仿宋"/>
                <w:sz w:val="32"/>
                <w:szCs w:val="32"/>
              </w:rPr>
            </w:pPr>
            <w:r>
              <w:rPr>
                <w:rFonts w:hint="eastAsia" w:ascii="仿宋" w:hAnsi="仿宋" w:eastAsia="仿宋" w:cs="仿宋"/>
                <w:sz w:val="32"/>
                <w:szCs w:val="32"/>
              </w:rPr>
              <w:t>6</w:t>
            </w:r>
          </w:p>
        </w:tc>
        <w:tc>
          <w:tcPr>
            <w:tcW w:w="2442" w:type="dxa"/>
            <w:tcBorders>
              <w:top w:val="single" w:color="auto" w:sz="4" w:space="0"/>
              <w:left w:val="single" w:color="auto" w:sz="4" w:space="0"/>
              <w:bottom w:val="single" w:color="auto" w:sz="4" w:space="0"/>
              <w:right w:val="single" w:color="auto" w:sz="4" w:space="0"/>
            </w:tcBorders>
            <w:noWrap/>
            <w:vAlign w:val="center"/>
          </w:tcPr>
          <w:p w14:paraId="2E346B2C">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设备完好率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64CDDEA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42574B58">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600665DA">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所有设备使用时处于完好状态</w:t>
            </w:r>
          </w:p>
        </w:tc>
      </w:tr>
      <w:tr w14:paraId="3BAD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736DE1B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7</w:t>
            </w:r>
          </w:p>
        </w:tc>
        <w:tc>
          <w:tcPr>
            <w:tcW w:w="2442" w:type="dxa"/>
            <w:tcBorders>
              <w:top w:val="single" w:color="auto" w:sz="4" w:space="0"/>
              <w:left w:val="single" w:color="auto" w:sz="4" w:space="0"/>
              <w:bottom w:val="single" w:color="auto" w:sz="4" w:space="0"/>
              <w:right w:val="single" w:color="auto" w:sz="4" w:space="0"/>
            </w:tcBorders>
            <w:noWrap/>
            <w:vAlign w:val="center"/>
          </w:tcPr>
          <w:p w14:paraId="4C552DD8">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智能化系统运行正常率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2BBBB63E">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1010" w:type="dxa"/>
            <w:tcBorders>
              <w:top w:val="single" w:color="auto" w:sz="4" w:space="0"/>
              <w:left w:val="single" w:color="auto" w:sz="4" w:space="0"/>
              <w:bottom w:val="single" w:color="auto" w:sz="4" w:space="0"/>
              <w:right w:val="single" w:color="auto" w:sz="4" w:space="0"/>
            </w:tcBorders>
            <w:noWrap/>
            <w:vAlign w:val="center"/>
          </w:tcPr>
          <w:p w14:paraId="2A833B7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98%</w:t>
            </w:r>
          </w:p>
        </w:tc>
        <w:tc>
          <w:tcPr>
            <w:tcW w:w="4166" w:type="dxa"/>
            <w:tcBorders>
              <w:top w:val="single" w:color="auto" w:sz="4" w:space="0"/>
              <w:left w:val="single" w:color="auto" w:sz="4" w:space="0"/>
              <w:bottom w:val="single" w:color="auto" w:sz="4" w:space="0"/>
              <w:right w:val="single" w:color="auto" w:sz="4" w:space="0"/>
            </w:tcBorders>
            <w:noWrap/>
            <w:vAlign w:val="center"/>
          </w:tcPr>
          <w:p w14:paraId="727A2653">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故障时间占整个使用时间的比例</w:t>
            </w:r>
          </w:p>
        </w:tc>
      </w:tr>
      <w:tr w14:paraId="4B0F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6B10418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8</w:t>
            </w:r>
          </w:p>
        </w:tc>
        <w:tc>
          <w:tcPr>
            <w:tcW w:w="2442" w:type="dxa"/>
            <w:tcBorders>
              <w:top w:val="single" w:color="auto" w:sz="4" w:space="0"/>
              <w:left w:val="single" w:color="auto" w:sz="4" w:space="0"/>
              <w:bottom w:val="single" w:color="auto" w:sz="4" w:space="0"/>
              <w:right w:val="single" w:color="auto" w:sz="4" w:space="0"/>
            </w:tcBorders>
            <w:noWrap/>
            <w:vAlign w:val="center"/>
          </w:tcPr>
          <w:p w14:paraId="3076A9D4">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零修急修</w:t>
            </w:r>
          </w:p>
        </w:tc>
        <w:tc>
          <w:tcPr>
            <w:tcW w:w="1077" w:type="dxa"/>
            <w:tcBorders>
              <w:top w:val="single" w:color="auto" w:sz="4" w:space="0"/>
              <w:left w:val="single" w:color="auto" w:sz="4" w:space="0"/>
              <w:bottom w:val="single" w:color="auto" w:sz="4" w:space="0"/>
              <w:right w:val="single" w:color="auto" w:sz="4" w:space="0"/>
            </w:tcBorders>
            <w:noWrap/>
            <w:vAlign w:val="center"/>
          </w:tcPr>
          <w:p w14:paraId="4DE26162">
            <w:pPr>
              <w:spacing w:line="360" w:lineRule="auto"/>
              <w:jc w:val="center"/>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4A31B534">
            <w:pPr>
              <w:spacing w:line="360" w:lineRule="auto"/>
              <w:jc w:val="center"/>
              <w:rPr>
                <w:rFonts w:hint="eastAsia" w:ascii="仿宋" w:hAnsi="仿宋" w:eastAsia="仿宋" w:cs="仿宋"/>
                <w:sz w:val="32"/>
                <w:szCs w:val="32"/>
              </w:rPr>
            </w:pPr>
          </w:p>
        </w:tc>
        <w:tc>
          <w:tcPr>
            <w:tcW w:w="4166" w:type="dxa"/>
            <w:tcBorders>
              <w:top w:val="single" w:color="auto" w:sz="4" w:space="0"/>
              <w:left w:val="single" w:color="auto" w:sz="4" w:space="0"/>
              <w:bottom w:val="single" w:color="auto" w:sz="4" w:space="0"/>
              <w:right w:val="single" w:color="auto" w:sz="4" w:space="0"/>
            </w:tcBorders>
            <w:noWrap/>
            <w:vAlign w:val="center"/>
          </w:tcPr>
          <w:p w14:paraId="01C3030A">
            <w:pPr>
              <w:spacing w:line="360" w:lineRule="auto"/>
              <w:rPr>
                <w:rFonts w:hint="eastAsia" w:ascii="仿宋" w:hAnsi="仿宋" w:eastAsia="仿宋" w:cs="仿宋"/>
                <w:sz w:val="32"/>
                <w:szCs w:val="32"/>
              </w:rPr>
            </w:pPr>
            <w:r>
              <w:rPr>
                <w:rFonts w:hint="eastAsia" w:ascii="仿宋" w:hAnsi="仿宋" w:eastAsia="仿宋" w:cs="仿宋"/>
                <w:sz w:val="32"/>
                <w:szCs w:val="32"/>
              </w:rPr>
              <w:t>及时维修次数/应计报维修计划次数</w:t>
            </w:r>
            <w:r>
              <w:rPr>
                <w:rFonts w:hint="eastAsia" w:ascii="仿宋" w:hAnsi="仿宋" w:eastAsia="仿宋" w:cs="仿宋"/>
                <w:color w:val="333333"/>
                <w:sz w:val="32"/>
                <w:szCs w:val="32"/>
              </w:rPr>
              <w:t>×100%</w:t>
            </w:r>
          </w:p>
        </w:tc>
      </w:tr>
      <w:tr w14:paraId="2C8A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2B0A9F5D">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0A52701">
            <w:pPr>
              <w:spacing w:line="360" w:lineRule="auto"/>
              <w:rPr>
                <w:rFonts w:hint="eastAsia" w:ascii="仿宋" w:hAnsi="仿宋" w:eastAsia="仿宋" w:cs="仿宋"/>
                <w:sz w:val="32"/>
                <w:szCs w:val="32"/>
              </w:rPr>
            </w:pPr>
            <w:r>
              <w:rPr>
                <w:rFonts w:hint="eastAsia" w:ascii="仿宋" w:hAnsi="仿宋" w:eastAsia="仿宋" w:cs="仿宋"/>
                <w:color w:val="333333"/>
                <w:sz w:val="32"/>
                <w:szCs w:val="32"/>
              </w:rPr>
              <w:t>及时率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5AD71DFC">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1010" w:type="dxa"/>
            <w:tcBorders>
              <w:top w:val="single" w:color="auto" w:sz="4" w:space="0"/>
              <w:left w:val="single" w:color="auto" w:sz="4" w:space="0"/>
              <w:bottom w:val="single" w:color="auto" w:sz="4" w:space="0"/>
              <w:right w:val="single" w:color="auto" w:sz="4" w:space="0"/>
            </w:tcBorders>
            <w:noWrap/>
            <w:vAlign w:val="center"/>
          </w:tcPr>
          <w:p w14:paraId="36B7B5C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tcBorders>
              <w:top w:val="single" w:color="auto" w:sz="4" w:space="0"/>
              <w:left w:val="single" w:color="auto" w:sz="4" w:space="0"/>
              <w:bottom w:val="single" w:color="auto" w:sz="4" w:space="0"/>
              <w:right w:val="single" w:color="auto" w:sz="4" w:space="0"/>
            </w:tcBorders>
            <w:noWrap/>
            <w:vAlign w:val="center"/>
          </w:tcPr>
          <w:p w14:paraId="16D5F962">
            <w:pPr>
              <w:spacing w:line="360" w:lineRule="auto"/>
              <w:rPr>
                <w:rFonts w:hint="eastAsia" w:ascii="仿宋" w:hAnsi="仿宋" w:eastAsia="仿宋" w:cs="仿宋"/>
                <w:sz w:val="32"/>
                <w:szCs w:val="32"/>
              </w:rPr>
            </w:pPr>
            <w:r>
              <w:rPr>
                <w:rFonts w:hint="eastAsia" w:ascii="仿宋" w:hAnsi="仿宋" w:eastAsia="仿宋" w:cs="仿宋"/>
                <w:sz w:val="32"/>
                <w:szCs w:val="32"/>
              </w:rPr>
              <w:t>返修次数/维修次数</w:t>
            </w:r>
            <w:r>
              <w:rPr>
                <w:rFonts w:hint="eastAsia" w:ascii="仿宋" w:hAnsi="仿宋" w:eastAsia="仿宋" w:cs="仿宋"/>
                <w:color w:val="333333"/>
                <w:sz w:val="32"/>
                <w:szCs w:val="32"/>
              </w:rPr>
              <w:t>×100%</w:t>
            </w:r>
          </w:p>
        </w:tc>
      </w:tr>
      <w:tr w14:paraId="25D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59DB353B">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4169984">
            <w:pPr>
              <w:spacing w:line="360" w:lineRule="auto"/>
              <w:rPr>
                <w:rFonts w:hint="eastAsia" w:ascii="仿宋" w:hAnsi="仿宋" w:eastAsia="仿宋" w:cs="仿宋"/>
                <w:sz w:val="32"/>
                <w:szCs w:val="32"/>
              </w:rPr>
            </w:pPr>
            <w:r>
              <w:rPr>
                <w:rFonts w:hint="eastAsia" w:ascii="仿宋" w:hAnsi="仿宋" w:eastAsia="仿宋" w:cs="仿宋"/>
                <w:sz w:val="32"/>
                <w:szCs w:val="32"/>
              </w:rPr>
              <w:t>返修率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0F7373F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1010" w:type="dxa"/>
            <w:tcBorders>
              <w:top w:val="single" w:color="auto" w:sz="4" w:space="0"/>
              <w:left w:val="single" w:color="auto" w:sz="4" w:space="0"/>
              <w:bottom w:val="single" w:color="auto" w:sz="4" w:space="0"/>
              <w:right w:val="single" w:color="auto" w:sz="4" w:space="0"/>
            </w:tcBorders>
            <w:noWrap/>
            <w:vAlign w:val="center"/>
          </w:tcPr>
          <w:p w14:paraId="10047B8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4166" w:type="dxa"/>
            <w:tcBorders>
              <w:top w:val="single" w:color="auto" w:sz="4" w:space="0"/>
              <w:left w:val="single" w:color="auto" w:sz="4" w:space="0"/>
              <w:bottom w:val="single" w:color="auto" w:sz="4" w:space="0"/>
              <w:right w:val="single" w:color="auto" w:sz="4" w:space="0"/>
            </w:tcBorders>
            <w:noWrap/>
            <w:vAlign w:val="center"/>
          </w:tcPr>
          <w:p w14:paraId="0050740B">
            <w:pPr>
              <w:spacing w:line="360" w:lineRule="auto"/>
              <w:rPr>
                <w:rFonts w:hint="eastAsia" w:ascii="仿宋" w:hAnsi="仿宋" w:eastAsia="仿宋" w:cs="仿宋"/>
                <w:sz w:val="32"/>
                <w:szCs w:val="32"/>
              </w:rPr>
            </w:pPr>
          </w:p>
        </w:tc>
      </w:tr>
      <w:tr w14:paraId="17B4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14:paraId="0F940DA1">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w:t>
            </w:r>
          </w:p>
        </w:tc>
        <w:tc>
          <w:tcPr>
            <w:tcW w:w="2442" w:type="dxa"/>
            <w:tcBorders>
              <w:top w:val="single" w:color="auto" w:sz="4" w:space="0"/>
              <w:left w:val="single" w:color="auto" w:sz="4" w:space="0"/>
              <w:bottom w:val="single" w:color="auto" w:sz="4" w:space="0"/>
              <w:right w:val="single" w:color="auto" w:sz="4" w:space="0"/>
            </w:tcBorders>
            <w:noWrap/>
            <w:vAlign w:val="center"/>
          </w:tcPr>
          <w:p w14:paraId="03F7DCB9">
            <w:pPr>
              <w:spacing w:line="360" w:lineRule="auto"/>
              <w:rPr>
                <w:rFonts w:hint="eastAsia" w:ascii="仿宋" w:hAnsi="仿宋" w:eastAsia="仿宋" w:cs="仿宋"/>
                <w:sz w:val="32"/>
                <w:szCs w:val="32"/>
              </w:rPr>
            </w:pPr>
            <w:r>
              <w:rPr>
                <w:rFonts w:hint="eastAsia" w:ascii="仿宋" w:hAnsi="仿宋" w:eastAsia="仿宋" w:cs="仿宋"/>
                <w:sz w:val="32"/>
                <w:szCs w:val="32"/>
              </w:rPr>
              <w:t>业主有效</w:t>
            </w:r>
          </w:p>
        </w:tc>
        <w:tc>
          <w:tcPr>
            <w:tcW w:w="1077" w:type="dxa"/>
            <w:vMerge w:val="restart"/>
            <w:tcBorders>
              <w:top w:val="single" w:color="auto" w:sz="4" w:space="0"/>
              <w:left w:val="single" w:color="auto" w:sz="4" w:space="0"/>
              <w:bottom w:val="single" w:color="auto" w:sz="4" w:space="0"/>
              <w:right w:val="single" w:color="auto" w:sz="4" w:space="0"/>
            </w:tcBorders>
            <w:noWrap/>
            <w:vAlign w:val="center"/>
          </w:tcPr>
          <w:p w14:paraId="13F065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不超过1%</w:t>
            </w:r>
          </w:p>
        </w:tc>
        <w:tc>
          <w:tcPr>
            <w:tcW w:w="1010" w:type="dxa"/>
            <w:tcBorders>
              <w:top w:val="single" w:color="auto" w:sz="4" w:space="0"/>
              <w:left w:val="single" w:color="auto" w:sz="4" w:space="0"/>
              <w:bottom w:val="single" w:color="auto" w:sz="4" w:space="0"/>
              <w:right w:val="single" w:color="auto" w:sz="4" w:space="0"/>
            </w:tcBorders>
            <w:noWrap/>
            <w:vAlign w:val="center"/>
          </w:tcPr>
          <w:p w14:paraId="53A96522">
            <w:pPr>
              <w:spacing w:line="360" w:lineRule="auto"/>
              <w:jc w:val="center"/>
              <w:rPr>
                <w:rFonts w:hint="eastAsia" w:ascii="仿宋" w:hAnsi="仿宋" w:eastAsia="仿宋" w:cs="仿宋"/>
                <w:sz w:val="32"/>
                <w:szCs w:val="32"/>
              </w:rPr>
            </w:pPr>
          </w:p>
        </w:tc>
        <w:tc>
          <w:tcPr>
            <w:tcW w:w="4166" w:type="dxa"/>
            <w:vMerge w:val="restart"/>
            <w:tcBorders>
              <w:top w:val="single" w:color="auto" w:sz="4" w:space="0"/>
              <w:left w:val="single" w:color="auto" w:sz="4" w:space="0"/>
              <w:bottom w:val="single" w:color="auto" w:sz="4" w:space="0"/>
              <w:right w:val="single" w:color="auto" w:sz="4" w:space="0"/>
            </w:tcBorders>
            <w:noWrap/>
            <w:vAlign w:val="center"/>
          </w:tcPr>
          <w:p w14:paraId="05895E2F">
            <w:pPr>
              <w:spacing w:line="360" w:lineRule="auto"/>
              <w:rPr>
                <w:rFonts w:hint="eastAsia" w:ascii="仿宋" w:hAnsi="仿宋" w:eastAsia="仿宋" w:cs="仿宋"/>
                <w:sz w:val="32"/>
                <w:szCs w:val="32"/>
              </w:rPr>
            </w:pPr>
            <w:r>
              <w:rPr>
                <w:rFonts w:hint="eastAsia" w:ascii="仿宋" w:hAnsi="仿宋" w:eastAsia="仿宋" w:cs="仿宋"/>
                <w:sz w:val="32"/>
                <w:szCs w:val="32"/>
              </w:rPr>
              <w:t>有效投诉次数/总人数</w:t>
            </w:r>
            <w:r>
              <w:rPr>
                <w:rFonts w:hint="eastAsia" w:ascii="仿宋" w:hAnsi="仿宋" w:eastAsia="仿宋" w:cs="仿宋"/>
                <w:color w:val="333333"/>
                <w:sz w:val="32"/>
                <w:szCs w:val="32"/>
              </w:rPr>
              <w:t>×100%</w:t>
            </w:r>
          </w:p>
        </w:tc>
      </w:tr>
      <w:tr w14:paraId="7559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045AEECC">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3852153D">
            <w:pPr>
              <w:spacing w:line="360" w:lineRule="auto"/>
              <w:rPr>
                <w:rFonts w:hint="eastAsia" w:ascii="仿宋" w:hAnsi="仿宋" w:eastAsia="仿宋" w:cs="仿宋"/>
                <w:sz w:val="32"/>
                <w:szCs w:val="32"/>
              </w:rPr>
            </w:pPr>
            <w:r>
              <w:rPr>
                <w:rFonts w:hint="eastAsia" w:ascii="仿宋" w:hAnsi="仿宋" w:eastAsia="仿宋" w:cs="仿宋"/>
                <w:sz w:val="32"/>
                <w:szCs w:val="32"/>
              </w:rPr>
              <w:t>投诉率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BD5DAD5">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74F7C5B5">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小于1%</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0FC404BA">
            <w:pPr>
              <w:spacing w:line="360" w:lineRule="auto"/>
              <w:rPr>
                <w:rFonts w:hint="eastAsia" w:ascii="仿宋" w:hAnsi="仿宋" w:eastAsia="仿宋" w:cs="仿宋"/>
                <w:sz w:val="32"/>
                <w:szCs w:val="32"/>
              </w:rPr>
            </w:pPr>
          </w:p>
        </w:tc>
      </w:tr>
      <w:tr w14:paraId="6C64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077DD34C">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05B838F9">
            <w:pPr>
              <w:spacing w:line="360" w:lineRule="auto"/>
              <w:rPr>
                <w:rFonts w:hint="eastAsia" w:ascii="仿宋" w:hAnsi="仿宋" w:eastAsia="仿宋" w:cs="仿宋"/>
                <w:sz w:val="32"/>
                <w:szCs w:val="32"/>
              </w:rPr>
            </w:pPr>
            <w:r>
              <w:rPr>
                <w:rFonts w:hint="eastAsia" w:ascii="仿宋" w:hAnsi="仿宋" w:eastAsia="仿宋" w:cs="仿宋"/>
                <w:sz w:val="32"/>
                <w:szCs w:val="32"/>
              </w:rPr>
              <w:t>办结率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36504082">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5F6E5F22">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100%</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41EC32FF">
            <w:pPr>
              <w:spacing w:line="360" w:lineRule="auto"/>
              <w:rPr>
                <w:rFonts w:hint="eastAsia" w:ascii="仿宋" w:hAnsi="仿宋" w:eastAsia="仿宋" w:cs="仿宋"/>
                <w:sz w:val="32"/>
                <w:szCs w:val="32"/>
              </w:rPr>
            </w:pPr>
          </w:p>
        </w:tc>
      </w:tr>
      <w:tr w14:paraId="0EC5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14:paraId="6337314E">
            <w:pPr>
              <w:spacing w:line="360" w:lineRule="auto"/>
              <w:rPr>
                <w:rFonts w:hint="eastAsia" w:ascii="仿宋" w:hAnsi="仿宋" w:eastAsia="仿宋" w:cs="仿宋"/>
                <w:sz w:val="32"/>
                <w:szCs w:val="32"/>
              </w:rPr>
            </w:pPr>
          </w:p>
        </w:tc>
        <w:tc>
          <w:tcPr>
            <w:tcW w:w="2442" w:type="dxa"/>
            <w:tcBorders>
              <w:top w:val="single" w:color="auto" w:sz="4" w:space="0"/>
              <w:left w:val="single" w:color="auto" w:sz="4" w:space="0"/>
              <w:bottom w:val="single" w:color="auto" w:sz="4" w:space="0"/>
              <w:right w:val="single" w:color="auto" w:sz="4" w:space="0"/>
            </w:tcBorders>
            <w:noWrap/>
            <w:vAlign w:val="center"/>
          </w:tcPr>
          <w:p w14:paraId="3CC9454E">
            <w:pPr>
              <w:spacing w:line="360" w:lineRule="auto"/>
              <w:rPr>
                <w:rFonts w:hint="eastAsia" w:ascii="仿宋" w:hAnsi="仿宋" w:eastAsia="仿宋" w:cs="仿宋"/>
                <w:sz w:val="32"/>
                <w:szCs w:val="32"/>
              </w:rPr>
            </w:pPr>
            <w:r>
              <w:rPr>
                <w:rFonts w:hint="eastAsia" w:ascii="仿宋" w:hAnsi="仿宋" w:eastAsia="仿宋" w:cs="仿宋"/>
                <w:sz w:val="32"/>
                <w:szCs w:val="32"/>
              </w:rPr>
              <w:t>回访率</w:t>
            </w:r>
          </w:p>
        </w:tc>
        <w:tc>
          <w:tcPr>
            <w:tcW w:w="1077" w:type="dxa"/>
            <w:vMerge w:val="continue"/>
            <w:tcBorders>
              <w:top w:val="single" w:color="auto" w:sz="4" w:space="0"/>
              <w:left w:val="single" w:color="auto" w:sz="4" w:space="0"/>
              <w:bottom w:val="single" w:color="auto" w:sz="4" w:space="0"/>
              <w:right w:val="single" w:color="auto" w:sz="4" w:space="0"/>
            </w:tcBorders>
            <w:noWrap/>
            <w:vAlign w:val="center"/>
          </w:tcPr>
          <w:p w14:paraId="2AC269CC">
            <w:pPr>
              <w:spacing w:line="360" w:lineRule="auto"/>
              <w:rPr>
                <w:rFonts w:hint="eastAsia" w:ascii="仿宋" w:hAnsi="仿宋" w:eastAsia="仿宋" w:cs="仿宋"/>
                <w:sz w:val="32"/>
                <w:szCs w:val="32"/>
              </w:rPr>
            </w:pPr>
          </w:p>
        </w:tc>
        <w:tc>
          <w:tcPr>
            <w:tcW w:w="1010" w:type="dxa"/>
            <w:tcBorders>
              <w:top w:val="single" w:color="auto" w:sz="4" w:space="0"/>
              <w:left w:val="single" w:color="auto" w:sz="4" w:space="0"/>
              <w:bottom w:val="single" w:color="auto" w:sz="4" w:space="0"/>
              <w:right w:val="single" w:color="auto" w:sz="4" w:space="0"/>
            </w:tcBorders>
            <w:noWrap/>
            <w:vAlign w:val="center"/>
          </w:tcPr>
          <w:p w14:paraId="22D6CB95">
            <w:pPr>
              <w:spacing w:line="360" w:lineRule="auto"/>
              <w:jc w:val="center"/>
              <w:rPr>
                <w:rFonts w:hint="eastAsia" w:ascii="仿宋" w:hAnsi="仿宋" w:eastAsia="仿宋" w:cs="仿宋"/>
                <w:sz w:val="32"/>
                <w:szCs w:val="32"/>
              </w:rPr>
            </w:pPr>
            <w:r>
              <w:rPr>
                <w:rFonts w:hint="eastAsia" w:ascii="仿宋" w:hAnsi="仿宋" w:eastAsia="仿宋" w:cs="仿宋"/>
                <w:sz w:val="32"/>
                <w:szCs w:val="32"/>
              </w:rPr>
              <w:t>80%</w:t>
            </w:r>
          </w:p>
        </w:tc>
        <w:tc>
          <w:tcPr>
            <w:tcW w:w="4166" w:type="dxa"/>
            <w:vMerge w:val="continue"/>
            <w:tcBorders>
              <w:top w:val="single" w:color="auto" w:sz="4" w:space="0"/>
              <w:left w:val="single" w:color="auto" w:sz="4" w:space="0"/>
              <w:bottom w:val="single" w:color="auto" w:sz="4" w:space="0"/>
              <w:right w:val="single" w:color="auto" w:sz="4" w:space="0"/>
            </w:tcBorders>
            <w:noWrap/>
            <w:vAlign w:val="center"/>
          </w:tcPr>
          <w:p w14:paraId="1303A2E9">
            <w:pPr>
              <w:spacing w:line="360" w:lineRule="auto"/>
              <w:rPr>
                <w:rFonts w:hint="eastAsia" w:ascii="仿宋" w:hAnsi="仿宋" w:eastAsia="仿宋" w:cs="仿宋"/>
                <w:sz w:val="32"/>
                <w:szCs w:val="32"/>
              </w:rPr>
            </w:pPr>
          </w:p>
        </w:tc>
      </w:tr>
      <w:tr w14:paraId="395C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tcBorders>
              <w:top w:val="single" w:color="auto" w:sz="4" w:space="0"/>
              <w:left w:val="single" w:color="auto" w:sz="4" w:space="0"/>
              <w:bottom w:val="single" w:color="auto" w:sz="4" w:space="0"/>
              <w:right w:val="single" w:color="auto" w:sz="4" w:space="0"/>
            </w:tcBorders>
            <w:noWrap/>
            <w:vAlign w:val="center"/>
          </w:tcPr>
          <w:p w14:paraId="0402586D">
            <w:pPr>
              <w:spacing w:line="360" w:lineRule="auto"/>
              <w:jc w:val="center"/>
              <w:rPr>
                <w:rFonts w:hint="eastAsia" w:ascii="仿宋" w:hAnsi="仿宋" w:eastAsia="仿宋" w:cs="仿宋"/>
                <w:sz w:val="32"/>
                <w:szCs w:val="32"/>
              </w:rPr>
            </w:pPr>
            <w:r>
              <w:rPr>
                <w:rFonts w:hint="eastAsia" w:ascii="仿宋" w:hAnsi="仿宋" w:eastAsia="仿宋" w:cs="仿宋"/>
                <w:sz w:val="32"/>
                <w:szCs w:val="32"/>
              </w:rPr>
              <w:t>10</w:t>
            </w:r>
          </w:p>
        </w:tc>
        <w:tc>
          <w:tcPr>
            <w:tcW w:w="2442" w:type="dxa"/>
            <w:tcBorders>
              <w:top w:val="single" w:color="auto" w:sz="4" w:space="0"/>
              <w:left w:val="single" w:color="auto" w:sz="4" w:space="0"/>
              <w:bottom w:val="single" w:color="auto" w:sz="4" w:space="0"/>
              <w:right w:val="single" w:color="auto" w:sz="4" w:space="0"/>
            </w:tcBorders>
            <w:noWrap/>
            <w:vAlign w:val="center"/>
          </w:tcPr>
          <w:p w14:paraId="670E7AF1">
            <w:pPr>
              <w:spacing w:line="360" w:lineRule="auto"/>
              <w:rPr>
                <w:rFonts w:hint="eastAsia" w:ascii="仿宋" w:hAnsi="仿宋" w:eastAsia="仿宋" w:cs="仿宋"/>
                <w:sz w:val="32"/>
                <w:szCs w:val="32"/>
              </w:rPr>
            </w:pPr>
            <w:r>
              <w:rPr>
                <w:rFonts w:hint="eastAsia" w:ascii="仿宋" w:hAnsi="仿宋" w:eastAsia="仿宋" w:cs="仿宋"/>
                <w:sz w:val="32"/>
                <w:szCs w:val="32"/>
              </w:rPr>
              <w:t>业主对物业满意率</w:t>
            </w:r>
          </w:p>
        </w:tc>
        <w:tc>
          <w:tcPr>
            <w:tcW w:w="1077" w:type="dxa"/>
            <w:tcBorders>
              <w:top w:val="single" w:color="auto" w:sz="4" w:space="0"/>
              <w:left w:val="single" w:color="auto" w:sz="4" w:space="0"/>
              <w:bottom w:val="single" w:color="auto" w:sz="4" w:space="0"/>
              <w:right w:val="single" w:color="auto" w:sz="4" w:space="0"/>
            </w:tcBorders>
            <w:noWrap/>
            <w:vAlign w:val="center"/>
          </w:tcPr>
          <w:p w14:paraId="45B72869">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95%</w:t>
            </w:r>
          </w:p>
        </w:tc>
        <w:tc>
          <w:tcPr>
            <w:tcW w:w="1010" w:type="dxa"/>
            <w:tcBorders>
              <w:top w:val="single" w:color="auto" w:sz="4" w:space="0"/>
              <w:left w:val="single" w:color="auto" w:sz="4" w:space="0"/>
              <w:bottom w:val="single" w:color="auto" w:sz="4" w:space="0"/>
              <w:right w:val="single" w:color="auto" w:sz="4" w:space="0"/>
            </w:tcBorders>
            <w:noWrap/>
            <w:vAlign w:val="center"/>
          </w:tcPr>
          <w:p w14:paraId="527085B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96—98%</w:t>
            </w:r>
          </w:p>
        </w:tc>
        <w:tc>
          <w:tcPr>
            <w:tcW w:w="4166" w:type="dxa"/>
            <w:tcBorders>
              <w:top w:val="single" w:color="auto" w:sz="4" w:space="0"/>
              <w:left w:val="single" w:color="auto" w:sz="4" w:space="0"/>
              <w:bottom w:val="single" w:color="auto" w:sz="4" w:space="0"/>
              <w:right w:val="single" w:color="auto" w:sz="4" w:space="0"/>
            </w:tcBorders>
            <w:noWrap/>
            <w:vAlign w:val="center"/>
          </w:tcPr>
          <w:p w14:paraId="4F72F6AE">
            <w:pPr>
              <w:spacing w:line="360" w:lineRule="auto"/>
              <w:rPr>
                <w:rFonts w:hint="eastAsia" w:ascii="仿宋" w:hAnsi="仿宋" w:eastAsia="仿宋" w:cs="仿宋"/>
                <w:sz w:val="32"/>
                <w:szCs w:val="32"/>
              </w:rPr>
            </w:pPr>
            <w:r>
              <w:rPr>
                <w:rFonts w:hint="eastAsia" w:ascii="仿宋" w:hAnsi="仿宋" w:eastAsia="仿宋" w:cs="仿宋"/>
                <w:sz w:val="32"/>
                <w:szCs w:val="32"/>
              </w:rPr>
              <w:t>对管理满意户数+基本满意户数/参加业主评议户数</w:t>
            </w:r>
            <w:r>
              <w:rPr>
                <w:rFonts w:hint="eastAsia" w:ascii="仿宋" w:hAnsi="仿宋" w:eastAsia="仿宋" w:cs="仿宋"/>
                <w:color w:val="333333"/>
                <w:sz w:val="32"/>
                <w:szCs w:val="32"/>
              </w:rPr>
              <w:t>×100%</w:t>
            </w:r>
          </w:p>
        </w:tc>
      </w:tr>
    </w:tbl>
    <w:p w14:paraId="6D16AD96">
      <w:pPr>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br w:type="page"/>
      </w:r>
    </w:p>
    <w:p w14:paraId="3F565293">
      <w:pPr>
        <w:jc w:val="center"/>
        <w:rPr>
          <w:rFonts w:hint="eastAsia" w:ascii="仿宋_GB2312" w:eastAsia="仿宋_GB2312"/>
          <w:b/>
          <w:bCs/>
          <w:sz w:val="44"/>
          <w:szCs w:val="44"/>
        </w:rPr>
      </w:pPr>
      <w:r>
        <w:rPr>
          <w:rFonts w:hint="eastAsia" w:ascii="仿宋_GB2312" w:eastAsia="仿宋_GB2312"/>
          <w:b/>
          <w:bCs/>
          <w:sz w:val="44"/>
          <w:szCs w:val="44"/>
          <w:lang w:val="en-US" w:eastAsia="zh-CN"/>
        </w:rPr>
        <w:t>贵阳市妇女儿童活动中心</w:t>
      </w:r>
      <w:r>
        <w:rPr>
          <w:rFonts w:hint="eastAsia" w:ascii="仿宋_GB2312" w:eastAsia="仿宋_GB2312"/>
          <w:b/>
          <w:bCs/>
          <w:sz w:val="44"/>
          <w:szCs w:val="44"/>
        </w:rPr>
        <w:t>考核制度</w:t>
      </w:r>
    </w:p>
    <w:p w14:paraId="5DA169E6">
      <w:pPr>
        <w:ind w:firstLine="640" w:firstLineChars="200"/>
        <w:jc w:val="both"/>
        <w:rPr>
          <w:rFonts w:hint="eastAsia" w:ascii="仿宋_GB2312" w:eastAsia="仿宋_GB2312"/>
          <w:sz w:val="32"/>
          <w:szCs w:val="32"/>
        </w:rPr>
      </w:pPr>
      <w:r>
        <w:rPr>
          <w:rFonts w:hint="eastAsia" w:ascii="仿宋_GB2312" w:eastAsia="仿宋_GB2312"/>
          <w:sz w:val="32"/>
          <w:szCs w:val="32"/>
        </w:rPr>
        <w:t>为规范物业管理服务工作，体现奖罚分明，激励物业管理公司提高物业服务工作质量，保障</w:t>
      </w:r>
      <w:r>
        <w:rPr>
          <w:rFonts w:hint="eastAsia" w:ascii="仿宋_GB2312" w:eastAsia="仿宋_GB2312"/>
          <w:sz w:val="32"/>
          <w:szCs w:val="32"/>
          <w:lang w:eastAsia="zh-CN"/>
        </w:rPr>
        <w:t>中心对</w:t>
      </w:r>
      <w:r>
        <w:rPr>
          <w:rFonts w:hint="eastAsia" w:ascii="仿宋_GB2312" w:eastAsia="仿宋_GB2312"/>
          <w:sz w:val="32"/>
          <w:szCs w:val="32"/>
        </w:rPr>
        <w:t>物业服务工作正常运转</w:t>
      </w:r>
      <w:r>
        <w:rPr>
          <w:rFonts w:hint="eastAsia" w:ascii="仿宋_GB2312" w:eastAsia="仿宋_GB2312"/>
          <w:sz w:val="32"/>
          <w:szCs w:val="32"/>
          <w:lang w:eastAsia="zh-CN"/>
        </w:rPr>
        <w:t>和监管</w:t>
      </w:r>
      <w:r>
        <w:rPr>
          <w:rFonts w:hint="eastAsia" w:ascii="仿宋_GB2312" w:eastAsia="仿宋_GB2312"/>
          <w:sz w:val="32"/>
          <w:szCs w:val="32"/>
        </w:rPr>
        <w:t>，特制订本方案。</w:t>
      </w:r>
    </w:p>
    <w:p w14:paraId="3250C08B">
      <w:pPr>
        <w:ind w:firstLine="640" w:firstLineChars="200"/>
        <w:jc w:val="both"/>
        <w:rPr>
          <w:rFonts w:hint="eastAsia" w:ascii="仿宋_GB2312" w:eastAsia="仿宋_GB2312"/>
          <w:sz w:val="32"/>
          <w:szCs w:val="32"/>
        </w:rPr>
      </w:pPr>
      <w:r>
        <w:rPr>
          <w:rFonts w:hint="eastAsia" w:ascii="仿宋_GB2312" w:eastAsia="仿宋_GB2312"/>
          <w:sz w:val="32"/>
          <w:szCs w:val="32"/>
        </w:rPr>
        <w:t>一、考核时间</w:t>
      </w:r>
    </w:p>
    <w:p w14:paraId="5043AB47">
      <w:pPr>
        <w:ind w:firstLine="640" w:firstLineChars="200"/>
        <w:jc w:val="both"/>
        <w:rPr>
          <w:rFonts w:hint="eastAsia" w:ascii="仿宋_GB2312" w:eastAsia="仿宋_GB2312"/>
          <w:sz w:val="32"/>
          <w:szCs w:val="32"/>
        </w:rPr>
      </w:pPr>
      <w:r>
        <w:rPr>
          <w:rFonts w:hint="eastAsia" w:ascii="仿宋_GB2312" w:eastAsia="仿宋_GB2312"/>
          <w:sz w:val="32"/>
          <w:szCs w:val="32"/>
        </w:rPr>
        <w:t>每</w:t>
      </w:r>
      <w:r>
        <w:rPr>
          <w:rFonts w:hint="eastAsia" w:ascii="仿宋_GB2312" w:eastAsia="仿宋_GB2312"/>
          <w:sz w:val="32"/>
          <w:szCs w:val="32"/>
          <w:lang w:eastAsia="zh-CN"/>
        </w:rPr>
        <w:t>季度</w:t>
      </w:r>
      <w:r>
        <w:rPr>
          <w:rFonts w:hint="eastAsia" w:ascii="仿宋_GB2312" w:eastAsia="仿宋_GB2312"/>
          <w:sz w:val="32"/>
          <w:szCs w:val="32"/>
        </w:rPr>
        <w:t>考核一次，具体时间根据实际工作情况调整。</w:t>
      </w:r>
    </w:p>
    <w:p w14:paraId="2E5211AD">
      <w:pPr>
        <w:ind w:firstLine="640" w:firstLineChars="200"/>
        <w:jc w:val="both"/>
        <w:rPr>
          <w:rFonts w:hint="eastAsia" w:ascii="仿宋_GB2312" w:eastAsia="仿宋_GB2312"/>
          <w:sz w:val="32"/>
          <w:szCs w:val="32"/>
        </w:rPr>
      </w:pPr>
      <w:r>
        <w:rPr>
          <w:rFonts w:hint="eastAsia" w:ascii="仿宋_GB2312" w:eastAsia="仿宋_GB2312"/>
          <w:sz w:val="32"/>
          <w:szCs w:val="32"/>
        </w:rPr>
        <w:t>二、考核工作的组织</w:t>
      </w:r>
    </w:p>
    <w:p w14:paraId="0B66F18D">
      <w:pPr>
        <w:ind w:firstLine="640" w:firstLineChars="200"/>
        <w:jc w:val="both"/>
        <w:rPr>
          <w:rFonts w:hint="eastAsia" w:ascii="仿宋_GB2312" w:eastAsia="仿宋_GB2312"/>
          <w:sz w:val="32"/>
          <w:szCs w:val="32"/>
        </w:rPr>
      </w:pPr>
      <w:r>
        <w:rPr>
          <w:rFonts w:hint="eastAsia" w:ascii="仿宋_GB2312" w:eastAsia="仿宋_GB2312"/>
          <w:sz w:val="32"/>
          <w:szCs w:val="32"/>
        </w:rPr>
        <w:t>由</w:t>
      </w:r>
      <w:r>
        <w:rPr>
          <w:rFonts w:hint="eastAsia" w:ascii="仿宋_GB2312" w:eastAsia="仿宋_GB2312"/>
          <w:sz w:val="32"/>
          <w:szCs w:val="32"/>
          <w:lang w:eastAsia="zh-CN"/>
        </w:rPr>
        <w:t>中心自行成立</w:t>
      </w:r>
      <w:r>
        <w:rPr>
          <w:rFonts w:hint="eastAsia" w:ascii="仿宋_GB2312" w:eastAsia="仿宋_GB2312"/>
          <w:sz w:val="32"/>
          <w:szCs w:val="32"/>
        </w:rPr>
        <w:t>考核检查工作组</w:t>
      </w:r>
      <w:r>
        <w:rPr>
          <w:rFonts w:hint="eastAsia" w:ascii="仿宋_GB2312" w:eastAsia="仿宋_GB2312"/>
          <w:sz w:val="32"/>
          <w:szCs w:val="32"/>
          <w:lang w:eastAsia="zh-CN"/>
        </w:rPr>
        <w:t>，依据合同考核内容及考核标准验收满足项并</w:t>
      </w:r>
      <w:r>
        <w:rPr>
          <w:rFonts w:hint="eastAsia" w:ascii="仿宋_GB2312" w:eastAsia="仿宋_GB2312"/>
          <w:sz w:val="32"/>
          <w:szCs w:val="32"/>
        </w:rPr>
        <w:t>计算奖惩金额。</w:t>
      </w:r>
    </w:p>
    <w:p w14:paraId="6A184627">
      <w:pPr>
        <w:ind w:firstLine="640" w:firstLineChars="200"/>
        <w:jc w:val="both"/>
        <w:rPr>
          <w:rFonts w:hint="eastAsia" w:ascii="仿宋_GB2312" w:eastAsia="仿宋_GB2312"/>
          <w:sz w:val="32"/>
          <w:szCs w:val="32"/>
        </w:rPr>
      </w:pPr>
      <w:r>
        <w:rPr>
          <w:rFonts w:hint="eastAsia" w:ascii="仿宋_GB2312" w:eastAsia="仿宋_GB2312"/>
          <w:sz w:val="32"/>
          <w:szCs w:val="32"/>
        </w:rPr>
        <w:t>三、考核范围</w:t>
      </w:r>
    </w:p>
    <w:p w14:paraId="1DACFFB5">
      <w:pPr>
        <w:ind w:firstLine="640" w:firstLineChars="200"/>
        <w:jc w:val="both"/>
        <w:rPr>
          <w:rFonts w:hint="eastAsia" w:ascii="仿宋_GB2312" w:eastAsia="仿宋_GB2312"/>
          <w:sz w:val="32"/>
          <w:szCs w:val="32"/>
        </w:rPr>
      </w:pPr>
      <w:r>
        <w:rPr>
          <w:rFonts w:hint="eastAsia" w:ascii="仿宋_GB2312" w:eastAsia="仿宋_GB2312"/>
          <w:sz w:val="32"/>
          <w:szCs w:val="32"/>
        </w:rPr>
        <w:t>服务合同内约定的各项物业服务工作。</w:t>
      </w:r>
    </w:p>
    <w:p w14:paraId="4EAE1B1E">
      <w:pPr>
        <w:ind w:firstLine="640" w:firstLineChars="200"/>
        <w:jc w:val="both"/>
        <w:rPr>
          <w:rFonts w:hint="eastAsia" w:ascii="仿宋_GB2312" w:eastAsia="仿宋_GB2312"/>
          <w:sz w:val="32"/>
          <w:szCs w:val="32"/>
        </w:rPr>
      </w:pPr>
      <w:r>
        <w:rPr>
          <w:rFonts w:hint="eastAsia" w:ascii="仿宋_GB2312" w:eastAsia="仿宋_GB2312"/>
          <w:sz w:val="32"/>
          <w:szCs w:val="32"/>
        </w:rPr>
        <w:t>四、具体考核标准</w:t>
      </w:r>
    </w:p>
    <w:p w14:paraId="76384557">
      <w:pPr>
        <w:ind w:firstLine="640" w:firstLineChars="200"/>
        <w:jc w:val="both"/>
        <w:rPr>
          <w:rFonts w:hint="eastAsia" w:ascii="仿宋_GB2312" w:eastAsia="仿宋_GB2312"/>
          <w:sz w:val="32"/>
          <w:szCs w:val="32"/>
        </w:rPr>
      </w:pPr>
      <w:r>
        <w:rPr>
          <w:rFonts w:hint="eastAsia" w:ascii="仿宋_GB2312" w:eastAsia="仿宋_GB2312"/>
          <w:sz w:val="32"/>
          <w:szCs w:val="32"/>
        </w:rPr>
        <w:t>1、奖励考评采取100分制，从各项工作的运行情况对应相应分值进行考评。（详见附件考核评定表）</w:t>
      </w:r>
    </w:p>
    <w:p w14:paraId="04ACF717">
      <w:pPr>
        <w:ind w:firstLine="640" w:firstLineChars="200"/>
        <w:jc w:val="both"/>
        <w:rPr>
          <w:rFonts w:hint="eastAsia" w:ascii="仿宋_GB2312" w:eastAsia="仿宋_GB2312"/>
          <w:sz w:val="32"/>
          <w:szCs w:val="32"/>
        </w:rPr>
      </w:pPr>
      <w:r>
        <w:rPr>
          <w:rFonts w:hint="eastAsia" w:ascii="仿宋_GB2312" w:eastAsia="仿宋_GB2312"/>
          <w:sz w:val="32"/>
          <w:szCs w:val="32"/>
        </w:rPr>
        <w:t>2、考核分数为90分及以上则支付</w:t>
      </w:r>
      <w:r>
        <w:rPr>
          <w:rFonts w:hint="eastAsia" w:ascii="仿宋_GB2312" w:eastAsia="仿宋_GB2312"/>
          <w:sz w:val="32"/>
          <w:szCs w:val="32"/>
          <w:lang w:val="en-US" w:eastAsia="zh-CN"/>
        </w:rPr>
        <w:t>上季度</w:t>
      </w:r>
      <w:r>
        <w:rPr>
          <w:rFonts w:hint="eastAsia" w:ascii="仿宋_GB2312" w:eastAsia="仿宋_GB2312"/>
          <w:sz w:val="32"/>
          <w:szCs w:val="32"/>
        </w:rPr>
        <w:t xml:space="preserve">全部费用； </w:t>
      </w:r>
    </w:p>
    <w:p w14:paraId="186D0656">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考核分数为80分-90分（不含90分）扣减</w:t>
      </w:r>
      <w:r>
        <w:rPr>
          <w:rFonts w:hint="eastAsia" w:ascii="仿宋_GB2312" w:eastAsia="仿宋_GB2312"/>
          <w:sz w:val="32"/>
          <w:szCs w:val="32"/>
          <w:lang w:val="en-US" w:eastAsia="zh-CN"/>
        </w:rPr>
        <w:t>季度</w:t>
      </w:r>
      <w:r>
        <w:rPr>
          <w:rFonts w:hint="eastAsia" w:ascii="仿宋_GB2312" w:eastAsia="仿宋_GB2312"/>
          <w:sz w:val="32"/>
          <w:szCs w:val="32"/>
        </w:rPr>
        <w:t>费用的2%支付；</w:t>
      </w:r>
    </w:p>
    <w:p w14:paraId="136687AF">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考核分数为70分-80分（不含80分），扣减上</w:t>
      </w:r>
      <w:r>
        <w:rPr>
          <w:rFonts w:hint="eastAsia" w:ascii="仿宋_GB2312" w:eastAsia="仿宋_GB2312"/>
          <w:sz w:val="32"/>
          <w:szCs w:val="32"/>
          <w:lang w:val="en-US" w:eastAsia="zh-CN"/>
        </w:rPr>
        <w:t>季度</w:t>
      </w:r>
      <w:r>
        <w:rPr>
          <w:rFonts w:hint="eastAsia" w:ascii="仿宋_GB2312" w:eastAsia="仿宋_GB2312"/>
          <w:sz w:val="32"/>
          <w:szCs w:val="32"/>
        </w:rPr>
        <w:t>费用的5%支付；</w:t>
      </w:r>
    </w:p>
    <w:p w14:paraId="1E49A54C">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考核分值在69分及以下，暂不支付被考核</w:t>
      </w:r>
      <w:r>
        <w:rPr>
          <w:rFonts w:hint="eastAsia" w:ascii="仿宋_GB2312" w:eastAsia="仿宋_GB2312"/>
          <w:sz w:val="32"/>
          <w:szCs w:val="32"/>
          <w:lang w:val="en-US" w:eastAsia="zh-CN"/>
        </w:rPr>
        <w:t>季度</w:t>
      </w:r>
      <w:r>
        <w:rPr>
          <w:rFonts w:hint="eastAsia" w:ascii="仿宋_GB2312" w:eastAsia="仿宋_GB2312"/>
          <w:sz w:val="32"/>
          <w:szCs w:val="32"/>
        </w:rPr>
        <w:t>费用，供应商在整改后，采购人支付供应商该</w:t>
      </w:r>
      <w:r>
        <w:rPr>
          <w:rFonts w:hint="eastAsia" w:ascii="仿宋_GB2312" w:eastAsia="仿宋_GB2312"/>
          <w:sz w:val="32"/>
          <w:szCs w:val="32"/>
          <w:lang w:val="en-US" w:eastAsia="zh-CN"/>
        </w:rPr>
        <w:t>季度</w:t>
      </w:r>
      <w:r>
        <w:rPr>
          <w:rFonts w:hint="eastAsia" w:ascii="仿宋_GB2312" w:eastAsia="仿宋_GB2312"/>
          <w:sz w:val="32"/>
          <w:szCs w:val="32"/>
        </w:rPr>
        <w:t>结算费用的70%；</w:t>
      </w:r>
    </w:p>
    <w:p w14:paraId="5273E8EC">
      <w:pPr>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考核一个年度内累积</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eastAsia" w:ascii="仿宋_GB2312" w:eastAsia="仿宋_GB2312"/>
          <w:sz w:val="32"/>
          <w:szCs w:val="32"/>
          <w:lang w:val="en-US" w:eastAsia="zh-CN"/>
        </w:rPr>
        <w:t>季度</w:t>
      </w:r>
      <w:r>
        <w:rPr>
          <w:rFonts w:hint="eastAsia" w:ascii="仿宋_GB2312" w:eastAsia="仿宋_GB2312"/>
          <w:sz w:val="32"/>
          <w:szCs w:val="32"/>
        </w:rPr>
        <w:t>69分及以下，采购人有权单方解除合同。</w:t>
      </w:r>
    </w:p>
    <w:p w14:paraId="125BEC79">
      <w:pPr>
        <w:rPr>
          <w:rFonts w:ascii="黑体" w:hAnsi="黑体" w:eastAsia="黑体" w:cs="黑体"/>
          <w:spacing w:val="19"/>
          <w:position w:val="-5"/>
          <w:sz w:val="33"/>
          <w:szCs w:val="33"/>
        </w:rPr>
      </w:pPr>
      <w:r>
        <w:rPr>
          <w:rFonts w:ascii="黑体" w:hAnsi="黑体" w:eastAsia="黑体" w:cs="黑体"/>
          <w:spacing w:val="19"/>
          <w:position w:val="-5"/>
          <w:sz w:val="33"/>
          <w:szCs w:val="33"/>
        </w:rPr>
        <w:br w:type="page"/>
      </w:r>
    </w:p>
    <w:p w14:paraId="51644F8B">
      <w:pPr>
        <w:keepNext w:val="0"/>
        <w:keepLines w:val="0"/>
        <w:pageBreakBefore w:val="0"/>
        <w:widowControl/>
        <w:kinsoku w:val="0"/>
        <w:wordWrap/>
        <w:overflowPunct/>
        <w:topLinePunct w:val="0"/>
        <w:autoSpaceDE w:val="0"/>
        <w:autoSpaceDN w:val="0"/>
        <w:bidi w:val="0"/>
        <w:adjustRightInd w:val="0"/>
        <w:snapToGrid w:val="0"/>
        <w:spacing w:before="79" w:line="360" w:lineRule="auto"/>
        <w:ind w:left="99" w:firstLine="1104" w:firstLineChars="300"/>
        <w:textAlignment w:val="baseline"/>
        <w:rPr>
          <w:rFonts w:hint="default" w:ascii="黑体" w:hAnsi="黑体" w:eastAsia="黑体" w:cs="黑体"/>
          <w:sz w:val="33"/>
          <w:szCs w:val="33"/>
          <w:lang w:val="en-US" w:eastAsia="zh-CN"/>
        </w:rPr>
      </w:pPr>
      <w:r>
        <w:rPr>
          <w:rFonts w:ascii="黑体" w:hAnsi="黑体" w:eastAsia="黑体" w:cs="黑体"/>
          <w:spacing w:val="19"/>
          <w:position w:val="-5"/>
          <w:sz w:val="33"/>
          <w:szCs w:val="33"/>
        </w:rPr>
        <w:t xml:space="preserve"> </w:t>
      </w:r>
      <w:r>
        <w:rPr>
          <w:rFonts w:ascii="黑体" w:hAnsi="黑体" w:eastAsia="黑体" w:cs="黑体"/>
          <w:b/>
          <w:bCs/>
          <w:spacing w:val="-19"/>
          <w:sz w:val="33"/>
          <w:szCs w:val="33"/>
        </w:rPr>
        <w:t>贵阳市妇女儿童活动中心物业管理</w:t>
      </w:r>
      <w:r>
        <w:rPr>
          <w:rFonts w:hint="eastAsia" w:ascii="黑体" w:hAnsi="黑体" w:eastAsia="黑体" w:cs="黑体"/>
          <w:b/>
          <w:bCs/>
          <w:spacing w:val="-19"/>
          <w:sz w:val="33"/>
          <w:szCs w:val="33"/>
          <w:lang w:eastAsia="zh-CN"/>
        </w:rPr>
        <w:t>季度</w:t>
      </w:r>
      <w:r>
        <w:rPr>
          <w:rFonts w:ascii="黑体" w:hAnsi="黑体" w:eastAsia="黑体" w:cs="黑体"/>
          <w:b/>
          <w:bCs/>
          <w:spacing w:val="-19"/>
          <w:sz w:val="33"/>
          <w:szCs w:val="33"/>
        </w:rPr>
        <w:t>考核</w:t>
      </w:r>
      <w:r>
        <w:rPr>
          <w:rFonts w:hint="eastAsia" w:ascii="黑体" w:hAnsi="黑体" w:eastAsia="黑体" w:cs="黑体"/>
          <w:b/>
          <w:bCs/>
          <w:spacing w:val="-20"/>
          <w:sz w:val="33"/>
          <w:szCs w:val="33"/>
          <w:lang w:eastAsia="zh-CN"/>
        </w:rPr>
        <w:t>表</w:t>
      </w:r>
    </w:p>
    <w:tbl>
      <w:tblPr>
        <w:tblStyle w:val="14"/>
        <w:tblW w:w="9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121"/>
        <w:gridCol w:w="4931"/>
        <w:gridCol w:w="1362"/>
        <w:gridCol w:w="1812"/>
      </w:tblGrid>
      <w:tr w14:paraId="67FA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9982" w:type="dxa"/>
            <w:gridSpan w:val="5"/>
            <w:vAlign w:val="center"/>
          </w:tcPr>
          <w:p w14:paraId="0DAA2D94">
            <w:pPr>
              <w:keepNext w:val="0"/>
              <w:keepLines w:val="0"/>
              <w:pageBreakBefore w:val="0"/>
              <w:widowControl/>
              <w:kinsoku w:val="0"/>
              <w:wordWrap/>
              <w:overflowPunct/>
              <w:topLinePunct w:val="0"/>
              <w:autoSpaceDE w:val="0"/>
              <w:autoSpaceDN w:val="0"/>
              <w:bidi w:val="0"/>
              <w:adjustRightInd w:val="0"/>
              <w:snapToGrid w:val="0"/>
              <w:spacing w:before="141" w:line="360" w:lineRule="auto"/>
              <w:ind w:left="3328"/>
              <w:jc w:val="left"/>
              <w:textAlignment w:val="baseline"/>
              <w:rPr>
                <w:rFonts w:hint="eastAsia" w:ascii="仿宋" w:hAnsi="仿宋" w:eastAsia="仿宋" w:cs="仿宋"/>
                <w:b/>
                <w:bCs/>
                <w:spacing w:val="-3"/>
                <w:sz w:val="22"/>
                <w:szCs w:val="22"/>
              </w:rPr>
            </w:pPr>
            <w:r>
              <w:rPr>
                <w:rFonts w:hint="eastAsia" w:ascii="仿宋" w:hAnsi="仿宋" w:eastAsia="仿宋" w:cs="仿宋"/>
                <w:b/>
                <w:bCs/>
                <w:spacing w:val="-3"/>
                <w:sz w:val="22"/>
                <w:szCs w:val="22"/>
                <w:lang w:eastAsia="zh-CN"/>
              </w:rPr>
              <w:t>（一）</w:t>
            </w:r>
            <w:r>
              <w:rPr>
                <w:rFonts w:hint="eastAsia" w:ascii="仿宋" w:hAnsi="仿宋" w:eastAsia="仿宋" w:cs="仿宋"/>
                <w:b/>
                <w:bCs/>
                <w:spacing w:val="-3"/>
                <w:sz w:val="22"/>
                <w:szCs w:val="22"/>
              </w:rPr>
              <w:t>环境保洁综合量化考核标准</w:t>
            </w:r>
          </w:p>
        </w:tc>
      </w:tr>
      <w:tr w14:paraId="70189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756" w:type="dxa"/>
            <w:vAlign w:val="center"/>
          </w:tcPr>
          <w:p w14:paraId="72F7B72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both"/>
              <w:textAlignment w:val="baseline"/>
              <w:rPr>
                <w:rFonts w:hint="eastAsia" w:ascii="仿宋" w:hAnsi="仿宋" w:eastAsia="仿宋" w:cs="仿宋"/>
                <w:sz w:val="22"/>
                <w:szCs w:val="22"/>
              </w:rPr>
            </w:pPr>
            <w:r>
              <w:rPr>
                <w:rFonts w:hint="eastAsia" w:ascii="仿宋" w:hAnsi="仿宋" w:eastAsia="仿宋" w:cs="仿宋"/>
                <w:spacing w:val="7"/>
                <w:sz w:val="22"/>
                <w:szCs w:val="22"/>
              </w:rPr>
              <w:t>序号</w:t>
            </w:r>
          </w:p>
        </w:tc>
        <w:tc>
          <w:tcPr>
            <w:tcW w:w="6052" w:type="dxa"/>
            <w:gridSpan w:val="2"/>
            <w:vAlign w:val="center"/>
          </w:tcPr>
          <w:p w14:paraId="4E0374AB">
            <w:pPr>
              <w:keepNext w:val="0"/>
              <w:keepLines w:val="0"/>
              <w:pageBreakBefore w:val="0"/>
              <w:widowControl/>
              <w:kinsoku w:val="0"/>
              <w:wordWrap/>
              <w:overflowPunct/>
              <w:topLinePunct w:val="0"/>
              <w:autoSpaceDE w:val="0"/>
              <w:autoSpaceDN w:val="0"/>
              <w:bidi w:val="0"/>
              <w:adjustRightInd w:val="0"/>
              <w:snapToGrid w:val="0"/>
              <w:spacing w:before="189" w:line="360" w:lineRule="auto"/>
              <w:jc w:val="center"/>
              <w:textAlignment w:val="baseline"/>
              <w:rPr>
                <w:rFonts w:hint="eastAsia" w:ascii="仿宋" w:hAnsi="仿宋" w:eastAsia="仿宋" w:cs="仿宋"/>
                <w:sz w:val="22"/>
                <w:szCs w:val="22"/>
              </w:rPr>
            </w:pPr>
            <w:r>
              <w:rPr>
                <w:rFonts w:hint="eastAsia" w:ascii="仿宋" w:hAnsi="仿宋" w:eastAsia="仿宋" w:cs="仿宋"/>
                <w:spacing w:val="2"/>
                <w:sz w:val="22"/>
                <w:szCs w:val="22"/>
              </w:rPr>
              <w:t>考核内容</w:t>
            </w:r>
          </w:p>
        </w:tc>
        <w:tc>
          <w:tcPr>
            <w:tcW w:w="1362" w:type="dxa"/>
            <w:vAlign w:val="center"/>
          </w:tcPr>
          <w:p w14:paraId="2A30C57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考核分数</w:t>
            </w:r>
          </w:p>
        </w:tc>
        <w:tc>
          <w:tcPr>
            <w:tcW w:w="1812" w:type="dxa"/>
            <w:vAlign w:val="center"/>
          </w:tcPr>
          <w:p w14:paraId="6EEC35D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中心分项评分</w:t>
            </w:r>
          </w:p>
        </w:tc>
      </w:tr>
      <w:tr w14:paraId="32625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756" w:type="dxa"/>
            <w:vAlign w:val="center"/>
          </w:tcPr>
          <w:p w14:paraId="397E15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1FB719A8">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121" w:type="dxa"/>
            <w:vMerge w:val="restart"/>
            <w:textDirection w:val="tbRlV"/>
            <w:vAlign w:val="center"/>
          </w:tcPr>
          <w:p w14:paraId="0634D512">
            <w:pPr>
              <w:keepNext w:val="0"/>
              <w:keepLines w:val="0"/>
              <w:pageBreakBefore w:val="0"/>
              <w:widowControl/>
              <w:kinsoku w:val="0"/>
              <w:wordWrap/>
              <w:overflowPunct/>
              <w:topLinePunct w:val="0"/>
              <w:autoSpaceDE w:val="0"/>
              <w:autoSpaceDN w:val="0"/>
              <w:bidi w:val="0"/>
              <w:adjustRightInd w:val="0"/>
              <w:snapToGrid w:val="0"/>
              <w:spacing w:before="319" w:line="360" w:lineRule="auto"/>
              <w:ind w:left="5589"/>
              <w:jc w:val="center"/>
              <w:textAlignment w:val="baseline"/>
              <w:rPr>
                <w:rFonts w:hint="eastAsia" w:ascii="仿宋" w:hAnsi="仿宋" w:eastAsia="仿宋" w:cs="仿宋"/>
                <w:sz w:val="22"/>
                <w:szCs w:val="22"/>
              </w:rPr>
            </w:pPr>
            <w:r>
              <w:rPr>
                <w:rFonts w:hint="eastAsia" w:ascii="仿宋" w:hAnsi="仿宋" w:eastAsia="仿宋" w:cs="仿宋"/>
                <w:spacing w:val="69"/>
                <w:w w:val="157"/>
                <w:sz w:val="22"/>
                <w:szCs w:val="22"/>
              </w:rPr>
              <w:t>每日</w:t>
            </w:r>
          </w:p>
        </w:tc>
        <w:tc>
          <w:tcPr>
            <w:tcW w:w="4931" w:type="dxa"/>
            <w:vAlign w:val="center"/>
          </w:tcPr>
          <w:p w14:paraId="18A45373">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lang w:val="en-US" w:eastAsia="zh-CN"/>
              </w:rPr>
            </w:pPr>
            <w:r>
              <w:rPr>
                <w:rFonts w:hint="eastAsia" w:ascii="仿宋" w:hAnsi="仿宋" w:eastAsia="仿宋" w:cs="仿宋"/>
                <w:spacing w:val="6"/>
                <w:sz w:val="22"/>
                <w:szCs w:val="22"/>
                <w:lang w:val="en-US" w:eastAsia="zh-CN"/>
              </w:rPr>
              <w:t>保洁人员形象，行为规范，礼仪礼节。</w:t>
            </w:r>
          </w:p>
        </w:tc>
        <w:tc>
          <w:tcPr>
            <w:tcW w:w="1362" w:type="dxa"/>
            <w:vAlign w:val="center"/>
          </w:tcPr>
          <w:p w14:paraId="45315F46">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1C854DF0">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6BF51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309CEF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4206C68C">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2</w:t>
            </w:r>
          </w:p>
        </w:tc>
        <w:tc>
          <w:tcPr>
            <w:tcW w:w="1121" w:type="dxa"/>
            <w:vMerge w:val="continue"/>
            <w:textDirection w:val="tbRlV"/>
            <w:vAlign w:val="center"/>
          </w:tcPr>
          <w:p w14:paraId="1969B2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4F552917">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rPr>
            </w:pPr>
            <w:r>
              <w:rPr>
                <w:rFonts w:hint="eastAsia" w:ascii="仿宋" w:hAnsi="仿宋" w:eastAsia="仿宋" w:cs="仿宋"/>
                <w:spacing w:val="7"/>
                <w:sz w:val="22"/>
                <w:szCs w:val="22"/>
                <w:lang w:val="en-US" w:eastAsia="zh-CN"/>
              </w:rPr>
              <w:t>遇到接待及日常公益课是否服从安排，服从管理</w:t>
            </w:r>
            <w:r>
              <w:rPr>
                <w:rFonts w:hint="eastAsia" w:ascii="仿宋" w:hAnsi="仿宋" w:eastAsia="仿宋" w:cs="仿宋"/>
                <w:spacing w:val="7"/>
                <w:sz w:val="22"/>
                <w:szCs w:val="22"/>
              </w:rPr>
              <w:t>。</w:t>
            </w:r>
          </w:p>
        </w:tc>
        <w:tc>
          <w:tcPr>
            <w:tcW w:w="1362" w:type="dxa"/>
            <w:vAlign w:val="center"/>
          </w:tcPr>
          <w:p w14:paraId="6AF027D4">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4BC85E49">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059F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5E03787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65EFA68A">
            <w:pPr>
              <w:keepNext w:val="0"/>
              <w:keepLines w:val="0"/>
              <w:pageBreakBefore w:val="0"/>
              <w:widowControl/>
              <w:kinsoku w:val="0"/>
              <w:wordWrap/>
              <w:overflowPunct/>
              <w:topLinePunct w:val="0"/>
              <w:autoSpaceDE w:val="0"/>
              <w:autoSpaceDN w:val="0"/>
              <w:bidi w:val="0"/>
              <w:adjustRightInd w:val="0"/>
              <w:snapToGrid w:val="0"/>
              <w:spacing w:before="75"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3</w:t>
            </w:r>
          </w:p>
        </w:tc>
        <w:tc>
          <w:tcPr>
            <w:tcW w:w="1121" w:type="dxa"/>
            <w:vMerge w:val="continue"/>
            <w:textDirection w:val="tbRlV"/>
            <w:vAlign w:val="center"/>
          </w:tcPr>
          <w:p w14:paraId="1EE09B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56A52182">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rPr>
            </w:pPr>
            <w:r>
              <w:rPr>
                <w:rFonts w:hint="eastAsia" w:ascii="仿宋" w:hAnsi="仿宋" w:eastAsia="仿宋" w:cs="仿宋"/>
                <w:spacing w:val="5"/>
                <w:sz w:val="22"/>
                <w:szCs w:val="22"/>
                <w:lang w:val="en-US" w:eastAsia="zh-CN"/>
              </w:rPr>
              <w:t>对公区卫生是否做到每日清洁，是否保持干净清洁。</w:t>
            </w:r>
          </w:p>
        </w:tc>
        <w:tc>
          <w:tcPr>
            <w:tcW w:w="1362" w:type="dxa"/>
            <w:vAlign w:val="center"/>
          </w:tcPr>
          <w:p w14:paraId="112AB5AD">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67EB8A69">
            <w:pPr>
              <w:keepNext w:val="0"/>
              <w:keepLines w:val="0"/>
              <w:pageBreakBefore w:val="0"/>
              <w:widowControl/>
              <w:kinsoku w:val="0"/>
              <w:wordWrap/>
              <w:overflowPunct/>
              <w:topLinePunct w:val="0"/>
              <w:autoSpaceDE w:val="0"/>
              <w:autoSpaceDN w:val="0"/>
              <w:bidi w:val="0"/>
              <w:adjustRightInd w:val="0"/>
              <w:snapToGrid w:val="0"/>
              <w:spacing w:before="75"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253EA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756" w:type="dxa"/>
            <w:vAlign w:val="center"/>
          </w:tcPr>
          <w:p w14:paraId="60CEA4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1EFAA0E2">
            <w:pPr>
              <w:keepNext w:val="0"/>
              <w:keepLines w:val="0"/>
              <w:pageBreakBefore w:val="0"/>
              <w:widowControl/>
              <w:kinsoku w:val="0"/>
              <w:wordWrap/>
              <w:overflowPunct/>
              <w:topLinePunct w:val="0"/>
              <w:autoSpaceDE w:val="0"/>
              <w:autoSpaceDN w:val="0"/>
              <w:bidi w:val="0"/>
              <w:adjustRightInd w:val="0"/>
              <w:snapToGrid w:val="0"/>
              <w:spacing w:before="74" w:line="360" w:lineRule="auto"/>
              <w:jc w:val="center"/>
              <w:textAlignment w:val="baseline"/>
              <w:rPr>
                <w:rFonts w:hint="eastAsia" w:ascii="仿宋" w:hAnsi="仿宋" w:eastAsia="仿宋" w:cs="仿宋"/>
                <w:sz w:val="22"/>
                <w:szCs w:val="22"/>
              </w:rPr>
            </w:pPr>
            <w:r>
              <w:rPr>
                <w:rFonts w:hint="eastAsia" w:ascii="仿宋" w:hAnsi="仿宋" w:eastAsia="仿宋" w:cs="仿宋"/>
                <w:sz w:val="22"/>
                <w:szCs w:val="22"/>
              </w:rPr>
              <w:t>4</w:t>
            </w:r>
          </w:p>
        </w:tc>
        <w:tc>
          <w:tcPr>
            <w:tcW w:w="1121" w:type="dxa"/>
            <w:vMerge w:val="continue"/>
            <w:textDirection w:val="tbRlV"/>
            <w:vAlign w:val="center"/>
          </w:tcPr>
          <w:p w14:paraId="2E1A53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27CCBC40">
            <w:pPr>
              <w:keepNext w:val="0"/>
              <w:keepLines w:val="0"/>
              <w:pageBreakBefore w:val="0"/>
              <w:widowControl/>
              <w:kinsoku w:val="0"/>
              <w:wordWrap/>
              <w:overflowPunct/>
              <w:topLinePunct w:val="0"/>
              <w:autoSpaceDE w:val="0"/>
              <w:autoSpaceDN w:val="0"/>
              <w:bidi w:val="0"/>
              <w:adjustRightInd w:val="0"/>
              <w:snapToGrid w:val="0"/>
              <w:spacing w:line="360" w:lineRule="auto"/>
              <w:ind w:left="81"/>
              <w:jc w:val="left"/>
              <w:textAlignment w:val="baseline"/>
              <w:rPr>
                <w:rFonts w:hint="eastAsia" w:ascii="仿宋" w:hAnsi="仿宋" w:eastAsia="仿宋" w:cs="仿宋"/>
                <w:sz w:val="22"/>
                <w:szCs w:val="22"/>
                <w:lang w:val="en-US" w:eastAsia="zh-CN"/>
              </w:rPr>
            </w:pPr>
            <w:r>
              <w:rPr>
                <w:rFonts w:hint="eastAsia" w:ascii="仿宋" w:hAnsi="仿宋" w:eastAsia="仿宋" w:cs="仿宋"/>
                <w:spacing w:val="5"/>
                <w:sz w:val="22"/>
                <w:szCs w:val="22"/>
                <w:lang w:val="en-US" w:eastAsia="zh-CN"/>
              </w:rPr>
              <w:t>对办公楼，卫生间、垃圾桶等重要位置做到日常清洁，部分区域做到定期清理。</w:t>
            </w:r>
          </w:p>
        </w:tc>
        <w:tc>
          <w:tcPr>
            <w:tcW w:w="1362" w:type="dxa"/>
            <w:vAlign w:val="center"/>
          </w:tcPr>
          <w:p w14:paraId="7F8D040F">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10</w:t>
            </w:r>
          </w:p>
        </w:tc>
        <w:tc>
          <w:tcPr>
            <w:tcW w:w="1812" w:type="dxa"/>
            <w:vAlign w:val="center"/>
          </w:tcPr>
          <w:p w14:paraId="4EAD5DA8">
            <w:pPr>
              <w:keepNext w:val="0"/>
              <w:keepLines w:val="0"/>
              <w:pageBreakBefore w:val="0"/>
              <w:widowControl/>
              <w:kinsoku w:val="0"/>
              <w:wordWrap/>
              <w:overflowPunct/>
              <w:topLinePunct w:val="0"/>
              <w:autoSpaceDE w:val="0"/>
              <w:autoSpaceDN w:val="0"/>
              <w:bidi w:val="0"/>
              <w:adjustRightInd w:val="0"/>
              <w:snapToGrid w:val="0"/>
              <w:spacing w:before="74"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9</w:t>
            </w:r>
          </w:p>
        </w:tc>
      </w:tr>
      <w:tr w14:paraId="77FC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jc w:val="center"/>
        </w:trPr>
        <w:tc>
          <w:tcPr>
            <w:tcW w:w="756" w:type="dxa"/>
            <w:vAlign w:val="center"/>
          </w:tcPr>
          <w:p w14:paraId="50D90F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121" w:type="dxa"/>
            <w:vMerge w:val="continue"/>
            <w:vAlign w:val="center"/>
          </w:tcPr>
          <w:p w14:paraId="11EA53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tc>
        <w:tc>
          <w:tcPr>
            <w:tcW w:w="4931" w:type="dxa"/>
            <w:vAlign w:val="center"/>
          </w:tcPr>
          <w:p w14:paraId="69F7C30B">
            <w:pPr>
              <w:keepNext w:val="0"/>
              <w:keepLines w:val="0"/>
              <w:pageBreakBefore w:val="0"/>
              <w:widowControl/>
              <w:kinsoku w:val="0"/>
              <w:wordWrap/>
              <w:overflowPunct/>
              <w:topLinePunct w:val="0"/>
              <w:autoSpaceDE w:val="0"/>
              <w:autoSpaceDN w:val="0"/>
              <w:bidi w:val="0"/>
              <w:adjustRightInd w:val="0"/>
              <w:snapToGrid w:val="0"/>
              <w:spacing w:before="203" w:line="360" w:lineRule="auto"/>
              <w:ind w:left="92"/>
              <w:jc w:val="left"/>
              <w:textAlignment w:val="baseline"/>
              <w:rPr>
                <w:rFonts w:hint="eastAsia" w:ascii="仿宋" w:hAnsi="仿宋" w:eastAsia="仿宋" w:cs="仿宋"/>
                <w:sz w:val="22"/>
                <w:szCs w:val="22"/>
              </w:rPr>
            </w:pPr>
            <w:r>
              <w:rPr>
                <w:rFonts w:hint="eastAsia" w:ascii="仿宋" w:hAnsi="仿宋" w:eastAsia="仿宋" w:cs="仿宋"/>
                <w:position w:val="22"/>
                <w:sz w:val="22"/>
                <w:szCs w:val="22"/>
              </w:rPr>
              <w:t>如实进行巡查记录，记录真实完整，如有弄</w:t>
            </w:r>
          </w:p>
          <w:p w14:paraId="665E0DF6">
            <w:pPr>
              <w:keepNext w:val="0"/>
              <w:keepLines w:val="0"/>
              <w:pageBreakBefore w:val="0"/>
              <w:widowControl/>
              <w:kinsoku w:val="0"/>
              <w:wordWrap/>
              <w:overflowPunct/>
              <w:topLinePunct w:val="0"/>
              <w:autoSpaceDE w:val="0"/>
              <w:autoSpaceDN w:val="0"/>
              <w:bidi w:val="0"/>
              <w:adjustRightInd w:val="0"/>
              <w:snapToGrid w:val="0"/>
              <w:spacing w:line="360" w:lineRule="auto"/>
              <w:ind w:left="92"/>
              <w:jc w:val="left"/>
              <w:textAlignment w:val="baseline"/>
              <w:rPr>
                <w:rFonts w:hint="eastAsia" w:ascii="仿宋" w:hAnsi="仿宋" w:eastAsia="仿宋" w:cs="仿宋"/>
                <w:sz w:val="22"/>
                <w:szCs w:val="22"/>
              </w:rPr>
            </w:pPr>
            <w:r>
              <w:rPr>
                <w:rFonts w:hint="eastAsia" w:ascii="仿宋" w:hAnsi="仿宋" w:eastAsia="仿宋" w:cs="仿宋"/>
                <w:spacing w:val="2"/>
                <w:sz w:val="22"/>
                <w:szCs w:val="22"/>
              </w:rPr>
              <w:t>虚作假、未巡查的</w:t>
            </w:r>
          </w:p>
        </w:tc>
        <w:tc>
          <w:tcPr>
            <w:tcW w:w="1362" w:type="dxa"/>
            <w:vAlign w:val="center"/>
          </w:tcPr>
          <w:p w14:paraId="5DE38351">
            <w:pPr>
              <w:keepNext w:val="0"/>
              <w:keepLines w:val="0"/>
              <w:pageBreakBefore w:val="0"/>
              <w:widowControl/>
              <w:kinsoku w:val="0"/>
              <w:wordWrap/>
              <w:overflowPunct/>
              <w:topLinePunct w:val="0"/>
              <w:autoSpaceDE w:val="0"/>
              <w:autoSpaceDN w:val="0"/>
              <w:bidi w:val="0"/>
              <w:adjustRightInd w:val="0"/>
              <w:snapToGrid w:val="0"/>
              <w:spacing w:before="78"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28E9046D">
            <w:pPr>
              <w:keepNext w:val="0"/>
              <w:keepLines w:val="0"/>
              <w:pageBreakBefore w:val="0"/>
              <w:widowControl/>
              <w:kinsoku w:val="0"/>
              <w:wordWrap/>
              <w:overflowPunct/>
              <w:topLinePunct w:val="0"/>
              <w:autoSpaceDE w:val="0"/>
              <w:autoSpaceDN w:val="0"/>
              <w:bidi w:val="0"/>
              <w:adjustRightInd w:val="0"/>
              <w:snapToGrid w:val="0"/>
              <w:spacing w:before="78"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31EA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82" w:type="dxa"/>
            <w:gridSpan w:val="5"/>
            <w:vAlign w:val="center"/>
          </w:tcPr>
          <w:p w14:paraId="5AF906CB">
            <w:pPr>
              <w:keepNext w:val="0"/>
              <w:keepLines w:val="0"/>
              <w:pageBreakBefore w:val="0"/>
              <w:widowControl/>
              <w:kinsoku w:val="0"/>
              <w:wordWrap/>
              <w:overflowPunct/>
              <w:topLinePunct w:val="0"/>
              <w:autoSpaceDE w:val="0"/>
              <w:autoSpaceDN w:val="0"/>
              <w:bidi w:val="0"/>
              <w:adjustRightInd w:val="0"/>
              <w:snapToGrid w:val="0"/>
              <w:spacing w:before="78" w:line="360" w:lineRule="auto"/>
              <w:ind w:left="2918"/>
              <w:jc w:val="left"/>
              <w:textAlignment w:val="baseline"/>
              <w:rPr>
                <w:rFonts w:hint="eastAsia" w:ascii="仿宋" w:hAnsi="仿宋" w:eastAsia="仿宋" w:cs="仿宋"/>
                <w:b/>
                <w:bCs/>
                <w:spacing w:val="-3"/>
                <w:sz w:val="22"/>
                <w:szCs w:val="22"/>
              </w:rPr>
            </w:pPr>
            <w:r>
              <w:rPr>
                <w:rFonts w:hint="eastAsia" w:ascii="仿宋" w:hAnsi="仿宋" w:eastAsia="仿宋" w:cs="仿宋"/>
                <w:b/>
                <w:bCs/>
                <w:spacing w:val="-3"/>
                <w:sz w:val="22"/>
                <w:szCs w:val="22"/>
                <w:lang w:eastAsia="zh-CN"/>
              </w:rPr>
              <w:t>（二）</w:t>
            </w:r>
            <w:r>
              <w:rPr>
                <w:rFonts w:hint="eastAsia" w:ascii="仿宋" w:hAnsi="仿宋" w:eastAsia="仿宋" w:cs="仿宋"/>
                <w:b/>
                <w:bCs/>
                <w:spacing w:val="-3"/>
                <w:sz w:val="22"/>
                <w:szCs w:val="22"/>
              </w:rPr>
              <w:t>秩序维护服务工作检查考核评分表</w:t>
            </w:r>
          </w:p>
        </w:tc>
      </w:tr>
      <w:tr w14:paraId="721CC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Align w:val="center"/>
          </w:tcPr>
          <w:p w14:paraId="0F2AA90A">
            <w:pPr>
              <w:keepNext w:val="0"/>
              <w:keepLines w:val="0"/>
              <w:pageBreakBefore w:val="0"/>
              <w:widowControl/>
              <w:kinsoku w:val="0"/>
              <w:wordWrap/>
              <w:overflowPunct/>
              <w:topLinePunct w:val="0"/>
              <w:autoSpaceDE w:val="0"/>
              <w:autoSpaceDN w:val="0"/>
              <w:bidi w:val="0"/>
              <w:adjustRightInd w:val="0"/>
              <w:snapToGrid w:val="0"/>
              <w:spacing w:before="180" w:line="360" w:lineRule="auto"/>
              <w:ind w:left="125"/>
              <w:jc w:val="both"/>
              <w:textAlignment w:val="baseline"/>
              <w:rPr>
                <w:rFonts w:hint="eastAsia" w:ascii="仿宋" w:hAnsi="仿宋" w:eastAsia="仿宋" w:cs="仿宋"/>
                <w:sz w:val="22"/>
                <w:szCs w:val="22"/>
              </w:rPr>
            </w:pPr>
            <w:r>
              <w:rPr>
                <w:rFonts w:hint="eastAsia" w:ascii="仿宋" w:hAnsi="仿宋" w:eastAsia="仿宋" w:cs="仿宋"/>
                <w:spacing w:val="7"/>
                <w:sz w:val="22"/>
                <w:szCs w:val="22"/>
              </w:rPr>
              <w:t>序号</w:t>
            </w:r>
          </w:p>
        </w:tc>
        <w:tc>
          <w:tcPr>
            <w:tcW w:w="1121" w:type="dxa"/>
            <w:vAlign w:val="center"/>
          </w:tcPr>
          <w:p w14:paraId="6DCF88F6">
            <w:pPr>
              <w:keepNext w:val="0"/>
              <w:keepLines w:val="0"/>
              <w:pageBreakBefore w:val="0"/>
              <w:widowControl/>
              <w:kinsoku w:val="0"/>
              <w:wordWrap/>
              <w:overflowPunct/>
              <w:topLinePunct w:val="0"/>
              <w:autoSpaceDE w:val="0"/>
              <w:autoSpaceDN w:val="0"/>
              <w:bidi w:val="0"/>
              <w:adjustRightInd w:val="0"/>
              <w:snapToGrid w:val="0"/>
              <w:spacing w:before="189" w:line="360" w:lineRule="auto"/>
              <w:ind w:left="221"/>
              <w:jc w:val="center"/>
              <w:textAlignment w:val="baseline"/>
              <w:rPr>
                <w:rFonts w:hint="eastAsia" w:ascii="仿宋" w:hAnsi="仿宋" w:eastAsia="仿宋" w:cs="仿宋"/>
                <w:sz w:val="22"/>
                <w:szCs w:val="22"/>
              </w:rPr>
            </w:pPr>
            <w:r>
              <w:rPr>
                <w:rFonts w:hint="eastAsia" w:ascii="仿宋" w:hAnsi="仿宋" w:eastAsia="仿宋" w:cs="仿宋"/>
                <w:spacing w:val="7"/>
                <w:sz w:val="22"/>
                <w:szCs w:val="22"/>
              </w:rPr>
              <w:t>事项</w:t>
            </w:r>
          </w:p>
        </w:tc>
        <w:tc>
          <w:tcPr>
            <w:tcW w:w="4931" w:type="dxa"/>
            <w:vAlign w:val="center"/>
          </w:tcPr>
          <w:p w14:paraId="76E0F506">
            <w:pPr>
              <w:keepNext w:val="0"/>
              <w:keepLines w:val="0"/>
              <w:pageBreakBefore w:val="0"/>
              <w:widowControl/>
              <w:kinsoku w:val="0"/>
              <w:wordWrap/>
              <w:overflowPunct/>
              <w:topLinePunct w:val="0"/>
              <w:autoSpaceDE w:val="0"/>
              <w:autoSpaceDN w:val="0"/>
              <w:bidi w:val="0"/>
              <w:adjustRightInd w:val="0"/>
              <w:snapToGrid w:val="0"/>
              <w:spacing w:before="199" w:line="360" w:lineRule="auto"/>
              <w:ind w:left="1732"/>
              <w:jc w:val="both"/>
              <w:textAlignment w:val="baseline"/>
              <w:rPr>
                <w:rFonts w:hint="eastAsia" w:ascii="仿宋" w:hAnsi="仿宋" w:eastAsia="仿宋" w:cs="仿宋"/>
                <w:sz w:val="22"/>
                <w:szCs w:val="22"/>
              </w:rPr>
            </w:pPr>
            <w:r>
              <w:rPr>
                <w:rFonts w:hint="eastAsia" w:ascii="仿宋" w:hAnsi="仿宋" w:eastAsia="仿宋" w:cs="仿宋"/>
                <w:spacing w:val="3"/>
                <w:sz w:val="22"/>
                <w:szCs w:val="22"/>
              </w:rPr>
              <w:t>考核内容</w:t>
            </w:r>
          </w:p>
        </w:tc>
        <w:tc>
          <w:tcPr>
            <w:tcW w:w="1362" w:type="dxa"/>
            <w:vAlign w:val="center"/>
          </w:tcPr>
          <w:p w14:paraId="57F2AE2B">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考核分数</w:t>
            </w:r>
          </w:p>
        </w:tc>
        <w:tc>
          <w:tcPr>
            <w:tcW w:w="1812" w:type="dxa"/>
            <w:vAlign w:val="center"/>
          </w:tcPr>
          <w:p w14:paraId="74EEDFA5">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7"/>
                <w:sz w:val="22"/>
                <w:szCs w:val="22"/>
                <w:lang w:val="en-US" w:eastAsia="zh-CN"/>
              </w:rPr>
              <w:t>中心分项评分</w:t>
            </w:r>
          </w:p>
        </w:tc>
      </w:tr>
      <w:tr w14:paraId="70107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756" w:type="dxa"/>
            <w:vAlign w:val="center"/>
          </w:tcPr>
          <w:p w14:paraId="6C919B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0"/>
                <w:szCs w:val="20"/>
              </w:rPr>
            </w:pPr>
          </w:p>
          <w:p w14:paraId="2F93A7ED">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rPr>
            </w:pPr>
            <w:r>
              <w:rPr>
                <w:rFonts w:hint="eastAsia" w:ascii="仿宋" w:hAnsi="仿宋" w:eastAsia="仿宋" w:cs="仿宋"/>
                <w:sz w:val="22"/>
                <w:szCs w:val="22"/>
              </w:rPr>
              <w:t>1</w:t>
            </w:r>
          </w:p>
        </w:tc>
        <w:tc>
          <w:tcPr>
            <w:tcW w:w="1121" w:type="dxa"/>
            <w:vAlign w:val="center"/>
          </w:tcPr>
          <w:p w14:paraId="5CD7133B">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综合</w:t>
            </w:r>
          </w:p>
          <w:p w14:paraId="01CE0E99">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rPr>
            </w:pPr>
            <w:r>
              <w:rPr>
                <w:rFonts w:hint="eastAsia" w:ascii="仿宋" w:hAnsi="仿宋" w:eastAsia="仿宋" w:cs="仿宋"/>
                <w:sz w:val="22"/>
                <w:szCs w:val="22"/>
                <w:lang w:val="en-US" w:eastAsia="zh-CN"/>
              </w:rPr>
              <w:t>管理</w:t>
            </w:r>
          </w:p>
        </w:tc>
        <w:tc>
          <w:tcPr>
            <w:tcW w:w="4931" w:type="dxa"/>
            <w:vAlign w:val="center"/>
          </w:tcPr>
          <w:p w14:paraId="5A0225F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3"/>
                <w:sz w:val="22"/>
                <w:szCs w:val="22"/>
                <w:lang w:val="en-US" w:eastAsia="zh-CN"/>
              </w:rPr>
            </w:pPr>
            <w:r>
              <w:rPr>
                <w:rFonts w:hint="eastAsia" w:ascii="仿宋" w:hAnsi="仿宋" w:eastAsia="仿宋" w:cs="仿宋"/>
                <w:spacing w:val="3"/>
                <w:sz w:val="22"/>
                <w:szCs w:val="22"/>
                <w:lang w:val="en-US" w:eastAsia="zh-CN"/>
              </w:rPr>
              <w:t>服从安排，听从指挥，确保安排的事情，</w:t>
            </w:r>
          </w:p>
          <w:p w14:paraId="7E98CD9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2"/>
                <w:szCs w:val="22"/>
              </w:rPr>
            </w:pPr>
            <w:r>
              <w:rPr>
                <w:rFonts w:hint="eastAsia" w:ascii="仿宋" w:hAnsi="仿宋" w:eastAsia="仿宋" w:cs="仿宋"/>
                <w:spacing w:val="3"/>
                <w:sz w:val="22"/>
                <w:szCs w:val="22"/>
                <w:lang w:val="en-US" w:eastAsia="zh-CN"/>
              </w:rPr>
              <w:t>得到有效落实，保障中心安全，做到时时巡查并做好有效记录。</w:t>
            </w:r>
          </w:p>
        </w:tc>
        <w:tc>
          <w:tcPr>
            <w:tcW w:w="1362" w:type="dxa"/>
            <w:vAlign w:val="center"/>
          </w:tcPr>
          <w:p w14:paraId="32FC34F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288C9B7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5DB61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756" w:type="dxa"/>
            <w:vAlign w:val="center"/>
          </w:tcPr>
          <w:p w14:paraId="54EF3F94">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p>
        </w:tc>
        <w:tc>
          <w:tcPr>
            <w:tcW w:w="1121" w:type="dxa"/>
            <w:vAlign w:val="center"/>
          </w:tcPr>
          <w:p w14:paraId="29611C50">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出入</w:t>
            </w:r>
          </w:p>
          <w:p w14:paraId="7BFD8911">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0E6D533B">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left"/>
              <w:textAlignment w:val="baseline"/>
              <w:rPr>
                <w:rFonts w:hint="eastAsia" w:ascii="仿宋" w:hAnsi="仿宋" w:eastAsia="仿宋" w:cs="仿宋"/>
                <w:spacing w:val="20"/>
                <w:sz w:val="22"/>
                <w:szCs w:val="22"/>
                <w:lang w:val="en-US" w:eastAsia="zh-CN"/>
              </w:rPr>
            </w:pPr>
            <w:r>
              <w:rPr>
                <w:rFonts w:hint="eastAsia" w:ascii="仿宋" w:hAnsi="仿宋" w:eastAsia="仿宋" w:cs="仿宋"/>
                <w:spacing w:val="7"/>
                <w:sz w:val="22"/>
                <w:szCs w:val="22"/>
                <w:lang w:val="en-US" w:eastAsia="zh-CN"/>
              </w:rPr>
              <w:t>是否</w:t>
            </w:r>
            <w:r>
              <w:rPr>
                <w:rFonts w:hint="eastAsia" w:ascii="仿宋" w:hAnsi="仿宋" w:eastAsia="仿宋" w:cs="仿宋"/>
                <w:spacing w:val="7"/>
                <w:sz w:val="22"/>
                <w:szCs w:val="22"/>
              </w:rPr>
              <w:t>尊重甲方领导，</w:t>
            </w:r>
            <w:r>
              <w:rPr>
                <w:rFonts w:hint="eastAsia" w:ascii="仿宋" w:hAnsi="仿宋" w:eastAsia="仿宋" w:cs="仿宋"/>
                <w:spacing w:val="7"/>
                <w:sz w:val="22"/>
                <w:szCs w:val="22"/>
                <w:lang w:val="en-US" w:eastAsia="zh-CN"/>
              </w:rPr>
              <w:t>礼貌问好，在门岗内是否按规范进行出入登记，酒店、幼儿园除外。</w:t>
            </w:r>
          </w:p>
        </w:tc>
        <w:tc>
          <w:tcPr>
            <w:tcW w:w="1362" w:type="dxa"/>
            <w:vAlign w:val="center"/>
          </w:tcPr>
          <w:p w14:paraId="37018D90">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0A3B37AD">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r>
      <w:tr w14:paraId="047D0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jc w:val="center"/>
        </w:trPr>
        <w:tc>
          <w:tcPr>
            <w:tcW w:w="756" w:type="dxa"/>
            <w:vAlign w:val="center"/>
          </w:tcPr>
          <w:p w14:paraId="0B2CAC03">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w:t>
            </w:r>
          </w:p>
        </w:tc>
        <w:tc>
          <w:tcPr>
            <w:tcW w:w="1121" w:type="dxa"/>
            <w:vAlign w:val="center"/>
          </w:tcPr>
          <w:p w14:paraId="2630D7C5">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消防</w:t>
            </w:r>
          </w:p>
          <w:p w14:paraId="3AEBF772">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4182DAE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3"/>
                <w:sz w:val="22"/>
                <w:szCs w:val="22"/>
                <w:lang w:val="en-US" w:eastAsia="zh-CN"/>
              </w:rPr>
            </w:pPr>
            <w:r>
              <w:rPr>
                <w:rFonts w:hint="eastAsia" w:ascii="仿宋" w:hAnsi="仿宋" w:eastAsia="仿宋" w:cs="仿宋"/>
                <w:spacing w:val="3"/>
                <w:sz w:val="22"/>
                <w:szCs w:val="22"/>
                <w:lang w:val="en-US" w:eastAsia="zh-CN"/>
              </w:rPr>
              <w:t>熟练使用常见的灭火器材，懂得一般性</w:t>
            </w:r>
          </w:p>
          <w:p w14:paraId="1149108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7"/>
                <w:sz w:val="22"/>
                <w:szCs w:val="22"/>
                <w:lang w:val="en-US" w:eastAsia="zh-CN"/>
              </w:rPr>
            </w:pPr>
            <w:r>
              <w:rPr>
                <w:rFonts w:hint="eastAsia" w:ascii="仿宋" w:hAnsi="仿宋" w:eastAsia="仿宋" w:cs="仿宋"/>
                <w:spacing w:val="3"/>
                <w:sz w:val="22"/>
                <w:szCs w:val="22"/>
                <w:lang w:val="en-US" w:eastAsia="zh-CN"/>
              </w:rPr>
              <w:t>的检查和保养，熟悉集中区域消防等设施，发现火情及时处理性及及时向上级汇报</w:t>
            </w:r>
          </w:p>
        </w:tc>
        <w:tc>
          <w:tcPr>
            <w:tcW w:w="1362" w:type="dxa"/>
            <w:vAlign w:val="center"/>
          </w:tcPr>
          <w:p w14:paraId="7A56B61E">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5B6085D6">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457B0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6" w:type="dxa"/>
            <w:vAlign w:val="center"/>
          </w:tcPr>
          <w:p w14:paraId="182B9B38">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121" w:type="dxa"/>
            <w:vAlign w:val="center"/>
          </w:tcPr>
          <w:p w14:paraId="64ECAE2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突发</w:t>
            </w:r>
          </w:p>
          <w:p w14:paraId="5C806F6F">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事件</w:t>
            </w:r>
          </w:p>
        </w:tc>
        <w:tc>
          <w:tcPr>
            <w:tcW w:w="4931" w:type="dxa"/>
            <w:vAlign w:val="center"/>
          </w:tcPr>
          <w:p w14:paraId="0EC2FA52">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熟悉各类应急电话，是否熟练操作应急流程。</w:t>
            </w:r>
          </w:p>
        </w:tc>
        <w:tc>
          <w:tcPr>
            <w:tcW w:w="1362" w:type="dxa"/>
            <w:vAlign w:val="center"/>
          </w:tcPr>
          <w:p w14:paraId="3C3422AD">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50CD879A">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3CBE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756" w:type="dxa"/>
            <w:vAlign w:val="center"/>
          </w:tcPr>
          <w:p w14:paraId="66A7D4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121" w:type="dxa"/>
            <w:vAlign w:val="center"/>
          </w:tcPr>
          <w:p w14:paraId="6D7A2434">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日常</w:t>
            </w:r>
          </w:p>
          <w:p w14:paraId="2D9788B6">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2521918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17"/>
                <w:sz w:val="22"/>
                <w:szCs w:val="22"/>
                <w:lang w:val="en-US" w:eastAsia="zh-CN"/>
              </w:rPr>
            </w:pPr>
            <w:r>
              <w:rPr>
                <w:rFonts w:hint="eastAsia" w:ascii="仿宋" w:hAnsi="仿宋" w:eastAsia="仿宋" w:cs="仿宋"/>
                <w:spacing w:val="3"/>
                <w:sz w:val="22"/>
                <w:szCs w:val="22"/>
                <w:lang w:val="en-US" w:eastAsia="zh-CN"/>
              </w:rPr>
              <w:t>仪容仪表，礼仪礼节，不弄虚作假，服从管理，每日对办公区域做好巡查，发现问题及时上报，并做好日常巡查记录。</w:t>
            </w:r>
          </w:p>
        </w:tc>
        <w:tc>
          <w:tcPr>
            <w:tcW w:w="1362" w:type="dxa"/>
            <w:vAlign w:val="center"/>
          </w:tcPr>
          <w:p w14:paraId="2014B219">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36886F27">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r w14:paraId="6A54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756" w:type="dxa"/>
            <w:vAlign w:val="center"/>
          </w:tcPr>
          <w:p w14:paraId="5F861230">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1121" w:type="dxa"/>
            <w:vAlign w:val="center"/>
          </w:tcPr>
          <w:p w14:paraId="7265476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车辆</w:t>
            </w:r>
          </w:p>
          <w:p w14:paraId="4F20C8A0">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管理</w:t>
            </w:r>
          </w:p>
        </w:tc>
        <w:tc>
          <w:tcPr>
            <w:tcW w:w="4931" w:type="dxa"/>
            <w:vAlign w:val="center"/>
          </w:tcPr>
          <w:p w14:paraId="013E5BB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pacing w:val="17"/>
                <w:sz w:val="22"/>
                <w:szCs w:val="22"/>
                <w:lang w:val="en-US" w:eastAsia="zh-CN"/>
              </w:rPr>
            </w:pPr>
            <w:r>
              <w:rPr>
                <w:rFonts w:hint="eastAsia" w:ascii="仿宋" w:hAnsi="仿宋" w:eastAsia="仿宋" w:cs="仿宋"/>
                <w:spacing w:val="17"/>
                <w:sz w:val="22"/>
                <w:szCs w:val="22"/>
                <w:lang w:val="en-US" w:eastAsia="zh-CN"/>
              </w:rPr>
              <w:t>进入车辆进行询问，并礼貌指引停车秩序。</w:t>
            </w:r>
          </w:p>
        </w:tc>
        <w:tc>
          <w:tcPr>
            <w:tcW w:w="1362" w:type="dxa"/>
            <w:vAlign w:val="center"/>
          </w:tcPr>
          <w:p w14:paraId="6D61188A">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w:t>
            </w:r>
          </w:p>
        </w:tc>
        <w:tc>
          <w:tcPr>
            <w:tcW w:w="1812" w:type="dxa"/>
            <w:vAlign w:val="center"/>
          </w:tcPr>
          <w:p w14:paraId="4EE29467">
            <w:pPr>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r>
    </w:tbl>
    <w:tbl>
      <w:tblPr>
        <w:tblStyle w:val="14"/>
        <w:tblpPr w:leftFromText="180" w:rightFromText="180" w:vertAnchor="text" w:horzAnchor="page" w:tblpX="1102" w:tblpY="406"/>
        <w:tblOverlap w:val="never"/>
        <w:tblW w:w="99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121"/>
        <w:gridCol w:w="4931"/>
        <w:gridCol w:w="1362"/>
        <w:gridCol w:w="1812"/>
      </w:tblGrid>
      <w:tr w14:paraId="7A9FF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984" w:type="dxa"/>
            <w:gridSpan w:val="5"/>
            <w:vAlign w:val="top"/>
          </w:tcPr>
          <w:p w14:paraId="23EC51A4">
            <w:pPr>
              <w:keepNext w:val="0"/>
              <w:keepLines w:val="0"/>
              <w:pageBreakBefore w:val="0"/>
              <w:widowControl/>
              <w:kinsoku w:val="0"/>
              <w:wordWrap/>
              <w:overflowPunct/>
              <w:topLinePunct w:val="0"/>
              <w:autoSpaceDE w:val="0"/>
              <w:autoSpaceDN w:val="0"/>
              <w:bidi w:val="0"/>
              <w:adjustRightInd w:val="0"/>
              <w:snapToGrid w:val="0"/>
              <w:spacing w:before="131" w:line="360" w:lineRule="auto"/>
              <w:ind w:left="3148"/>
              <w:textAlignment w:val="baseline"/>
              <w:rPr>
                <w:rFonts w:ascii="宋体" w:hAnsi="宋体" w:eastAsia="宋体" w:cs="宋体"/>
                <w:b/>
                <w:bCs/>
                <w:spacing w:val="-3"/>
                <w:sz w:val="22"/>
                <w:szCs w:val="22"/>
              </w:rPr>
            </w:pPr>
            <w:r>
              <w:rPr>
                <w:rFonts w:ascii="宋体" w:hAnsi="宋体" w:eastAsia="宋体" w:cs="宋体"/>
                <w:b/>
                <w:bCs/>
                <w:spacing w:val="-3"/>
                <w:sz w:val="22"/>
                <w:szCs w:val="22"/>
              </w:rPr>
              <w:t>(三)工程维护工作检查考核评分表</w:t>
            </w:r>
          </w:p>
        </w:tc>
      </w:tr>
      <w:tr w14:paraId="0C5DA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58" w:type="dxa"/>
            <w:vAlign w:val="center"/>
          </w:tcPr>
          <w:p w14:paraId="05E07EE1">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both"/>
              <w:textAlignment w:val="baseline"/>
              <w:rPr>
                <w:rFonts w:ascii="宋体" w:hAnsi="宋体" w:eastAsia="宋体" w:cs="宋体"/>
                <w:spacing w:val="7"/>
                <w:sz w:val="22"/>
                <w:szCs w:val="22"/>
              </w:rPr>
            </w:pPr>
            <w:r>
              <w:rPr>
                <w:rFonts w:ascii="宋体" w:hAnsi="宋体" w:eastAsia="宋体" w:cs="宋体"/>
                <w:spacing w:val="7"/>
                <w:sz w:val="22"/>
                <w:szCs w:val="22"/>
              </w:rPr>
              <w:t>序号</w:t>
            </w:r>
          </w:p>
        </w:tc>
        <w:tc>
          <w:tcPr>
            <w:tcW w:w="1121" w:type="dxa"/>
            <w:vAlign w:val="center"/>
          </w:tcPr>
          <w:p w14:paraId="0321AC03">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default"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事项</w:t>
            </w:r>
          </w:p>
        </w:tc>
        <w:tc>
          <w:tcPr>
            <w:tcW w:w="4931" w:type="dxa"/>
            <w:vAlign w:val="center"/>
          </w:tcPr>
          <w:p w14:paraId="55E86695">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ascii="宋体" w:hAnsi="宋体" w:eastAsia="宋体" w:cs="宋体"/>
                <w:spacing w:val="7"/>
                <w:sz w:val="22"/>
                <w:szCs w:val="22"/>
              </w:rPr>
            </w:pPr>
            <w:r>
              <w:rPr>
                <w:rFonts w:ascii="宋体" w:hAnsi="宋体" w:eastAsia="宋体" w:cs="宋体"/>
                <w:spacing w:val="7"/>
                <w:sz w:val="22"/>
                <w:szCs w:val="22"/>
              </w:rPr>
              <w:t>考核内容</w:t>
            </w:r>
          </w:p>
        </w:tc>
        <w:tc>
          <w:tcPr>
            <w:tcW w:w="1362" w:type="dxa"/>
            <w:vAlign w:val="center"/>
          </w:tcPr>
          <w:p w14:paraId="3211B818">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default"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考核分数</w:t>
            </w:r>
          </w:p>
        </w:tc>
        <w:tc>
          <w:tcPr>
            <w:tcW w:w="1812" w:type="dxa"/>
            <w:vAlign w:val="center"/>
          </w:tcPr>
          <w:p w14:paraId="23973693">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leftChars="0"/>
              <w:jc w:val="center"/>
              <w:textAlignment w:val="baseline"/>
              <w:rPr>
                <w:rFonts w:hint="default" w:ascii="宋体" w:hAnsi="宋体" w:eastAsia="宋体" w:cs="宋体"/>
                <w:spacing w:val="7"/>
                <w:sz w:val="22"/>
                <w:szCs w:val="22"/>
                <w:lang w:val="en-US" w:eastAsia="zh-CN"/>
              </w:rPr>
            </w:pPr>
            <w:r>
              <w:rPr>
                <w:rFonts w:hint="eastAsia" w:ascii="宋体" w:hAnsi="宋体" w:cs="宋体"/>
                <w:spacing w:val="7"/>
                <w:sz w:val="22"/>
                <w:szCs w:val="22"/>
                <w:lang w:val="en-US" w:eastAsia="zh-CN"/>
              </w:rPr>
              <w:t>分项考核得分</w:t>
            </w:r>
          </w:p>
        </w:tc>
      </w:tr>
      <w:tr w14:paraId="656CF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58" w:type="dxa"/>
            <w:vAlign w:val="center"/>
          </w:tcPr>
          <w:p w14:paraId="57450FA2">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ascii="宋体" w:hAnsi="宋体" w:eastAsia="宋体" w:cs="宋体"/>
                <w:sz w:val="22"/>
                <w:szCs w:val="22"/>
              </w:rPr>
            </w:pPr>
            <w:r>
              <w:rPr>
                <w:rFonts w:ascii="宋体" w:hAnsi="宋体" w:eastAsia="宋体" w:cs="宋体"/>
                <w:sz w:val="22"/>
                <w:szCs w:val="22"/>
              </w:rPr>
              <w:t>1</w:t>
            </w:r>
          </w:p>
        </w:tc>
        <w:tc>
          <w:tcPr>
            <w:tcW w:w="1121" w:type="dxa"/>
            <w:vAlign w:val="center"/>
          </w:tcPr>
          <w:p w14:paraId="26466626">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日常</w:t>
            </w:r>
          </w:p>
          <w:p w14:paraId="7798D358">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管理</w:t>
            </w:r>
          </w:p>
        </w:tc>
        <w:tc>
          <w:tcPr>
            <w:tcW w:w="4931" w:type="dxa"/>
            <w:vAlign w:val="center"/>
          </w:tcPr>
          <w:p w14:paraId="7A6F452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000000"/>
                <w:spacing w:val="17"/>
                <w:kern w:val="0"/>
                <w:sz w:val="22"/>
                <w:szCs w:val="22"/>
                <w:lang w:val="en-US" w:eastAsia="zh-CN"/>
              </w:rPr>
            </w:pPr>
            <w:r>
              <w:rPr>
                <w:rFonts w:hint="eastAsia" w:ascii="宋体" w:hAnsi="宋体" w:eastAsia="宋体" w:cs="宋体"/>
                <w:spacing w:val="3"/>
                <w:sz w:val="22"/>
                <w:szCs w:val="22"/>
                <w:lang w:val="en-US" w:eastAsia="zh-CN"/>
              </w:rPr>
              <w:t>仪容仪表，礼仪礼节，不弄虚作假，服从管理，按中心要求完成日常工作。</w:t>
            </w:r>
          </w:p>
        </w:tc>
        <w:tc>
          <w:tcPr>
            <w:tcW w:w="1362" w:type="dxa"/>
            <w:vAlign w:val="center"/>
          </w:tcPr>
          <w:p w14:paraId="420FA429">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68F7B90E">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5385A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758" w:type="dxa"/>
            <w:vAlign w:val="center"/>
          </w:tcPr>
          <w:p w14:paraId="51C73A36">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121" w:type="dxa"/>
            <w:vAlign w:val="center"/>
          </w:tcPr>
          <w:p w14:paraId="282C1DD9">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巡查</w:t>
            </w:r>
          </w:p>
        </w:tc>
        <w:tc>
          <w:tcPr>
            <w:tcW w:w="4931" w:type="dxa"/>
            <w:vAlign w:val="center"/>
          </w:tcPr>
          <w:p w14:paraId="21CD59A8">
            <w:pPr>
              <w:keepNext w:val="0"/>
              <w:keepLines w:val="0"/>
              <w:pageBreakBefore w:val="0"/>
              <w:widowControl/>
              <w:kinsoku w:val="0"/>
              <w:wordWrap/>
              <w:overflowPunct/>
              <w:topLinePunct w:val="0"/>
              <w:autoSpaceDE w:val="0"/>
              <w:autoSpaceDN w:val="0"/>
              <w:bidi w:val="0"/>
              <w:adjustRightInd w:val="0"/>
              <w:snapToGrid w:val="0"/>
              <w:spacing w:before="181" w:line="360" w:lineRule="auto"/>
              <w:ind w:left="111" w:right="104"/>
              <w:jc w:val="left"/>
              <w:textAlignment w:val="baseline"/>
              <w:rPr>
                <w:rFonts w:ascii="宋体" w:hAnsi="宋体" w:eastAsia="宋体" w:cs="宋体"/>
                <w:sz w:val="22"/>
                <w:szCs w:val="22"/>
              </w:rPr>
            </w:pPr>
            <w:r>
              <w:rPr>
                <w:rFonts w:hint="eastAsia" w:ascii="宋体" w:hAnsi="宋体" w:eastAsia="宋体" w:cs="宋体"/>
                <w:spacing w:val="3"/>
                <w:sz w:val="22"/>
                <w:szCs w:val="22"/>
                <w:lang w:val="en-US" w:eastAsia="zh-CN"/>
              </w:rPr>
              <w:t>设备运行记录、交接班记录、巡查记录、维护和 保养记录务必及时、准确、清晰、完整。记录需有责任人和审核人签字。</w:t>
            </w:r>
          </w:p>
        </w:tc>
        <w:tc>
          <w:tcPr>
            <w:tcW w:w="1362" w:type="dxa"/>
            <w:vAlign w:val="center"/>
          </w:tcPr>
          <w:p w14:paraId="6BA60A40">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812" w:type="dxa"/>
            <w:vAlign w:val="center"/>
          </w:tcPr>
          <w:p w14:paraId="48169F56">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r>
      <w:tr w14:paraId="1E3A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58" w:type="dxa"/>
            <w:vAlign w:val="top"/>
          </w:tcPr>
          <w:p w14:paraId="4D6212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szCs w:val="20"/>
              </w:rPr>
            </w:pPr>
          </w:p>
          <w:p w14:paraId="61690E4A">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p>
        </w:tc>
        <w:tc>
          <w:tcPr>
            <w:tcW w:w="1121" w:type="dxa"/>
            <w:vAlign w:val="center"/>
          </w:tcPr>
          <w:p w14:paraId="30471E54">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报修</w:t>
            </w:r>
          </w:p>
        </w:tc>
        <w:tc>
          <w:tcPr>
            <w:tcW w:w="4931" w:type="dxa"/>
            <w:vAlign w:val="top"/>
          </w:tcPr>
          <w:p w14:paraId="0FE187D9">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eastAsia"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紧急报修，维修人员必须在5分钟内赶到现场；</w:t>
            </w:r>
          </w:p>
          <w:p w14:paraId="632A9B11">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ascii="宋体" w:hAnsi="宋体" w:eastAsia="宋体" w:cs="宋体"/>
                <w:sz w:val="22"/>
                <w:szCs w:val="22"/>
              </w:rPr>
            </w:pPr>
            <w:r>
              <w:rPr>
                <w:rFonts w:hint="eastAsia" w:ascii="宋体" w:hAnsi="宋体" w:eastAsia="宋体" w:cs="宋体"/>
                <w:spacing w:val="3"/>
                <w:sz w:val="22"/>
                <w:szCs w:val="22"/>
                <w:lang w:val="en-US" w:eastAsia="zh-CN"/>
              </w:rPr>
              <w:t>一般报修，维修人员必须在10分钟内赶到现场。</w:t>
            </w:r>
          </w:p>
        </w:tc>
        <w:tc>
          <w:tcPr>
            <w:tcW w:w="1362" w:type="dxa"/>
            <w:vAlign w:val="center"/>
          </w:tcPr>
          <w:p w14:paraId="4B99745F">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69D7294A">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r>
      <w:tr w14:paraId="5A37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758" w:type="dxa"/>
            <w:vAlign w:val="center"/>
          </w:tcPr>
          <w:p w14:paraId="485FD26A">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4</w:t>
            </w:r>
          </w:p>
        </w:tc>
        <w:tc>
          <w:tcPr>
            <w:tcW w:w="1121" w:type="dxa"/>
            <w:vAlign w:val="center"/>
          </w:tcPr>
          <w:p w14:paraId="3DD87117">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设施</w:t>
            </w:r>
          </w:p>
          <w:p w14:paraId="72F60DB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设备</w:t>
            </w:r>
          </w:p>
        </w:tc>
        <w:tc>
          <w:tcPr>
            <w:tcW w:w="4931" w:type="dxa"/>
            <w:vAlign w:val="top"/>
          </w:tcPr>
          <w:p w14:paraId="1E876ED6">
            <w:pPr>
              <w:keepNext w:val="0"/>
              <w:keepLines w:val="0"/>
              <w:pageBreakBefore w:val="0"/>
              <w:widowControl/>
              <w:kinsoku w:val="0"/>
              <w:wordWrap/>
              <w:overflowPunct/>
              <w:topLinePunct w:val="0"/>
              <w:autoSpaceDE w:val="0"/>
              <w:autoSpaceDN w:val="0"/>
              <w:bidi w:val="0"/>
              <w:adjustRightInd w:val="0"/>
              <w:snapToGrid w:val="0"/>
              <w:spacing w:before="1" w:line="360" w:lineRule="auto"/>
              <w:jc w:val="left"/>
              <w:textAlignment w:val="baseline"/>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熟悉中心内每个设施设备，建筑物构筑物，做好日常巡查维护工作。</w:t>
            </w:r>
          </w:p>
        </w:tc>
        <w:tc>
          <w:tcPr>
            <w:tcW w:w="1362" w:type="dxa"/>
            <w:vAlign w:val="center"/>
          </w:tcPr>
          <w:p w14:paraId="31BF23AB">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442B28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247E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58" w:type="dxa"/>
            <w:vAlign w:val="center"/>
          </w:tcPr>
          <w:p w14:paraId="4B21D169">
            <w:pPr>
              <w:keepNext w:val="0"/>
              <w:keepLines w:val="0"/>
              <w:pageBreakBefore w:val="0"/>
              <w:widowControl/>
              <w:kinsoku w:val="0"/>
              <w:wordWrap/>
              <w:overflowPunct/>
              <w:topLinePunct w:val="0"/>
              <w:autoSpaceDE w:val="0"/>
              <w:autoSpaceDN w:val="0"/>
              <w:bidi w:val="0"/>
              <w:adjustRightInd w:val="0"/>
              <w:snapToGrid w:val="0"/>
              <w:spacing w:before="78" w:line="360" w:lineRule="auto"/>
              <w:ind w:left="304"/>
              <w:jc w:val="both"/>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1121" w:type="dxa"/>
            <w:vAlign w:val="center"/>
          </w:tcPr>
          <w:p w14:paraId="78749947">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重要</w:t>
            </w:r>
          </w:p>
          <w:p w14:paraId="1281624A">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接到</w:t>
            </w:r>
          </w:p>
        </w:tc>
        <w:tc>
          <w:tcPr>
            <w:tcW w:w="4931" w:type="dxa"/>
            <w:vAlign w:val="top"/>
          </w:tcPr>
          <w:p w14:paraId="708B1B1A">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left"/>
              <w:textAlignment w:val="baseline"/>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除日常公益课，是否每周展开安全巡查工作，发现隐患及时上报，服从上级领导指挥，遇突发事件是否按应急预案完成。</w:t>
            </w:r>
          </w:p>
        </w:tc>
        <w:tc>
          <w:tcPr>
            <w:tcW w:w="1362" w:type="dxa"/>
            <w:vAlign w:val="center"/>
          </w:tcPr>
          <w:p w14:paraId="42D38265">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812" w:type="dxa"/>
            <w:vAlign w:val="center"/>
          </w:tcPr>
          <w:p w14:paraId="668580A2">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r>
      <w:tr w14:paraId="3AB79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9984" w:type="dxa"/>
            <w:gridSpan w:val="5"/>
            <w:vAlign w:val="center"/>
          </w:tcPr>
          <w:p w14:paraId="39580A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2"/>
                <w:szCs w:val="22"/>
              </w:rPr>
            </w:pPr>
            <w:r>
              <w:rPr>
                <w:rFonts w:ascii="宋体" w:hAnsi="宋体" w:eastAsia="宋体" w:cs="宋体"/>
                <w:b/>
                <w:bCs/>
                <w:spacing w:val="-3"/>
                <w:sz w:val="22"/>
                <w:szCs w:val="22"/>
              </w:rPr>
              <w:t>(</w:t>
            </w:r>
            <w:r>
              <w:rPr>
                <w:rFonts w:hint="eastAsia" w:ascii="宋体" w:hAnsi="宋体" w:eastAsia="宋体" w:cs="宋体"/>
                <w:b/>
                <w:bCs/>
                <w:spacing w:val="-3"/>
                <w:sz w:val="22"/>
                <w:szCs w:val="22"/>
                <w:lang w:val="en-US" w:eastAsia="zh-CN"/>
              </w:rPr>
              <w:t>四</w:t>
            </w:r>
            <w:r>
              <w:rPr>
                <w:rFonts w:ascii="宋体" w:hAnsi="宋体" w:eastAsia="宋体" w:cs="宋体"/>
                <w:b/>
                <w:bCs/>
                <w:spacing w:val="-3"/>
                <w:sz w:val="22"/>
                <w:szCs w:val="22"/>
              </w:rPr>
              <w:t>)</w:t>
            </w:r>
            <w:r>
              <w:rPr>
                <w:rFonts w:hint="eastAsia" w:ascii="宋体" w:hAnsi="宋体" w:eastAsia="宋体" w:cs="宋体"/>
                <w:b/>
                <w:bCs/>
                <w:spacing w:val="-3"/>
                <w:sz w:val="22"/>
                <w:szCs w:val="22"/>
                <w:lang w:val="en-US" w:eastAsia="zh-CN"/>
              </w:rPr>
              <w:t>物业服务中心</w:t>
            </w:r>
            <w:r>
              <w:rPr>
                <w:rFonts w:ascii="宋体" w:hAnsi="宋体" w:eastAsia="宋体" w:cs="宋体"/>
                <w:b/>
                <w:bCs/>
                <w:spacing w:val="-3"/>
                <w:sz w:val="22"/>
                <w:szCs w:val="22"/>
              </w:rPr>
              <w:t>工作检查考核评分表</w:t>
            </w:r>
            <w:r>
              <w:rPr>
                <w:rFonts w:hint="eastAsia" w:ascii="宋体" w:hAnsi="宋体" w:eastAsia="宋体" w:cs="宋体"/>
                <w:b/>
                <w:bCs/>
                <w:spacing w:val="-3"/>
                <w:sz w:val="22"/>
                <w:szCs w:val="22"/>
                <w:lang w:val="en-US" w:eastAsia="zh-CN"/>
              </w:rPr>
              <w:t>加分项</w:t>
            </w:r>
          </w:p>
        </w:tc>
      </w:tr>
      <w:tr w14:paraId="463E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58" w:type="dxa"/>
            <w:vAlign w:val="center"/>
          </w:tcPr>
          <w:p w14:paraId="78C6066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ascii="宋体" w:hAnsi="宋体" w:eastAsia="宋体" w:cs="宋体"/>
                <w:spacing w:val="7"/>
                <w:sz w:val="22"/>
                <w:szCs w:val="22"/>
              </w:rPr>
              <w:t>序号</w:t>
            </w:r>
          </w:p>
        </w:tc>
        <w:tc>
          <w:tcPr>
            <w:tcW w:w="1121" w:type="dxa"/>
            <w:vAlign w:val="center"/>
          </w:tcPr>
          <w:p w14:paraId="3F1607B6">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事项</w:t>
            </w:r>
          </w:p>
        </w:tc>
        <w:tc>
          <w:tcPr>
            <w:tcW w:w="4931" w:type="dxa"/>
            <w:vAlign w:val="center"/>
          </w:tcPr>
          <w:p w14:paraId="58EB029E">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ascii="宋体" w:hAnsi="宋体" w:eastAsia="宋体" w:cs="宋体"/>
                <w:spacing w:val="7"/>
                <w:sz w:val="22"/>
                <w:szCs w:val="22"/>
              </w:rPr>
              <w:t>考核内容</w:t>
            </w:r>
          </w:p>
        </w:tc>
        <w:tc>
          <w:tcPr>
            <w:tcW w:w="1362" w:type="dxa"/>
            <w:vAlign w:val="center"/>
          </w:tcPr>
          <w:p w14:paraId="4B5EC0EA">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eastAsia="宋体" w:cs="宋体"/>
                <w:spacing w:val="7"/>
                <w:sz w:val="22"/>
                <w:szCs w:val="22"/>
                <w:lang w:val="en-US" w:eastAsia="zh-CN"/>
              </w:rPr>
              <w:t>考核分数</w:t>
            </w:r>
          </w:p>
        </w:tc>
        <w:tc>
          <w:tcPr>
            <w:tcW w:w="1812" w:type="dxa"/>
            <w:vAlign w:val="center"/>
          </w:tcPr>
          <w:p w14:paraId="0D83CE5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125"/>
              <w:jc w:val="center"/>
              <w:textAlignment w:val="baseline"/>
              <w:rPr>
                <w:rFonts w:hint="eastAsia" w:ascii="宋体" w:hAnsi="宋体" w:eastAsia="宋体" w:cs="宋体"/>
                <w:spacing w:val="7"/>
                <w:sz w:val="22"/>
                <w:szCs w:val="22"/>
                <w:lang w:val="en-US" w:eastAsia="zh-CN"/>
              </w:rPr>
            </w:pPr>
            <w:r>
              <w:rPr>
                <w:rFonts w:hint="eastAsia" w:ascii="宋体" w:hAnsi="宋体" w:cs="宋体"/>
                <w:spacing w:val="7"/>
                <w:sz w:val="22"/>
                <w:szCs w:val="22"/>
                <w:lang w:val="en-US" w:eastAsia="zh-CN"/>
              </w:rPr>
              <w:t>分项考核得分</w:t>
            </w:r>
          </w:p>
        </w:tc>
      </w:tr>
      <w:tr w14:paraId="33DD4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58" w:type="dxa"/>
            <w:vAlign w:val="center"/>
          </w:tcPr>
          <w:p w14:paraId="531270AD">
            <w:pPr>
              <w:keepNext w:val="0"/>
              <w:keepLines w:val="0"/>
              <w:pageBreakBefore w:val="0"/>
              <w:widowControl/>
              <w:kinsoku w:val="0"/>
              <w:wordWrap/>
              <w:overflowPunct/>
              <w:topLinePunct w:val="0"/>
              <w:autoSpaceDE w:val="0"/>
              <w:autoSpaceDN w:val="0"/>
              <w:bidi w:val="0"/>
              <w:adjustRightInd w:val="0"/>
              <w:snapToGrid w:val="0"/>
              <w:spacing w:before="298" w:line="360" w:lineRule="auto"/>
              <w:ind w:left="245" w:leftChars="0"/>
              <w:jc w:val="both"/>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w:t>
            </w:r>
          </w:p>
        </w:tc>
        <w:tc>
          <w:tcPr>
            <w:tcW w:w="1121" w:type="dxa"/>
            <w:vAlign w:val="top"/>
          </w:tcPr>
          <w:p w14:paraId="6573B477">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综合</w:t>
            </w:r>
          </w:p>
          <w:p w14:paraId="5C8DAC58">
            <w:pPr>
              <w:keepNext w:val="0"/>
              <w:keepLines w:val="0"/>
              <w:pageBreakBefore w:val="0"/>
              <w:widowControl/>
              <w:kinsoku w:val="0"/>
              <w:wordWrap/>
              <w:overflowPunct/>
              <w:topLinePunct w:val="0"/>
              <w:autoSpaceDE w:val="0"/>
              <w:autoSpaceDN w:val="0"/>
              <w:bidi w:val="0"/>
              <w:adjustRightInd w:val="0"/>
              <w:snapToGrid w:val="0"/>
              <w:spacing w:line="360" w:lineRule="auto"/>
              <w:ind w:left="341"/>
              <w:jc w:val="left"/>
              <w:textAlignment w:val="baseline"/>
              <w:rPr>
                <w:rFonts w:hint="eastAsia" w:ascii="宋体" w:hAnsi="宋体" w:eastAsia="宋体" w:cs="宋体"/>
                <w:snapToGrid w:val="0"/>
                <w:color w:val="000000"/>
                <w:spacing w:val="7"/>
                <w:kern w:val="0"/>
                <w:sz w:val="22"/>
                <w:szCs w:val="22"/>
                <w:lang w:val="en-US" w:eastAsia="zh-CN"/>
              </w:rPr>
            </w:pPr>
            <w:r>
              <w:rPr>
                <w:rFonts w:hint="eastAsia" w:ascii="宋体" w:hAnsi="宋体" w:eastAsia="宋体" w:cs="宋体"/>
                <w:sz w:val="22"/>
                <w:szCs w:val="22"/>
                <w:lang w:val="en-US" w:eastAsia="zh-CN"/>
              </w:rPr>
              <w:t>管理</w:t>
            </w:r>
          </w:p>
        </w:tc>
        <w:tc>
          <w:tcPr>
            <w:tcW w:w="4931" w:type="dxa"/>
            <w:vAlign w:val="top"/>
          </w:tcPr>
          <w:p w14:paraId="32C9F681">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11" w:leftChars="0"/>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是否做好中心服务，态度端正，综合素质高，沟通顺畅，办事效率高。</w:t>
            </w:r>
          </w:p>
        </w:tc>
        <w:tc>
          <w:tcPr>
            <w:tcW w:w="1362" w:type="dxa"/>
            <w:vAlign w:val="center"/>
          </w:tcPr>
          <w:p w14:paraId="65450B9B">
            <w:pPr>
              <w:keepNext w:val="0"/>
              <w:keepLines w:val="0"/>
              <w:pageBreakBefore w:val="0"/>
              <w:widowControl/>
              <w:kinsoku w:val="0"/>
              <w:wordWrap/>
              <w:overflowPunct/>
              <w:topLinePunct w:val="0"/>
              <w:autoSpaceDE w:val="0"/>
              <w:autoSpaceDN w:val="0"/>
              <w:bidi w:val="0"/>
              <w:adjustRightInd w:val="0"/>
              <w:snapToGrid w:val="0"/>
              <w:spacing w:before="226" w:line="360" w:lineRule="auto"/>
              <w:ind w:left="116" w:leftChars="0"/>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10</w:t>
            </w:r>
          </w:p>
        </w:tc>
        <w:tc>
          <w:tcPr>
            <w:tcW w:w="1812" w:type="dxa"/>
            <w:vAlign w:val="center"/>
          </w:tcPr>
          <w:p w14:paraId="2304E05B">
            <w:pPr>
              <w:keepNext w:val="0"/>
              <w:keepLines w:val="0"/>
              <w:pageBreakBefore w:val="0"/>
              <w:widowControl/>
              <w:kinsoku w:val="0"/>
              <w:wordWrap/>
              <w:overflowPunct/>
              <w:topLinePunct w:val="0"/>
              <w:autoSpaceDE w:val="0"/>
              <w:autoSpaceDN w:val="0"/>
              <w:bidi w:val="0"/>
              <w:adjustRightInd w:val="0"/>
              <w:snapToGrid w:val="0"/>
              <w:spacing w:before="226" w:line="360" w:lineRule="auto"/>
              <w:ind w:left="116" w:leftChars="0"/>
              <w:jc w:val="center"/>
              <w:textAlignment w:val="baseline"/>
              <w:rPr>
                <w:rFonts w:hint="default" w:ascii="宋体" w:hAnsi="宋体" w:eastAsia="宋体" w:cs="宋体"/>
                <w:snapToGrid w:val="0"/>
                <w:color w:val="000000"/>
                <w:kern w:val="0"/>
                <w:sz w:val="22"/>
                <w:szCs w:val="22"/>
                <w:lang w:val="en-US" w:eastAsia="zh-CN"/>
              </w:rPr>
            </w:pPr>
            <w:r>
              <w:rPr>
                <w:rFonts w:hint="eastAsia" w:ascii="宋体" w:hAnsi="宋体" w:cs="宋体"/>
                <w:snapToGrid w:val="0"/>
                <w:color w:val="000000"/>
                <w:kern w:val="0"/>
                <w:sz w:val="22"/>
                <w:szCs w:val="22"/>
                <w:lang w:val="en-US" w:eastAsia="zh-CN"/>
              </w:rPr>
              <w:t>7</w:t>
            </w:r>
          </w:p>
        </w:tc>
      </w:tr>
      <w:tr w14:paraId="48CB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810" w:type="dxa"/>
            <w:gridSpan w:val="3"/>
            <w:vAlign w:val="center"/>
          </w:tcPr>
          <w:p w14:paraId="3EB0D3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3"/>
                <w:sz w:val="22"/>
                <w:szCs w:val="22"/>
                <w:lang w:val="en-US" w:eastAsia="zh-CN"/>
              </w:rPr>
            </w:pPr>
            <w:r>
              <w:rPr>
                <w:rFonts w:hint="eastAsia" w:ascii="宋体" w:hAnsi="宋体" w:eastAsia="宋体" w:cs="宋体"/>
                <w:b/>
                <w:bCs/>
                <w:spacing w:val="-3"/>
                <w:sz w:val="22"/>
                <w:szCs w:val="22"/>
                <w:lang w:val="en-US" w:eastAsia="zh-CN"/>
              </w:rPr>
              <w:t>（五）中心综合总评分</w:t>
            </w:r>
          </w:p>
        </w:tc>
        <w:tc>
          <w:tcPr>
            <w:tcW w:w="1362" w:type="dxa"/>
            <w:vAlign w:val="center"/>
          </w:tcPr>
          <w:p w14:paraId="6DC8F4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bCs/>
                <w:spacing w:val="-3"/>
                <w:sz w:val="22"/>
                <w:szCs w:val="22"/>
                <w:lang w:val="en-US" w:eastAsia="zh-CN"/>
              </w:rPr>
            </w:pPr>
            <w:r>
              <w:rPr>
                <w:rFonts w:hint="eastAsia" w:ascii="宋体" w:hAnsi="宋体" w:eastAsia="宋体" w:cs="宋体"/>
                <w:sz w:val="22"/>
                <w:szCs w:val="22"/>
                <w:lang w:val="en-US" w:eastAsia="zh-CN"/>
              </w:rPr>
              <w:t>100</w:t>
            </w:r>
          </w:p>
        </w:tc>
        <w:tc>
          <w:tcPr>
            <w:tcW w:w="1812" w:type="dxa"/>
            <w:vAlign w:val="center"/>
          </w:tcPr>
          <w:p w14:paraId="57DDE0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b/>
                <w:bCs/>
                <w:spacing w:val="-3"/>
                <w:sz w:val="22"/>
                <w:szCs w:val="22"/>
                <w:lang w:val="en-US" w:eastAsia="zh-CN"/>
              </w:rPr>
            </w:pPr>
            <w:r>
              <w:rPr>
                <w:rFonts w:hint="eastAsia" w:ascii="宋体" w:hAnsi="宋体" w:cs="宋体"/>
                <w:b/>
                <w:bCs/>
                <w:spacing w:val="-3"/>
                <w:sz w:val="22"/>
                <w:szCs w:val="22"/>
                <w:lang w:val="en-US" w:eastAsia="zh-CN"/>
              </w:rPr>
              <w:t xml:space="preserve">87                                                                 </w:t>
            </w:r>
          </w:p>
        </w:tc>
      </w:tr>
    </w:tbl>
    <w:p w14:paraId="27A84326">
      <w:pPr>
        <w:rPr>
          <w:rFonts w:hint="default"/>
          <w:lang w:val="en-US" w:eastAsia="zh-CN"/>
        </w:rPr>
      </w:pPr>
      <w:r>
        <w:br w:type="page"/>
      </w:r>
    </w:p>
    <w:p w14:paraId="08AE0B21">
      <w:pPr>
        <w:pStyle w:val="2"/>
        <w:numPr>
          <w:ilvl w:val="0"/>
          <w:numId w:val="1"/>
        </w:numPr>
        <w:bidi w:val="0"/>
        <w:rPr>
          <w:rFonts w:hint="default"/>
          <w:lang w:val="en-US" w:eastAsia="zh-CN"/>
        </w:rPr>
      </w:pPr>
      <w:r>
        <w:t>商务要求</w:t>
      </w:r>
    </w:p>
    <w:p w14:paraId="15665667">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一、服务期及服务地点</w:t>
      </w:r>
    </w:p>
    <w:p w14:paraId="68FEEFC1">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服务期：</w:t>
      </w:r>
      <w:r>
        <w:rPr>
          <w:rFonts w:hint="eastAsia" w:ascii="仿宋" w:hAnsi="仿宋" w:eastAsia="仿宋" w:cs="仿宋"/>
          <w:color w:val="auto"/>
          <w:kern w:val="1"/>
          <w:sz w:val="32"/>
          <w:szCs w:val="32"/>
          <w:highlight w:val="none"/>
        </w:rPr>
        <w:t>2025年至2026年（</w:t>
      </w:r>
      <w:r>
        <w:rPr>
          <w:rFonts w:hint="eastAsia" w:ascii="仿宋" w:hAnsi="仿宋" w:eastAsia="仿宋" w:cs="仿宋"/>
          <w:color w:val="auto"/>
          <w:kern w:val="1"/>
          <w:sz w:val="32"/>
          <w:szCs w:val="32"/>
          <w:highlight w:val="none"/>
          <w:lang w:val="en-US" w:eastAsia="zh-CN"/>
        </w:rPr>
        <w:t>从签订合同之日计算</w:t>
      </w:r>
      <w:r>
        <w:rPr>
          <w:rFonts w:hint="eastAsia" w:ascii="仿宋" w:hAnsi="仿宋" w:eastAsia="仿宋" w:cs="仿宋"/>
          <w:color w:val="auto"/>
          <w:kern w:val="1"/>
          <w:sz w:val="32"/>
          <w:szCs w:val="32"/>
          <w:highlight w:val="none"/>
        </w:rPr>
        <w:t>壹年）</w:t>
      </w:r>
      <w:r>
        <w:rPr>
          <w:rFonts w:hint="eastAsia" w:ascii="仿宋" w:hAnsi="仿宋" w:eastAsia="仿宋" w:cs="仿宋"/>
          <w:bCs/>
          <w:snapToGrid/>
          <w:color w:val="auto"/>
          <w:kern w:val="2"/>
          <w:sz w:val="32"/>
          <w:szCs w:val="32"/>
          <w:highlight w:val="none"/>
          <w:lang w:val="en-US" w:eastAsia="zh-CN" w:bidi="ar-SA"/>
        </w:rPr>
        <w:t>。</w:t>
      </w:r>
    </w:p>
    <w:p w14:paraId="3D04899B">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服务地点：</w:t>
      </w:r>
      <w:r>
        <w:rPr>
          <w:rFonts w:hint="eastAsia" w:ascii="仿宋" w:hAnsi="仿宋" w:eastAsia="仿宋" w:cs="仿宋"/>
          <w:color w:val="auto"/>
          <w:sz w:val="32"/>
          <w:szCs w:val="32"/>
          <w:highlight w:val="none"/>
          <w:lang w:eastAsia="zh-CN"/>
        </w:rPr>
        <w:t>贵阳市妇女儿童活动中心</w:t>
      </w:r>
      <w:r>
        <w:rPr>
          <w:rFonts w:hint="eastAsia" w:ascii="仿宋" w:hAnsi="仿宋" w:eastAsia="仿宋" w:cs="仿宋"/>
          <w:snapToGrid/>
          <w:color w:val="auto"/>
          <w:kern w:val="2"/>
          <w:sz w:val="32"/>
          <w:szCs w:val="32"/>
          <w:highlight w:val="none"/>
          <w:lang w:val="en-US" w:eastAsia="zh-CN" w:bidi="ar-SA"/>
        </w:rPr>
        <w:t>。</w:t>
      </w:r>
    </w:p>
    <w:p w14:paraId="2DD7516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二、验收标准、规范</w:t>
      </w:r>
    </w:p>
    <w:p w14:paraId="74F7A782">
      <w:pPr>
        <w:widowControl w:val="0"/>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按照采购文件要求及国家、行业相关规范及《贵州省物业管理条例》执行。</w:t>
      </w:r>
    </w:p>
    <w:p w14:paraId="550469F1">
      <w:pPr>
        <w:widowControl w:val="0"/>
        <w:numPr>
          <w:ilvl w:val="0"/>
          <w:numId w:val="0"/>
        </w:numPr>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三、付款方式</w:t>
      </w:r>
    </w:p>
    <w:p w14:paraId="453B034C">
      <w:pPr>
        <w:keepNext w:val="0"/>
        <w:keepLines w:val="0"/>
        <w:widowControl w:val="0"/>
        <w:suppressLineNumbers w:val="0"/>
        <w:spacing w:before="0" w:beforeAutospacing="0" w:after="0" w:afterAutospacing="0"/>
        <w:ind w:left="0" w:right="0" w:firstLine="320" w:firstLineChars="100"/>
        <w:jc w:val="both"/>
      </w:pPr>
      <w:r>
        <w:rPr>
          <w:rFonts w:hint="eastAsia" w:ascii="仿宋" w:hAnsi="仿宋" w:eastAsia="仿宋" w:cs="仿宋"/>
          <w:bCs/>
          <w:kern w:val="2"/>
          <w:sz w:val="32"/>
          <w:szCs w:val="32"/>
          <w:lang w:val="en-US" w:eastAsia="zh-CN" w:bidi="ar"/>
        </w:rPr>
        <w:t>1.</w:t>
      </w:r>
      <w:r>
        <w:rPr>
          <w:rFonts w:hint="eastAsia" w:ascii="仿宋" w:hAnsi="仿宋" w:eastAsia="仿宋" w:cs="仿宋"/>
          <w:kern w:val="2"/>
          <w:sz w:val="32"/>
          <w:szCs w:val="32"/>
          <w:lang w:val="en-US" w:eastAsia="zh-CN" w:bidi="ar"/>
        </w:rPr>
        <w:t>本项目无预付款，按季度结算，每个季度款项于次月结算支付，具体支付时间合同中约定，支付前采购人对该季度服务质量、满意率进行综合考核，根据考核结果支付相应服务费用</w:t>
      </w:r>
      <w:r>
        <w:rPr>
          <w:rFonts w:hint="eastAsia" w:ascii="仿宋" w:hAnsi="仿宋" w:eastAsia="仿宋" w:cs="仿宋"/>
          <w:bCs/>
          <w:kern w:val="2"/>
          <w:sz w:val="32"/>
          <w:szCs w:val="32"/>
          <w:lang w:val="en-US" w:eastAsia="zh-CN" w:bidi="ar"/>
        </w:rPr>
        <w:t>。</w:t>
      </w:r>
    </w:p>
    <w:p w14:paraId="00058922">
      <w:pPr>
        <w:keepNext w:val="0"/>
        <w:keepLines w:val="0"/>
        <w:widowControl w:val="0"/>
        <w:suppressLineNumbers w:val="0"/>
        <w:spacing w:before="0" w:beforeAutospacing="0" w:after="0" w:afterAutospacing="0"/>
        <w:ind w:left="0" w:right="0" w:firstLine="320" w:firstLineChars="100"/>
        <w:jc w:val="both"/>
      </w:pPr>
      <w:r>
        <w:rPr>
          <w:rFonts w:hint="eastAsia" w:ascii="仿宋_GB2312" w:hAnsi="Calibri" w:eastAsia="仿宋_GB2312" w:cs="仿宋_GB2312"/>
          <w:kern w:val="2"/>
          <w:sz w:val="32"/>
          <w:szCs w:val="32"/>
          <w:lang w:val="en-US" w:eastAsia="zh-CN" w:bidi="ar"/>
        </w:rPr>
        <w:t>2、奖励考评采取100分制，从各项工作的运行情况对应相应分值进行考评。（详见附件考核评定表）。</w:t>
      </w:r>
    </w:p>
    <w:p w14:paraId="3F9FBEA3">
      <w:pPr>
        <w:keepNext w:val="0"/>
        <w:keepLines w:val="0"/>
        <w:widowControl w:val="0"/>
        <w:suppressLineNumbers w:val="0"/>
        <w:spacing w:before="0" w:beforeAutospacing="0" w:after="0" w:afterAutospacing="0"/>
        <w:ind w:left="0" w:right="0" w:firstLine="320" w:firstLineChars="1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 xml:space="preserve">3、考核分数为90分及以上则支付上季度全部费用； </w:t>
      </w:r>
    </w:p>
    <w:p w14:paraId="7C8ED081">
      <w:pPr>
        <w:keepNext w:val="0"/>
        <w:keepLines w:val="0"/>
        <w:widowControl w:val="0"/>
        <w:suppressLineNumbers w:val="0"/>
        <w:spacing w:before="0" w:beforeAutospacing="0" w:after="0" w:afterAutospacing="0"/>
        <w:ind w:left="0" w:right="0" w:firstLine="320" w:firstLineChars="1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4、考核分数为80分-90分（不含90分）扣减季度费用的2%支付；</w:t>
      </w:r>
    </w:p>
    <w:p w14:paraId="1515CF06">
      <w:pPr>
        <w:keepNext w:val="0"/>
        <w:keepLines w:val="0"/>
        <w:widowControl w:val="0"/>
        <w:suppressLineNumbers w:val="0"/>
        <w:spacing w:before="0" w:beforeAutospacing="0" w:after="0" w:afterAutospacing="0"/>
        <w:ind w:left="0" w:right="0" w:firstLine="320" w:firstLineChars="1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5、考核分数为70分</w:t>
      </w:r>
      <w:bookmarkStart w:id="0" w:name="_GoBack"/>
      <w:r>
        <w:rPr>
          <w:rFonts w:hint="eastAsia" w:ascii="仿宋" w:hAnsi="仿宋" w:eastAsia="仿宋" w:cs="仿宋"/>
          <w:bCs/>
          <w:kern w:val="2"/>
          <w:sz w:val="32"/>
          <w:szCs w:val="32"/>
          <w:lang w:val="en-US" w:eastAsia="zh-CN" w:bidi="ar"/>
        </w:rPr>
        <w:t>-</w:t>
      </w:r>
      <w:bookmarkEnd w:id="0"/>
      <w:r>
        <w:rPr>
          <w:rFonts w:hint="eastAsia" w:ascii="仿宋" w:hAnsi="仿宋" w:eastAsia="仿宋" w:cs="仿宋"/>
          <w:bCs/>
          <w:kern w:val="2"/>
          <w:sz w:val="32"/>
          <w:szCs w:val="32"/>
          <w:lang w:val="en-US" w:eastAsia="zh-CN" w:bidi="ar"/>
        </w:rPr>
        <w:t>80分（不含80分），扣减上季度费用的5%支付；</w:t>
      </w:r>
    </w:p>
    <w:p w14:paraId="598C5224">
      <w:pPr>
        <w:keepNext w:val="0"/>
        <w:keepLines w:val="0"/>
        <w:widowControl w:val="0"/>
        <w:suppressLineNumbers w:val="0"/>
        <w:spacing w:before="0" w:beforeAutospacing="0" w:after="0" w:afterAutospacing="0"/>
        <w:ind w:left="0" w:right="0" w:firstLine="320" w:firstLineChars="1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6、考核分值在69分及以下，暂不支付被考核季度费用，供应商在整改后，采购人支付供应商该季度结算费用的70%；</w:t>
      </w:r>
    </w:p>
    <w:p w14:paraId="4D398680">
      <w:pPr>
        <w:keepNext w:val="0"/>
        <w:keepLines w:val="0"/>
        <w:widowControl w:val="0"/>
        <w:suppressLineNumbers w:val="0"/>
        <w:spacing w:before="0" w:beforeAutospacing="0" w:after="0" w:afterAutospacing="0"/>
        <w:ind w:left="0" w:right="0" w:firstLine="320" w:firstLineChars="100"/>
        <w:jc w:val="both"/>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7、考核一个年度内累积2个季度69分及以下，采购人有权单方解除合同。</w:t>
      </w:r>
    </w:p>
    <w:p w14:paraId="01B4A331">
      <w:pPr>
        <w:widowControl w:val="0"/>
        <w:numPr>
          <w:ilvl w:val="0"/>
          <w:numId w:val="0"/>
        </w:numPr>
        <w:kinsoku/>
        <w:autoSpaceDE/>
        <w:autoSpaceDN/>
        <w:adjustRightInd/>
        <w:snapToGrid/>
        <w:spacing w:before="0" w:beforeAutospacing="0" w:after="0" w:afterAutospacing="0" w:line="360" w:lineRule="auto"/>
        <w:ind w:firstLine="640" w:firstLineChars="200"/>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kern w:val="2"/>
          <w:sz w:val="32"/>
          <w:szCs w:val="32"/>
          <w:lang w:val="en-US" w:eastAsia="zh-CN" w:bidi="ar"/>
        </w:rPr>
        <w:t>8.考核内容具体详见考核表</w:t>
      </w:r>
      <w:r>
        <w:rPr>
          <w:rFonts w:hint="eastAsia" w:ascii="仿宋" w:hAnsi="仿宋" w:eastAsia="仿宋" w:cs="仿宋"/>
          <w:bCs/>
          <w:snapToGrid/>
          <w:color w:val="auto"/>
          <w:kern w:val="2"/>
          <w:sz w:val="32"/>
          <w:szCs w:val="32"/>
          <w:highlight w:val="none"/>
          <w:lang w:val="en-US" w:eastAsia="zh-CN" w:bidi="ar-SA"/>
        </w:rPr>
        <w:t>。</w:t>
      </w:r>
    </w:p>
    <w:p w14:paraId="20A0BE70">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四、投标有效期：</w:t>
      </w:r>
      <w:r>
        <w:rPr>
          <w:rFonts w:hint="eastAsia" w:ascii="仿宋" w:hAnsi="仿宋" w:eastAsia="仿宋" w:cs="仿宋"/>
          <w:snapToGrid/>
          <w:color w:val="auto"/>
          <w:kern w:val="2"/>
          <w:sz w:val="32"/>
          <w:szCs w:val="32"/>
          <w:highlight w:val="none"/>
          <w:lang w:val="en-US" w:eastAsia="zh-CN" w:bidi="ar-SA"/>
        </w:rPr>
        <w:t>90日历天</w:t>
      </w:r>
    </w:p>
    <w:p w14:paraId="0BE5BAE6">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五、履约保证金：不要求</w:t>
      </w:r>
    </w:p>
    <w:p w14:paraId="2DECFEA9">
      <w:pPr>
        <w:widowControl w:val="0"/>
        <w:kinsoku/>
        <w:autoSpaceDE/>
        <w:autoSpaceDN/>
        <w:adjustRightInd/>
        <w:snapToGrid/>
        <w:spacing w:before="0" w:beforeAutospacing="0" w:after="0" w:afterAutospacing="0" w:line="360" w:lineRule="auto"/>
        <w:jc w:val="left"/>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bCs/>
          <w:snapToGrid/>
          <w:color w:val="auto"/>
          <w:kern w:val="2"/>
          <w:sz w:val="32"/>
          <w:szCs w:val="32"/>
          <w:highlight w:val="none"/>
          <w:lang w:val="en-US" w:eastAsia="zh-CN" w:bidi="ar-SA"/>
        </w:rPr>
        <w:t>六、其他要求</w:t>
      </w:r>
    </w:p>
    <w:p w14:paraId="20F9B8F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1.服务人员在岗履行工作职责期间，发生自身的人身伤害、伤亡及造成第三方的侵权责任、伤害均由供应商负责处理并承担经济和法律上的责任，招标人不承担任何责任。（提交承诺函（格式自拟），承诺函必须由法定代表人亲笔签字（或盖法定代表人印章）并加盖投标人法人章（公章）。）</w:t>
      </w:r>
    </w:p>
    <w:p w14:paraId="717D5B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2供应商违反国家相关法规，与聘用人员发生纠纷，均由供应商负责调解与处理，招标人不承担责任。（提交承诺函（格式自拟），承诺函必须由法定代表人亲笔签字（或盖法定代表人印章）并加盖投标人法人章（公章）。）</w:t>
      </w:r>
    </w:p>
    <w:p w14:paraId="37117A9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3.供应商的本次投标报价包含但不限于服务人员的薪金、福利、休假日补贴、医疗费用、服务人员服装、社保、企业税金、利润等一切费用。</w:t>
      </w:r>
    </w:p>
    <w:p w14:paraId="03AD0FD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4.开标后，采购人有权核实投标人提交的各项资料，供应商必须无条件响应招标人该要求，如不响应该要求或发现有弄虚作假，采购人将报财政主管部门取消其中标资格。</w:t>
      </w:r>
    </w:p>
    <w:p w14:paraId="2FFA02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snapToGrid/>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5.本次物业服务人员现场管理由中心调配和安排。</w:t>
      </w:r>
    </w:p>
    <w:p w14:paraId="5BA376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napToGrid/>
          <w:color w:val="auto"/>
          <w:kern w:val="2"/>
          <w:sz w:val="32"/>
          <w:szCs w:val="32"/>
          <w:highlight w:val="none"/>
          <w:lang w:val="en-US" w:eastAsia="zh-CN" w:bidi="ar-SA"/>
        </w:rPr>
        <w:t>6.其他未尽事宜，待中标签约时双方再议</w:t>
      </w:r>
      <w:r>
        <w:rPr>
          <w:rFonts w:hint="eastAsia" w:ascii="仿宋" w:hAnsi="仿宋" w:eastAsia="仿宋" w:cs="仿宋"/>
          <w:color w:val="auto"/>
          <w:kern w:val="2"/>
          <w:sz w:val="32"/>
          <w:szCs w:val="32"/>
          <w:highlight w:val="none"/>
          <w:lang w:val="en-US" w:eastAsia="zh-CN" w:bidi="ar-SA"/>
        </w:rPr>
        <w:t>。</w:t>
      </w:r>
    </w:p>
    <w:p w14:paraId="6E1A911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2BEB320">
      <w:pPr>
        <w:pStyle w:val="2"/>
        <w:numPr>
          <w:ilvl w:val="0"/>
          <w:numId w:val="1"/>
        </w:numPr>
        <w:bidi w:val="0"/>
        <w:rPr>
          <w:rFonts w:hint="eastAsia"/>
          <w:lang w:val="en-US" w:eastAsia="zh-CN"/>
        </w:rPr>
      </w:pPr>
      <w:r>
        <w:rPr>
          <w:rFonts w:hint="eastAsia"/>
          <w:lang w:val="en-US" w:eastAsia="zh-CN"/>
        </w:rPr>
        <w:t>评分办法</w:t>
      </w:r>
    </w:p>
    <w:p w14:paraId="1C6597FA">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1、评标办法：本项目采用综合评分办法进行评审。</w:t>
      </w:r>
    </w:p>
    <w:p w14:paraId="33C9DA11">
      <w:pPr>
        <w:pStyle w:val="5"/>
        <w:spacing w:line="360" w:lineRule="auto"/>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2、评分的主要因素分为价格因素、主观因素、客观因素、信用因素。具体内容详见评分表。评标分值保留至两位小数。评标时，评标专家依照评分表对每个有效供应商的响应文件进行独立评审、打分。</w:t>
      </w:r>
    </w:p>
    <w:p w14:paraId="02B7A2FF">
      <w:pPr>
        <w:pStyle w:val="5"/>
        <w:spacing w:line="360" w:lineRule="auto"/>
        <w:rPr>
          <w:rFonts w:hint="default" w:ascii="仿宋" w:hAnsi="仿宋" w:eastAsia="仿宋" w:cs="仿宋"/>
          <w:kern w:val="1"/>
          <w:sz w:val="32"/>
          <w:szCs w:val="32"/>
          <w:lang w:val="en-US" w:eastAsia="zh-CN"/>
        </w:rPr>
      </w:pPr>
      <w:r>
        <w:rPr>
          <w:rFonts w:hint="default" w:ascii="仿宋" w:hAnsi="仿宋" w:eastAsia="仿宋" w:cs="仿宋"/>
          <w:kern w:val="1"/>
          <w:sz w:val="32"/>
          <w:szCs w:val="32"/>
          <w:lang w:val="en-US" w:eastAsia="zh-CN"/>
        </w:rPr>
        <w:t>3、评分权重</w:t>
      </w:r>
      <w:r>
        <w:rPr>
          <w:rFonts w:hint="eastAsia" w:ascii="仿宋" w:hAnsi="仿宋" w:eastAsia="仿宋" w:cs="仿宋"/>
          <w:kern w:val="1"/>
          <w:sz w:val="32"/>
          <w:szCs w:val="32"/>
          <w:lang w:val="en-US" w:eastAsia="zh-CN"/>
        </w:rPr>
        <w:t>：</w:t>
      </w:r>
      <w:r>
        <w:rPr>
          <w:rFonts w:hint="default" w:ascii="仿宋" w:hAnsi="仿宋" w:eastAsia="仿宋" w:cs="仿宋"/>
          <w:kern w:val="1"/>
          <w:sz w:val="32"/>
          <w:szCs w:val="32"/>
          <w:lang w:val="en-US" w:eastAsia="zh-CN"/>
        </w:rPr>
        <w:t>价格分(</w:t>
      </w:r>
      <w:r>
        <w:rPr>
          <w:rFonts w:hint="eastAsia" w:ascii="仿宋" w:hAnsi="仿宋" w:eastAsia="仿宋" w:cs="仿宋"/>
          <w:kern w:val="1"/>
          <w:sz w:val="32"/>
          <w:szCs w:val="32"/>
          <w:lang w:val="en-US" w:eastAsia="zh-CN"/>
        </w:rPr>
        <w:t>10</w:t>
      </w:r>
      <w:r>
        <w:rPr>
          <w:rFonts w:hint="default" w:ascii="仿宋" w:hAnsi="仿宋" w:eastAsia="仿宋" w:cs="仿宋"/>
          <w:kern w:val="1"/>
          <w:sz w:val="32"/>
          <w:szCs w:val="32"/>
          <w:lang w:val="en-US" w:eastAsia="zh-CN"/>
        </w:rPr>
        <w:t>分)，技术分(</w:t>
      </w:r>
      <w:r>
        <w:rPr>
          <w:rFonts w:hint="eastAsia" w:ascii="仿宋" w:hAnsi="仿宋" w:eastAsia="仿宋" w:cs="仿宋"/>
          <w:kern w:val="1"/>
          <w:sz w:val="32"/>
          <w:szCs w:val="32"/>
          <w:lang w:val="en-US" w:eastAsia="zh-CN"/>
        </w:rPr>
        <w:t>15</w:t>
      </w:r>
      <w:r>
        <w:rPr>
          <w:rFonts w:hint="default" w:ascii="仿宋" w:hAnsi="仿宋" w:eastAsia="仿宋" w:cs="仿宋"/>
          <w:kern w:val="1"/>
          <w:sz w:val="32"/>
          <w:szCs w:val="32"/>
          <w:lang w:val="en-US" w:eastAsia="zh-CN"/>
        </w:rPr>
        <w:t>分)，商务分(</w:t>
      </w:r>
      <w:r>
        <w:rPr>
          <w:rFonts w:hint="eastAsia" w:ascii="仿宋" w:hAnsi="仿宋" w:eastAsia="仿宋" w:cs="仿宋"/>
          <w:kern w:val="1"/>
          <w:sz w:val="32"/>
          <w:szCs w:val="32"/>
          <w:lang w:val="en-US" w:eastAsia="zh-CN"/>
        </w:rPr>
        <w:t>75</w:t>
      </w:r>
      <w:r>
        <w:rPr>
          <w:rFonts w:hint="default" w:ascii="仿宋" w:hAnsi="仿宋" w:eastAsia="仿宋" w:cs="仿宋"/>
          <w:kern w:val="1"/>
          <w:sz w:val="32"/>
          <w:szCs w:val="32"/>
          <w:lang w:val="en-US" w:eastAsia="zh-CN"/>
        </w:rPr>
        <w:t>分)，政策性加分(</w:t>
      </w:r>
      <w:r>
        <w:rPr>
          <w:rFonts w:hint="eastAsia" w:ascii="仿宋" w:hAnsi="仿宋" w:eastAsia="仿宋" w:cs="仿宋"/>
          <w:kern w:val="1"/>
          <w:sz w:val="32"/>
          <w:szCs w:val="32"/>
          <w:lang w:val="en-US" w:eastAsia="zh-CN"/>
        </w:rPr>
        <w:t>0</w:t>
      </w:r>
      <w:r>
        <w:rPr>
          <w:rFonts w:hint="default" w:ascii="仿宋" w:hAnsi="仿宋" w:eastAsia="仿宋" w:cs="仿宋"/>
          <w:kern w:val="1"/>
          <w:sz w:val="32"/>
          <w:szCs w:val="32"/>
          <w:lang w:val="en-US" w:eastAsia="zh-CN"/>
        </w:rPr>
        <w:t>分)</w:t>
      </w:r>
    </w:p>
    <w:p w14:paraId="5CEB629B">
      <w:pPr>
        <w:numPr>
          <w:ilvl w:val="0"/>
          <w:numId w:val="0"/>
        </w:numPr>
        <w:spacing w:line="360" w:lineRule="auto"/>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3449E"/>
    <w:multiLevelType w:val="singleLevel"/>
    <w:tmpl w:val="72F344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4738"/>
    <w:rsid w:val="00F14C49"/>
    <w:rsid w:val="067E5223"/>
    <w:rsid w:val="08FF0B7D"/>
    <w:rsid w:val="21336CE6"/>
    <w:rsid w:val="3C6A3D54"/>
    <w:rsid w:val="3E45102F"/>
    <w:rsid w:val="4AC779BE"/>
    <w:rsid w:val="4CF72D4A"/>
    <w:rsid w:val="5A5F6B40"/>
    <w:rsid w:val="5A9D28FB"/>
    <w:rsid w:val="668F2AC3"/>
    <w:rsid w:val="70E53128"/>
    <w:rsid w:val="787C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jc w:val="center"/>
      <w:outlineLvl w:val="0"/>
    </w:pPr>
    <w:rPr>
      <w:rFonts w:ascii="Times New Roman" w:hAnsi="Times New Roman" w:eastAsia="宋体" w:cs="Times New Roman"/>
      <w:b/>
      <w:kern w:val="44"/>
      <w:sz w:val="44"/>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ind w:firstLine="0" w:firstLineChars="0"/>
      <w:jc w:val="center"/>
      <w:outlineLvl w:val="1"/>
    </w:pPr>
    <w:rPr>
      <w:rFonts w:ascii="Arial" w:hAnsi="Arial" w:eastAsia="宋体" w:cs="Times New Roman"/>
      <w:b/>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ind w:firstLine="0" w:firstLineChars="0"/>
      <w:jc w:val="left"/>
      <w:outlineLvl w:val="2"/>
    </w:pPr>
    <w:rPr>
      <w:rFonts w:ascii="Times New Roman" w:hAnsi="Times New Roman" w:eastAsia="宋体" w:cs="Times New Roman"/>
      <w:b/>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sz w:val="28"/>
    </w:r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rPr>
      <w:rFonts w:ascii="Calibri" w:hAnsi="Calibri"/>
      <w:szCs w:val="22"/>
    </w:rPr>
  </w:style>
  <w:style w:type="character" w:styleId="10">
    <w:name w:val="Strong"/>
    <w:qFormat/>
    <w:uiPriority w:val="22"/>
    <w:rPr>
      <w:rFonts w:eastAsia="黑体"/>
      <w:bCs/>
    </w:rPr>
  </w:style>
  <w:style w:type="paragraph" w:customStyle="1" w:styleId="11">
    <w:name w:val="正文1"/>
    <w:basedOn w:val="1"/>
    <w:qFormat/>
    <w:uiPriority w:val="0"/>
    <w:pPr>
      <w:ind w:firstLine="600"/>
    </w:pPr>
  </w:style>
  <w:style w:type="paragraph" w:customStyle="1" w:styleId="12">
    <w:name w:val="reader-word-layer reader-word-s10-4"/>
    <w:basedOn w:val="1"/>
    <w:qFormat/>
    <w:uiPriority w:val="0"/>
    <w:pPr>
      <w:widowControl/>
      <w:spacing w:before="100" w:beforeAutospacing="1" w:after="100" w:afterAutospacing="1"/>
      <w:jc w:val="left"/>
    </w:pPr>
    <w:rPr>
      <w:rFonts w:ascii="宋体" w:cs="宋体"/>
      <w:kern w:val="0"/>
      <w:sz w:val="24"/>
    </w:rPr>
  </w:style>
  <w:style w:type="paragraph" w:customStyle="1" w:styleId="13">
    <w:name w:val="reader-word-layer reader-word-s6-5"/>
    <w:basedOn w:val="1"/>
    <w:qFormat/>
    <w:uiPriority w:val="0"/>
    <w:pPr>
      <w:widowControl/>
      <w:spacing w:before="100" w:beforeAutospacing="1" w:after="100" w:afterAutospacing="1"/>
      <w:jc w:val="left"/>
    </w:pPr>
    <w:rPr>
      <w:rFonts w:ascii="宋体" w:cs="宋体"/>
      <w:kern w:val="0"/>
      <w:sz w:val="24"/>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4760</Words>
  <Characters>5080</Characters>
  <Lines>0</Lines>
  <Paragraphs>0</Paragraphs>
  <TotalTime>8</TotalTime>
  <ScaleCrop>false</ScaleCrop>
  <LinksUpToDate>false</LinksUpToDate>
  <CharactersWithSpaces>5179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2025-07-11T03:21:00Z</dcterms:created>
  <dc:creator>Administrator</dc:creator>
  <cp:lastModifiedBy>Administrator</cp:lastModifiedBy>
  <dcterms:modified xsi:type="dcterms:W3CDTF">2025-07-24T03:53:54Z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E623A78292C34B689D4CD3489C92C9C3_13</vt:lpwstr>
  </property>
  <property fmtid="{D5CDD505-2E9C-101B-9397-08002B2CF9AE}" pid="4" name="KSOTemplateDocerSaveRecord">
    <vt:lpwstr>eyJoZGlkIjoiYzE1ODI1NDBhMjViNTY4MTRiMTdmZWI0ZjdhN2MyNGUiLCJ1c2VySWQiOiI3MDQ4MDU1NTgifQ==</vt:lpwstr>
  </property>
</Properties>
</file>