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DE02">
      <w:pPr>
        <w:jc w:val="center"/>
        <w:rPr>
          <w:rFonts w:hint="eastAsia"/>
          <w:b/>
          <w:color w:val="auto"/>
          <w:sz w:val="36"/>
          <w:szCs w:val="36"/>
          <w:lang w:eastAsia="zh-CN"/>
        </w:rPr>
      </w:pPr>
      <w:bookmarkStart w:id="0" w:name="_Toc35393630"/>
      <w:bookmarkStart w:id="1" w:name="_Toc35393799"/>
      <w:bookmarkStart w:id="2" w:name="_Toc28359090"/>
      <w:bookmarkStart w:id="3" w:name="_Toc28359013"/>
      <w:r>
        <w:rPr>
          <w:rFonts w:hint="eastAsia"/>
          <w:b/>
          <w:color w:val="auto"/>
          <w:sz w:val="36"/>
          <w:szCs w:val="36"/>
          <w:lang w:eastAsia="zh-CN"/>
        </w:rPr>
        <w:t>遵义市中心城区某预警告知系统提级改造项目</w:t>
      </w:r>
    </w:p>
    <w:p w14:paraId="33B5FF85">
      <w:pPr>
        <w:jc w:val="center"/>
        <w:rPr>
          <w:rFonts w:hint="eastAsia"/>
          <w:b/>
          <w:color w:val="auto"/>
          <w:sz w:val="36"/>
          <w:szCs w:val="36"/>
          <w:lang w:eastAsia="zh-CN"/>
        </w:rPr>
      </w:pPr>
      <w:r>
        <w:rPr>
          <w:rFonts w:hint="eastAsia"/>
          <w:b/>
          <w:color w:val="auto"/>
          <w:sz w:val="36"/>
          <w:szCs w:val="36"/>
          <w:lang w:eastAsia="zh-CN"/>
        </w:rPr>
        <w:t>采购需求公示</w:t>
      </w:r>
      <w:bookmarkStart w:id="16" w:name="_GoBack"/>
      <w:bookmarkEnd w:id="16"/>
    </w:p>
    <w:p w14:paraId="7C51AD72">
      <w:pPr>
        <w:pStyle w:val="3"/>
        <w:spacing w:before="0" w:line="360" w:lineRule="auto"/>
        <w:ind w:left="0"/>
        <w:jc w:val="left"/>
        <w:rPr>
          <w:rFonts w:hint="eastAsia"/>
          <w:b/>
          <w:color w:val="auto"/>
          <w:sz w:val="24"/>
          <w:szCs w:val="24"/>
          <w:lang w:eastAsia="zh-CN"/>
        </w:rPr>
      </w:pPr>
    </w:p>
    <w:bookmarkEnd w:id="0"/>
    <w:bookmarkEnd w:id="1"/>
    <w:bookmarkEnd w:id="2"/>
    <w:bookmarkEnd w:id="3"/>
    <w:p w14:paraId="5FEAA5AA">
      <w:pPr>
        <w:snapToGrid w:val="0"/>
        <w:spacing w:line="540" w:lineRule="exact"/>
        <w:ind w:firstLine="482" w:firstLineChars="200"/>
        <w:rPr>
          <w:rFonts w:hint="eastAsia" w:ascii="仿宋" w:hAnsi="仿宋" w:eastAsia="仿宋" w:cs="仿宋"/>
          <w:b/>
          <w:bCs/>
          <w:color w:val="auto"/>
          <w:sz w:val="24"/>
          <w:szCs w:val="24"/>
          <w:lang w:bidi="ar"/>
        </w:rPr>
      </w:pPr>
      <w:r>
        <w:rPr>
          <w:rFonts w:hint="eastAsia" w:ascii="仿宋" w:hAnsi="仿宋" w:eastAsia="仿宋" w:cs="仿宋"/>
          <w:b/>
          <w:bCs/>
          <w:color w:val="auto"/>
          <w:sz w:val="24"/>
          <w:szCs w:val="24"/>
          <w:lang w:bidi="ar"/>
        </w:rPr>
        <w:t>一、申请人的资格要求</w:t>
      </w:r>
    </w:p>
    <w:p w14:paraId="2D467593">
      <w:pPr>
        <w:spacing w:line="360" w:lineRule="auto"/>
        <w:ind w:firstLine="482" w:firstLineChars="200"/>
        <w:rPr>
          <w:rFonts w:hint="eastAsia" w:ascii="仿宋" w:hAnsi="仿宋" w:eastAsia="仿宋" w:cs="仿宋"/>
          <w:b/>
          <w:bCs/>
          <w:color w:val="auto"/>
          <w:sz w:val="28"/>
          <w:szCs w:val="28"/>
        </w:rPr>
      </w:pPr>
      <w:bookmarkStart w:id="4" w:name="_Hlk184051117"/>
      <w:r>
        <w:rPr>
          <w:rFonts w:hint="eastAsia" w:ascii="仿宋" w:hAnsi="仿宋" w:eastAsia="仿宋" w:cs="仿宋"/>
          <w:b/>
          <w:bCs/>
          <w:color w:val="auto"/>
          <w:sz w:val="24"/>
          <w:szCs w:val="24"/>
        </w:rPr>
        <w:t>1.满足《中华人民共和国政府采购法》第二十二条规定；</w:t>
      </w:r>
    </w:p>
    <w:p w14:paraId="7BA17D8A">
      <w:pPr>
        <w:spacing w:line="360" w:lineRule="auto"/>
        <w:ind w:firstLine="482" w:firstLineChars="200"/>
        <w:rPr>
          <w:rFonts w:hint="eastAsia" w:ascii="仿宋" w:hAnsi="仿宋" w:eastAsia="仿宋" w:cs="仿宋"/>
          <w:color w:val="auto"/>
          <w:sz w:val="24"/>
          <w:szCs w:val="24"/>
          <w:lang w:val="zh-CN"/>
        </w:rPr>
      </w:pPr>
      <w:r>
        <w:rPr>
          <w:rFonts w:hint="eastAsia" w:ascii="仿宋" w:hAnsi="仿宋" w:eastAsia="仿宋" w:cs="仿宋"/>
          <w:b/>
          <w:bCs/>
          <w:color w:val="auto"/>
          <w:sz w:val="24"/>
          <w:szCs w:val="24"/>
        </w:rPr>
        <w:t>1.1</w:t>
      </w:r>
      <w:r>
        <w:rPr>
          <w:rFonts w:hint="eastAsia" w:ascii="仿宋" w:hAnsi="仿宋" w:eastAsia="仿宋" w:cs="仿宋"/>
          <w:b/>
          <w:bCs/>
          <w:color w:val="auto"/>
          <w:sz w:val="24"/>
          <w:szCs w:val="24"/>
          <w:lang w:val="zh-CN"/>
        </w:rPr>
        <w:t>具有独立承担民事责任的能力：</w:t>
      </w:r>
      <w:r>
        <w:rPr>
          <w:rFonts w:hint="eastAsia" w:ascii="仿宋" w:hAnsi="仿宋" w:eastAsia="仿宋" w:cs="仿宋"/>
          <w:color w:val="auto"/>
          <w:sz w:val="24"/>
          <w:szCs w:val="24"/>
          <w:lang w:val="zh-CN"/>
        </w:rPr>
        <w:t>（1）供应商若为企业法人：提供“统一社会信用代码营业执照”；未换证的提供营业执照、税务登记证、组织机构代码证或三证合一的营业执照；（2）若为事业单位法人：提供“统一社会信用代码法人登记证书”；未换证的提交“事业单位法人登记证书、组织机构代码证”；（3）若为其他组织：提供“对应主管部门颁发的准许执业证明文件或营业执照”；（4）若为自然人：提供“身份证明材料”。</w:t>
      </w:r>
    </w:p>
    <w:p w14:paraId="1C285870">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zh-CN"/>
        </w:rPr>
        <w:t>注：①供应商参加采购活动的代表为法定代表人/单位负责人，应提供法定代表人/单位负责人身份证明材料</w:t>
      </w:r>
      <w:r>
        <w:rPr>
          <w:rFonts w:hint="eastAsia" w:ascii="仿宋" w:hAnsi="仿宋" w:eastAsia="仿宋" w:cs="仿宋"/>
          <w:b/>
          <w:bCs/>
          <w:color w:val="auto"/>
          <w:sz w:val="24"/>
          <w:szCs w:val="24"/>
        </w:rPr>
        <w:t>扫描</w:t>
      </w:r>
      <w:r>
        <w:rPr>
          <w:rFonts w:hint="eastAsia" w:ascii="仿宋" w:hAnsi="仿宋" w:eastAsia="仿宋" w:cs="仿宋"/>
          <w:b/>
          <w:bCs/>
          <w:color w:val="auto"/>
          <w:sz w:val="24"/>
          <w:szCs w:val="24"/>
          <w:lang w:val="zh-CN"/>
        </w:rPr>
        <w:t>件并加盖供应商公章；②供应商参加采购活动的代表为非法定代表人/单位负责人，应提供法定代表人/单位负责人授权委托书</w:t>
      </w:r>
      <w:r>
        <w:rPr>
          <w:rFonts w:hint="eastAsia" w:ascii="仿宋" w:hAnsi="仿宋" w:eastAsia="仿宋" w:cs="仿宋"/>
          <w:b/>
          <w:bCs/>
          <w:color w:val="auto"/>
          <w:sz w:val="24"/>
          <w:szCs w:val="24"/>
        </w:rPr>
        <w:t>及法定代表人/单位负责人身份证和授权委托人身份证扫描件</w:t>
      </w:r>
      <w:r>
        <w:rPr>
          <w:rFonts w:hint="eastAsia" w:ascii="仿宋" w:hAnsi="仿宋" w:eastAsia="仿宋" w:cs="仿宋"/>
          <w:b/>
          <w:bCs/>
          <w:color w:val="auto"/>
          <w:sz w:val="24"/>
          <w:szCs w:val="24"/>
          <w:lang w:val="zh-CN"/>
        </w:rPr>
        <w:t>并加盖供应商公章。</w:t>
      </w:r>
    </w:p>
    <w:p w14:paraId="0DE57B17">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1.2</w:t>
      </w:r>
      <w:r>
        <w:rPr>
          <w:rFonts w:hint="eastAsia" w:ascii="仿宋" w:hAnsi="仿宋" w:eastAsia="仿宋" w:cs="仿宋"/>
          <w:b/>
          <w:bCs/>
          <w:color w:val="auto"/>
          <w:sz w:val="24"/>
          <w:szCs w:val="24"/>
          <w:lang w:val="zh-CN"/>
        </w:rPr>
        <w:t>具有良好的商业信誉和健全的财务会计制度：</w:t>
      </w:r>
      <w:r>
        <w:rPr>
          <w:rFonts w:hint="eastAsia" w:ascii="仿宋" w:hAnsi="仿宋" w:eastAsia="仿宋" w:cs="仿宋"/>
          <w:color w:val="auto"/>
          <w:sz w:val="24"/>
          <w:szCs w:val="24"/>
        </w:rPr>
        <w:t>提供2023年或2024年的审计报告扫描件或提供银行出具的资信证明（成立不足一年的企业提供银行出具的资信证明），或自行提供具有良好的商业信誉和健全的财务会计制度的承诺函（格式自拟）；</w:t>
      </w:r>
    </w:p>
    <w:p w14:paraId="762FFC7C">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1.3提供履行合同所需设备和专业技术能力证明材料：</w:t>
      </w:r>
      <w:r>
        <w:rPr>
          <w:rFonts w:hint="eastAsia" w:ascii="仿宋" w:hAnsi="仿宋" w:eastAsia="仿宋" w:cs="仿宋"/>
          <w:color w:val="auto"/>
          <w:sz w:val="24"/>
          <w:szCs w:val="24"/>
        </w:rPr>
        <w:t>提供承诺函，格式自拟；</w:t>
      </w:r>
    </w:p>
    <w:p w14:paraId="6E4C9F89">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1.4投标供应商须有依法缴纳税收和社会保障资金的良好记录：</w:t>
      </w:r>
      <w:r>
        <w:rPr>
          <w:rFonts w:hint="eastAsia" w:ascii="仿宋" w:hAnsi="仿宋" w:eastAsia="仿宋" w:cs="仿宋"/>
          <w:color w:val="auto"/>
          <w:sz w:val="24"/>
          <w:szCs w:val="24"/>
        </w:rPr>
        <w:t>提供2025年任意三个月缴纳税收的凭据（依法免税的供应商须提供相应证明文件、零申报的供应商提供电子税务申报表或税务部门出具的无欠税证明）以及2025年任意三个月缴纳社会保障资金证明材料（不需要缴纳社保资金的供应商须提供相应证明文件）或自行提供具有依法缴纳税收和社会保障资金的良好记录的承诺函（格式自拟）；</w:t>
      </w:r>
    </w:p>
    <w:p w14:paraId="78876B02">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1.5参加政府采购活动前三年内，在经营活动中没有重大违法记录的书面声明函（重大违法记录指因违法经营受到刑事处罚或者责令停产停业、吊销许可证或者执照、较大数额罚款等行政处罚）：</w:t>
      </w:r>
      <w:r>
        <w:rPr>
          <w:rFonts w:hint="eastAsia" w:ascii="仿宋" w:hAnsi="仿宋" w:eastAsia="仿宋" w:cs="仿宋"/>
          <w:color w:val="auto"/>
          <w:sz w:val="24"/>
          <w:szCs w:val="24"/>
        </w:rPr>
        <w:t>自行提供声明函并加盖供应商公章（格式自拟）；</w:t>
      </w:r>
    </w:p>
    <w:p w14:paraId="5FAF2D7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所称重大违法记录，是指供应商因违法经营受到刑事处罚或者责令停产停业、吊销许可证或者营业执照、较大数额等行政处罚，较大数额罚款按照《财政部关于第十九条第一款“较大数额罚款”具体适用问题的意见》（财库〔2022〕3号）执行），“较大数额罚款”认定为200万元以上的罚款，法律法规以及国务院有关部门明确规定相关领域“较大数额罚款”标准高于200万元的，从其规定。</w:t>
      </w:r>
    </w:p>
    <w:p w14:paraId="464741D0">
      <w:pPr>
        <w:spacing w:line="360" w:lineRule="auto"/>
        <w:ind w:firstLine="482" w:firstLineChars="200"/>
        <w:rPr>
          <w:rFonts w:hint="eastAsia" w:ascii="仿宋" w:hAnsi="仿宋" w:eastAsia="仿宋" w:cs="仿宋"/>
          <w:b/>
          <w:bCs/>
          <w:color w:val="auto"/>
          <w:spacing w:val="8"/>
          <w:sz w:val="24"/>
          <w:szCs w:val="24"/>
        </w:rPr>
      </w:pPr>
      <w:r>
        <w:rPr>
          <w:rFonts w:hint="eastAsia" w:ascii="仿宋" w:hAnsi="仿宋" w:eastAsia="仿宋" w:cs="仿宋"/>
          <w:b/>
          <w:bCs/>
          <w:color w:val="auto"/>
          <w:sz w:val="24"/>
          <w:szCs w:val="24"/>
        </w:rPr>
        <w:t xml:space="preserve">1.6 </w:t>
      </w:r>
      <w:r>
        <w:rPr>
          <w:rFonts w:hint="eastAsia" w:ascii="仿宋" w:hAnsi="仿宋" w:eastAsia="仿宋" w:cs="仿宋"/>
          <w:b/>
          <w:bCs/>
          <w:color w:val="auto"/>
          <w:spacing w:val="8"/>
          <w:sz w:val="24"/>
          <w:szCs w:val="24"/>
        </w:rPr>
        <w:t>法律、行政法规规定的其他条件：</w:t>
      </w:r>
    </w:p>
    <w:p w14:paraId="42095FB3">
      <w:pPr>
        <w:spacing w:line="360" w:lineRule="auto"/>
        <w:ind w:right="-97" w:rightChars="-44" w:firstLine="476" w:firstLineChars="200"/>
        <w:rPr>
          <w:rFonts w:hint="eastAsia" w:ascii="仿宋" w:hAnsi="仿宋" w:eastAsia="仿宋" w:cs="仿宋"/>
          <w:color w:val="auto"/>
          <w:spacing w:val="-1"/>
          <w:position w:val="17"/>
          <w:sz w:val="24"/>
          <w:szCs w:val="24"/>
        </w:rPr>
      </w:pPr>
      <w:r>
        <w:rPr>
          <w:rFonts w:hint="eastAsia" w:ascii="仿宋" w:hAnsi="仿宋" w:eastAsia="仿宋" w:cs="仿宋"/>
          <w:color w:val="auto"/>
          <w:spacing w:val="-1"/>
          <w:position w:val="17"/>
          <w:sz w:val="24"/>
          <w:szCs w:val="24"/>
        </w:rPr>
        <w:t>①供应商必须为未被列入信用中国网站渠道信用记录失信被执行人、重大税收违法失信主体、政府采购严重违法失信行为记录名单和中国政府采购网渠道政府采购严重违法失信行为记录名单的供应商；</w:t>
      </w:r>
      <w:r>
        <w:rPr>
          <w:rFonts w:hint="eastAsia" w:ascii="仿宋" w:hAnsi="仿宋" w:eastAsia="仿宋" w:cs="仿宋"/>
          <w:b/>
          <w:bCs/>
          <w:color w:val="auto"/>
          <w:spacing w:val="-1"/>
          <w:position w:val="17"/>
          <w:sz w:val="24"/>
          <w:szCs w:val="24"/>
        </w:rPr>
        <w:t>（提供承诺书、查询截图、下载的信用报告并加盖供应商公章，承诺书格式文件详见投标文件格式范本）</w:t>
      </w:r>
      <w:r>
        <w:rPr>
          <w:rFonts w:hint="eastAsia" w:ascii="仿宋" w:hAnsi="仿宋" w:eastAsia="仿宋" w:cs="仿宋"/>
          <w:color w:val="auto"/>
          <w:spacing w:val="-1"/>
          <w:position w:val="17"/>
          <w:sz w:val="24"/>
          <w:szCs w:val="24"/>
        </w:rPr>
        <w:t>；</w:t>
      </w:r>
    </w:p>
    <w:p w14:paraId="61BA3143">
      <w:pPr>
        <w:spacing w:line="360" w:lineRule="auto"/>
        <w:ind w:firstLine="476" w:firstLineChars="200"/>
        <w:rPr>
          <w:rFonts w:hint="eastAsia" w:ascii="仿宋" w:hAnsi="仿宋" w:eastAsia="仿宋" w:cs="仿宋"/>
          <w:b/>
          <w:bCs/>
          <w:color w:val="auto"/>
          <w:spacing w:val="-1"/>
          <w:position w:val="17"/>
          <w:sz w:val="24"/>
          <w:szCs w:val="24"/>
        </w:rPr>
      </w:pPr>
      <w:r>
        <w:rPr>
          <w:rFonts w:hint="eastAsia" w:ascii="仿宋" w:hAnsi="仿宋" w:eastAsia="仿宋" w:cs="仿宋"/>
          <w:color w:val="auto"/>
          <w:spacing w:val="-1"/>
          <w:position w:val="17"/>
          <w:sz w:val="24"/>
          <w:szCs w:val="24"/>
        </w:rPr>
        <w:t>②为本采购项目提供前期整体设计、规范编制或者项目管理等服务的供应商，不得再参加该采购项目；</w:t>
      </w:r>
      <w:r>
        <w:rPr>
          <w:rFonts w:hint="eastAsia" w:ascii="仿宋" w:hAnsi="仿宋" w:eastAsia="仿宋" w:cs="仿宋"/>
          <w:b/>
          <w:bCs/>
          <w:color w:val="auto"/>
          <w:spacing w:val="-1"/>
          <w:position w:val="17"/>
          <w:sz w:val="24"/>
          <w:szCs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除能源、金融、通信、保险等相关的特殊行业分公司外，其余行业分公司参与响应须取得总公司授权（分支机构或分公司参与的，须提供总公司授权书，并注明相关民事责任由总公司承担）相关证件在年检期间或者无法提供的，可提供由发证机关出具证明材料原件复印件。（提供承诺函并加盖供应商公章，承诺函格式文件详见投标文件格式范本）。</w:t>
      </w:r>
    </w:p>
    <w:p w14:paraId="46AFD32C">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2.落实政府采购政策需满足的要求：</w:t>
      </w:r>
    </w:p>
    <w:p w14:paraId="52B95552">
      <w:pPr>
        <w:pStyle w:val="39"/>
        <w:ind w:firstLine="448" w:firstLineChars="186"/>
        <w:rPr>
          <w:rFonts w:hint="eastAsia" w:ascii="仿宋" w:hAnsi="仿宋" w:eastAsia="仿宋" w:cs="仿宋"/>
          <w:b/>
          <w:bCs/>
          <w:color w:val="auto"/>
          <w:szCs w:val="24"/>
        </w:rPr>
      </w:pPr>
      <w:r>
        <w:rPr>
          <w:rFonts w:hint="eastAsia" w:ascii="仿宋" w:hAnsi="仿宋" w:eastAsia="仿宋" w:cs="仿宋"/>
          <w:b/>
          <w:bCs/>
          <w:color w:val="auto"/>
          <w:szCs w:val="24"/>
        </w:rPr>
        <w:t xml:space="preserve">2.1 </w:t>
      </w:r>
      <w:r>
        <w:rPr>
          <w:rFonts w:hint="eastAsia" w:ascii="仿宋" w:hAnsi="仿宋" w:eastAsia="仿宋" w:cs="仿宋"/>
          <w:color w:val="auto"/>
          <w:szCs w:val="24"/>
        </w:rPr>
        <w:t>本项目为</w:t>
      </w:r>
      <w:r>
        <w:rPr>
          <w:rFonts w:hint="eastAsia" w:ascii="仿宋" w:hAnsi="仿宋" w:eastAsia="仿宋" w:cs="仿宋"/>
          <w:b/>
          <w:bCs/>
          <w:color w:val="auto"/>
          <w:szCs w:val="24"/>
          <w:u w:val="single"/>
        </w:rPr>
        <w:t>非适宜中小企业</w:t>
      </w:r>
      <w:r>
        <w:rPr>
          <w:rFonts w:hint="eastAsia" w:ascii="仿宋" w:hAnsi="仿宋" w:eastAsia="仿宋" w:cs="仿宋"/>
          <w:color w:val="auto"/>
          <w:szCs w:val="24"/>
        </w:rPr>
        <w:t>采购项目，</w:t>
      </w:r>
      <w:r>
        <w:rPr>
          <w:rFonts w:hint="eastAsia" w:ascii="仿宋" w:hAnsi="仿宋" w:eastAsia="仿宋" w:cs="仿宋"/>
          <w:color w:val="auto"/>
          <w:szCs w:val="24"/>
        </w:rPr>
        <w:t>故本项目为非专门面向小微企业项目</w:t>
      </w:r>
      <w:r>
        <w:rPr>
          <w:rFonts w:hint="eastAsia" w:ascii="仿宋" w:hAnsi="仿宋" w:eastAsia="仿宋" w:cs="仿宋"/>
          <w:color w:val="auto"/>
          <w:szCs w:val="24"/>
        </w:rPr>
        <w:t>（监狱企业、残疾人福利性单位视同小微企业）。中小企业划分标准依照工业和信息化部、国家统计局、国家发展和改革委员会、财政部联合下发的《关于印发中小企业划型标准规定的通知》（工信部联企业《2011》 300 号）执行；本项目采购标的对应的中小企业划分标准所属行业为</w:t>
      </w:r>
      <w:r>
        <w:rPr>
          <w:rFonts w:hint="eastAsia" w:ascii="仿宋" w:hAnsi="仿宋" w:eastAsia="仿宋" w:cs="仿宋"/>
          <w:b/>
          <w:bCs/>
          <w:color w:val="auto"/>
          <w:szCs w:val="24"/>
          <w:u w:val="single"/>
          <w:lang w:eastAsia="zh-CN"/>
        </w:rPr>
        <w:t>工业</w:t>
      </w:r>
      <w:r>
        <w:rPr>
          <w:rFonts w:hint="eastAsia" w:ascii="仿宋" w:hAnsi="仿宋" w:eastAsia="仿宋" w:cs="仿宋"/>
          <w:color w:val="auto"/>
          <w:szCs w:val="24"/>
        </w:rPr>
        <w:t>。</w:t>
      </w:r>
      <w:r>
        <w:rPr>
          <w:rFonts w:hint="eastAsia" w:ascii="仿宋" w:hAnsi="仿宋" w:eastAsia="仿宋" w:cs="仿宋"/>
          <w:b/>
          <w:bCs/>
          <w:color w:val="auto"/>
          <w:szCs w:val="24"/>
        </w:rPr>
        <w:t>各供应商均根据自身所属规模情况，必须如实按《招标文件》附件格式填写并提供《中小企业声明函》</w:t>
      </w:r>
      <w:r>
        <w:rPr>
          <w:rFonts w:hint="eastAsia" w:ascii="仿宋" w:hAnsi="仿宋" w:eastAsia="仿宋" w:cs="仿宋"/>
          <w:b/>
          <w:bCs/>
          <w:color w:val="auto"/>
          <w:szCs w:val="24"/>
        </w:rPr>
        <w:t>。</w:t>
      </w:r>
    </w:p>
    <w:p w14:paraId="65F4BB44">
      <w:pPr>
        <w:pStyle w:val="39"/>
        <w:ind w:firstLine="446" w:firstLineChars="186"/>
        <w:rPr>
          <w:rFonts w:ascii="仿宋" w:hAnsi="仿宋" w:eastAsia="仿宋" w:cs="仿宋"/>
          <w:color w:val="auto"/>
          <w:szCs w:val="24"/>
        </w:rPr>
      </w:pPr>
      <w:r>
        <w:rPr>
          <w:rFonts w:hint="eastAsia" w:ascii="仿宋" w:hAnsi="仿宋" w:eastAsia="仿宋" w:cs="仿宋"/>
          <w:color w:val="auto"/>
          <w:szCs w:val="24"/>
        </w:rPr>
        <w:t>2.2</w:t>
      </w:r>
      <w:bookmarkStart w:id="5" w:name="OLE_LINK1"/>
      <w:r>
        <w:rPr>
          <w:rFonts w:hint="eastAsia" w:ascii="仿宋" w:hAnsi="仿宋" w:eastAsia="仿宋" w:cs="仿宋"/>
          <w:color w:val="auto"/>
          <w:szCs w:val="24"/>
        </w:rPr>
        <w:t>根据《遵义市财政局关于印发&lt;政府采购营商环境整改提升工作方案&gt;》（遵财采〔2022〕17号）、《遵义市财政局关于转发&lt;关于进一步加大政府采购支持中小企业力度的通知&gt;的通知》（遵财采〔2022〕37号）规定：（1）采购预算中面向中小微企业预留的采购项目，开展采购活动时不收取投标保证金。（2）采购项目中标企业为小微企业（享受小微企业政策的）的，该项目不收取履约保证金。（3）监狱企业、残疾人福利性单位参加政府采购活动，视同小型、微型企业，享受促进中小企业发展的政府采购政策。（4）小微型企业在政府采购中参与未预留份额专门面向中小企业采购的采购项目，对小微型企业产品（或服务）给予20%的价格扣除。</w:t>
      </w:r>
      <w:bookmarkEnd w:id="5"/>
    </w:p>
    <w:p w14:paraId="5447CFF1">
      <w:pPr>
        <w:pStyle w:val="39"/>
        <w:ind w:firstLine="446" w:firstLineChars="186"/>
        <w:rPr>
          <w:color w:val="auto"/>
        </w:rPr>
      </w:pPr>
      <w:r>
        <w:rPr>
          <w:rFonts w:hint="eastAsia" w:ascii="仿宋" w:hAnsi="仿宋" w:eastAsia="仿宋" w:cs="仿宋"/>
          <w:color w:val="auto"/>
          <w:szCs w:val="24"/>
        </w:rPr>
        <w:t>2.3具体执行标准详见《招标文件》。</w:t>
      </w:r>
    </w:p>
    <w:p w14:paraId="0A42AB9E">
      <w:pPr>
        <w:spacing w:line="360" w:lineRule="auto"/>
        <w:ind w:firstLine="482" w:firstLineChars="200"/>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zh-CN"/>
        </w:rPr>
        <w:t>.本项目的特定资格要求：</w:t>
      </w:r>
    </w:p>
    <w:p w14:paraId="1543D53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3.1 </w:t>
      </w:r>
      <w:r>
        <w:rPr>
          <w:rFonts w:hint="eastAsia" w:ascii="仿宋" w:hAnsi="仿宋" w:eastAsia="仿宋" w:cs="仿宋"/>
          <w:b/>
          <w:bCs/>
          <w:color w:val="auto"/>
          <w:sz w:val="24"/>
          <w:szCs w:val="24"/>
        </w:rPr>
        <w:t>投标人需具备有效的业务种类为总体集成的乙级以上（含乙级）涉密信息系统集成资质证书</w:t>
      </w:r>
      <w:r>
        <w:rPr>
          <w:rFonts w:hint="eastAsia" w:ascii="仿宋" w:hAnsi="仿宋" w:eastAsia="仿宋" w:cs="仿宋"/>
          <w:color w:val="auto"/>
          <w:sz w:val="24"/>
          <w:szCs w:val="24"/>
        </w:rPr>
        <w:t>；</w:t>
      </w:r>
    </w:p>
    <w:p w14:paraId="4444892D">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注：提供的资质证明材料扫描件不清晰，不能有效证明供应商资质情况，将视为该资质未提供。</w:t>
      </w:r>
    </w:p>
    <w:bookmarkEnd w:id="4"/>
    <w:p w14:paraId="1BC96B52">
      <w:pPr>
        <w:autoSpaceDE/>
        <w:autoSpaceDN/>
        <w:spacing w:line="360" w:lineRule="auto"/>
        <w:ind w:firstLine="480" w:firstLineChars="200"/>
        <w:jc w:val="both"/>
        <w:rPr>
          <w:rFonts w:hint="eastAsia" w:ascii="仿宋" w:hAnsi="仿宋" w:eastAsia="仿宋" w:cs="仿宋"/>
          <w:color w:val="auto"/>
          <w:kern w:val="2"/>
          <w:sz w:val="24"/>
          <w:szCs w:val="24"/>
          <w:lang w:val="zh-CN" w:eastAsia="zh-CN"/>
        </w:rPr>
      </w:pPr>
    </w:p>
    <w:p w14:paraId="2A7C5774">
      <w:pPr>
        <w:pStyle w:val="3"/>
        <w:spacing w:before="0" w:line="360" w:lineRule="auto"/>
        <w:ind w:left="0"/>
        <w:jc w:val="left"/>
        <w:rPr>
          <w:rFonts w:hint="eastAsia" w:ascii="仿宋" w:hAnsi="仿宋" w:eastAsia="仿宋"/>
          <w:b/>
          <w:color w:val="auto"/>
          <w:sz w:val="24"/>
          <w:szCs w:val="24"/>
          <w:lang w:eastAsia="zh-CN"/>
        </w:rPr>
      </w:pPr>
      <w:r>
        <w:rPr>
          <w:rFonts w:hint="eastAsia" w:ascii="仿宋" w:hAnsi="仿宋" w:eastAsia="仿宋"/>
          <w:b/>
          <w:color w:val="auto"/>
          <w:sz w:val="24"/>
          <w:szCs w:val="24"/>
          <w:lang w:eastAsia="zh-CN"/>
        </w:rPr>
        <w:t>二、采购项目的商务要求及其他要求</w:t>
      </w:r>
    </w:p>
    <w:p w14:paraId="40E046F3">
      <w:pPr>
        <w:autoSpaceDE/>
        <w:autoSpaceDN/>
        <w:spacing w:line="360" w:lineRule="auto"/>
        <w:ind w:firstLine="482" w:firstLineChars="200"/>
        <w:jc w:val="both"/>
        <w:rPr>
          <w:rFonts w:hint="eastAsia" w:ascii="仿宋" w:hAnsi="仿宋" w:eastAsia="仿宋" w:cs="仿宋"/>
          <w:color w:val="auto"/>
          <w:kern w:val="2"/>
          <w:sz w:val="24"/>
          <w:szCs w:val="24"/>
          <w:lang w:eastAsia="zh-CN"/>
        </w:rPr>
      </w:pPr>
      <w:r>
        <w:rPr>
          <w:rFonts w:hint="eastAsia" w:ascii="仿宋" w:hAnsi="仿宋" w:eastAsia="仿宋" w:cs="仿宋"/>
          <w:b/>
          <w:bCs/>
          <w:color w:val="auto"/>
          <w:kern w:val="2"/>
          <w:sz w:val="24"/>
          <w:szCs w:val="24"/>
          <w:lang w:eastAsia="zh-CN"/>
        </w:rPr>
        <w:t>预算金额：</w:t>
      </w:r>
      <w:r>
        <w:rPr>
          <w:rFonts w:hint="eastAsia" w:ascii="仿宋" w:hAnsi="仿宋" w:eastAsia="仿宋" w:cs="仿宋"/>
          <w:color w:val="auto"/>
          <w:sz w:val="24"/>
          <w:szCs w:val="24"/>
        </w:rPr>
        <w:t>3515425.62元</w:t>
      </w:r>
      <w:r>
        <w:rPr>
          <w:rFonts w:hint="eastAsia" w:ascii="仿宋" w:hAnsi="仿宋" w:eastAsia="仿宋" w:cs="仿宋"/>
          <w:color w:val="auto"/>
          <w:kern w:val="2"/>
          <w:sz w:val="24"/>
          <w:szCs w:val="24"/>
          <w:lang w:eastAsia="zh-CN"/>
        </w:rPr>
        <w:t>（人民币）</w:t>
      </w:r>
    </w:p>
    <w:p w14:paraId="56671695">
      <w:pPr>
        <w:autoSpaceDE/>
        <w:autoSpaceDN/>
        <w:spacing w:line="360" w:lineRule="auto"/>
        <w:ind w:firstLine="482" w:firstLineChars="200"/>
        <w:jc w:val="both"/>
        <w:rPr>
          <w:rFonts w:hint="eastAsia" w:ascii="仿宋" w:hAnsi="仿宋" w:eastAsia="仿宋" w:cs="仿宋"/>
          <w:color w:val="auto"/>
          <w:kern w:val="2"/>
          <w:sz w:val="24"/>
          <w:szCs w:val="24"/>
          <w:lang w:eastAsia="zh-CN"/>
        </w:rPr>
      </w:pPr>
      <w:r>
        <w:rPr>
          <w:rFonts w:hint="eastAsia" w:ascii="仿宋" w:hAnsi="仿宋" w:eastAsia="仿宋" w:cs="仿宋"/>
          <w:b/>
          <w:bCs/>
          <w:color w:val="auto"/>
          <w:kern w:val="2"/>
          <w:sz w:val="24"/>
          <w:szCs w:val="24"/>
          <w:lang w:eastAsia="zh-CN"/>
        </w:rPr>
        <w:t>最高限价（如有）</w:t>
      </w:r>
      <w:r>
        <w:rPr>
          <w:rFonts w:hint="eastAsia" w:ascii="仿宋" w:hAnsi="仿宋" w:eastAsia="仿宋" w:cs="仿宋"/>
          <w:b/>
          <w:color w:val="auto"/>
          <w:kern w:val="2"/>
          <w:sz w:val="24"/>
          <w:szCs w:val="24"/>
          <w:lang w:eastAsia="zh-CN"/>
        </w:rPr>
        <w:t>：</w:t>
      </w:r>
      <w:r>
        <w:rPr>
          <w:rFonts w:hint="eastAsia" w:ascii="仿宋" w:hAnsi="仿宋" w:eastAsia="仿宋" w:cs="仿宋"/>
          <w:color w:val="auto"/>
          <w:sz w:val="24"/>
          <w:szCs w:val="24"/>
        </w:rPr>
        <w:t>3515425.62元</w:t>
      </w:r>
      <w:r>
        <w:rPr>
          <w:rFonts w:hint="eastAsia" w:ascii="仿宋" w:hAnsi="仿宋" w:eastAsia="仿宋" w:cs="仿宋"/>
          <w:color w:val="auto"/>
          <w:kern w:val="2"/>
          <w:sz w:val="24"/>
          <w:szCs w:val="24"/>
          <w:lang w:eastAsia="zh-CN"/>
        </w:rPr>
        <w:t>（人民币）</w:t>
      </w:r>
    </w:p>
    <w:p w14:paraId="28A9385B">
      <w:pPr>
        <w:autoSpaceDE/>
        <w:autoSpaceDN/>
        <w:spacing w:line="360" w:lineRule="auto"/>
        <w:ind w:firstLine="482" w:firstLineChars="200"/>
        <w:jc w:val="both"/>
        <w:rPr>
          <w:rFonts w:hint="eastAsia" w:ascii="仿宋" w:hAnsi="仿宋" w:eastAsia="仿宋" w:cs="仿宋"/>
          <w:color w:val="auto"/>
          <w:sz w:val="24"/>
          <w:szCs w:val="24"/>
          <w:lang w:bidi="ar"/>
        </w:rPr>
      </w:pPr>
      <w:r>
        <w:rPr>
          <w:rFonts w:hint="eastAsia" w:ascii="仿宋" w:hAnsi="仿宋" w:eastAsia="仿宋" w:cs="仿宋"/>
          <w:b/>
          <w:bCs/>
          <w:color w:val="auto"/>
          <w:sz w:val="24"/>
          <w:szCs w:val="24"/>
          <w:lang w:bidi="ar"/>
        </w:rPr>
        <w:t>采购需求：</w:t>
      </w:r>
      <w:r>
        <w:rPr>
          <w:rFonts w:hint="eastAsia" w:ascii="仿宋" w:hAnsi="仿宋" w:eastAsia="仿宋" w:cs="仿宋"/>
          <w:color w:val="auto"/>
          <w:sz w:val="24"/>
          <w:szCs w:val="24"/>
        </w:rPr>
        <w:t>采购备用电源等设备1批、建设统控系统1套以及更换老旧设备。（含调试、安装等）（具体采购详细内容见招标文件第五章，采购项目需要落实的政府采购政策等详见《招标文件》）。</w:t>
      </w:r>
    </w:p>
    <w:p w14:paraId="03C2E6B5">
      <w:pPr>
        <w:spacing w:line="360" w:lineRule="auto"/>
        <w:ind w:firstLine="482" w:firstLineChars="200"/>
        <w:rPr>
          <w:rFonts w:hint="eastAsia" w:ascii="仿宋" w:hAnsi="仿宋" w:eastAsia="仿宋" w:cs="仿宋"/>
          <w:color w:val="auto"/>
          <w:sz w:val="24"/>
        </w:rPr>
      </w:pPr>
      <w:bookmarkStart w:id="6" w:name="_Hlk184050717"/>
      <w:r>
        <w:rPr>
          <w:rFonts w:hint="eastAsia" w:ascii="仿宋" w:hAnsi="仿宋" w:eastAsia="仿宋" w:cs="仿宋"/>
          <w:b/>
          <w:bCs/>
          <w:color w:val="auto"/>
          <w:sz w:val="24"/>
          <w:szCs w:val="24"/>
        </w:rPr>
        <w:t>供货期限：</w:t>
      </w:r>
      <w:r>
        <w:rPr>
          <w:rFonts w:hint="eastAsia" w:ascii="仿宋" w:hAnsi="仿宋" w:eastAsia="仿宋" w:cs="仿宋"/>
          <w:color w:val="auto"/>
          <w:kern w:val="0"/>
          <w:sz w:val="24"/>
          <w:szCs w:val="24"/>
          <w:lang w:val="zh-CN"/>
        </w:rPr>
        <w:t>合同签订后</w:t>
      </w:r>
      <w:r>
        <w:rPr>
          <w:rFonts w:hint="eastAsia" w:ascii="仿宋" w:hAnsi="仿宋" w:eastAsia="仿宋" w:cs="仿宋"/>
          <w:color w:val="auto"/>
          <w:kern w:val="0"/>
          <w:sz w:val="24"/>
          <w:szCs w:val="24"/>
          <w:lang w:val="en-US" w:eastAsia="zh-CN"/>
        </w:rPr>
        <w:t>60</w:t>
      </w:r>
      <w:r>
        <w:rPr>
          <w:rFonts w:hint="eastAsia" w:ascii="仿宋" w:hAnsi="仿宋" w:eastAsia="仿宋" w:cs="仿宋"/>
          <w:color w:val="auto"/>
          <w:kern w:val="0"/>
          <w:sz w:val="24"/>
          <w:szCs w:val="24"/>
          <w:lang w:val="zh-CN"/>
        </w:rPr>
        <w:t>日内完成交货、安装调试及验收。</w:t>
      </w:r>
      <w:bookmarkEnd w:id="6"/>
    </w:p>
    <w:p w14:paraId="3C15EB30">
      <w:pPr>
        <w:autoSpaceDE/>
        <w:autoSpaceDN/>
        <w:spacing w:line="360" w:lineRule="auto"/>
        <w:ind w:firstLine="482" w:firstLineChars="200"/>
        <w:jc w:val="both"/>
        <w:rPr>
          <w:rFonts w:hint="default" w:eastAsia="仿宋"/>
          <w:color w:val="auto"/>
          <w:lang w:val="en-US" w:eastAsia="zh-CN"/>
        </w:rPr>
      </w:pPr>
      <w:r>
        <w:rPr>
          <w:rFonts w:hint="eastAsia" w:ascii="仿宋" w:hAnsi="仿宋" w:eastAsia="仿宋" w:cs="仿宋"/>
          <w:b/>
          <w:bCs/>
          <w:color w:val="auto"/>
          <w:sz w:val="24"/>
          <w:szCs w:val="24"/>
          <w:lang w:bidi="ar"/>
        </w:rPr>
        <w:t>本项目（是/否）接受联合体：</w:t>
      </w:r>
      <w:r>
        <w:rPr>
          <w:rFonts w:hint="eastAsia" w:ascii="仿宋" w:hAnsi="仿宋" w:eastAsia="仿宋" w:cs="仿宋"/>
          <w:color w:val="auto"/>
          <w:sz w:val="24"/>
          <w:szCs w:val="24"/>
          <w:lang w:bidi="ar"/>
        </w:rPr>
        <w:t>否。</w:t>
      </w:r>
    </w:p>
    <w:p w14:paraId="1DEE396F">
      <w:pPr>
        <w:autoSpaceDE/>
        <w:autoSpaceDN/>
        <w:spacing w:line="360" w:lineRule="auto"/>
        <w:ind w:firstLine="482" w:firstLineChars="200"/>
        <w:jc w:val="both"/>
        <w:rPr>
          <w:rFonts w:hint="eastAsia" w:ascii="仿宋" w:hAnsi="仿宋" w:eastAsia="仿宋" w:cs="仿宋"/>
          <w:color w:val="auto"/>
          <w:kern w:val="2"/>
          <w:sz w:val="24"/>
          <w:szCs w:val="24"/>
          <w:lang w:eastAsia="zh-CN"/>
        </w:rPr>
      </w:pPr>
      <w:r>
        <w:rPr>
          <w:rFonts w:hint="eastAsia" w:ascii="仿宋" w:hAnsi="仿宋" w:eastAsia="仿宋" w:cs="仿宋"/>
          <w:b/>
          <w:color w:val="auto"/>
          <w:kern w:val="2"/>
          <w:sz w:val="24"/>
          <w:szCs w:val="24"/>
          <w:lang w:val="en-US" w:eastAsia="zh-CN"/>
        </w:rPr>
        <w:t>响应</w:t>
      </w:r>
      <w:r>
        <w:rPr>
          <w:rFonts w:hint="eastAsia" w:ascii="仿宋" w:hAnsi="仿宋" w:eastAsia="仿宋" w:cs="仿宋"/>
          <w:b/>
          <w:color w:val="auto"/>
          <w:kern w:val="2"/>
          <w:sz w:val="24"/>
          <w:szCs w:val="24"/>
          <w:lang w:eastAsia="zh-CN"/>
        </w:rPr>
        <w:t>有效期：</w:t>
      </w:r>
      <w:r>
        <w:rPr>
          <w:rFonts w:hint="eastAsia" w:ascii="仿宋" w:hAnsi="仿宋" w:eastAsia="仿宋" w:cs="仿宋"/>
          <w:color w:val="auto"/>
          <w:sz w:val="24"/>
          <w:szCs w:val="24"/>
        </w:rPr>
        <w:t>响应文件提交截止之日起60日历天</w:t>
      </w:r>
    </w:p>
    <w:p w14:paraId="63B3E0F8">
      <w:pPr>
        <w:autoSpaceDE/>
        <w:autoSpaceDN/>
        <w:spacing w:line="360" w:lineRule="auto"/>
        <w:ind w:firstLine="482" w:firstLineChars="200"/>
        <w:jc w:val="both"/>
        <w:rPr>
          <w:rFonts w:hint="eastAsia" w:ascii="仿宋" w:hAnsi="仿宋" w:eastAsia="仿宋" w:cs="仿宋"/>
          <w:color w:val="auto"/>
          <w:kern w:val="2"/>
          <w:sz w:val="24"/>
          <w:szCs w:val="24"/>
          <w:lang w:eastAsia="zh-CN"/>
        </w:rPr>
      </w:pPr>
      <w:r>
        <w:rPr>
          <w:rFonts w:hint="eastAsia" w:ascii="仿宋" w:hAnsi="仿宋" w:eastAsia="仿宋" w:cs="仿宋"/>
          <w:b/>
          <w:color w:val="auto"/>
          <w:kern w:val="2"/>
          <w:sz w:val="24"/>
          <w:szCs w:val="24"/>
          <w:lang w:eastAsia="zh-CN"/>
        </w:rPr>
        <w:t>投标保证金：</w:t>
      </w:r>
      <w:r>
        <w:rPr>
          <w:rFonts w:hint="eastAsia" w:ascii="仿宋" w:hAnsi="仿宋" w:eastAsia="仿宋" w:cs="仿宋"/>
          <w:b w:val="0"/>
          <w:bCs/>
          <w:color w:val="auto"/>
          <w:kern w:val="2"/>
          <w:sz w:val="24"/>
          <w:szCs w:val="24"/>
          <w:lang w:eastAsia="zh-CN"/>
        </w:rPr>
        <w:t>30000.00元。</w:t>
      </w:r>
    </w:p>
    <w:p w14:paraId="673B2083">
      <w:pPr>
        <w:autoSpaceDE/>
        <w:autoSpaceDN/>
        <w:spacing w:line="360" w:lineRule="auto"/>
        <w:ind w:firstLine="482" w:firstLineChars="200"/>
        <w:jc w:val="both"/>
        <w:rPr>
          <w:rFonts w:hint="eastAsia" w:ascii="仿宋" w:hAnsi="仿宋" w:eastAsia="仿宋" w:cs="仿宋"/>
          <w:b w:val="0"/>
          <w:bCs/>
          <w:color w:val="auto"/>
          <w:kern w:val="2"/>
          <w:sz w:val="24"/>
          <w:szCs w:val="24"/>
          <w:lang w:eastAsia="zh-CN"/>
        </w:rPr>
      </w:pPr>
      <w:r>
        <w:rPr>
          <w:rFonts w:hint="eastAsia" w:ascii="仿宋" w:hAnsi="仿宋" w:eastAsia="仿宋" w:cs="仿宋"/>
          <w:b/>
          <w:color w:val="auto"/>
          <w:kern w:val="2"/>
          <w:sz w:val="24"/>
          <w:szCs w:val="24"/>
          <w:lang w:eastAsia="zh-CN"/>
        </w:rPr>
        <w:t>质量</w:t>
      </w:r>
      <w:r>
        <w:rPr>
          <w:rFonts w:hint="eastAsia" w:ascii="仿宋" w:hAnsi="仿宋" w:eastAsia="仿宋" w:cs="仿宋"/>
          <w:b/>
          <w:color w:val="auto"/>
          <w:kern w:val="2"/>
          <w:sz w:val="24"/>
          <w:szCs w:val="24"/>
          <w:lang w:val="en-US" w:eastAsia="zh-CN"/>
        </w:rPr>
        <w:t>标准</w:t>
      </w:r>
      <w:r>
        <w:rPr>
          <w:rFonts w:hint="eastAsia" w:ascii="仿宋" w:hAnsi="仿宋" w:eastAsia="仿宋" w:cs="仿宋"/>
          <w:b/>
          <w:color w:val="auto"/>
          <w:kern w:val="2"/>
          <w:sz w:val="24"/>
          <w:szCs w:val="24"/>
          <w:lang w:eastAsia="zh-CN"/>
        </w:rPr>
        <w:t>：</w:t>
      </w:r>
      <w:r>
        <w:rPr>
          <w:rFonts w:hint="eastAsia" w:ascii="仿宋" w:hAnsi="仿宋" w:eastAsia="仿宋" w:cs="仿宋"/>
          <w:color w:val="auto"/>
          <w:sz w:val="24"/>
          <w:szCs w:val="24"/>
        </w:rPr>
        <w:t>满足国家现行相关质量标准。</w:t>
      </w:r>
    </w:p>
    <w:p w14:paraId="6CA498E9">
      <w:pPr>
        <w:autoSpaceDE/>
        <w:autoSpaceDN/>
        <w:spacing w:line="360" w:lineRule="auto"/>
        <w:ind w:firstLine="482" w:firstLineChars="200"/>
        <w:jc w:val="both"/>
        <w:rPr>
          <w:rFonts w:hint="eastAsia"/>
          <w:color w:val="auto"/>
          <w:sz w:val="24"/>
          <w:szCs w:val="24"/>
          <w:lang w:eastAsia="zh-CN"/>
        </w:rPr>
      </w:pPr>
      <w:r>
        <w:rPr>
          <w:rFonts w:hint="eastAsia" w:ascii="仿宋" w:hAnsi="仿宋" w:eastAsia="仿宋" w:cs="仿宋"/>
          <w:b/>
          <w:color w:val="auto"/>
          <w:kern w:val="2"/>
          <w:sz w:val="24"/>
          <w:szCs w:val="24"/>
          <w:lang w:eastAsia="zh-CN"/>
        </w:rPr>
        <w:t>代理费支付：</w:t>
      </w:r>
      <w:r>
        <w:rPr>
          <w:rFonts w:hint="eastAsia" w:ascii="仿宋" w:hAnsi="仿宋" w:eastAsia="仿宋" w:cs="仿宋"/>
          <w:color w:val="auto"/>
          <w:sz w:val="24"/>
          <w:szCs w:val="24"/>
        </w:rPr>
        <w:t>根据招标人与代理人签订的招标代理合同约定，本项目招标代理服务费由中标供应商一次性支付，按照黔价房【2011】69号文件下浮20%计取</w:t>
      </w:r>
      <w:r>
        <w:rPr>
          <w:rFonts w:hint="eastAsia" w:ascii="仿宋" w:hAnsi="仿宋" w:eastAsia="仿宋" w:cs="仿宋"/>
          <w:color w:val="auto"/>
          <w:sz w:val="24"/>
          <w:szCs w:val="24"/>
        </w:rPr>
        <w:t>。</w:t>
      </w:r>
    </w:p>
    <w:p w14:paraId="5EE464A4">
      <w:pPr>
        <w:pStyle w:val="3"/>
        <w:tabs>
          <w:tab w:val="left" w:pos="3299"/>
        </w:tabs>
        <w:spacing w:before="0" w:line="360" w:lineRule="auto"/>
        <w:ind w:left="0" w:right="559" w:rightChars="254"/>
        <w:jc w:val="left"/>
        <w:rPr>
          <w:rFonts w:hint="eastAsia" w:ascii="仿宋" w:hAnsi="仿宋" w:eastAsia="仿宋"/>
          <w:b/>
          <w:color w:val="auto"/>
          <w:sz w:val="24"/>
          <w:szCs w:val="24"/>
          <w:lang w:eastAsia="zh-CN"/>
        </w:rPr>
      </w:pPr>
      <w:r>
        <w:rPr>
          <w:rFonts w:hint="eastAsia" w:ascii="仿宋" w:hAnsi="仿宋" w:eastAsia="仿宋"/>
          <w:b/>
          <w:color w:val="auto"/>
          <w:sz w:val="24"/>
          <w:szCs w:val="24"/>
          <w:lang w:eastAsia="zh-CN"/>
        </w:rPr>
        <w:t>三、</w:t>
      </w:r>
      <w:r>
        <w:rPr>
          <w:rFonts w:hint="eastAsia" w:ascii="仿宋" w:hAnsi="仿宋" w:eastAsia="仿宋"/>
          <w:b/>
          <w:color w:val="auto"/>
          <w:sz w:val="24"/>
          <w:szCs w:val="24"/>
          <w:lang w:val="en-US" w:eastAsia="zh-CN"/>
        </w:rPr>
        <w:t>采购内容</w:t>
      </w:r>
      <w:r>
        <w:rPr>
          <w:rFonts w:ascii="仿宋" w:hAnsi="仿宋" w:eastAsia="仿宋"/>
          <w:b/>
          <w:color w:val="auto"/>
          <w:sz w:val="24"/>
          <w:szCs w:val="24"/>
          <w:lang w:eastAsia="zh-CN"/>
        </w:rPr>
        <w:tab/>
      </w:r>
    </w:p>
    <w:p w14:paraId="6748E72E">
      <w:pPr>
        <w:autoSpaceDE/>
        <w:autoSpaceDN/>
        <w:spacing w:line="360" w:lineRule="auto"/>
        <w:ind w:firstLine="480" w:firstLineChars="200"/>
        <w:jc w:val="both"/>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具体采购详细内容见招标文件第五章，采购项目需要落实的政府采购政策等详见《招标文件》</w:t>
      </w:r>
    </w:p>
    <w:p w14:paraId="3C8AE4DD">
      <w:pPr>
        <w:spacing w:line="360" w:lineRule="auto"/>
        <w:ind w:right="99" w:rightChars="45"/>
        <w:rPr>
          <w:rFonts w:hint="eastAsia" w:ascii="仿宋" w:hAnsi="仿宋" w:eastAsia="仿宋" w:cs="Arial"/>
          <w:b/>
          <w:color w:val="auto"/>
          <w:spacing w:val="9"/>
          <w:sz w:val="24"/>
          <w:szCs w:val="24"/>
          <w:lang w:eastAsia="zh-CN"/>
        </w:rPr>
      </w:pPr>
      <w:bookmarkStart w:id="7" w:name="_Toc35393637"/>
      <w:bookmarkStart w:id="8" w:name="_Toc28359096"/>
      <w:bookmarkStart w:id="9" w:name="_Toc35393806"/>
      <w:bookmarkStart w:id="10" w:name="_Toc28359019"/>
      <w:r>
        <w:rPr>
          <w:rFonts w:hint="eastAsia" w:ascii="仿宋" w:hAnsi="仿宋" w:eastAsia="仿宋" w:cs="Arial"/>
          <w:b/>
          <w:color w:val="auto"/>
          <w:spacing w:val="9"/>
          <w:sz w:val="24"/>
          <w:szCs w:val="24"/>
          <w:lang w:eastAsia="zh-CN"/>
        </w:rPr>
        <w:t>四、评标办法</w:t>
      </w:r>
    </w:p>
    <w:p w14:paraId="44A75A46">
      <w:pPr>
        <w:pStyle w:val="11"/>
        <w:kinsoku w:val="0"/>
        <w:overflowPunct w:val="0"/>
        <w:spacing w:line="360" w:lineRule="auto"/>
        <w:ind w:firstLine="565" w:firstLineChars="219"/>
        <w:rPr>
          <w:rFonts w:hint="eastAsia" w:ascii="仿宋" w:hAnsi="仿宋" w:eastAsia="仿宋" w:cs="Arial"/>
          <w:color w:val="auto"/>
          <w:spacing w:val="9"/>
          <w:sz w:val="24"/>
          <w:szCs w:val="24"/>
          <w:lang w:eastAsia="zh-CN"/>
        </w:rPr>
      </w:pPr>
      <w:r>
        <w:rPr>
          <w:rFonts w:hint="eastAsia" w:ascii="仿宋" w:hAnsi="仿宋" w:eastAsia="仿宋" w:cs="Arial"/>
          <w:color w:val="auto"/>
          <w:spacing w:val="9"/>
          <w:sz w:val="24"/>
          <w:szCs w:val="24"/>
          <w:lang w:eastAsia="zh-CN"/>
        </w:rPr>
        <w:t>综合评分法</w:t>
      </w:r>
    </w:p>
    <w:p w14:paraId="3F913AEC">
      <w:pPr>
        <w:pStyle w:val="11"/>
        <w:kinsoku w:val="0"/>
        <w:overflowPunct w:val="0"/>
        <w:spacing w:line="360" w:lineRule="auto"/>
        <w:rPr>
          <w:rFonts w:hint="eastAsia" w:ascii="仿宋" w:hAnsi="仿宋" w:eastAsia="仿宋" w:cs="Arial"/>
          <w:b/>
          <w:color w:val="auto"/>
          <w:spacing w:val="9"/>
          <w:sz w:val="24"/>
          <w:szCs w:val="24"/>
          <w:lang w:eastAsia="zh-CN"/>
        </w:rPr>
      </w:pPr>
      <w:r>
        <w:rPr>
          <w:rFonts w:hint="eastAsia" w:ascii="仿宋" w:hAnsi="仿宋" w:eastAsia="仿宋" w:cs="Arial"/>
          <w:b/>
          <w:color w:val="auto"/>
          <w:spacing w:val="9"/>
          <w:sz w:val="24"/>
          <w:szCs w:val="24"/>
          <w:lang w:eastAsia="zh-CN"/>
        </w:rPr>
        <w:t>五、无效标条款：</w:t>
      </w:r>
    </w:p>
    <w:p w14:paraId="799B84FF">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（1）投标文件未按本招标文件要求送达（上传）的；</w:t>
      </w:r>
    </w:p>
    <w:p w14:paraId="6696F862">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（2）投标人的参会代表未按本招标文件规定时间进行解密的；</w:t>
      </w:r>
    </w:p>
    <w:p w14:paraId="30CCBDE5">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（3）投标文件电子U盘的包封套未按招标文件要求密封、标识和签署的（多余标识和签署的除外）；</w:t>
      </w:r>
    </w:p>
    <w:p w14:paraId="00F288EE">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（4）不具备招标文件规定的资格条件的或上传的资格审查资料不齐或资格审查资料无效的；</w:t>
      </w:r>
    </w:p>
    <w:p w14:paraId="2C4C6709">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（5）投标人没有按要求足额交纳投标保证金的，将丧失投标资格；</w:t>
      </w:r>
    </w:p>
    <w:p w14:paraId="05A26C06">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（6）投标函的投标报价采用手写或作修改的；</w:t>
      </w:r>
    </w:p>
    <w:p w14:paraId="6E56088C">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（7）不按评标委员会要求澄清、说明或补正的；</w:t>
      </w:r>
    </w:p>
    <w:p w14:paraId="618B113E">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（8）在符合性评审中，评标委员会认定投标人的投标不符合评标办法前附表中规定的任何一项评审标准的；</w:t>
      </w:r>
    </w:p>
    <w:p w14:paraId="7979A26E">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（9）投标文件未按照招标文件要求签署、盖章的（加盖单位鲜章原件扫描或加盖单位电子印章均可）;</w:t>
      </w:r>
    </w:p>
    <w:p w14:paraId="534AB7EE">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（10）投标报价高于最高投标限价或经评标委员会认定低于成本价的；</w:t>
      </w:r>
    </w:p>
    <w:p w14:paraId="2881367F">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（11）服务期不满足招标文件的规定的；</w:t>
      </w:r>
    </w:p>
    <w:p w14:paraId="7932C826">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（12）评标委员会认定投标文件雷同的；</w:t>
      </w:r>
    </w:p>
    <w:p w14:paraId="5228D341">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（13）投标文件对本招标文件需承诺内容未作出承诺的；</w:t>
      </w:r>
    </w:p>
    <w:p w14:paraId="0C2C19EA">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（14）失信被执行人、税收违法黑名单（或重大税收违法失信主体）、政府采购严重违法失信行为记录名单供应商参与政府采购活动的，将丧失投标资格；</w:t>
      </w:r>
    </w:p>
    <w:p w14:paraId="565C227E">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（15）以任何方式或者方法提供投标内容以外的任何附赠条款；</w:t>
      </w:r>
    </w:p>
    <w:p w14:paraId="367806F1">
      <w:pPr>
        <w:pStyle w:val="11"/>
        <w:kinsoku w:val="0"/>
        <w:overflowPunct w:val="0"/>
        <w:spacing w:line="360" w:lineRule="auto"/>
        <w:ind w:firstLine="565" w:firstLineChars="219"/>
        <w:rPr>
          <w:rFonts w:hint="eastAsia" w:ascii="仿宋" w:hAnsi="仿宋" w:eastAsia="仿宋" w:cs="Arial"/>
          <w:b w:val="0"/>
          <w:bCs/>
          <w:color w:val="auto"/>
          <w:spacing w:val="9"/>
          <w:sz w:val="24"/>
          <w:szCs w:val="24"/>
          <w:lang w:eastAsia="zh-CN"/>
        </w:rPr>
      </w:pPr>
      <w:r>
        <w:rPr>
          <w:rFonts w:hint="eastAsia" w:ascii="仿宋" w:hAnsi="仿宋" w:eastAsia="仿宋" w:cs="Arial"/>
          <w:b w:val="0"/>
          <w:bCs/>
          <w:color w:val="auto"/>
          <w:spacing w:val="9"/>
          <w:sz w:val="24"/>
          <w:szCs w:val="24"/>
          <w:lang w:eastAsia="zh-CN"/>
        </w:rPr>
        <w:t>（16）投标文件有关内容违反法律法规规章相关规定的。</w:t>
      </w:r>
    </w:p>
    <w:p w14:paraId="1B8D522F">
      <w:pPr>
        <w:spacing w:line="360" w:lineRule="auto"/>
        <w:ind w:right="99" w:rightChars="45"/>
        <w:rPr>
          <w:rFonts w:hint="eastAsia" w:ascii="仿宋" w:hAnsi="仿宋" w:eastAsia="仿宋" w:cs="Arial"/>
          <w:b/>
          <w:color w:val="auto"/>
          <w:spacing w:val="9"/>
          <w:sz w:val="24"/>
          <w:szCs w:val="24"/>
          <w:lang w:eastAsia="zh-CN"/>
        </w:rPr>
      </w:pPr>
      <w:r>
        <w:rPr>
          <w:rFonts w:hint="eastAsia" w:ascii="仿宋" w:hAnsi="仿宋" w:eastAsia="仿宋" w:cs="Arial"/>
          <w:b/>
          <w:color w:val="auto"/>
          <w:spacing w:val="9"/>
          <w:sz w:val="24"/>
          <w:szCs w:val="24"/>
          <w:lang w:eastAsia="zh-CN"/>
        </w:rPr>
        <w:t>六、特别说明：</w:t>
      </w:r>
    </w:p>
    <w:p w14:paraId="0B5E33A4">
      <w:pPr>
        <w:pStyle w:val="11"/>
        <w:kinsoku w:val="0"/>
        <w:overflowPunct w:val="0"/>
        <w:spacing w:line="360" w:lineRule="auto"/>
        <w:ind w:firstLine="565" w:firstLineChars="219"/>
        <w:rPr>
          <w:rFonts w:hint="eastAsia" w:ascii="仿宋" w:hAnsi="仿宋" w:eastAsia="仿宋" w:cs="Arial"/>
          <w:color w:val="auto"/>
          <w:spacing w:val="9"/>
          <w:sz w:val="24"/>
          <w:szCs w:val="24"/>
          <w:lang w:eastAsia="zh-CN"/>
        </w:rPr>
      </w:pPr>
      <w:r>
        <w:rPr>
          <w:rFonts w:hint="eastAsia" w:ascii="仿宋" w:hAnsi="仿宋" w:eastAsia="仿宋" w:cs="Arial"/>
          <w:color w:val="auto"/>
          <w:spacing w:val="9"/>
          <w:sz w:val="24"/>
          <w:szCs w:val="24"/>
          <w:lang w:eastAsia="zh-CN"/>
        </w:rPr>
        <w:t>本公示内容仅为招标人对本项目的需求公示，具体内容以最终招标文件发售稿为准！</w:t>
      </w:r>
    </w:p>
    <w:p w14:paraId="428476B6">
      <w:pPr>
        <w:spacing w:line="360" w:lineRule="auto"/>
        <w:ind w:right="99" w:rightChars="45"/>
        <w:rPr>
          <w:rFonts w:hint="eastAsia" w:ascii="仿宋" w:hAnsi="仿宋" w:eastAsia="仿宋" w:cs="Arial"/>
          <w:b/>
          <w:color w:val="auto"/>
          <w:spacing w:val="9"/>
          <w:sz w:val="24"/>
          <w:szCs w:val="24"/>
          <w:lang w:eastAsia="zh-CN"/>
        </w:rPr>
      </w:pPr>
      <w:r>
        <w:rPr>
          <w:rFonts w:hint="eastAsia" w:ascii="仿宋" w:hAnsi="仿宋" w:eastAsia="仿宋" w:cs="Arial"/>
          <w:b/>
          <w:color w:val="auto"/>
          <w:spacing w:val="9"/>
          <w:sz w:val="24"/>
          <w:szCs w:val="24"/>
          <w:lang w:eastAsia="zh-CN"/>
        </w:rPr>
        <w:t>七、联系方式</w:t>
      </w:r>
    </w:p>
    <w:p w14:paraId="493C2951">
      <w:pPr>
        <w:pStyle w:val="3"/>
        <w:spacing w:before="0" w:line="360" w:lineRule="auto"/>
        <w:ind w:left="0" w:firstLine="566" w:firstLineChars="236"/>
        <w:jc w:val="both"/>
        <w:rPr>
          <w:rFonts w:hint="eastAsia" w:ascii="仿宋" w:hAnsi="仿宋" w:eastAsia="仿宋"/>
          <w:color w:val="auto"/>
          <w:sz w:val="24"/>
          <w:szCs w:val="24"/>
          <w:lang w:eastAsia="zh-CN"/>
        </w:rPr>
      </w:pPr>
      <w:r>
        <w:rPr>
          <w:rFonts w:hint="eastAsia" w:ascii="仿宋" w:hAnsi="仿宋" w:eastAsia="仿宋"/>
          <w:color w:val="auto"/>
          <w:sz w:val="24"/>
          <w:szCs w:val="24"/>
          <w:lang w:eastAsia="zh-CN"/>
        </w:rPr>
        <w:t>1.采购人信息</w:t>
      </w:r>
      <w:bookmarkEnd w:id="7"/>
      <w:bookmarkEnd w:id="8"/>
      <w:bookmarkEnd w:id="9"/>
      <w:bookmarkEnd w:id="10"/>
      <w:r>
        <w:rPr>
          <w:rFonts w:hint="eastAsia" w:ascii="仿宋" w:hAnsi="仿宋" w:eastAsia="仿宋"/>
          <w:color w:val="auto"/>
          <w:sz w:val="24"/>
          <w:szCs w:val="24"/>
          <w:lang w:eastAsia="zh-CN"/>
        </w:rPr>
        <w:t xml:space="preserve">                                 </w:t>
      </w:r>
    </w:p>
    <w:p w14:paraId="24A25191">
      <w:pPr>
        <w:spacing w:line="360" w:lineRule="auto"/>
        <w:ind w:firstLine="566" w:firstLineChars="236"/>
        <w:jc w:val="both"/>
        <w:rPr>
          <w:rFonts w:hint="eastAsia" w:ascii="仿宋" w:hAnsi="仿宋" w:eastAsia="仿宋"/>
          <w:color w:val="auto"/>
          <w:sz w:val="24"/>
          <w:szCs w:val="24"/>
          <w:u w:val="single"/>
          <w:lang w:eastAsia="zh-CN"/>
        </w:rPr>
      </w:pPr>
      <w:r>
        <w:rPr>
          <w:rFonts w:hint="eastAsia" w:ascii="仿宋" w:hAnsi="仿宋" w:eastAsia="仿宋"/>
          <w:color w:val="auto"/>
          <w:sz w:val="24"/>
          <w:szCs w:val="24"/>
          <w:lang w:eastAsia="zh-CN"/>
        </w:rPr>
        <w:t>名    称：</w:t>
      </w:r>
      <w:r>
        <w:rPr>
          <w:rFonts w:hint="eastAsia" w:ascii="仿宋" w:hAnsi="仿宋" w:eastAsia="仿宋"/>
          <w:color w:val="auto"/>
          <w:sz w:val="24"/>
          <w:szCs w:val="24"/>
          <w:u w:val="single"/>
          <w:lang w:eastAsia="zh-CN"/>
        </w:rPr>
        <w:t>　　</w:t>
      </w:r>
      <w:bookmarkStart w:id="11" w:name="OLE_LINK2"/>
      <w:r>
        <w:rPr>
          <w:rFonts w:hint="eastAsia" w:ascii="仿宋" w:hAnsi="仿宋" w:eastAsia="仿宋"/>
          <w:color w:val="auto"/>
          <w:sz w:val="24"/>
          <w:szCs w:val="24"/>
          <w:u w:val="single"/>
          <w:lang w:eastAsia="zh-CN"/>
        </w:rPr>
        <w:t>遵义市国防动员办公室</w:t>
      </w:r>
      <w:bookmarkEnd w:id="11"/>
      <w:r>
        <w:rPr>
          <w:rFonts w:hint="eastAsia" w:ascii="仿宋" w:hAnsi="仿宋" w:eastAsia="仿宋"/>
          <w:color w:val="auto"/>
          <w:sz w:val="24"/>
          <w:szCs w:val="24"/>
          <w:u w:val="single"/>
          <w:lang w:eastAsia="zh-CN"/>
        </w:rPr>
        <w:t xml:space="preserve">          </w:t>
      </w:r>
    </w:p>
    <w:p w14:paraId="05181497">
      <w:pPr>
        <w:spacing w:line="360" w:lineRule="auto"/>
        <w:ind w:firstLine="566" w:firstLineChars="236"/>
        <w:jc w:val="both"/>
        <w:rPr>
          <w:rFonts w:hint="eastAsia" w:ascii="仿宋" w:hAnsi="仿宋" w:eastAsia="仿宋"/>
          <w:color w:val="auto"/>
          <w:sz w:val="24"/>
          <w:szCs w:val="24"/>
          <w:u w:val="single"/>
          <w:lang w:eastAsia="zh-CN"/>
        </w:rPr>
      </w:pPr>
      <w:r>
        <w:rPr>
          <w:rFonts w:hint="eastAsia" w:ascii="仿宋" w:hAnsi="仿宋" w:eastAsia="仿宋"/>
          <w:color w:val="auto"/>
          <w:sz w:val="24"/>
          <w:szCs w:val="24"/>
          <w:lang w:eastAsia="zh-CN"/>
        </w:rPr>
        <w:t>地　　址：</w:t>
      </w:r>
      <w:r>
        <w:rPr>
          <w:rFonts w:hint="eastAsia" w:ascii="仿宋" w:hAnsi="仿宋" w:eastAsia="仿宋"/>
          <w:color w:val="auto"/>
          <w:sz w:val="24"/>
          <w:szCs w:val="24"/>
          <w:u w:val="single"/>
          <w:lang w:eastAsia="zh-CN"/>
        </w:rPr>
        <w:t>　　遵义市汇川区沈阳北路凯利达酒店10楼 　</w:t>
      </w:r>
    </w:p>
    <w:p w14:paraId="2061456A">
      <w:pPr>
        <w:spacing w:line="360" w:lineRule="auto"/>
        <w:ind w:firstLine="566" w:firstLineChars="236"/>
        <w:jc w:val="both"/>
        <w:rPr>
          <w:rFonts w:hint="eastAsia" w:ascii="仿宋" w:hAnsi="仿宋" w:eastAsia="仿宋"/>
          <w:color w:val="auto"/>
          <w:sz w:val="24"/>
          <w:szCs w:val="24"/>
          <w:u w:val="single"/>
          <w:lang w:eastAsia="zh-CN"/>
        </w:rPr>
      </w:pPr>
      <w:r>
        <w:rPr>
          <w:rFonts w:hint="eastAsia" w:ascii="仿宋" w:hAnsi="仿宋" w:eastAsia="仿宋"/>
          <w:color w:val="auto"/>
          <w:sz w:val="24"/>
          <w:szCs w:val="24"/>
          <w:lang w:eastAsia="zh-CN"/>
        </w:rPr>
        <w:t>联系人：</w:t>
      </w: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val="en-US" w:eastAsia="zh-CN"/>
        </w:rPr>
        <w:t>安康</w:t>
      </w:r>
      <w:r>
        <w:rPr>
          <w:rFonts w:hint="eastAsia" w:ascii="仿宋" w:hAnsi="仿宋" w:eastAsia="仿宋"/>
          <w:color w:val="auto"/>
          <w:sz w:val="24"/>
          <w:szCs w:val="24"/>
          <w:u w:val="single"/>
          <w:lang w:eastAsia="zh-CN"/>
        </w:rPr>
        <w:t xml:space="preserve">                            </w:t>
      </w:r>
    </w:p>
    <w:p w14:paraId="16DC066D">
      <w:pPr>
        <w:spacing w:line="360" w:lineRule="auto"/>
        <w:ind w:firstLine="566" w:firstLineChars="236"/>
        <w:jc w:val="both"/>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联系方式：</w:t>
      </w:r>
      <w:r>
        <w:rPr>
          <w:rFonts w:hint="eastAsia" w:ascii="仿宋" w:hAnsi="仿宋" w:eastAsia="仿宋"/>
          <w:color w:val="auto"/>
          <w:sz w:val="24"/>
          <w:szCs w:val="24"/>
          <w:u w:val="single"/>
          <w:lang w:eastAsia="zh-CN"/>
        </w:rPr>
        <w:t>　　</w:t>
      </w:r>
      <w:r>
        <w:rPr>
          <w:rFonts w:hint="eastAsia" w:ascii="仿宋" w:hAnsi="仿宋" w:eastAsia="仿宋"/>
          <w:color w:val="auto"/>
          <w:sz w:val="24"/>
          <w:szCs w:val="24"/>
          <w:u w:val="single"/>
          <w:lang w:val="en-US" w:eastAsia="zh-CN"/>
        </w:rPr>
        <w:t>15085070643</w:t>
      </w:r>
      <w:r>
        <w:rPr>
          <w:rFonts w:hint="eastAsia" w:ascii="仿宋" w:hAnsi="仿宋" w:eastAsia="仿宋"/>
          <w:color w:val="auto"/>
          <w:sz w:val="24"/>
          <w:szCs w:val="24"/>
          <w:u w:val="single" w:color="000000"/>
          <w:lang w:eastAsia="zh-CN"/>
        </w:rPr>
        <w:t xml:space="preserve">                       </w:t>
      </w:r>
    </w:p>
    <w:p w14:paraId="30B0E142">
      <w:pPr>
        <w:spacing w:line="360" w:lineRule="auto"/>
        <w:ind w:firstLine="566" w:firstLineChars="236"/>
        <w:jc w:val="both"/>
        <w:rPr>
          <w:rFonts w:hint="eastAsia" w:ascii="仿宋" w:hAnsi="仿宋" w:eastAsia="仿宋"/>
          <w:color w:val="auto"/>
          <w:sz w:val="24"/>
          <w:szCs w:val="24"/>
          <w:lang w:eastAsia="zh-CN"/>
        </w:rPr>
      </w:pPr>
      <w:r>
        <w:rPr>
          <w:rFonts w:hint="eastAsia" w:ascii="仿宋" w:hAnsi="仿宋" w:eastAsia="仿宋"/>
          <w:color w:val="auto"/>
          <w:sz w:val="24"/>
          <w:szCs w:val="24"/>
          <w:lang w:eastAsia="zh-CN"/>
        </w:rPr>
        <w:t>2.采购代理机构信息（如有）</w:t>
      </w:r>
    </w:p>
    <w:p w14:paraId="15E772BE">
      <w:pPr>
        <w:spacing w:line="360" w:lineRule="auto"/>
        <w:ind w:firstLine="566" w:firstLineChars="236"/>
        <w:jc w:val="both"/>
        <w:rPr>
          <w:rFonts w:hint="eastAsia" w:ascii="仿宋" w:hAnsi="仿宋" w:eastAsia="仿宋"/>
          <w:color w:val="auto"/>
          <w:sz w:val="24"/>
          <w:szCs w:val="24"/>
          <w:u w:val="single"/>
          <w:lang w:eastAsia="zh-CN"/>
        </w:rPr>
      </w:pPr>
      <w:r>
        <w:rPr>
          <w:rFonts w:hint="eastAsia" w:ascii="仿宋" w:hAnsi="仿宋" w:eastAsia="仿宋"/>
          <w:color w:val="auto"/>
          <w:sz w:val="24"/>
          <w:szCs w:val="24"/>
          <w:lang w:eastAsia="zh-CN"/>
        </w:rPr>
        <w:t>名    称：</w:t>
      </w:r>
      <w:r>
        <w:rPr>
          <w:rFonts w:hint="eastAsia" w:ascii="仿宋" w:hAnsi="仿宋" w:eastAsia="仿宋"/>
          <w:color w:val="auto"/>
          <w:sz w:val="24"/>
          <w:szCs w:val="24"/>
          <w:u w:val="single"/>
          <w:lang w:eastAsia="zh-CN"/>
        </w:rPr>
        <w:t>　贵州智汇项目管理有限公司</w:t>
      </w:r>
    </w:p>
    <w:p w14:paraId="4AB7D9CA">
      <w:pPr>
        <w:spacing w:line="360" w:lineRule="auto"/>
        <w:ind w:firstLine="566" w:firstLineChars="236"/>
        <w:jc w:val="both"/>
        <w:rPr>
          <w:rFonts w:hint="eastAsia" w:ascii="仿宋" w:hAnsi="仿宋" w:eastAsia="仿宋"/>
          <w:color w:val="auto"/>
          <w:sz w:val="24"/>
          <w:szCs w:val="24"/>
          <w:u w:val="single"/>
          <w:lang w:eastAsia="zh-CN"/>
        </w:rPr>
      </w:pPr>
      <w:r>
        <w:rPr>
          <w:rFonts w:hint="eastAsia" w:ascii="仿宋" w:hAnsi="仿宋" w:eastAsia="仿宋"/>
          <w:color w:val="auto"/>
          <w:sz w:val="24"/>
          <w:szCs w:val="24"/>
          <w:lang w:eastAsia="zh-CN"/>
        </w:rPr>
        <w:t>地    址：</w:t>
      </w:r>
      <w:r>
        <w:rPr>
          <w:rFonts w:hint="eastAsia" w:ascii="仿宋" w:hAnsi="仿宋" w:eastAsia="仿宋"/>
          <w:color w:val="auto"/>
          <w:sz w:val="24"/>
          <w:szCs w:val="24"/>
          <w:u w:val="single"/>
          <w:lang w:eastAsia="zh-CN"/>
        </w:rPr>
        <w:t>　贵州省遵义市红花岗区东联络线理想城11栋6-4</w:t>
      </w:r>
    </w:p>
    <w:p w14:paraId="2C5C62E5">
      <w:pPr>
        <w:spacing w:line="360" w:lineRule="auto"/>
        <w:ind w:firstLine="566" w:firstLineChars="236"/>
        <w:jc w:val="both"/>
        <w:rPr>
          <w:rFonts w:hint="eastAsia" w:ascii="仿宋" w:hAnsi="仿宋" w:eastAsia="仿宋"/>
          <w:color w:val="auto"/>
          <w:sz w:val="24"/>
          <w:szCs w:val="24"/>
          <w:u w:val="single"/>
          <w:lang w:eastAsia="zh-CN"/>
        </w:rPr>
      </w:pPr>
      <w:r>
        <w:rPr>
          <w:rFonts w:hint="eastAsia" w:ascii="仿宋" w:hAnsi="仿宋" w:eastAsia="仿宋"/>
          <w:color w:val="auto"/>
          <w:sz w:val="24"/>
          <w:szCs w:val="24"/>
          <w:lang w:eastAsia="zh-CN"/>
        </w:rPr>
        <w:t>联系人：</w:t>
      </w:r>
      <w:r>
        <w:rPr>
          <w:rFonts w:hint="eastAsia" w:ascii="仿宋" w:hAnsi="仿宋" w:eastAsia="仿宋"/>
          <w:color w:val="auto"/>
          <w:sz w:val="24"/>
          <w:szCs w:val="24"/>
          <w:u w:val="single"/>
          <w:lang w:eastAsia="zh-CN"/>
        </w:rPr>
        <w:t xml:space="preserve">    刘飞宇                    </w:t>
      </w:r>
    </w:p>
    <w:p w14:paraId="7526866A">
      <w:pPr>
        <w:spacing w:line="360" w:lineRule="auto"/>
        <w:ind w:firstLine="566" w:firstLineChars="236"/>
        <w:jc w:val="both"/>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联系方式：</w:t>
      </w:r>
      <w:r>
        <w:rPr>
          <w:rFonts w:hint="eastAsia" w:ascii="仿宋" w:hAnsi="仿宋" w:eastAsia="仿宋"/>
          <w:color w:val="auto"/>
          <w:sz w:val="24"/>
          <w:szCs w:val="24"/>
          <w:u w:val="single"/>
          <w:lang w:eastAsia="zh-CN"/>
        </w:rPr>
        <w:t xml:space="preserve">　15597736548 　         </w:t>
      </w:r>
    </w:p>
    <w:p w14:paraId="6536C740">
      <w:pPr>
        <w:pStyle w:val="3"/>
        <w:spacing w:before="0" w:line="360" w:lineRule="auto"/>
        <w:ind w:left="0" w:firstLine="566" w:firstLineChars="236"/>
        <w:jc w:val="both"/>
        <w:rPr>
          <w:rFonts w:hint="eastAsia" w:ascii="仿宋" w:hAnsi="仿宋" w:eastAsia="仿宋"/>
          <w:color w:val="auto"/>
          <w:sz w:val="24"/>
          <w:szCs w:val="24"/>
          <w:lang w:eastAsia="zh-CN"/>
        </w:rPr>
      </w:pPr>
      <w:bookmarkStart w:id="12" w:name="_Toc28359021"/>
      <w:bookmarkStart w:id="13" w:name="_Toc28359098"/>
      <w:bookmarkStart w:id="14" w:name="_Toc35393639"/>
      <w:bookmarkStart w:id="15" w:name="_Toc35393808"/>
      <w:r>
        <w:rPr>
          <w:rFonts w:hint="eastAsia" w:ascii="仿宋" w:hAnsi="仿宋" w:eastAsia="仿宋"/>
          <w:color w:val="auto"/>
          <w:sz w:val="24"/>
          <w:szCs w:val="24"/>
          <w:lang w:eastAsia="zh-CN"/>
        </w:rPr>
        <w:t>3.项目联系方式</w:t>
      </w:r>
      <w:bookmarkEnd w:id="12"/>
      <w:bookmarkEnd w:id="13"/>
      <w:bookmarkEnd w:id="14"/>
      <w:bookmarkEnd w:id="15"/>
    </w:p>
    <w:p w14:paraId="543BDE82">
      <w:pPr>
        <w:pStyle w:val="12"/>
        <w:spacing w:line="360" w:lineRule="auto"/>
        <w:ind w:firstLine="566" w:firstLineChars="236"/>
        <w:jc w:val="both"/>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项目联系人：</w:t>
      </w:r>
      <w:r>
        <w:rPr>
          <w:rFonts w:hint="eastAsia" w:ascii="仿宋" w:hAnsi="仿宋" w:eastAsia="仿宋"/>
          <w:color w:val="auto"/>
          <w:sz w:val="24"/>
          <w:szCs w:val="24"/>
          <w:u w:val="single"/>
          <w:lang w:eastAsia="zh-CN"/>
        </w:rPr>
        <w:t xml:space="preserve">   </w:t>
      </w:r>
      <w:r>
        <w:rPr>
          <w:rFonts w:hint="eastAsia" w:ascii="仿宋" w:hAnsi="仿宋" w:eastAsia="仿宋"/>
          <w:bCs/>
          <w:color w:val="auto"/>
          <w:sz w:val="24"/>
          <w:szCs w:val="24"/>
          <w:u w:val="single" w:color="000000"/>
          <w:lang w:val="en-US" w:eastAsia="zh-CN"/>
        </w:rPr>
        <w:t>刘飞宇</w:t>
      </w:r>
      <w:r>
        <w:rPr>
          <w:rFonts w:hint="eastAsia" w:ascii="仿宋" w:hAnsi="仿宋" w:eastAsia="仿宋"/>
          <w:color w:val="auto"/>
          <w:sz w:val="24"/>
          <w:szCs w:val="24"/>
          <w:u w:val="single"/>
          <w:lang w:eastAsia="zh-CN"/>
        </w:rPr>
        <w:t xml:space="preserve">                 </w:t>
      </w:r>
    </w:p>
    <w:p w14:paraId="0DD9DCD4">
      <w:pPr>
        <w:spacing w:line="360" w:lineRule="auto"/>
        <w:ind w:firstLine="566" w:firstLineChars="236"/>
        <w:jc w:val="both"/>
        <w:rPr>
          <w:rFonts w:hint="eastAsia" w:ascii="仿宋" w:hAnsi="仿宋" w:eastAsia="仿宋"/>
          <w:color w:val="auto"/>
          <w:sz w:val="24"/>
          <w:szCs w:val="24"/>
          <w:u w:val="single"/>
          <w:lang w:eastAsia="zh-CN"/>
        </w:rPr>
      </w:pPr>
      <w:r>
        <w:rPr>
          <w:rFonts w:hint="eastAsia" w:ascii="仿宋" w:hAnsi="仿宋" w:eastAsia="仿宋"/>
          <w:color w:val="auto"/>
          <w:sz w:val="24"/>
          <w:szCs w:val="24"/>
          <w:lang w:eastAsia="zh-CN"/>
        </w:rPr>
        <w:t>电　　 话：</w:t>
      </w:r>
      <w:r>
        <w:rPr>
          <w:rFonts w:hint="eastAsia" w:ascii="仿宋" w:hAnsi="仿宋" w:eastAsia="仿宋"/>
          <w:color w:val="auto"/>
          <w:sz w:val="24"/>
          <w:szCs w:val="24"/>
          <w:u w:val="single"/>
          <w:lang w:eastAsia="zh-CN"/>
        </w:rPr>
        <w:t>　　</w:t>
      </w:r>
      <w:r>
        <w:rPr>
          <w:rFonts w:hint="eastAsia" w:ascii="仿宋" w:hAnsi="仿宋" w:eastAsia="仿宋"/>
          <w:color w:val="auto"/>
          <w:sz w:val="24"/>
          <w:szCs w:val="24"/>
          <w:u w:val="single"/>
          <w:lang w:val="en-US" w:eastAsia="zh-CN"/>
        </w:rPr>
        <w:t>15597736548</w:t>
      </w:r>
      <w:r>
        <w:rPr>
          <w:rFonts w:hint="eastAsia" w:ascii="仿宋" w:hAnsi="仿宋" w:eastAsia="仿宋"/>
          <w:color w:val="auto"/>
          <w:sz w:val="24"/>
          <w:szCs w:val="24"/>
          <w:u w:val="single" w:color="000000"/>
          <w:lang w:eastAsia="zh-CN"/>
        </w:rPr>
        <w:t xml:space="preserve">  </w:t>
      </w:r>
      <w:r>
        <w:rPr>
          <w:rFonts w:hint="eastAsia" w:ascii="仿宋" w:hAnsi="仿宋" w:eastAsia="仿宋"/>
          <w:color w:val="auto"/>
          <w:sz w:val="24"/>
          <w:szCs w:val="24"/>
          <w:u w:val="single"/>
          <w:lang w:eastAsia="zh-CN"/>
        </w:rPr>
        <w:t xml:space="preserve">　　      </w:t>
      </w:r>
    </w:p>
    <w:p w14:paraId="2BE4728D">
      <w:pPr>
        <w:widowControl/>
        <w:autoSpaceDE/>
        <w:autoSpaceDN/>
        <w:rPr>
          <w:rFonts w:hint="eastAsia"/>
          <w:color w:val="auto"/>
          <w:lang w:eastAsia="zh-CN"/>
        </w:rPr>
      </w:pPr>
    </w:p>
    <w:sectPr>
      <w:footerReference r:id="rId3" w:type="default"/>
      <w:pgSz w:w="11900" w:h="16840"/>
      <w:pgMar w:top="567" w:right="1080" w:bottom="851"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9025">
    <w:pPr>
      <w:pStyle w:val="11"/>
      <w:spacing w:line="14" w:lineRule="auto"/>
      <w:rPr>
        <w:rFonts w:hint="eastAsia"/>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mI0ZGY1ODMwN2M3ZGVmODFjYjU2NzVlZjRkZGIifQ=="/>
  </w:docVars>
  <w:rsids>
    <w:rsidRoot w:val="00661236"/>
    <w:rsid w:val="00023E60"/>
    <w:rsid w:val="00024149"/>
    <w:rsid w:val="00037C8E"/>
    <w:rsid w:val="0006032A"/>
    <w:rsid w:val="0007171B"/>
    <w:rsid w:val="00076B76"/>
    <w:rsid w:val="000C4EBA"/>
    <w:rsid w:val="000E3FF6"/>
    <w:rsid w:val="00101747"/>
    <w:rsid w:val="001261AA"/>
    <w:rsid w:val="00176232"/>
    <w:rsid w:val="001C0424"/>
    <w:rsid w:val="001D69E1"/>
    <w:rsid w:val="00216328"/>
    <w:rsid w:val="00225CA1"/>
    <w:rsid w:val="0024136D"/>
    <w:rsid w:val="00255C65"/>
    <w:rsid w:val="00270A49"/>
    <w:rsid w:val="0027728C"/>
    <w:rsid w:val="002A0DDA"/>
    <w:rsid w:val="002C0F5D"/>
    <w:rsid w:val="002C519A"/>
    <w:rsid w:val="002E630B"/>
    <w:rsid w:val="00303CF8"/>
    <w:rsid w:val="00341530"/>
    <w:rsid w:val="003440BB"/>
    <w:rsid w:val="003578BA"/>
    <w:rsid w:val="00373871"/>
    <w:rsid w:val="003B2390"/>
    <w:rsid w:val="004079AA"/>
    <w:rsid w:val="00422BCC"/>
    <w:rsid w:val="004307A3"/>
    <w:rsid w:val="00445B54"/>
    <w:rsid w:val="004665DF"/>
    <w:rsid w:val="004E30F9"/>
    <w:rsid w:val="00514985"/>
    <w:rsid w:val="00552A7A"/>
    <w:rsid w:val="00596C53"/>
    <w:rsid w:val="005B4016"/>
    <w:rsid w:val="005E0636"/>
    <w:rsid w:val="005E1826"/>
    <w:rsid w:val="005F3175"/>
    <w:rsid w:val="005F4615"/>
    <w:rsid w:val="00621754"/>
    <w:rsid w:val="006349AE"/>
    <w:rsid w:val="00646D4D"/>
    <w:rsid w:val="00661236"/>
    <w:rsid w:val="00682A87"/>
    <w:rsid w:val="006C7901"/>
    <w:rsid w:val="006D1F36"/>
    <w:rsid w:val="006F0CFD"/>
    <w:rsid w:val="00710B76"/>
    <w:rsid w:val="00775F6B"/>
    <w:rsid w:val="007A57D1"/>
    <w:rsid w:val="007D73AD"/>
    <w:rsid w:val="00817596"/>
    <w:rsid w:val="00817B55"/>
    <w:rsid w:val="00845C0A"/>
    <w:rsid w:val="00847775"/>
    <w:rsid w:val="00893DB9"/>
    <w:rsid w:val="00905141"/>
    <w:rsid w:val="009249BC"/>
    <w:rsid w:val="00947B41"/>
    <w:rsid w:val="00976836"/>
    <w:rsid w:val="009A71FA"/>
    <w:rsid w:val="009D12D0"/>
    <w:rsid w:val="009D4DE9"/>
    <w:rsid w:val="00A22E34"/>
    <w:rsid w:val="00A43047"/>
    <w:rsid w:val="00AA43CA"/>
    <w:rsid w:val="00AB1355"/>
    <w:rsid w:val="00AD2C35"/>
    <w:rsid w:val="00B10737"/>
    <w:rsid w:val="00B52665"/>
    <w:rsid w:val="00BB4852"/>
    <w:rsid w:val="00BC65EC"/>
    <w:rsid w:val="00BE20E1"/>
    <w:rsid w:val="00BE5E51"/>
    <w:rsid w:val="00C542D4"/>
    <w:rsid w:val="00C65BD3"/>
    <w:rsid w:val="00C974C4"/>
    <w:rsid w:val="00CB0DD1"/>
    <w:rsid w:val="00CB7855"/>
    <w:rsid w:val="00CE57FE"/>
    <w:rsid w:val="00CF3156"/>
    <w:rsid w:val="00D05D72"/>
    <w:rsid w:val="00DD6333"/>
    <w:rsid w:val="00DE0DE3"/>
    <w:rsid w:val="00DE481D"/>
    <w:rsid w:val="00DF33ED"/>
    <w:rsid w:val="00DF66DD"/>
    <w:rsid w:val="00EB40B4"/>
    <w:rsid w:val="00ED1844"/>
    <w:rsid w:val="00EE49E5"/>
    <w:rsid w:val="00F842BF"/>
    <w:rsid w:val="00FB63E0"/>
    <w:rsid w:val="00FF202B"/>
    <w:rsid w:val="030A6CC4"/>
    <w:rsid w:val="041E44AD"/>
    <w:rsid w:val="068E763B"/>
    <w:rsid w:val="0E163D6E"/>
    <w:rsid w:val="12610B9F"/>
    <w:rsid w:val="127A26B8"/>
    <w:rsid w:val="16C90353"/>
    <w:rsid w:val="174C6B91"/>
    <w:rsid w:val="1D412E8A"/>
    <w:rsid w:val="1DA80C1E"/>
    <w:rsid w:val="1EBC2FF9"/>
    <w:rsid w:val="1F817EB6"/>
    <w:rsid w:val="208053D6"/>
    <w:rsid w:val="20C81D8B"/>
    <w:rsid w:val="238D5C92"/>
    <w:rsid w:val="25DA074C"/>
    <w:rsid w:val="279F35CF"/>
    <w:rsid w:val="32737B32"/>
    <w:rsid w:val="34EC40BA"/>
    <w:rsid w:val="34FE2397"/>
    <w:rsid w:val="37725653"/>
    <w:rsid w:val="3A6A65AE"/>
    <w:rsid w:val="3DDB745F"/>
    <w:rsid w:val="3DFC6C2D"/>
    <w:rsid w:val="441B5933"/>
    <w:rsid w:val="4D225F85"/>
    <w:rsid w:val="4F1D5DD3"/>
    <w:rsid w:val="511C577B"/>
    <w:rsid w:val="52833022"/>
    <w:rsid w:val="53CD2ACA"/>
    <w:rsid w:val="54FA4A5B"/>
    <w:rsid w:val="57F32869"/>
    <w:rsid w:val="6280132C"/>
    <w:rsid w:val="64590086"/>
    <w:rsid w:val="670A54CC"/>
    <w:rsid w:val="69166D4A"/>
    <w:rsid w:val="6A422C94"/>
    <w:rsid w:val="70A46B2D"/>
    <w:rsid w:val="722B2DA8"/>
    <w:rsid w:val="761D53B8"/>
    <w:rsid w:val="76FD2AF3"/>
    <w:rsid w:val="7AA048C9"/>
    <w:rsid w:val="7DC4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20"/>
    <w:qFormat/>
    <w:uiPriority w:val="1"/>
    <w:pPr>
      <w:ind w:left="3181" w:hanging="3881"/>
      <w:outlineLvl w:val="0"/>
    </w:pPr>
    <w:rPr>
      <w:b/>
      <w:bCs/>
      <w:sz w:val="36"/>
      <w:szCs w:val="36"/>
    </w:rPr>
  </w:style>
  <w:style w:type="paragraph" w:styleId="3">
    <w:name w:val="heading 2"/>
    <w:basedOn w:val="1"/>
    <w:next w:val="1"/>
    <w:link w:val="21"/>
    <w:qFormat/>
    <w:uiPriority w:val="1"/>
    <w:pPr>
      <w:spacing w:before="23"/>
      <w:ind w:left="401"/>
      <w:jc w:val="center"/>
      <w:outlineLvl w:val="1"/>
    </w:pPr>
    <w:rPr>
      <w:sz w:val="36"/>
      <w:szCs w:val="36"/>
    </w:rPr>
  </w:style>
  <w:style w:type="paragraph" w:styleId="4">
    <w:name w:val="heading 3"/>
    <w:basedOn w:val="1"/>
    <w:next w:val="1"/>
    <w:link w:val="22"/>
    <w:qFormat/>
    <w:uiPriority w:val="1"/>
    <w:pPr>
      <w:spacing w:before="51"/>
      <w:ind w:left="401" w:right="1105"/>
      <w:jc w:val="center"/>
      <w:outlineLvl w:val="2"/>
    </w:pPr>
    <w:rPr>
      <w:sz w:val="35"/>
      <w:szCs w:val="35"/>
    </w:rPr>
  </w:style>
  <w:style w:type="paragraph" w:styleId="5">
    <w:name w:val="heading 4"/>
    <w:basedOn w:val="1"/>
    <w:next w:val="1"/>
    <w:link w:val="23"/>
    <w:qFormat/>
    <w:uiPriority w:val="1"/>
    <w:pPr>
      <w:spacing w:before="35"/>
      <w:ind w:left="3481"/>
      <w:outlineLvl w:val="3"/>
    </w:pPr>
    <w:rPr>
      <w:b/>
      <w:bCs/>
      <w:sz w:val="32"/>
      <w:szCs w:val="32"/>
    </w:rPr>
  </w:style>
  <w:style w:type="paragraph" w:styleId="6">
    <w:name w:val="heading 5"/>
    <w:basedOn w:val="1"/>
    <w:next w:val="1"/>
    <w:link w:val="24"/>
    <w:qFormat/>
    <w:uiPriority w:val="1"/>
    <w:pPr>
      <w:ind w:left="419"/>
      <w:outlineLvl w:val="4"/>
    </w:pPr>
    <w:rPr>
      <w:sz w:val="32"/>
      <w:szCs w:val="32"/>
      <w:u w:val="single" w:color="000000"/>
    </w:rPr>
  </w:style>
  <w:style w:type="paragraph" w:styleId="7">
    <w:name w:val="heading 6"/>
    <w:basedOn w:val="1"/>
    <w:next w:val="1"/>
    <w:link w:val="25"/>
    <w:qFormat/>
    <w:uiPriority w:val="1"/>
    <w:pPr>
      <w:ind w:left="419"/>
      <w:outlineLvl w:val="5"/>
    </w:pPr>
    <w:rPr>
      <w:sz w:val="30"/>
      <w:szCs w:val="30"/>
    </w:rPr>
  </w:style>
  <w:style w:type="paragraph" w:styleId="8">
    <w:name w:val="heading 7"/>
    <w:basedOn w:val="1"/>
    <w:next w:val="1"/>
    <w:link w:val="26"/>
    <w:qFormat/>
    <w:uiPriority w:val="1"/>
    <w:pPr>
      <w:spacing w:before="1"/>
      <w:ind w:left="419"/>
      <w:outlineLvl w:val="6"/>
    </w:pPr>
    <w:rPr>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ascii="Tahoma" w:hAnsi="Tahoma"/>
    </w:rPr>
  </w:style>
  <w:style w:type="paragraph" w:styleId="10">
    <w:name w:val="Body Text 3"/>
    <w:basedOn w:val="1"/>
    <w:qFormat/>
    <w:uiPriority w:val="0"/>
    <w:pPr>
      <w:jc w:val="both"/>
    </w:pPr>
    <w:rPr>
      <w:szCs w:val="20"/>
    </w:rPr>
  </w:style>
  <w:style w:type="paragraph" w:styleId="11">
    <w:name w:val="Body Text"/>
    <w:basedOn w:val="1"/>
    <w:link w:val="27"/>
    <w:qFormat/>
    <w:uiPriority w:val="1"/>
    <w:rPr>
      <w:sz w:val="28"/>
      <w:szCs w:val="28"/>
    </w:rPr>
  </w:style>
  <w:style w:type="paragraph" w:styleId="12">
    <w:name w:val="Plain Text"/>
    <w:basedOn w:val="1"/>
    <w:link w:val="28"/>
    <w:qFormat/>
    <w:uiPriority w:val="0"/>
    <w:rPr>
      <w:rFonts w:hAnsi="Courier New"/>
      <w:sz w:val="21"/>
      <w:szCs w:val="20"/>
    </w:rPr>
  </w:style>
  <w:style w:type="paragraph" w:styleId="13">
    <w:name w:val="Body Text Indent 2"/>
    <w:basedOn w:val="1"/>
    <w:link w:val="36"/>
    <w:semiHidden/>
    <w:unhideWhenUsed/>
    <w:qFormat/>
    <w:uiPriority w:val="99"/>
    <w:pPr>
      <w:spacing w:after="120" w:line="480" w:lineRule="auto"/>
      <w:ind w:left="420" w:leftChars="200"/>
    </w:pPr>
  </w:style>
  <w:style w:type="paragraph" w:styleId="14">
    <w:name w:val="Balloon Text"/>
    <w:basedOn w:val="1"/>
    <w:link w:val="29"/>
    <w:qFormat/>
    <w:uiPriority w:val="0"/>
    <w:rPr>
      <w:sz w:val="18"/>
      <w:szCs w:val="18"/>
    </w:rPr>
  </w:style>
  <w:style w:type="paragraph" w:styleId="15">
    <w:name w:val="footer"/>
    <w:basedOn w:val="1"/>
    <w:link w:val="30"/>
    <w:unhideWhenUsed/>
    <w:qFormat/>
    <w:uiPriority w:val="0"/>
    <w:pPr>
      <w:tabs>
        <w:tab w:val="center" w:pos="4153"/>
        <w:tab w:val="right" w:pos="8306"/>
      </w:tabs>
      <w:snapToGrid w:val="0"/>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qFormat/>
    <w:uiPriority w:val="1"/>
    <w:rPr>
      <w:rFonts w:ascii="宋体" w:hAnsi="宋体" w:eastAsia="宋体" w:cs="宋体"/>
      <w:b/>
      <w:bCs/>
      <w:kern w:val="0"/>
      <w:sz w:val="36"/>
      <w:szCs w:val="36"/>
      <w:lang w:eastAsia="en-US"/>
    </w:rPr>
  </w:style>
  <w:style w:type="character" w:customStyle="1" w:styleId="21">
    <w:name w:val="标题 2 字符"/>
    <w:basedOn w:val="19"/>
    <w:link w:val="3"/>
    <w:qFormat/>
    <w:uiPriority w:val="1"/>
    <w:rPr>
      <w:rFonts w:ascii="宋体" w:hAnsi="宋体" w:eastAsia="宋体" w:cs="宋体"/>
      <w:kern w:val="0"/>
      <w:sz w:val="36"/>
      <w:szCs w:val="36"/>
      <w:lang w:eastAsia="en-US"/>
    </w:rPr>
  </w:style>
  <w:style w:type="character" w:customStyle="1" w:styleId="22">
    <w:name w:val="标题 3 字符"/>
    <w:basedOn w:val="19"/>
    <w:link w:val="4"/>
    <w:qFormat/>
    <w:uiPriority w:val="1"/>
    <w:rPr>
      <w:rFonts w:ascii="宋体" w:hAnsi="宋体" w:eastAsia="宋体" w:cs="宋体"/>
      <w:kern w:val="0"/>
      <w:sz w:val="35"/>
      <w:szCs w:val="35"/>
      <w:lang w:eastAsia="en-US"/>
    </w:rPr>
  </w:style>
  <w:style w:type="character" w:customStyle="1" w:styleId="23">
    <w:name w:val="标题 4 字符"/>
    <w:basedOn w:val="19"/>
    <w:link w:val="5"/>
    <w:qFormat/>
    <w:uiPriority w:val="1"/>
    <w:rPr>
      <w:rFonts w:ascii="宋体" w:hAnsi="宋体" w:eastAsia="宋体" w:cs="宋体"/>
      <w:b/>
      <w:bCs/>
      <w:kern w:val="0"/>
      <w:sz w:val="32"/>
      <w:szCs w:val="32"/>
      <w:lang w:eastAsia="en-US"/>
    </w:rPr>
  </w:style>
  <w:style w:type="character" w:customStyle="1" w:styleId="24">
    <w:name w:val="标题 5 字符"/>
    <w:basedOn w:val="19"/>
    <w:link w:val="6"/>
    <w:qFormat/>
    <w:uiPriority w:val="1"/>
    <w:rPr>
      <w:rFonts w:ascii="宋体" w:hAnsi="宋体" w:eastAsia="宋体" w:cs="宋体"/>
      <w:kern w:val="0"/>
      <w:sz w:val="32"/>
      <w:szCs w:val="32"/>
      <w:u w:val="single" w:color="000000"/>
      <w:lang w:eastAsia="en-US"/>
    </w:rPr>
  </w:style>
  <w:style w:type="character" w:customStyle="1" w:styleId="25">
    <w:name w:val="标题 6 字符"/>
    <w:basedOn w:val="19"/>
    <w:link w:val="7"/>
    <w:qFormat/>
    <w:uiPriority w:val="1"/>
    <w:rPr>
      <w:rFonts w:ascii="宋体" w:hAnsi="宋体" w:eastAsia="宋体" w:cs="宋体"/>
      <w:kern w:val="0"/>
      <w:sz w:val="30"/>
      <w:szCs w:val="30"/>
      <w:lang w:eastAsia="en-US"/>
    </w:rPr>
  </w:style>
  <w:style w:type="character" w:customStyle="1" w:styleId="26">
    <w:name w:val="标题 7 字符"/>
    <w:basedOn w:val="19"/>
    <w:link w:val="8"/>
    <w:qFormat/>
    <w:uiPriority w:val="1"/>
    <w:rPr>
      <w:rFonts w:ascii="宋体" w:hAnsi="宋体" w:eastAsia="宋体" w:cs="宋体"/>
      <w:b/>
      <w:bCs/>
      <w:kern w:val="0"/>
      <w:sz w:val="28"/>
      <w:szCs w:val="28"/>
      <w:lang w:eastAsia="en-US"/>
    </w:rPr>
  </w:style>
  <w:style w:type="character" w:customStyle="1" w:styleId="27">
    <w:name w:val="正文文本 字符"/>
    <w:basedOn w:val="19"/>
    <w:link w:val="11"/>
    <w:qFormat/>
    <w:uiPriority w:val="1"/>
    <w:rPr>
      <w:rFonts w:ascii="宋体" w:hAnsi="宋体" w:eastAsia="宋体" w:cs="宋体"/>
      <w:kern w:val="0"/>
      <w:sz w:val="28"/>
      <w:szCs w:val="28"/>
      <w:lang w:eastAsia="en-US"/>
    </w:rPr>
  </w:style>
  <w:style w:type="character" w:customStyle="1" w:styleId="28">
    <w:name w:val="纯文本 字符"/>
    <w:basedOn w:val="19"/>
    <w:link w:val="12"/>
    <w:qFormat/>
    <w:uiPriority w:val="0"/>
    <w:rPr>
      <w:rFonts w:ascii="宋体" w:hAnsi="Courier New" w:eastAsia="宋体" w:cs="宋体"/>
      <w:kern w:val="0"/>
      <w:szCs w:val="20"/>
      <w:lang w:eastAsia="en-US"/>
    </w:rPr>
  </w:style>
  <w:style w:type="character" w:customStyle="1" w:styleId="29">
    <w:name w:val="批注框文本 字符"/>
    <w:basedOn w:val="19"/>
    <w:link w:val="14"/>
    <w:qFormat/>
    <w:uiPriority w:val="0"/>
    <w:rPr>
      <w:rFonts w:ascii="宋体" w:hAnsi="宋体" w:eastAsia="宋体" w:cs="宋体"/>
      <w:kern w:val="0"/>
      <w:sz w:val="18"/>
      <w:szCs w:val="18"/>
      <w:lang w:eastAsia="en-US"/>
    </w:rPr>
  </w:style>
  <w:style w:type="character" w:customStyle="1" w:styleId="30">
    <w:name w:val="页脚 字符"/>
    <w:basedOn w:val="19"/>
    <w:link w:val="15"/>
    <w:qFormat/>
    <w:uiPriority w:val="0"/>
    <w:rPr>
      <w:sz w:val="18"/>
      <w:szCs w:val="18"/>
    </w:rPr>
  </w:style>
  <w:style w:type="character" w:customStyle="1" w:styleId="31">
    <w:name w:val="页眉 字符"/>
    <w:basedOn w:val="19"/>
    <w:link w:val="16"/>
    <w:qFormat/>
    <w:uiPriority w:val="0"/>
    <w:rPr>
      <w:sz w:val="18"/>
      <w:szCs w:val="18"/>
    </w:rPr>
  </w:style>
  <w:style w:type="table" w:customStyle="1" w:styleId="32">
    <w:name w:val="Table Normal"/>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220"/>
    </w:pPr>
  </w:style>
  <w:style w:type="paragraph" w:customStyle="1" w:styleId="34">
    <w:name w:val="Table Paragraph"/>
    <w:basedOn w:val="1"/>
    <w:qFormat/>
    <w:uiPriority w:val="1"/>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正文文本缩进 2 字符"/>
    <w:basedOn w:val="19"/>
    <w:link w:val="13"/>
    <w:semiHidden/>
    <w:qFormat/>
    <w:uiPriority w:val="99"/>
    <w:rPr>
      <w:rFonts w:ascii="宋体" w:hAnsi="宋体" w:cs="宋体"/>
      <w:sz w:val="22"/>
      <w:szCs w:val="22"/>
      <w:lang w:eastAsia="en-US"/>
    </w:rPr>
  </w:style>
  <w:style w:type="paragraph" w:customStyle="1" w:styleId="37">
    <w:name w:val="样式3"/>
    <w:basedOn w:val="1"/>
    <w:link w:val="38"/>
    <w:qFormat/>
    <w:uiPriority w:val="0"/>
    <w:pPr>
      <w:autoSpaceDE/>
      <w:autoSpaceDN/>
      <w:spacing w:line="360" w:lineRule="auto"/>
      <w:ind w:firstLine="560" w:firstLineChars="200"/>
      <w:jc w:val="both"/>
    </w:pPr>
    <w:rPr>
      <w:rFonts w:ascii="仿宋" w:hAnsi="仿宋" w:eastAsia="仿宋" w:cs="仿宋"/>
      <w:kern w:val="2"/>
      <w:sz w:val="28"/>
      <w:szCs w:val="28"/>
      <w:lang w:val="zh-CN" w:eastAsia="zh-CN"/>
    </w:rPr>
  </w:style>
  <w:style w:type="character" w:customStyle="1" w:styleId="38">
    <w:name w:val="样式3 Char"/>
    <w:basedOn w:val="19"/>
    <w:link w:val="37"/>
    <w:qFormat/>
    <w:uiPriority w:val="0"/>
    <w:rPr>
      <w:rFonts w:ascii="仿宋" w:hAnsi="仿宋" w:eastAsia="仿宋" w:cs="仿宋"/>
      <w:kern w:val="2"/>
      <w:sz w:val="28"/>
      <w:szCs w:val="28"/>
      <w:lang w:val="zh-CN"/>
    </w:rPr>
  </w:style>
  <w:style w:type="paragraph" w:customStyle="1" w:styleId="39">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FD46-EABC-41C5-9660-77405CB203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2734</Words>
  <Characters>2852</Characters>
  <Lines>28</Lines>
  <Paragraphs>7</Paragraphs>
  <TotalTime>0</TotalTime>
  <ScaleCrop>false</ScaleCrop>
  <LinksUpToDate>false</LinksUpToDate>
  <CharactersWithSpaces>3054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2024-01-09T05:06:00Z</dcterms:created>
  <dc:creator>Administrator</dc:creator>
  <cp:lastModifiedBy>Administrator</cp:lastModifiedBy>
  <dcterms:modified xsi:type="dcterms:W3CDTF">2025-08-01T04:53:57Z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DAC22797235A4C4F9E406054F1E612B6_13</vt:lpwstr>
  </property>
  <property fmtid="{D5CDD505-2E9C-101B-9397-08002B2CF9AE}" pid="4" name="KSOTemplateDocerSaveRecord">
    <vt:lpwstr>eyJoZGlkIjoiNjczNDQxYTIxNTU0OGI3MTBhZWEwZDQxYzFkN2RmZDgiLCJ1c2VySWQiOiI0MTMyNTQzMDIifQ==</vt:lpwstr>
  </property>
</Properties>
</file>