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1E65E">
      <w:pPr>
        <w:jc w:val="center"/>
        <w:rPr>
          <w:rFonts w:hint="eastAsia"/>
          <w:b/>
          <w:color w:val="auto"/>
          <w:sz w:val="36"/>
          <w:szCs w:val="36"/>
          <w:highlight w:val="none"/>
          <w:lang w:eastAsia="zh-CN"/>
        </w:rPr>
      </w:pPr>
      <w:bookmarkStart w:id="0" w:name="_Toc35393630"/>
      <w:bookmarkStart w:id="1" w:name="_Toc35393799"/>
      <w:bookmarkStart w:id="2" w:name="_Toc28359090"/>
      <w:bookmarkStart w:id="3" w:name="_Toc28359013"/>
      <w:r>
        <w:rPr>
          <w:rFonts w:hint="eastAsia"/>
          <w:b/>
          <w:color w:val="auto"/>
          <w:sz w:val="36"/>
          <w:szCs w:val="36"/>
          <w:highlight w:val="none"/>
          <w:lang w:eastAsia="zh-CN"/>
        </w:rPr>
        <w:t>桐梓县交通运输局X3TC名堂至新兵龙路面改造工程项目</w:t>
      </w:r>
    </w:p>
    <w:p w14:paraId="33B5FF85">
      <w:pPr>
        <w:jc w:val="center"/>
        <w:rPr>
          <w:rFonts w:hint="eastAsia"/>
          <w:b/>
          <w:color w:val="auto"/>
          <w:sz w:val="36"/>
          <w:szCs w:val="36"/>
          <w:highlight w:val="none"/>
          <w:lang w:eastAsia="zh-CN"/>
        </w:rPr>
      </w:pPr>
      <w:r>
        <w:rPr>
          <w:rFonts w:hint="eastAsia"/>
          <w:b/>
          <w:color w:val="auto"/>
          <w:sz w:val="36"/>
          <w:szCs w:val="36"/>
          <w:highlight w:val="none"/>
          <w:lang w:eastAsia="zh-CN"/>
        </w:rPr>
        <w:t>采购需求公示</w:t>
      </w:r>
    </w:p>
    <w:p w14:paraId="7C51AD72">
      <w:pPr>
        <w:pStyle w:val="4"/>
        <w:spacing w:before="0" w:line="360" w:lineRule="auto"/>
        <w:ind w:left="0"/>
        <w:jc w:val="left"/>
        <w:rPr>
          <w:rFonts w:hint="eastAsia"/>
          <w:b/>
          <w:color w:val="auto"/>
          <w:sz w:val="24"/>
          <w:szCs w:val="24"/>
          <w:highlight w:val="none"/>
          <w:lang w:eastAsia="zh-CN"/>
        </w:rPr>
      </w:pPr>
    </w:p>
    <w:bookmarkEnd w:id="0"/>
    <w:bookmarkEnd w:id="1"/>
    <w:bookmarkEnd w:id="2"/>
    <w:bookmarkEnd w:id="3"/>
    <w:p w14:paraId="5FEAA5AA">
      <w:pPr>
        <w:snapToGrid w:val="0"/>
        <w:spacing w:line="540" w:lineRule="exact"/>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一、申请人的资格要求</w:t>
      </w:r>
    </w:p>
    <w:p w14:paraId="0103FD5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right="0" w:firstLine="48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i w:val="0"/>
          <w:iCs w:val="0"/>
          <w:color w:val="auto"/>
          <w:kern w:val="2"/>
          <w:sz w:val="24"/>
          <w:szCs w:val="24"/>
          <w:highlight w:val="none"/>
          <w:lang w:val="en-US" w:eastAsia="zh-CN" w:bidi="ar"/>
        </w:rPr>
        <w:t>1.满足《中华人民共和国政府采购法》第二十二条规定；</w:t>
      </w:r>
    </w:p>
    <w:p w14:paraId="405577A7">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bCs/>
          <w:color w:val="auto"/>
          <w:sz w:val="24"/>
          <w:szCs w:val="24"/>
          <w:highlight w:val="none"/>
        </w:rPr>
        <w:t>1.1</w:t>
      </w:r>
      <w:r>
        <w:rPr>
          <w:rFonts w:hint="eastAsia" w:ascii="仿宋" w:hAnsi="仿宋" w:eastAsia="仿宋" w:cs="仿宋"/>
          <w:b/>
          <w:bCs/>
          <w:color w:val="auto"/>
          <w:sz w:val="24"/>
          <w:szCs w:val="24"/>
          <w:highlight w:val="none"/>
          <w:lang w:val="zh-CN"/>
        </w:rPr>
        <w:t>具有独立承担民事责任的能力：</w:t>
      </w:r>
      <w:r>
        <w:rPr>
          <w:rFonts w:hint="eastAsia" w:ascii="仿宋" w:hAnsi="仿宋" w:eastAsia="仿宋" w:cs="仿宋"/>
          <w:b w:val="0"/>
          <w:bCs w:val="0"/>
          <w:color w:val="auto"/>
          <w:sz w:val="24"/>
          <w:szCs w:val="24"/>
          <w:highlight w:val="none"/>
          <w:lang w:val="zh-CN"/>
        </w:rPr>
        <w:t>①供应商若为企业法人：提供“统一社会信用代码营业执照”；未换证的提供“营业执照、税务登记证、组织机构代码证或三证合一的营业执照”；②若为事业单位法人：提供“统一社会信用代码法人登记证书”；未换证的提交“事业单位法人登记证书、组织机构代码证”；③若为其他组织：提供“对应主管部门颁发的准许执业证明文件或营业执照”；④若为自然人：提供“身份证明材料”。</w:t>
      </w:r>
    </w:p>
    <w:p w14:paraId="447377AC">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注：①供应商参加政府采购活动的代表为法定代表人/单位负责人，应提供法定代表人/单位负责人身份证明材料复印件；②供应商参加政府采购活动的代表为非法定代表人/单位负责人，应提供法定代表人/单位负责人授权委托书。</w:t>
      </w:r>
    </w:p>
    <w:p w14:paraId="2D74B1F2">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1.2</w:t>
      </w:r>
      <w:r>
        <w:rPr>
          <w:rFonts w:hint="eastAsia" w:ascii="仿宋" w:hAnsi="仿宋" w:eastAsia="仿宋" w:cs="仿宋"/>
          <w:b/>
          <w:bCs/>
          <w:color w:val="auto"/>
          <w:sz w:val="24"/>
          <w:szCs w:val="24"/>
          <w:highlight w:val="none"/>
          <w:lang w:val="zh-CN"/>
        </w:rPr>
        <w:t>具有良好的商业信誉和健全的财务会计制度：</w:t>
      </w:r>
      <w:r>
        <w:rPr>
          <w:rFonts w:hint="eastAsia" w:ascii="仿宋" w:hAnsi="仿宋" w:eastAsia="仿宋" w:cs="仿宋"/>
          <w:color w:val="auto"/>
          <w:sz w:val="24"/>
          <w:szCs w:val="24"/>
          <w:highlight w:val="none"/>
          <w:lang w:eastAsia="zh-CN"/>
        </w:rPr>
        <w:t>提供2024年的审计报告扫描件或提供银行出具的资信证明（成立不足一年的企业提供银行出具的资信证明），或自行提供具有良好的商业信誉和健全的财务会计制度的承诺函（格式自拟）；</w:t>
      </w:r>
    </w:p>
    <w:p w14:paraId="376D0F78">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1.3提供履行合同所需设备和专业技术能力证明材料：</w:t>
      </w:r>
      <w:r>
        <w:rPr>
          <w:rFonts w:hint="eastAsia" w:ascii="仿宋" w:hAnsi="仿宋" w:eastAsia="仿宋" w:cs="仿宋"/>
          <w:color w:val="auto"/>
          <w:sz w:val="24"/>
          <w:szCs w:val="24"/>
          <w:highlight w:val="none"/>
          <w:lang w:eastAsia="zh-CN"/>
        </w:rPr>
        <w:t>自行提供具备履行合同所需设备和专业技术能力的承诺函（格式自拟）；</w:t>
      </w:r>
    </w:p>
    <w:p w14:paraId="48A631C0">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1.4投标供应商须有依法缴纳税收和社会保障资金的良好记录：</w:t>
      </w:r>
      <w:r>
        <w:rPr>
          <w:rFonts w:hint="eastAsia" w:ascii="仿宋" w:hAnsi="仿宋" w:eastAsia="仿宋" w:cs="仿宋"/>
          <w:b w:val="0"/>
          <w:bCs w:val="0"/>
          <w:color w:val="auto"/>
          <w:sz w:val="24"/>
          <w:szCs w:val="24"/>
          <w:highlight w:val="none"/>
          <w:lang w:eastAsia="zh-CN"/>
        </w:rPr>
        <w:t>提供2025年任意三个月缴纳税收的凭据（依法免税的供应商须提供相应证明文件、零申报的供应商提供电子税务申报表或税务部门出具的无欠税证明）以及2025年任意三个月缴纳社会保障资金证明材料（不需要缴纳社保资金的供应商须提供相应证明文件）或自行提供具有依法缴纳税收和社会保障资金的良好记录的承诺函（格式自拟）</w:t>
      </w:r>
      <w:r>
        <w:rPr>
          <w:rFonts w:hint="eastAsia" w:ascii="仿宋" w:hAnsi="仿宋" w:eastAsia="仿宋" w:cs="仿宋"/>
          <w:b/>
          <w:bCs/>
          <w:color w:val="auto"/>
          <w:sz w:val="24"/>
          <w:szCs w:val="24"/>
          <w:highlight w:val="none"/>
          <w:lang w:eastAsia="zh-CN"/>
        </w:rPr>
        <w:t>。</w:t>
      </w:r>
    </w:p>
    <w:p w14:paraId="16CD1C93">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1.5参加政府采购活动前三年内，在经营活动中没有重大违法记录的书面声明函（重大违法记录指因违法经营受到刑事处罚或者责令停产停业、吊销许可证或者执照、较大数额罚款等行政处罚）：</w:t>
      </w:r>
      <w:r>
        <w:rPr>
          <w:rFonts w:hint="eastAsia" w:ascii="仿宋" w:hAnsi="仿宋" w:eastAsia="仿宋" w:cs="仿宋"/>
          <w:color w:val="auto"/>
          <w:sz w:val="24"/>
          <w:szCs w:val="24"/>
          <w:highlight w:val="none"/>
        </w:rPr>
        <w:t>自行提供声明函并加盖供应商公章（格式自拟）；</w:t>
      </w:r>
    </w:p>
    <w:p w14:paraId="683B0202">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所称重大违法记录，是指供应商因违法经营受到刑事处罚或者责令停产停业、吊销许可证或者营业执照、较大数额等行政处罚，较大数额罚款按照《财政部关于第十九条第一款“较大数额罚款”具体适用问题的意见》（财库〔2022〕3号）执行），“较大数额罚款”认定为200万元以上的罚款，法律法规以及国务院有关部门明确规定相关领域“较大数额罚款”标准高于200万元的，从其规定。</w:t>
      </w:r>
    </w:p>
    <w:p w14:paraId="38A403BA">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jc w:val="both"/>
        <w:textAlignment w:val="auto"/>
        <w:rPr>
          <w:rFonts w:hint="eastAsia" w:ascii="仿宋" w:hAnsi="仿宋" w:eastAsia="仿宋" w:cs="仿宋"/>
          <w:b/>
          <w:bCs/>
          <w:color w:val="auto"/>
          <w:spacing w:val="8"/>
          <w:sz w:val="24"/>
          <w:szCs w:val="24"/>
          <w:highlight w:val="none"/>
          <w:lang w:eastAsia="zh-CN"/>
        </w:rPr>
      </w:pPr>
      <w:r>
        <w:rPr>
          <w:rFonts w:hint="eastAsia" w:ascii="仿宋" w:hAnsi="仿宋" w:eastAsia="仿宋" w:cs="仿宋"/>
          <w:b/>
          <w:bCs/>
          <w:color w:val="auto"/>
          <w:sz w:val="24"/>
          <w:szCs w:val="24"/>
          <w:highlight w:val="none"/>
          <w:lang w:val="en-US" w:eastAsia="zh-CN"/>
        </w:rPr>
        <w:t xml:space="preserve">1.6 </w:t>
      </w:r>
      <w:r>
        <w:rPr>
          <w:rFonts w:hint="eastAsia" w:ascii="仿宋" w:hAnsi="仿宋" w:eastAsia="仿宋" w:cs="仿宋"/>
          <w:b/>
          <w:bCs/>
          <w:color w:val="auto"/>
          <w:spacing w:val="8"/>
          <w:sz w:val="24"/>
          <w:szCs w:val="24"/>
          <w:highlight w:val="none"/>
          <w:lang w:eastAsia="zh-CN"/>
        </w:rPr>
        <w:t>法律、行政法规规定的其他条件：</w:t>
      </w:r>
    </w:p>
    <w:p w14:paraId="64531854">
      <w:pPr>
        <w:keepNext w:val="0"/>
        <w:keepLines w:val="0"/>
        <w:pageBreakBefore w:val="0"/>
        <w:widowControl w:val="0"/>
        <w:kinsoku/>
        <w:wordWrap/>
        <w:overflowPunct/>
        <w:topLinePunct w:val="0"/>
        <w:autoSpaceDE/>
        <w:autoSpaceDN/>
        <w:bidi w:val="0"/>
        <w:adjustRightInd/>
        <w:snapToGrid w:val="0"/>
        <w:spacing w:line="540" w:lineRule="exact"/>
        <w:ind w:left="0" w:right="-97" w:rightChars="-44" w:firstLine="476" w:firstLineChars="200"/>
        <w:jc w:val="both"/>
        <w:textAlignment w:val="auto"/>
        <w:outlineLvl w:val="9"/>
        <w:rPr>
          <w:rFonts w:hint="eastAsia" w:ascii="仿宋" w:hAnsi="仿宋" w:eastAsia="仿宋" w:cs="仿宋"/>
          <w:color w:val="auto"/>
          <w:spacing w:val="-1"/>
          <w:position w:val="17"/>
          <w:sz w:val="24"/>
          <w:szCs w:val="24"/>
          <w:highlight w:val="none"/>
          <w:lang w:val="en-US" w:eastAsia="zh-CN"/>
        </w:rPr>
      </w:pPr>
      <w:r>
        <w:rPr>
          <w:rFonts w:hint="eastAsia" w:ascii="仿宋" w:hAnsi="仿宋" w:eastAsia="仿宋" w:cs="仿宋"/>
          <w:color w:val="auto"/>
          <w:spacing w:val="-1"/>
          <w:position w:val="17"/>
          <w:sz w:val="24"/>
          <w:szCs w:val="24"/>
          <w:highlight w:val="none"/>
          <w:lang w:val="en-US" w:eastAsia="zh-CN"/>
        </w:rPr>
        <w:t>①供应商必须为未被列入信用中国网站渠道“信息公示”失信被执行人查询（根据提示进入中国执行信息公开网查询本项）、重大税收违法失信主体名单、严重失信主体名单查询和中国政府采购网渠道政府采购严重违法失信行为记录名单的供应商；</w:t>
      </w:r>
      <w:r>
        <w:rPr>
          <w:rFonts w:hint="eastAsia" w:ascii="仿宋" w:hAnsi="仿宋" w:eastAsia="仿宋" w:cs="仿宋"/>
          <w:b/>
          <w:bCs/>
          <w:color w:val="auto"/>
          <w:spacing w:val="-1"/>
          <w:position w:val="17"/>
          <w:sz w:val="24"/>
          <w:szCs w:val="24"/>
          <w:highlight w:val="none"/>
          <w:lang w:val="en-US" w:eastAsia="zh-CN"/>
        </w:rPr>
        <w:t>（提供承诺书日期为公告发布之日起截止开标时间前一天，并加盖供应商公章，承诺书格式文件详见投标文件格式范本）</w:t>
      </w:r>
      <w:r>
        <w:rPr>
          <w:rFonts w:hint="eastAsia" w:ascii="仿宋" w:hAnsi="仿宋" w:eastAsia="仿宋" w:cs="仿宋"/>
          <w:color w:val="auto"/>
          <w:spacing w:val="-1"/>
          <w:position w:val="17"/>
          <w:sz w:val="24"/>
          <w:szCs w:val="24"/>
          <w:highlight w:val="none"/>
          <w:lang w:val="en-US" w:eastAsia="zh-CN"/>
        </w:rPr>
        <w:t>；</w:t>
      </w:r>
    </w:p>
    <w:p w14:paraId="017489B7">
      <w:pPr>
        <w:keepNext w:val="0"/>
        <w:keepLines w:val="0"/>
        <w:pageBreakBefore w:val="0"/>
        <w:widowControl w:val="0"/>
        <w:kinsoku/>
        <w:wordWrap/>
        <w:overflowPunct/>
        <w:topLinePunct w:val="0"/>
        <w:autoSpaceDE/>
        <w:autoSpaceDN/>
        <w:bidi w:val="0"/>
        <w:adjustRightInd/>
        <w:snapToGrid w:val="0"/>
        <w:spacing w:line="540" w:lineRule="exact"/>
        <w:ind w:firstLine="476" w:firstLineChars="200"/>
        <w:textAlignment w:val="auto"/>
        <w:rPr>
          <w:rFonts w:hint="eastAsia" w:ascii="仿宋" w:hAnsi="仿宋" w:eastAsia="仿宋" w:cs="仿宋"/>
          <w:b/>
          <w:bCs/>
          <w:i w:val="0"/>
          <w:iCs w:val="0"/>
          <w:color w:val="auto"/>
          <w:kern w:val="2"/>
          <w:sz w:val="24"/>
          <w:szCs w:val="24"/>
          <w:highlight w:val="none"/>
          <w:lang w:val="en-US" w:eastAsia="zh-CN" w:bidi="ar"/>
        </w:rPr>
      </w:pPr>
      <w:r>
        <w:rPr>
          <w:rFonts w:hint="eastAsia" w:ascii="仿宋" w:hAnsi="仿宋" w:eastAsia="仿宋" w:cs="仿宋"/>
          <w:color w:val="auto"/>
          <w:spacing w:val="-1"/>
          <w:position w:val="17"/>
          <w:sz w:val="24"/>
          <w:szCs w:val="24"/>
          <w:highlight w:val="none"/>
          <w:lang w:val="en-US" w:eastAsia="zh-CN"/>
        </w:rPr>
        <w:t>②为本采购项目提供前期整体设计、规范编制或者项目管理等服务的供应商，不得再参加该采购项目；</w:t>
      </w:r>
      <w:r>
        <w:rPr>
          <w:rFonts w:hint="eastAsia" w:ascii="仿宋" w:hAnsi="仿宋" w:eastAsia="仿宋" w:cs="仿宋"/>
          <w:b/>
          <w:bCs/>
          <w:color w:val="auto"/>
          <w:spacing w:val="-1"/>
          <w:position w:val="17"/>
          <w:sz w:val="24"/>
          <w:szCs w:val="24"/>
          <w:highlight w:val="none"/>
          <w:lang w:val="en-US" w:eastAsia="zh-CN"/>
        </w:rPr>
        <w:t>单位负责人为同一人或者存在直接控股、管理关系的不同供应商，不得参加同一合同项下的采购活动。除</w:t>
      </w:r>
      <w:bookmarkStart w:id="13" w:name="_GoBack"/>
      <w:bookmarkEnd w:id="13"/>
      <w:r>
        <w:rPr>
          <w:rFonts w:hint="eastAsia" w:ascii="仿宋" w:hAnsi="仿宋" w:eastAsia="仿宋" w:cs="仿宋"/>
          <w:b/>
          <w:bCs/>
          <w:color w:val="auto"/>
          <w:spacing w:val="-1"/>
          <w:position w:val="17"/>
          <w:sz w:val="24"/>
          <w:szCs w:val="24"/>
          <w:highlight w:val="none"/>
          <w:lang w:val="en-US" w:eastAsia="zh-CN"/>
        </w:rPr>
        <w:t>单一来源采购项目外，为采购项目提供整体设计、规范编制或者项目管理、监理、检测等服务的供应商，不得再参加该采购项目的其他采购活动；除能源、金融、通信、保险等相关的特殊行业分公司外，其余行业分公司参与响应须取得总公司授权（分支机构或分公司参与的，须提供总公司授权书，并注明相关民事责任由总公司承担）相关证件在年检期间或者无法提供的，可提供由发证机关出具证明材料原件复印件。（提供承诺函并加盖供应商公章，承诺函格式文件详见投标文件格式范本）。</w:t>
      </w:r>
    </w:p>
    <w:p w14:paraId="45A8145B">
      <w:pPr>
        <w:pageBreakBefore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2"/>
          <w:sz w:val="24"/>
          <w:szCs w:val="24"/>
          <w:highlight w:val="none"/>
          <w:lang w:val="en-US" w:eastAsia="zh-CN" w:bidi="ar"/>
        </w:rPr>
        <w:t>2.</w:t>
      </w:r>
      <w:r>
        <w:rPr>
          <w:rFonts w:hint="eastAsia" w:ascii="仿宋" w:hAnsi="仿宋" w:eastAsia="仿宋" w:cs="仿宋"/>
          <w:b/>
          <w:bCs/>
          <w:color w:val="auto"/>
          <w:sz w:val="24"/>
          <w:szCs w:val="24"/>
          <w:highlight w:val="none"/>
        </w:rPr>
        <w:t>落实政府采购政策需满足的资格要求：</w:t>
      </w:r>
    </w:p>
    <w:p w14:paraId="04E1F52A">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本项目采购标的对应的中小企业划分标准所属行业为</w:t>
      </w:r>
      <w:r>
        <w:rPr>
          <w:rFonts w:hint="eastAsia" w:ascii="仿宋" w:hAnsi="仿宋" w:eastAsia="仿宋" w:cs="仿宋"/>
          <w:b/>
          <w:bCs/>
          <w:color w:val="auto"/>
          <w:sz w:val="24"/>
          <w:szCs w:val="24"/>
          <w:highlight w:val="none"/>
          <w:u w:val="single"/>
          <w:lang w:eastAsia="zh-CN"/>
        </w:rPr>
        <w:t>建筑业</w:t>
      </w:r>
      <w:r>
        <w:rPr>
          <w:rFonts w:hint="eastAsia" w:ascii="仿宋" w:hAnsi="仿宋" w:eastAsia="仿宋" w:cs="仿宋"/>
          <w:color w:val="auto"/>
          <w:sz w:val="24"/>
          <w:szCs w:val="24"/>
          <w:highlight w:val="none"/>
        </w:rPr>
        <w:t>；</w:t>
      </w:r>
    </w:p>
    <w:p w14:paraId="3CD50420">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b w:val="0"/>
          <w:bCs w:val="0"/>
          <w:color w:val="auto"/>
          <w:sz w:val="24"/>
          <w:szCs w:val="24"/>
          <w:highlight w:val="none"/>
          <w:lang w:eastAsia="zh-CN"/>
        </w:rPr>
        <w:t>本项目为</w:t>
      </w:r>
      <w:r>
        <w:rPr>
          <w:rFonts w:hint="eastAsia" w:ascii="仿宋" w:hAnsi="仿宋" w:eastAsia="仿宋" w:cs="仿宋"/>
          <w:b/>
          <w:bCs/>
          <w:color w:val="auto"/>
          <w:sz w:val="24"/>
          <w:szCs w:val="24"/>
          <w:highlight w:val="none"/>
          <w:u w:val="single"/>
          <w:lang w:val="en-US" w:eastAsia="zh-CN"/>
        </w:rPr>
        <w:t>非</w:t>
      </w:r>
      <w:r>
        <w:rPr>
          <w:rFonts w:hint="eastAsia" w:ascii="仿宋" w:hAnsi="仿宋" w:eastAsia="仿宋" w:cs="仿宋"/>
          <w:b/>
          <w:bCs/>
          <w:color w:val="auto"/>
          <w:sz w:val="24"/>
          <w:szCs w:val="24"/>
          <w:highlight w:val="none"/>
          <w:u w:val="single"/>
          <w:lang w:eastAsia="zh-CN"/>
        </w:rPr>
        <w:t>适宜中小企业</w:t>
      </w:r>
      <w:r>
        <w:rPr>
          <w:rFonts w:hint="eastAsia" w:ascii="仿宋" w:hAnsi="仿宋" w:eastAsia="仿宋" w:cs="仿宋"/>
          <w:b w:val="0"/>
          <w:bCs w:val="0"/>
          <w:color w:val="auto"/>
          <w:sz w:val="24"/>
          <w:szCs w:val="24"/>
          <w:highlight w:val="none"/>
          <w:lang w:eastAsia="zh-CN"/>
        </w:rPr>
        <w:t>采购项目，即本项目为</w:t>
      </w:r>
      <w:r>
        <w:rPr>
          <w:rFonts w:hint="eastAsia" w:ascii="仿宋" w:hAnsi="仿宋" w:eastAsia="仿宋" w:cs="仿宋"/>
          <w:b/>
          <w:bCs/>
          <w:color w:val="auto"/>
          <w:sz w:val="24"/>
          <w:szCs w:val="24"/>
          <w:highlight w:val="none"/>
          <w:u w:val="single"/>
          <w:lang w:val="en-US" w:eastAsia="zh-CN"/>
        </w:rPr>
        <w:t>非专门面向中小企业</w:t>
      </w:r>
      <w:r>
        <w:rPr>
          <w:rFonts w:hint="eastAsia" w:ascii="仿宋" w:hAnsi="仿宋" w:eastAsia="仿宋" w:cs="仿宋"/>
          <w:b w:val="0"/>
          <w:bCs w:val="0"/>
          <w:color w:val="auto"/>
          <w:sz w:val="24"/>
          <w:szCs w:val="24"/>
          <w:highlight w:val="none"/>
          <w:u w:val="none"/>
          <w:lang w:val="en-US" w:eastAsia="zh-CN"/>
        </w:rPr>
        <w:t>采购项目</w:t>
      </w:r>
      <w:r>
        <w:rPr>
          <w:rFonts w:hint="eastAsia" w:ascii="仿宋" w:hAnsi="仿宋" w:eastAsia="仿宋" w:cs="仿宋"/>
          <w:color w:val="auto"/>
          <w:sz w:val="24"/>
          <w:szCs w:val="24"/>
          <w:highlight w:val="none"/>
        </w:rPr>
        <w:t>。</w:t>
      </w:r>
    </w:p>
    <w:p w14:paraId="6DD1DF50">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b/>
          <w:bCs/>
          <w:i w:val="0"/>
          <w:iCs w:val="0"/>
          <w:color w:val="auto"/>
          <w:kern w:val="2"/>
          <w:sz w:val="24"/>
          <w:szCs w:val="24"/>
          <w:highlight w:val="none"/>
          <w:lang w:val="en-US" w:eastAsia="zh-CN" w:bidi="ar"/>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具体执行标准详见《磋商文件》</w:t>
      </w:r>
      <w:r>
        <w:rPr>
          <w:rFonts w:hint="eastAsia" w:ascii="仿宋" w:hAnsi="仿宋" w:eastAsia="仿宋" w:cs="仿宋"/>
          <w:color w:val="auto"/>
          <w:sz w:val="24"/>
          <w:szCs w:val="24"/>
          <w:highlight w:val="none"/>
          <w:lang w:val="zh-CN"/>
        </w:rPr>
        <w:t>。</w:t>
      </w:r>
    </w:p>
    <w:p w14:paraId="4260621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right="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kern w:val="2"/>
          <w:sz w:val="24"/>
          <w:szCs w:val="24"/>
          <w:highlight w:val="none"/>
          <w:lang w:val="en-US" w:eastAsia="zh-CN" w:bidi="ar"/>
        </w:rPr>
        <w:t>3.本项目的特定资格要求：</w:t>
      </w:r>
    </w:p>
    <w:p w14:paraId="0F0B220E">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3.1供应商须具备交通运输主管部门颁发的</w:t>
      </w:r>
      <w:r>
        <w:rPr>
          <w:rFonts w:hint="eastAsia" w:ascii="仿宋" w:hAnsi="仿宋" w:eastAsia="仿宋" w:cs="仿宋"/>
          <w:b/>
          <w:bCs/>
          <w:color w:val="auto"/>
          <w:sz w:val="24"/>
          <w:szCs w:val="24"/>
          <w:highlight w:val="none"/>
          <w:u w:val="single"/>
          <w:lang w:val="en-US" w:eastAsia="zh-CN"/>
        </w:rPr>
        <w:t>公路养护作业单位资质证书路基路面养护乙级及以上</w:t>
      </w:r>
      <w:r>
        <w:rPr>
          <w:rFonts w:hint="eastAsia" w:ascii="仿宋" w:hAnsi="仿宋" w:eastAsia="仿宋" w:cs="仿宋"/>
          <w:color w:val="auto"/>
          <w:sz w:val="24"/>
          <w:szCs w:val="24"/>
          <w:highlight w:val="none"/>
          <w:lang w:val="en-US" w:eastAsia="zh-CN"/>
        </w:rPr>
        <w:t>资质，且同时具备有效的</w:t>
      </w:r>
      <w:r>
        <w:rPr>
          <w:rFonts w:hint="eastAsia" w:ascii="仿宋" w:hAnsi="仿宋" w:eastAsia="仿宋" w:cs="仿宋"/>
          <w:b/>
          <w:bCs/>
          <w:color w:val="auto"/>
          <w:sz w:val="24"/>
          <w:szCs w:val="24"/>
          <w:highlight w:val="none"/>
          <w:lang w:val="en-US" w:eastAsia="zh-CN"/>
        </w:rPr>
        <w:t>《安全生产许可证》</w:t>
      </w:r>
      <w:r>
        <w:rPr>
          <w:rFonts w:hint="eastAsia" w:ascii="仿宋" w:hAnsi="仿宋" w:eastAsia="仿宋" w:cs="仿宋"/>
          <w:color w:val="auto"/>
          <w:sz w:val="24"/>
          <w:szCs w:val="24"/>
          <w:highlight w:val="none"/>
          <w:lang w:val="en-US" w:eastAsia="zh-CN"/>
        </w:rPr>
        <w:t>，在人员、设备、资金等方面具有承担本项目施工的能力。</w:t>
      </w:r>
    </w:p>
    <w:p w14:paraId="2ECC764D">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3.2拟派项目经理须具备</w:t>
      </w:r>
      <w:r>
        <w:rPr>
          <w:rFonts w:hint="eastAsia" w:ascii="仿宋" w:hAnsi="仿宋" w:eastAsia="仿宋" w:cs="仿宋"/>
          <w:b/>
          <w:bCs/>
          <w:color w:val="auto"/>
          <w:sz w:val="24"/>
          <w:szCs w:val="24"/>
          <w:highlight w:val="none"/>
          <w:lang w:val="en-US" w:eastAsia="zh-CN"/>
        </w:rPr>
        <w:t>公路工程专业贰级及以上</w:t>
      </w:r>
      <w:r>
        <w:rPr>
          <w:rFonts w:hint="eastAsia" w:ascii="仿宋" w:hAnsi="仿宋" w:eastAsia="仿宋" w:cs="仿宋"/>
          <w:color w:val="auto"/>
          <w:sz w:val="24"/>
          <w:szCs w:val="24"/>
          <w:highlight w:val="none"/>
          <w:lang w:val="en-US" w:eastAsia="zh-CN"/>
        </w:rPr>
        <w:t>注册建造师证书和有效的</w:t>
      </w:r>
      <w:r>
        <w:rPr>
          <w:rFonts w:hint="eastAsia" w:ascii="仿宋" w:hAnsi="仿宋" w:eastAsia="仿宋" w:cs="仿宋"/>
          <w:b/>
          <w:bCs/>
          <w:color w:val="auto"/>
          <w:sz w:val="24"/>
          <w:szCs w:val="24"/>
          <w:highlight w:val="none"/>
          <w:lang w:val="en-US" w:eastAsia="zh-CN"/>
        </w:rPr>
        <w:t>安全生产考核合格证书（B证）</w:t>
      </w:r>
      <w:r>
        <w:rPr>
          <w:rFonts w:hint="eastAsia" w:ascii="仿宋" w:hAnsi="仿宋" w:eastAsia="仿宋" w:cs="仿宋"/>
          <w:color w:val="auto"/>
          <w:sz w:val="24"/>
          <w:szCs w:val="24"/>
          <w:highlight w:val="none"/>
          <w:lang w:val="en-US" w:eastAsia="zh-CN"/>
        </w:rPr>
        <w:t>，且未担任其他在建建设工程的项目负责人（项目经理）。</w:t>
      </w:r>
    </w:p>
    <w:p w14:paraId="7C4BEA5B">
      <w:pPr>
        <w:pageBreakBefore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资格要求资料均需加盖供应商公章，且提供的资格要求证明材料复印件不清晰，不能有效证明供应商资质情况，将视为该资质未提供。</w:t>
      </w:r>
    </w:p>
    <w:p w14:paraId="4357DF73">
      <w:pPr>
        <w:autoSpaceDE/>
        <w:autoSpaceDN/>
        <w:spacing w:line="360" w:lineRule="auto"/>
        <w:ind w:firstLine="480" w:firstLineChars="200"/>
        <w:jc w:val="both"/>
        <w:rPr>
          <w:rFonts w:hint="eastAsia" w:ascii="仿宋" w:hAnsi="仿宋" w:eastAsia="仿宋" w:cs="仿宋"/>
          <w:color w:val="auto"/>
          <w:kern w:val="2"/>
          <w:sz w:val="24"/>
          <w:szCs w:val="24"/>
          <w:highlight w:val="none"/>
          <w:lang w:val="zh-CN" w:eastAsia="zh-CN"/>
        </w:rPr>
      </w:pPr>
    </w:p>
    <w:p w14:paraId="2A7C5774">
      <w:pPr>
        <w:pStyle w:val="4"/>
        <w:spacing w:before="0" w:line="360" w:lineRule="auto"/>
        <w:ind w:left="0"/>
        <w:jc w:val="left"/>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lang w:eastAsia="zh-CN"/>
        </w:rPr>
        <w:t>二、采购项目的商务要求及其他要求</w:t>
      </w:r>
    </w:p>
    <w:p w14:paraId="40E046F3">
      <w:pPr>
        <w:autoSpaceDE/>
        <w:autoSpaceDN/>
        <w:spacing w:line="360" w:lineRule="auto"/>
        <w:ind w:firstLine="482"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预算金额：</w:t>
      </w:r>
      <w:r>
        <w:rPr>
          <w:rFonts w:hint="eastAsia" w:ascii="仿宋" w:hAnsi="仿宋" w:eastAsia="仿宋" w:cs="仿宋"/>
          <w:b w:val="0"/>
          <w:bCs w:val="0"/>
          <w:i w:val="0"/>
          <w:iCs w:val="0"/>
          <w:color w:val="auto"/>
          <w:kern w:val="2"/>
          <w:sz w:val="24"/>
          <w:szCs w:val="24"/>
          <w:highlight w:val="none"/>
          <w:lang w:val="en-US" w:eastAsia="zh-CN" w:bidi="ar"/>
        </w:rPr>
        <w:t>2060000.00</w:t>
      </w:r>
      <w:r>
        <w:rPr>
          <w:rFonts w:hint="eastAsia" w:ascii="仿宋" w:hAnsi="仿宋" w:eastAsia="仿宋" w:cs="仿宋"/>
          <w:color w:val="auto"/>
          <w:kern w:val="2"/>
          <w:sz w:val="24"/>
          <w:szCs w:val="24"/>
          <w:highlight w:val="none"/>
          <w:lang w:eastAsia="zh-CN"/>
        </w:rPr>
        <w:t>元（人民币）</w:t>
      </w:r>
    </w:p>
    <w:p w14:paraId="56671695">
      <w:pPr>
        <w:autoSpaceDE/>
        <w:autoSpaceDN/>
        <w:spacing w:line="360" w:lineRule="auto"/>
        <w:ind w:firstLine="482"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最高限价（如有）</w:t>
      </w:r>
      <w:r>
        <w:rPr>
          <w:rFonts w:hint="eastAsia" w:ascii="仿宋" w:hAnsi="仿宋" w:eastAsia="仿宋" w:cs="仿宋"/>
          <w:b/>
          <w:color w:val="auto"/>
          <w:kern w:val="2"/>
          <w:sz w:val="24"/>
          <w:szCs w:val="24"/>
          <w:highlight w:val="none"/>
          <w:lang w:eastAsia="zh-CN"/>
        </w:rPr>
        <w:t>：</w:t>
      </w:r>
      <w:r>
        <w:rPr>
          <w:rFonts w:hint="eastAsia" w:ascii="仿宋" w:hAnsi="仿宋" w:eastAsia="仿宋" w:cs="仿宋"/>
          <w:b w:val="0"/>
          <w:bCs w:val="0"/>
          <w:i w:val="0"/>
          <w:iCs w:val="0"/>
          <w:color w:val="auto"/>
          <w:kern w:val="2"/>
          <w:sz w:val="24"/>
          <w:szCs w:val="24"/>
          <w:highlight w:val="none"/>
          <w:lang w:val="en-US" w:eastAsia="zh-CN" w:bidi="ar"/>
        </w:rPr>
        <w:t>2057179.00</w:t>
      </w:r>
      <w:r>
        <w:rPr>
          <w:rFonts w:hint="eastAsia" w:ascii="仿宋" w:hAnsi="仿宋" w:eastAsia="仿宋" w:cs="仿宋"/>
          <w:color w:val="auto"/>
          <w:kern w:val="2"/>
          <w:sz w:val="24"/>
          <w:szCs w:val="24"/>
          <w:highlight w:val="none"/>
          <w:lang w:eastAsia="zh-CN"/>
        </w:rPr>
        <w:t>元（人民币）</w:t>
      </w:r>
    </w:p>
    <w:p w14:paraId="28A9385B">
      <w:pPr>
        <w:autoSpaceDE/>
        <w:autoSpaceDN/>
        <w:spacing w:line="360" w:lineRule="auto"/>
        <w:ind w:firstLine="482" w:firstLineChars="200"/>
        <w:jc w:val="both"/>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采购需求：</w:t>
      </w:r>
      <w:r>
        <w:rPr>
          <w:rFonts w:hint="eastAsia" w:ascii="仿宋" w:hAnsi="仿宋" w:eastAsia="仿宋" w:cs="仿宋"/>
          <w:b w:val="0"/>
          <w:bCs w:val="0"/>
          <w:i w:val="0"/>
          <w:iCs w:val="0"/>
          <w:color w:val="auto"/>
          <w:kern w:val="2"/>
          <w:sz w:val="24"/>
          <w:szCs w:val="24"/>
          <w:highlight w:val="none"/>
          <w:lang w:val="en-US" w:eastAsia="zh-CN" w:bidi="ar"/>
        </w:rPr>
        <w:t>路线全长 3.269 公里，主要对该路段进行改造，主要工程内容有路基工程、路面工程及安防工程。</w:t>
      </w:r>
      <w:r>
        <w:rPr>
          <w:rFonts w:hint="eastAsia" w:ascii="仿宋" w:hAnsi="仿宋" w:eastAsia="仿宋" w:cs="仿宋"/>
          <w:b w:val="0"/>
          <w:bCs w:val="0"/>
          <w:i w:val="0"/>
          <w:iCs w:val="0"/>
          <w:color w:val="auto"/>
          <w:kern w:val="2"/>
          <w:sz w:val="24"/>
          <w:szCs w:val="24"/>
          <w:highlight w:val="none"/>
          <w:lang w:val="en-US" w:eastAsia="zh-CN" w:bidi="ar"/>
        </w:rPr>
        <w:t>（具体采购内容，采购项目需要落实的政府采购政策等详见《磋商文件》）。</w:t>
      </w:r>
    </w:p>
    <w:p w14:paraId="03C2E6B5">
      <w:pPr>
        <w:autoSpaceDE/>
        <w:autoSpaceDN/>
        <w:spacing w:line="360" w:lineRule="auto"/>
        <w:ind w:firstLine="482" w:firstLineChars="200"/>
        <w:jc w:val="both"/>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bidi="ar"/>
        </w:rPr>
        <w:t>合同履行期限：</w:t>
      </w:r>
      <w:bookmarkStart w:id="4" w:name="_Hlk184050717"/>
      <w:r>
        <w:rPr>
          <w:rFonts w:hint="eastAsia" w:ascii="仿宋" w:hAnsi="仿宋" w:eastAsia="仿宋" w:cs="仿宋"/>
          <w:color w:val="auto"/>
          <w:sz w:val="24"/>
          <w:highlight w:val="none"/>
          <w:lang w:val="en-US" w:eastAsia="zh-CN"/>
        </w:rPr>
        <w:t>3个月</w:t>
      </w:r>
      <w:r>
        <w:rPr>
          <w:rFonts w:hint="eastAsia" w:ascii="仿宋" w:hAnsi="仿宋" w:eastAsia="仿宋" w:cs="仿宋"/>
          <w:color w:val="auto"/>
          <w:sz w:val="24"/>
          <w:highlight w:val="none"/>
        </w:rPr>
        <w:t>；</w:t>
      </w:r>
      <w:bookmarkEnd w:id="4"/>
    </w:p>
    <w:p w14:paraId="3C15EB30">
      <w:pPr>
        <w:autoSpaceDE/>
        <w:autoSpaceDN/>
        <w:spacing w:line="360" w:lineRule="auto"/>
        <w:ind w:firstLine="482" w:firstLineChars="200"/>
        <w:jc w:val="both"/>
        <w:rPr>
          <w:rFonts w:hint="default" w:eastAsia="仿宋"/>
          <w:color w:val="auto"/>
          <w:highlight w:val="none"/>
          <w:lang w:val="en-US" w:eastAsia="zh-CN"/>
        </w:rPr>
      </w:pPr>
      <w:r>
        <w:rPr>
          <w:rFonts w:hint="eastAsia" w:ascii="仿宋" w:hAnsi="仿宋" w:eastAsia="仿宋" w:cs="仿宋"/>
          <w:b/>
          <w:bCs/>
          <w:color w:val="auto"/>
          <w:sz w:val="24"/>
          <w:szCs w:val="24"/>
          <w:highlight w:val="none"/>
          <w:lang w:bidi="ar"/>
        </w:rPr>
        <w:t>本项目（是/否）接受联合体：</w:t>
      </w:r>
      <w:r>
        <w:rPr>
          <w:rFonts w:hint="eastAsia" w:ascii="仿宋" w:hAnsi="仿宋" w:eastAsia="仿宋" w:cs="仿宋"/>
          <w:color w:val="auto"/>
          <w:sz w:val="24"/>
          <w:szCs w:val="24"/>
          <w:highlight w:val="none"/>
          <w:lang w:bidi="ar"/>
        </w:rPr>
        <w:t>否。</w:t>
      </w:r>
    </w:p>
    <w:p w14:paraId="1DEE396F">
      <w:pPr>
        <w:autoSpaceDE/>
        <w:autoSpaceDN/>
        <w:spacing w:line="360" w:lineRule="auto"/>
        <w:ind w:firstLine="482"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color w:val="auto"/>
          <w:kern w:val="2"/>
          <w:sz w:val="24"/>
          <w:szCs w:val="24"/>
          <w:highlight w:val="none"/>
          <w:lang w:val="en-US" w:eastAsia="zh-CN"/>
        </w:rPr>
        <w:t>响应</w:t>
      </w:r>
      <w:r>
        <w:rPr>
          <w:rFonts w:hint="eastAsia" w:ascii="仿宋" w:hAnsi="仿宋" w:eastAsia="仿宋" w:cs="仿宋"/>
          <w:b/>
          <w:color w:val="auto"/>
          <w:kern w:val="2"/>
          <w:sz w:val="24"/>
          <w:szCs w:val="24"/>
          <w:highlight w:val="none"/>
          <w:lang w:eastAsia="zh-CN"/>
        </w:rPr>
        <w:t>有效期：</w:t>
      </w:r>
      <w:r>
        <w:rPr>
          <w:rFonts w:hint="eastAsia" w:ascii="仿宋" w:hAnsi="仿宋" w:eastAsia="仿宋" w:cs="仿宋"/>
          <w:color w:val="auto"/>
          <w:sz w:val="24"/>
          <w:szCs w:val="24"/>
          <w:highlight w:val="none"/>
        </w:rPr>
        <w:t>响应文件提交截止之日起60日历天</w:t>
      </w:r>
    </w:p>
    <w:p w14:paraId="63B3E0F8">
      <w:pPr>
        <w:autoSpaceDE/>
        <w:autoSpaceDN/>
        <w:spacing w:line="360" w:lineRule="auto"/>
        <w:ind w:firstLine="482" w:firstLineChars="200"/>
        <w:jc w:val="both"/>
        <w:rPr>
          <w:rFonts w:hint="default" w:ascii="仿宋" w:hAnsi="仿宋" w:eastAsia="仿宋" w:cs="仿宋"/>
          <w:color w:val="auto"/>
          <w:kern w:val="2"/>
          <w:sz w:val="24"/>
          <w:szCs w:val="24"/>
          <w:highlight w:val="none"/>
          <w:lang w:val="en-US" w:eastAsia="zh-CN"/>
        </w:rPr>
      </w:pPr>
      <w:r>
        <w:rPr>
          <w:rFonts w:hint="eastAsia" w:ascii="仿宋" w:hAnsi="仿宋" w:eastAsia="仿宋" w:cs="仿宋"/>
          <w:b/>
          <w:color w:val="auto"/>
          <w:kern w:val="2"/>
          <w:sz w:val="24"/>
          <w:szCs w:val="24"/>
          <w:highlight w:val="none"/>
          <w:lang w:eastAsia="zh-CN"/>
        </w:rPr>
        <w:t>投标保证金：</w:t>
      </w:r>
      <w:r>
        <w:rPr>
          <w:rFonts w:hint="eastAsia" w:ascii="仿宋" w:hAnsi="仿宋" w:eastAsia="仿宋" w:cs="仿宋"/>
          <w:color w:val="auto"/>
          <w:kern w:val="2"/>
          <w:sz w:val="24"/>
          <w:szCs w:val="24"/>
          <w:highlight w:val="none"/>
          <w:lang w:val="en-US" w:eastAsia="zh-CN"/>
        </w:rPr>
        <w:t>20000.00元</w:t>
      </w:r>
    </w:p>
    <w:p w14:paraId="603EE920">
      <w:pPr>
        <w:autoSpaceDE/>
        <w:autoSpaceDN/>
        <w:spacing w:line="360" w:lineRule="auto"/>
        <w:ind w:firstLine="482" w:firstLineChars="200"/>
        <w:jc w:val="both"/>
        <w:rPr>
          <w:rFonts w:hint="eastAsia" w:ascii="仿宋" w:hAnsi="仿宋" w:eastAsia="仿宋" w:cs="仿宋"/>
          <w:b w:val="0"/>
          <w:bCs/>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工程质量、施工安全文明要求：</w:t>
      </w:r>
      <w:r>
        <w:rPr>
          <w:rFonts w:hint="eastAsia" w:ascii="仿宋" w:hAnsi="仿宋" w:eastAsia="仿宋" w:cs="仿宋"/>
          <w:b w:val="0"/>
          <w:bCs/>
          <w:color w:val="auto"/>
          <w:kern w:val="2"/>
          <w:sz w:val="24"/>
          <w:szCs w:val="24"/>
          <w:highlight w:val="none"/>
          <w:lang w:eastAsia="zh-CN"/>
        </w:rPr>
        <w:t>工程质量：符合国家现行有关施工质量验收规范标准。</w:t>
      </w:r>
    </w:p>
    <w:p w14:paraId="673B2083">
      <w:pPr>
        <w:autoSpaceDE/>
        <w:autoSpaceDN/>
        <w:spacing w:line="360" w:lineRule="auto"/>
        <w:ind w:firstLine="480" w:firstLineChars="200"/>
        <w:jc w:val="both"/>
        <w:rPr>
          <w:rFonts w:hint="eastAsia" w:ascii="仿宋" w:hAnsi="仿宋" w:eastAsia="仿宋" w:cs="仿宋"/>
          <w:b w:val="0"/>
          <w:bCs/>
          <w:color w:val="auto"/>
          <w:kern w:val="2"/>
          <w:sz w:val="24"/>
          <w:szCs w:val="24"/>
          <w:highlight w:val="none"/>
          <w:lang w:eastAsia="zh-CN"/>
        </w:rPr>
      </w:pPr>
      <w:r>
        <w:rPr>
          <w:rFonts w:hint="eastAsia" w:ascii="仿宋" w:hAnsi="仿宋" w:eastAsia="仿宋" w:cs="仿宋"/>
          <w:b w:val="0"/>
          <w:bCs/>
          <w:color w:val="auto"/>
          <w:kern w:val="2"/>
          <w:sz w:val="24"/>
          <w:szCs w:val="24"/>
          <w:highlight w:val="none"/>
          <w:lang w:eastAsia="zh-CN"/>
        </w:rPr>
        <w:t>施工安全文明标准化：满足有关规范标准要求。</w:t>
      </w:r>
    </w:p>
    <w:p w14:paraId="6CA498E9">
      <w:pPr>
        <w:autoSpaceDE/>
        <w:autoSpaceDN/>
        <w:spacing w:line="360" w:lineRule="auto"/>
        <w:ind w:firstLine="482" w:firstLineChars="200"/>
        <w:jc w:val="both"/>
        <w:rPr>
          <w:rFonts w:hint="eastAsia"/>
          <w:color w:val="auto"/>
          <w:sz w:val="24"/>
          <w:szCs w:val="24"/>
          <w:highlight w:val="none"/>
          <w:lang w:eastAsia="zh-CN"/>
        </w:rPr>
      </w:pPr>
      <w:r>
        <w:rPr>
          <w:rFonts w:hint="eastAsia" w:ascii="仿宋" w:hAnsi="仿宋" w:eastAsia="仿宋" w:cs="仿宋"/>
          <w:b/>
          <w:color w:val="auto"/>
          <w:kern w:val="2"/>
          <w:sz w:val="24"/>
          <w:szCs w:val="24"/>
          <w:highlight w:val="none"/>
          <w:lang w:eastAsia="zh-CN"/>
        </w:rPr>
        <w:t>代理费支付：</w:t>
      </w:r>
      <w:r>
        <w:rPr>
          <w:rFonts w:hint="eastAsia" w:ascii="仿宋" w:hAnsi="仿宋" w:eastAsia="仿宋" w:cs="仿宋"/>
          <w:color w:val="auto"/>
          <w:sz w:val="24"/>
          <w:szCs w:val="24"/>
          <w:highlight w:val="none"/>
          <w:lang w:val="en-US" w:eastAsia="zh-CN"/>
        </w:rPr>
        <w:t>本项目采购代理服务费由中标供应商在领取中标（成交）通知书的同时向采购代理机构一次性支付，按照黔价房【2011】</w:t>
      </w:r>
      <w:r>
        <w:rPr>
          <w:rFonts w:hint="eastAsia" w:ascii="仿宋" w:hAnsi="仿宋" w:eastAsia="仿宋" w:cs="仿宋"/>
          <w:color w:val="auto"/>
          <w:sz w:val="24"/>
          <w:szCs w:val="24"/>
          <w:highlight w:val="none"/>
          <w:lang w:val="en-US" w:eastAsia="zh-CN"/>
        </w:rPr>
        <w:t>69号文件下浮30%计取</w:t>
      </w:r>
      <w:r>
        <w:rPr>
          <w:rFonts w:hint="eastAsia" w:ascii="仿宋" w:hAnsi="仿宋" w:eastAsia="仿宋" w:cs="仿宋"/>
          <w:color w:val="auto"/>
          <w:sz w:val="24"/>
          <w:szCs w:val="24"/>
          <w:highlight w:val="none"/>
          <w:lang w:val="en-US" w:eastAsia="zh-CN"/>
        </w:rPr>
        <w:t>。</w:t>
      </w:r>
    </w:p>
    <w:p w14:paraId="5EE464A4">
      <w:pPr>
        <w:pStyle w:val="4"/>
        <w:tabs>
          <w:tab w:val="left" w:pos="3299"/>
        </w:tabs>
        <w:spacing w:before="0" w:line="360" w:lineRule="auto"/>
        <w:ind w:left="0" w:right="559" w:rightChars="254"/>
        <w:jc w:val="left"/>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lang w:eastAsia="zh-CN"/>
        </w:rPr>
        <w:t>三、</w:t>
      </w:r>
      <w:r>
        <w:rPr>
          <w:rFonts w:hint="eastAsia" w:ascii="仿宋" w:hAnsi="仿宋" w:eastAsia="仿宋"/>
          <w:b/>
          <w:color w:val="auto"/>
          <w:sz w:val="24"/>
          <w:szCs w:val="24"/>
          <w:highlight w:val="none"/>
          <w:lang w:val="en-US" w:eastAsia="zh-CN"/>
        </w:rPr>
        <w:t>采购内容</w:t>
      </w:r>
      <w:r>
        <w:rPr>
          <w:rFonts w:ascii="仿宋" w:hAnsi="仿宋" w:eastAsia="仿宋"/>
          <w:b/>
          <w:color w:val="auto"/>
          <w:sz w:val="24"/>
          <w:szCs w:val="24"/>
          <w:highlight w:val="none"/>
          <w:lang w:eastAsia="zh-CN"/>
        </w:rPr>
        <w:tab/>
      </w:r>
    </w:p>
    <w:p w14:paraId="6748E72E">
      <w:pPr>
        <w:autoSpaceDE/>
        <w:autoSpaceDN/>
        <w:spacing w:line="360" w:lineRule="auto"/>
        <w:ind w:firstLine="480" w:firstLineChars="200"/>
        <w:jc w:val="both"/>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具体图纸、工程量清单等详解采购文件</w:t>
      </w:r>
    </w:p>
    <w:p w14:paraId="3C8AE4DD">
      <w:pPr>
        <w:spacing w:line="360" w:lineRule="auto"/>
        <w:ind w:right="99" w:rightChars="45"/>
        <w:rPr>
          <w:rFonts w:hint="eastAsia" w:ascii="仿宋" w:hAnsi="仿宋" w:eastAsia="仿宋" w:cs="Arial"/>
          <w:b/>
          <w:color w:val="auto"/>
          <w:spacing w:val="9"/>
          <w:sz w:val="24"/>
          <w:szCs w:val="24"/>
          <w:highlight w:val="none"/>
          <w:lang w:eastAsia="zh-CN"/>
        </w:rPr>
      </w:pPr>
      <w:bookmarkStart w:id="5" w:name="_Toc35393806"/>
      <w:bookmarkStart w:id="6" w:name="_Toc28359019"/>
      <w:bookmarkStart w:id="7" w:name="_Toc35393637"/>
      <w:bookmarkStart w:id="8" w:name="_Toc28359096"/>
      <w:r>
        <w:rPr>
          <w:rFonts w:hint="eastAsia" w:ascii="仿宋" w:hAnsi="仿宋" w:eastAsia="仿宋" w:cs="Arial"/>
          <w:b/>
          <w:color w:val="auto"/>
          <w:spacing w:val="9"/>
          <w:sz w:val="24"/>
          <w:szCs w:val="24"/>
          <w:highlight w:val="none"/>
          <w:lang w:eastAsia="zh-CN"/>
        </w:rPr>
        <w:t>四、评标办法</w:t>
      </w:r>
    </w:p>
    <w:p w14:paraId="44A75A46">
      <w:pPr>
        <w:pStyle w:val="2"/>
        <w:kinsoku w:val="0"/>
        <w:overflowPunct w:val="0"/>
        <w:spacing w:line="360" w:lineRule="auto"/>
        <w:ind w:firstLine="565" w:firstLineChars="219"/>
        <w:rPr>
          <w:rFonts w:hint="eastAsia" w:ascii="仿宋" w:hAnsi="仿宋" w:eastAsia="仿宋" w:cs="Arial"/>
          <w:color w:val="auto"/>
          <w:spacing w:val="9"/>
          <w:sz w:val="24"/>
          <w:szCs w:val="24"/>
          <w:highlight w:val="none"/>
          <w:lang w:eastAsia="zh-CN"/>
        </w:rPr>
      </w:pPr>
      <w:r>
        <w:rPr>
          <w:rFonts w:hint="eastAsia" w:ascii="仿宋" w:hAnsi="仿宋" w:eastAsia="仿宋" w:cs="Arial"/>
          <w:color w:val="auto"/>
          <w:spacing w:val="9"/>
          <w:sz w:val="24"/>
          <w:szCs w:val="24"/>
          <w:highlight w:val="none"/>
          <w:lang w:eastAsia="zh-CN"/>
        </w:rPr>
        <w:t>综合评分法</w:t>
      </w:r>
    </w:p>
    <w:p w14:paraId="57B71469">
      <w:pPr>
        <w:pStyle w:val="2"/>
        <w:kinsoku w:val="0"/>
        <w:overflowPunct w:val="0"/>
        <w:spacing w:line="360" w:lineRule="auto"/>
        <w:rPr>
          <w:rFonts w:hint="eastAsia" w:ascii="仿宋" w:hAnsi="仿宋" w:eastAsia="仿宋" w:cs="Arial"/>
          <w:color w:val="auto"/>
          <w:spacing w:val="9"/>
          <w:sz w:val="24"/>
          <w:szCs w:val="24"/>
          <w:highlight w:val="none"/>
          <w:lang w:eastAsia="zh-CN"/>
        </w:rPr>
      </w:pPr>
      <w:r>
        <w:rPr>
          <w:rFonts w:hint="eastAsia" w:ascii="仿宋" w:hAnsi="仿宋" w:eastAsia="仿宋" w:cs="Arial"/>
          <w:b/>
          <w:color w:val="auto"/>
          <w:spacing w:val="9"/>
          <w:sz w:val="24"/>
          <w:szCs w:val="24"/>
          <w:highlight w:val="none"/>
          <w:lang w:eastAsia="zh-CN"/>
        </w:rPr>
        <w:t>五、废标及无效标条款</w:t>
      </w:r>
    </w:p>
    <w:p w14:paraId="6D8767B1">
      <w:pPr>
        <w:pStyle w:val="2"/>
        <w:kinsoku w:val="0"/>
        <w:overflowPunct w:val="0"/>
        <w:spacing w:line="360" w:lineRule="auto"/>
        <w:ind w:firstLine="565" w:firstLineChars="219"/>
        <w:rPr>
          <w:rFonts w:hint="eastAsia" w:ascii="仿宋" w:hAnsi="仿宋" w:eastAsia="仿宋" w:cs="Arial"/>
          <w:color w:val="auto"/>
          <w:spacing w:val="9"/>
          <w:sz w:val="24"/>
          <w:szCs w:val="24"/>
          <w:highlight w:val="none"/>
          <w:lang w:eastAsia="zh-CN"/>
        </w:rPr>
      </w:pPr>
      <w:r>
        <w:rPr>
          <w:rFonts w:hint="eastAsia" w:ascii="仿宋" w:hAnsi="仿宋" w:eastAsia="仿宋" w:cs="Arial"/>
          <w:color w:val="auto"/>
          <w:spacing w:val="9"/>
          <w:sz w:val="24"/>
          <w:szCs w:val="24"/>
          <w:highlight w:val="none"/>
          <w:lang w:eastAsia="zh-CN"/>
        </w:rPr>
        <w:t>一、无效响应条款</w:t>
      </w:r>
    </w:p>
    <w:p w14:paraId="21D1273C">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（1）响应文件未按本磋商文件要求送达（上传）的；</w:t>
      </w:r>
    </w:p>
    <w:p w14:paraId="3DF30477">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（2）供应商的参会代表未按本磋商文件规定时间参加磋商会议或解密的；</w:t>
      </w:r>
    </w:p>
    <w:p w14:paraId="699E56A2">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（3）响应文件电子</w:t>
      </w:r>
      <w:r>
        <w:rPr>
          <w:rFonts w:hint="eastAsia" w:ascii="仿宋" w:hAnsi="仿宋" w:eastAsia="仿宋" w:cs="Arial"/>
          <w:b w:val="0"/>
          <w:bCs/>
          <w:color w:val="auto"/>
          <w:spacing w:val="9"/>
          <w:sz w:val="24"/>
          <w:szCs w:val="24"/>
          <w:highlight w:val="none"/>
          <w:lang w:val="en-US" w:eastAsia="zh-CN"/>
        </w:rPr>
        <w:t>U</w:t>
      </w:r>
      <w:r>
        <w:rPr>
          <w:rFonts w:hint="eastAsia" w:ascii="仿宋" w:hAnsi="仿宋" w:eastAsia="仿宋" w:cs="Arial"/>
          <w:b w:val="0"/>
          <w:bCs/>
          <w:color w:val="auto"/>
          <w:spacing w:val="9"/>
          <w:sz w:val="24"/>
          <w:szCs w:val="24"/>
          <w:highlight w:val="none"/>
          <w:lang w:eastAsia="zh-CN"/>
        </w:rPr>
        <w:t>盘的包封套未按磋商文件要求密封、标识和签署的（多余标识和签署的除外）；</w:t>
      </w:r>
    </w:p>
    <w:p w14:paraId="756932A5">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（4）供应商参会代表应出示的证件不齐或证件无效的；</w:t>
      </w:r>
    </w:p>
    <w:p w14:paraId="13497308">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5）不具备磋商文件规定的资格条件的或上传的资格审查资料不齐或资格审查资料无效的</w:t>
      </w:r>
      <w:r>
        <w:rPr>
          <w:rFonts w:hint="eastAsia" w:ascii="仿宋" w:hAnsi="仿宋" w:eastAsia="仿宋" w:cs="Arial"/>
          <w:b w:val="0"/>
          <w:bCs/>
          <w:color w:val="auto"/>
          <w:spacing w:val="9"/>
          <w:sz w:val="24"/>
          <w:szCs w:val="24"/>
          <w:highlight w:val="none"/>
          <w:lang w:eastAsia="zh-CN"/>
        </w:rPr>
        <w:t>；</w:t>
      </w:r>
    </w:p>
    <w:p w14:paraId="2A74FBFF">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6</w:t>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供应商没有按要求足额交纳磋商保证金的，将丧失资格；</w:t>
      </w:r>
    </w:p>
    <w:p w14:paraId="6DA45782">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7</w:t>
      </w:r>
      <w:r>
        <w:rPr>
          <w:rFonts w:hint="eastAsia" w:ascii="仿宋" w:hAnsi="仿宋" w:eastAsia="仿宋" w:cs="Arial"/>
          <w:b w:val="0"/>
          <w:bCs/>
          <w:color w:val="auto"/>
          <w:spacing w:val="9"/>
          <w:sz w:val="24"/>
          <w:szCs w:val="24"/>
          <w:highlight w:val="none"/>
          <w:lang w:eastAsia="zh-CN"/>
        </w:rPr>
        <w:t>）报价函的投标报价采用手写或作修改的；</w:t>
      </w:r>
    </w:p>
    <w:p w14:paraId="1A0E4551">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8</w:t>
      </w:r>
      <w:r>
        <w:rPr>
          <w:rFonts w:hint="eastAsia" w:ascii="仿宋" w:hAnsi="仿宋" w:eastAsia="仿宋" w:cs="Arial"/>
          <w:b w:val="0"/>
          <w:bCs/>
          <w:color w:val="auto"/>
          <w:spacing w:val="9"/>
          <w:sz w:val="24"/>
          <w:szCs w:val="24"/>
          <w:highlight w:val="none"/>
          <w:lang w:eastAsia="zh-CN"/>
        </w:rPr>
        <w:t>）不按磋商小组要求澄清、说明或补正的；</w:t>
      </w:r>
    </w:p>
    <w:p w14:paraId="6CFE9120">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9</w:t>
      </w:r>
      <w:r>
        <w:rPr>
          <w:rFonts w:hint="eastAsia" w:ascii="仿宋" w:hAnsi="仿宋" w:eastAsia="仿宋" w:cs="Arial"/>
          <w:b w:val="0"/>
          <w:bCs/>
          <w:color w:val="auto"/>
          <w:spacing w:val="9"/>
          <w:sz w:val="24"/>
          <w:szCs w:val="24"/>
          <w:highlight w:val="none"/>
          <w:lang w:eastAsia="zh-CN"/>
        </w:rPr>
        <w:t>）在符合性评审中，磋商小组认定供应商的响应不符合评审办法前附表中规定的任何一项评审标准的；</w:t>
      </w:r>
    </w:p>
    <w:p w14:paraId="5E2171F4">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10</w:t>
      </w:r>
      <w:r>
        <w:rPr>
          <w:rFonts w:hint="eastAsia" w:ascii="仿宋" w:hAnsi="仿宋" w:eastAsia="仿宋" w:cs="Arial"/>
          <w:b w:val="0"/>
          <w:bCs/>
          <w:color w:val="auto"/>
          <w:spacing w:val="9"/>
          <w:sz w:val="24"/>
          <w:szCs w:val="24"/>
          <w:highlight w:val="none"/>
          <w:lang w:eastAsia="zh-CN"/>
        </w:rPr>
        <w:t>）响应文件未按照磋商文件要求签署、盖章的</w:t>
      </w:r>
    </w:p>
    <w:p w14:paraId="5068F3B2">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11</w:t>
      </w:r>
      <w:r>
        <w:rPr>
          <w:rFonts w:hint="eastAsia" w:ascii="仿宋" w:hAnsi="仿宋" w:eastAsia="仿宋" w:cs="Arial"/>
          <w:b w:val="0"/>
          <w:bCs/>
          <w:color w:val="auto"/>
          <w:spacing w:val="9"/>
          <w:sz w:val="24"/>
          <w:szCs w:val="24"/>
          <w:highlight w:val="none"/>
          <w:lang w:eastAsia="zh-CN"/>
        </w:rPr>
        <w:t>）报价高于最高投标限价或经磋商小组认定低于成本价的；</w:t>
      </w:r>
    </w:p>
    <w:p w14:paraId="5C35718A">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12</w:t>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合同履行期</w:t>
      </w:r>
      <w:r>
        <w:rPr>
          <w:rFonts w:hint="eastAsia" w:ascii="仿宋" w:hAnsi="仿宋" w:eastAsia="仿宋" w:cs="Arial"/>
          <w:b w:val="0"/>
          <w:bCs/>
          <w:color w:val="auto"/>
          <w:spacing w:val="9"/>
          <w:sz w:val="24"/>
          <w:szCs w:val="24"/>
          <w:highlight w:val="none"/>
          <w:lang w:eastAsia="zh-CN"/>
        </w:rPr>
        <w:t>不满足磋商文件的规定的；</w:t>
      </w:r>
    </w:p>
    <w:p w14:paraId="72FE306E">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13</w:t>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未按照招标文件或交易中心要求二次报价的；</w:t>
      </w:r>
      <w:r>
        <w:rPr>
          <w:rFonts w:hint="eastAsia" w:ascii="仿宋" w:hAnsi="仿宋" w:eastAsia="仿宋" w:cs="Arial"/>
          <w:b w:val="0"/>
          <w:bCs/>
          <w:color w:val="auto"/>
          <w:spacing w:val="9"/>
          <w:sz w:val="24"/>
          <w:szCs w:val="24"/>
          <w:highlight w:val="none"/>
          <w:lang w:eastAsia="zh-CN"/>
        </w:rPr>
        <w:br w:type="textWrapping"/>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14</w:t>
      </w:r>
      <w:r>
        <w:rPr>
          <w:rFonts w:hint="eastAsia" w:ascii="仿宋" w:hAnsi="仿宋" w:eastAsia="仿宋" w:cs="Arial"/>
          <w:b w:val="0"/>
          <w:bCs/>
          <w:color w:val="auto"/>
          <w:spacing w:val="9"/>
          <w:sz w:val="24"/>
          <w:szCs w:val="24"/>
          <w:highlight w:val="none"/>
          <w:lang w:eastAsia="zh-CN"/>
        </w:rPr>
        <w:t>）磋商小组认定响应文件雷同的；</w:t>
      </w:r>
    </w:p>
    <w:p w14:paraId="1887655D">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15</w:t>
      </w:r>
      <w:r>
        <w:rPr>
          <w:rFonts w:hint="eastAsia" w:ascii="仿宋" w:hAnsi="仿宋" w:eastAsia="仿宋" w:cs="Arial"/>
          <w:b w:val="0"/>
          <w:bCs/>
          <w:color w:val="auto"/>
          <w:spacing w:val="9"/>
          <w:sz w:val="24"/>
          <w:szCs w:val="24"/>
          <w:highlight w:val="none"/>
          <w:lang w:eastAsia="zh-CN"/>
        </w:rPr>
        <w:t>）响应文件对本磋商文件需承诺内容未作出承诺的；</w:t>
      </w:r>
    </w:p>
    <w:p w14:paraId="3497B1E4">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16</w:t>
      </w:r>
      <w:r>
        <w:rPr>
          <w:rFonts w:hint="eastAsia" w:ascii="仿宋" w:hAnsi="仿宋" w:eastAsia="仿宋" w:cs="Arial"/>
          <w:b w:val="0"/>
          <w:bCs/>
          <w:color w:val="auto"/>
          <w:spacing w:val="9"/>
          <w:sz w:val="24"/>
          <w:szCs w:val="24"/>
          <w:highlight w:val="none"/>
          <w:lang w:eastAsia="zh-CN"/>
        </w:rPr>
        <w:t>）失信被执行人、税收违法黑名单（或重大税收违法失信主体）、政府采购严重违法失信行为记录名单供应商参与政府采购活动的，将丧失投标资格；</w:t>
      </w:r>
    </w:p>
    <w:p w14:paraId="20BF622B">
      <w:pPr>
        <w:spacing w:line="360" w:lineRule="auto"/>
        <w:ind w:right="99" w:rightChars="45"/>
        <w:rPr>
          <w:rFonts w:hint="eastAsia" w:ascii="仿宋" w:hAnsi="仿宋" w:eastAsia="仿宋" w:cs="Arial"/>
          <w:b w:val="0"/>
          <w:bCs/>
          <w:color w:val="auto"/>
          <w:spacing w:val="9"/>
          <w:sz w:val="24"/>
          <w:szCs w:val="24"/>
          <w:highlight w:val="none"/>
          <w:lang w:val="en-US"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17）</w:t>
      </w:r>
      <w:r>
        <w:rPr>
          <w:rFonts w:hint="eastAsia" w:ascii="仿宋" w:hAnsi="仿宋" w:eastAsia="仿宋" w:cs="Arial"/>
          <w:b w:val="0"/>
          <w:bCs/>
          <w:color w:val="auto"/>
          <w:spacing w:val="9"/>
          <w:sz w:val="24"/>
          <w:szCs w:val="24"/>
          <w:highlight w:val="none"/>
          <w:lang w:val="zh-CN" w:eastAsia="zh-CN"/>
        </w:rPr>
        <w:t>以任何方式或者方法提供采购人不能接受的附加条件的；</w:t>
      </w:r>
    </w:p>
    <w:p w14:paraId="0B5014DC">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18）</w:t>
      </w:r>
      <w:r>
        <w:rPr>
          <w:rFonts w:hint="eastAsia" w:ascii="仿宋" w:hAnsi="仿宋" w:eastAsia="仿宋" w:cs="Arial"/>
          <w:b w:val="0"/>
          <w:bCs/>
          <w:color w:val="auto"/>
          <w:spacing w:val="9"/>
          <w:sz w:val="24"/>
          <w:szCs w:val="24"/>
          <w:highlight w:val="none"/>
          <w:lang w:eastAsia="zh-CN"/>
        </w:rPr>
        <w:t>响应文件有关内容违反法律法规规章相关规定的。</w:t>
      </w:r>
    </w:p>
    <w:p w14:paraId="1B8D522F">
      <w:pPr>
        <w:spacing w:line="360" w:lineRule="auto"/>
        <w:ind w:right="99" w:rightChars="45"/>
        <w:rPr>
          <w:rFonts w:hint="eastAsia" w:ascii="仿宋" w:hAnsi="仿宋" w:eastAsia="仿宋" w:cs="Arial"/>
          <w:b/>
          <w:color w:val="auto"/>
          <w:spacing w:val="9"/>
          <w:sz w:val="24"/>
          <w:szCs w:val="24"/>
          <w:highlight w:val="none"/>
          <w:lang w:eastAsia="zh-CN"/>
        </w:rPr>
      </w:pPr>
      <w:r>
        <w:rPr>
          <w:rFonts w:hint="eastAsia" w:ascii="仿宋" w:hAnsi="仿宋" w:eastAsia="仿宋" w:cs="Arial"/>
          <w:b/>
          <w:color w:val="auto"/>
          <w:spacing w:val="9"/>
          <w:sz w:val="24"/>
          <w:szCs w:val="24"/>
          <w:highlight w:val="none"/>
          <w:lang w:eastAsia="zh-CN"/>
        </w:rPr>
        <w:t>六、特别说明：</w:t>
      </w:r>
    </w:p>
    <w:p w14:paraId="0B5E33A4">
      <w:pPr>
        <w:pStyle w:val="2"/>
        <w:kinsoku w:val="0"/>
        <w:overflowPunct w:val="0"/>
        <w:spacing w:line="360" w:lineRule="auto"/>
        <w:ind w:firstLine="565" w:firstLineChars="219"/>
        <w:rPr>
          <w:rFonts w:hint="eastAsia" w:ascii="仿宋" w:hAnsi="仿宋" w:eastAsia="仿宋" w:cs="Arial"/>
          <w:color w:val="auto"/>
          <w:spacing w:val="9"/>
          <w:sz w:val="24"/>
          <w:szCs w:val="24"/>
          <w:highlight w:val="none"/>
          <w:lang w:eastAsia="zh-CN"/>
        </w:rPr>
      </w:pPr>
      <w:r>
        <w:rPr>
          <w:rFonts w:hint="eastAsia" w:ascii="仿宋" w:hAnsi="仿宋" w:eastAsia="仿宋" w:cs="Arial"/>
          <w:color w:val="auto"/>
          <w:spacing w:val="9"/>
          <w:sz w:val="24"/>
          <w:szCs w:val="24"/>
          <w:highlight w:val="none"/>
          <w:lang w:eastAsia="zh-CN"/>
        </w:rPr>
        <w:t>本公示内容仅为招标人对本项目的需求公示，具体内容以最终招标文件发售稿为准！</w:t>
      </w:r>
    </w:p>
    <w:p w14:paraId="428476B6">
      <w:pPr>
        <w:spacing w:line="360" w:lineRule="auto"/>
        <w:ind w:right="99" w:rightChars="45"/>
        <w:rPr>
          <w:rFonts w:hint="eastAsia" w:ascii="仿宋" w:hAnsi="仿宋" w:eastAsia="仿宋" w:cs="Arial"/>
          <w:b/>
          <w:color w:val="auto"/>
          <w:spacing w:val="9"/>
          <w:sz w:val="24"/>
          <w:szCs w:val="24"/>
          <w:highlight w:val="none"/>
          <w:lang w:eastAsia="zh-CN"/>
        </w:rPr>
      </w:pPr>
      <w:r>
        <w:rPr>
          <w:rFonts w:hint="eastAsia" w:ascii="仿宋" w:hAnsi="仿宋" w:eastAsia="仿宋" w:cs="Arial"/>
          <w:b/>
          <w:color w:val="auto"/>
          <w:spacing w:val="9"/>
          <w:sz w:val="24"/>
          <w:szCs w:val="24"/>
          <w:highlight w:val="none"/>
          <w:lang w:eastAsia="zh-CN"/>
        </w:rPr>
        <w:t>七、联系方式</w:t>
      </w:r>
    </w:p>
    <w:p w14:paraId="493C2951">
      <w:pPr>
        <w:pStyle w:val="4"/>
        <w:spacing w:before="0" w:line="360" w:lineRule="auto"/>
        <w:ind w:left="0"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1.采购人信息</w:t>
      </w:r>
      <w:bookmarkEnd w:id="5"/>
      <w:bookmarkEnd w:id="6"/>
      <w:bookmarkEnd w:id="7"/>
      <w:bookmarkEnd w:id="8"/>
      <w:r>
        <w:rPr>
          <w:rFonts w:hint="eastAsia" w:ascii="仿宋" w:hAnsi="仿宋" w:eastAsia="仿宋"/>
          <w:color w:val="auto"/>
          <w:sz w:val="24"/>
          <w:szCs w:val="24"/>
          <w:highlight w:val="none"/>
          <w:lang w:eastAsia="zh-CN"/>
        </w:rPr>
        <w:t xml:space="preserve">                                 </w:t>
      </w:r>
    </w:p>
    <w:p w14:paraId="24A25191">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名    称：</w:t>
      </w:r>
      <w:r>
        <w:rPr>
          <w:rFonts w:hint="eastAsia" w:ascii="仿宋" w:hAnsi="仿宋" w:eastAsia="仿宋"/>
          <w:color w:val="auto"/>
          <w:sz w:val="24"/>
          <w:szCs w:val="24"/>
          <w:highlight w:val="none"/>
          <w:u w:val="single"/>
          <w:lang w:eastAsia="zh-CN"/>
        </w:rPr>
        <w:t>　　</w:t>
      </w:r>
      <w:r>
        <w:rPr>
          <w:rFonts w:hint="eastAsia" w:ascii="仿宋" w:hAnsi="仿宋" w:eastAsia="仿宋"/>
          <w:color w:val="auto"/>
          <w:sz w:val="24"/>
          <w:szCs w:val="24"/>
          <w:highlight w:val="none"/>
          <w:u w:val="single"/>
          <w:lang w:val="en-US" w:eastAsia="zh-CN"/>
        </w:rPr>
        <w:t>桐梓县交通运输局</w:t>
      </w:r>
      <w:r>
        <w:rPr>
          <w:rFonts w:hint="eastAsia" w:ascii="仿宋" w:hAnsi="仿宋" w:eastAsia="仿宋"/>
          <w:color w:val="auto"/>
          <w:sz w:val="24"/>
          <w:szCs w:val="24"/>
          <w:highlight w:val="none"/>
          <w:u w:val="single"/>
          <w:lang w:eastAsia="zh-CN"/>
        </w:rPr>
        <w:t xml:space="preserve">          </w:t>
      </w:r>
    </w:p>
    <w:p w14:paraId="05181497">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地　　址：</w:t>
      </w:r>
      <w:r>
        <w:rPr>
          <w:rFonts w:hint="eastAsia" w:ascii="仿宋" w:hAnsi="仿宋" w:eastAsia="仿宋"/>
          <w:color w:val="auto"/>
          <w:sz w:val="24"/>
          <w:szCs w:val="24"/>
          <w:highlight w:val="none"/>
          <w:u w:val="single"/>
          <w:lang w:eastAsia="zh-CN"/>
        </w:rPr>
        <w:t>　　</w:t>
      </w:r>
      <w:r>
        <w:rPr>
          <w:rFonts w:hint="eastAsia" w:ascii="仿宋" w:hAnsi="仿宋" w:eastAsia="仿宋"/>
          <w:color w:val="auto"/>
          <w:sz w:val="24"/>
          <w:szCs w:val="24"/>
          <w:highlight w:val="none"/>
          <w:u w:val="single"/>
          <w:lang w:val="en-US" w:eastAsia="zh-CN"/>
        </w:rPr>
        <w:t>桐梓县蟠龙大道汽车客运站</w:t>
      </w:r>
      <w:r>
        <w:rPr>
          <w:rFonts w:hint="eastAsia" w:ascii="仿宋" w:hAnsi="仿宋" w:eastAsia="仿宋"/>
          <w:color w:val="auto"/>
          <w:sz w:val="24"/>
          <w:szCs w:val="24"/>
          <w:highlight w:val="none"/>
          <w:u w:val="single"/>
          <w:lang w:eastAsia="zh-CN"/>
        </w:rPr>
        <w:t xml:space="preserve"> 　</w:t>
      </w:r>
    </w:p>
    <w:p w14:paraId="2061456A">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联系人：</w:t>
      </w:r>
      <w:r>
        <w:rPr>
          <w:rFonts w:hint="eastAsia" w:ascii="仿宋" w:hAnsi="仿宋" w:eastAsia="仿宋"/>
          <w:color w:val="auto"/>
          <w:sz w:val="24"/>
          <w:szCs w:val="24"/>
          <w:highlight w:val="none"/>
          <w:u w:val="single"/>
          <w:lang w:eastAsia="zh-CN"/>
        </w:rPr>
        <w:t xml:space="preserve">      </w:t>
      </w:r>
      <w:r>
        <w:rPr>
          <w:rFonts w:hint="eastAsia" w:ascii="仿宋" w:hAnsi="仿宋" w:eastAsia="仿宋"/>
          <w:color w:val="auto"/>
          <w:sz w:val="24"/>
          <w:szCs w:val="24"/>
          <w:highlight w:val="none"/>
          <w:u w:val="single"/>
          <w:lang w:val="en-US" w:eastAsia="zh-CN"/>
        </w:rPr>
        <w:t>袁先生</w:t>
      </w:r>
      <w:r>
        <w:rPr>
          <w:rFonts w:hint="eastAsia" w:ascii="仿宋" w:hAnsi="仿宋" w:eastAsia="仿宋"/>
          <w:color w:val="auto"/>
          <w:sz w:val="24"/>
          <w:szCs w:val="24"/>
          <w:highlight w:val="none"/>
          <w:u w:val="single"/>
          <w:lang w:eastAsia="zh-CN"/>
        </w:rPr>
        <w:t xml:space="preserve">                            </w:t>
      </w:r>
    </w:p>
    <w:p w14:paraId="16DC066D">
      <w:pPr>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联系方式：</w:t>
      </w:r>
      <w:r>
        <w:rPr>
          <w:rFonts w:hint="eastAsia" w:ascii="仿宋" w:hAnsi="仿宋" w:eastAsia="仿宋"/>
          <w:color w:val="auto"/>
          <w:sz w:val="24"/>
          <w:szCs w:val="24"/>
          <w:highlight w:val="none"/>
          <w:u w:val="single"/>
          <w:lang w:eastAsia="zh-CN"/>
        </w:rPr>
        <w:t>　　</w:t>
      </w:r>
      <w:r>
        <w:rPr>
          <w:rFonts w:hint="eastAsia" w:ascii="仿宋" w:hAnsi="仿宋" w:eastAsia="仿宋"/>
          <w:color w:val="auto"/>
          <w:sz w:val="24"/>
          <w:szCs w:val="24"/>
          <w:highlight w:val="none"/>
          <w:u w:val="single"/>
          <w:lang w:val="en-US" w:eastAsia="zh-CN"/>
        </w:rPr>
        <w:t>18885218676</w:t>
      </w:r>
      <w:r>
        <w:rPr>
          <w:rFonts w:hint="eastAsia" w:ascii="仿宋" w:hAnsi="仿宋" w:eastAsia="仿宋"/>
          <w:color w:val="auto"/>
          <w:sz w:val="24"/>
          <w:szCs w:val="24"/>
          <w:highlight w:val="none"/>
          <w:u w:val="single" w:color="000000"/>
          <w:lang w:eastAsia="zh-CN"/>
        </w:rPr>
        <w:t xml:space="preserve">                       </w:t>
      </w:r>
    </w:p>
    <w:p w14:paraId="30B0E142">
      <w:pPr>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2.采购代理机构信息（如有）</w:t>
      </w:r>
    </w:p>
    <w:p w14:paraId="15E772BE">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名    称：</w:t>
      </w:r>
      <w:r>
        <w:rPr>
          <w:rFonts w:hint="eastAsia" w:ascii="仿宋" w:hAnsi="仿宋" w:eastAsia="仿宋"/>
          <w:color w:val="auto"/>
          <w:sz w:val="24"/>
          <w:szCs w:val="24"/>
          <w:highlight w:val="none"/>
          <w:u w:val="single"/>
          <w:lang w:eastAsia="zh-CN"/>
        </w:rPr>
        <w:t>　贵州智汇项目管理有限公司</w:t>
      </w:r>
    </w:p>
    <w:p w14:paraId="4AB7D9CA">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地    址：</w:t>
      </w:r>
      <w:r>
        <w:rPr>
          <w:rFonts w:hint="eastAsia" w:ascii="仿宋" w:hAnsi="仿宋" w:eastAsia="仿宋"/>
          <w:color w:val="auto"/>
          <w:sz w:val="24"/>
          <w:szCs w:val="24"/>
          <w:highlight w:val="none"/>
          <w:u w:val="single"/>
          <w:lang w:eastAsia="zh-CN"/>
        </w:rPr>
        <w:t>　贵州省遵义市红花岗区东联络线理想城11栋6-4</w:t>
      </w:r>
    </w:p>
    <w:p w14:paraId="2C5C62E5">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联系人：</w:t>
      </w:r>
      <w:r>
        <w:rPr>
          <w:rFonts w:hint="eastAsia" w:ascii="仿宋" w:hAnsi="仿宋" w:eastAsia="仿宋"/>
          <w:color w:val="auto"/>
          <w:sz w:val="24"/>
          <w:szCs w:val="24"/>
          <w:highlight w:val="none"/>
          <w:u w:val="single"/>
          <w:lang w:eastAsia="zh-CN"/>
        </w:rPr>
        <w:t xml:space="preserve">    刘飞宇                    </w:t>
      </w:r>
    </w:p>
    <w:p w14:paraId="7526866A">
      <w:pPr>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联系方式：</w:t>
      </w:r>
      <w:r>
        <w:rPr>
          <w:rFonts w:hint="eastAsia" w:ascii="仿宋" w:hAnsi="仿宋" w:eastAsia="仿宋"/>
          <w:color w:val="auto"/>
          <w:sz w:val="24"/>
          <w:szCs w:val="24"/>
          <w:highlight w:val="none"/>
          <w:u w:val="single"/>
          <w:lang w:eastAsia="zh-CN"/>
        </w:rPr>
        <w:t xml:space="preserve">　15597736548 　         </w:t>
      </w:r>
    </w:p>
    <w:p w14:paraId="6536C740">
      <w:pPr>
        <w:pStyle w:val="4"/>
        <w:spacing w:before="0" w:line="360" w:lineRule="auto"/>
        <w:ind w:left="0" w:firstLine="566" w:firstLineChars="236"/>
        <w:jc w:val="both"/>
        <w:rPr>
          <w:rFonts w:hint="eastAsia" w:ascii="仿宋" w:hAnsi="仿宋" w:eastAsia="仿宋"/>
          <w:color w:val="auto"/>
          <w:sz w:val="24"/>
          <w:szCs w:val="24"/>
          <w:highlight w:val="none"/>
          <w:lang w:eastAsia="zh-CN"/>
        </w:rPr>
      </w:pPr>
      <w:bookmarkStart w:id="9" w:name="_Toc35393808"/>
      <w:bookmarkStart w:id="10" w:name="_Toc35393639"/>
      <w:bookmarkStart w:id="11" w:name="_Toc28359098"/>
      <w:bookmarkStart w:id="12" w:name="_Toc28359021"/>
      <w:r>
        <w:rPr>
          <w:rFonts w:hint="eastAsia" w:ascii="仿宋" w:hAnsi="仿宋" w:eastAsia="仿宋"/>
          <w:color w:val="auto"/>
          <w:sz w:val="24"/>
          <w:szCs w:val="24"/>
          <w:highlight w:val="none"/>
          <w:lang w:eastAsia="zh-CN"/>
        </w:rPr>
        <w:t>3.项目联系方式</w:t>
      </w:r>
      <w:bookmarkEnd w:id="9"/>
      <w:bookmarkEnd w:id="10"/>
      <w:bookmarkEnd w:id="11"/>
      <w:bookmarkEnd w:id="12"/>
    </w:p>
    <w:p w14:paraId="543BDE82">
      <w:pPr>
        <w:pStyle w:val="12"/>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项目联系人：</w:t>
      </w:r>
      <w:r>
        <w:rPr>
          <w:rFonts w:hint="eastAsia" w:ascii="仿宋" w:hAnsi="仿宋" w:eastAsia="仿宋"/>
          <w:color w:val="auto"/>
          <w:sz w:val="24"/>
          <w:szCs w:val="24"/>
          <w:highlight w:val="none"/>
          <w:u w:val="single"/>
          <w:lang w:eastAsia="zh-CN"/>
        </w:rPr>
        <w:t xml:space="preserve">   </w:t>
      </w:r>
      <w:r>
        <w:rPr>
          <w:rFonts w:hint="eastAsia" w:ascii="仿宋" w:hAnsi="仿宋" w:eastAsia="仿宋"/>
          <w:bCs/>
          <w:color w:val="auto"/>
          <w:sz w:val="24"/>
          <w:szCs w:val="24"/>
          <w:highlight w:val="none"/>
          <w:u w:val="single" w:color="000000"/>
          <w:lang w:val="en-US" w:eastAsia="zh-CN"/>
        </w:rPr>
        <w:t>刘飞宇</w:t>
      </w:r>
      <w:r>
        <w:rPr>
          <w:rFonts w:hint="eastAsia" w:ascii="仿宋" w:hAnsi="仿宋" w:eastAsia="仿宋"/>
          <w:color w:val="auto"/>
          <w:sz w:val="24"/>
          <w:szCs w:val="24"/>
          <w:highlight w:val="none"/>
          <w:u w:val="single"/>
          <w:lang w:eastAsia="zh-CN"/>
        </w:rPr>
        <w:t xml:space="preserve">                 </w:t>
      </w:r>
    </w:p>
    <w:p w14:paraId="0DD9DCD4">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电　　 话：</w:t>
      </w:r>
      <w:r>
        <w:rPr>
          <w:rFonts w:hint="eastAsia" w:ascii="仿宋" w:hAnsi="仿宋" w:eastAsia="仿宋"/>
          <w:color w:val="auto"/>
          <w:sz w:val="24"/>
          <w:szCs w:val="24"/>
          <w:highlight w:val="none"/>
          <w:u w:val="single"/>
          <w:lang w:eastAsia="zh-CN"/>
        </w:rPr>
        <w:t>　　</w:t>
      </w:r>
      <w:r>
        <w:rPr>
          <w:rFonts w:hint="eastAsia" w:ascii="仿宋" w:hAnsi="仿宋" w:eastAsia="仿宋"/>
          <w:color w:val="auto"/>
          <w:sz w:val="24"/>
          <w:szCs w:val="24"/>
          <w:highlight w:val="none"/>
          <w:u w:val="single"/>
          <w:lang w:val="en-US" w:eastAsia="zh-CN"/>
        </w:rPr>
        <w:t>15597736548</w:t>
      </w:r>
      <w:r>
        <w:rPr>
          <w:rFonts w:hint="eastAsia" w:ascii="仿宋" w:hAnsi="仿宋" w:eastAsia="仿宋"/>
          <w:color w:val="auto"/>
          <w:sz w:val="24"/>
          <w:szCs w:val="24"/>
          <w:highlight w:val="none"/>
          <w:u w:val="single" w:color="000000"/>
          <w:lang w:eastAsia="zh-CN"/>
        </w:rPr>
        <w:t xml:space="preserve">  </w:t>
      </w:r>
      <w:r>
        <w:rPr>
          <w:rFonts w:hint="eastAsia" w:ascii="仿宋" w:hAnsi="仿宋" w:eastAsia="仿宋"/>
          <w:color w:val="auto"/>
          <w:sz w:val="24"/>
          <w:szCs w:val="24"/>
          <w:highlight w:val="none"/>
          <w:u w:val="single"/>
          <w:lang w:eastAsia="zh-CN"/>
        </w:rPr>
        <w:t xml:space="preserve">　　      </w:t>
      </w:r>
    </w:p>
    <w:p w14:paraId="2BE4728D">
      <w:pPr>
        <w:widowControl/>
        <w:autoSpaceDE/>
        <w:autoSpaceDN/>
        <w:rPr>
          <w:rFonts w:hint="eastAsia"/>
          <w:color w:val="auto"/>
          <w:highlight w:val="none"/>
          <w:lang w:eastAsia="zh-CN"/>
        </w:rPr>
      </w:pPr>
    </w:p>
    <w:sectPr>
      <w:footerReference r:id="rId3" w:type="default"/>
      <w:pgSz w:w="11900" w:h="16840"/>
      <w:pgMar w:top="567" w:right="1080" w:bottom="851"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9025">
    <w:pPr>
      <w:pStyle w:val="2"/>
      <w:spacing w:line="14" w:lineRule="auto"/>
      <w:rPr>
        <w:rFonts w:hint="eastAsia"/>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mI0ZGY1ODMwN2M3ZGVmODFjYjU2NzVlZjRkZGIifQ=="/>
  </w:docVars>
  <w:rsids>
    <w:rsidRoot w:val="00661236"/>
    <w:rsid w:val="00023E60"/>
    <w:rsid w:val="00024149"/>
    <w:rsid w:val="00037C8E"/>
    <w:rsid w:val="0006032A"/>
    <w:rsid w:val="0007171B"/>
    <w:rsid w:val="00076B76"/>
    <w:rsid w:val="000C4EBA"/>
    <w:rsid w:val="000E3FF6"/>
    <w:rsid w:val="00101747"/>
    <w:rsid w:val="001261AA"/>
    <w:rsid w:val="00176232"/>
    <w:rsid w:val="001C0424"/>
    <w:rsid w:val="001D69E1"/>
    <w:rsid w:val="00216328"/>
    <w:rsid w:val="00225CA1"/>
    <w:rsid w:val="0024136D"/>
    <w:rsid w:val="00255C65"/>
    <w:rsid w:val="00270A49"/>
    <w:rsid w:val="0027728C"/>
    <w:rsid w:val="002A0DDA"/>
    <w:rsid w:val="002C0F5D"/>
    <w:rsid w:val="002C519A"/>
    <w:rsid w:val="002E630B"/>
    <w:rsid w:val="00303CF8"/>
    <w:rsid w:val="00341530"/>
    <w:rsid w:val="003440BB"/>
    <w:rsid w:val="003578BA"/>
    <w:rsid w:val="00373871"/>
    <w:rsid w:val="003B2390"/>
    <w:rsid w:val="004079AA"/>
    <w:rsid w:val="00422BCC"/>
    <w:rsid w:val="004307A3"/>
    <w:rsid w:val="00445B54"/>
    <w:rsid w:val="004665DF"/>
    <w:rsid w:val="004E30F9"/>
    <w:rsid w:val="00514985"/>
    <w:rsid w:val="00552A7A"/>
    <w:rsid w:val="00596C53"/>
    <w:rsid w:val="005B4016"/>
    <w:rsid w:val="005E0636"/>
    <w:rsid w:val="005E1826"/>
    <w:rsid w:val="005F3175"/>
    <w:rsid w:val="005F4615"/>
    <w:rsid w:val="00621754"/>
    <w:rsid w:val="006349AE"/>
    <w:rsid w:val="00646D4D"/>
    <w:rsid w:val="00661236"/>
    <w:rsid w:val="00682A87"/>
    <w:rsid w:val="006C7901"/>
    <w:rsid w:val="006D1F36"/>
    <w:rsid w:val="006F0CFD"/>
    <w:rsid w:val="00710B76"/>
    <w:rsid w:val="00775F6B"/>
    <w:rsid w:val="007A57D1"/>
    <w:rsid w:val="007D73AD"/>
    <w:rsid w:val="00817596"/>
    <w:rsid w:val="00817B55"/>
    <w:rsid w:val="00845C0A"/>
    <w:rsid w:val="00847775"/>
    <w:rsid w:val="00893DB9"/>
    <w:rsid w:val="00905141"/>
    <w:rsid w:val="009249BC"/>
    <w:rsid w:val="00947B41"/>
    <w:rsid w:val="00976836"/>
    <w:rsid w:val="009A71FA"/>
    <w:rsid w:val="009D12D0"/>
    <w:rsid w:val="009D4DE9"/>
    <w:rsid w:val="00A22E34"/>
    <w:rsid w:val="00A43047"/>
    <w:rsid w:val="00AA43CA"/>
    <w:rsid w:val="00AB1355"/>
    <w:rsid w:val="00AD2C35"/>
    <w:rsid w:val="00B10737"/>
    <w:rsid w:val="00B52665"/>
    <w:rsid w:val="00BB4852"/>
    <w:rsid w:val="00BC65EC"/>
    <w:rsid w:val="00BE20E1"/>
    <w:rsid w:val="00BE5E51"/>
    <w:rsid w:val="00C542D4"/>
    <w:rsid w:val="00C65BD3"/>
    <w:rsid w:val="00C974C4"/>
    <w:rsid w:val="00CB0DD1"/>
    <w:rsid w:val="00CB7855"/>
    <w:rsid w:val="00CE57FE"/>
    <w:rsid w:val="00CF3156"/>
    <w:rsid w:val="00D05D72"/>
    <w:rsid w:val="00DD6333"/>
    <w:rsid w:val="00DE0DE3"/>
    <w:rsid w:val="00DE481D"/>
    <w:rsid w:val="00DF33ED"/>
    <w:rsid w:val="00DF66DD"/>
    <w:rsid w:val="00EB40B4"/>
    <w:rsid w:val="00ED1844"/>
    <w:rsid w:val="00EE49E5"/>
    <w:rsid w:val="00F842BF"/>
    <w:rsid w:val="00FB63E0"/>
    <w:rsid w:val="00FF202B"/>
    <w:rsid w:val="041E44AD"/>
    <w:rsid w:val="068E763B"/>
    <w:rsid w:val="0E163D6E"/>
    <w:rsid w:val="12610B9F"/>
    <w:rsid w:val="127A26B8"/>
    <w:rsid w:val="16C90353"/>
    <w:rsid w:val="174C6B91"/>
    <w:rsid w:val="1D412E8A"/>
    <w:rsid w:val="1DA80C1E"/>
    <w:rsid w:val="1EBC2FF9"/>
    <w:rsid w:val="208053D6"/>
    <w:rsid w:val="238D5C92"/>
    <w:rsid w:val="25DA074C"/>
    <w:rsid w:val="287D29D3"/>
    <w:rsid w:val="34FE2397"/>
    <w:rsid w:val="37725653"/>
    <w:rsid w:val="3A6A65AE"/>
    <w:rsid w:val="3DDB745F"/>
    <w:rsid w:val="3DFC6C2D"/>
    <w:rsid w:val="441B5933"/>
    <w:rsid w:val="44EB3558"/>
    <w:rsid w:val="4F1D5DD3"/>
    <w:rsid w:val="511C577B"/>
    <w:rsid w:val="52833022"/>
    <w:rsid w:val="53CD2ACA"/>
    <w:rsid w:val="54FA4A5B"/>
    <w:rsid w:val="57F32869"/>
    <w:rsid w:val="64590086"/>
    <w:rsid w:val="665948F0"/>
    <w:rsid w:val="669929BC"/>
    <w:rsid w:val="670A54CC"/>
    <w:rsid w:val="69166D4A"/>
    <w:rsid w:val="69B63885"/>
    <w:rsid w:val="6A422C94"/>
    <w:rsid w:val="722B2DA8"/>
    <w:rsid w:val="76FD2AF3"/>
    <w:rsid w:val="7AA048C9"/>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0"/>
    <w:qFormat/>
    <w:uiPriority w:val="1"/>
    <w:pPr>
      <w:ind w:left="3181" w:hanging="3881"/>
      <w:outlineLvl w:val="0"/>
    </w:pPr>
    <w:rPr>
      <w:b/>
      <w:bCs/>
      <w:sz w:val="36"/>
      <w:szCs w:val="36"/>
    </w:rPr>
  </w:style>
  <w:style w:type="paragraph" w:styleId="4">
    <w:name w:val="heading 2"/>
    <w:basedOn w:val="1"/>
    <w:next w:val="1"/>
    <w:link w:val="21"/>
    <w:qFormat/>
    <w:uiPriority w:val="1"/>
    <w:pPr>
      <w:spacing w:before="23"/>
      <w:ind w:left="401"/>
      <w:jc w:val="center"/>
      <w:outlineLvl w:val="1"/>
    </w:pPr>
    <w:rPr>
      <w:sz w:val="36"/>
      <w:szCs w:val="36"/>
    </w:rPr>
  </w:style>
  <w:style w:type="paragraph" w:styleId="5">
    <w:name w:val="heading 3"/>
    <w:basedOn w:val="1"/>
    <w:next w:val="1"/>
    <w:link w:val="22"/>
    <w:qFormat/>
    <w:uiPriority w:val="1"/>
    <w:pPr>
      <w:spacing w:before="51"/>
      <w:ind w:left="401" w:right="1105"/>
      <w:jc w:val="center"/>
      <w:outlineLvl w:val="2"/>
    </w:pPr>
    <w:rPr>
      <w:sz w:val="35"/>
      <w:szCs w:val="35"/>
    </w:rPr>
  </w:style>
  <w:style w:type="paragraph" w:styleId="6">
    <w:name w:val="heading 4"/>
    <w:basedOn w:val="1"/>
    <w:next w:val="1"/>
    <w:link w:val="23"/>
    <w:qFormat/>
    <w:uiPriority w:val="1"/>
    <w:pPr>
      <w:spacing w:before="35"/>
      <w:ind w:left="3481"/>
      <w:outlineLvl w:val="3"/>
    </w:pPr>
    <w:rPr>
      <w:b/>
      <w:bCs/>
      <w:sz w:val="32"/>
      <w:szCs w:val="32"/>
    </w:rPr>
  </w:style>
  <w:style w:type="paragraph" w:styleId="7">
    <w:name w:val="heading 5"/>
    <w:basedOn w:val="1"/>
    <w:next w:val="1"/>
    <w:link w:val="24"/>
    <w:qFormat/>
    <w:uiPriority w:val="1"/>
    <w:pPr>
      <w:ind w:left="419"/>
      <w:outlineLvl w:val="4"/>
    </w:pPr>
    <w:rPr>
      <w:sz w:val="32"/>
      <w:szCs w:val="32"/>
      <w:u w:val="single" w:color="000000"/>
    </w:rPr>
  </w:style>
  <w:style w:type="paragraph" w:styleId="8">
    <w:name w:val="heading 6"/>
    <w:basedOn w:val="1"/>
    <w:next w:val="1"/>
    <w:link w:val="25"/>
    <w:qFormat/>
    <w:uiPriority w:val="1"/>
    <w:pPr>
      <w:ind w:left="419"/>
      <w:outlineLvl w:val="5"/>
    </w:pPr>
    <w:rPr>
      <w:sz w:val="30"/>
      <w:szCs w:val="30"/>
    </w:rPr>
  </w:style>
  <w:style w:type="paragraph" w:styleId="9">
    <w:name w:val="heading 7"/>
    <w:basedOn w:val="1"/>
    <w:next w:val="1"/>
    <w:link w:val="26"/>
    <w:qFormat/>
    <w:uiPriority w:val="1"/>
    <w:pPr>
      <w:spacing w:before="1"/>
      <w:ind w:left="419"/>
      <w:outlineLvl w:val="6"/>
    </w:pPr>
    <w:rPr>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1"/>
    <w:rPr>
      <w:sz w:val="28"/>
      <w:szCs w:val="28"/>
    </w:rPr>
  </w:style>
  <w:style w:type="paragraph" w:styleId="10">
    <w:name w:val="Normal Indent"/>
    <w:basedOn w:val="1"/>
    <w:qFormat/>
    <w:uiPriority w:val="0"/>
    <w:pPr>
      <w:ind w:firstLine="420" w:firstLineChars="200"/>
    </w:pPr>
    <w:rPr>
      <w:rFonts w:ascii="Tahoma" w:hAnsi="Tahoma"/>
    </w:rPr>
  </w:style>
  <w:style w:type="paragraph" w:styleId="11">
    <w:name w:val="Body Text 3"/>
    <w:basedOn w:val="1"/>
    <w:qFormat/>
    <w:uiPriority w:val="0"/>
    <w:pPr>
      <w:jc w:val="both"/>
    </w:pPr>
    <w:rPr>
      <w:szCs w:val="20"/>
    </w:rPr>
  </w:style>
  <w:style w:type="paragraph" w:styleId="12">
    <w:name w:val="Plain Text"/>
    <w:basedOn w:val="1"/>
    <w:link w:val="28"/>
    <w:qFormat/>
    <w:uiPriority w:val="0"/>
    <w:rPr>
      <w:rFonts w:hAnsi="Courier New"/>
      <w:sz w:val="21"/>
      <w:szCs w:val="20"/>
    </w:rPr>
  </w:style>
  <w:style w:type="paragraph" w:styleId="13">
    <w:name w:val="Body Text Indent 2"/>
    <w:basedOn w:val="1"/>
    <w:link w:val="36"/>
    <w:semiHidden/>
    <w:unhideWhenUsed/>
    <w:qFormat/>
    <w:uiPriority w:val="99"/>
    <w:pPr>
      <w:spacing w:after="120" w:line="480" w:lineRule="auto"/>
      <w:ind w:left="420" w:leftChars="200"/>
    </w:pPr>
  </w:style>
  <w:style w:type="paragraph" w:styleId="14">
    <w:name w:val="Balloon Text"/>
    <w:basedOn w:val="1"/>
    <w:link w:val="29"/>
    <w:qFormat/>
    <w:uiPriority w:val="0"/>
    <w:rPr>
      <w:sz w:val="18"/>
      <w:szCs w:val="18"/>
    </w:rPr>
  </w:style>
  <w:style w:type="paragraph" w:styleId="15">
    <w:name w:val="footer"/>
    <w:basedOn w:val="1"/>
    <w:link w:val="30"/>
    <w:unhideWhenUsed/>
    <w:qFormat/>
    <w:uiPriority w:val="0"/>
    <w:pPr>
      <w:tabs>
        <w:tab w:val="center" w:pos="4153"/>
        <w:tab w:val="right" w:pos="8306"/>
      </w:tabs>
      <w:snapToGrid w:val="0"/>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3"/>
    <w:qFormat/>
    <w:uiPriority w:val="1"/>
    <w:rPr>
      <w:rFonts w:ascii="宋体" w:hAnsi="宋体" w:eastAsia="宋体" w:cs="宋体"/>
      <w:b/>
      <w:bCs/>
      <w:kern w:val="0"/>
      <w:sz w:val="36"/>
      <w:szCs w:val="36"/>
      <w:lang w:eastAsia="en-US"/>
    </w:rPr>
  </w:style>
  <w:style w:type="character" w:customStyle="1" w:styleId="21">
    <w:name w:val="标题 2 字符"/>
    <w:basedOn w:val="19"/>
    <w:link w:val="4"/>
    <w:qFormat/>
    <w:uiPriority w:val="1"/>
    <w:rPr>
      <w:rFonts w:ascii="宋体" w:hAnsi="宋体" w:eastAsia="宋体" w:cs="宋体"/>
      <w:kern w:val="0"/>
      <w:sz w:val="36"/>
      <w:szCs w:val="36"/>
      <w:lang w:eastAsia="en-US"/>
    </w:rPr>
  </w:style>
  <w:style w:type="character" w:customStyle="1" w:styleId="22">
    <w:name w:val="标题 3 字符"/>
    <w:basedOn w:val="19"/>
    <w:link w:val="5"/>
    <w:qFormat/>
    <w:uiPriority w:val="1"/>
    <w:rPr>
      <w:rFonts w:ascii="宋体" w:hAnsi="宋体" w:eastAsia="宋体" w:cs="宋体"/>
      <w:kern w:val="0"/>
      <w:sz w:val="35"/>
      <w:szCs w:val="35"/>
      <w:lang w:eastAsia="en-US"/>
    </w:rPr>
  </w:style>
  <w:style w:type="character" w:customStyle="1" w:styleId="23">
    <w:name w:val="标题 4 字符"/>
    <w:basedOn w:val="19"/>
    <w:link w:val="6"/>
    <w:qFormat/>
    <w:uiPriority w:val="1"/>
    <w:rPr>
      <w:rFonts w:ascii="宋体" w:hAnsi="宋体" w:eastAsia="宋体" w:cs="宋体"/>
      <w:b/>
      <w:bCs/>
      <w:kern w:val="0"/>
      <w:sz w:val="32"/>
      <w:szCs w:val="32"/>
      <w:lang w:eastAsia="en-US"/>
    </w:rPr>
  </w:style>
  <w:style w:type="character" w:customStyle="1" w:styleId="24">
    <w:name w:val="标题 5 字符"/>
    <w:basedOn w:val="19"/>
    <w:link w:val="7"/>
    <w:qFormat/>
    <w:uiPriority w:val="1"/>
    <w:rPr>
      <w:rFonts w:ascii="宋体" w:hAnsi="宋体" w:eastAsia="宋体" w:cs="宋体"/>
      <w:kern w:val="0"/>
      <w:sz w:val="32"/>
      <w:szCs w:val="32"/>
      <w:u w:val="single" w:color="000000"/>
      <w:lang w:eastAsia="en-US"/>
    </w:rPr>
  </w:style>
  <w:style w:type="character" w:customStyle="1" w:styleId="25">
    <w:name w:val="标题 6 字符"/>
    <w:basedOn w:val="19"/>
    <w:link w:val="8"/>
    <w:qFormat/>
    <w:uiPriority w:val="1"/>
    <w:rPr>
      <w:rFonts w:ascii="宋体" w:hAnsi="宋体" w:eastAsia="宋体" w:cs="宋体"/>
      <w:kern w:val="0"/>
      <w:sz w:val="30"/>
      <w:szCs w:val="30"/>
      <w:lang w:eastAsia="en-US"/>
    </w:rPr>
  </w:style>
  <w:style w:type="character" w:customStyle="1" w:styleId="26">
    <w:name w:val="标题 7 字符"/>
    <w:basedOn w:val="19"/>
    <w:link w:val="9"/>
    <w:qFormat/>
    <w:uiPriority w:val="1"/>
    <w:rPr>
      <w:rFonts w:ascii="宋体" w:hAnsi="宋体" w:eastAsia="宋体" w:cs="宋体"/>
      <w:b/>
      <w:bCs/>
      <w:kern w:val="0"/>
      <w:sz w:val="28"/>
      <w:szCs w:val="28"/>
      <w:lang w:eastAsia="en-US"/>
    </w:rPr>
  </w:style>
  <w:style w:type="character" w:customStyle="1" w:styleId="27">
    <w:name w:val="正文文本 字符"/>
    <w:basedOn w:val="19"/>
    <w:link w:val="2"/>
    <w:qFormat/>
    <w:uiPriority w:val="1"/>
    <w:rPr>
      <w:rFonts w:ascii="宋体" w:hAnsi="宋体" w:eastAsia="宋体" w:cs="宋体"/>
      <w:kern w:val="0"/>
      <w:sz w:val="28"/>
      <w:szCs w:val="28"/>
      <w:lang w:eastAsia="en-US"/>
    </w:rPr>
  </w:style>
  <w:style w:type="character" w:customStyle="1" w:styleId="28">
    <w:name w:val="纯文本 字符"/>
    <w:basedOn w:val="19"/>
    <w:link w:val="12"/>
    <w:qFormat/>
    <w:uiPriority w:val="0"/>
    <w:rPr>
      <w:rFonts w:ascii="宋体" w:hAnsi="Courier New" w:eastAsia="宋体" w:cs="宋体"/>
      <w:kern w:val="0"/>
      <w:szCs w:val="20"/>
      <w:lang w:eastAsia="en-US"/>
    </w:rPr>
  </w:style>
  <w:style w:type="character" w:customStyle="1" w:styleId="29">
    <w:name w:val="批注框文本 字符"/>
    <w:basedOn w:val="19"/>
    <w:link w:val="14"/>
    <w:qFormat/>
    <w:uiPriority w:val="0"/>
    <w:rPr>
      <w:rFonts w:ascii="宋体" w:hAnsi="宋体" w:eastAsia="宋体" w:cs="宋体"/>
      <w:kern w:val="0"/>
      <w:sz w:val="18"/>
      <w:szCs w:val="18"/>
      <w:lang w:eastAsia="en-US"/>
    </w:rPr>
  </w:style>
  <w:style w:type="character" w:customStyle="1" w:styleId="30">
    <w:name w:val="页脚 字符"/>
    <w:basedOn w:val="19"/>
    <w:link w:val="15"/>
    <w:qFormat/>
    <w:uiPriority w:val="0"/>
    <w:rPr>
      <w:sz w:val="18"/>
      <w:szCs w:val="18"/>
    </w:rPr>
  </w:style>
  <w:style w:type="character" w:customStyle="1" w:styleId="31">
    <w:name w:val="页眉 字符"/>
    <w:basedOn w:val="19"/>
    <w:link w:val="16"/>
    <w:qFormat/>
    <w:uiPriority w:val="0"/>
    <w:rPr>
      <w:sz w:val="18"/>
      <w:szCs w:val="18"/>
    </w:rPr>
  </w:style>
  <w:style w:type="table" w:customStyle="1" w:styleId="32">
    <w:name w:val="Table Normal"/>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220"/>
    </w:pPr>
  </w:style>
  <w:style w:type="paragraph" w:customStyle="1" w:styleId="34">
    <w:name w:val="Table Paragraph"/>
    <w:basedOn w:val="1"/>
    <w:qFormat/>
    <w:uiPriority w:val="1"/>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正文文本缩进 2 字符"/>
    <w:basedOn w:val="19"/>
    <w:link w:val="13"/>
    <w:semiHidden/>
    <w:qFormat/>
    <w:uiPriority w:val="99"/>
    <w:rPr>
      <w:rFonts w:ascii="宋体" w:hAnsi="宋体" w:cs="宋体"/>
      <w:sz w:val="22"/>
      <w:szCs w:val="22"/>
      <w:lang w:eastAsia="en-US"/>
    </w:rPr>
  </w:style>
  <w:style w:type="paragraph" w:customStyle="1" w:styleId="37">
    <w:name w:val="样式3"/>
    <w:basedOn w:val="1"/>
    <w:link w:val="38"/>
    <w:qFormat/>
    <w:uiPriority w:val="0"/>
    <w:pPr>
      <w:autoSpaceDE/>
      <w:autoSpaceDN/>
      <w:spacing w:line="360" w:lineRule="auto"/>
      <w:ind w:firstLine="560" w:firstLineChars="200"/>
      <w:jc w:val="both"/>
    </w:pPr>
    <w:rPr>
      <w:rFonts w:ascii="仿宋" w:hAnsi="仿宋" w:eastAsia="仿宋" w:cs="仿宋"/>
      <w:kern w:val="2"/>
      <w:sz w:val="28"/>
      <w:szCs w:val="28"/>
      <w:lang w:val="zh-CN" w:eastAsia="zh-CN"/>
    </w:rPr>
  </w:style>
  <w:style w:type="character" w:customStyle="1" w:styleId="38">
    <w:name w:val="样式3 Char"/>
    <w:basedOn w:val="19"/>
    <w:link w:val="37"/>
    <w:qFormat/>
    <w:uiPriority w:val="0"/>
    <w:rPr>
      <w:rFonts w:ascii="仿宋" w:hAnsi="仿宋" w:eastAsia="仿宋" w:cs="仿宋"/>
      <w:kern w:val="2"/>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FD46-EABC-41C5-9660-77405CB203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2734</Words>
  <Characters>2852</Characters>
  <Lines>28</Lines>
  <Paragraphs>7</Paragraphs>
  <TotalTime>0</TotalTime>
  <ScaleCrop>false</ScaleCrop>
  <LinksUpToDate>false</LinksUpToDate>
  <CharactersWithSpaces>3054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2024-01-09T05:06:00Z</dcterms:created>
  <dc:creator>Administrator</dc:creator>
  <cp:lastModifiedBy>Administrator</cp:lastModifiedBy>
  <dcterms:modified xsi:type="dcterms:W3CDTF">2025-07-31T01:05:55Z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DAC22797235A4C4F9E406054F1E612B6_13</vt:lpwstr>
  </property>
  <property fmtid="{D5CDD505-2E9C-101B-9397-08002B2CF9AE}" pid="4" name="KSOTemplateDocerSaveRecord">
    <vt:lpwstr>eyJoZGlkIjoiNjczNDQxYTIxNTU0OGI3MTBhZWEwZDQxYzFkN2RmZDgiLCJ1c2VySWQiOiI0MTMyNTQzMDIifQ==</vt:lpwstr>
  </property>
</Properties>
</file>